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2E15" w:rsidRDefault="00E62E15" w:rsidP="00E62E15">
      <w:pPr>
        <w:jc w:val="center"/>
        <w:rPr>
          <w:b/>
          <w:sz w:val="40"/>
          <w:szCs w:val="40"/>
          <w:shd w:val="clear" w:color="auto" w:fill="FFFFFF"/>
        </w:rPr>
      </w:pPr>
    </w:p>
    <w:p w:rsidR="00E62E15" w:rsidRDefault="00E62E15" w:rsidP="00E62E15">
      <w:pPr>
        <w:jc w:val="center"/>
        <w:rPr>
          <w:b/>
          <w:sz w:val="40"/>
          <w:szCs w:val="40"/>
          <w:shd w:val="clear" w:color="auto" w:fill="FFFFFF"/>
        </w:rPr>
      </w:pPr>
    </w:p>
    <w:p w:rsidR="00E62E15" w:rsidRDefault="00E62E15" w:rsidP="00E62E15">
      <w:pPr>
        <w:jc w:val="center"/>
        <w:rPr>
          <w:b/>
          <w:sz w:val="40"/>
          <w:szCs w:val="40"/>
          <w:shd w:val="clear" w:color="auto" w:fill="FFFFFF"/>
        </w:rPr>
      </w:pPr>
    </w:p>
    <w:p w:rsidR="00E62E15" w:rsidRDefault="00E62E15" w:rsidP="00E62E15">
      <w:pPr>
        <w:jc w:val="center"/>
        <w:rPr>
          <w:b/>
          <w:sz w:val="40"/>
          <w:szCs w:val="40"/>
          <w:shd w:val="clear" w:color="auto" w:fill="FFFFFF"/>
        </w:rPr>
      </w:pPr>
    </w:p>
    <w:p w:rsidR="00E62E15" w:rsidRDefault="00E62E15" w:rsidP="00E62E15">
      <w:pPr>
        <w:jc w:val="center"/>
        <w:rPr>
          <w:b/>
          <w:sz w:val="40"/>
          <w:szCs w:val="40"/>
          <w:shd w:val="clear" w:color="auto" w:fill="FFFFFF"/>
        </w:rPr>
      </w:pPr>
    </w:p>
    <w:p w:rsidR="00A12707" w:rsidRDefault="00A12707" w:rsidP="00E62E15">
      <w:pPr>
        <w:jc w:val="center"/>
        <w:rPr>
          <w:b/>
          <w:sz w:val="40"/>
          <w:szCs w:val="40"/>
          <w:shd w:val="clear" w:color="auto" w:fill="FFFFFF"/>
        </w:rPr>
      </w:pPr>
    </w:p>
    <w:p w:rsidR="00445268" w:rsidRDefault="00445268" w:rsidP="00445268">
      <w:pPr>
        <w:pStyle w:val="Title"/>
        <w:rPr>
          <w:shd w:val="clear" w:color="auto" w:fill="FFFFFF"/>
        </w:rPr>
      </w:pPr>
      <w:r>
        <w:rPr>
          <w:shd w:val="clear" w:color="auto" w:fill="FFFFFF"/>
        </w:rPr>
        <w:t xml:space="preserve">Islamic and Conventional Banking: Differential Financial Performance </w:t>
      </w:r>
      <w:r w:rsidR="00475CCD">
        <w:rPr>
          <w:shd w:val="clear" w:color="auto" w:fill="FFFFFF"/>
        </w:rPr>
        <w:t>at</w:t>
      </w:r>
      <w:r>
        <w:rPr>
          <w:shd w:val="clear" w:color="auto" w:fill="FFFFFF"/>
        </w:rPr>
        <w:t xml:space="preserve"> the Impact of Capital Adequacy </w:t>
      </w:r>
    </w:p>
    <w:p w:rsidR="00A1524A" w:rsidRDefault="00A1524A" w:rsidP="00A1524A">
      <w:pPr>
        <w:pStyle w:val="Subtitle"/>
        <w:rPr>
          <w:rFonts w:ascii="Arial" w:eastAsia="Times New Roman" w:hAnsi="Arial" w:cs="Arial"/>
          <w:color w:val="auto"/>
          <w:sz w:val="24"/>
          <w:szCs w:val="24"/>
        </w:rPr>
      </w:pPr>
      <w:r>
        <w:rPr>
          <w:rFonts w:ascii="Arial" w:eastAsia="Times New Roman" w:hAnsi="Arial" w:cs="Arial"/>
          <w:color w:val="auto"/>
          <w:sz w:val="24"/>
          <w:szCs w:val="24"/>
        </w:rPr>
        <w:t>Student Name:</w:t>
      </w:r>
      <w:r w:rsidR="00896DBD" w:rsidRPr="00896DBD">
        <w:rPr>
          <w:rFonts w:ascii="Arial" w:eastAsia="Times New Roman" w:hAnsi="Arial" w:cs="Arial"/>
          <w:color w:val="auto"/>
          <w:sz w:val="24"/>
          <w:szCs w:val="24"/>
        </w:rPr>
        <w:t xml:space="preserve"> Fatima Elabgari</w:t>
      </w:r>
    </w:p>
    <w:p w:rsidR="00A12707" w:rsidRDefault="00A1524A" w:rsidP="00A1524A">
      <w:pPr>
        <w:pStyle w:val="Subtitle"/>
        <w:rPr>
          <w:rFonts w:ascii="Arial" w:eastAsia="Times New Roman" w:hAnsi="Arial" w:cs="Arial"/>
          <w:color w:val="auto"/>
          <w:sz w:val="24"/>
          <w:szCs w:val="24"/>
        </w:rPr>
      </w:pPr>
      <w:r>
        <w:rPr>
          <w:rFonts w:ascii="Arial" w:eastAsia="Times New Roman" w:hAnsi="Arial" w:cs="Arial"/>
          <w:color w:val="auto"/>
          <w:sz w:val="24"/>
          <w:szCs w:val="24"/>
        </w:rPr>
        <w:t xml:space="preserve">Student Number: </w:t>
      </w:r>
      <w:r w:rsidR="00A12707">
        <w:rPr>
          <w:rFonts w:ascii="Arial" w:eastAsia="Times New Roman" w:hAnsi="Arial" w:cs="Arial"/>
          <w:color w:val="auto"/>
          <w:sz w:val="24"/>
          <w:szCs w:val="24"/>
        </w:rPr>
        <w:t>1708382</w:t>
      </w:r>
    </w:p>
    <w:p w:rsidR="00A12707" w:rsidRDefault="00A12707" w:rsidP="00A12707">
      <w:pPr>
        <w:rPr>
          <w:spacing w:val="15"/>
        </w:rPr>
      </w:pPr>
      <w:r>
        <w:br w:type="page"/>
      </w:r>
    </w:p>
    <w:p w:rsidR="00D00B89" w:rsidRPr="009356C2" w:rsidRDefault="00D00B89" w:rsidP="00D00B89">
      <w:pPr>
        <w:spacing w:after="120"/>
        <w:ind w:firstLine="720"/>
        <w:rPr>
          <w:rFonts w:ascii="Arial" w:hAnsi="Arial" w:cs="Arial"/>
          <w:b/>
        </w:rPr>
      </w:pPr>
      <w:bookmarkStart w:id="0" w:name="_Toc2075010"/>
    </w:p>
    <w:p w:rsidR="00D00B89" w:rsidRPr="009356C2" w:rsidRDefault="00D00B89" w:rsidP="00D00B8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lang w:eastAsia="en-GB"/>
        </w:rPr>
        <w:drawing>
          <wp:inline distT="0" distB="0" distL="0" distR="0">
            <wp:extent cx="1854835" cy="760095"/>
            <wp:effectExtent l="0" t="0" r="0" b="0"/>
            <wp:docPr id="8" name="Picture 8"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4835" cy="760095"/>
                    </a:xfrm>
                    <a:prstGeom prst="rect">
                      <a:avLst/>
                    </a:prstGeom>
                    <a:noFill/>
                    <a:ln>
                      <a:noFill/>
                    </a:ln>
                  </pic:spPr>
                </pic:pic>
              </a:graphicData>
            </a:graphic>
          </wp:inline>
        </w:drawing>
      </w:r>
    </w:p>
    <w:p w:rsidR="00D00B89" w:rsidRPr="009356C2" w:rsidRDefault="00D00B89" w:rsidP="00D00B8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rsidR="00D00B89" w:rsidRPr="009356C2" w:rsidRDefault="00D00B89" w:rsidP="00D00B8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rsidR="00D00B89" w:rsidRPr="009356C2" w:rsidRDefault="00D00B89" w:rsidP="00D00B8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rsidR="00D00B89" w:rsidRPr="009356C2" w:rsidRDefault="00D00B89" w:rsidP="00D00B8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Pr>
          <w:bCs/>
          <w:noProof/>
          <w:sz w:val="28"/>
          <w:szCs w:val="28"/>
          <w:lang w:eastAsia="en-GB"/>
        </w:rPr>
        <w:drawing>
          <wp:inline distT="0" distB="0" distL="0" distR="0">
            <wp:extent cx="1181100" cy="4857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81100" cy="485775"/>
                    </a:xfrm>
                    <a:prstGeom prst="rect">
                      <a:avLst/>
                    </a:prstGeom>
                    <a:noFill/>
                  </pic:spPr>
                </pic:pic>
              </a:graphicData>
            </a:graphic>
          </wp:inline>
        </w:drawing>
      </w:r>
    </w:p>
    <w:p w:rsidR="00D00B89" w:rsidRPr="009356C2" w:rsidRDefault="00D00B89" w:rsidP="00D00B89">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w:t>
      </w:r>
      <w:r w:rsidRPr="009356C2">
        <w:rPr>
          <w:rFonts w:ascii="Arial" w:hAnsi="Arial" w:cs="Arial"/>
        </w:rPr>
        <w:t>…</w:t>
      </w:r>
      <w:r>
        <w:rPr>
          <w:rFonts w:ascii="Arial" w:hAnsi="Arial" w:cs="Arial"/>
        </w:rPr>
        <w:t>22/02/2019</w:t>
      </w:r>
    </w:p>
    <w:p w:rsidR="00D00B89" w:rsidRPr="009356C2" w:rsidRDefault="00D00B89" w:rsidP="00D00B8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rsidR="00D00B89" w:rsidRPr="009356C2" w:rsidRDefault="00D00B89" w:rsidP="00D00B8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Signed  </w:t>
      </w:r>
      <w:r>
        <w:rPr>
          <w:bCs/>
          <w:noProof/>
          <w:sz w:val="28"/>
          <w:szCs w:val="28"/>
          <w:lang w:eastAsia="en-GB"/>
        </w:rPr>
        <w:drawing>
          <wp:inline distT="0" distB="0" distL="0" distR="0">
            <wp:extent cx="1181100" cy="4857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81100" cy="485775"/>
                    </a:xfrm>
                    <a:prstGeom prst="rect">
                      <a:avLst/>
                    </a:prstGeom>
                    <a:noFill/>
                  </pic:spPr>
                </pic:pic>
              </a:graphicData>
            </a:graphic>
          </wp:inline>
        </w:drawing>
      </w:r>
    </w:p>
    <w:p w:rsidR="00D00B89" w:rsidRPr="009356C2" w:rsidRDefault="00D00B89" w:rsidP="00D00B89">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w:t>
      </w:r>
      <w:r w:rsidRPr="009356C2">
        <w:rPr>
          <w:rFonts w:ascii="Arial" w:hAnsi="Arial" w:cs="Arial"/>
        </w:rPr>
        <w:t>…</w:t>
      </w:r>
      <w:r>
        <w:rPr>
          <w:rFonts w:ascii="Arial" w:hAnsi="Arial" w:cs="Arial"/>
        </w:rPr>
        <w:t>22/02/2019</w:t>
      </w:r>
      <w:r w:rsidRPr="009356C2">
        <w:rPr>
          <w:rFonts w:ascii="Arial" w:hAnsi="Arial" w:cs="Arial"/>
        </w:rPr>
        <w:t>………………………………………………………………..…</w:t>
      </w:r>
    </w:p>
    <w:p w:rsidR="00D00B89" w:rsidRPr="009356C2" w:rsidRDefault="00D00B89" w:rsidP="00D00B8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rsidR="00D00B89" w:rsidRPr="009356C2" w:rsidRDefault="00D00B89" w:rsidP="00D00B8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rsidR="00D00B89" w:rsidRDefault="00D00B89" w:rsidP="00D00B8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rsidR="00D00B89" w:rsidRPr="009356C2" w:rsidRDefault="00D00B89" w:rsidP="00D00B89">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Signed candidate:  …</w:t>
      </w:r>
      <w:r>
        <w:rPr>
          <w:bCs/>
          <w:noProof/>
          <w:sz w:val="28"/>
          <w:szCs w:val="28"/>
          <w:lang w:eastAsia="en-GB"/>
        </w:rPr>
        <w:drawing>
          <wp:inline distT="0" distB="0" distL="0" distR="0">
            <wp:extent cx="1181100" cy="4857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81100" cy="485775"/>
                    </a:xfrm>
                    <a:prstGeom prst="rect">
                      <a:avLst/>
                    </a:prstGeom>
                    <a:noFill/>
                  </pic:spPr>
                </pic:pic>
              </a:graphicData>
            </a:graphic>
          </wp:inline>
        </w:drawing>
      </w:r>
      <w:r>
        <w:rPr>
          <w:rFonts w:ascii="Arial" w:hAnsi="Arial" w:cs="Arial"/>
        </w:rPr>
        <w:t>D</w:t>
      </w:r>
      <w:r w:rsidRPr="009356C2">
        <w:rPr>
          <w:rFonts w:ascii="Arial" w:hAnsi="Arial" w:cs="Arial"/>
        </w:rPr>
        <w:t>ate:</w:t>
      </w:r>
      <w:r>
        <w:rPr>
          <w:rFonts w:ascii="Arial" w:hAnsi="Arial" w:cs="Arial"/>
        </w:rPr>
        <w:t>22/02/2019</w:t>
      </w:r>
      <w:r w:rsidRPr="009356C2">
        <w:rPr>
          <w:rFonts w:ascii="Arial" w:hAnsi="Arial" w:cs="Arial"/>
        </w:rPr>
        <w:t xml:space="preserve">  .</w:t>
      </w:r>
    </w:p>
    <w:p w:rsidR="00D00B89" w:rsidRPr="009356C2" w:rsidRDefault="00D00B89" w:rsidP="00D00B8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rsidR="00D00B89" w:rsidRPr="009356C2" w:rsidRDefault="00D00B89" w:rsidP="00D00B8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w:t>
      </w:r>
      <w:r>
        <w:rPr>
          <w:bCs/>
          <w:sz w:val="28"/>
          <w:szCs w:val="28"/>
        </w:rPr>
        <w:t xml:space="preserve"> </w:t>
      </w:r>
      <w:r>
        <w:rPr>
          <w:bCs/>
          <w:noProof/>
          <w:sz w:val="28"/>
          <w:szCs w:val="28"/>
          <w:lang w:eastAsia="en-GB"/>
        </w:rPr>
        <w:drawing>
          <wp:inline distT="0" distB="0" distL="0" distR="0">
            <wp:extent cx="1181100" cy="4857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81100" cy="485775"/>
                    </a:xfrm>
                    <a:prstGeom prst="rect">
                      <a:avLst/>
                    </a:prstGeom>
                    <a:noFill/>
                  </pic:spPr>
                </pic:pic>
              </a:graphicData>
            </a:graphic>
          </wp:inline>
        </w:drawing>
      </w:r>
    </w:p>
    <w:p w:rsidR="00D00B89" w:rsidRPr="009356C2" w:rsidRDefault="00D00B89" w:rsidP="00D00B89">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 22/02/2019</w:t>
      </w:r>
    </w:p>
    <w:p w:rsidR="00D00B89" w:rsidRPr="009356C2" w:rsidRDefault="00D00B89" w:rsidP="00D00B8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rsidR="00D00B89" w:rsidRPr="009356C2" w:rsidRDefault="00D00B89" w:rsidP="00D00B8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rsidR="00D00B89" w:rsidRDefault="00D00B89" w:rsidP="00D00B8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w:t>
      </w:r>
      <w:r>
        <w:rPr>
          <w:rFonts w:ascii="Arial" w:hAnsi="Arial" w:cs="Arial"/>
        </w:rPr>
        <w:t>Isaiah Oino</w:t>
      </w:r>
    </w:p>
    <w:p w:rsidR="00D00B89" w:rsidRPr="009356C2" w:rsidRDefault="00D00B89" w:rsidP="00D00B89">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rPr>
        <w:t>Date:  ……………………………………………………………………………...</w:t>
      </w:r>
    </w:p>
    <w:p w:rsidR="00993545" w:rsidRDefault="00993545" w:rsidP="00993545">
      <w:pPr>
        <w:spacing w:after="120"/>
        <w:rPr>
          <w:rFonts w:ascii="Arial" w:hAnsi="Arial" w:cs="Arial"/>
          <w:b/>
        </w:rPr>
      </w:pPr>
    </w:p>
    <w:p w:rsidR="00993545" w:rsidRDefault="00993545" w:rsidP="00993545">
      <w:pPr>
        <w:jc w:val="center"/>
        <w:outlineLvl w:val="0"/>
        <w:rPr>
          <w:rFonts w:ascii="Arial" w:hAnsi="Arial" w:cs="Arial"/>
          <w:b/>
        </w:rPr>
      </w:pPr>
      <w:r>
        <w:rPr>
          <w:rFonts w:ascii="Arial" w:hAnsi="Arial" w:cs="Arial"/>
          <w:b/>
        </w:rPr>
        <w:t>University of Wales: Trinity Saint David</w:t>
      </w:r>
    </w:p>
    <w:p w:rsidR="00993545" w:rsidRDefault="00993545" w:rsidP="00993545">
      <w:pPr>
        <w:jc w:val="center"/>
        <w:outlineLvl w:val="0"/>
        <w:rPr>
          <w:rFonts w:ascii="Arial" w:hAnsi="Arial" w:cs="Arial"/>
          <w:b/>
        </w:rPr>
      </w:pPr>
      <w:r>
        <w:rPr>
          <w:rFonts w:ascii="Arial" w:hAnsi="Arial" w:cs="Arial"/>
          <w:b/>
        </w:rPr>
        <w:t>E-Thesis Deposit Agreement</w:t>
      </w:r>
    </w:p>
    <w:p w:rsidR="00993545" w:rsidRDefault="00993545" w:rsidP="00993545">
      <w:pPr>
        <w:rPr>
          <w:rFonts w:ascii="Arial" w:hAnsi="Arial" w:cs="Arial"/>
          <w:b/>
        </w:rPr>
      </w:pPr>
    </w:p>
    <w:p w:rsidR="00993545" w:rsidRDefault="00993545" w:rsidP="00993545">
      <w:pPr>
        <w:outlineLvl w:val="0"/>
        <w:rPr>
          <w:rFonts w:ascii="Arial" w:hAnsi="Arial" w:cs="Arial"/>
          <w:b/>
        </w:rPr>
      </w:pPr>
      <w:r>
        <w:rPr>
          <w:rFonts w:ascii="Arial" w:hAnsi="Arial" w:cs="Arial"/>
          <w:b/>
        </w:rPr>
        <w:t>Details of the Work</w:t>
      </w:r>
    </w:p>
    <w:p w:rsidR="00993545" w:rsidRDefault="00993545" w:rsidP="00993545">
      <w:pPr>
        <w:rPr>
          <w:rFonts w:ascii="Arial" w:hAnsi="Arial" w:cs="Arial"/>
        </w:rPr>
      </w:pPr>
      <w:r>
        <w:rPr>
          <w:rFonts w:ascii="Arial" w:hAnsi="Arial" w:cs="Arial"/>
        </w:rPr>
        <w:t>I would like to deposit the following item in the digital repository maintained by the University, and/or in any other repository authorized for use by the University:</w:t>
      </w:r>
    </w:p>
    <w:p w:rsidR="00993545" w:rsidRDefault="00993545" w:rsidP="00993545">
      <w:pPr>
        <w:rPr>
          <w:rFonts w:ascii="Arial" w:hAnsi="Arial" w:cs="Arial"/>
        </w:rPr>
      </w:pPr>
    </w:p>
    <w:p w:rsidR="00993545" w:rsidRDefault="00993545" w:rsidP="00993545">
      <w:pPr>
        <w:rPr>
          <w:rFonts w:ascii="Arial" w:hAnsi="Arial" w:cs="Arial"/>
        </w:rPr>
      </w:pPr>
      <w:r>
        <w:rPr>
          <w:rFonts w:ascii="Arial" w:hAnsi="Arial" w:cs="Arial"/>
          <w:b/>
        </w:rPr>
        <w:t>Title</w:t>
      </w:r>
      <w:r>
        <w:rPr>
          <w:rFonts w:ascii="Arial" w:hAnsi="Arial" w:cs="Arial"/>
        </w:rPr>
        <w:t xml:space="preserve">  Islamic and Conventional Banking : Differential Financial Performance at the Impact of Capital Adequacy </w:t>
      </w:r>
    </w:p>
    <w:p w:rsidR="00993545" w:rsidRDefault="00993545" w:rsidP="00993545">
      <w:pPr>
        <w:rPr>
          <w:rFonts w:ascii="Arial" w:hAnsi="Arial" w:cs="Arial"/>
        </w:rPr>
      </w:pPr>
    </w:p>
    <w:p w:rsidR="00993545" w:rsidRDefault="00993545" w:rsidP="00993545">
      <w:pPr>
        <w:rPr>
          <w:rFonts w:ascii="Arial" w:hAnsi="Arial" w:cs="Arial"/>
        </w:rPr>
      </w:pPr>
      <w:r>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rsidR="00993545" w:rsidRDefault="00993545" w:rsidP="00993545">
      <w:pPr>
        <w:rPr>
          <w:rFonts w:ascii="Arial" w:hAnsi="Arial" w:cs="Arial"/>
        </w:rPr>
      </w:pPr>
    </w:p>
    <w:p w:rsidR="00993545" w:rsidRDefault="00993545" w:rsidP="00993545">
      <w:pPr>
        <w:rPr>
          <w:rFonts w:ascii="Arial" w:hAnsi="Arial" w:cs="Arial"/>
        </w:rPr>
      </w:pPr>
      <w:r>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rsidR="00993545" w:rsidRDefault="00993545" w:rsidP="00993545">
      <w:pPr>
        <w:rPr>
          <w:rFonts w:ascii="Arial" w:hAnsi="Arial" w:cs="Arial"/>
        </w:rPr>
      </w:pPr>
    </w:p>
    <w:p w:rsidR="00993545" w:rsidRDefault="00993545" w:rsidP="00993545">
      <w:pPr>
        <w:outlineLvl w:val="0"/>
        <w:rPr>
          <w:rFonts w:ascii="Arial" w:hAnsi="Arial" w:cs="Arial"/>
          <w:b/>
        </w:rPr>
      </w:pPr>
      <w:r>
        <w:rPr>
          <w:rFonts w:ascii="Arial" w:hAnsi="Arial" w:cs="Arial"/>
          <w:b/>
        </w:rPr>
        <w:t>UW: TSD Digital Repository</w:t>
      </w:r>
    </w:p>
    <w:p w:rsidR="00993545" w:rsidRDefault="00993545" w:rsidP="00993545">
      <w:pPr>
        <w:rPr>
          <w:rFonts w:ascii="Arial" w:hAnsi="Arial" w:cs="Arial"/>
        </w:rPr>
      </w:pPr>
      <w:r>
        <w:rPr>
          <w:rFonts w:ascii="Arial" w:hAnsi="Arial" w:cs="Arial"/>
        </w:rPr>
        <w:t>I understand that work deposited in the digital repository will be accessible to a wide variety of people and institutions, including automated agents and search engines via the World Wide Web.</w:t>
      </w:r>
    </w:p>
    <w:p w:rsidR="00993545" w:rsidRDefault="00993545" w:rsidP="00993545">
      <w:pPr>
        <w:rPr>
          <w:rFonts w:ascii="Arial" w:hAnsi="Arial" w:cs="Arial"/>
        </w:rPr>
      </w:pPr>
    </w:p>
    <w:p w:rsidR="00993545" w:rsidRDefault="00993545" w:rsidP="00993545">
      <w:pPr>
        <w:rPr>
          <w:rFonts w:ascii="Arial" w:hAnsi="Arial" w:cs="Arial"/>
          <w:color w:val="FF0000"/>
        </w:rPr>
      </w:pPr>
      <w:r>
        <w:rPr>
          <w:rFonts w:ascii="Arial" w:hAnsi="Arial" w:cs="Arial"/>
        </w:rPr>
        <w:t>I understand that once the Work is deposited, the item and its metadata may be incorporated into public access catalogues or services, such as national databases of electronic theses.</w:t>
      </w:r>
    </w:p>
    <w:p w:rsidR="00993545" w:rsidRDefault="00993545" w:rsidP="00993545">
      <w:pPr>
        <w:rPr>
          <w:rFonts w:ascii="Arial" w:hAnsi="Arial" w:cs="Arial"/>
          <w:color w:val="FF0000"/>
        </w:rPr>
      </w:pPr>
    </w:p>
    <w:p w:rsidR="00993545" w:rsidRDefault="00993545" w:rsidP="00993545">
      <w:pPr>
        <w:ind w:left="-720" w:right="-334"/>
        <w:outlineLvl w:val="0"/>
        <w:rPr>
          <w:rFonts w:ascii="Arial" w:hAnsi="Arial" w:cs="Arial"/>
          <w:b/>
        </w:rPr>
      </w:pPr>
      <w:r>
        <w:rPr>
          <w:rFonts w:ascii="Arial" w:hAnsi="Arial" w:cs="Arial"/>
          <w:b/>
        </w:rPr>
        <w:tab/>
        <w:t>I agree as follows:</w:t>
      </w:r>
    </w:p>
    <w:p w:rsidR="00993545" w:rsidRDefault="00993545" w:rsidP="00993545">
      <w:pPr>
        <w:numPr>
          <w:ilvl w:val="0"/>
          <w:numId w:val="10"/>
        </w:numPr>
        <w:spacing w:after="0" w:line="240" w:lineRule="auto"/>
        <w:rPr>
          <w:rFonts w:ascii="Arial" w:hAnsi="Arial" w:cs="Arial"/>
        </w:rPr>
      </w:pPr>
      <w:r>
        <w:rPr>
          <w:rFonts w:ascii="Arial" w:hAnsi="Arial" w:cs="Arial"/>
        </w:rPr>
        <w:lastRenderedPageBreak/>
        <w:t>That I am the author or have the authority of the author/s to make this agreement and do hereby give the University of Wales: Trinity Saint David the right to make available the Work in the way described above.</w:t>
      </w:r>
    </w:p>
    <w:p w:rsidR="00993545" w:rsidRDefault="00993545" w:rsidP="00993545">
      <w:pPr>
        <w:numPr>
          <w:ilvl w:val="0"/>
          <w:numId w:val="10"/>
        </w:numPr>
        <w:spacing w:after="0" w:line="240" w:lineRule="auto"/>
        <w:rPr>
          <w:rFonts w:ascii="Arial" w:hAnsi="Arial" w:cs="Arial"/>
        </w:rPr>
      </w:pPr>
      <w:r>
        <w:rPr>
          <w:rFonts w:ascii="Arial" w:hAnsi="Arial" w:cs="Arial"/>
        </w:rPr>
        <w:t>That the electronic copy of the Work deposited in the digital repository and covered by this agreement, is identical in content to the paper copy of the Work.</w:t>
      </w:r>
    </w:p>
    <w:p w:rsidR="00993545" w:rsidRDefault="00993545" w:rsidP="00993545">
      <w:pPr>
        <w:numPr>
          <w:ilvl w:val="0"/>
          <w:numId w:val="10"/>
        </w:numPr>
        <w:spacing w:after="0" w:line="240" w:lineRule="auto"/>
        <w:rPr>
          <w:rFonts w:ascii="Arial" w:hAnsi="Arial" w:cs="Arial"/>
        </w:rPr>
      </w:pPr>
      <w:r>
        <w:rPr>
          <w:rFonts w:ascii="Arial" w:hAnsi="Arial" w:cs="Arial"/>
        </w:rPr>
        <w:t>That I have exercised reasonable care to ensure that the Work is original, and to the best of my knowledge, does not breach any laws including those relating to defamation, libel and copyright.</w:t>
      </w:r>
    </w:p>
    <w:p w:rsidR="00993545" w:rsidRDefault="00993545" w:rsidP="00993545">
      <w:pPr>
        <w:numPr>
          <w:ilvl w:val="0"/>
          <w:numId w:val="10"/>
        </w:numPr>
        <w:spacing w:after="0" w:line="240" w:lineRule="auto"/>
        <w:rPr>
          <w:rFonts w:ascii="Arial" w:hAnsi="Arial" w:cs="Arial"/>
        </w:rPr>
      </w:pPr>
      <w:r>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cs="Arial"/>
          <w:i/>
        </w:rPr>
        <w:t>or</w:t>
      </w:r>
      <w:r>
        <w:rPr>
          <w:rFonts w:ascii="Arial" w:hAnsi="Arial" w:cs="Arial"/>
        </w:rPr>
        <w:t xml:space="preserve"> that I have identified and removed that material for which adequate permission has not been obtained and which will be inaccessible via the digital repository</w:t>
      </w:r>
    </w:p>
    <w:p w:rsidR="00993545" w:rsidRDefault="00993545" w:rsidP="00993545">
      <w:pPr>
        <w:numPr>
          <w:ilvl w:val="0"/>
          <w:numId w:val="10"/>
        </w:numPr>
        <w:spacing w:after="0" w:line="240" w:lineRule="auto"/>
        <w:rPr>
          <w:rFonts w:ascii="Arial" w:hAnsi="Arial" w:cs="Arial"/>
        </w:rPr>
      </w:pPr>
      <w:r>
        <w:rPr>
          <w:rFonts w:ascii="Arial" w:hAnsi="Arial" w:cs="Arial"/>
        </w:rPr>
        <w:t>That University of Wales: Trinity Saint David does not hold any obligation to take legal action on behalf of the Depositor, or other rights holders, in the event of a breach of intellectual property rights, or any other right, in the material deposited.</w:t>
      </w:r>
    </w:p>
    <w:p w:rsidR="00993545" w:rsidRDefault="00993545" w:rsidP="00993545">
      <w:pPr>
        <w:numPr>
          <w:ilvl w:val="0"/>
          <w:numId w:val="10"/>
        </w:numPr>
        <w:spacing w:after="0" w:line="240" w:lineRule="auto"/>
        <w:rPr>
          <w:rFonts w:ascii="Arial" w:hAnsi="Arial" w:cs="Arial"/>
        </w:rPr>
      </w:pPr>
      <w:r>
        <w:rPr>
          <w:rFonts w:ascii="Arial" w:hAnsi="Arial" w:cs="Arial"/>
        </w:rPr>
        <w:t>That I undertake to indemnify the University of Wales: Trinity Saint David against all actions, suits, proceedings, claims, demands and costs occasioned by the University in consequence of any breach of this agreement</w:t>
      </w:r>
    </w:p>
    <w:p w:rsidR="00993545" w:rsidRDefault="00993545" w:rsidP="00993545">
      <w:pPr>
        <w:rPr>
          <w:rFonts w:ascii="Arial" w:hAnsi="Arial" w:cs="Arial"/>
        </w:rPr>
      </w:pPr>
    </w:p>
    <w:p w:rsidR="00993545" w:rsidRDefault="00993545" w:rsidP="00993545">
      <w:pPr>
        <w:jc w:val="both"/>
        <w:rPr>
          <w:rFonts w:ascii="Arial" w:hAnsi="Arial" w:cs="Arial"/>
        </w:rPr>
      </w:pPr>
    </w:p>
    <w:p w:rsidR="00993545" w:rsidRDefault="00993545" w:rsidP="00993545">
      <w:pPr>
        <w:jc w:val="both"/>
        <w:rPr>
          <w:rFonts w:ascii="Arial" w:hAnsi="Arial" w:cs="Arial"/>
        </w:rPr>
      </w:pPr>
    </w:p>
    <w:p w:rsidR="00993545" w:rsidRDefault="00993545" w:rsidP="00993545">
      <w:pPr>
        <w:outlineLvl w:val="0"/>
        <w:rPr>
          <w:rFonts w:ascii="Arial" w:hAnsi="Arial" w:cs="Arial"/>
          <w:b/>
        </w:rPr>
      </w:pPr>
      <w:r>
        <w:rPr>
          <w:rFonts w:ascii="Arial" w:hAnsi="Arial" w:cs="Arial"/>
          <w:b/>
        </w:rPr>
        <w:t>Signature ……</w:t>
      </w:r>
      <w:r>
        <w:rPr>
          <w:bCs/>
          <w:noProof/>
          <w:sz w:val="28"/>
          <w:szCs w:val="28"/>
          <w:lang w:eastAsia="en-GB"/>
        </w:rPr>
        <w:drawing>
          <wp:inline distT="0" distB="0" distL="0" distR="0">
            <wp:extent cx="1184910" cy="48958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84910" cy="489585"/>
                    </a:xfrm>
                    <a:prstGeom prst="rect">
                      <a:avLst/>
                    </a:prstGeom>
                    <a:noFill/>
                    <a:ln>
                      <a:noFill/>
                    </a:ln>
                  </pic:spPr>
                </pic:pic>
              </a:graphicData>
            </a:graphic>
          </wp:inline>
        </w:drawing>
      </w:r>
      <w:r>
        <w:rPr>
          <w:rFonts w:ascii="Arial" w:hAnsi="Arial" w:cs="Arial"/>
          <w:b/>
        </w:rPr>
        <w:t xml:space="preserve">………………………………………………….  </w:t>
      </w:r>
    </w:p>
    <w:p w:rsidR="00993545" w:rsidRDefault="00993545" w:rsidP="00993545">
      <w:pPr>
        <w:outlineLvl w:val="0"/>
        <w:rPr>
          <w:rFonts w:ascii="Arial" w:hAnsi="Arial" w:cs="Arial"/>
          <w:b/>
        </w:rPr>
      </w:pPr>
    </w:p>
    <w:p w:rsidR="00993545" w:rsidRDefault="00993545" w:rsidP="00993545">
      <w:pPr>
        <w:outlineLvl w:val="0"/>
        <w:rPr>
          <w:rFonts w:ascii="Arial" w:hAnsi="Arial" w:cs="Arial"/>
          <w:b/>
        </w:rPr>
      </w:pPr>
    </w:p>
    <w:p w:rsidR="00993545" w:rsidRDefault="00993545" w:rsidP="00993545">
      <w:pPr>
        <w:outlineLvl w:val="0"/>
        <w:rPr>
          <w:rFonts w:ascii="Arial" w:hAnsi="Arial" w:cs="Arial"/>
          <w:b/>
        </w:rPr>
      </w:pPr>
      <w:r>
        <w:rPr>
          <w:rFonts w:ascii="Arial" w:hAnsi="Arial" w:cs="Arial"/>
          <w:b/>
        </w:rPr>
        <w:t>Date ……22/02/2019…………</w:t>
      </w:r>
    </w:p>
    <w:p w:rsidR="00993545" w:rsidRDefault="00993545" w:rsidP="00993545">
      <w:pPr>
        <w:rPr>
          <w:rFonts w:ascii="Arial" w:hAnsi="Arial" w:cs="Arial"/>
          <w:b/>
        </w:rPr>
      </w:pPr>
    </w:p>
    <w:p w:rsidR="00993545" w:rsidRDefault="00993545" w:rsidP="00993545">
      <w:pPr>
        <w:spacing w:after="120"/>
        <w:rPr>
          <w:rFonts w:ascii="Arial" w:hAnsi="Arial" w:cs="Arial"/>
        </w:rPr>
      </w:pPr>
    </w:p>
    <w:p w:rsidR="00993545" w:rsidRDefault="00993545" w:rsidP="00993545">
      <w:pPr>
        <w:spacing w:after="120"/>
        <w:rPr>
          <w:rFonts w:ascii="Arial" w:hAnsi="Arial" w:cs="Arial"/>
        </w:rPr>
      </w:pPr>
    </w:p>
    <w:tbl>
      <w:tblPr>
        <w:tblW w:w="0" w:type="auto"/>
        <w:tblLook w:val="04A0" w:firstRow="1" w:lastRow="0" w:firstColumn="1" w:lastColumn="0" w:noHBand="0" w:noVBand="1"/>
      </w:tblPr>
      <w:tblGrid>
        <w:gridCol w:w="2430"/>
        <w:gridCol w:w="230"/>
        <w:gridCol w:w="988"/>
        <w:gridCol w:w="1815"/>
        <w:gridCol w:w="397"/>
        <w:gridCol w:w="1261"/>
        <w:gridCol w:w="655"/>
        <w:gridCol w:w="2690"/>
      </w:tblGrid>
      <w:tr w:rsidR="00993545" w:rsidRPr="002B3385" w:rsidTr="00993545">
        <w:tc>
          <w:tcPr>
            <w:tcW w:w="5496" w:type="dxa"/>
            <w:gridSpan w:val="4"/>
            <w:shd w:val="clear" w:color="auto" w:fill="auto"/>
          </w:tcPr>
          <w:p w:rsidR="00993545" w:rsidRPr="002B3385" w:rsidRDefault="00993545" w:rsidP="00993545">
            <w:pPr>
              <w:rPr>
                <w:rFonts w:ascii="Arial" w:hAnsi="Arial" w:cs="Arial"/>
              </w:rPr>
            </w:pPr>
            <w:r w:rsidRPr="002B3385">
              <w:rPr>
                <w:rFonts w:ascii="Arial" w:hAnsi="Arial" w:cs="Arial"/>
                <w:noProof/>
                <w:lang w:eastAsia="en-GB"/>
              </w:rPr>
              <w:drawing>
                <wp:inline distT="0" distB="0" distL="0" distR="0">
                  <wp:extent cx="2884805" cy="113347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84805" cy="1133475"/>
                          </a:xfrm>
                          <a:prstGeom prst="rect">
                            <a:avLst/>
                          </a:prstGeom>
                          <a:noFill/>
                          <a:ln>
                            <a:noFill/>
                          </a:ln>
                        </pic:spPr>
                      </pic:pic>
                    </a:graphicData>
                  </a:graphic>
                </wp:inline>
              </w:drawing>
            </w:r>
          </w:p>
          <w:p w:rsidR="00993545" w:rsidRPr="002B3385" w:rsidRDefault="00993545" w:rsidP="00993545">
            <w:pPr>
              <w:rPr>
                <w:rFonts w:ascii="Arial" w:hAnsi="Arial" w:cs="Arial"/>
              </w:rPr>
            </w:pPr>
          </w:p>
        </w:tc>
        <w:tc>
          <w:tcPr>
            <w:tcW w:w="5186" w:type="dxa"/>
            <w:gridSpan w:val="4"/>
            <w:shd w:val="clear" w:color="auto" w:fill="auto"/>
          </w:tcPr>
          <w:p w:rsidR="00993545" w:rsidRPr="002B3385" w:rsidRDefault="00993545" w:rsidP="00993545">
            <w:pPr>
              <w:rPr>
                <w:rFonts w:ascii="Arial" w:hAnsi="Arial" w:cs="Arial"/>
              </w:rPr>
            </w:pPr>
          </w:p>
          <w:p w:rsidR="00993545" w:rsidRPr="002B3385" w:rsidRDefault="00993545" w:rsidP="00993545">
            <w:pPr>
              <w:jc w:val="right"/>
              <w:rPr>
                <w:rFonts w:ascii="Arial" w:hAnsi="Arial" w:cs="Arial"/>
                <w:sz w:val="32"/>
                <w:szCs w:val="32"/>
              </w:rPr>
            </w:pPr>
            <w:r w:rsidRPr="002B3385">
              <w:rPr>
                <w:rFonts w:ascii="Arial" w:hAnsi="Arial" w:cs="Arial"/>
                <w:sz w:val="32"/>
                <w:szCs w:val="32"/>
              </w:rPr>
              <w:t>E2 FORM</w:t>
            </w:r>
          </w:p>
          <w:p w:rsidR="00993545" w:rsidRPr="002B3385" w:rsidRDefault="00993545" w:rsidP="00993545">
            <w:pPr>
              <w:jc w:val="center"/>
              <w:rPr>
                <w:rFonts w:ascii="Arial" w:hAnsi="Arial" w:cs="Arial"/>
              </w:rPr>
            </w:pPr>
          </w:p>
        </w:tc>
      </w:tr>
      <w:tr w:rsidR="00993545" w:rsidRPr="002B3385" w:rsidTr="00993545">
        <w:tc>
          <w:tcPr>
            <w:tcW w:w="10682" w:type="dxa"/>
            <w:gridSpan w:val="8"/>
            <w:tcBorders>
              <w:bottom w:val="single" w:sz="12" w:space="0" w:color="F79646"/>
            </w:tcBorders>
            <w:shd w:val="clear" w:color="auto" w:fill="4F81BD"/>
          </w:tcPr>
          <w:p w:rsidR="00993545" w:rsidRPr="002B3385" w:rsidRDefault="00993545" w:rsidP="00993545">
            <w:pPr>
              <w:rPr>
                <w:rFonts w:ascii="Arial" w:hAnsi="Arial" w:cs="Arial"/>
              </w:rPr>
            </w:pPr>
          </w:p>
          <w:p w:rsidR="00993545" w:rsidRPr="002B3385" w:rsidRDefault="00993545" w:rsidP="00993545">
            <w:pPr>
              <w:jc w:val="center"/>
              <w:rPr>
                <w:rFonts w:ascii="Arial" w:hAnsi="Arial" w:cs="Arial"/>
                <w:b/>
                <w:bCs/>
                <w:color w:val="FFFFFF"/>
                <w:lang w:val="cy-GB"/>
              </w:rPr>
            </w:pPr>
            <w:r w:rsidRPr="002B3385">
              <w:rPr>
                <w:rFonts w:ascii="Arial" w:hAnsi="Arial" w:cs="Arial"/>
                <w:b/>
                <w:bCs/>
                <w:color w:val="FFFFFF"/>
                <w:lang w:val="cy-GB"/>
              </w:rPr>
              <w:t xml:space="preserve">APPLICATION FOR ETHICAL APPROVAL – MA level </w:t>
            </w:r>
          </w:p>
          <w:p w:rsidR="00993545" w:rsidRPr="002B3385" w:rsidRDefault="00993545" w:rsidP="00993545">
            <w:pPr>
              <w:jc w:val="center"/>
              <w:rPr>
                <w:rFonts w:ascii="Arial" w:hAnsi="Arial" w:cs="Arial"/>
                <w:b/>
                <w:bCs/>
                <w:color w:val="FFFFFF"/>
                <w:lang w:val="cy-GB"/>
              </w:rPr>
            </w:pPr>
          </w:p>
          <w:p w:rsidR="00993545" w:rsidRPr="002B3385" w:rsidRDefault="00993545" w:rsidP="00993545">
            <w:pPr>
              <w:jc w:val="center"/>
              <w:rPr>
                <w:rFonts w:ascii="Arial" w:hAnsi="Arial" w:cs="Arial"/>
                <w:b/>
                <w:bCs/>
                <w:color w:val="FFFFFF"/>
                <w:lang w:val="cy-GB"/>
              </w:rPr>
            </w:pPr>
            <w:r w:rsidRPr="002B3385">
              <w:rPr>
                <w:rFonts w:ascii="Arial" w:hAnsi="Arial" w:cs="Arial"/>
                <w:b/>
                <w:bCs/>
                <w:color w:val="FFFFFF"/>
                <w:lang w:val="cy-GB"/>
              </w:rPr>
              <w:t>CAIS AM GYMERADWYAETH MOESEGOL – Lefel MA</w:t>
            </w:r>
          </w:p>
          <w:p w:rsidR="00993545" w:rsidRPr="002B3385" w:rsidRDefault="00993545" w:rsidP="00993545">
            <w:pPr>
              <w:jc w:val="center"/>
              <w:rPr>
                <w:rFonts w:ascii="Arial" w:hAnsi="Arial" w:cs="Arial"/>
              </w:rPr>
            </w:pPr>
          </w:p>
        </w:tc>
      </w:tr>
      <w:tr w:rsidR="00993545" w:rsidRPr="002B3385" w:rsidTr="0099354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rsidR="00993545" w:rsidRPr="002B3385" w:rsidRDefault="00993545" w:rsidP="00993545">
            <w:pPr>
              <w:autoSpaceDE w:val="0"/>
              <w:autoSpaceDN w:val="0"/>
              <w:adjustRightInd w:val="0"/>
              <w:jc w:val="both"/>
              <w:rPr>
                <w:rFonts w:ascii="Arial" w:hAnsi="Arial" w:cs="Arial"/>
                <w:lang w:val="cy-GB"/>
              </w:rPr>
            </w:pPr>
            <w:r w:rsidRPr="002B3385">
              <w:rPr>
                <w:rFonts w:ascii="Arial" w:hAnsi="Arial" w:cs="Arial"/>
                <w:lang w:val="cy-GB"/>
              </w:rPr>
              <w:lastRenderedPageBreak/>
              <w:t>CEFNOGWYD /</w:t>
            </w:r>
          </w:p>
          <w:p w:rsidR="00993545" w:rsidRPr="002B3385" w:rsidRDefault="00993545" w:rsidP="00993545">
            <w:pPr>
              <w:autoSpaceDE w:val="0"/>
              <w:autoSpaceDN w:val="0"/>
              <w:adjustRightInd w:val="0"/>
              <w:jc w:val="both"/>
              <w:rPr>
                <w:rFonts w:ascii="Arial" w:hAnsi="Arial" w:cs="Arial"/>
                <w:bCs/>
              </w:rPr>
            </w:pPr>
            <w:r w:rsidRPr="002B3385">
              <w:rPr>
                <w:rFonts w:ascii="Arial" w:hAnsi="Arial" w:cs="Arial"/>
                <w:bCs/>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rsidR="00993545" w:rsidRPr="002B3385" w:rsidRDefault="00993545" w:rsidP="00993545">
            <w:pPr>
              <w:autoSpaceDE w:val="0"/>
              <w:autoSpaceDN w:val="0"/>
              <w:adjustRightInd w:val="0"/>
              <w:jc w:val="both"/>
              <w:rPr>
                <w:rFonts w:ascii="Arial" w:hAnsi="Arial" w:cs="Arial"/>
                <w:bCs/>
              </w:rPr>
            </w:pPr>
            <w:r w:rsidRPr="002B3385">
              <w:rPr>
                <w:rFonts w:ascii="Arial" w:hAnsi="Arial" w:cs="Arial"/>
                <w:bCs/>
              </w:rPr>
              <w:t>A GYFEIRIWYD  /</w:t>
            </w:r>
          </w:p>
          <w:p w:rsidR="00993545" w:rsidRPr="002B3385" w:rsidRDefault="00993545" w:rsidP="00993545">
            <w:pPr>
              <w:autoSpaceDE w:val="0"/>
              <w:autoSpaceDN w:val="0"/>
              <w:adjustRightInd w:val="0"/>
              <w:jc w:val="both"/>
              <w:rPr>
                <w:rFonts w:ascii="Arial" w:hAnsi="Arial" w:cs="Arial"/>
                <w:bCs/>
              </w:rPr>
            </w:pPr>
            <w:r w:rsidRPr="002B3385">
              <w:rPr>
                <w:rFonts w:ascii="Arial" w:hAnsi="Arial" w:cs="Arial"/>
                <w:bCs/>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rsidR="00993545" w:rsidRPr="002B3385" w:rsidRDefault="00993545" w:rsidP="00993545">
            <w:pPr>
              <w:autoSpaceDE w:val="0"/>
              <w:autoSpaceDN w:val="0"/>
              <w:adjustRightInd w:val="0"/>
              <w:jc w:val="both"/>
              <w:rPr>
                <w:rFonts w:ascii="Arial" w:hAnsi="Arial" w:cs="Arial"/>
                <w:b/>
                <w:i/>
                <w:lang w:val="cy-GB"/>
              </w:rPr>
            </w:pPr>
            <w:r w:rsidRPr="002B3385">
              <w:rPr>
                <w:rFonts w:ascii="Arial" w:hAnsi="Arial" w:cs="Arial"/>
                <w:lang w:val="cy-GB"/>
              </w:rPr>
              <w:t>NIS CEFNOGWYD/</w:t>
            </w:r>
            <w:r w:rsidRPr="002B3385">
              <w:rPr>
                <w:rFonts w:ascii="Arial" w:hAnsi="Arial" w:cs="Arial"/>
                <w:b/>
                <w:i/>
                <w:lang w:val="cy-GB"/>
              </w:rPr>
              <w:t xml:space="preserve"> </w:t>
            </w:r>
          </w:p>
          <w:p w:rsidR="00993545" w:rsidRPr="002B3385" w:rsidRDefault="00993545" w:rsidP="00993545">
            <w:pPr>
              <w:autoSpaceDE w:val="0"/>
              <w:autoSpaceDN w:val="0"/>
              <w:adjustRightInd w:val="0"/>
              <w:jc w:val="both"/>
              <w:rPr>
                <w:rFonts w:ascii="Arial" w:hAnsi="Arial" w:cs="Arial"/>
                <w:b/>
              </w:rPr>
            </w:pPr>
            <w:r w:rsidRPr="002B3385">
              <w:rPr>
                <w:rFonts w:ascii="Arial" w:hAnsi="Arial" w:cs="Arial"/>
                <w:bCs/>
              </w:rPr>
              <w:t>NOT SUPPORTED</w:t>
            </w:r>
          </w:p>
          <w:p w:rsidR="00993545" w:rsidRPr="002B3385" w:rsidRDefault="00993545" w:rsidP="00993545">
            <w:pPr>
              <w:tabs>
                <w:tab w:val="left" w:pos="7920"/>
              </w:tabs>
              <w:rPr>
                <w:rFonts w:ascii="Arial" w:hAnsi="Arial" w:cs="Arial"/>
                <w:bCs/>
              </w:rPr>
            </w:pPr>
          </w:p>
        </w:tc>
      </w:tr>
      <w:tr w:rsidR="00993545" w:rsidRPr="002B3385" w:rsidTr="009935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rsidR="00993545" w:rsidRPr="002B3385" w:rsidRDefault="00993545" w:rsidP="00993545">
            <w:pPr>
              <w:jc w:val="both"/>
              <w:rPr>
                <w:rFonts w:ascii="Arial" w:hAnsi="Arial" w:cs="Arial"/>
              </w:rPr>
            </w:pPr>
            <w:r w:rsidRPr="002B3385">
              <w:rPr>
                <w:rStyle w:val="hps"/>
                <w:rFonts w:ascii="Arial" w:hAnsi="Arial" w:cs="Arial"/>
                <w:color w:val="222222"/>
                <w:lang w:val="cy-GB"/>
              </w:rPr>
              <w:t>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rsidR="00993545" w:rsidRPr="002B3385" w:rsidRDefault="00993545" w:rsidP="00993545">
            <w:pPr>
              <w:jc w:val="both"/>
              <w:rPr>
                <w:rFonts w:ascii="Arial" w:hAnsi="Arial" w:cs="Arial"/>
              </w:rPr>
            </w:pPr>
            <w:r w:rsidRPr="002B3385">
              <w:rPr>
                <w:rFonts w:ascii="Arial" w:hAnsi="Arial" w:cs="Arial"/>
              </w:rPr>
              <w:t>This form is to be completed by all MA students conducting research, projects or productions. This form should be completed by the student in consultation with the module tutor. All forms must be considered by the Head of School/Faculty. All forms must be presented to the Faculty Ethics Board. The form is only to be reported to the University Ethics Committee if it is unusual and/or falls outside of normal practice.</w:t>
            </w:r>
          </w:p>
          <w:p w:rsidR="00993545" w:rsidRPr="002B3385" w:rsidRDefault="00993545" w:rsidP="00993545">
            <w:pPr>
              <w:jc w:val="both"/>
              <w:rPr>
                <w:rFonts w:ascii="Arial" w:hAnsi="Arial" w:cs="Arial"/>
                <w:b/>
              </w:rPr>
            </w:pPr>
          </w:p>
        </w:tc>
      </w:tr>
      <w:tr w:rsidR="00993545" w:rsidRPr="002B3385" w:rsidTr="009935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rsidR="00993545" w:rsidRPr="002B3385" w:rsidRDefault="00993545" w:rsidP="00993545">
            <w:pPr>
              <w:rPr>
                <w:rFonts w:ascii="Arial" w:hAnsi="Arial" w:cs="Arial"/>
              </w:rPr>
            </w:pPr>
          </w:p>
          <w:p w:rsidR="00993545" w:rsidRPr="002B3385" w:rsidRDefault="00993545" w:rsidP="00993545">
            <w:pPr>
              <w:rPr>
                <w:rFonts w:ascii="Arial" w:hAnsi="Arial" w:cs="Arial"/>
                <w:b/>
                <w:color w:val="E36C0A"/>
              </w:rPr>
            </w:pPr>
            <w:r w:rsidRPr="002B3385">
              <w:rPr>
                <w:rFonts w:ascii="Arial" w:hAnsi="Arial" w:cs="Arial"/>
                <w:b/>
                <w:color w:val="E36C0A"/>
              </w:rPr>
              <w:t>ADRAN 1 – MANYLION MYFYRIWR</w:t>
            </w:r>
            <w:r w:rsidRPr="002B3385">
              <w:rPr>
                <w:rFonts w:ascii="Arial" w:hAnsi="Arial" w:cs="Arial"/>
                <w:b/>
                <w:color w:val="E36C0A"/>
              </w:rPr>
              <w:tab/>
            </w:r>
            <w:r w:rsidRPr="002B3385">
              <w:rPr>
                <w:rFonts w:ascii="Arial" w:hAnsi="Arial" w:cs="Arial"/>
                <w:b/>
                <w:color w:val="E36C0A"/>
              </w:rPr>
              <w:tab/>
              <w:t xml:space="preserve">     SECTION 1  -  STUDENT DETAILS</w:t>
            </w:r>
          </w:p>
          <w:p w:rsidR="00993545" w:rsidRPr="002B3385" w:rsidRDefault="0053750F" w:rsidP="00993545">
            <w:pPr>
              <w:rPr>
                <w:rFonts w:ascii="Arial" w:hAnsi="Arial" w:cs="Arial"/>
                <w:b/>
                <w:color w:val="E36C0A"/>
              </w:rPr>
            </w:pPr>
            <w:r w:rsidRPr="002B3385">
              <w:rPr>
                <w:rFonts w:ascii="Arial" w:hAnsi="Arial" w:cs="Arial"/>
                <w:noProof/>
                <w:lang w:eastAsia="en-GB"/>
              </w:rPr>
              <mc:AlternateContent>
                <mc:Choice Requires="wps">
                  <w:drawing>
                    <wp:anchor distT="0" distB="0" distL="114300" distR="114300" simplePos="0" relativeHeight="251659264" behindDoc="0" locked="0" layoutInCell="1" allowOverlap="1">
                      <wp:simplePos x="0" y="0"/>
                      <wp:positionH relativeFrom="column">
                        <wp:posOffset>5715</wp:posOffset>
                      </wp:positionH>
                      <wp:positionV relativeFrom="paragraph">
                        <wp:posOffset>27940</wp:posOffset>
                      </wp:positionV>
                      <wp:extent cx="6590665" cy="12065"/>
                      <wp:effectExtent l="38100" t="38100" r="57785" b="64135"/>
                      <wp:wrapNone/>
                      <wp:docPr id="36"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FCDD9A" id="Straight Connector 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" strokecolor="#4f81bd" strokeweight="2pt">
                      <v:shadow on="t" color="black" opacity="24903f" origin=",.5" offset="0,.55556mm"/>
                      <o:lock v:ext="edit" shapetype="f"/>
                    </v:line>
                  </w:pict>
                </mc:Fallback>
              </mc:AlternateContent>
            </w:r>
          </w:p>
          <w:p w:rsidR="00993545" w:rsidRPr="002B3385" w:rsidRDefault="00993545" w:rsidP="00993545">
            <w:pPr>
              <w:rPr>
                <w:rFonts w:ascii="Arial" w:hAnsi="Arial" w:cs="Arial"/>
              </w:rPr>
            </w:pPr>
          </w:p>
        </w:tc>
      </w:tr>
      <w:tr w:rsidR="00993545" w:rsidRPr="002B3385" w:rsidTr="009935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993545" w:rsidRPr="002B3385" w:rsidRDefault="00993545" w:rsidP="00993545">
            <w:pPr>
              <w:rPr>
                <w:rFonts w:ascii="Arial" w:hAnsi="Arial" w:cs="Arial"/>
              </w:rPr>
            </w:pPr>
            <w:r w:rsidRPr="002B3385">
              <w:rPr>
                <w:rFonts w:ascii="Arial" w:hAnsi="Arial" w:cs="Arial"/>
              </w:rPr>
              <w:t>Enw Llawn</w:t>
            </w:r>
          </w:p>
          <w:p w:rsidR="00993545" w:rsidRPr="002B3385" w:rsidRDefault="00993545" w:rsidP="00993545">
            <w:pPr>
              <w:rPr>
                <w:rFonts w:ascii="Arial" w:hAnsi="Arial" w:cs="Arial"/>
              </w:rPr>
            </w:pPr>
            <w:r w:rsidRPr="002B3385">
              <w:rPr>
                <w:rFonts w:ascii="Arial" w:hAnsi="Arial" w:cs="Arial"/>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rsidR="00993545" w:rsidRPr="002B3385" w:rsidRDefault="00993545" w:rsidP="00993545">
            <w:pPr>
              <w:rPr>
                <w:rFonts w:ascii="Arial" w:hAnsi="Arial" w:cs="Arial"/>
              </w:rPr>
            </w:pPr>
            <w:r>
              <w:rPr>
                <w:rFonts w:ascii="Arial" w:hAnsi="Arial" w:cs="Arial"/>
              </w:rPr>
              <w:t>Fatima Elabgari</w:t>
            </w:r>
          </w:p>
        </w:tc>
      </w:tr>
      <w:tr w:rsidR="00993545" w:rsidRPr="002B3385" w:rsidTr="009935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rsidR="00993545" w:rsidRPr="002B3385" w:rsidRDefault="00993545" w:rsidP="00993545">
            <w:pPr>
              <w:rPr>
                <w:rFonts w:ascii="Arial" w:hAnsi="Arial" w:cs="Arial"/>
              </w:rPr>
            </w:pPr>
          </w:p>
        </w:tc>
      </w:tr>
      <w:tr w:rsidR="00993545" w:rsidRPr="002B3385" w:rsidTr="009935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993545" w:rsidRPr="002B3385" w:rsidRDefault="00993545" w:rsidP="00993545">
            <w:pPr>
              <w:rPr>
                <w:rFonts w:ascii="Arial" w:hAnsi="Arial" w:cs="Arial"/>
              </w:rPr>
            </w:pPr>
            <w:r w:rsidRPr="002B3385">
              <w:rPr>
                <w:rFonts w:ascii="Arial" w:hAnsi="Arial" w:cs="Arial"/>
              </w:rPr>
              <w:t>Ysgol/Cyfadran/ Cyfadran</w:t>
            </w:r>
          </w:p>
          <w:p w:rsidR="00993545" w:rsidRPr="002B3385" w:rsidRDefault="00993545" w:rsidP="00993545">
            <w:pPr>
              <w:rPr>
                <w:rFonts w:ascii="Arial" w:hAnsi="Arial" w:cs="Arial"/>
              </w:rPr>
            </w:pPr>
            <w:r w:rsidRPr="002B3385">
              <w:rPr>
                <w:rFonts w:ascii="Arial" w:hAnsi="Arial" w:cs="Arial"/>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rsidR="00993545" w:rsidRPr="002B3385" w:rsidRDefault="00993545" w:rsidP="00993545">
            <w:pPr>
              <w:rPr>
                <w:rFonts w:ascii="Arial" w:hAnsi="Arial" w:cs="Arial"/>
              </w:rPr>
            </w:pPr>
            <w:r>
              <w:rPr>
                <w:rFonts w:ascii="Arial" w:hAnsi="Arial" w:cs="Arial"/>
              </w:rPr>
              <w:t>School of Business</w:t>
            </w:r>
          </w:p>
        </w:tc>
        <w:tc>
          <w:tcPr>
            <w:tcW w:w="1985" w:type="dxa"/>
            <w:gridSpan w:val="2"/>
            <w:tcBorders>
              <w:top w:val="nil"/>
              <w:left w:val="single" w:sz="12" w:space="0" w:color="E36C0A"/>
              <w:bottom w:val="nil"/>
            </w:tcBorders>
            <w:shd w:val="clear" w:color="auto" w:fill="auto"/>
          </w:tcPr>
          <w:p w:rsidR="00993545" w:rsidRPr="002B3385" w:rsidRDefault="00993545" w:rsidP="00993545">
            <w:pPr>
              <w:rPr>
                <w:rFonts w:ascii="Arial" w:hAnsi="Arial" w:cs="Arial"/>
              </w:rPr>
            </w:pPr>
            <w:r w:rsidRPr="002B3385">
              <w:rPr>
                <w:rFonts w:ascii="Arial" w:hAnsi="Arial" w:cs="Arial"/>
              </w:rPr>
              <w:t xml:space="preserve">Rhif Myfyriwr </w:t>
            </w:r>
          </w:p>
          <w:p w:rsidR="00993545" w:rsidRPr="002B3385" w:rsidRDefault="00993545" w:rsidP="00993545">
            <w:pPr>
              <w:rPr>
                <w:rFonts w:ascii="Arial" w:hAnsi="Arial" w:cs="Arial"/>
              </w:rPr>
            </w:pPr>
            <w:r w:rsidRPr="002B3385">
              <w:rPr>
                <w:rFonts w:ascii="Arial" w:hAnsi="Arial" w:cs="Arial"/>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rsidR="00993545" w:rsidRPr="002B3385" w:rsidRDefault="00993545" w:rsidP="00993545">
            <w:pPr>
              <w:rPr>
                <w:rFonts w:ascii="Arial" w:hAnsi="Arial" w:cs="Arial"/>
              </w:rPr>
            </w:pPr>
            <w:r>
              <w:rPr>
                <w:rFonts w:ascii="Arial" w:hAnsi="Arial" w:cs="Arial"/>
              </w:rPr>
              <w:t>1708382</w:t>
            </w:r>
          </w:p>
        </w:tc>
      </w:tr>
      <w:tr w:rsidR="00993545" w:rsidRPr="002B3385" w:rsidTr="009935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rsidR="00993545" w:rsidRPr="002B3385" w:rsidRDefault="00993545" w:rsidP="00993545">
            <w:pPr>
              <w:rPr>
                <w:rFonts w:ascii="Arial" w:hAnsi="Arial" w:cs="Arial"/>
              </w:rPr>
            </w:pPr>
          </w:p>
        </w:tc>
      </w:tr>
      <w:tr w:rsidR="00993545" w:rsidRPr="002B3385" w:rsidTr="009935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rsidR="00993545" w:rsidRPr="002B3385" w:rsidRDefault="00993545" w:rsidP="00993545">
            <w:pPr>
              <w:rPr>
                <w:rFonts w:ascii="Arial" w:hAnsi="Arial" w:cs="Arial"/>
              </w:rPr>
            </w:pPr>
            <w:r w:rsidRPr="002B3385">
              <w:rPr>
                <w:rFonts w:ascii="Arial" w:hAnsi="Arial" w:cs="Arial"/>
              </w:rPr>
              <w:lastRenderedPageBreak/>
              <w:t>Tiwtor y Modiwl/ Cydlynydd Rhaglen</w:t>
            </w:r>
          </w:p>
          <w:p w:rsidR="00993545" w:rsidRPr="002B3385" w:rsidRDefault="00993545" w:rsidP="00993545">
            <w:pPr>
              <w:rPr>
                <w:rFonts w:ascii="Arial" w:hAnsi="Arial" w:cs="Arial"/>
              </w:rPr>
            </w:pPr>
            <w:r w:rsidRPr="002B3385">
              <w:rPr>
                <w:rFonts w:ascii="Arial" w:hAnsi="Arial" w:cs="Arial"/>
              </w:rPr>
              <w:t>Module Tutor/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rsidR="00993545" w:rsidRPr="002B3385" w:rsidRDefault="00993545" w:rsidP="00993545">
            <w:pPr>
              <w:rPr>
                <w:rFonts w:ascii="Arial" w:hAnsi="Arial" w:cs="Arial"/>
              </w:rPr>
            </w:pPr>
            <w:r>
              <w:rPr>
                <w:rFonts w:ascii="Arial" w:hAnsi="Arial" w:cs="Arial"/>
              </w:rPr>
              <w:t>Dr Isaiah Oino</w:t>
            </w:r>
          </w:p>
        </w:tc>
        <w:tc>
          <w:tcPr>
            <w:tcW w:w="1985" w:type="dxa"/>
            <w:gridSpan w:val="2"/>
            <w:tcBorders>
              <w:top w:val="nil"/>
              <w:left w:val="single" w:sz="12" w:space="0" w:color="E36C0A"/>
              <w:bottom w:val="nil"/>
            </w:tcBorders>
            <w:shd w:val="clear" w:color="auto" w:fill="auto"/>
          </w:tcPr>
          <w:p w:rsidR="00993545" w:rsidRPr="002B3385" w:rsidRDefault="00993545" w:rsidP="00993545">
            <w:pPr>
              <w:rPr>
                <w:rFonts w:ascii="Arial" w:hAnsi="Arial" w:cs="Arial"/>
              </w:rPr>
            </w:pPr>
            <w:r w:rsidRPr="002B3385">
              <w:rPr>
                <w:rFonts w:ascii="Arial" w:hAnsi="Arial" w:cs="Arial"/>
              </w:rPr>
              <w:t>Enw'r Gradd</w:t>
            </w:r>
          </w:p>
          <w:p w:rsidR="00993545" w:rsidRPr="002B3385" w:rsidRDefault="00993545" w:rsidP="00993545">
            <w:pPr>
              <w:rPr>
                <w:rFonts w:ascii="Arial" w:hAnsi="Arial" w:cs="Arial"/>
              </w:rPr>
            </w:pPr>
            <w:r w:rsidRPr="002B3385">
              <w:rPr>
                <w:rFonts w:ascii="Arial" w:hAnsi="Arial" w:cs="Arial"/>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rsidR="00993545" w:rsidRPr="002B3385" w:rsidRDefault="00993545" w:rsidP="00993545">
            <w:pPr>
              <w:rPr>
                <w:rFonts w:ascii="Arial" w:hAnsi="Arial" w:cs="Arial"/>
              </w:rPr>
            </w:pPr>
            <w:r>
              <w:rPr>
                <w:rFonts w:ascii="Arial" w:hAnsi="Arial" w:cs="Arial"/>
              </w:rPr>
              <w:t>MBA Banking and Finance</w:t>
            </w:r>
          </w:p>
        </w:tc>
      </w:tr>
      <w:tr w:rsidR="00993545" w:rsidRPr="002B3385" w:rsidTr="009935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rsidR="00993545" w:rsidRPr="002B3385" w:rsidRDefault="00993545" w:rsidP="00993545">
            <w:pPr>
              <w:rPr>
                <w:rFonts w:ascii="Arial" w:hAnsi="Arial" w:cs="Arial"/>
                <w:iCs/>
                <w:lang w:val="cy-GB"/>
              </w:rPr>
            </w:pPr>
          </w:p>
          <w:p w:rsidR="00993545" w:rsidRPr="002B3385" w:rsidRDefault="00993545" w:rsidP="00993545">
            <w:pPr>
              <w:rPr>
                <w:rFonts w:ascii="Arial" w:hAnsi="Arial" w:cs="Arial"/>
              </w:rPr>
            </w:pPr>
            <w:r w:rsidRPr="002B3385">
              <w:rPr>
                <w:rFonts w:ascii="Arial" w:hAnsi="Arial" w:cs="Arial"/>
                <w:iCs/>
                <w:lang w:val="cy-GB"/>
              </w:rPr>
              <w:t>Teitl dangosol yr Traethawd Hir:</w:t>
            </w:r>
          </w:p>
        </w:tc>
        <w:tc>
          <w:tcPr>
            <w:tcW w:w="4762" w:type="dxa"/>
            <w:gridSpan w:val="3"/>
            <w:tcBorders>
              <w:top w:val="nil"/>
              <w:left w:val="nil"/>
              <w:bottom w:val="single" w:sz="4" w:space="0" w:color="E36C0A"/>
              <w:right w:val="nil"/>
            </w:tcBorders>
            <w:shd w:val="clear" w:color="auto" w:fill="auto"/>
          </w:tcPr>
          <w:p w:rsidR="00993545" w:rsidRPr="002B3385" w:rsidRDefault="00993545" w:rsidP="00993545">
            <w:pPr>
              <w:rPr>
                <w:rFonts w:ascii="Arial" w:hAnsi="Arial" w:cs="Arial"/>
              </w:rPr>
            </w:pPr>
          </w:p>
          <w:p w:rsidR="00993545" w:rsidRPr="002B3385" w:rsidRDefault="00993545" w:rsidP="00993545">
            <w:pPr>
              <w:rPr>
                <w:rFonts w:ascii="Arial" w:hAnsi="Arial" w:cs="Arial"/>
              </w:rPr>
            </w:pPr>
            <w:r w:rsidRPr="002B3385">
              <w:rPr>
                <w:rFonts w:ascii="Arial" w:hAnsi="Arial" w:cs="Arial"/>
              </w:rPr>
              <w:t>Indicative Title of Dissertation:</w:t>
            </w:r>
          </w:p>
        </w:tc>
      </w:tr>
      <w:tr w:rsidR="00993545" w:rsidRPr="002B3385" w:rsidTr="009935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rsidR="00993545" w:rsidRPr="002B3385" w:rsidRDefault="00993545" w:rsidP="00993545">
            <w:pPr>
              <w:rPr>
                <w:rFonts w:ascii="Arial" w:hAnsi="Arial" w:cs="Arial"/>
              </w:rPr>
            </w:pPr>
            <w:r>
              <w:rPr>
                <w:rFonts w:ascii="Arial" w:hAnsi="Arial" w:cs="Arial"/>
              </w:rPr>
              <w:t>Islamic And Conventional Banking: Differential Financial Performance At The Impact of Capital Adequacy</w:t>
            </w:r>
          </w:p>
          <w:p w:rsidR="00993545" w:rsidRPr="002B3385" w:rsidRDefault="00993545" w:rsidP="00993545">
            <w:pPr>
              <w:rPr>
                <w:rFonts w:ascii="Arial" w:hAnsi="Arial" w:cs="Arial"/>
              </w:rPr>
            </w:pPr>
          </w:p>
        </w:tc>
      </w:tr>
    </w:tbl>
    <w:p w:rsidR="00993545" w:rsidRPr="002B3385" w:rsidRDefault="00993545" w:rsidP="00993545">
      <w:pPr>
        <w:rPr>
          <w:rFonts w:ascii="Arial" w:hAnsi="Arial" w:cs="Arial"/>
          <w:vanish/>
        </w:rPr>
      </w:pPr>
    </w:p>
    <w:p w:rsidR="00993545" w:rsidRPr="002B3385" w:rsidRDefault="00993545" w:rsidP="00993545">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993545" w:rsidRPr="002B3385" w:rsidTr="00993545">
        <w:tc>
          <w:tcPr>
            <w:tcW w:w="5356" w:type="dxa"/>
            <w:gridSpan w:val="2"/>
            <w:tcBorders>
              <w:top w:val="nil"/>
              <w:left w:val="nil"/>
              <w:bottom w:val="single" w:sz="4" w:space="0" w:color="E36C0A"/>
              <w:right w:val="nil"/>
            </w:tcBorders>
            <w:shd w:val="clear" w:color="auto" w:fill="auto"/>
          </w:tcPr>
          <w:p w:rsidR="00993545" w:rsidRPr="002B3385" w:rsidRDefault="00993545" w:rsidP="00993545">
            <w:pPr>
              <w:rPr>
                <w:rFonts w:ascii="Arial" w:hAnsi="Arial" w:cs="Arial"/>
                <w:b/>
                <w:color w:val="E36C0A"/>
                <w:lang w:val="cy-GB"/>
              </w:rPr>
            </w:pPr>
            <w:r w:rsidRPr="002B3385">
              <w:rPr>
                <w:rFonts w:ascii="Arial" w:hAnsi="Arial" w:cs="Arial"/>
                <w:b/>
                <w:color w:val="E36C0A"/>
                <w:lang w:val="cy-GB"/>
              </w:rPr>
              <w:t>ADRAN 2 – GWEITHGAREDD YMCHWIL</w:t>
            </w:r>
          </w:p>
          <w:p w:rsidR="00993545" w:rsidRPr="002B3385" w:rsidRDefault="0053750F" w:rsidP="00993545">
            <w:pPr>
              <w:rPr>
                <w:rFonts w:ascii="Arial" w:hAnsi="Arial" w:cs="Arial"/>
                <w:b/>
                <w:color w:val="E36C0A"/>
              </w:rPr>
            </w:pPr>
            <w:r w:rsidRPr="002B3385">
              <w:rPr>
                <w:rFonts w:ascii="Arial" w:hAnsi="Arial" w:cs="Arial"/>
                <w:b/>
                <w:noProof/>
                <w:color w:val="E36C0A"/>
                <w:lang w:eastAsia="en-GB"/>
              </w:rPr>
              <mc:AlternateContent>
                <mc:Choice Requires="wps">
                  <w:drawing>
                    <wp:anchor distT="0" distB="0" distL="114300" distR="114300" simplePos="0" relativeHeight="251661312" behindDoc="0" locked="0" layoutInCell="1" allowOverlap="1">
                      <wp:simplePos x="0" y="0"/>
                      <wp:positionH relativeFrom="column">
                        <wp:posOffset>27305</wp:posOffset>
                      </wp:positionH>
                      <wp:positionV relativeFrom="paragraph">
                        <wp:posOffset>123190</wp:posOffset>
                      </wp:positionV>
                      <wp:extent cx="6590665" cy="12065"/>
                      <wp:effectExtent l="38100" t="38100" r="57785" b="64135"/>
                      <wp:wrapNone/>
                      <wp:docPr id="35"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DA911F5"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rsidR="00993545" w:rsidRPr="002B3385" w:rsidRDefault="00993545" w:rsidP="00993545">
            <w:pPr>
              <w:rPr>
                <w:rFonts w:ascii="Arial" w:hAnsi="Arial" w:cs="Arial"/>
                <w:b/>
                <w:color w:val="E36C0A"/>
              </w:rPr>
            </w:pPr>
            <w:r w:rsidRPr="002B3385">
              <w:rPr>
                <w:rFonts w:ascii="Arial" w:hAnsi="Arial" w:cs="Arial"/>
                <w:b/>
                <w:color w:val="E36C0A"/>
              </w:rPr>
              <w:t xml:space="preserve">SECTION 2 – RESEARCH ACTIVITY  </w:t>
            </w:r>
          </w:p>
          <w:p w:rsidR="00993545" w:rsidRPr="002B3385" w:rsidRDefault="00993545" w:rsidP="00993545">
            <w:pPr>
              <w:rPr>
                <w:rFonts w:ascii="Arial" w:hAnsi="Arial" w:cs="Arial"/>
                <w:b/>
                <w:color w:val="E36C0A"/>
              </w:rPr>
            </w:pPr>
          </w:p>
          <w:p w:rsidR="00993545" w:rsidRPr="002B3385" w:rsidRDefault="00993545" w:rsidP="00993545">
            <w:pPr>
              <w:rPr>
                <w:rFonts w:ascii="Arial" w:hAnsi="Arial" w:cs="Arial"/>
                <w:b/>
                <w:color w:val="E36C0A"/>
              </w:rPr>
            </w:pPr>
          </w:p>
        </w:tc>
      </w:tr>
      <w:tr w:rsidR="00993545" w:rsidRPr="002B3385" w:rsidTr="00993545">
        <w:tc>
          <w:tcPr>
            <w:tcW w:w="4491"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rPr>
                <w:rFonts w:ascii="Arial" w:hAnsi="Arial" w:cs="Arial"/>
                <w:lang w:val="cy-GB"/>
              </w:rPr>
            </w:pPr>
            <w:r w:rsidRPr="002B3385">
              <w:rPr>
                <w:rFonts w:ascii="Arial" w:hAnsi="Arial" w:cs="Arial"/>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rPr>
                <w:rFonts w:ascii="Arial" w:hAnsi="Arial" w:cs="Arial"/>
              </w:rPr>
            </w:pPr>
            <w:r w:rsidRPr="002B3385">
              <w:rPr>
                <w:rFonts w:ascii="Arial" w:hAnsi="Arial" w:cs="Arial"/>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rPr>
                <w:rFonts w:ascii="Arial" w:hAnsi="Arial" w:cs="Arial"/>
              </w:rPr>
            </w:pPr>
            <w:r w:rsidRPr="002B3385">
              <w:rPr>
                <w:rFonts w:ascii="Arial" w:hAnsi="Arial" w:cs="Arial"/>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rPr>
                <w:rFonts w:ascii="Arial" w:hAnsi="Arial" w:cs="Arial"/>
              </w:rPr>
            </w:pPr>
            <w:r w:rsidRPr="002B3385">
              <w:rPr>
                <w:rFonts w:ascii="Arial" w:hAnsi="Arial" w:cs="Arial"/>
              </w:rPr>
              <w:t xml:space="preserve">Nac ydy/No </w:t>
            </w:r>
          </w:p>
        </w:tc>
      </w:tr>
      <w:tr w:rsidR="00993545" w:rsidRPr="002B3385" w:rsidTr="00993545">
        <w:tc>
          <w:tcPr>
            <w:tcW w:w="449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Defnyddio holiadur neu offeryn ymchwil tebyg (atodwch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Use of questionnaire or similar research instrument (attach draft copy)</w:t>
            </w:r>
          </w:p>
          <w:p w:rsidR="00993545" w:rsidRPr="002B3385" w:rsidRDefault="00993545" w:rsidP="009935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449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Use of written or computerised test</w:t>
            </w:r>
          </w:p>
          <w:p w:rsidR="00993545" w:rsidRPr="002B3385" w:rsidRDefault="00993545" w:rsidP="00993545">
            <w:pPr>
              <w:rPr>
                <w:rFonts w:ascii="Arial" w:hAnsi="Arial" w:cs="Arial"/>
              </w:rPr>
            </w:pPr>
          </w:p>
          <w:p w:rsidR="00993545" w:rsidRPr="002B3385" w:rsidRDefault="00993545" w:rsidP="009935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449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Cyfweliad (cysylltwch gwestiynau posibl)</w:t>
            </w:r>
            <w:r w:rsidRPr="002B3385">
              <w:rPr>
                <w:rFonts w:ascii="Arial" w:hAnsi="Arial" w:cs="Arial"/>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Interview (attach provisional questions)</w:t>
            </w:r>
            <w:r w:rsidRPr="002B3385">
              <w:rPr>
                <w:rFonts w:ascii="Arial" w:hAnsi="Arial" w:cs="Arial"/>
                <w:rtl/>
              </w:rPr>
              <w:t xml:space="preserve"> </w:t>
            </w:r>
          </w:p>
          <w:p w:rsidR="00993545" w:rsidRPr="002B3385" w:rsidRDefault="00993545" w:rsidP="009935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449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Diaries</w:t>
            </w:r>
          </w:p>
          <w:p w:rsidR="00993545" w:rsidRPr="002B3385" w:rsidRDefault="00993545" w:rsidP="009935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Yes</w:t>
            </w:r>
          </w:p>
        </w:tc>
        <w:tc>
          <w:tcPr>
            <w:tcW w:w="90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r>
      <w:tr w:rsidR="00993545" w:rsidRPr="002B3385" w:rsidTr="00993545">
        <w:tc>
          <w:tcPr>
            <w:tcW w:w="449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Participant observation with their knowledge</w:t>
            </w:r>
          </w:p>
          <w:p w:rsidR="00993545" w:rsidRPr="002B3385" w:rsidRDefault="00993545" w:rsidP="009935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449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lastRenderedPageBreak/>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Participant observation without their knowledge</w:t>
            </w:r>
          </w:p>
          <w:p w:rsidR="00993545" w:rsidRPr="002B3385" w:rsidRDefault="00993545" w:rsidP="009935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449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Video or audio-taping</w:t>
            </w:r>
          </w:p>
          <w:p w:rsidR="00993545" w:rsidRPr="002B3385" w:rsidRDefault="00993545" w:rsidP="009935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449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Access to personal or confidential information without the participants specific consent</w:t>
            </w:r>
          </w:p>
          <w:p w:rsidR="00993545" w:rsidRPr="002B3385" w:rsidRDefault="00993545" w:rsidP="009935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449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Administration of any questions, test stimuli, presentation that may be experienced as physically, mentally or emotionally harmful / offensive</w:t>
            </w:r>
          </w:p>
          <w:p w:rsidR="00993545" w:rsidRPr="002B3385" w:rsidRDefault="00993545" w:rsidP="009935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449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Performance of any acts which may cause embarrassment or affect self-esteem</w:t>
            </w:r>
          </w:p>
          <w:p w:rsidR="00993545" w:rsidRPr="002B3385" w:rsidRDefault="00993545" w:rsidP="009935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449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Investigation of participants involved in illegal activities</w:t>
            </w:r>
          </w:p>
          <w:p w:rsidR="00993545" w:rsidRPr="002B3385" w:rsidRDefault="00993545" w:rsidP="009935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449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Procedures that involve deception</w:t>
            </w:r>
          </w:p>
          <w:p w:rsidR="00993545" w:rsidRPr="002B3385" w:rsidRDefault="00993545" w:rsidP="009935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449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Administration of any substance, agent or placebo</w:t>
            </w:r>
          </w:p>
          <w:p w:rsidR="00993545" w:rsidRPr="002B3385" w:rsidRDefault="00993545" w:rsidP="009935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449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Other method of data collection or presentation format (please explain)</w:t>
            </w:r>
          </w:p>
          <w:p w:rsidR="00993545" w:rsidRPr="002B3385" w:rsidRDefault="00993545" w:rsidP="009935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bl>
    <w:p w:rsidR="00993545" w:rsidRPr="002B3385" w:rsidRDefault="00993545" w:rsidP="00993545">
      <w:pPr>
        <w:jc w:val="both"/>
        <w:rPr>
          <w:rFonts w:ascii="Arial" w:hAnsi="Arial" w:cs="Arial"/>
        </w:rPr>
      </w:pPr>
    </w:p>
    <w:tbl>
      <w:tblPr>
        <w:tblW w:w="98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4933"/>
        <w:gridCol w:w="895"/>
        <w:gridCol w:w="4039"/>
      </w:tblGrid>
      <w:tr w:rsidR="00993545" w:rsidRPr="002B3385" w:rsidTr="00993545">
        <w:trPr>
          <w:trHeight w:val="4952"/>
        </w:trPr>
        <w:tc>
          <w:tcPr>
            <w:tcW w:w="4933" w:type="dxa"/>
            <w:tcBorders>
              <w:top w:val="single" w:sz="4" w:space="0" w:color="1F497D"/>
              <w:left w:val="single" w:sz="4" w:space="0" w:color="1F497D"/>
              <w:bottom w:val="single" w:sz="4" w:space="0" w:color="1F497D"/>
              <w:right w:val="single" w:sz="4" w:space="0" w:color="1F497D"/>
            </w:tcBorders>
            <w:shd w:val="clear" w:color="auto" w:fill="4F81BD"/>
          </w:tcPr>
          <w:p w:rsidR="00993545" w:rsidRPr="002B3385" w:rsidRDefault="00993545" w:rsidP="00993545">
            <w:pPr>
              <w:rPr>
                <w:rFonts w:ascii="Arial" w:hAnsi="Arial" w:cs="Arial"/>
                <w:color w:val="FFFFFF"/>
                <w:lang w:val="cy-GB"/>
              </w:rPr>
            </w:pPr>
            <w:r w:rsidRPr="002B3385">
              <w:rPr>
                <w:rFonts w:ascii="Arial" w:hAnsi="Arial" w:cs="Arial"/>
                <w:color w:val="FFFFFF"/>
                <w:lang w:val="cy-GB"/>
              </w:rPr>
              <w:lastRenderedPageBreak/>
              <w:t>Os 'Na' wedi cael ei dicio ym mhob blwch, dylai'r ffurflen gael ei llofnodi gan Bennaeth yr Ysgol/Cyfadran / Gyfadran a'r canlyniad a adroddwyd i'r Pwyllgor Moeseg ar ddiwedd y semester.</w:t>
            </w:r>
          </w:p>
          <w:p w:rsidR="00993545" w:rsidRPr="002B3385" w:rsidRDefault="00993545" w:rsidP="00993545">
            <w:pPr>
              <w:rPr>
                <w:rFonts w:ascii="Arial" w:hAnsi="Arial" w:cs="Arial"/>
                <w:color w:val="FFFFFF"/>
              </w:rPr>
            </w:pPr>
          </w:p>
          <w:p w:rsidR="00993545" w:rsidRPr="002B3385" w:rsidRDefault="00993545" w:rsidP="00993545">
            <w:pPr>
              <w:rPr>
                <w:rFonts w:ascii="Arial" w:hAnsi="Arial" w:cs="Arial"/>
                <w:color w:val="FFFFFF"/>
              </w:rPr>
            </w:pPr>
            <w:r w:rsidRPr="002B3385">
              <w:rPr>
                <w:rFonts w:ascii="Arial" w:hAnsi="Arial" w:cs="Arial"/>
                <w:color w:val="FFFFFF"/>
              </w:rPr>
              <w:t>Os 'Ydw' wedi cael ei dicio mewn un neu fwy o'r blychau, rhaid i'r myfyriwr gwblhau'r ffurflen hon a'i chyflwyno i diwtor y modiwl. Rhaid i'r ffurflen wedyn yn cael ei ystyried yn y Bwrdd Moeseg Gyfadran cyn dechrau ar unrhyw waith ymchwil.</w:t>
            </w:r>
          </w:p>
        </w:tc>
        <w:tc>
          <w:tcPr>
            <w:tcW w:w="4933" w:type="dxa"/>
            <w:gridSpan w:val="2"/>
            <w:tcBorders>
              <w:top w:val="single" w:sz="4" w:space="0" w:color="1F497D"/>
              <w:left w:val="single" w:sz="4" w:space="0" w:color="1F497D"/>
              <w:bottom w:val="single" w:sz="4" w:space="0" w:color="1F497D"/>
              <w:right w:val="single" w:sz="4" w:space="0" w:color="1F497D"/>
            </w:tcBorders>
            <w:shd w:val="clear" w:color="auto" w:fill="4F81BD"/>
          </w:tcPr>
          <w:p w:rsidR="00993545" w:rsidRPr="002B3385" w:rsidRDefault="00993545" w:rsidP="00993545">
            <w:pPr>
              <w:rPr>
                <w:rFonts w:ascii="Arial" w:hAnsi="Arial" w:cs="Arial"/>
                <w:color w:val="FFFFFF"/>
              </w:rPr>
            </w:pPr>
            <w:r w:rsidRPr="002B3385">
              <w:rPr>
                <w:rFonts w:ascii="Arial" w:hAnsi="Arial" w:cs="Arial"/>
                <w:color w:val="FFFFFF"/>
              </w:rPr>
              <w:t>If ‘No’ has been ticked in each box, the form should be signed by the Head of School/Faculty/Faculty and the outcome reported to the Ethics Committee at the end of the semester.</w:t>
            </w:r>
          </w:p>
          <w:p w:rsidR="00993545" w:rsidRPr="002B3385" w:rsidRDefault="00993545" w:rsidP="00993545">
            <w:pPr>
              <w:rPr>
                <w:rFonts w:ascii="Arial" w:hAnsi="Arial" w:cs="Arial"/>
                <w:color w:val="FFFFFF"/>
              </w:rPr>
            </w:pPr>
          </w:p>
          <w:p w:rsidR="00993545" w:rsidRPr="002B3385" w:rsidRDefault="00993545" w:rsidP="00993545">
            <w:pPr>
              <w:rPr>
                <w:rFonts w:ascii="Arial" w:hAnsi="Arial" w:cs="Arial"/>
                <w:color w:val="FFFFFF"/>
              </w:rPr>
            </w:pPr>
            <w:r w:rsidRPr="002B3385">
              <w:rPr>
                <w:rFonts w:ascii="Arial" w:hAnsi="Arial" w:cs="Arial"/>
                <w:color w:val="FFFFFF"/>
              </w:rPr>
              <w:t>If Yes has been ticked in one or more boxes, the student must complete this form and submit it to the module tutor. The form must then be considered at the Faculty Ethics Board prior to the start of any research.</w:t>
            </w:r>
          </w:p>
          <w:p w:rsidR="00993545" w:rsidRPr="002B3385" w:rsidRDefault="00993545" w:rsidP="00993545">
            <w:pPr>
              <w:rPr>
                <w:rFonts w:ascii="Arial" w:hAnsi="Arial" w:cs="Arial"/>
                <w:color w:val="FFFFFF"/>
              </w:rPr>
            </w:pPr>
          </w:p>
        </w:tc>
      </w:tr>
      <w:tr w:rsidR="00993545" w:rsidRPr="002B3385" w:rsidTr="00993545">
        <w:tblPrEx>
          <w:shd w:val="clear" w:color="auto" w:fill="auto"/>
        </w:tblPrEx>
        <w:trPr>
          <w:trHeight w:val="460"/>
        </w:trPr>
        <w:tc>
          <w:tcPr>
            <w:tcW w:w="4933" w:type="dxa"/>
            <w:tcBorders>
              <w:top w:val="single" w:sz="4" w:space="0" w:color="1F497D"/>
              <w:left w:val="nil"/>
              <w:bottom w:val="nil"/>
              <w:right w:val="nil"/>
            </w:tcBorders>
            <w:shd w:val="clear" w:color="auto" w:fill="FFFFFF"/>
          </w:tcPr>
          <w:p w:rsidR="00993545" w:rsidRPr="002B3385" w:rsidRDefault="00993545" w:rsidP="00993545">
            <w:pPr>
              <w:rPr>
                <w:rFonts w:ascii="Arial" w:hAnsi="Arial" w:cs="Arial"/>
                <w:b/>
                <w:lang w:val="cy-GB"/>
              </w:rPr>
            </w:pPr>
          </w:p>
          <w:p w:rsidR="00993545" w:rsidRPr="002B3385" w:rsidRDefault="00993545" w:rsidP="00993545">
            <w:pPr>
              <w:rPr>
                <w:rFonts w:ascii="Arial" w:hAnsi="Arial" w:cs="Arial"/>
                <w:b/>
              </w:rPr>
            </w:pPr>
            <w:r w:rsidRPr="002B3385">
              <w:rPr>
                <w:rFonts w:ascii="Arial" w:hAnsi="Arial" w:cs="Arial"/>
                <w:b/>
                <w:lang w:val="cy-GB"/>
              </w:rPr>
              <w:t xml:space="preserve">Llofnodau  </w:t>
            </w:r>
          </w:p>
          <w:p w:rsidR="00993545" w:rsidRPr="002B3385" w:rsidRDefault="00993545" w:rsidP="00993545">
            <w:pPr>
              <w:rPr>
                <w:rFonts w:ascii="Arial" w:hAnsi="Arial" w:cs="Arial"/>
              </w:rPr>
            </w:pPr>
            <w:r w:rsidRPr="002B3385">
              <w:rPr>
                <w:rFonts w:ascii="Arial" w:hAnsi="Arial" w:cs="Arial"/>
              </w:rPr>
              <w:t>Os nad oes unrhyw faterion moesegol sylweddol, dylid ffurflen hon gael ei chwblhau a'i llofnodi gan y myfyriwr a'r goruchwyliwr ac yna llofnodi gan Bennaeth yr Ysgol/Cyfadran.</w:t>
            </w:r>
          </w:p>
        </w:tc>
        <w:tc>
          <w:tcPr>
            <w:tcW w:w="4933" w:type="dxa"/>
            <w:gridSpan w:val="2"/>
            <w:tcBorders>
              <w:top w:val="single" w:sz="4" w:space="0" w:color="1F497D"/>
              <w:left w:val="nil"/>
              <w:bottom w:val="nil"/>
              <w:right w:val="nil"/>
            </w:tcBorders>
            <w:shd w:val="clear" w:color="auto" w:fill="FFFFFF"/>
          </w:tcPr>
          <w:p w:rsidR="00993545" w:rsidRPr="002B3385" w:rsidRDefault="00993545" w:rsidP="00993545">
            <w:pPr>
              <w:rPr>
                <w:rFonts w:ascii="Arial" w:hAnsi="Arial" w:cs="Arial"/>
                <w:b/>
              </w:rPr>
            </w:pPr>
          </w:p>
          <w:p w:rsidR="00993545" w:rsidRPr="002B3385" w:rsidRDefault="00993545" w:rsidP="00993545">
            <w:pPr>
              <w:rPr>
                <w:rFonts w:ascii="Arial" w:hAnsi="Arial" w:cs="Arial"/>
              </w:rPr>
            </w:pPr>
            <w:r w:rsidRPr="002B3385">
              <w:rPr>
                <w:rFonts w:ascii="Arial" w:hAnsi="Arial" w:cs="Arial"/>
                <w:b/>
              </w:rPr>
              <w:t>Signatures</w:t>
            </w:r>
          </w:p>
          <w:p w:rsidR="00993545" w:rsidRPr="002B3385" w:rsidRDefault="00993545" w:rsidP="00993545">
            <w:pPr>
              <w:rPr>
                <w:rFonts w:ascii="Arial" w:hAnsi="Arial" w:cs="Arial"/>
              </w:rPr>
            </w:pPr>
            <w:r w:rsidRPr="002B3385">
              <w:rPr>
                <w:rFonts w:ascii="Arial" w:hAnsi="Arial" w:cs="Arial"/>
              </w:rPr>
              <w:t>If there are no significant ethical issues, this form should be completed and signed by both the student and the supervisor and then signed by the Head of School/Faculty.</w:t>
            </w:r>
          </w:p>
        </w:tc>
      </w:tr>
      <w:tr w:rsidR="00993545" w:rsidRPr="002B3385" w:rsidTr="00993545">
        <w:tblPrEx>
          <w:shd w:val="clear" w:color="auto" w:fill="auto"/>
        </w:tblPrEx>
        <w:trPr>
          <w:trHeight w:val="460"/>
        </w:trPr>
        <w:tc>
          <w:tcPr>
            <w:tcW w:w="9867" w:type="dxa"/>
            <w:gridSpan w:val="3"/>
            <w:tcBorders>
              <w:top w:val="nil"/>
              <w:left w:val="nil"/>
              <w:bottom w:val="single" w:sz="8" w:space="0" w:color="1F497D"/>
              <w:right w:val="nil"/>
            </w:tcBorders>
            <w:shd w:val="clear" w:color="auto" w:fill="FFFFFF"/>
          </w:tcPr>
          <w:p w:rsidR="00993545" w:rsidRPr="002B3385" w:rsidRDefault="00993545" w:rsidP="00993545">
            <w:pPr>
              <w:rPr>
                <w:rFonts w:ascii="Arial" w:hAnsi="Arial" w:cs="Arial"/>
                <w:b/>
              </w:rPr>
            </w:pPr>
          </w:p>
          <w:p w:rsidR="00993545" w:rsidRPr="002B3385" w:rsidRDefault="00993545" w:rsidP="00993545">
            <w:pPr>
              <w:rPr>
                <w:rFonts w:ascii="Arial" w:hAnsi="Arial" w:cs="Arial"/>
                <w:b/>
              </w:rPr>
            </w:pPr>
          </w:p>
        </w:tc>
      </w:tr>
      <w:tr w:rsidR="00993545" w:rsidRPr="002B3385" w:rsidTr="00993545">
        <w:tblPrEx>
          <w:shd w:val="clear" w:color="auto" w:fill="auto"/>
        </w:tblPrEx>
        <w:trPr>
          <w:trHeight w:val="2275"/>
        </w:trPr>
        <w:tc>
          <w:tcPr>
            <w:tcW w:w="4933" w:type="dxa"/>
            <w:tcBorders>
              <w:top w:val="single" w:sz="8" w:space="0" w:color="1F497D"/>
              <w:left w:val="single" w:sz="8" w:space="0" w:color="1F497D"/>
              <w:bottom w:val="single" w:sz="6" w:space="0" w:color="E36C0A"/>
              <w:right w:val="nil"/>
            </w:tcBorders>
          </w:tcPr>
          <w:p w:rsidR="00993545" w:rsidRPr="002B3385" w:rsidRDefault="00993545" w:rsidP="00993545">
            <w:pPr>
              <w:rPr>
                <w:rFonts w:ascii="Arial" w:hAnsi="Arial" w:cs="Arial"/>
                <w:lang w:val="cy-GB"/>
              </w:rPr>
            </w:pPr>
            <w:r w:rsidRPr="002B3385">
              <w:rPr>
                <w:rFonts w:ascii="Arial" w:hAnsi="Arial" w:cs="Arial"/>
                <w:lang w:val="cy-GB"/>
              </w:rPr>
              <w:t>Myfyriwr / Student</w:t>
            </w:r>
            <w:r>
              <w:rPr>
                <w:bCs/>
                <w:noProof/>
                <w:sz w:val="28"/>
                <w:szCs w:val="28"/>
                <w:lang w:eastAsia="en-GB"/>
              </w:rPr>
              <w:drawing>
                <wp:inline distT="0" distB="0" distL="0" distR="0">
                  <wp:extent cx="1181100" cy="4857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81100" cy="485775"/>
                          </a:xfrm>
                          <a:prstGeom prst="rect">
                            <a:avLst/>
                          </a:prstGeom>
                          <a:noFill/>
                        </pic:spPr>
                      </pic:pic>
                    </a:graphicData>
                  </a:graphic>
                </wp:inline>
              </w:drawing>
            </w:r>
          </w:p>
          <w:p w:rsidR="00993545" w:rsidRPr="002B3385" w:rsidRDefault="00993545" w:rsidP="00993545">
            <w:pPr>
              <w:jc w:val="center"/>
              <w:rPr>
                <w:rFonts w:ascii="Arial" w:hAnsi="Arial" w:cs="Arial"/>
                <w:lang w:val="cy-GB"/>
              </w:rPr>
            </w:pPr>
            <w:r w:rsidRPr="002B3385">
              <w:rPr>
                <w:rFonts w:ascii="Arial" w:hAnsi="Arial" w:cs="Arial"/>
                <w:lang w:val="cy-GB"/>
              </w:rPr>
              <w:t xml:space="preserve">           </w:t>
            </w:r>
          </w:p>
          <w:p w:rsidR="00993545" w:rsidRPr="002B3385" w:rsidRDefault="00993545" w:rsidP="00993545">
            <w:pPr>
              <w:jc w:val="center"/>
              <w:rPr>
                <w:rFonts w:ascii="Arial" w:hAnsi="Arial" w:cs="Arial"/>
                <w:lang w:val="cy-GB"/>
              </w:rPr>
            </w:pPr>
            <w:r w:rsidRPr="002B3385">
              <w:rPr>
                <w:rFonts w:ascii="Arial" w:hAnsi="Arial" w:cs="Arial"/>
                <w:lang w:val="cy-GB"/>
              </w:rPr>
              <w:t xml:space="preserve">                                                                      </w:t>
            </w:r>
          </w:p>
        </w:tc>
        <w:tc>
          <w:tcPr>
            <w:tcW w:w="895" w:type="dxa"/>
            <w:tcBorders>
              <w:top w:val="single" w:sz="6" w:space="0" w:color="1F497D"/>
              <w:left w:val="nil"/>
              <w:bottom w:val="nil"/>
              <w:right w:val="nil"/>
            </w:tcBorders>
          </w:tcPr>
          <w:p w:rsidR="00993545" w:rsidRPr="002B3385" w:rsidRDefault="00993545" w:rsidP="00993545">
            <w:pPr>
              <w:jc w:val="center"/>
              <w:rPr>
                <w:rFonts w:ascii="Arial" w:hAnsi="Arial" w:cs="Arial"/>
                <w:lang w:val="cy-GB"/>
              </w:rPr>
            </w:pPr>
          </w:p>
        </w:tc>
        <w:tc>
          <w:tcPr>
            <w:tcW w:w="4037" w:type="dxa"/>
            <w:tcBorders>
              <w:top w:val="single" w:sz="8" w:space="0" w:color="1F497D"/>
              <w:left w:val="nil"/>
              <w:bottom w:val="single" w:sz="6" w:space="0" w:color="E36C0A"/>
              <w:right w:val="single" w:sz="8" w:space="0" w:color="1F497D"/>
            </w:tcBorders>
          </w:tcPr>
          <w:p w:rsidR="00993545" w:rsidRPr="002B3385" w:rsidRDefault="00993545" w:rsidP="00993545">
            <w:pPr>
              <w:rPr>
                <w:rFonts w:ascii="Arial" w:hAnsi="Arial" w:cs="Arial"/>
              </w:rPr>
            </w:pPr>
            <w:r w:rsidRPr="002B3385">
              <w:rPr>
                <w:rFonts w:ascii="Arial" w:hAnsi="Arial" w:cs="Arial"/>
                <w:lang w:val="cy-GB"/>
              </w:rPr>
              <w:t xml:space="preserve">Dyddiad: / </w:t>
            </w:r>
            <w:r w:rsidRPr="002B3385">
              <w:rPr>
                <w:rFonts w:ascii="Arial" w:hAnsi="Arial" w:cs="Arial"/>
              </w:rPr>
              <w:t>Date:</w:t>
            </w:r>
            <w:r>
              <w:rPr>
                <w:rFonts w:ascii="Arial" w:hAnsi="Arial" w:cs="Arial"/>
              </w:rPr>
              <w:t>24/02/2019</w:t>
            </w:r>
          </w:p>
          <w:p w:rsidR="00993545" w:rsidRPr="002B3385" w:rsidRDefault="00993545" w:rsidP="00993545">
            <w:pPr>
              <w:rPr>
                <w:rFonts w:ascii="Arial" w:hAnsi="Arial" w:cs="Arial"/>
                <w:lang w:val="cy-GB"/>
              </w:rPr>
            </w:pPr>
          </w:p>
        </w:tc>
      </w:tr>
      <w:tr w:rsidR="00993545" w:rsidRPr="002B3385" w:rsidTr="00993545">
        <w:tblPrEx>
          <w:shd w:val="clear" w:color="auto" w:fill="auto"/>
        </w:tblPrEx>
        <w:trPr>
          <w:trHeight w:val="563"/>
        </w:trPr>
        <w:tc>
          <w:tcPr>
            <w:tcW w:w="4933" w:type="dxa"/>
            <w:tcBorders>
              <w:top w:val="single" w:sz="6" w:space="0" w:color="E36C0A"/>
              <w:left w:val="single" w:sz="8" w:space="0" w:color="1F497D"/>
              <w:bottom w:val="single" w:sz="8" w:space="0" w:color="E36C0A"/>
              <w:right w:val="nil"/>
            </w:tcBorders>
          </w:tcPr>
          <w:p w:rsidR="00993545" w:rsidRPr="002B3385" w:rsidRDefault="00993545" w:rsidP="00993545">
            <w:pPr>
              <w:rPr>
                <w:rFonts w:ascii="Arial" w:hAnsi="Arial" w:cs="Arial"/>
                <w:lang w:val="cy-GB"/>
              </w:rPr>
            </w:pPr>
          </w:p>
        </w:tc>
        <w:tc>
          <w:tcPr>
            <w:tcW w:w="895" w:type="dxa"/>
            <w:tcBorders>
              <w:top w:val="nil"/>
              <w:left w:val="nil"/>
              <w:bottom w:val="single" w:sz="8" w:space="0" w:color="1F497D"/>
              <w:right w:val="nil"/>
            </w:tcBorders>
          </w:tcPr>
          <w:p w:rsidR="00993545" w:rsidRPr="002B3385" w:rsidRDefault="00993545" w:rsidP="00993545">
            <w:pPr>
              <w:jc w:val="center"/>
              <w:rPr>
                <w:rFonts w:ascii="Arial" w:hAnsi="Arial" w:cs="Arial"/>
                <w:lang w:val="cy-GB"/>
              </w:rPr>
            </w:pPr>
          </w:p>
        </w:tc>
        <w:tc>
          <w:tcPr>
            <w:tcW w:w="4037" w:type="dxa"/>
            <w:tcBorders>
              <w:top w:val="single" w:sz="6" w:space="0" w:color="E36C0A"/>
              <w:left w:val="nil"/>
              <w:bottom w:val="single" w:sz="8" w:space="0" w:color="1F497D"/>
              <w:right w:val="single" w:sz="8" w:space="0" w:color="1F497D"/>
            </w:tcBorders>
          </w:tcPr>
          <w:p w:rsidR="00993545" w:rsidRPr="002B3385" w:rsidRDefault="00993545" w:rsidP="00993545">
            <w:pPr>
              <w:rPr>
                <w:rFonts w:ascii="Arial" w:hAnsi="Arial" w:cs="Arial"/>
                <w:lang w:val="cy-GB"/>
              </w:rPr>
            </w:pPr>
          </w:p>
        </w:tc>
      </w:tr>
      <w:tr w:rsidR="00993545" w:rsidRPr="002B3385" w:rsidTr="00993545">
        <w:tblPrEx>
          <w:shd w:val="clear" w:color="auto" w:fill="auto"/>
        </w:tblPrEx>
        <w:trPr>
          <w:trHeight w:val="2878"/>
        </w:trPr>
        <w:tc>
          <w:tcPr>
            <w:tcW w:w="4933" w:type="dxa"/>
            <w:tcBorders>
              <w:top w:val="single" w:sz="8" w:space="0" w:color="1F497D"/>
              <w:left w:val="single" w:sz="8" w:space="0" w:color="1F497D"/>
              <w:bottom w:val="single" w:sz="8" w:space="0" w:color="E36C0A"/>
              <w:right w:val="nil"/>
            </w:tcBorders>
          </w:tcPr>
          <w:p w:rsidR="00993545" w:rsidRPr="002B3385" w:rsidRDefault="00993545" w:rsidP="00993545">
            <w:pPr>
              <w:rPr>
                <w:rFonts w:ascii="Arial" w:hAnsi="Arial" w:cs="Arial"/>
                <w:lang w:val="cy-GB"/>
              </w:rPr>
            </w:pPr>
            <w:r w:rsidRPr="002B3385">
              <w:rPr>
                <w:rFonts w:ascii="Arial" w:hAnsi="Arial" w:cs="Arial"/>
                <w:lang w:val="cy-GB"/>
              </w:rPr>
              <w:lastRenderedPageBreak/>
              <w:t>Cydlynydd y prosiect  /  Tiwtor</w:t>
            </w:r>
          </w:p>
          <w:p w:rsidR="00993545" w:rsidRPr="002B3385" w:rsidRDefault="00993545" w:rsidP="00993545">
            <w:pPr>
              <w:rPr>
                <w:rFonts w:ascii="Arial" w:hAnsi="Arial" w:cs="Arial"/>
              </w:rPr>
            </w:pPr>
            <w:r w:rsidRPr="002B3385">
              <w:rPr>
                <w:rFonts w:ascii="Arial" w:hAnsi="Arial" w:cs="Arial"/>
              </w:rPr>
              <w:t>Project co-ordinator / Tutor</w:t>
            </w:r>
          </w:p>
          <w:p w:rsidR="00993545" w:rsidRPr="002B3385" w:rsidRDefault="00993545" w:rsidP="00993545">
            <w:pPr>
              <w:rPr>
                <w:rFonts w:ascii="Arial" w:hAnsi="Arial" w:cs="Arial"/>
              </w:rPr>
            </w:pPr>
            <w:r w:rsidRPr="002B3385">
              <w:rPr>
                <w:rFonts w:ascii="Arial" w:hAnsi="Arial" w:cs="Arial"/>
                <w:lang w:val="cy-GB"/>
              </w:rPr>
              <w:t xml:space="preserve">Arolygwr  /  </w:t>
            </w:r>
            <w:r w:rsidRPr="002B3385">
              <w:rPr>
                <w:rFonts w:ascii="Arial" w:hAnsi="Arial" w:cs="Arial"/>
              </w:rPr>
              <w:t>Supervisor</w:t>
            </w:r>
          </w:p>
          <w:p w:rsidR="00993545" w:rsidRPr="002B3385" w:rsidRDefault="00993545" w:rsidP="00993545">
            <w:pPr>
              <w:rPr>
                <w:rFonts w:ascii="Arial" w:hAnsi="Arial" w:cs="Arial"/>
              </w:rPr>
            </w:pPr>
          </w:p>
          <w:p w:rsidR="00993545" w:rsidRPr="002B3385" w:rsidRDefault="00993545" w:rsidP="00993545">
            <w:pPr>
              <w:rPr>
                <w:rFonts w:ascii="Arial" w:hAnsi="Arial" w:cs="Arial"/>
              </w:rPr>
            </w:pPr>
            <w:r>
              <w:rPr>
                <w:rFonts w:ascii="Arial" w:hAnsi="Arial" w:cs="Arial"/>
              </w:rPr>
              <w:t>Dr Isaiah Oino</w:t>
            </w:r>
          </w:p>
        </w:tc>
        <w:tc>
          <w:tcPr>
            <w:tcW w:w="895" w:type="dxa"/>
            <w:tcBorders>
              <w:top w:val="single" w:sz="8" w:space="0" w:color="1F497D"/>
              <w:left w:val="nil"/>
              <w:bottom w:val="nil"/>
              <w:right w:val="nil"/>
            </w:tcBorders>
          </w:tcPr>
          <w:p w:rsidR="00993545" w:rsidRPr="002B3385" w:rsidRDefault="00993545" w:rsidP="00993545">
            <w:pPr>
              <w:rPr>
                <w:rFonts w:ascii="Arial" w:hAnsi="Arial" w:cs="Arial"/>
              </w:rPr>
            </w:pPr>
          </w:p>
        </w:tc>
        <w:tc>
          <w:tcPr>
            <w:tcW w:w="4037" w:type="dxa"/>
            <w:tcBorders>
              <w:top w:val="single" w:sz="8" w:space="0" w:color="1F497D"/>
              <w:left w:val="nil"/>
              <w:bottom w:val="single" w:sz="8" w:space="0" w:color="E36C0A"/>
              <w:right w:val="single" w:sz="8" w:space="0" w:color="1F497D"/>
            </w:tcBorders>
          </w:tcPr>
          <w:p w:rsidR="00993545" w:rsidRPr="002B3385" w:rsidRDefault="00993545" w:rsidP="00993545">
            <w:pPr>
              <w:rPr>
                <w:rFonts w:ascii="Arial" w:hAnsi="Arial" w:cs="Arial"/>
              </w:rPr>
            </w:pPr>
            <w:r w:rsidRPr="002B3385">
              <w:rPr>
                <w:rFonts w:ascii="Arial" w:hAnsi="Arial" w:cs="Arial"/>
                <w:lang w:val="cy-GB"/>
              </w:rPr>
              <w:t xml:space="preserve">                                                                                                 Dyddiad: / </w:t>
            </w:r>
            <w:r w:rsidRPr="002B3385">
              <w:rPr>
                <w:rFonts w:ascii="Arial" w:hAnsi="Arial" w:cs="Arial"/>
              </w:rPr>
              <w:t>Date:</w:t>
            </w:r>
          </w:p>
        </w:tc>
      </w:tr>
      <w:tr w:rsidR="00993545" w:rsidRPr="002B3385" w:rsidTr="00993545">
        <w:tblPrEx>
          <w:shd w:val="clear" w:color="auto" w:fill="auto"/>
        </w:tblPrEx>
        <w:trPr>
          <w:trHeight w:val="1147"/>
        </w:trPr>
        <w:tc>
          <w:tcPr>
            <w:tcW w:w="4933" w:type="dxa"/>
            <w:tcBorders>
              <w:top w:val="single" w:sz="8" w:space="0" w:color="E36C0A"/>
              <w:left w:val="single" w:sz="8" w:space="0" w:color="1F497D"/>
              <w:bottom w:val="single" w:sz="8" w:space="0" w:color="1F497D"/>
              <w:right w:val="nil"/>
            </w:tcBorders>
          </w:tcPr>
          <w:p w:rsidR="00993545" w:rsidRPr="002B3385" w:rsidRDefault="00993545" w:rsidP="00993545">
            <w:pPr>
              <w:rPr>
                <w:rFonts w:ascii="Arial" w:hAnsi="Arial" w:cs="Arial"/>
                <w:lang w:val="cy-GB"/>
              </w:rPr>
            </w:pPr>
          </w:p>
          <w:p w:rsidR="00993545" w:rsidRPr="002B3385" w:rsidRDefault="00993545" w:rsidP="00993545">
            <w:pPr>
              <w:rPr>
                <w:rFonts w:ascii="Arial" w:hAnsi="Arial" w:cs="Arial"/>
                <w:lang w:val="cy-GB"/>
              </w:rPr>
            </w:pPr>
          </w:p>
        </w:tc>
        <w:tc>
          <w:tcPr>
            <w:tcW w:w="895" w:type="dxa"/>
            <w:tcBorders>
              <w:top w:val="nil"/>
              <w:left w:val="nil"/>
              <w:bottom w:val="single" w:sz="8" w:space="0" w:color="1F497D"/>
              <w:right w:val="nil"/>
            </w:tcBorders>
          </w:tcPr>
          <w:p w:rsidR="00993545" w:rsidRPr="002B3385" w:rsidRDefault="00993545" w:rsidP="00993545">
            <w:pPr>
              <w:rPr>
                <w:rFonts w:ascii="Arial" w:hAnsi="Arial" w:cs="Arial"/>
                <w:lang w:val="cy-GB"/>
              </w:rPr>
            </w:pPr>
          </w:p>
        </w:tc>
        <w:tc>
          <w:tcPr>
            <w:tcW w:w="4037" w:type="dxa"/>
            <w:tcBorders>
              <w:top w:val="single" w:sz="8" w:space="0" w:color="E36C0A"/>
              <w:left w:val="nil"/>
              <w:bottom w:val="single" w:sz="8" w:space="0" w:color="1F497D"/>
              <w:right w:val="single" w:sz="8" w:space="0" w:color="1F497D"/>
            </w:tcBorders>
          </w:tcPr>
          <w:p w:rsidR="00993545" w:rsidRPr="002B3385" w:rsidRDefault="00993545" w:rsidP="00993545">
            <w:pPr>
              <w:rPr>
                <w:rFonts w:ascii="Arial" w:hAnsi="Arial" w:cs="Arial"/>
                <w:lang w:val="cy-GB"/>
              </w:rPr>
            </w:pPr>
          </w:p>
        </w:tc>
      </w:tr>
      <w:tr w:rsidR="00993545" w:rsidRPr="002B3385" w:rsidTr="00993545">
        <w:tblPrEx>
          <w:shd w:val="clear" w:color="auto" w:fill="auto"/>
        </w:tblPrEx>
        <w:trPr>
          <w:trHeight w:val="1731"/>
        </w:trPr>
        <w:tc>
          <w:tcPr>
            <w:tcW w:w="4933" w:type="dxa"/>
            <w:tcBorders>
              <w:top w:val="single" w:sz="8" w:space="0" w:color="1F497D"/>
              <w:left w:val="single" w:sz="8" w:space="0" w:color="1F497D"/>
              <w:bottom w:val="single" w:sz="8" w:space="0" w:color="1F497D"/>
              <w:right w:val="nil"/>
            </w:tcBorders>
          </w:tcPr>
          <w:p w:rsidR="00993545" w:rsidRPr="002B3385" w:rsidRDefault="00993545" w:rsidP="00993545">
            <w:pPr>
              <w:rPr>
                <w:rFonts w:ascii="Arial" w:hAnsi="Arial" w:cs="Arial"/>
              </w:rPr>
            </w:pPr>
            <w:r w:rsidRPr="002B3385">
              <w:rPr>
                <w:rFonts w:ascii="Arial" w:hAnsi="Arial" w:cs="Arial"/>
                <w:lang w:val="cy-GB"/>
              </w:rPr>
              <w:t xml:space="preserve">Pennaeth Ysgol/Cyfadran  /  </w:t>
            </w:r>
            <w:r w:rsidRPr="002B3385">
              <w:rPr>
                <w:rFonts w:ascii="Arial" w:hAnsi="Arial" w:cs="Arial"/>
              </w:rPr>
              <w:t>Head of School/Faculty</w:t>
            </w:r>
          </w:p>
          <w:p w:rsidR="00993545" w:rsidRPr="002B3385" w:rsidRDefault="00993545" w:rsidP="00993545">
            <w:pPr>
              <w:rPr>
                <w:rFonts w:ascii="Arial" w:hAnsi="Arial" w:cs="Arial"/>
              </w:rPr>
            </w:pPr>
          </w:p>
          <w:p w:rsidR="00993545" w:rsidRPr="002B3385" w:rsidRDefault="00993545" w:rsidP="00993545">
            <w:pPr>
              <w:rPr>
                <w:rFonts w:ascii="Arial" w:hAnsi="Arial" w:cs="Arial"/>
              </w:rPr>
            </w:pPr>
            <w:r>
              <w:rPr>
                <w:rFonts w:ascii="Arial" w:hAnsi="Arial" w:cs="Arial"/>
              </w:rPr>
              <w:t>Dr Audsin Dhas</w:t>
            </w:r>
          </w:p>
        </w:tc>
        <w:tc>
          <w:tcPr>
            <w:tcW w:w="895" w:type="dxa"/>
            <w:tcBorders>
              <w:top w:val="single" w:sz="8" w:space="0" w:color="1F497D"/>
              <w:left w:val="nil"/>
              <w:bottom w:val="single" w:sz="8" w:space="0" w:color="1F497D"/>
              <w:right w:val="nil"/>
            </w:tcBorders>
          </w:tcPr>
          <w:p w:rsidR="00993545" w:rsidRPr="002B3385" w:rsidRDefault="00993545" w:rsidP="00993545">
            <w:pPr>
              <w:rPr>
                <w:rFonts w:ascii="Arial" w:hAnsi="Arial" w:cs="Arial"/>
              </w:rPr>
            </w:pPr>
          </w:p>
        </w:tc>
        <w:tc>
          <w:tcPr>
            <w:tcW w:w="4037" w:type="dxa"/>
            <w:tcBorders>
              <w:top w:val="single" w:sz="8" w:space="0" w:color="1F497D"/>
              <w:left w:val="nil"/>
              <w:bottom w:val="single" w:sz="8" w:space="0" w:color="1F497D"/>
              <w:right w:val="single" w:sz="8" w:space="0" w:color="1F497D"/>
            </w:tcBorders>
          </w:tcPr>
          <w:p w:rsidR="00993545" w:rsidRPr="002B3385" w:rsidRDefault="00993545" w:rsidP="00993545">
            <w:pPr>
              <w:rPr>
                <w:rFonts w:ascii="Arial" w:hAnsi="Arial" w:cs="Arial"/>
              </w:rPr>
            </w:pPr>
            <w:r w:rsidRPr="002B3385">
              <w:rPr>
                <w:rFonts w:ascii="Arial" w:hAnsi="Arial" w:cs="Arial"/>
                <w:lang w:val="cy-GB"/>
              </w:rPr>
              <w:t xml:space="preserve">                                                                                                                  Dyddiad: / </w:t>
            </w:r>
            <w:r w:rsidRPr="002B3385">
              <w:rPr>
                <w:rFonts w:ascii="Arial" w:hAnsi="Arial" w:cs="Arial"/>
              </w:rPr>
              <w:t>Date</w:t>
            </w:r>
          </w:p>
        </w:tc>
      </w:tr>
      <w:tr w:rsidR="00993545" w:rsidRPr="002B3385" w:rsidTr="00993545">
        <w:tblPrEx>
          <w:shd w:val="clear" w:color="auto" w:fill="auto"/>
        </w:tblPrEx>
        <w:trPr>
          <w:trHeight w:val="583"/>
        </w:trPr>
        <w:tc>
          <w:tcPr>
            <w:tcW w:w="4933" w:type="dxa"/>
            <w:tcBorders>
              <w:top w:val="single" w:sz="8" w:space="0" w:color="1F497D"/>
              <w:left w:val="single" w:sz="8" w:space="0" w:color="1F497D"/>
              <w:bottom w:val="single" w:sz="8" w:space="0" w:color="E36C0A"/>
              <w:right w:val="nil"/>
            </w:tcBorders>
          </w:tcPr>
          <w:p w:rsidR="00993545" w:rsidRPr="002B3385" w:rsidRDefault="00993545" w:rsidP="00993545">
            <w:pPr>
              <w:rPr>
                <w:rFonts w:ascii="Arial" w:hAnsi="Arial" w:cs="Arial"/>
                <w:lang w:val="cy-GB"/>
              </w:rPr>
            </w:pPr>
          </w:p>
        </w:tc>
        <w:tc>
          <w:tcPr>
            <w:tcW w:w="895" w:type="dxa"/>
            <w:tcBorders>
              <w:top w:val="single" w:sz="8" w:space="0" w:color="1F497D"/>
              <w:left w:val="nil"/>
              <w:bottom w:val="single" w:sz="8" w:space="0" w:color="E36C0A"/>
              <w:right w:val="nil"/>
            </w:tcBorders>
          </w:tcPr>
          <w:p w:rsidR="00993545" w:rsidRPr="002B3385" w:rsidRDefault="00993545" w:rsidP="00993545">
            <w:pPr>
              <w:rPr>
                <w:rFonts w:ascii="Arial" w:hAnsi="Arial" w:cs="Arial"/>
                <w:lang w:val="cy-GB"/>
              </w:rPr>
            </w:pPr>
          </w:p>
        </w:tc>
        <w:tc>
          <w:tcPr>
            <w:tcW w:w="4037" w:type="dxa"/>
            <w:tcBorders>
              <w:top w:val="single" w:sz="8" w:space="0" w:color="1F497D"/>
              <w:left w:val="nil"/>
              <w:bottom w:val="single" w:sz="8" w:space="0" w:color="E36C0A"/>
              <w:right w:val="single" w:sz="8" w:space="0" w:color="1F497D"/>
            </w:tcBorders>
          </w:tcPr>
          <w:p w:rsidR="00993545" w:rsidRPr="002B3385" w:rsidRDefault="00993545" w:rsidP="00993545">
            <w:pPr>
              <w:rPr>
                <w:rFonts w:ascii="Arial" w:hAnsi="Arial" w:cs="Arial"/>
                <w:lang w:val="cy-GB"/>
              </w:rPr>
            </w:pPr>
          </w:p>
        </w:tc>
      </w:tr>
    </w:tbl>
    <w:p w:rsidR="00993545" w:rsidRPr="002B3385" w:rsidRDefault="00993545" w:rsidP="00993545">
      <w:pPr>
        <w:jc w:val="both"/>
        <w:rPr>
          <w:rFonts w:ascii="Arial" w:hAnsi="Arial" w:cs="Arial"/>
        </w:rPr>
      </w:pPr>
    </w:p>
    <w:p w:rsidR="00993545" w:rsidRPr="002B3385" w:rsidRDefault="00993545" w:rsidP="00993545">
      <w:pPr>
        <w:jc w:val="both"/>
        <w:rPr>
          <w:rFonts w:ascii="Arial" w:hAnsi="Arial" w:cs="Arial"/>
        </w:rPr>
      </w:pPr>
    </w:p>
    <w:p w:rsidR="00993545" w:rsidRPr="002B3385" w:rsidRDefault="00993545" w:rsidP="00993545">
      <w:pPr>
        <w:jc w:val="both"/>
        <w:rPr>
          <w:rFonts w:ascii="Arial" w:hAnsi="Arial" w:cs="Arial"/>
        </w:rPr>
      </w:pPr>
    </w:p>
    <w:p w:rsidR="00993545" w:rsidRPr="002B3385" w:rsidRDefault="00993545" w:rsidP="00993545">
      <w:pPr>
        <w:jc w:val="both"/>
        <w:rPr>
          <w:rFonts w:ascii="Arial" w:hAnsi="Arial" w:cs="Arial"/>
        </w:rPr>
      </w:pPr>
    </w:p>
    <w:tbl>
      <w:tblPr>
        <w:tblW w:w="101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3"/>
        <w:gridCol w:w="4594"/>
        <w:gridCol w:w="5064"/>
      </w:tblGrid>
      <w:tr w:rsidR="00993545" w:rsidRPr="002B3385" w:rsidTr="00993545">
        <w:trPr>
          <w:trHeight w:val="2113"/>
        </w:trPr>
        <w:tc>
          <w:tcPr>
            <w:tcW w:w="5075" w:type="dxa"/>
            <w:gridSpan w:val="3"/>
            <w:tcBorders>
              <w:top w:val="nil"/>
              <w:left w:val="nil"/>
              <w:bottom w:val="single" w:sz="4" w:space="0" w:color="E36C0A"/>
              <w:right w:val="nil"/>
            </w:tcBorders>
            <w:shd w:val="clear" w:color="auto" w:fill="FDE9D9"/>
          </w:tcPr>
          <w:p w:rsidR="00993545" w:rsidRPr="002B3385" w:rsidRDefault="00993545" w:rsidP="00993545">
            <w:pPr>
              <w:jc w:val="center"/>
              <w:rPr>
                <w:rFonts w:ascii="Arial" w:hAnsi="Arial" w:cs="Arial"/>
                <w:color w:val="E36C0A"/>
                <w:lang w:val="cy-GB"/>
              </w:rPr>
            </w:pPr>
            <w:r w:rsidRPr="002B3385">
              <w:rPr>
                <w:rFonts w:ascii="Arial" w:hAnsi="Arial" w:cs="Arial"/>
                <w:b/>
                <w:color w:val="E36C0A"/>
                <w:lang w:val="cy-GB"/>
              </w:rPr>
              <w:t>ADRAN 3 – MANYLION Y PROSIECT / YMCHWIL / CYNHYRCHIAD</w:t>
            </w:r>
          </w:p>
          <w:p w:rsidR="00993545" w:rsidRPr="002B3385" w:rsidRDefault="0053750F" w:rsidP="00993545">
            <w:pPr>
              <w:rPr>
                <w:rFonts w:ascii="Arial" w:hAnsi="Arial" w:cs="Arial"/>
                <w:b/>
                <w:color w:val="E36C0A"/>
              </w:rPr>
            </w:pPr>
            <w:r w:rsidRPr="002B3385">
              <w:rPr>
                <w:rFonts w:ascii="Arial" w:hAnsi="Arial" w:cs="Arial"/>
                <w:b/>
                <w:noProof/>
                <w:color w:val="E36C0A"/>
                <w:lang w:eastAsia="en-GB"/>
              </w:rPr>
              <mc:AlternateContent>
                <mc:Choice Requires="wps">
                  <w:drawing>
                    <wp:anchor distT="0" distB="0" distL="114300" distR="114300" simplePos="0" relativeHeight="251663360" behindDoc="0" locked="0" layoutInCell="1" allowOverlap="1">
                      <wp:simplePos x="0" y="0"/>
                      <wp:positionH relativeFrom="column">
                        <wp:posOffset>-34290</wp:posOffset>
                      </wp:positionH>
                      <wp:positionV relativeFrom="paragraph">
                        <wp:posOffset>171450</wp:posOffset>
                      </wp:positionV>
                      <wp:extent cx="6590665" cy="12065"/>
                      <wp:effectExtent l="38100" t="38100" r="57785" b="64135"/>
                      <wp:wrapNone/>
                      <wp:docPr id="3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3DB5553" id="Straight Connector 4"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" strokecolor="#4f81bd" strokeweight="2pt">
                      <v:shadow on="t" color="black" opacity="24903f" origin=",.5" offset="0,.55556mm"/>
                      <o:lock v:ext="edit" shapetype="f"/>
                    </v:line>
                  </w:pict>
                </mc:Fallback>
              </mc:AlternateContent>
            </w:r>
          </w:p>
          <w:p w:rsidR="00993545" w:rsidRPr="002B3385" w:rsidRDefault="00993545" w:rsidP="00993545">
            <w:pPr>
              <w:rPr>
                <w:rFonts w:ascii="Arial" w:hAnsi="Arial" w:cs="Arial"/>
                <w:b/>
                <w:color w:val="E36C0A"/>
              </w:rPr>
            </w:pPr>
          </w:p>
        </w:tc>
        <w:tc>
          <w:tcPr>
            <w:tcW w:w="5075" w:type="dxa"/>
            <w:tcBorders>
              <w:top w:val="nil"/>
              <w:left w:val="nil"/>
              <w:bottom w:val="single" w:sz="4" w:space="0" w:color="E36C0A"/>
              <w:right w:val="nil"/>
            </w:tcBorders>
            <w:shd w:val="clear" w:color="auto" w:fill="FDE9D9"/>
          </w:tcPr>
          <w:p w:rsidR="00993545" w:rsidRPr="002B3385" w:rsidRDefault="00993545" w:rsidP="00993545">
            <w:pPr>
              <w:jc w:val="center"/>
              <w:rPr>
                <w:rFonts w:ascii="Arial" w:hAnsi="Arial" w:cs="Arial"/>
                <w:b/>
                <w:color w:val="E36C0A"/>
              </w:rPr>
            </w:pPr>
            <w:r w:rsidRPr="002B3385">
              <w:rPr>
                <w:rFonts w:ascii="Arial" w:hAnsi="Arial" w:cs="Arial"/>
                <w:b/>
                <w:color w:val="E36C0A"/>
              </w:rPr>
              <w:t>SECTION 3 – PROJECT / RESEARCH / PRODUCTION DETAILS</w:t>
            </w:r>
          </w:p>
          <w:p w:rsidR="00993545" w:rsidRPr="002B3385" w:rsidRDefault="00993545" w:rsidP="00993545">
            <w:pPr>
              <w:jc w:val="center"/>
              <w:rPr>
                <w:rFonts w:ascii="Arial" w:hAnsi="Arial" w:cs="Arial"/>
                <w:b/>
                <w:color w:val="E36C0A"/>
              </w:rPr>
            </w:pPr>
          </w:p>
        </w:tc>
      </w:tr>
      <w:tr w:rsidR="00993545" w:rsidRPr="002B3385" w:rsidTr="00993545">
        <w:trPr>
          <w:trHeight w:val="1178"/>
        </w:trPr>
        <w:tc>
          <w:tcPr>
            <w:tcW w:w="471" w:type="dxa"/>
            <w:gridSpan w:val="2"/>
            <w:tcBorders>
              <w:top w:val="single" w:sz="4" w:space="0" w:color="E36C0A"/>
              <w:left w:val="single" w:sz="4" w:space="0" w:color="E36C0A"/>
              <w:bottom w:val="single" w:sz="4" w:space="0" w:color="E36C0A"/>
              <w:right w:val="nil"/>
            </w:tcBorders>
            <w:shd w:val="clear" w:color="auto" w:fill="FDE9D9"/>
          </w:tcPr>
          <w:p w:rsidR="00993545" w:rsidRPr="002B3385" w:rsidRDefault="00993545" w:rsidP="00993545">
            <w:pPr>
              <w:tabs>
                <w:tab w:val="left" w:pos="7920"/>
              </w:tabs>
              <w:rPr>
                <w:rFonts w:ascii="Arial" w:hAnsi="Arial" w:cs="Arial"/>
              </w:rPr>
            </w:pPr>
            <w:r w:rsidRPr="002B3385">
              <w:rPr>
                <w:rFonts w:ascii="Arial" w:hAnsi="Arial" w:cs="Arial"/>
                <w:lang w:val="cy-GB"/>
              </w:rPr>
              <w:t xml:space="preserve">1. </w:t>
            </w:r>
          </w:p>
          <w:p w:rsidR="00993545" w:rsidRPr="002B3385" w:rsidRDefault="00993545" w:rsidP="00993545">
            <w:pPr>
              <w:tabs>
                <w:tab w:val="left" w:pos="7920"/>
              </w:tabs>
              <w:rPr>
                <w:rFonts w:ascii="Arial" w:hAnsi="Arial" w:cs="Arial"/>
              </w:rPr>
            </w:pPr>
          </w:p>
        </w:tc>
        <w:tc>
          <w:tcPr>
            <w:tcW w:w="4604"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tabs>
                <w:tab w:val="left" w:pos="7920"/>
              </w:tabs>
              <w:rPr>
                <w:rFonts w:ascii="Arial" w:hAnsi="Arial" w:cs="Arial"/>
              </w:rPr>
            </w:pPr>
            <w:r w:rsidRPr="002B3385">
              <w:rPr>
                <w:rFonts w:ascii="Arial" w:hAnsi="Arial" w:cs="Arial"/>
                <w:b/>
                <w:lang w:val="cy-GB"/>
              </w:rPr>
              <w:t>Braslun o’r prosiect</w:t>
            </w:r>
          </w:p>
        </w:tc>
        <w:tc>
          <w:tcPr>
            <w:tcW w:w="5075"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tabs>
                <w:tab w:val="left" w:pos="7920"/>
              </w:tabs>
              <w:rPr>
                <w:rFonts w:ascii="Arial" w:hAnsi="Arial" w:cs="Arial"/>
              </w:rPr>
            </w:pPr>
            <w:r w:rsidRPr="002B3385">
              <w:rPr>
                <w:rFonts w:ascii="Arial" w:hAnsi="Arial" w:cs="Arial"/>
                <w:b/>
              </w:rPr>
              <w:t>Project outline</w:t>
            </w:r>
          </w:p>
        </w:tc>
      </w:tr>
      <w:tr w:rsidR="00993545" w:rsidRPr="002B3385" w:rsidTr="00993545">
        <w:trPr>
          <w:trHeight w:val="8109"/>
        </w:trPr>
        <w:tc>
          <w:tcPr>
            <w:tcW w:w="10151" w:type="dxa"/>
            <w:gridSpan w:val="4"/>
            <w:tcBorders>
              <w:top w:val="single" w:sz="4" w:space="0" w:color="E36C0A"/>
              <w:left w:val="single" w:sz="4" w:space="0" w:color="E36C0A"/>
              <w:bottom w:val="single" w:sz="4" w:space="0" w:color="E36C0A"/>
              <w:right w:val="single" w:sz="4" w:space="0" w:color="E36C0A"/>
            </w:tcBorders>
            <w:vAlign w:val="center"/>
          </w:tcPr>
          <w:p w:rsidR="00993545" w:rsidRDefault="00993545" w:rsidP="00993545">
            <w:pPr>
              <w:ind w:firstLine="720"/>
              <w:rPr>
                <w:rFonts w:ascii="Arial" w:hAnsi="Arial" w:cs="Arial"/>
              </w:rPr>
            </w:pPr>
            <w:r>
              <w:rPr>
                <w:rFonts w:ascii="Arial" w:hAnsi="Arial" w:cs="Arial"/>
              </w:rPr>
              <w:lastRenderedPageBreak/>
              <w:t>T</w:t>
            </w:r>
            <w:r w:rsidRPr="00E90E89">
              <w:rPr>
                <w:rFonts w:ascii="Arial" w:hAnsi="Arial" w:cs="Arial"/>
              </w:rPr>
              <w:t xml:space="preserve">he purpose of this research study is to assess the actual scenario of Islamic banks and to analyse the differences in the financial performances of these banks with that of the </w:t>
            </w:r>
            <w:r>
              <w:rPr>
                <w:rFonts w:ascii="Arial" w:hAnsi="Arial" w:cs="Arial"/>
              </w:rPr>
              <w:t>Conventional</w:t>
            </w:r>
            <w:r w:rsidRPr="00E90E89">
              <w:rPr>
                <w:rFonts w:ascii="Arial" w:hAnsi="Arial" w:cs="Arial"/>
              </w:rPr>
              <w:t xml:space="preserve"> banks in terms of liquidity, profitability, efficiency and solvency ratios covering a period of last </w:t>
            </w:r>
            <w:r>
              <w:rPr>
                <w:rFonts w:ascii="Arial" w:hAnsi="Arial" w:cs="Arial"/>
              </w:rPr>
              <w:t>six</w:t>
            </w:r>
            <w:r w:rsidRPr="00E90E89">
              <w:rPr>
                <w:rFonts w:ascii="Arial" w:hAnsi="Arial" w:cs="Arial"/>
              </w:rPr>
              <w:t xml:space="preserve"> financial years</w:t>
            </w:r>
            <w:r>
              <w:rPr>
                <w:rFonts w:ascii="Arial" w:hAnsi="Arial" w:cs="Arial"/>
              </w:rPr>
              <w:t xml:space="preserve">. </w:t>
            </w:r>
          </w:p>
          <w:p w:rsidR="00993545" w:rsidRPr="00513616" w:rsidRDefault="00993545" w:rsidP="00993545">
            <w:pPr>
              <w:ind w:firstLine="360"/>
              <w:rPr>
                <w:rFonts w:ascii="Arial" w:hAnsi="Arial" w:cs="Arial"/>
              </w:rPr>
            </w:pPr>
            <w:r w:rsidRPr="00513616">
              <w:rPr>
                <w:rFonts w:ascii="Arial" w:hAnsi="Arial" w:cs="Arial"/>
              </w:rPr>
              <w:t xml:space="preserve">The </w:t>
            </w:r>
            <w:r>
              <w:rPr>
                <w:rFonts w:ascii="Arial" w:hAnsi="Arial" w:cs="Arial"/>
              </w:rPr>
              <w:t xml:space="preserve">key </w:t>
            </w:r>
            <w:r w:rsidRPr="00513616">
              <w:rPr>
                <w:rFonts w:ascii="Arial" w:hAnsi="Arial" w:cs="Arial"/>
              </w:rPr>
              <w:t>research questions of this study would be as follows:</w:t>
            </w:r>
          </w:p>
          <w:p w:rsidR="00993545" w:rsidRPr="00513616" w:rsidRDefault="00993545" w:rsidP="00993545">
            <w:pPr>
              <w:pStyle w:val="ListParagraph"/>
              <w:numPr>
                <w:ilvl w:val="0"/>
                <w:numId w:val="1"/>
              </w:numPr>
              <w:spacing w:line="360" w:lineRule="auto"/>
              <w:rPr>
                <w:rFonts w:ascii="Arial" w:hAnsi="Arial" w:cs="Arial"/>
              </w:rPr>
            </w:pPr>
            <w:r w:rsidRPr="00513616">
              <w:rPr>
                <w:rFonts w:ascii="Arial" w:hAnsi="Arial" w:cs="Arial"/>
              </w:rPr>
              <w:t xml:space="preserve"> What is the difference in the financial performance of Islamic banking system to that of</w:t>
            </w:r>
            <w:r>
              <w:rPr>
                <w:rFonts w:ascii="Arial" w:hAnsi="Arial" w:cs="Arial"/>
              </w:rPr>
              <w:t xml:space="preserve"> </w:t>
            </w:r>
            <w:r w:rsidRPr="00513616">
              <w:rPr>
                <w:rFonts w:ascii="Arial" w:hAnsi="Arial" w:cs="Arial"/>
              </w:rPr>
              <w:t>banking structure?</w:t>
            </w:r>
          </w:p>
          <w:p w:rsidR="00993545" w:rsidRPr="00513616" w:rsidRDefault="00993545" w:rsidP="00993545">
            <w:pPr>
              <w:pStyle w:val="ListParagraph"/>
              <w:numPr>
                <w:ilvl w:val="0"/>
                <w:numId w:val="1"/>
              </w:numPr>
              <w:spacing w:line="360" w:lineRule="auto"/>
              <w:rPr>
                <w:rFonts w:ascii="Arial" w:hAnsi="Arial" w:cs="Arial"/>
              </w:rPr>
            </w:pPr>
            <w:r w:rsidRPr="00513616">
              <w:rPr>
                <w:rFonts w:ascii="Arial" w:hAnsi="Arial" w:cs="Arial"/>
              </w:rPr>
              <w:t xml:space="preserve">What is the difference in the effect of financial ratios on productivity of Islamic and </w:t>
            </w:r>
            <w:r>
              <w:rPr>
                <w:rFonts w:ascii="Arial" w:hAnsi="Arial" w:cs="Arial"/>
              </w:rPr>
              <w:t xml:space="preserve">Conventional </w:t>
            </w:r>
            <w:r w:rsidRPr="00513616">
              <w:rPr>
                <w:rFonts w:ascii="Arial" w:hAnsi="Arial" w:cs="Arial"/>
              </w:rPr>
              <w:t xml:space="preserve">banks? </w:t>
            </w:r>
          </w:p>
          <w:p w:rsidR="00993545" w:rsidRPr="00513616" w:rsidRDefault="00993545" w:rsidP="00993545">
            <w:pPr>
              <w:ind w:firstLine="720"/>
              <w:rPr>
                <w:rFonts w:ascii="Arial" w:hAnsi="Arial" w:cs="Arial"/>
              </w:rPr>
            </w:pPr>
            <w:r w:rsidRPr="00513616">
              <w:rPr>
                <w:rFonts w:ascii="Arial" w:hAnsi="Arial" w:cs="Arial"/>
              </w:rPr>
              <w:t xml:space="preserve">The primary aim is to evaluate the financial productivity of both Islamic and regular banks depending on financial ratios. The </w:t>
            </w:r>
            <w:r>
              <w:rPr>
                <w:rFonts w:ascii="Arial" w:hAnsi="Arial" w:cs="Arial"/>
              </w:rPr>
              <w:t xml:space="preserve">main </w:t>
            </w:r>
            <w:r w:rsidRPr="00513616">
              <w:rPr>
                <w:rFonts w:ascii="Arial" w:hAnsi="Arial" w:cs="Arial"/>
              </w:rPr>
              <w:t xml:space="preserve">secondary objectives </w:t>
            </w:r>
            <w:r>
              <w:rPr>
                <w:rFonts w:ascii="Arial" w:hAnsi="Arial" w:cs="Arial"/>
              </w:rPr>
              <w:t xml:space="preserve">are </w:t>
            </w:r>
            <w:r w:rsidRPr="00513616">
              <w:rPr>
                <w:rFonts w:ascii="Arial" w:hAnsi="Arial" w:cs="Arial"/>
              </w:rPr>
              <w:t xml:space="preserve">as follows: </w:t>
            </w:r>
          </w:p>
          <w:p w:rsidR="00993545" w:rsidRPr="00513616" w:rsidRDefault="00993545" w:rsidP="00993545">
            <w:pPr>
              <w:pStyle w:val="ListParagraph"/>
              <w:numPr>
                <w:ilvl w:val="0"/>
                <w:numId w:val="3"/>
              </w:numPr>
              <w:spacing w:line="360" w:lineRule="auto"/>
              <w:rPr>
                <w:rFonts w:ascii="Arial" w:hAnsi="Arial" w:cs="Arial"/>
              </w:rPr>
            </w:pPr>
            <w:r w:rsidRPr="00513616">
              <w:rPr>
                <w:rFonts w:ascii="Arial" w:hAnsi="Arial" w:cs="Arial"/>
              </w:rPr>
              <w:t xml:space="preserve">To analyse the profitability, liquidity, efficiency and solvency ratios of both Islamic and </w:t>
            </w:r>
            <w:r>
              <w:rPr>
                <w:rFonts w:ascii="Arial" w:hAnsi="Arial" w:cs="Arial"/>
              </w:rPr>
              <w:t xml:space="preserve">Conventional </w:t>
            </w:r>
            <w:r w:rsidRPr="00513616">
              <w:rPr>
                <w:rFonts w:ascii="Arial" w:hAnsi="Arial" w:cs="Arial"/>
              </w:rPr>
              <w:t xml:space="preserve">banking sectors  </w:t>
            </w:r>
          </w:p>
          <w:p w:rsidR="00993545" w:rsidRDefault="00993545" w:rsidP="00993545">
            <w:pPr>
              <w:pStyle w:val="ListParagraph"/>
              <w:numPr>
                <w:ilvl w:val="0"/>
                <w:numId w:val="3"/>
              </w:numPr>
              <w:spacing w:line="360" w:lineRule="auto"/>
              <w:rPr>
                <w:rFonts w:ascii="Arial" w:hAnsi="Arial" w:cs="Arial"/>
              </w:rPr>
            </w:pPr>
            <w:r w:rsidRPr="00513616">
              <w:rPr>
                <w:rFonts w:ascii="Arial" w:hAnsi="Arial" w:cs="Arial"/>
              </w:rPr>
              <w:t xml:space="preserve">To evaluate the effect of Financial Risk on performance of </w:t>
            </w:r>
            <w:r>
              <w:rPr>
                <w:rFonts w:ascii="Arial" w:hAnsi="Arial" w:cs="Arial"/>
              </w:rPr>
              <w:t>Islamic and Conventional Banking: Differential Financial Performance at the Impact of Capital Adequacy</w:t>
            </w:r>
          </w:p>
          <w:p w:rsidR="00993545" w:rsidRPr="00E90E89" w:rsidRDefault="00993545" w:rsidP="00993545">
            <w:pPr>
              <w:ind w:left="360"/>
              <w:rPr>
                <w:rFonts w:ascii="Arial" w:hAnsi="Arial" w:cs="Arial"/>
              </w:rPr>
            </w:pPr>
            <w:r>
              <w:rPr>
                <w:rFonts w:ascii="Arial" w:hAnsi="Arial" w:cs="Arial"/>
              </w:rPr>
              <w:t xml:space="preserve">           </w:t>
            </w:r>
            <w:r w:rsidRPr="00D85A83">
              <w:rPr>
                <w:rFonts w:ascii="Arial" w:hAnsi="Arial" w:cs="Arial"/>
              </w:rPr>
              <w:t xml:space="preserve">Reviewing the Islamic and Regular banking performance from some research studies, it has been found that while some argued Islamic banking structure is more profitable than regular banks, on the other hand, some denied the proposition. As the review is not at all conclusive in the context of financial performance of both these banks, it has become important to further explore the subject matter. </w:t>
            </w:r>
          </w:p>
        </w:tc>
      </w:tr>
      <w:tr w:rsidR="00993545" w:rsidRPr="002B3385" w:rsidTr="00993545">
        <w:trPr>
          <w:trHeight w:val="609"/>
        </w:trPr>
        <w:tc>
          <w:tcPr>
            <w:tcW w:w="5075" w:type="dxa"/>
            <w:gridSpan w:val="3"/>
            <w:tcBorders>
              <w:top w:val="single" w:sz="4" w:space="0" w:color="E36C0A"/>
              <w:left w:val="nil"/>
              <w:bottom w:val="single" w:sz="4" w:space="0" w:color="E36C0A"/>
              <w:right w:val="nil"/>
            </w:tcBorders>
          </w:tcPr>
          <w:p w:rsidR="00993545" w:rsidRPr="002B3385" w:rsidRDefault="00993545" w:rsidP="00993545">
            <w:pPr>
              <w:tabs>
                <w:tab w:val="left" w:pos="7920"/>
              </w:tabs>
              <w:rPr>
                <w:rFonts w:ascii="Arial" w:hAnsi="Arial" w:cs="Arial"/>
                <w:lang w:val="cy-GB"/>
              </w:rPr>
            </w:pPr>
          </w:p>
        </w:tc>
        <w:tc>
          <w:tcPr>
            <w:tcW w:w="5075" w:type="dxa"/>
            <w:tcBorders>
              <w:top w:val="single" w:sz="4" w:space="0" w:color="E36C0A"/>
              <w:left w:val="nil"/>
              <w:bottom w:val="single" w:sz="4" w:space="0" w:color="E36C0A"/>
              <w:right w:val="nil"/>
            </w:tcBorders>
          </w:tcPr>
          <w:p w:rsidR="00993545" w:rsidRPr="002B3385" w:rsidRDefault="00993545" w:rsidP="00993545">
            <w:pPr>
              <w:tabs>
                <w:tab w:val="left" w:pos="7920"/>
              </w:tabs>
              <w:rPr>
                <w:rFonts w:ascii="Arial" w:hAnsi="Arial" w:cs="Arial"/>
                <w:b/>
              </w:rPr>
            </w:pPr>
          </w:p>
        </w:tc>
      </w:tr>
      <w:tr w:rsidR="00993545" w:rsidRPr="002B3385" w:rsidTr="00993545">
        <w:trPr>
          <w:trHeight w:val="1119"/>
        </w:trPr>
        <w:tc>
          <w:tcPr>
            <w:tcW w:w="471" w:type="dxa"/>
            <w:gridSpan w:val="2"/>
            <w:tcBorders>
              <w:top w:val="single" w:sz="4" w:space="0" w:color="E36C0A"/>
              <w:left w:val="single" w:sz="4" w:space="0" w:color="E36C0A"/>
              <w:bottom w:val="single" w:sz="4" w:space="0" w:color="E36C0A"/>
              <w:right w:val="nil"/>
            </w:tcBorders>
            <w:shd w:val="clear" w:color="auto" w:fill="FDE9D9"/>
          </w:tcPr>
          <w:p w:rsidR="00993545" w:rsidRPr="002B3385" w:rsidRDefault="00993545" w:rsidP="00993545">
            <w:pPr>
              <w:jc w:val="both"/>
              <w:rPr>
                <w:rFonts w:ascii="Arial" w:hAnsi="Arial" w:cs="Arial"/>
                <w:lang w:val="cy-GB"/>
              </w:rPr>
            </w:pPr>
            <w:r w:rsidRPr="002B3385">
              <w:rPr>
                <w:rFonts w:ascii="Arial" w:hAnsi="Arial" w:cs="Arial"/>
                <w:lang w:val="cy-GB"/>
              </w:rPr>
              <w:t xml:space="preserve">2.  </w:t>
            </w:r>
          </w:p>
          <w:p w:rsidR="00993545" w:rsidRPr="002B3385" w:rsidRDefault="00993545" w:rsidP="00993545">
            <w:pPr>
              <w:jc w:val="both"/>
              <w:rPr>
                <w:rFonts w:ascii="Arial" w:hAnsi="Arial" w:cs="Arial"/>
                <w:lang w:val="cy-GB"/>
              </w:rPr>
            </w:pPr>
          </w:p>
        </w:tc>
        <w:tc>
          <w:tcPr>
            <w:tcW w:w="4604"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b/>
                <w:lang w:val="cy-GB"/>
              </w:rPr>
            </w:pPr>
            <w:r w:rsidRPr="002B3385">
              <w:rPr>
                <w:rFonts w:ascii="Arial" w:hAnsi="Arial" w:cs="Arial"/>
                <w:b/>
                <w:lang w:val="cy-GB"/>
              </w:rPr>
              <w:t>Disgrifiad</w:t>
            </w:r>
          </w:p>
          <w:p w:rsidR="00993545" w:rsidRPr="002B3385" w:rsidRDefault="00993545" w:rsidP="00993545">
            <w:pPr>
              <w:jc w:val="both"/>
              <w:rPr>
                <w:rFonts w:ascii="Arial" w:hAnsi="Arial" w:cs="Arial"/>
                <w:b/>
              </w:rPr>
            </w:pPr>
            <w:r w:rsidRPr="002B3385">
              <w:rPr>
                <w:rFonts w:ascii="Arial" w:hAnsi="Arial" w:cs="Arial"/>
                <w:lang w:val="cy-GB"/>
              </w:rPr>
              <w:t>Rhowch fraslun cryno o’r prosiect, heb unrhyw jargon, ac yn cynnwys beth bydd angen i’r cyfranogwyr ei wneud.  Esboniwch unrhyw dermau technegol neu derminoleg sy'n benodol i'r ddisgyblaeth (Uchafswm 300 o eiriau.)</w:t>
            </w:r>
          </w:p>
        </w:tc>
        <w:tc>
          <w:tcPr>
            <w:tcW w:w="5075"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rPr>
            </w:pPr>
            <w:r w:rsidRPr="002B3385">
              <w:rPr>
                <w:rFonts w:ascii="Arial" w:hAnsi="Arial" w:cs="Arial"/>
                <w:b/>
              </w:rPr>
              <w:t>Description</w:t>
            </w:r>
          </w:p>
          <w:p w:rsidR="00993545" w:rsidRPr="002B3385" w:rsidRDefault="00993545" w:rsidP="00993545">
            <w:pPr>
              <w:jc w:val="both"/>
              <w:rPr>
                <w:rFonts w:ascii="Arial" w:hAnsi="Arial" w:cs="Arial"/>
              </w:rPr>
            </w:pPr>
            <w:r w:rsidRPr="002B3385">
              <w:rPr>
                <w:rFonts w:ascii="Arial" w:hAnsi="Arial" w:cs="Arial"/>
              </w:rPr>
              <w:t>Provide a brief outline, free from jargon, of the project including what participants will be required to do. Explain any technical terms or discipline specific terminology (Max 300 words.)</w:t>
            </w:r>
          </w:p>
          <w:p w:rsidR="00993545" w:rsidRPr="002B3385" w:rsidRDefault="00993545" w:rsidP="00993545">
            <w:pPr>
              <w:tabs>
                <w:tab w:val="left" w:pos="7920"/>
              </w:tabs>
              <w:rPr>
                <w:rFonts w:ascii="Arial" w:hAnsi="Arial" w:cs="Arial"/>
                <w:b/>
              </w:rPr>
            </w:pPr>
          </w:p>
        </w:tc>
      </w:tr>
      <w:tr w:rsidR="00993545" w:rsidRPr="002B3385" w:rsidTr="00993545">
        <w:trPr>
          <w:trHeight w:val="976"/>
        </w:trPr>
        <w:tc>
          <w:tcPr>
            <w:tcW w:w="10151" w:type="dxa"/>
            <w:gridSpan w:val="4"/>
            <w:tcBorders>
              <w:top w:val="single" w:sz="4" w:space="0" w:color="E36C0A"/>
              <w:left w:val="single" w:sz="4" w:space="0" w:color="E36C0A"/>
              <w:bottom w:val="single" w:sz="4" w:space="0" w:color="E36C0A"/>
              <w:right w:val="single" w:sz="4" w:space="0" w:color="E36C0A"/>
            </w:tcBorders>
            <w:vAlign w:val="center"/>
          </w:tcPr>
          <w:p w:rsidR="00993545" w:rsidRPr="00E90E89" w:rsidRDefault="00993545" w:rsidP="00993545">
            <w:pPr>
              <w:ind w:left="360"/>
              <w:rPr>
                <w:rFonts w:ascii="Arial" w:hAnsi="Arial" w:cs="Arial"/>
              </w:rPr>
            </w:pPr>
            <w:r>
              <w:rPr>
                <w:rFonts w:ascii="Arial" w:hAnsi="Arial" w:cs="Arial"/>
              </w:rPr>
              <w:t>This research is a quantitative research which is based on secondary data. There is no interview or questionnaire involved. All data is gathered from online from the individual banks.</w:t>
            </w:r>
          </w:p>
        </w:tc>
      </w:tr>
      <w:tr w:rsidR="00993545" w:rsidRPr="002B3385" w:rsidTr="00993545">
        <w:trPr>
          <w:trHeight w:val="589"/>
        </w:trPr>
        <w:tc>
          <w:tcPr>
            <w:tcW w:w="471" w:type="dxa"/>
            <w:gridSpan w:val="2"/>
            <w:tcBorders>
              <w:top w:val="single" w:sz="4" w:space="0" w:color="E36C0A"/>
              <w:left w:val="nil"/>
              <w:bottom w:val="single" w:sz="4" w:space="0" w:color="E36C0A"/>
              <w:right w:val="nil"/>
            </w:tcBorders>
          </w:tcPr>
          <w:p w:rsidR="00993545" w:rsidRPr="002B3385" w:rsidRDefault="00993545" w:rsidP="00993545">
            <w:pPr>
              <w:jc w:val="both"/>
              <w:rPr>
                <w:rFonts w:ascii="Arial" w:hAnsi="Arial" w:cs="Arial"/>
                <w:lang w:val="cy-GB"/>
              </w:rPr>
            </w:pPr>
          </w:p>
        </w:tc>
        <w:tc>
          <w:tcPr>
            <w:tcW w:w="4604" w:type="dxa"/>
            <w:tcBorders>
              <w:top w:val="single" w:sz="4" w:space="0" w:color="E36C0A"/>
              <w:left w:val="nil"/>
              <w:bottom w:val="single" w:sz="4" w:space="0" w:color="E36C0A"/>
              <w:right w:val="nil"/>
            </w:tcBorders>
          </w:tcPr>
          <w:p w:rsidR="00993545" w:rsidRPr="002B3385" w:rsidRDefault="00993545" w:rsidP="00993545">
            <w:pPr>
              <w:jc w:val="both"/>
              <w:rPr>
                <w:rFonts w:ascii="Arial" w:hAnsi="Arial" w:cs="Arial"/>
                <w:b/>
                <w:lang w:val="cy-GB"/>
              </w:rPr>
            </w:pPr>
          </w:p>
        </w:tc>
        <w:tc>
          <w:tcPr>
            <w:tcW w:w="5075" w:type="dxa"/>
            <w:tcBorders>
              <w:top w:val="single" w:sz="4" w:space="0" w:color="E36C0A"/>
              <w:left w:val="nil"/>
              <w:bottom w:val="single" w:sz="4" w:space="0" w:color="E36C0A"/>
              <w:right w:val="nil"/>
            </w:tcBorders>
          </w:tcPr>
          <w:p w:rsidR="00993545" w:rsidRPr="002B3385" w:rsidRDefault="00993545" w:rsidP="00993545">
            <w:pPr>
              <w:jc w:val="both"/>
              <w:rPr>
                <w:rFonts w:ascii="Arial" w:hAnsi="Arial" w:cs="Arial"/>
                <w:b/>
              </w:rPr>
            </w:pPr>
          </w:p>
        </w:tc>
      </w:tr>
      <w:tr w:rsidR="00993545" w:rsidRPr="002B3385" w:rsidTr="00993545">
        <w:trPr>
          <w:trHeight w:val="1931"/>
        </w:trPr>
        <w:tc>
          <w:tcPr>
            <w:tcW w:w="471" w:type="dxa"/>
            <w:gridSpan w:val="2"/>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lang w:val="cy-GB"/>
              </w:rPr>
            </w:pPr>
            <w:r w:rsidRPr="002B3385">
              <w:rPr>
                <w:rFonts w:ascii="Arial" w:hAnsi="Arial" w:cs="Arial"/>
                <w:lang w:val="cy-GB"/>
              </w:rPr>
              <w:lastRenderedPageBreak/>
              <w:t>3.</w:t>
            </w:r>
          </w:p>
        </w:tc>
        <w:tc>
          <w:tcPr>
            <w:tcW w:w="4604"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lang w:val="cy-GB"/>
              </w:rPr>
            </w:pPr>
            <w:r w:rsidRPr="002B3385">
              <w:rPr>
                <w:rFonts w:ascii="Arial" w:hAnsi="Arial" w:cs="Arial"/>
                <w:b/>
                <w:lang w:val="cy-GB"/>
              </w:rPr>
              <w:t>Dulliau Arfaethedig:</w:t>
            </w:r>
            <w:r w:rsidRPr="002B3385">
              <w:rPr>
                <w:rFonts w:ascii="Arial" w:hAnsi="Arial" w:cs="Arial"/>
                <w:lang w:val="cy-GB"/>
              </w:rPr>
              <w:t xml:space="preserve"> </w:t>
            </w:r>
          </w:p>
          <w:p w:rsidR="00993545" w:rsidRPr="002B3385" w:rsidRDefault="00993545" w:rsidP="00993545">
            <w:pPr>
              <w:jc w:val="both"/>
              <w:rPr>
                <w:rFonts w:ascii="Arial" w:hAnsi="Arial" w:cs="Arial"/>
                <w:b/>
                <w:lang w:val="cy-GB"/>
              </w:rPr>
            </w:pPr>
            <w:r w:rsidRPr="002B3385">
              <w:rPr>
                <w:rFonts w:ascii="Arial" w:hAnsi="Arial" w:cs="Arial"/>
                <w:lang w:val="cy-GB"/>
              </w:rPr>
              <w:t>Rhowch fraslun o'r dulliau casglu data neu o natur yr amser mewn ymarferiadau (hyd at 500 o eiriau).</w:t>
            </w:r>
          </w:p>
        </w:tc>
        <w:tc>
          <w:tcPr>
            <w:tcW w:w="5075"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rPr>
            </w:pPr>
            <w:r w:rsidRPr="002B3385">
              <w:rPr>
                <w:rFonts w:ascii="Arial" w:hAnsi="Arial" w:cs="Arial"/>
                <w:b/>
              </w:rPr>
              <w:t>Proposed Methods:</w:t>
            </w:r>
            <w:r w:rsidRPr="002B3385">
              <w:rPr>
                <w:rFonts w:ascii="Arial" w:hAnsi="Arial" w:cs="Arial"/>
              </w:rPr>
              <w:t xml:space="preserve"> </w:t>
            </w:r>
          </w:p>
          <w:p w:rsidR="00993545" w:rsidRPr="002B3385" w:rsidRDefault="00993545" w:rsidP="00993545">
            <w:pPr>
              <w:jc w:val="both"/>
              <w:rPr>
                <w:rFonts w:ascii="Arial" w:hAnsi="Arial" w:cs="Arial"/>
                <w:b/>
              </w:rPr>
            </w:pPr>
            <w:r w:rsidRPr="002B3385">
              <w:rPr>
                <w:rFonts w:ascii="Arial" w:hAnsi="Arial" w:cs="Arial"/>
              </w:rPr>
              <w:t>Outline how the data will be collected or the nature of rehearsal time (up to 500 words).</w:t>
            </w:r>
          </w:p>
        </w:tc>
      </w:tr>
      <w:tr w:rsidR="00993545" w:rsidRPr="002B3385" w:rsidTr="00993545">
        <w:trPr>
          <w:trHeight w:val="7561"/>
        </w:trPr>
        <w:tc>
          <w:tcPr>
            <w:tcW w:w="10151" w:type="dxa"/>
            <w:gridSpan w:val="4"/>
            <w:tcBorders>
              <w:top w:val="single" w:sz="4" w:space="0" w:color="E36C0A"/>
              <w:left w:val="single" w:sz="4" w:space="0" w:color="E36C0A"/>
              <w:bottom w:val="single" w:sz="4" w:space="0" w:color="E36C0A"/>
              <w:right w:val="single" w:sz="4" w:space="0" w:color="E36C0A"/>
            </w:tcBorders>
          </w:tcPr>
          <w:p w:rsidR="00993545" w:rsidRDefault="00993545" w:rsidP="00993545">
            <w:pPr>
              <w:rPr>
                <w:rFonts w:ascii="Arial" w:hAnsi="Arial" w:cs="Arial"/>
              </w:rPr>
            </w:pPr>
            <w:r>
              <w:rPr>
                <w:rFonts w:ascii="Arial" w:hAnsi="Arial" w:cs="Arial"/>
              </w:rPr>
              <w:t xml:space="preserve">To determine the Islamic and Conventional Banking: Differential Financial Performance at the Impact of capital on the basis of the analysis of financial ratios mainly two techniques would be implemented in this study: Data Envelopment Analysis and Financial Ratio Analysis. Five regular and five Islamic banks would be selected on the basis of their performance for this purpose. Using a quantitative methodology, the financial ratios including Capital Adequacy, Operating Efficiency, and Bank Size would be calculated to find out their impact on both these banking sectors. Taking a period of five financial years, that is, covering a period of 2012 to 2017, the study would be entirely based on secondary data. Moreover, collecting the findings from various financial reports and articles of these two banks, a deductive approach would be adopted to interpret the findings. </w:t>
            </w:r>
          </w:p>
          <w:p w:rsidR="00993545" w:rsidRDefault="00993545" w:rsidP="00993545">
            <w:pPr>
              <w:rPr>
                <w:rFonts w:ascii="Arial" w:hAnsi="Arial" w:cs="Arial"/>
              </w:rPr>
            </w:pPr>
            <w:r>
              <w:rPr>
                <w:rFonts w:ascii="Arial" w:hAnsi="Arial" w:cs="Arial"/>
              </w:rPr>
              <w:t xml:space="preserve">         </w:t>
            </w:r>
          </w:p>
          <w:p w:rsidR="00993545" w:rsidRDefault="00993545" w:rsidP="00993545">
            <w:pPr>
              <w:rPr>
                <w:rFonts w:ascii="Arial" w:hAnsi="Arial" w:cs="Arial"/>
              </w:rPr>
            </w:pPr>
            <w:r>
              <w:rPr>
                <w:rFonts w:ascii="Arial" w:hAnsi="Arial" w:cs="Arial"/>
              </w:rPr>
              <w:t xml:space="preserve">           As part of this research, certain ethical principles would be followed. </w:t>
            </w:r>
          </w:p>
          <w:p w:rsidR="00993545" w:rsidRDefault="00993545" w:rsidP="00993545">
            <w:pPr>
              <w:rPr>
                <w:rFonts w:ascii="Arial" w:hAnsi="Arial" w:cs="Arial"/>
              </w:rPr>
            </w:pPr>
          </w:p>
          <w:p w:rsidR="00993545" w:rsidRPr="00B80B8D" w:rsidRDefault="00993545" w:rsidP="00993545">
            <w:pPr>
              <w:pStyle w:val="ListParagraph"/>
              <w:numPr>
                <w:ilvl w:val="0"/>
                <w:numId w:val="13"/>
              </w:numPr>
              <w:spacing w:line="360" w:lineRule="auto"/>
              <w:rPr>
                <w:rFonts w:ascii="Arial" w:hAnsi="Arial" w:cs="Arial"/>
              </w:rPr>
            </w:pPr>
            <w:r w:rsidRPr="00B80B8D">
              <w:rPr>
                <w:rFonts w:ascii="Arial" w:hAnsi="Arial" w:cs="Arial"/>
              </w:rPr>
              <w:t>Original and authentic information would be promoted</w:t>
            </w:r>
          </w:p>
          <w:p w:rsidR="00993545" w:rsidRPr="00B80B8D" w:rsidRDefault="00993545" w:rsidP="00993545">
            <w:pPr>
              <w:pStyle w:val="ListParagraph"/>
              <w:numPr>
                <w:ilvl w:val="0"/>
                <w:numId w:val="13"/>
              </w:numPr>
              <w:spacing w:line="360" w:lineRule="auto"/>
              <w:rPr>
                <w:rFonts w:ascii="Arial" w:hAnsi="Arial" w:cs="Arial"/>
              </w:rPr>
            </w:pPr>
            <w:r w:rsidRPr="00B80B8D">
              <w:rPr>
                <w:rFonts w:ascii="Arial" w:hAnsi="Arial" w:cs="Arial"/>
              </w:rPr>
              <w:t>Quality and integrity of the collected data would be maintained</w:t>
            </w:r>
          </w:p>
          <w:p w:rsidR="00993545" w:rsidRDefault="00993545" w:rsidP="00993545">
            <w:pPr>
              <w:pStyle w:val="ListParagraph"/>
              <w:numPr>
                <w:ilvl w:val="0"/>
                <w:numId w:val="12"/>
              </w:numPr>
              <w:spacing w:after="0" w:line="360" w:lineRule="auto"/>
              <w:rPr>
                <w:rFonts w:ascii="Arial" w:hAnsi="Arial" w:cs="Arial"/>
              </w:rPr>
            </w:pPr>
            <w:r>
              <w:rPr>
                <w:rFonts w:ascii="Arial" w:hAnsi="Arial" w:cs="Arial"/>
              </w:rPr>
              <w:t xml:space="preserve">The higher authorities of the institutions would be acknowledged about the subject matter </w:t>
            </w:r>
          </w:p>
          <w:p w:rsidR="00993545" w:rsidRPr="002220F8" w:rsidRDefault="00993545" w:rsidP="00993545">
            <w:pPr>
              <w:pStyle w:val="ListParagraph"/>
              <w:numPr>
                <w:ilvl w:val="0"/>
                <w:numId w:val="12"/>
              </w:numPr>
              <w:spacing w:after="0" w:line="360" w:lineRule="auto"/>
              <w:rPr>
                <w:rFonts w:ascii="Arial" w:hAnsi="Arial" w:cs="Arial"/>
              </w:rPr>
            </w:pPr>
            <w:r>
              <w:rPr>
                <w:rFonts w:ascii="Arial" w:hAnsi="Arial" w:cs="Arial"/>
              </w:rPr>
              <w:t xml:space="preserve">There would be no use of discriminatory or unaccepted language </w:t>
            </w:r>
          </w:p>
          <w:p w:rsidR="00993545" w:rsidRPr="00B80B8D" w:rsidRDefault="00993545" w:rsidP="00993545">
            <w:pPr>
              <w:pStyle w:val="ListParagraph"/>
              <w:numPr>
                <w:ilvl w:val="0"/>
                <w:numId w:val="13"/>
              </w:numPr>
              <w:spacing w:line="360" w:lineRule="auto"/>
              <w:rPr>
                <w:rFonts w:ascii="Arial" w:hAnsi="Arial" w:cs="Arial"/>
              </w:rPr>
            </w:pPr>
            <w:r w:rsidRPr="00B80B8D">
              <w:rPr>
                <w:rFonts w:ascii="Arial" w:hAnsi="Arial" w:cs="Arial"/>
              </w:rPr>
              <w:t>The guidelines for the dissertation would be followed</w:t>
            </w:r>
          </w:p>
          <w:p w:rsidR="00993545" w:rsidRPr="00D85A83" w:rsidRDefault="00993545" w:rsidP="00993545">
            <w:pPr>
              <w:ind w:left="360"/>
              <w:rPr>
                <w:rFonts w:ascii="Arial" w:hAnsi="Arial" w:cs="Arial"/>
              </w:rPr>
            </w:pPr>
            <w:r w:rsidRPr="00D338CF">
              <w:rPr>
                <w:rFonts w:ascii="Arial" w:hAnsi="Arial" w:cs="Arial"/>
              </w:rPr>
              <w:t xml:space="preserve">Hence, it is expected that following the above guidelines, a clear and comprehensible picture would be obtained </w:t>
            </w:r>
            <w:r>
              <w:rPr>
                <w:rFonts w:ascii="Arial" w:hAnsi="Arial" w:cs="Arial"/>
              </w:rPr>
              <w:t>regarding</w:t>
            </w:r>
            <w:r w:rsidRPr="00D338CF">
              <w:rPr>
                <w:rFonts w:ascii="Arial" w:hAnsi="Arial" w:cs="Arial"/>
              </w:rPr>
              <w:t xml:space="preserve"> the subject matter. </w:t>
            </w:r>
            <w:r>
              <w:rPr>
                <w:rFonts w:ascii="Arial" w:hAnsi="Arial" w:cs="Arial"/>
              </w:rPr>
              <w:t xml:space="preserve">This would, in turn, help in understanding the financial performance of both the Islamic and regular banking system in the past five financial years. Moreover, this would also help in determining the impact of financial ratios on the progress of the banks, considering effect of capital adequacy, operating efficiency, bank size and financial risk as well. </w:t>
            </w:r>
          </w:p>
          <w:p w:rsidR="00993545" w:rsidRPr="002B3385" w:rsidRDefault="00993545" w:rsidP="00993545">
            <w:pPr>
              <w:jc w:val="both"/>
              <w:rPr>
                <w:rFonts w:ascii="Arial" w:hAnsi="Arial" w:cs="Arial"/>
                <w:b/>
              </w:rPr>
            </w:pPr>
          </w:p>
          <w:p w:rsidR="00993545" w:rsidRPr="002B3385" w:rsidRDefault="00993545" w:rsidP="00993545">
            <w:pPr>
              <w:jc w:val="both"/>
              <w:rPr>
                <w:rFonts w:ascii="Arial" w:hAnsi="Arial" w:cs="Arial"/>
                <w:b/>
              </w:rPr>
            </w:pPr>
          </w:p>
          <w:p w:rsidR="00993545" w:rsidRPr="002B3385" w:rsidRDefault="00993545" w:rsidP="00993545">
            <w:pPr>
              <w:jc w:val="both"/>
              <w:rPr>
                <w:rFonts w:ascii="Arial" w:hAnsi="Arial" w:cs="Arial"/>
                <w:b/>
              </w:rPr>
            </w:pPr>
          </w:p>
        </w:tc>
      </w:tr>
      <w:tr w:rsidR="00993545" w:rsidRPr="002B3385" w:rsidTr="00993545">
        <w:trPr>
          <w:trHeight w:val="589"/>
        </w:trPr>
        <w:tc>
          <w:tcPr>
            <w:tcW w:w="10151" w:type="dxa"/>
            <w:gridSpan w:val="4"/>
            <w:tcBorders>
              <w:top w:val="single" w:sz="4" w:space="0" w:color="E36C0A"/>
              <w:left w:val="nil"/>
              <w:bottom w:val="single" w:sz="4" w:space="0" w:color="E36C0A"/>
              <w:right w:val="nil"/>
            </w:tcBorders>
          </w:tcPr>
          <w:p w:rsidR="00993545" w:rsidRPr="002B3385" w:rsidRDefault="00993545" w:rsidP="00993545">
            <w:pPr>
              <w:jc w:val="both"/>
              <w:rPr>
                <w:rFonts w:ascii="Arial" w:hAnsi="Arial" w:cs="Arial"/>
                <w:b/>
              </w:rPr>
            </w:pPr>
          </w:p>
        </w:tc>
      </w:tr>
      <w:tr w:rsidR="00993545" w:rsidRPr="002B3385" w:rsidTr="00993545">
        <w:trPr>
          <w:trHeight w:val="1931"/>
        </w:trPr>
        <w:tc>
          <w:tcPr>
            <w:tcW w:w="471" w:type="dxa"/>
            <w:gridSpan w:val="2"/>
            <w:tcBorders>
              <w:top w:val="single" w:sz="4" w:space="0" w:color="E36C0A"/>
              <w:left w:val="single" w:sz="4" w:space="0" w:color="E36C0A"/>
              <w:bottom w:val="single" w:sz="4" w:space="0" w:color="E36C0A"/>
              <w:right w:val="nil"/>
            </w:tcBorders>
            <w:shd w:val="clear" w:color="auto" w:fill="FDE9D9"/>
          </w:tcPr>
          <w:p w:rsidR="00993545" w:rsidRPr="002B3385" w:rsidRDefault="00993545" w:rsidP="00993545">
            <w:pPr>
              <w:jc w:val="both"/>
              <w:rPr>
                <w:rFonts w:ascii="Arial" w:hAnsi="Arial" w:cs="Arial"/>
                <w:b/>
                <w:lang w:val="cy-GB"/>
              </w:rPr>
            </w:pPr>
            <w:r w:rsidRPr="002B3385">
              <w:rPr>
                <w:rFonts w:ascii="Arial" w:hAnsi="Arial" w:cs="Arial"/>
                <w:b/>
                <w:lang w:val="cy-GB"/>
              </w:rPr>
              <w:lastRenderedPageBreak/>
              <w:t>5.</w:t>
            </w:r>
          </w:p>
        </w:tc>
        <w:tc>
          <w:tcPr>
            <w:tcW w:w="4604"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lang w:val="cy-GB"/>
              </w:rPr>
            </w:pPr>
            <w:r w:rsidRPr="002B3385">
              <w:rPr>
                <w:rFonts w:ascii="Arial" w:hAnsi="Arial" w:cs="Arial"/>
                <w:b/>
                <w:lang w:val="cy-GB"/>
              </w:rPr>
              <w:t>Lledaenu Gwybodaeth / Cynulleidfa:</w:t>
            </w:r>
            <w:r w:rsidRPr="002B3385">
              <w:rPr>
                <w:rFonts w:ascii="Arial" w:hAnsi="Arial" w:cs="Arial"/>
                <w:lang w:val="cy-GB"/>
              </w:rPr>
              <w:t xml:space="preserve"> </w:t>
            </w:r>
          </w:p>
          <w:p w:rsidR="00993545" w:rsidRPr="002B3385" w:rsidRDefault="00993545" w:rsidP="00993545">
            <w:pPr>
              <w:jc w:val="both"/>
              <w:rPr>
                <w:rFonts w:ascii="Arial" w:hAnsi="Arial" w:cs="Arial"/>
                <w:b/>
                <w:lang w:val="cy-GB"/>
              </w:rPr>
            </w:pPr>
            <w:r w:rsidRPr="002B3385">
              <w:rPr>
                <w:rFonts w:ascii="Arial" w:hAnsi="Arial" w:cs="Arial"/>
                <w:lang w:val="cy-GB"/>
              </w:rPr>
              <w:t>Rhestrwch i bwy y rhoddir neu y dangosir copi o’r canlyniadau neu adroddiad  / cyflwyniad terfynol.</w:t>
            </w:r>
          </w:p>
        </w:tc>
        <w:tc>
          <w:tcPr>
            <w:tcW w:w="5075"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b/>
              </w:rPr>
            </w:pPr>
            <w:r w:rsidRPr="002B3385">
              <w:rPr>
                <w:rFonts w:ascii="Arial" w:hAnsi="Arial" w:cs="Arial"/>
                <w:b/>
              </w:rPr>
              <w:t>Dissemination of Information / Audience:</w:t>
            </w:r>
          </w:p>
          <w:p w:rsidR="00993545" w:rsidRPr="002B3385" w:rsidRDefault="00993545" w:rsidP="00993545">
            <w:pPr>
              <w:jc w:val="both"/>
              <w:rPr>
                <w:rFonts w:ascii="Arial" w:hAnsi="Arial" w:cs="Arial"/>
                <w:b/>
              </w:rPr>
            </w:pPr>
            <w:r w:rsidRPr="002B3385">
              <w:rPr>
                <w:rFonts w:ascii="Arial" w:hAnsi="Arial" w:cs="Arial"/>
              </w:rPr>
              <w:t>List to whom a copy of the results or final report / presentation will be given or shown.</w:t>
            </w:r>
          </w:p>
        </w:tc>
      </w:tr>
      <w:tr w:rsidR="00993545" w:rsidRPr="002B3385" w:rsidTr="00993545">
        <w:trPr>
          <w:trHeight w:val="2134"/>
        </w:trPr>
        <w:tc>
          <w:tcPr>
            <w:tcW w:w="10151" w:type="dxa"/>
            <w:gridSpan w:val="4"/>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jc w:val="both"/>
              <w:rPr>
                <w:rFonts w:ascii="Arial" w:hAnsi="Arial" w:cs="Arial"/>
                <w:b/>
              </w:rPr>
            </w:pPr>
            <w:r>
              <w:rPr>
                <w:rFonts w:ascii="Arial" w:hAnsi="Arial" w:cs="Arial"/>
                <w:b/>
              </w:rPr>
              <w:t>The final report will be handed in to the university as part of the requirement for the fulfilment of Masters in Business Administration.</w:t>
            </w:r>
          </w:p>
          <w:p w:rsidR="00993545" w:rsidRPr="002B3385" w:rsidRDefault="00993545" w:rsidP="00993545">
            <w:pPr>
              <w:jc w:val="both"/>
              <w:rPr>
                <w:rFonts w:ascii="Arial" w:hAnsi="Arial" w:cs="Arial"/>
                <w:b/>
              </w:rPr>
            </w:pPr>
          </w:p>
          <w:p w:rsidR="00993545" w:rsidRPr="002B3385" w:rsidRDefault="00993545" w:rsidP="00993545">
            <w:pPr>
              <w:jc w:val="both"/>
              <w:rPr>
                <w:rFonts w:ascii="Arial" w:hAnsi="Arial" w:cs="Arial"/>
                <w:b/>
              </w:rPr>
            </w:pPr>
          </w:p>
        </w:tc>
      </w:tr>
      <w:tr w:rsidR="00993545" w:rsidRPr="002B3385" w:rsidTr="00993545">
        <w:trPr>
          <w:trHeight w:val="589"/>
        </w:trPr>
        <w:tc>
          <w:tcPr>
            <w:tcW w:w="10151" w:type="dxa"/>
            <w:gridSpan w:val="4"/>
            <w:tcBorders>
              <w:top w:val="single" w:sz="4" w:space="0" w:color="E36C0A"/>
              <w:left w:val="nil"/>
              <w:bottom w:val="single" w:sz="4" w:space="0" w:color="E36C0A"/>
              <w:right w:val="nil"/>
            </w:tcBorders>
          </w:tcPr>
          <w:p w:rsidR="00993545" w:rsidRPr="002B3385" w:rsidRDefault="00993545" w:rsidP="00993545">
            <w:pPr>
              <w:jc w:val="both"/>
              <w:rPr>
                <w:rFonts w:ascii="Arial" w:hAnsi="Arial" w:cs="Arial"/>
                <w:b/>
              </w:rPr>
            </w:pPr>
          </w:p>
        </w:tc>
      </w:tr>
      <w:tr w:rsidR="00993545" w:rsidRPr="002B3385" w:rsidTr="00993545">
        <w:trPr>
          <w:trHeight w:val="2134"/>
        </w:trPr>
        <w:tc>
          <w:tcPr>
            <w:tcW w:w="471" w:type="dxa"/>
            <w:gridSpan w:val="2"/>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lang w:val="cy-GB"/>
              </w:rPr>
            </w:pPr>
            <w:r w:rsidRPr="002B3385">
              <w:rPr>
                <w:rFonts w:ascii="Arial" w:hAnsi="Arial" w:cs="Arial"/>
                <w:lang w:val="cy-GB"/>
              </w:rPr>
              <w:t>6.</w:t>
            </w:r>
          </w:p>
        </w:tc>
        <w:tc>
          <w:tcPr>
            <w:tcW w:w="4604"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b/>
                <w:lang w:val="cy-GB"/>
              </w:rPr>
            </w:pPr>
            <w:r w:rsidRPr="002B3385">
              <w:rPr>
                <w:rFonts w:ascii="Arial" w:hAnsi="Arial" w:cs="Arial"/>
                <w:b/>
                <w:lang w:val="cy-GB"/>
              </w:rPr>
              <w:t>Lleoliad y Prosiect:</w:t>
            </w:r>
          </w:p>
          <w:p w:rsidR="00993545" w:rsidRPr="002B3385" w:rsidRDefault="00993545" w:rsidP="00993545">
            <w:pPr>
              <w:jc w:val="both"/>
              <w:rPr>
                <w:rFonts w:ascii="Arial" w:hAnsi="Arial" w:cs="Arial"/>
                <w:b/>
                <w:lang w:val="cy-GB"/>
              </w:rPr>
            </w:pPr>
            <w:r w:rsidRPr="002B3385">
              <w:rPr>
                <w:rFonts w:ascii="Arial" w:hAnsi="Arial" w:cs="Arial"/>
                <w:lang w:val="cy-GB"/>
              </w:rPr>
              <w:t>Nodwch bob lleoliad lle y cesglir data neu y cynhelir ymarferiadau / cynhyrchiad.</w:t>
            </w:r>
          </w:p>
        </w:tc>
        <w:tc>
          <w:tcPr>
            <w:tcW w:w="5075"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rPr>
            </w:pPr>
            <w:r w:rsidRPr="002B3385">
              <w:rPr>
                <w:rFonts w:ascii="Arial" w:hAnsi="Arial" w:cs="Arial"/>
                <w:b/>
              </w:rPr>
              <w:t>Location of Project:</w:t>
            </w:r>
            <w:r w:rsidRPr="002B3385">
              <w:rPr>
                <w:rFonts w:ascii="Arial" w:hAnsi="Arial" w:cs="Arial"/>
              </w:rPr>
              <w:t xml:space="preserve"> </w:t>
            </w:r>
          </w:p>
          <w:p w:rsidR="00993545" w:rsidRPr="002B3385" w:rsidRDefault="00993545" w:rsidP="00993545">
            <w:pPr>
              <w:jc w:val="both"/>
              <w:rPr>
                <w:rFonts w:ascii="Arial" w:hAnsi="Arial" w:cs="Arial"/>
              </w:rPr>
            </w:pPr>
            <w:r w:rsidRPr="002B3385">
              <w:rPr>
                <w:rFonts w:ascii="Arial" w:hAnsi="Arial" w:cs="Arial"/>
              </w:rPr>
              <w:t>Identify all locations where data will be collected or rehearsals/ production will take place.</w:t>
            </w:r>
          </w:p>
          <w:p w:rsidR="00993545" w:rsidRPr="002B3385" w:rsidRDefault="00993545" w:rsidP="00993545">
            <w:pPr>
              <w:jc w:val="both"/>
              <w:rPr>
                <w:rFonts w:ascii="Arial" w:hAnsi="Arial" w:cs="Arial"/>
              </w:rPr>
            </w:pPr>
          </w:p>
        </w:tc>
      </w:tr>
      <w:tr w:rsidR="00993545" w:rsidRPr="002B3385" w:rsidTr="00993545">
        <w:trPr>
          <w:trHeight w:val="2337"/>
        </w:trPr>
        <w:tc>
          <w:tcPr>
            <w:tcW w:w="10151" w:type="dxa"/>
            <w:gridSpan w:val="4"/>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jc w:val="both"/>
              <w:rPr>
                <w:rFonts w:ascii="Arial" w:hAnsi="Arial" w:cs="Arial"/>
                <w:b/>
              </w:rPr>
            </w:pPr>
          </w:p>
          <w:p w:rsidR="00993545" w:rsidRPr="004C3A0B" w:rsidRDefault="00993545" w:rsidP="00993545">
            <w:pPr>
              <w:autoSpaceDE w:val="0"/>
              <w:autoSpaceDN w:val="0"/>
              <w:adjustRightInd w:val="0"/>
              <w:rPr>
                <w:rFonts w:ascii="Arial" w:hAnsi="Arial" w:cs="Arial"/>
              </w:rPr>
            </w:pPr>
            <w:r>
              <w:rPr>
                <w:rFonts w:ascii="Arial" w:hAnsi="Arial" w:cs="Arial"/>
              </w:rPr>
              <w:t>All data will be collected online from the different banks globally.</w:t>
            </w:r>
          </w:p>
          <w:p w:rsidR="00993545" w:rsidRPr="004C3A0B" w:rsidRDefault="00993545" w:rsidP="00993545">
            <w:pPr>
              <w:autoSpaceDE w:val="0"/>
              <w:autoSpaceDN w:val="0"/>
              <w:adjustRightInd w:val="0"/>
              <w:rPr>
                <w:rFonts w:ascii="Arial" w:hAnsi="Arial" w:cs="Arial"/>
              </w:rPr>
            </w:pPr>
          </w:p>
          <w:p w:rsidR="00993545" w:rsidRPr="002B3385" w:rsidRDefault="00993545" w:rsidP="00993545">
            <w:pPr>
              <w:jc w:val="both"/>
              <w:rPr>
                <w:rFonts w:ascii="Arial" w:hAnsi="Arial" w:cs="Arial"/>
                <w:b/>
              </w:rPr>
            </w:pPr>
          </w:p>
          <w:p w:rsidR="00993545" w:rsidRPr="002B3385" w:rsidRDefault="00993545" w:rsidP="00993545">
            <w:pPr>
              <w:jc w:val="both"/>
              <w:rPr>
                <w:rFonts w:ascii="Arial" w:hAnsi="Arial" w:cs="Arial"/>
                <w:b/>
              </w:rPr>
            </w:pPr>
          </w:p>
        </w:tc>
      </w:tr>
      <w:tr w:rsidR="00993545" w:rsidRPr="002B3385" w:rsidTr="00993545">
        <w:trPr>
          <w:trHeight w:val="589"/>
        </w:trPr>
        <w:tc>
          <w:tcPr>
            <w:tcW w:w="10151" w:type="dxa"/>
            <w:gridSpan w:val="4"/>
            <w:tcBorders>
              <w:top w:val="single" w:sz="4" w:space="0" w:color="E36C0A"/>
              <w:left w:val="nil"/>
              <w:bottom w:val="single" w:sz="4" w:space="0" w:color="E36C0A"/>
              <w:right w:val="nil"/>
            </w:tcBorders>
          </w:tcPr>
          <w:p w:rsidR="00993545" w:rsidRPr="002B3385" w:rsidRDefault="00993545" w:rsidP="00993545">
            <w:pPr>
              <w:jc w:val="both"/>
              <w:rPr>
                <w:rFonts w:ascii="Arial" w:hAnsi="Arial" w:cs="Arial"/>
                <w:b/>
              </w:rPr>
            </w:pPr>
          </w:p>
        </w:tc>
      </w:tr>
      <w:tr w:rsidR="00993545" w:rsidRPr="002B3385" w:rsidTr="00993545">
        <w:trPr>
          <w:trHeight w:val="2317"/>
        </w:trPr>
        <w:tc>
          <w:tcPr>
            <w:tcW w:w="378"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lang w:val="cy-GB"/>
              </w:rPr>
            </w:pPr>
            <w:r w:rsidRPr="002B3385">
              <w:rPr>
                <w:rFonts w:ascii="Arial" w:hAnsi="Arial" w:cs="Arial"/>
                <w:lang w:val="cy-GB"/>
              </w:rPr>
              <w:t>7.</w:t>
            </w:r>
          </w:p>
        </w:tc>
        <w:tc>
          <w:tcPr>
            <w:tcW w:w="4697" w:type="dxa"/>
            <w:gridSpan w:val="2"/>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lang w:val="cy-GB"/>
              </w:rPr>
            </w:pPr>
            <w:r w:rsidRPr="002B3385">
              <w:rPr>
                <w:rFonts w:ascii="Arial" w:hAnsi="Arial" w:cs="Arial"/>
                <w:b/>
                <w:lang w:val="cy-GB"/>
              </w:rPr>
              <w:t>Cymeradwyaeth Arall:</w:t>
            </w:r>
            <w:r w:rsidRPr="002B3385">
              <w:rPr>
                <w:rFonts w:ascii="Arial" w:hAnsi="Arial" w:cs="Arial"/>
                <w:lang w:val="cy-GB"/>
              </w:rPr>
              <w:t xml:space="preserve"> Oes angen cael cymeradwyaeth unrhyw sefydliad arall cyn cychwyn neu gwblhau’r prosiect? Os felly, gan bwy ac a ydy wedi'i sicrhau eisoes?</w:t>
            </w:r>
          </w:p>
          <w:p w:rsidR="00993545" w:rsidRPr="002B3385" w:rsidRDefault="00993545" w:rsidP="00993545">
            <w:pPr>
              <w:jc w:val="both"/>
              <w:rPr>
                <w:rFonts w:ascii="Arial" w:hAnsi="Arial" w:cs="Arial"/>
                <w:b/>
                <w:lang w:val="cy-GB"/>
              </w:rPr>
            </w:pPr>
          </w:p>
        </w:tc>
        <w:tc>
          <w:tcPr>
            <w:tcW w:w="5075"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b/>
              </w:rPr>
            </w:pPr>
            <w:r w:rsidRPr="002B3385">
              <w:rPr>
                <w:rFonts w:ascii="Arial" w:hAnsi="Arial" w:cs="Arial"/>
                <w:b/>
              </w:rPr>
              <w:t>Other Approvals:</w:t>
            </w:r>
            <w:r w:rsidRPr="002B3385">
              <w:rPr>
                <w:rFonts w:ascii="Arial" w:hAnsi="Arial" w:cs="Arial"/>
              </w:rPr>
              <w:t xml:space="preserve"> Is there a requirement for approval from any other organisation / institution prior to starting or completing the project? If so, by whom and has it been obtained?</w:t>
            </w:r>
          </w:p>
        </w:tc>
      </w:tr>
      <w:tr w:rsidR="00993545" w:rsidRPr="002B3385" w:rsidTr="00993545">
        <w:trPr>
          <w:trHeight w:val="2337"/>
        </w:trPr>
        <w:tc>
          <w:tcPr>
            <w:tcW w:w="10151" w:type="dxa"/>
            <w:gridSpan w:val="4"/>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jc w:val="both"/>
              <w:rPr>
                <w:rFonts w:ascii="Arial" w:hAnsi="Arial" w:cs="Arial"/>
                <w:b/>
              </w:rPr>
            </w:pPr>
          </w:p>
          <w:p w:rsidR="00993545" w:rsidRPr="002B3385" w:rsidRDefault="00993545" w:rsidP="00993545">
            <w:pPr>
              <w:jc w:val="both"/>
              <w:rPr>
                <w:rFonts w:ascii="Arial" w:hAnsi="Arial" w:cs="Arial"/>
                <w:b/>
              </w:rPr>
            </w:pPr>
            <w:r>
              <w:rPr>
                <w:rFonts w:ascii="Arial" w:hAnsi="Arial" w:cs="Arial"/>
                <w:b/>
              </w:rPr>
              <w:t>None</w:t>
            </w:r>
          </w:p>
          <w:p w:rsidR="00993545" w:rsidRPr="002B3385" w:rsidRDefault="00993545" w:rsidP="00993545">
            <w:pPr>
              <w:jc w:val="both"/>
              <w:rPr>
                <w:rFonts w:ascii="Arial" w:hAnsi="Arial" w:cs="Arial"/>
                <w:b/>
              </w:rPr>
            </w:pPr>
          </w:p>
          <w:p w:rsidR="00993545" w:rsidRPr="002B3385" w:rsidRDefault="00993545" w:rsidP="00993545">
            <w:pPr>
              <w:jc w:val="both"/>
              <w:rPr>
                <w:rFonts w:ascii="Arial" w:hAnsi="Arial" w:cs="Arial"/>
                <w:b/>
              </w:rPr>
            </w:pPr>
          </w:p>
        </w:tc>
      </w:tr>
    </w:tbl>
    <w:p w:rsidR="00993545" w:rsidRPr="002B3385" w:rsidRDefault="00993545" w:rsidP="00993545">
      <w:pPr>
        <w:rPr>
          <w:rFonts w:ascii="Arial" w:hAnsi="Arial" w:cs="Arial"/>
        </w:rPr>
      </w:pPr>
    </w:p>
    <w:p w:rsidR="00993545" w:rsidRPr="002B3385" w:rsidRDefault="00993545" w:rsidP="00993545">
      <w:pPr>
        <w:rPr>
          <w:rFonts w:ascii="Arial" w:hAnsi="Arial" w:cs="Arial"/>
        </w:rPr>
      </w:pPr>
    </w:p>
    <w:p w:rsidR="00993545" w:rsidRPr="002B3385" w:rsidRDefault="00993545" w:rsidP="00993545">
      <w:pPr>
        <w:rPr>
          <w:rFonts w:ascii="Arial" w:hAnsi="Arial" w:cs="Arial"/>
        </w:rPr>
      </w:pPr>
    </w:p>
    <w:p w:rsidR="00993545" w:rsidRPr="002B3385" w:rsidRDefault="00993545" w:rsidP="00993545">
      <w:pPr>
        <w:rPr>
          <w:rFonts w:ascii="Arial" w:hAnsi="Arial" w:cs="Arial"/>
        </w:rPr>
      </w:pPr>
    </w:p>
    <w:p w:rsidR="00993545" w:rsidRPr="002B3385" w:rsidRDefault="00993545" w:rsidP="00993545">
      <w:pPr>
        <w:rPr>
          <w:rFonts w:ascii="Arial" w:hAnsi="Arial" w:cs="Arial"/>
        </w:rPr>
      </w:pPr>
    </w:p>
    <w:p w:rsidR="00993545" w:rsidRPr="002B3385" w:rsidRDefault="00993545" w:rsidP="00993545">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993545" w:rsidRPr="002B3385" w:rsidTr="00993545">
        <w:tc>
          <w:tcPr>
            <w:tcW w:w="5370" w:type="dxa"/>
            <w:gridSpan w:val="3"/>
            <w:tcBorders>
              <w:top w:val="nil"/>
              <w:left w:val="nil"/>
              <w:bottom w:val="single" w:sz="4" w:space="0" w:color="E36C0A"/>
              <w:right w:val="nil"/>
            </w:tcBorders>
            <w:shd w:val="clear" w:color="auto" w:fill="FDE9D9"/>
          </w:tcPr>
          <w:p w:rsidR="00993545" w:rsidRPr="002B3385" w:rsidRDefault="0053750F" w:rsidP="00993545">
            <w:pPr>
              <w:rPr>
                <w:rFonts w:ascii="Arial" w:hAnsi="Arial" w:cs="Arial"/>
                <w:b/>
                <w:color w:val="E36C0A"/>
                <w:u w:val="single"/>
                <w:lang w:val="cy-GB"/>
              </w:rPr>
            </w:pPr>
            <w:r w:rsidRPr="002B3385">
              <w:rPr>
                <w:rFonts w:ascii="Arial" w:hAnsi="Arial" w:cs="Arial"/>
                <w:b/>
                <w:noProof/>
                <w:color w:val="E36C0A"/>
                <w:lang w:eastAsia="en-GB"/>
              </w:rPr>
              <mc:AlternateContent>
                <mc:Choice Requires="wps">
                  <w:drawing>
                    <wp:anchor distT="0" distB="0" distL="114300" distR="114300" simplePos="0" relativeHeight="251660288" behindDoc="0" locked="0" layoutInCell="1" allowOverlap="1">
                      <wp:simplePos x="0" y="0"/>
                      <wp:positionH relativeFrom="column">
                        <wp:posOffset>-20320</wp:posOffset>
                      </wp:positionH>
                      <wp:positionV relativeFrom="paragraph">
                        <wp:posOffset>498475</wp:posOffset>
                      </wp:positionV>
                      <wp:extent cx="6736080" cy="0"/>
                      <wp:effectExtent l="38100" t="38100" r="45720" b="76200"/>
                      <wp:wrapNone/>
                      <wp:docPr id="33"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CF615D"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" strokecolor="#4f81bd" strokeweight="2pt">
                      <v:shadow on="t" color="black" opacity="24903f" origin=",.5" offset="0,.55556mm"/>
                      <o:lock v:ext="edit" shapetype="f"/>
                    </v:line>
                  </w:pict>
                </mc:Fallback>
              </mc:AlternateContent>
            </w:r>
            <w:r w:rsidR="00993545" w:rsidRPr="002B3385">
              <w:rPr>
                <w:rFonts w:ascii="Arial" w:hAnsi="Arial" w:cs="Arial"/>
                <w:b/>
                <w:color w:val="E36C0A"/>
                <w:lang w:val="cy-GB"/>
              </w:rPr>
              <w:t>ADRAN 4 – MANYLION CYFRANOGWYR / CYNULLEIDFA</w:t>
            </w:r>
          </w:p>
        </w:tc>
        <w:tc>
          <w:tcPr>
            <w:tcW w:w="5370" w:type="dxa"/>
            <w:gridSpan w:val="4"/>
            <w:tcBorders>
              <w:top w:val="nil"/>
              <w:left w:val="nil"/>
              <w:bottom w:val="single" w:sz="4" w:space="0" w:color="E36C0A"/>
              <w:right w:val="nil"/>
            </w:tcBorders>
            <w:shd w:val="clear" w:color="auto" w:fill="FDE9D9"/>
          </w:tcPr>
          <w:p w:rsidR="00993545" w:rsidRPr="002B3385" w:rsidRDefault="00993545" w:rsidP="00993545">
            <w:pPr>
              <w:rPr>
                <w:rFonts w:ascii="Arial" w:hAnsi="Arial" w:cs="Arial"/>
                <w:b/>
                <w:color w:val="E36C0A"/>
              </w:rPr>
            </w:pPr>
            <w:r w:rsidRPr="002B3385">
              <w:rPr>
                <w:rFonts w:ascii="Arial" w:hAnsi="Arial" w:cs="Arial"/>
                <w:b/>
                <w:color w:val="E36C0A"/>
              </w:rPr>
              <w:t>SECTION 4 - PARTICIPANT / AUDIENCE DETAILS</w:t>
            </w:r>
          </w:p>
          <w:p w:rsidR="00993545" w:rsidRPr="002B3385" w:rsidRDefault="00993545" w:rsidP="00993545">
            <w:pPr>
              <w:rPr>
                <w:rFonts w:ascii="Arial" w:hAnsi="Arial" w:cs="Arial"/>
                <w:b/>
                <w:color w:val="E36C0A"/>
              </w:rPr>
            </w:pPr>
          </w:p>
          <w:p w:rsidR="00993545" w:rsidRPr="002B3385" w:rsidRDefault="00993545" w:rsidP="00993545">
            <w:pPr>
              <w:rPr>
                <w:rFonts w:ascii="Arial" w:hAnsi="Arial" w:cs="Arial"/>
                <w:b/>
                <w:color w:val="E36C0A"/>
              </w:rPr>
            </w:pPr>
          </w:p>
        </w:tc>
      </w:tr>
      <w:tr w:rsidR="00993545" w:rsidRPr="002B3385" w:rsidTr="00993545">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rPr>
                <w:rFonts w:ascii="Arial" w:hAnsi="Arial" w:cs="Arial"/>
                <w:lang w:val="cy-GB"/>
              </w:rPr>
            </w:pPr>
            <w:r w:rsidRPr="002B3385">
              <w:rPr>
                <w:rFonts w:ascii="Arial" w:hAnsi="Arial" w:cs="Arial"/>
                <w:lang w:val="cy-GB"/>
              </w:rPr>
              <w:t>Pwy yw’r cyfranogwyr arfaethedig?</w:t>
            </w:r>
          </w:p>
          <w:p w:rsidR="00993545" w:rsidRPr="002B3385" w:rsidRDefault="00993545" w:rsidP="00993545">
            <w:pPr>
              <w:rPr>
                <w:rFonts w:ascii="Arial" w:hAnsi="Arial" w:cs="Arial"/>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rPr>
                <w:rFonts w:ascii="Arial" w:hAnsi="Arial" w:cs="Arial"/>
              </w:rPr>
            </w:pPr>
            <w:r w:rsidRPr="002B3385">
              <w:rPr>
                <w:rFonts w:ascii="Arial" w:hAnsi="Arial" w:cs="Arial"/>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rPr>
                <w:rFonts w:ascii="Arial" w:hAnsi="Arial" w:cs="Arial"/>
              </w:rPr>
            </w:pPr>
            <w:r w:rsidRPr="002B3385">
              <w:rPr>
                <w:rFonts w:ascii="Arial" w:hAnsi="Arial" w:cs="Arial"/>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rPr>
                <w:rFonts w:ascii="Arial" w:hAnsi="Arial" w:cs="Arial"/>
              </w:rPr>
            </w:pPr>
            <w:r w:rsidRPr="002B3385">
              <w:rPr>
                <w:rFonts w:ascii="Arial" w:hAnsi="Arial" w:cs="Arial"/>
              </w:rPr>
              <w:t xml:space="preserve">Na / No </w:t>
            </w:r>
          </w:p>
        </w:tc>
      </w:tr>
      <w:tr w:rsidR="00993545" w:rsidRPr="002B3385" w:rsidTr="00993545">
        <w:tc>
          <w:tcPr>
            <w:tcW w:w="4448"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Students / staff of Trinity Saint David</w:t>
            </w:r>
          </w:p>
          <w:p w:rsidR="00993545" w:rsidRPr="002B3385" w:rsidRDefault="00993545" w:rsidP="00993545">
            <w:pPr>
              <w:rPr>
                <w:rFonts w:ascii="Arial" w:hAnsi="Arial" w:cs="Arial"/>
              </w:rPr>
            </w:pPr>
          </w:p>
          <w:p w:rsidR="00993545" w:rsidRPr="002B3385" w:rsidRDefault="00993545" w:rsidP="00993545">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4448"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Adults (over the age of 16 and competent to give consent)</w:t>
            </w:r>
          </w:p>
          <w:p w:rsidR="00993545" w:rsidRPr="002B3385" w:rsidRDefault="00993545" w:rsidP="00993545">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4448"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Children / legal minors</w:t>
            </w:r>
          </w:p>
          <w:p w:rsidR="00993545" w:rsidRPr="002B3385" w:rsidRDefault="00993545" w:rsidP="00993545">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4448"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Cleifion neu gleientiaid gweithwyr proffesiynol</w:t>
            </w:r>
            <w:r w:rsidRPr="002B3385">
              <w:rPr>
                <w:rFonts w:ascii="Arial" w:hAnsi="Arial" w:cs="Arial"/>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Patients or clients of professionals</w:t>
            </w:r>
            <w:r w:rsidRPr="002B3385">
              <w:rPr>
                <w:rFonts w:ascii="Arial" w:hAnsi="Arial" w:cs="Arial"/>
              </w:rPr>
              <w:tab/>
            </w:r>
          </w:p>
          <w:p w:rsidR="00993545" w:rsidRPr="002B3385" w:rsidRDefault="00993545" w:rsidP="00993545">
            <w:pPr>
              <w:rPr>
                <w:rFonts w:ascii="Arial" w:hAnsi="Arial" w:cs="Arial"/>
              </w:rPr>
            </w:pPr>
          </w:p>
          <w:p w:rsidR="00993545" w:rsidRPr="002B3385" w:rsidRDefault="00993545" w:rsidP="00993545">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4448"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Anyone in custodial care or for whom the court has assumed responsibility</w:t>
            </w:r>
          </w:p>
          <w:p w:rsidR="00993545" w:rsidRPr="002B3385" w:rsidRDefault="00993545" w:rsidP="00993545">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4448" w:type="dxa"/>
            <w:gridSpan w:val="2"/>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lang w:val="cy-GB"/>
              </w:rPr>
            </w:pPr>
            <w:r w:rsidRPr="002B3385">
              <w:rPr>
                <w:rFonts w:ascii="Arial" w:hAnsi="Arial" w:cs="Arial"/>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rPr>
              <w:t>A member of any organisation where another individual may also need to give consent.</w:t>
            </w:r>
          </w:p>
          <w:p w:rsidR="00993545" w:rsidRPr="002B3385" w:rsidRDefault="00993545" w:rsidP="00993545">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10740" w:type="dxa"/>
            <w:gridSpan w:val="7"/>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rPr>
                <w:rFonts w:ascii="Arial" w:hAnsi="Arial" w:cs="Arial"/>
              </w:rPr>
            </w:pPr>
            <w:r w:rsidRPr="002B3385">
              <w:rPr>
                <w:rFonts w:ascii="Arial" w:hAnsi="Arial" w:cs="Arial"/>
                <w:lang w:val="cy-GB"/>
              </w:rPr>
              <w:t>Eraill:  Nodwch:</w:t>
            </w:r>
            <w:r w:rsidRPr="002B3385">
              <w:rPr>
                <w:rFonts w:ascii="Arial" w:hAnsi="Arial" w:cs="Arial"/>
                <w:i/>
                <w:lang w:val="cy-GB"/>
              </w:rPr>
              <w:t xml:space="preserve"> / </w:t>
            </w:r>
            <w:r w:rsidRPr="002B3385">
              <w:rPr>
                <w:rFonts w:ascii="Arial" w:hAnsi="Arial" w:cs="Arial"/>
              </w:rPr>
              <w:t>Others: please identify:</w:t>
            </w:r>
            <w:r>
              <w:rPr>
                <w:rFonts w:ascii="Arial" w:hAnsi="Arial" w:cs="Arial"/>
              </w:rPr>
              <w:t xml:space="preserve"> Secondary data</w:t>
            </w:r>
          </w:p>
          <w:p w:rsidR="00993545" w:rsidRPr="002B3385" w:rsidRDefault="00993545" w:rsidP="00993545">
            <w:pPr>
              <w:rPr>
                <w:rFonts w:ascii="Arial" w:hAnsi="Arial" w:cs="Arial"/>
              </w:rPr>
            </w:pPr>
          </w:p>
          <w:p w:rsidR="00993545" w:rsidRPr="002B3385" w:rsidRDefault="00993545" w:rsidP="00993545">
            <w:pPr>
              <w:rPr>
                <w:rFonts w:ascii="Arial" w:hAnsi="Arial" w:cs="Arial"/>
              </w:rPr>
            </w:pPr>
          </w:p>
        </w:tc>
      </w:tr>
      <w:tr w:rsidR="00993545" w:rsidRPr="002B3385" w:rsidTr="00993545">
        <w:tc>
          <w:tcPr>
            <w:tcW w:w="10740" w:type="dxa"/>
            <w:gridSpan w:val="7"/>
            <w:tcBorders>
              <w:top w:val="single" w:sz="4" w:space="0" w:color="E36C0A"/>
              <w:left w:val="nil"/>
              <w:bottom w:val="single" w:sz="4" w:space="0" w:color="E36C0A"/>
              <w:right w:val="nil"/>
            </w:tcBorders>
          </w:tcPr>
          <w:p w:rsidR="00993545" w:rsidRPr="002B3385" w:rsidRDefault="00993545" w:rsidP="00993545">
            <w:pPr>
              <w:rPr>
                <w:rFonts w:ascii="Arial" w:hAnsi="Arial" w:cs="Arial"/>
                <w:lang w:val="cy-GB"/>
              </w:rPr>
            </w:pPr>
          </w:p>
        </w:tc>
      </w:tr>
      <w:tr w:rsidR="00993545" w:rsidRPr="002B3385" w:rsidTr="00993545">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b/>
                <w:lang w:val="cy-GB"/>
              </w:rPr>
            </w:pPr>
            <w:r w:rsidRPr="002B3385">
              <w:rPr>
                <w:rFonts w:ascii="Arial" w:hAnsi="Arial" w:cs="Arial"/>
                <w:b/>
                <w:lang w:val="cy-GB"/>
              </w:rPr>
              <w:t xml:space="preserve">Nifer, Oed a Ffynhonnell y Cyfranogwyr </w:t>
            </w:r>
          </w:p>
          <w:p w:rsidR="00993545" w:rsidRPr="002B3385" w:rsidRDefault="00993545" w:rsidP="00993545">
            <w:pPr>
              <w:jc w:val="both"/>
              <w:rPr>
                <w:rFonts w:ascii="Arial" w:hAnsi="Arial" w:cs="Arial"/>
              </w:rPr>
            </w:pPr>
            <w:r w:rsidRPr="002B3385">
              <w:rPr>
                <w:rFonts w:ascii="Arial" w:hAnsi="Arial" w:cs="Arial"/>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rPr>
                <w:rFonts w:ascii="Arial" w:hAnsi="Arial" w:cs="Arial"/>
                <w:b/>
              </w:rPr>
            </w:pPr>
            <w:r w:rsidRPr="002B3385">
              <w:rPr>
                <w:rFonts w:ascii="Arial" w:hAnsi="Arial" w:cs="Arial"/>
                <w:b/>
              </w:rPr>
              <w:t>Participant / Audience Number and Age</w:t>
            </w:r>
          </w:p>
          <w:p w:rsidR="00993545" w:rsidRPr="002B3385" w:rsidRDefault="00993545" w:rsidP="00993545">
            <w:pPr>
              <w:rPr>
                <w:rFonts w:ascii="Arial" w:hAnsi="Arial" w:cs="Arial"/>
              </w:rPr>
            </w:pPr>
            <w:r w:rsidRPr="002B3385">
              <w:rPr>
                <w:rFonts w:ascii="Arial" w:hAnsi="Arial" w:cs="Arial"/>
              </w:rPr>
              <w:t>Provide details of the demographics of the participants / audience.</w:t>
            </w:r>
          </w:p>
        </w:tc>
      </w:tr>
      <w:tr w:rsidR="00993545" w:rsidRPr="002B3385" w:rsidTr="00993545">
        <w:tc>
          <w:tcPr>
            <w:tcW w:w="2943"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jc w:val="both"/>
              <w:rPr>
                <w:rFonts w:ascii="Arial" w:hAnsi="Arial" w:cs="Arial"/>
              </w:rPr>
            </w:pPr>
            <w:r w:rsidRPr="002B3385">
              <w:rPr>
                <w:rFonts w:ascii="Arial" w:hAnsi="Arial" w:cs="Arial"/>
                <w:lang w:val="cy-GB"/>
              </w:rPr>
              <w:t>Nifer o Gyfranogwyr / yn y Gynulleidfa</w:t>
            </w:r>
          </w:p>
          <w:p w:rsidR="00993545" w:rsidRPr="002B3385" w:rsidRDefault="00993545" w:rsidP="00993545">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jc w:val="both"/>
              <w:rPr>
                <w:rFonts w:ascii="Arial" w:hAnsi="Arial" w:cs="Arial"/>
              </w:rPr>
            </w:pPr>
            <w:r w:rsidRPr="002B3385">
              <w:rPr>
                <w:rFonts w:ascii="Arial" w:hAnsi="Arial" w:cs="Arial"/>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jc w:val="both"/>
              <w:rPr>
                <w:rFonts w:ascii="Arial" w:hAnsi="Arial" w:cs="Arial"/>
              </w:rPr>
            </w:pPr>
            <w:r>
              <w:rPr>
                <w:rFonts w:ascii="Arial" w:hAnsi="Arial" w:cs="Arial"/>
              </w:rPr>
              <w:t>N/A</w:t>
            </w:r>
          </w:p>
        </w:tc>
      </w:tr>
      <w:tr w:rsidR="00993545" w:rsidRPr="002B3385" w:rsidTr="00993545">
        <w:tc>
          <w:tcPr>
            <w:tcW w:w="2943" w:type="dxa"/>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jc w:val="both"/>
              <w:rPr>
                <w:rFonts w:ascii="Arial" w:hAnsi="Arial" w:cs="Arial"/>
              </w:rPr>
            </w:pPr>
            <w:r w:rsidRPr="002B3385">
              <w:rPr>
                <w:rFonts w:ascii="Arial" w:hAnsi="Arial" w:cs="Arial"/>
                <w:lang w:val="cy-GB"/>
              </w:rPr>
              <w:t>Grŵp oedran y Cyfranogwyr/y  Gynulleidfa</w:t>
            </w:r>
          </w:p>
          <w:p w:rsidR="00993545" w:rsidRPr="002B3385" w:rsidRDefault="00993545" w:rsidP="00993545">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jc w:val="both"/>
              <w:rPr>
                <w:rFonts w:ascii="Arial" w:hAnsi="Arial" w:cs="Arial"/>
                <w:b/>
              </w:rPr>
            </w:pPr>
            <w:r w:rsidRPr="002B3385">
              <w:rPr>
                <w:rFonts w:ascii="Arial" w:hAnsi="Arial" w:cs="Arial"/>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993545" w:rsidRPr="002B3385" w:rsidRDefault="00993545" w:rsidP="00993545">
            <w:pPr>
              <w:jc w:val="both"/>
              <w:rPr>
                <w:rFonts w:ascii="Arial" w:hAnsi="Arial" w:cs="Arial"/>
                <w:b/>
              </w:rPr>
            </w:pPr>
            <w:r>
              <w:rPr>
                <w:rFonts w:ascii="Arial" w:hAnsi="Arial" w:cs="Arial"/>
                <w:b/>
              </w:rPr>
              <w:t>N/A</w:t>
            </w:r>
          </w:p>
        </w:tc>
      </w:tr>
    </w:tbl>
    <w:p w:rsidR="00993545" w:rsidRPr="002B3385" w:rsidRDefault="00993545" w:rsidP="00993545">
      <w:pPr>
        <w:ind w:firstLine="360"/>
        <w:rPr>
          <w:rFonts w:ascii="Arial" w:hAnsi="Arial" w:cs="Arial"/>
        </w:rPr>
      </w:pPr>
      <w:r w:rsidRPr="002B3385">
        <w:rPr>
          <w:rFonts w:ascii="Arial" w:hAnsi="Arial" w:cs="Arial"/>
        </w:rPr>
        <w:tab/>
      </w:r>
    </w:p>
    <w:p w:rsidR="00993545" w:rsidRPr="002B3385" w:rsidRDefault="00993545" w:rsidP="00993545">
      <w:pPr>
        <w:ind w:firstLine="360"/>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993545" w:rsidRPr="002B3385" w:rsidTr="00993545">
        <w:tc>
          <w:tcPr>
            <w:tcW w:w="5353" w:type="dxa"/>
            <w:tcBorders>
              <w:top w:val="nil"/>
              <w:left w:val="nil"/>
              <w:bottom w:val="single" w:sz="4" w:space="0" w:color="E36C0A"/>
              <w:right w:val="nil"/>
            </w:tcBorders>
            <w:shd w:val="clear" w:color="auto" w:fill="FDE9D9"/>
          </w:tcPr>
          <w:p w:rsidR="00993545" w:rsidRPr="002B3385" w:rsidRDefault="00993545" w:rsidP="00993545">
            <w:pPr>
              <w:rPr>
                <w:rFonts w:ascii="Arial" w:hAnsi="Arial" w:cs="Arial"/>
                <w:color w:val="E36C0A"/>
                <w:lang w:val="cy-GB"/>
              </w:rPr>
            </w:pPr>
            <w:r w:rsidRPr="002B3385">
              <w:rPr>
                <w:rFonts w:ascii="Arial" w:hAnsi="Arial" w:cs="Arial"/>
                <w:b/>
                <w:color w:val="E36C0A"/>
                <w:lang w:val="cy-GB"/>
              </w:rPr>
              <w:t>ADRAN 5 – RISGIAU YN PROSIECT</w:t>
            </w:r>
          </w:p>
          <w:p w:rsidR="00993545" w:rsidRPr="002B3385" w:rsidRDefault="0053750F" w:rsidP="00993545">
            <w:pPr>
              <w:rPr>
                <w:rFonts w:ascii="Arial" w:hAnsi="Arial" w:cs="Arial"/>
                <w:b/>
                <w:color w:val="E36C0A"/>
              </w:rPr>
            </w:pPr>
            <w:r w:rsidRPr="002B3385">
              <w:rPr>
                <w:rFonts w:ascii="Arial" w:hAnsi="Arial" w:cs="Arial"/>
                <w:b/>
                <w:noProof/>
                <w:color w:val="E36C0A"/>
                <w:lang w:eastAsia="en-GB"/>
              </w:rPr>
              <mc:AlternateContent>
                <mc:Choice Requires="wps">
                  <w:drawing>
                    <wp:anchor distT="0" distB="0" distL="114300" distR="114300" simplePos="0" relativeHeight="251662336" behindDoc="0" locked="0" layoutInCell="1" allowOverlap="1">
                      <wp:simplePos x="0" y="0"/>
                      <wp:positionH relativeFrom="column">
                        <wp:posOffset>-34290</wp:posOffset>
                      </wp:positionH>
                      <wp:positionV relativeFrom="paragraph">
                        <wp:posOffset>171450</wp:posOffset>
                      </wp:positionV>
                      <wp:extent cx="6590665" cy="12065"/>
                      <wp:effectExtent l="38100" t="38100" r="57785" b="64135"/>
                      <wp:wrapNone/>
                      <wp:docPr id="3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07ABB7" id="Straight Connector 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rsidR="00993545" w:rsidRPr="002B3385" w:rsidRDefault="00993545" w:rsidP="00993545">
            <w:pPr>
              <w:rPr>
                <w:rFonts w:ascii="Arial" w:hAnsi="Arial" w:cs="Arial"/>
                <w:b/>
                <w:color w:val="E36C0A"/>
              </w:rPr>
            </w:pPr>
            <w:r w:rsidRPr="002B3385">
              <w:rPr>
                <w:rFonts w:ascii="Arial" w:hAnsi="Arial" w:cs="Arial"/>
                <w:b/>
                <w:color w:val="E36C0A"/>
              </w:rPr>
              <w:t>SECTION 5 – RISKS IN PROJECT</w:t>
            </w:r>
          </w:p>
          <w:p w:rsidR="00993545" w:rsidRPr="002B3385" w:rsidRDefault="00993545" w:rsidP="00993545">
            <w:pPr>
              <w:rPr>
                <w:rFonts w:ascii="Arial" w:hAnsi="Arial" w:cs="Arial"/>
                <w:b/>
                <w:color w:val="E36C0A"/>
              </w:rPr>
            </w:pPr>
          </w:p>
          <w:p w:rsidR="00993545" w:rsidRPr="002B3385" w:rsidRDefault="00993545" w:rsidP="00993545">
            <w:pPr>
              <w:rPr>
                <w:rFonts w:ascii="Arial" w:hAnsi="Arial" w:cs="Arial"/>
                <w:b/>
                <w:color w:val="E36C0A"/>
              </w:rPr>
            </w:pPr>
          </w:p>
        </w:tc>
      </w:tr>
      <w:tr w:rsidR="00993545" w:rsidRPr="002B3385" w:rsidTr="00993545">
        <w:tc>
          <w:tcPr>
            <w:tcW w:w="5353"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rPr>
                <w:rFonts w:ascii="Arial" w:hAnsi="Arial" w:cs="Arial"/>
                <w:lang w:val="cy-GB"/>
              </w:rPr>
            </w:pPr>
            <w:r w:rsidRPr="002B3385">
              <w:rPr>
                <w:rFonts w:ascii="Arial" w:hAnsi="Arial" w:cs="Arial"/>
                <w:lang w:val="cy-GB"/>
              </w:rPr>
              <w:t xml:space="preserve">Bydd y diffyg ateb cadarnhaol i bob un o'r cwestiynau hyn yn arwain at y gofyniad  eglurhad a </w:t>
            </w:r>
            <w:r w:rsidRPr="002B3385">
              <w:rPr>
                <w:rFonts w:ascii="Arial" w:hAnsi="Arial" w:cs="Arial"/>
                <w:lang w:val="cy-GB"/>
              </w:rPr>
              <w:lastRenderedPageBreak/>
              <w:t>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rPr>
                <w:rFonts w:ascii="Arial" w:hAnsi="Arial" w:cs="Arial"/>
              </w:rPr>
            </w:pPr>
            <w:r w:rsidRPr="002B3385">
              <w:rPr>
                <w:rFonts w:ascii="Arial" w:hAnsi="Arial" w:cs="Arial"/>
              </w:rPr>
              <w:lastRenderedPageBreak/>
              <w:t xml:space="preserve">A lack of a positive answer to all of these questions may result in the requirement of further explanation </w:t>
            </w:r>
            <w:r w:rsidRPr="002B3385">
              <w:rPr>
                <w:rFonts w:ascii="Arial" w:hAnsi="Arial" w:cs="Arial"/>
              </w:rPr>
              <w:lastRenderedPageBreak/>
              <w:t>and a delay in your research. None or Nil is not acceptable.</w:t>
            </w:r>
          </w:p>
        </w:tc>
      </w:tr>
    </w:tbl>
    <w:p w:rsidR="00993545" w:rsidRPr="002B3385" w:rsidRDefault="00993545" w:rsidP="00993545">
      <w:pPr>
        <w:ind w:firstLine="360"/>
        <w:rPr>
          <w:rFonts w:ascii="Arial" w:hAnsi="Arial" w:cs="Arial"/>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993545" w:rsidRPr="002B3385" w:rsidTr="00993545">
        <w:tc>
          <w:tcPr>
            <w:tcW w:w="5353" w:type="dxa"/>
            <w:gridSpan w:val="4"/>
            <w:tcBorders>
              <w:bottom w:val="single" w:sz="4" w:space="0" w:color="E36C0A"/>
            </w:tcBorders>
          </w:tcPr>
          <w:p w:rsidR="00993545" w:rsidRPr="002B3385" w:rsidRDefault="00993545" w:rsidP="00993545">
            <w:pPr>
              <w:jc w:val="both"/>
              <w:rPr>
                <w:rFonts w:ascii="Arial" w:hAnsi="Arial" w:cs="Arial"/>
                <w:b/>
                <w:lang w:val="cy-GB"/>
              </w:rPr>
            </w:pPr>
            <w:r w:rsidRPr="002B3385">
              <w:rPr>
                <w:rFonts w:ascii="Arial" w:hAnsi="Arial" w:cs="Arial"/>
                <w:b/>
                <w:lang w:val="cy-GB"/>
              </w:rPr>
              <w:t>Risg Posibl:</w:t>
            </w:r>
          </w:p>
          <w:p w:rsidR="00993545" w:rsidRPr="002B3385" w:rsidRDefault="00993545" w:rsidP="00993545">
            <w:pPr>
              <w:jc w:val="both"/>
              <w:rPr>
                <w:rFonts w:ascii="Arial" w:hAnsi="Arial" w:cs="Arial"/>
                <w:b/>
                <w:lang w:val="cy-GB"/>
              </w:rPr>
            </w:pPr>
            <w:r w:rsidRPr="002B3385">
              <w:rPr>
                <w:rFonts w:ascii="Arial" w:hAnsi="Arial" w:cs="Arial"/>
                <w:lang w:val="cy-GB"/>
              </w:rPr>
              <w:t>(corfforol, seicolegol, cyfreithiol, cymdeithasol neu economaidd)</w:t>
            </w:r>
          </w:p>
          <w:p w:rsidR="00993545" w:rsidRPr="002B3385" w:rsidRDefault="00993545" w:rsidP="00993545">
            <w:pPr>
              <w:jc w:val="both"/>
              <w:rPr>
                <w:rFonts w:ascii="Arial" w:hAnsi="Arial" w:cs="Arial"/>
                <w:b/>
              </w:rPr>
            </w:pPr>
          </w:p>
        </w:tc>
        <w:tc>
          <w:tcPr>
            <w:tcW w:w="5614" w:type="dxa"/>
            <w:gridSpan w:val="8"/>
            <w:tcBorders>
              <w:bottom w:val="single" w:sz="4" w:space="0" w:color="E36C0A"/>
            </w:tcBorders>
          </w:tcPr>
          <w:p w:rsidR="00993545" w:rsidRPr="002B3385" w:rsidRDefault="00993545" w:rsidP="00993545">
            <w:pPr>
              <w:jc w:val="both"/>
              <w:rPr>
                <w:rFonts w:ascii="Arial" w:hAnsi="Arial" w:cs="Arial"/>
              </w:rPr>
            </w:pPr>
            <w:r w:rsidRPr="002B3385">
              <w:rPr>
                <w:rFonts w:ascii="Arial" w:hAnsi="Arial" w:cs="Arial"/>
                <w:b/>
              </w:rPr>
              <w:t>Potential Risk:</w:t>
            </w:r>
            <w:r w:rsidRPr="002B3385">
              <w:rPr>
                <w:rFonts w:ascii="Arial" w:hAnsi="Arial" w:cs="Arial"/>
              </w:rPr>
              <w:t xml:space="preserve"> </w:t>
            </w:r>
          </w:p>
          <w:p w:rsidR="00993545" w:rsidRPr="002B3385" w:rsidRDefault="00993545" w:rsidP="00993545">
            <w:pPr>
              <w:jc w:val="both"/>
              <w:rPr>
                <w:rFonts w:ascii="Arial" w:hAnsi="Arial" w:cs="Arial"/>
              </w:rPr>
            </w:pPr>
            <w:r w:rsidRPr="002B3385">
              <w:rPr>
                <w:rFonts w:ascii="Arial" w:hAnsi="Arial" w:cs="Arial"/>
              </w:rPr>
              <w:t>(physical, psychological, legal, social or economic)</w:t>
            </w:r>
          </w:p>
          <w:p w:rsidR="00993545" w:rsidRPr="002B3385" w:rsidRDefault="00993545" w:rsidP="00993545">
            <w:pPr>
              <w:jc w:val="both"/>
              <w:rPr>
                <w:rFonts w:ascii="Arial" w:hAnsi="Arial" w:cs="Arial"/>
                <w:b/>
              </w:rPr>
            </w:pPr>
          </w:p>
        </w:tc>
      </w:tr>
      <w:tr w:rsidR="00993545" w:rsidRPr="002B3385" w:rsidTr="00993545">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rPr>
            </w:pPr>
          </w:p>
          <w:p w:rsidR="00993545" w:rsidRPr="002B3385" w:rsidRDefault="00993545" w:rsidP="00993545">
            <w:pPr>
              <w:jc w:val="both"/>
              <w:rPr>
                <w:rFonts w:ascii="Arial" w:hAnsi="Arial" w:cs="Arial"/>
              </w:rPr>
            </w:pPr>
            <w:r w:rsidRPr="002B3385">
              <w:rPr>
                <w:rFonts w:ascii="Arial" w:hAnsi="Arial" w:cs="Arial"/>
              </w:rPr>
              <w:t xml:space="preserve">A oes unrhyw risg bosibl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rPr>
            </w:pPr>
            <w:r w:rsidRPr="002B3385">
              <w:rPr>
                <w:rFonts w:ascii="Arial" w:hAnsi="Arial" w:cs="Arial"/>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rPr>
            </w:pPr>
            <w:r w:rsidRPr="002B3385">
              <w:rPr>
                <w:rFonts w:ascii="Arial" w:hAnsi="Arial" w:cs="Arial"/>
              </w:rPr>
              <w:t>Ydw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rPr>
            </w:pPr>
            <w:r w:rsidRPr="002B3385">
              <w:rPr>
                <w:rFonts w:ascii="Arial" w:hAnsi="Arial" w:cs="Arial"/>
              </w:rPr>
              <w:t>Na / No</w:t>
            </w:r>
          </w:p>
        </w:tc>
      </w:tr>
      <w:tr w:rsidR="00993545" w:rsidRPr="002B3385" w:rsidTr="00993545">
        <w:tc>
          <w:tcPr>
            <w:tcW w:w="687" w:type="dxa"/>
            <w:tcBorders>
              <w:left w:val="single" w:sz="4" w:space="0" w:color="E36C0A"/>
              <w:bottom w:val="single" w:sz="4" w:space="0" w:color="E36C0A"/>
            </w:tcBorders>
          </w:tcPr>
          <w:p w:rsidR="00993545" w:rsidRPr="002B3385" w:rsidRDefault="00993545" w:rsidP="00993545">
            <w:pPr>
              <w:jc w:val="both"/>
              <w:rPr>
                <w:rFonts w:ascii="Arial" w:hAnsi="Arial" w:cs="Arial"/>
              </w:rPr>
            </w:pPr>
            <w:r w:rsidRPr="002B3385">
              <w:rPr>
                <w:rFonts w:ascii="Arial" w:hAnsi="Arial" w:cs="Arial"/>
              </w:rPr>
              <w:t>A</w:t>
            </w:r>
          </w:p>
          <w:p w:rsidR="00993545" w:rsidRPr="002B3385" w:rsidRDefault="00993545" w:rsidP="00993545">
            <w:pPr>
              <w:jc w:val="both"/>
              <w:rPr>
                <w:rFonts w:ascii="Arial" w:hAnsi="Arial" w:cs="Arial"/>
              </w:rPr>
            </w:pPr>
          </w:p>
        </w:tc>
        <w:tc>
          <w:tcPr>
            <w:tcW w:w="4666" w:type="dxa"/>
            <w:gridSpan w:val="3"/>
            <w:tcBorders>
              <w:left w:val="single" w:sz="4" w:space="0" w:color="E36C0A"/>
              <w:bottom w:val="single" w:sz="4" w:space="0" w:color="E36C0A"/>
            </w:tcBorders>
          </w:tcPr>
          <w:p w:rsidR="00993545" w:rsidRPr="002B3385" w:rsidRDefault="00993545" w:rsidP="00993545">
            <w:pPr>
              <w:jc w:val="both"/>
              <w:rPr>
                <w:rFonts w:ascii="Arial" w:hAnsi="Arial" w:cs="Arial"/>
              </w:rPr>
            </w:pPr>
            <w:r w:rsidRPr="002B3385">
              <w:rPr>
                <w:rFonts w:ascii="Arial" w:hAnsi="Arial" w:cs="Arial"/>
              </w:rPr>
              <w:t>Cyfranogwyr?</w:t>
            </w:r>
          </w:p>
          <w:p w:rsidR="00993545" w:rsidRPr="002B3385" w:rsidRDefault="00993545" w:rsidP="00993545">
            <w:pPr>
              <w:jc w:val="both"/>
              <w:rPr>
                <w:rFonts w:ascii="Arial" w:hAnsi="Arial" w:cs="Arial"/>
              </w:rPr>
            </w:pPr>
          </w:p>
        </w:tc>
        <w:tc>
          <w:tcPr>
            <w:tcW w:w="3483" w:type="dxa"/>
            <w:gridSpan w:val="4"/>
            <w:tcBorders>
              <w:left w:val="single" w:sz="4" w:space="0" w:color="E36C0A"/>
              <w:bottom w:val="single" w:sz="4" w:space="0" w:color="E36C0A"/>
            </w:tcBorders>
          </w:tcPr>
          <w:p w:rsidR="00993545" w:rsidRPr="002B3385" w:rsidRDefault="00993545" w:rsidP="00993545">
            <w:pPr>
              <w:jc w:val="both"/>
              <w:rPr>
                <w:rFonts w:ascii="Arial" w:hAnsi="Arial" w:cs="Arial"/>
              </w:rPr>
            </w:pPr>
            <w:r w:rsidRPr="002B3385">
              <w:rPr>
                <w:rFonts w:ascii="Arial" w:hAnsi="Arial" w:cs="Arial"/>
              </w:rPr>
              <w:t>Participants?</w:t>
            </w:r>
          </w:p>
        </w:tc>
        <w:tc>
          <w:tcPr>
            <w:tcW w:w="1176" w:type="dxa"/>
            <w:gridSpan w:val="2"/>
            <w:tcBorders>
              <w:left w:val="single" w:sz="4" w:space="0" w:color="E36C0A"/>
              <w:bottom w:val="single" w:sz="4" w:space="0" w:color="E36C0A"/>
            </w:tcBorders>
          </w:tcPr>
          <w:p w:rsidR="00993545" w:rsidRPr="002B3385" w:rsidRDefault="00993545" w:rsidP="00993545">
            <w:pPr>
              <w:jc w:val="both"/>
              <w:rPr>
                <w:rFonts w:ascii="Arial" w:hAnsi="Arial" w:cs="Arial"/>
              </w:rPr>
            </w:pPr>
          </w:p>
        </w:tc>
        <w:tc>
          <w:tcPr>
            <w:tcW w:w="955" w:type="dxa"/>
            <w:gridSpan w:val="2"/>
            <w:tcBorders>
              <w:left w:val="single" w:sz="4" w:space="0" w:color="E36C0A"/>
              <w:bottom w:val="single" w:sz="4" w:space="0" w:color="E36C0A"/>
            </w:tcBorders>
          </w:tcPr>
          <w:p w:rsidR="00993545" w:rsidRPr="002B3385" w:rsidRDefault="00993545" w:rsidP="00993545">
            <w:pPr>
              <w:jc w:val="both"/>
              <w:rPr>
                <w:rFonts w:ascii="Arial" w:hAnsi="Arial" w:cs="Arial"/>
              </w:rPr>
            </w:pPr>
            <w:r>
              <w:rPr>
                <w:rFonts w:ascii="Arial" w:hAnsi="Arial" w:cs="Arial"/>
              </w:rPr>
              <w:t>No</w:t>
            </w:r>
          </w:p>
        </w:tc>
      </w:tr>
      <w:tr w:rsidR="00993545" w:rsidRPr="002B3385" w:rsidTr="00993545">
        <w:tc>
          <w:tcPr>
            <w:tcW w:w="687" w:type="dxa"/>
          </w:tcPr>
          <w:p w:rsidR="00993545" w:rsidRPr="002B3385" w:rsidRDefault="00993545" w:rsidP="00993545">
            <w:pPr>
              <w:jc w:val="both"/>
              <w:rPr>
                <w:rFonts w:ascii="Arial" w:hAnsi="Arial" w:cs="Arial"/>
                <w:lang w:val="cy-GB"/>
              </w:rPr>
            </w:pPr>
            <w:r w:rsidRPr="002B3385">
              <w:rPr>
                <w:rFonts w:ascii="Arial" w:hAnsi="Arial" w:cs="Arial"/>
                <w:lang w:val="cy-GB"/>
              </w:rPr>
              <w:t>B</w:t>
            </w:r>
          </w:p>
          <w:p w:rsidR="00993545" w:rsidRPr="002B3385" w:rsidRDefault="00993545" w:rsidP="00993545">
            <w:pPr>
              <w:jc w:val="both"/>
              <w:rPr>
                <w:rFonts w:ascii="Arial" w:hAnsi="Arial" w:cs="Arial"/>
                <w:lang w:val="cy-GB"/>
              </w:rPr>
            </w:pPr>
          </w:p>
        </w:tc>
        <w:tc>
          <w:tcPr>
            <w:tcW w:w="4666" w:type="dxa"/>
            <w:gridSpan w:val="3"/>
          </w:tcPr>
          <w:p w:rsidR="00993545" w:rsidRPr="002B3385" w:rsidRDefault="00993545" w:rsidP="00993545">
            <w:pPr>
              <w:jc w:val="both"/>
              <w:rPr>
                <w:rFonts w:ascii="Arial" w:hAnsi="Arial" w:cs="Arial"/>
                <w:lang w:val="cy-GB"/>
              </w:rPr>
            </w:pPr>
            <w:r w:rsidRPr="002B3385">
              <w:rPr>
                <w:rFonts w:ascii="Arial" w:hAnsi="Arial" w:cs="Arial"/>
                <w:lang w:val="cy-GB"/>
              </w:rPr>
              <w:t>Ymchwilydd?</w:t>
            </w:r>
          </w:p>
        </w:tc>
        <w:tc>
          <w:tcPr>
            <w:tcW w:w="3483" w:type="dxa"/>
            <w:gridSpan w:val="4"/>
          </w:tcPr>
          <w:p w:rsidR="00993545" w:rsidRPr="002B3385" w:rsidRDefault="00993545" w:rsidP="00993545">
            <w:pPr>
              <w:rPr>
                <w:rFonts w:ascii="Arial" w:hAnsi="Arial" w:cs="Arial"/>
              </w:rPr>
            </w:pPr>
            <w:r w:rsidRPr="002B3385">
              <w:rPr>
                <w:rFonts w:ascii="Arial" w:hAnsi="Arial" w:cs="Arial"/>
              </w:rPr>
              <w:t>Researcher?</w:t>
            </w:r>
          </w:p>
        </w:tc>
        <w:tc>
          <w:tcPr>
            <w:tcW w:w="1176" w:type="dxa"/>
            <w:gridSpan w:val="2"/>
          </w:tcPr>
          <w:p w:rsidR="00993545" w:rsidRPr="002B3385" w:rsidRDefault="00993545" w:rsidP="00993545">
            <w:pPr>
              <w:rPr>
                <w:rFonts w:ascii="Arial" w:hAnsi="Arial" w:cs="Arial"/>
              </w:rPr>
            </w:pPr>
          </w:p>
        </w:tc>
        <w:tc>
          <w:tcPr>
            <w:tcW w:w="955" w:type="dxa"/>
            <w:gridSpan w:val="2"/>
          </w:tcPr>
          <w:p w:rsidR="00993545" w:rsidRPr="002B3385" w:rsidRDefault="00993545" w:rsidP="00993545">
            <w:pPr>
              <w:rPr>
                <w:rFonts w:ascii="Arial" w:hAnsi="Arial" w:cs="Arial"/>
              </w:rPr>
            </w:pPr>
            <w:r>
              <w:rPr>
                <w:rFonts w:ascii="Arial" w:hAnsi="Arial" w:cs="Arial"/>
              </w:rPr>
              <w:t>No</w:t>
            </w:r>
          </w:p>
        </w:tc>
      </w:tr>
      <w:tr w:rsidR="00993545" w:rsidRPr="002B3385" w:rsidTr="00993545">
        <w:tc>
          <w:tcPr>
            <w:tcW w:w="687" w:type="dxa"/>
            <w:tcBorders>
              <w:bottom w:val="single" w:sz="4" w:space="0" w:color="E36C0A"/>
            </w:tcBorders>
          </w:tcPr>
          <w:p w:rsidR="00993545" w:rsidRPr="002B3385" w:rsidRDefault="00993545" w:rsidP="00993545">
            <w:pPr>
              <w:jc w:val="both"/>
              <w:rPr>
                <w:rFonts w:ascii="Arial" w:hAnsi="Arial" w:cs="Arial"/>
                <w:lang w:val="cy-GB"/>
              </w:rPr>
            </w:pPr>
            <w:r w:rsidRPr="002B3385">
              <w:rPr>
                <w:rFonts w:ascii="Arial" w:hAnsi="Arial" w:cs="Arial"/>
                <w:lang w:val="cy-GB"/>
              </w:rPr>
              <w:t>C</w:t>
            </w:r>
          </w:p>
          <w:p w:rsidR="00993545" w:rsidRPr="002B3385" w:rsidRDefault="00993545" w:rsidP="00993545">
            <w:pPr>
              <w:jc w:val="both"/>
              <w:rPr>
                <w:rFonts w:ascii="Arial" w:hAnsi="Arial" w:cs="Arial"/>
                <w:lang w:val="cy-GB"/>
              </w:rPr>
            </w:pPr>
          </w:p>
        </w:tc>
        <w:tc>
          <w:tcPr>
            <w:tcW w:w="4666" w:type="dxa"/>
            <w:gridSpan w:val="3"/>
            <w:tcBorders>
              <w:bottom w:val="single" w:sz="4" w:space="0" w:color="E36C0A"/>
            </w:tcBorders>
          </w:tcPr>
          <w:p w:rsidR="00993545" w:rsidRPr="002B3385" w:rsidRDefault="00993545" w:rsidP="00993545">
            <w:pPr>
              <w:jc w:val="both"/>
              <w:rPr>
                <w:rFonts w:ascii="Arial" w:hAnsi="Arial" w:cs="Arial"/>
                <w:lang w:val="cy-GB"/>
              </w:rPr>
            </w:pPr>
            <w:r w:rsidRPr="002B3385">
              <w:rPr>
                <w:rFonts w:ascii="Arial" w:hAnsi="Arial" w:cs="Arial"/>
                <w:lang w:val="cy-GB"/>
              </w:rPr>
              <w:t>BrifYsgol/Cyfadran?</w:t>
            </w:r>
          </w:p>
        </w:tc>
        <w:tc>
          <w:tcPr>
            <w:tcW w:w="3483" w:type="dxa"/>
            <w:gridSpan w:val="4"/>
            <w:tcBorders>
              <w:bottom w:val="single" w:sz="4" w:space="0" w:color="E36C0A"/>
            </w:tcBorders>
          </w:tcPr>
          <w:p w:rsidR="00993545" w:rsidRPr="002B3385" w:rsidRDefault="00993545" w:rsidP="00993545">
            <w:pPr>
              <w:rPr>
                <w:rFonts w:ascii="Arial" w:hAnsi="Arial" w:cs="Arial"/>
              </w:rPr>
            </w:pPr>
            <w:r w:rsidRPr="002B3385">
              <w:rPr>
                <w:rFonts w:ascii="Arial" w:hAnsi="Arial" w:cs="Arial"/>
              </w:rPr>
              <w:t>University?</w:t>
            </w:r>
          </w:p>
        </w:tc>
        <w:tc>
          <w:tcPr>
            <w:tcW w:w="1176" w:type="dxa"/>
            <w:gridSpan w:val="2"/>
            <w:tcBorders>
              <w:bottom w:val="single" w:sz="4" w:space="0" w:color="E36C0A"/>
            </w:tcBorders>
          </w:tcPr>
          <w:p w:rsidR="00993545" w:rsidRPr="002B3385" w:rsidRDefault="00993545" w:rsidP="00993545">
            <w:pPr>
              <w:rPr>
                <w:rFonts w:ascii="Arial" w:hAnsi="Arial" w:cs="Arial"/>
              </w:rPr>
            </w:pPr>
          </w:p>
        </w:tc>
        <w:tc>
          <w:tcPr>
            <w:tcW w:w="955" w:type="dxa"/>
            <w:gridSpan w:val="2"/>
            <w:tcBorders>
              <w:bottom w:val="single" w:sz="4" w:space="0" w:color="E36C0A"/>
            </w:tcBorders>
          </w:tcPr>
          <w:p w:rsidR="00993545" w:rsidRPr="002B3385" w:rsidRDefault="00993545" w:rsidP="00993545">
            <w:pPr>
              <w:rPr>
                <w:rFonts w:ascii="Arial" w:hAnsi="Arial" w:cs="Arial"/>
              </w:rPr>
            </w:pPr>
          </w:p>
        </w:tc>
      </w:tr>
      <w:tr w:rsidR="00993545" w:rsidRPr="002B3385" w:rsidTr="00993545">
        <w:trPr>
          <w:trHeight w:val="382"/>
        </w:trPr>
        <w:tc>
          <w:tcPr>
            <w:tcW w:w="10967" w:type="dxa"/>
            <w:gridSpan w:val="12"/>
            <w:tcBorders>
              <w:left w:val="nil"/>
              <w:bottom w:val="single" w:sz="4" w:space="0" w:color="E36C0A"/>
              <w:right w:val="nil"/>
            </w:tcBorders>
          </w:tcPr>
          <w:p w:rsidR="00993545" w:rsidRPr="002B3385" w:rsidRDefault="00993545" w:rsidP="00993545">
            <w:pPr>
              <w:jc w:val="both"/>
              <w:rPr>
                <w:rFonts w:ascii="Arial" w:hAnsi="Arial" w:cs="Arial"/>
              </w:rPr>
            </w:pPr>
          </w:p>
        </w:tc>
      </w:tr>
      <w:tr w:rsidR="00993545" w:rsidRPr="002B3385" w:rsidTr="00993545">
        <w:trPr>
          <w:trHeight w:val="582"/>
        </w:trPr>
        <w:tc>
          <w:tcPr>
            <w:tcW w:w="687" w:type="dxa"/>
            <w:shd w:val="clear" w:color="auto" w:fill="FDE9D9"/>
          </w:tcPr>
          <w:p w:rsidR="00993545" w:rsidRPr="002B3385" w:rsidRDefault="00993545" w:rsidP="00993545">
            <w:pPr>
              <w:jc w:val="both"/>
              <w:rPr>
                <w:rFonts w:ascii="Arial" w:hAnsi="Arial" w:cs="Arial"/>
                <w:lang w:val="cy-GB"/>
              </w:rPr>
            </w:pPr>
            <w:r w:rsidRPr="002B3385">
              <w:rPr>
                <w:rFonts w:ascii="Arial" w:hAnsi="Arial" w:cs="Arial"/>
                <w:lang w:val="cy-GB"/>
              </w:rPr>
              <w:t>2</w:t>
            </w:r>
          </w:p>
        </w:tc>
        <w:tc>
          <w:tcPr>
            <w:tcW w:w="4666" w:type="dxa"/>
            <w:gridSpan w:val="3"/>
            <w:shd w:val="clear" w:color="auto" w:fill="FDE9D9"/>
          </w:tcPr>
          <w:p w:rsidR="00993545" w:rsidRPr="002B3385" w:rsidRDefault="00993545" w:rsidP="00993545">
            <w:pPr>
              <w:jc w:val="both"/>
              <w:rPr>
                <w:rFonts w:ascii="Arial" w:hAnsi="Arial" w:cs="Arial"/>
                <w:b/>
                <w:lang w:val="cy-GB"/>
              </w:rPr>
            </w:pPr>
            <w:r w:rsidRPr="002B3385">
              <w:rPr>
                <w:rFonts w:ascii="Arial" w:hAnsi="Arial" w:cs="Arial"/>
                <w:b/>
                <w:lang w:val="cy-GB"/>
              </w:rPr>
              <w:t xml:space="preserve">Rheoli Risg: </w:t>
            </w:r>
          </w:p>
          <w:p w:rsidR="00993545" w:rsidRPr="002B3385" w:rsidRDefault="00993545" w:rsidP="00993545">
            <w:pPr>
              <w:jc w:val="both"/>
              <w:rPr>
                <w:rFonts w:ascii="Arial" w:hAnsi="Arial" w:cs="Arial"/>
                <w:i/>
                <w:lang w:val="cy-GB"/>
              </w:rPr>
            </w:pPr>
            <w:r w:rsidRPr="002B3385">
              <w:rPr>
                <w:rFonts w:ascii="Arial" w:hAnsi="Arial" w:cs="Arial"/>
                <w:lang w:val="cy-GB"/>
              </w:rPr>
              <w:t>Os oes, beth yw'r risg a sut y bydd yn cael ei reoli?</w:t>
            </w:r>
          </w:p>
        </w:tc>
        <w:tc>
          <w:tcPr>
            <w:tcW w:w="5614" w:type="dxa"/>
            <w:gridSpan w:val="8"/>
            <w:shd w:val="clear" w:color="auto" w:fill="FDE9D9"/>
          </w:tcPr>
          <w:p w:rsidR="00993545" w:rsidRPr="002B3385" w:rsidRDefault="00993545" w:rsidP="00993545">
            <w:pPr>
              <w:jc w:val="both"/>
              <w:rPr>
                <w:rFonts w:ascii="Arial" w:hAnsi="Arial" w:cs="Arial"/>
                <w:b/>
              </w:rPr>
            </w:pPr>
            <w:r w:rsidRPr="002B3385">
              <w:rPr>
                <w:rFonts w:ascii="Arial" w:hAnsi="Arial" w:cs="Arial"/>
                <w:b/>
              </w:rPr>
              <w:t>Management of Risk:</w:t>
            </w:r>
          </w:p>
          <w:p w:rsidR="00993545" w:rsidRPr="002B3385" w:rsidRDefault="00993545" w:rsidP="00993545">
            <w:pPr>
              <w:jc w:val="both"/>
              <w:rPr>
                <w:rFonts w:ascii="Arial" w:hAnsi="Arial" w:cs="Arial"/>
              </w:rPr>
            </w:pPr>
            <w:r w:rsidRPr="002B3385">
              <w:rPr>
                <w:rFonts w:ascii="Arial" w:hAnsi="Arial" w:cs="Arial"/>
              </w:rPr>
              <w:t>If yes, what is the risk and how will it be managed?</w:t>
            </w:r>
          </w:p>
          <w:p w:rsidR="00993545" w:rsidRPr="002B3385" w:rsidRDefault="00993545" w:rsidP="00993545">
            <w:pPr>
              <w:rPr>
                <w:rFonts w:ascii="Arial" w:hAnsi="Arial" w:cs="Arial"/>
              </w:rPr>
            </w:pPr>
          </w:p>
        </w:tc>
      </w:tr>
      <w:tr w:rsidR="00993545" w:rsidRPr="002B3385" w:rsidTr="00993545">
        <w:tc>
          <w:tcPr>
            <w:tcW w:w="10967" w:type="dxa"/>
            <w:gridSpan w:val="12"/>
            <w:tcBorders>
              <w:bottom w:val="single" w:sz="4" w:space="0" w:color="E36C0A"/>
            </w:tcBorders>
          </w:tcPr>
          <w:p w:rsidR="00993545" w:rsidRPr="002B3385" w:rsidRDefault="00993545" w:rsidP="00993545">
            <w:pPr>
              <w:jc w:val="both"/>
              <w:rPr>
                <w:rFonts w:ascii="Arial" w:hAnsi="Arial" w:cs="Arial"/>
              </w:rPr>
            </w:pPr>
          </w:p>
          <w:p w:rsidR="00993545" w:rsidRPr="002B3385" w:rsidRDefault="00993545" w:rsidP="00993545">
            <w:pPr>
              <w:jc w:val="both"/>
              <w:rPr>
                <w:rFonts w:ascii="Arial" w:hAnsi="Arial" w:cs="Arial"/>
              </w:rPr>
            </w:pPr>
          </w:p>
          <w:p w:rsidR="00993545" w:rsidRPr="002B3385" w:rsidRDefault="00993545" w:rsidP="00993545">
            <w:pPr>
              <w:jc w:val="both"/>
              <w:rPr>
                <w:rFonts w:ascii="Arial" w:hAnsi="Arial" w:cs="Arial"/>
              </w:rPr>
            </w:pPr>
          </w:p>
        </w:tc>
      </w:tr>
      <w:tr w:rsidR="00993545" w:rsidRPr="002B3385" w:rsidTr="00993545">
        <w:tc>
          <w:tcPr>
            <w:tcW w:w="10967" w:type="dxa"/>
            <w:gridSpan w:val="12"/>
            <w:tcBorders>
              <w:left w:val="nil"/>
              <w:bottom w:val="nil"/>
              <w:right w:val="nil"/>
            </w:tcBorders>
          </w:tcPr>
          <w:p w:rsidR="00993545" w:rsidRPr="002B3385" w:rsidRDefault="00993545" w:rsidP="00993545">
            <w:pPr>
              <w:jc w:val="both"/>
              <w:rPr>
                <w:rFonts w:ascii="Arial" w:hAnsi="Arial" w:cs="Arial"/>
              </w:rPr>
            </w:pPr>
          </w:p>
          <w:p w:rsidR="00993545" w:rsidRPr="002B3385" w:rsidRDefault="00993545" w:rsidP="00993545">
            <w:pPr>
              <w:jc w:val="both"/>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993545" w:rsidRPr="002B3385" w:rsidTr="00993545">
              <w:trPr>
                <w:trHeight w:val="582"/>
              </w:trPr>
              <w:tc>
                <w:tcPr>
                  <w:tcW w:w="534" w:type="dxa"/>
                  <w:shd w:val="clear" w:color="auto" w:fill="FDE9D9"/>
                </w:tcPr>
                <w:p w:rsidR="00993545" w:rsidRPr="002B3385" w:rsidRDefault="00993545" w:rsidP="00993545">
                  <w:pPr>
                    <w:jc w:val="both"/>
                    <w:rPr>
                      <w:rFonts w:ascii="Arial" w:hAnsi="Arial" w:cs="Arial"/>
                      <w:lang w:val="cy-GB"/>
                    </w:rPr>
                  </w:pPr>
                  <w:r w:rsidRPr="002B3385">
                    <w:rPr>
                      <w:rFonts w:ascii="Arial" w:hAnsi="Arial" w:cs="Arial"/>
                      <w:lang w:val="cy-GB"/>
                    </w:rPr>
                    <w:lastRenderedPageBreak/>
                    <w:t>3</w:t>
                  </w:r>
                </w:p>
              </w:tc>
              <w:tc>
                <w:tcPr>
                  <w:tcW w:w="4819" w:type="dxa"/>
                  <w:shd w:val="clear" w:color="auto" w:fill="FDE9D9"/>
                </w:tcPr>
                <w:p w:rsidR="00993545" w:rsidRPr="002B3385" w:rsidRDefault="00993545" w:rsidP="00993545">
                  <w:pPr>
                    <w:jc w:val="both"/>
                    <w:rPr>
                      <w:rFonts w:ascii="Arial" w:hAnsi="Arial" w:cs="Arial"/>
                      <w:lang w:val="cy-GB"/>
                    </w:rPr>
                  </w:pPr>
                  <w:r w:rsidRPr="002B3385">
                    <w:rPr>
                      <w:rFonts w:ascii="Arial" w:hAnsi="Arial" w:cs="Arial"/>
                      <w:lang w:val="cy-GB"/>
                    </w:rPr>
                    <w:t>Os ydych yn delio â phlant ac oedolion sy'n agored i niwed a ydych wedi gwneud cais am dystysgrif DRS?</w:t>
                  </w:r>
                </w:p>
              </w:tc>
              <w:tc>
                <w:tcPr>
                  <w:tcW w:w="5387" w:type="dxa"/>
                  <w:shd w:val="clear" w:color="auto" w:fill="FDE9D9"/>
                </w:tcPr>
                <w:p w:rsidR="00993545" w:rsidRPr="002B3385" w:rsidRDefault="00993545" w:rsidP="00993545">
                  <w:pPr>
                    <w:rPr>
                      <w:rFonts w:ascii="Arial" w:hAnsi="Arial" w:cs="Arial"/>
                    </w:rPr>
                  </w:pPr>
                  <w:r w:rsidRPr="002B3385">
                    <w:rPr>
                      <w:rFonts w:ascii="Arial" w:hAnsi="Arial" w:cs="Arial"/>
                    </w:rPr>
                    <w:t>If you are dealing with children and vulnerable adults have you applied for a DRS certificate?</w:t>
                  </w:r>
                </w:p>
              </w:tc>
            </w:tr>
            <w:tr w:rsidR="00993545" w:rsidRPr="002B3385" w:rsidTr="00993545">
              <w:tc>
                <w:tcPr>
                  <w:tcW w:w="10740" w:type="dxa"/>
                  <w:gridSpan w:val="3"/>
                  <w:tcBorders>
                    <w:bottom w:val="single" w:sz="4" w:space="0" w:color="E36C0A"/>
                  </w:tcBorders>
                </w:tcPr>
                <w:p w:rsidR="00993545" w:rsidRPr="002B3385" w:rsidRDefault="00993545" w:rsidP="00993545">
                  <w:pPr>
                    <w:jc w:val="both"/>
                    <w:rPr>
                      <w:rFonts w:ascii="Arial" w:hAnsi="Arial" w:cs="Arial"/>
                    </w:rPr>
                  </w:pPr>
                </w:p>
                <w:p w:rsidR="00993545" w:rsidRPr="002B3385" w:rsidRDefault="00993545" w:rsidP="00993545">
                  <w:pPr>
                    <w:jc w:val="both"/>
                    <w:rPr>
                      <w:rFonts w:ascii="Arial" w:hAnsi="Arial" w:cs="Arial"/>
                    </w:rPr>
                  </w:pPr>
                  <w:r>
                    <w:rPr>
                      <w:rFonts w:ascii="Arial" w:hAnsi="Arial" w:cs="Arial"/>
                    </w:rPr>
                    <w:t>N/A</w:t>
                  </w:r>
                </w:p>
                <w:p w:rsidR="00993545" w:rsidRPr="002B3385" w:rsidRDefault="00993545" w:rsidP="00993545">
                  <w:pPr>
                    <w:jc w:val="both"/>
                    <w:rPr>
                      <w:rFonts w:ascii="Arial" w:hAnsi="Arial" w:cs="Arial"/>
                    </w:rPr>
                  </w:pPr>
                </w:p>
              </w:tc>
            </w:tr>
          </w:tbl>
          <w:p w:rsidR="00993545" w:rsidRPr="002B3385" w:rsidRDefault="00993545" w:rsidP="00993545">
            <w:pPr>
              <w:jc w:val="both"/>
              <w:rPr>
                <w:rFonts w:ascii="Arial" w:hAnsi="Arial" w:cs="Arial"/>
              </w:rPr>
            </w:pPr>
          </w:p>
          <w:p w:rsidR="00993545" w:rsidRPr="002B3385" w:rsidRDefault="00993545" w:rsidP="00993545">
            <w:pPr>
              <w:jc w:val="both"/>
              <w:rPr>
                <w:rFonts w:ascii="Arial" w:hAnsi="Arial" w:cs="Arial"/>
              </w:rPr>
            </w:pPr>
          </w:p>
          <w:p w:rsidR="00993545" w:rsidRPr="002B3385" w:rsidRDefault="00993545" w:rsidP="00993545">
            <w:pPr>
              <w:jc w:val="both"/>
              <w:rPr>
                <w:rFonts w:ascii="Arial" w:hAnsi="Arial" w:cs="Arial"/>
              </w:rPr>
            </w:pPr>
          </w:p>
        </w:tc>
      </w:tr>
      <w:tr w:rsidR="00993545" w:rsidRPr="002B3385" w:rsidTr="00993545">
        <w:tc>
          <w:tcPr>
            <w:tcW w:w="4990" w:type="dxa"/>
            <w:gridSpan w:val="3"/>
            <w:tcBorders>
              <w:top w:val="nil"/>
              <w:left w:val="nil"/>
              <w:bottom w:val="single" w:sz="4" w:space="0" w:color="E36C0A"/>
              <w:right w:val="nil"/>
            </w:tcBorders>
            <w:shd w:val="clear" w:color="auto" w:fill="FDE9D9"/>
          </w:tcPr>
          <w:p w:rsidR="00993545" w:rsidRPr="002B3385" w:rsidRDefault="0053750F" w:rsidP="00993545">
            <w:pPr>
              <w:rPr>
                <w:rFonts w:ascii="Arial" w:hAnsi="Arial" w:cs="Arial"/>
                <w:b/>
                <w:color w:val="E36C0A"/>
                <w:lang w:val="cy-GB"/>
              </w:rPr>
            </w:pPr>
            <w:r w:rsidRPr="002B3385">
              <w:rPr>
                <w:rFonts w:ascii="Arial" w:hAnsi="Arial" w:cs="Arial"/>
                <w:b/>
                <w:noProof/>
                <w:color w:val="E36C0A"/>
                <w:lang w:eastAsia="en-GB"/>
              </w:rPr>
              <w:lastRenderedPageBreak/>
              <mc:AlternateContent>
                <mc:Choice Requires="wps">
                  <w:drawing>
                    <wp:anchor distT="0" distB="0" distL="114300" distR="114300" simplePos="0" relativeHeight="251665408" behindDoc="0" locked="0" layoutInCell="1" allowOverlap="1">
                      <wp:simplePos x="0" y="0"/>
                      <wp:positionH relativeFrom="column">
                        <wp:posOffset>14605</wp:posOffset>
                      </wp:positionH>
                      <wp:positionV relativeFrom="paragraph">
                        <wp:posOffset>490220</wp:posOffset>
                      </wp:positionV>
                      <wp:extent cx="6590665" cy="12065"/>
                      <wp:effectExtent l="38100" t="38100" r="57785" b="64135"/>
                      <wp:wrapNone/>
                      <wp:docPr id="3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C75F317" id="Straight Connector 4"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" strokecolor="#4f81bd" strokeweight="2pt">
                      <v:shadow on="t" color="black" opacity="24903f" origin=",.5" offset="0,.55556mm"/>
                      <o:lock v:ext="edit" shapetype="f"/>
                    </v:line>
                  </w:pict>
                </mc:Fallback>
              </mc:AlternateContent>
            </w:r>
            <w:r w:rsidR="00993545" w:rsidRPr="002B3385">
              <w:rPr>
                <w:rFonts w:ascii="Arial" w:hAnsi="Arial" w:cs="Arial"/>
                <w:b/>
                <w:color w:val="E36C0A"/>
                <w:lang w:val="cy-GB"/>
              </w:rPr>
              <w:t>ADRAN 6 – MONITRO, ADBORTH A CHYFRINACHEDD</w:t>
            </w:r>
          </w:p>
          <w:p w:rsidR="00993545" w:rsidRPr="002B3385" w:rsidRDefault="00993545" w:rsidP="00993545">
            <w:pPr>
              <w:jc w:val="both"/>
              <w:rPr>
                <w:rFonts w:ascii="Arial" w:hAnsi="Arial" w:cs="Arial"/>
                <w:b/>
                <w:color w:val="E36C0A"/>
              </w:rPr>
            </w:pPr>
          </w:p>
        </w:tc>
        <w:tc>
          <w:tcPr>
            <w:tcW w:w="5977" w:type="dxa"/>
            <w:gridSpan w:val="9"/>
            <w:tcBorders>
              <w:top w:val="nil"/>
              <w:left w:val="nil"/>
              <w:bottom w:val="single" w:sz="4" w:space="0" w:color="E36C0A"/>
              <w:right w:val="nil"/>
            </w:tcBorders>
            <w:shd w:val="clear" w:color="auto" w:fill="FDE9D9"/>
          </w:tcPr>
          <w:p w:rsidR="00993545" w:rsidRPr="002B3385" w:rsidRDefault="00993545" w:rsidP="00993545">
            <w:pPr>
              <w:tabs>
                <w:tab w:val="left" w:pos="7920"/>
              </w:tabs>
              <w:rPr>
                <w:rFonts w:ascii="Arial" w:hAnsi="Arial" w:cs="Arial"/>
                <w:b/>
                <w:color w:val="E36C0A"/>
              </w:rPr>
            </w:pPr>
            <w:r w:rsidRPr="002B3385">
              <w:rPr>
                <w:rFonts w:ascii="Arial" w:hAnsi="Arial" w:cs="Arial"/>
                <w:b/>
                <w:color w:val="E36C0A"/>
              </w:rPr>
              <w:t>SECTION 6 - MONITORING, FEEDBACK AND CONFIDENTIALITY</w:t>
            </w:r>
          </w:p>
          <w:p w:rsidR="00993545" w:rsidRPr="002B3385" w:rsidRDefault="00993545" w:rsidP="00993545">
            <w:pPr>
              <w:tabs>
                <w:tab w:val="left" w:pos="7920"/>
              </w:tabs>
              <w:rPr>
                <w:rFonts w:ascii="Arial" w:hAnsi="Arial" w:cs="Arial"/>
                <w:b/>
                <w:color w:val="E36C0A"/>
              </w:rPr>
            </w:pPr>
          </w:p>
          <w:p w:rsidR="00993545" w:rsidRPr="002B3385" w:rsidRDefault="00993545" w:rsidP="00993545">
            <w:pPr>
              <w:tabs>
                <w:tab w:val="left" w:pos="7920"/>
              </w:tabs>
              <w:rPr>
                <w:rFonts w:ascii="Arial" w:hAnsi="Arial" w:cs="Arial"/>
                <w:b/>
                <w:color w:val="E36C0A"/>
              </w:rPr>
            </w:pPr>
          </w:p>
        </w:tc>
      </w:tr>
      <w:tr w:rsidR="00993545" w:rsidRPr="002B3385" w:rsidTr="00993545">
        <w:tc>
          <w:tcPr>
            <w:tcW w:w="687" w:type="dxa"/>
            <w:tcBorders>
              <w:top w:val="single" w:sz="4" w:space="0" w:color="E36C0A"/>
            </w:tcBorders>
          </w:tcPr>
          <w:p w:rsidR="00993545" w:rsidRPr="002B3385" w:rsidRDefault="00993545" w:rsidP="00993545">
            <w:pPr>
              <w:jc w:val="both"/>
              <w:rPr>
                <w:rFonts w:ascii="Arial" w:hAnsi="Arial" w:cs="Arial"/>
                <w:lang w:val="cy-GB"/>
              </w:rPr>
            </w:pPr>
            <w:r w:rsidRPr="002B3385">
              <w:rPr>
                <w:rFonts w:ascii="Arial" w:hAnsi="Arial" w:cs="Arial"/>
                <w:lang w:val="cy-GB"/>
              </w:rPr>
              <w:t>1.</w:t>
            </w:r>
          </w:p>
        </w:tc>
        <w:tc>
          <w:tcPr>
            <w:tcW w:w="5138" w:type="dxa"/>
            <w:gridSpan w:val="5"/>
            <w:tcBorders>
              <w:top w:val="single" w:sz="4" w:space="0" w:color="E36C0A"/>
            </w:tcBorders>
          </w:tcPr>
          <w:p w:rsidR="00993545" w:rsidRPr="002B3385" w:rsidRDefault="00993545" w:rsidP="00993545">
            <w:pPr>
              <w:jc w:val="both"/>
              <w:rPr>
                <w:rFonts w:ascii="Arial" w:hAnsi="Arial" w:cs="Arial"/>
                <w:lang w:val="cy-GB"/>
              </w:rPr>
            </w:pPr>
            <w:r w:rsidRPr="002B3385">
              <w:rPr>
                <w:rFonts w:ascii="Arial" w:hAnsi="Arial" w:cs="Arial"/>
                <w:lang w:val="cy-GB"/>
              </w:rPr>
              <w:t xml:space="preserve">Monitro: </w:t>
            </w:r>
          </w:p>
          <w:p w:rsidR="00993545" w:rsidRPr="002B3385" w:rsidRDefault="00993545" w:rsidP="00993545">
            <w:pPr>
              <w:tabs>
                <w:tab w:val="left" w:pos="7920"/>
              </w:tabs>
              <w:jc w:val="both"/>
              <w:rPr>
                <w:rFonts w:ascii="Arial" w:hAnsi="Arial" w:cs="Arial"/>
                <w:lang w:val="cy-GB"/>
              </w:rPr>
            </w:pPr>
            <w:r w:rsidRPr="002B3385">
              <w:rPr>
                <w:rFonts w:ascii="Arial" w:hAnsi="Arial" w:cs="Arial"/>
                <w:lang w:val="cy-GB"/>
              </w:rPr>
              <w:t>Os ydych yn sylwi ar unrhyw ymddygiad sy'n groes Cod y BrifYsgol/Cyfadran Ymarfer, unrhyw ganllawiau a gyhoeddir gan y gymdeithas broffesiynol priodol neu weithred anghyfreithlon. Amlinellwch eich strategaeth adrodd.</w:t>
            </w:r>
          </w:p>
          <w:p w:rsidR="00993545" w:rsidRPr="002B3385" w:rsidRDefault="00993545" w:rsidP="00993545">
            <w:pPr>
              <w:jc w:val="both"/>
              <w:rPr>
                <w:rFonts w:ascii="Arial" w:hAnsi="Arial" w:cs="Arial"/>
              </w:rPr>
            </w:pPr>
          </w:p>
        </w:tc>
        <w:tc>
          <w:tcPr>
            <w:tcW w:w="5142" w:type="dxa"/>
            <w:gridSpan w:val="6"/>
            <w:tcBorders>
              <w:top w:val="single" w:sz="4" w:space="0" w:color="E36C0A"/>
            </w:tcBorders>
          </w:tcPr>
          <w:p w:rsidR="00993545" w:rsidRPr="002B3385" w:rsidRDefault="00993545" w:rsidP="00993545">
            <w:pPr>
              <w:jc w:val="both"/>
              <w:rPr>
                <w:rFonts w:ascii="Arial" w:hAnsi="Arial" w:cs="Arial"/>
              </w:rPr>
            </w:pPr>
            <w:r w:rsidRPr="002B3385">
              <w:rPr>
                <w:rFonts w:ascii="Arial" w:hAnsi="Arial" w:cs="Arial"/>
              </w:rPr>
              <w:t>Monitoring:</w:t>
            </w:r>
          </w:p>
          <w:p w:rsidR="00993545" w:rsidRPr="002B3385" w:rsidRDefault="00993545" w:rsidP="00993545">
            <w:pPr>
              <w:jc w:val="both"/>
              <w:rPr>
                <w:rFonts w:ascii="Arial" w:hAnsi="Arial" w:cs="Arial"/>
              </w:rPr>
            </w:pPr>
            <w:r w:rsidRPr="002B3385">
              <w:rPr>
                <w:rFonts w:ascii="Arial" w:hAnsi="Arial" w:cs="Arial"/>
              </w:rPr>
              <w:t>Should you observe any behaviour that contravenes the University’s Code of Practice, any guidelines published by the appropriate professional association or is illegal outline the strategy of your reporting action.</w:t>
            </w:r>
          </w:p>
          <w:p w:rsidR="00993545" w:rsidRPr="002B3385" w:rsidRDefault="00993545" w:rsidP="00993545">
            <w:pPr>
              <w:jc w:val="both"/>
              <w:rPr>
                <w:rFonts w:ascii="Arial" w:hAnsi="Arial" w:cs="Arial"/>
              </w:rPr>
            </w:pPr>
          </w:p>
        </w:tc>
      </w:tr>
      <w:tr w:rsidR="00993545" w:rsidRPr="002B3385" w:rsidTr="00993545">
        <w:trPr>
          <w:trHeight w:val="813"/>
        </w:trPr>
        <w:tc>
          <w:tcPr>
            <w:tcW w:w="10967" w:type="dxa"/>
            <w:gridSpan w:val="12"/>
            <w:tcBorders>
              <w:bottom w:val="single" w:sz="4" w:space="0" w:color="E36C0A"/>
            </w:tcBorders>
          </w:tcPr>
          <w:p w:rsidR="00993545" w:rsidRPr="002B3385" w:rsidRDefault="00993545" w:rsidP="00993545">
            <w:pPr>
              <w:tabs>
                <w:tab w:val="left" w:pos="7920"/>
              </w:tabs>
              <w:rPr>
                <w:rFonts w:ascii="Arial" w:hAnsi="Arial" w:cs="Arial"/>
              </w:rPr>
            </w:pPr>
            <w:r>
              <w:rPr>
                <w:rFonts w:ascii="Arial" w:hAnsi="Arial" w:cs="Arial"/>
              </w:rPr>
              <w:t>No, this research will not contravene the university code of practice.</w:t>
            </w:r>
          </w:p>
          <w:p w:rsidR="00993545" w:rsidRPr="002B3385" w:rsidRDefault="00993545" w:rsidP="00993545">
            <w:pPr>
              <w:tabs>
                <w:tab w:val="left" w:pos="7920"/>
              </w:tabs>
              <w:rPr>
                <w:rFonts w:ascii="Arial" w:hAnsi="Arial" w:cs="Arial"/>
              </w:rPr>
            </w:pPr>
          </w:p>
          <w:p w:rsidR="00993545" w:rsidRPr="002B3385" w:rsidRDefault="00993545" w:rsidP="00993545">
            <w:pPr>
              <w:tabs>
                <w:tab w:val="left" w:pos="7920"/>
              </w:tabs>
              <w:rPr>
                <w:rFonts w:ascii="Arial" w:hAnsi="Arial" w:cs="Arial"/>
              </w:rPr>
            </w:pPr>
          </w:p>
        </w:tc>
      </w:tr>
      <w:tr w:rsidR="00993545" w:rsidRPr="002B3385" w:rsidTr="00993545">
        <w:trPr>
          <w:gridAfter w:val="1"/>
          <w:wAfter w:w="67" w:type="dxa"/>
        </w:trPr>
        <w:tc>
          <w:tcPr>
            <w:tcW w:w="4644" w:type="dxa"/>
            <w:gridSpan w:val="2"/>
            <w:tcBorders>
              <w:top w:val="nil"/>
              <w:left w:val="nil"/>
              <w:bottom w:val="nil"/>
              <w:right w:val="nil"/>
            </w:tcBorders>
            <w:shd w:val="clear" w:color="auto" w:fill="auto"/>
          </w:tcPr>
          <w:p w:rsidR="00993545" w:rsidRPr="002B3385" w:rsidRDefault="00993545" w:rsidP="00993545">
            <w:pPr>
              <w:jc w:val="both"/>
              <w:rPr>
                <w:rFonts w:ascii="Arial" w:hAnsi="Arial" w:cs="Arial"/>
              </w:rPr>
            </w:pPr>
          </w:p>
        </w:tc>
        <w:tc>
          <w:tcPr>
            <w:tcW w:w="3404" w:type="dxa"/>
            <w:gridSpan w:val="5"/>
            <w:tcBorders>
              <w:top w:val="nil"/>
              <w:left w:val="nil"/>
              <w:bottom w:val="nil"/>
              <w:right w:val="single" w:sz="4" w:space="0" w:color="E36C0A"/>
            </w:tcBorders>
            <w:shd w:val="clear" w:color="auto" w:fill="auto"/>
          </w:tcPr>
          <w:p w:rsidR="00993545" w:rsidRPr="002B3385" w:rsidRDefault="00993545" w:rsidP="00993545">
            <w:pPr>
              <w:jc w:val="both"/>
              <w:rPr>
                <w:rFonts w:ascii="Arial" w:hAnsi="Arial" w:cs="Arial"/>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jc w:val="both"/>
              <w:rPr>
                <w:rFonts w:ascii="Arial" w:hAnsi="Arial" w:cs="Arial"/>
              </w:rPr>
            </w:pPr>
            <w:r w:rsidRPr="002B3385">
              <w:rPr>
                <w:rFonts w:ascii="Arial" w:hAnsi="Arial" w:cs="Arial"/>
              </w:rPr>
              <w:t>Ydw / Yes</w:t>
            </w:r>
          </w:p>
        </w:tc>
        <w:tc>
          <w:tcPr>
            <w:tcW w:w="1392" w:type="dxa"/>
            <w:gridSpan w:val="2"/>
            <w:tcBorders>
              <w:top w:val="single" w:sz="4" w:space="0" w:color="E36C0A"/>
              <w:left w:val="single" w:sz="4" w:space="0" w:color="E36C0A"/>
              <w:bottom w:val="single" w:sz="4" w:space="0" w:color="E36C0A"/>
            </w:tcBorders>
            <w:shd w:val="clear" w:color="auto" w:fill="FDE9D9"/>
          </w:tcPr>
          <w:p w:rsidR="00993545" w:rsidRPr="002B3385" w:rsidRDefault="00993545" w:rsidP="00993545">
            <w:pPr>
              <w:rPr>
                <w:rFonts w:ascii="Arial" w:hAnsi="Arial" w:cs="Arial"/>
              </w:rPr>
            </w:pPr>
            <w:r w:rsidRPr="002B3385">
              <w:rPr>
                <w:rFonts w:ascii="Arial" w:hAnsi="Arial" w:cs="Arial"/>
              </w:rPr>
              <w:t>Na / No</w:t>
            </w:r>
          </w:p>
        </w:tc>
      </w:tr>
      <w:tr w:rsidR="00993545" w:rsidRPr="002B3385" w:rsidTr="00993545">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rsidR="00993545" w:rsidRPr="002B3385" w:rsidRDefault="00993545" w:rsidP="00993545">
            <w:pPr>
              <w:jc w:val="both"/>
              <w:rPr>
                <w:rFonts w:ascii="Arial" w:hAnsi="Arial" w:cs="Arial"/>
              </w:rPr>
            </w:pPr>
            <w:r w:rsidRPr="002B3385">
              <w:rPr>
                <w:rFonts w:ascii="Arial" w:hAnsi="Arial" w:cs="Arial"/>
              </w:rPr>
              <w:t>A wnewch chi roi gwybod am unrhyw ymddygiad sydd yn erbyn Cod Ymarfer y BrifYsgol/Cyfadran neu sy'n anghyfreithlon?</w:t>
            </w:r>
          </w:p>
        </w:tc>
        <w:tc>
          <w:tcPr>
            <w:tcW w:w="3404" w:type="dxa"/>
            <w:gridSpan w:val="5"/>
            <w:tcBorders>
              <w:top w:val="nil"/>
              <w:left w:val="single" w:sz="4" w:space="0" w:color="E36C0A"/>
              <w:bottom w:val="single" w:sz="4" w:space="0" w:color="E36C0A"/>
              <w:right w:val="single" w:sz="4" w:space="0" w:color="E36C0A"/>
            </w:tcBorders>
            <w:shd w:val="clear" w:color="auto" w:fill="auto"/>
          </w:tcPr>
          <w:p w:rsidR="00993545" w:rsidRPr="002B3385" w:rsidRDefault="00993545" w:rsidP="00993545">
            <w:pPr>
              <w:jc w:val="both"/>
              <w:rPr>
                <w:rFonts w:ascii="Arial" w:hAnsi="Arial" w:cs="Arial"/>
              </w:rPr>
            </w:pPr>
            <w:r w:rsidRPr="002B3385">
              <w:rPr>
                <w:rFonts w:ascii="Arial" w:hAnsi="Arial" w:cs="Arial"/>
              </w:rPr>
              <w:t>Will you report any behaviour that is against the University’s Code of Practice or is illegal?</w:t>
            </w:r>
          </w:p>
          <w:p w:rsidR="00993545" w:rsidRPr="002B3385" w:rsidRDefault="00993545" w:rsidP="00993545">
            <w:pPr>
              <w:jc w:val="both"/>
              <w:rPr>
                <w:rFonts w:ascii="Arial" w:hAnsi="Arial" w:cs="Arial"/>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993545" w:rsidRPr="002B3385" w:rsidRDefault="00993545" w:rsidP="00993545">
            <w:pPr>
              <w:jc w:val="both"/>
              <w:rPr>
                <w:rFonts w:ascii="Arial" w:hAnsi="Arial" w:cs="Arial"/>
                <w:i/>
              </w:rPr>
            </w:pPr>
            <w:r>
              <w:rPr>
                <w:rFonts w:ascii="Arial" w:hAnsi="Arial" w:cs="Arial"/>
                <w:i/>
              </w:rPr>
              <w:t>Yes</w:t>
            </w:r>
          </w:p>
        </w:tc>
        <w:tc>
          <w:tcPr>
            <w:tcW w:w="1392" w:type="dxa"/>
            <w:gridSpan w:val="2"/>
            <w:tcBorders>
              <w:top w:val="single" w:sz="4" w:space="0" w:color="E36C0A"/>
              <w:left w:val="single" w:sz="4" w:space="0" w:color="E36C0A"/>
              <w:bottom w:val="single" w:sz="4" w:space="0" w:color="E36C0A"/>
            </w:tcBorders>
            <w:shd w:val="clear" w:color="auto" w:fill="auto"/>
          </w:tcPr>
          <w:p w:rsidR="00993545" w:rsidRPr="002B3385" w:rsidRDefault="00993545" w:rsidP="00993545">
            <w:pPr>
              <w:rPr>
                <w:rFonts w:ascii="Arial" w:hAnsi="Arial" w:cs="Arial"/>
                <w:i/>
              </w:rPr>
            </w:pPr>
          </w:p>
        </w:tc>
      </w:tr>
      <w:tr w:rsidR="00993545" w:rsidRPr="002B3385" w:rsidTr="0099354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rsidR="00993545" w:rsidRPr="002B3385" w:rsidRDefault="00993545" w:rsidP="00993545">
            <w:pPr>
              <w:jc w:val="both"/>
              <w:rPr>
                <w:rFonts w:ascii="Arial" w:hAnsi="Arial" w:cs="Arial"/>
              </w:rPr>
            </w:pPr>
            <w:r w:rsidRPr="002B3385">
              <w:rPr>
                <w:rFonts w:ascii="Arial" w:hAnsi="Arial" w:cs="Arial"/>
              </w:rPr>
              <w:lastRenderedPageBreak/>
              <w:t>A ydych yn darparu adborth i'r cyfranogwyr?</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rsidR="00993545" w:rsidRPr="002B3385" w:rsidRDefault="00993545" w:rsidP="00993545">
            <w:pPr>
              <w:jc w:val="both"/>
              <w:rPr>
                <w:rFonts w:ascii="Arial" w:hAnsi="Arial" w:cs="Arial"/>
              </w:rPr>
            </w:pPr>
            <w:r w:rsidRPr="002B3385">
              <w:rPr>
                <w:rFonts w:ascii="Arial" w:hAnsi="Arial" w:cs="Arial"/>
              </w:rPr>
              <w:t>Will feedback be provided to participants?</w:t>
            </w:r>
          </w:p>
          <w:p w:rsidR="00993545" w:rsidRPr="002B3385" w:rsidRDefault="00993545" w:rsidP="00993545">
            <w:pPr>
              <w:jc w:val="both"/>
              <w:rPr>
                <w:rFonts w:ascii="Arial" w:hAnsi="Arial" w:cs="Arial"/>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993545" w:rsidRPr="002B3385" w:rsidRDefault="00993545" w:rsidP="00993545">
            <w:pPr>
              <w:jc w:val="both"/>
              <w:rPr>
                <w:rFonts w:ascii="Arial" w:hAnsi="Arial" w:cs="Arial"/>
                <w:i/>
              </w:rPr>
            </w:pPr>
          </w:p>
        </w:tc>
        <w:tc>
          <w:tcPr>
            <w:tcW w:w="1392" w:type="dxa"/>
            <w:gridSpan w:val="2"/>
            <w:tcBorders>
              <w:top w:val="single" w:sz="4" w:space="0" w:color="E36C0A"/>
              <w:left w:val="single" w:sz="4" w:space="0" w:color="E36C0A"/>
              <w:bottom w:val="single" w:sz="4" w:space="0" w:color="E36C0A"/>
            </w:tcBorders>
            <w:shd w:val="clear" w:color="auto" w:fill="auto"/>
          </w:tcPr>
          <w:p w:rsidR="00993545" w:rsidRPr="002B3385" w:rsidRDefault="00993545" w:rsidP="00993545">
            <w:pPr>
              <w:rPr>
                <w:rFonts w:ascii="Arial" w:hAnsi="Arial" w:cs="Arial"/>
                <w:i/>
              </w:rPr>
            </w:pPr>
            <w:r>
              <w:rPr>
                <w:rFonts w:ascii="Arial" w:hAnsi="Arial" w:cs="Arial"/>
                <w:i/>
              </w:rPr>
              <w:t>N/A</w:t>
            </w:r>
          </w:p>
        </w:tc>
      </w:tr>
      <w:tr w:rsidR="00993545" w:rsidRPr="002B3385" w:rsidTr="0099354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rsidR="00993545" w:rsidRPr="002B3385" w:rsidRDefault="00993545" w:rsidP="00993545">
            <w:pPr>
              <w:jc w:val="both"/>
              <w:rPr>
                <w:rFonts w:ascii="Arial" w:hAnsi="Arial" w:cs="Arial"/>
              </w:rPr>
            </w:pPr>
            <w:r w:rsidRPr="002B3385">
              <w:rPr>
                <w:rFonts w:ascii="Arial" w:hAnsi="Arial" w:cs="Arial"/>
              </w:rPr>
              <w:t>A fyddwch yn dogfennu'r 'caniatâd i gymryd rhan yn y prosiect'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rsidR="00993545" w:rsidRPr="002B3385" w:rsidRDefault="00993545" w:rsidP="00993545">
            <w:pPr>
              <w:jc w:val="both"/>
              <w:rPr>
                <w:rFonts w:ascii="Arial" w:hAnsi="Arial" w:cs="Arial"/>
              </w:rPr>
            </w:pPr>
            <w:r w:rsidRPr="002B3385">
              <w:rPr>
                <w:rFonts w:ascii="Arial" w:hAnsi="Arial" w:cs="Arial"/>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993545" w:rsidRPr="002B3385" w:rsidRDefault="00993545" w:rsidP="00993545">
            <w:pPr>
              <w:jc w:val="both"/>
              <w:rPr>
                <w:rFonts w:ascii="Arial" w:hAnsi="Arial" w:cs="Arial"/>
                <w:i/>
              </w:rPr>
            </w:pPr>
          </w:p>
        </w:tc>
        <w:tc>
          <w:tcPr>
            <w:tcW w:w="1392" w:type="dxa"/>
            <w:gridSpan w:val="2"/>
            <w:tcBorders>
              <w:top w:val="single" w:sz="4" w:space="0" w:color="E36C0A"/>
              <w:left w:val="single" w:sz="4" w:space="0" w:color="E36C0A"/>
              <w:bottom w:val="single" w:sz="4" w:space="0" w:color="E36C0A"/>
            </w:tcBorders>
            <w:shd w:val="clear" w:color="auto" w:fill="auto"/>
          </w:tcPr>
          <w:p w:rsidR="00993545" w:rsidRPr="002B3385" w:rsidRDefault="00993545" w:rsidP="00993545">
            <w:pPr>
              <w:rPr>
                <w:rFonts w:ascii="Arial" w:hAnsi="Arial" w:cs="Arial"/>
                <w:i/>
              </w:rPr>
            </w:pPr>
            <w:r>
              <w:rPr>
                <w:rFonts w:ascii="Arial" w:hAnsi="Arial" w:cs="Arial"/>
                <w:i/>
              </w:rPr>
              <w:t>N/A</w:t>
            </w:r>
          </w:p>
        </w:tc>
      </w:tr>
      <w:tr w:rsidR="00993545" w:rsidRPr="002B3385" w:rsidTr="00993545">
        <w:trPr>
          <w:trHeight w:val="271"/>
        </w:trPr>
        <w:tc>
          <w:tcPr>
            <w:tcW w:w="10967" w:type="dxa"/>
            <w:gridSpan w:val="12"/>
            <w:tcBorders>
              <w:left w:val="nil"/>
              <w:right w:val="nil"/>
            </w:tcBorders>
          </w:tcPr>
          <w:p w:rsidR="00993545" w:rsidRPr="002B3385" w:rsidRDefault="00993545" w:rsidP="00993545">
            <w:pPr>
              <w:tabs>
                <w:tab w:val="left" w:pos="7920"/>
              </w:tabs>
              <w:rPr>
                <w:rFonts w:ascii="Arial" w:hAnsi="Arial" w:cs="Arial"/>
              </w:rPr>
            </w:pPr>
          </w:p>
        </w:tc>
      </w:tr>
      <w:tr w:rsidR="00993545" w:rsidRPr="002B3385" w:rsidTr="00993545">
        <w:tc>
          <w:tcPr>
            <w:tcW w:w="5353" w:type="dxa"/>
            <w:gridSpan w:val="4"/>
            <w:tcBorders>
              <w:top w:val="nil"/>
              <w:left w:val="nil"/>
              <w:bottom w:val="nil"/>
              <w:right w:val="nil"/>
            </w:tcBorders>
            <w:shd w:val="clear" w:color="auto" w:fill="FDE9D9"/>
          </w:tcPr>
          <w:p w:rsidR="00993545" w:rsidRPr="002B3385" w:rsidRDefault="00993545" w:rsidP="00993545">
            <w:pPr>
              <w:jc w:val="both"/>
              <w:rPr>
                <w:rFonts w:ascii="Arial" w:hAnsi="Arial" w:cs="Arial"/>
                <w:b/>
                <w:color w:val="E36C0A"/>
                <w:lang w:val="cy-GB"/>
              </w:rPr>
            </w:pPr>
            <w:r w:rsidRPr="002B3385">
              <w:rPr>
                <w:rFonts w:ascii="Arial" w:hAnsi="Arial" w:cs="Arial"/>
                <w:b/>
                <w:color w:val="E36C0A"/>
                <w:lang w:val="cy-GB"/>
              </w:rPr>
              <w:t>ADRAN 7 – STORIO, DIOGELWCH A MYNEDIAD I DDATA</w:t>
            </w:r>
          </w:p>
          <w:p w:rsidR="00993545" w:rsidRPr="002B3385" w:rsidRDefault="0053750F" w:rsidP="00993545">
            <w:pPr>
              <w:jc w:val="both"/>
              <w:rPr>
                <w:rFonts w:ascii="Arial" w:hAnsi="Arial" w:cs="Arial"/>
                <w:b/>
                <w:color w:val="E36C0A"/>
              </w:rPr>
            </w:pPr>
            <w:r w:rsidRPr="002B3385">
              <w:rPr>
                <w:rFonts w:ascii="Arial" w:hAnsi="Arial" w:cs="Arial"/>
                <w:noProof/>
                <w:lang w:eastAsia="en-GB"/>
              </w:rPr>
              <mc:AlternateContent>
                <mc:Choice Requires="wps">
                  <w:drawing>
                    <wp:anchor distT="0" distB="0" distL="114300" distR="114300" simplePos="0" relativeHeight="251666432" behindDoc="0" locked="0" layoutInCell="1" allowOverlap="1">
                      <wp:simplePos x="0" y="0"/>
                      <wp:positionH relativeFrom="column">
                        <wp:posOffset>15875</wp:posOffset>
                      </wp:positionH>
                      <wp:positionV relativeFrom="paragraph">
                        <wp:posOffset>149860</wp:posOffset>
                      </wp:positionV>
                      <wp:extent cx="6590665" cy="12065"/>
                      <wp:effectExtent l="38100" t="38100" r="57785" b="64135"/>
                      <wp:wrapNone/>
                      <wp:docPr id="3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2BB0F3E" id="Straight Connector 4"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rsidR="00993545" w:rsidRPr="002B3385" w:rsidRDefault="00993545" w:rsidP="00993545">
            <w:pPr>
              <w:tabs>
                <w:tab w:val="left" w:pos="7920"/>
              </w:tabs>
              <w:rPr>
                <w:rFonts w:ascii="Arial" w:hAnsi="Arial" w:cs="Arial"/>
                <w:b/>
                <w:color w:val="E36C0A"/>
              </w:rPr>
            </w:pPr>
            <w:r w:rsidRPr="002B3385">
              <w:rPr>
                <w:rFonts w:ascii="Arial" w:hAnsi="Arial" w:cs="Arial"/>
                <w:b/>
                <w:color w:val="E36C0A"/>
              </w:rPr>
              <w:t>SECTION 7 - DATA ACCESS, STORAGE AND SECURITY</w:t>
            </w:r>
          </w:p>
        </w:tc>
      </w:tr>
      <w:tr w:rsidR="00993545" w:rsidRPr="002B3385" w:rsidTr="00993545">
        <w:tc>
          <w:tcPr>
            <w:tcW w:w="8048" w:type="dxa"/>
            <w:gridSpan w:val="7"/>
            <w:tcBorders>
              <w:top w:val="nil"/>
              <w:left w:val="nil"/>
              <w:bottom w:val="nil"/>
              <w:right w:val="nil"/>
            </w:tcBorders>
            <w:shd w:val="clear" w:color="auto" w:fill="auto"/>
          </w:tcPr>
          <w:p w:rsidR="00993545" w:rsidRPr="002B3385" w:rsidRDefault="00993545" w:rsidP="00993545">
            <w:pPr>
              <w:jc w:val="both"/>
              <w:rPr>
                <w:rFonts w:ascii="Arial" w:hAnsi="Arial" w:cs="Arial"/>
                <w:b/>
                <w:color w:val="E36C0A"/>
                <w:lang w:val="cy-GB"/>
              </w:rPr>
            </w:pPr>
          </w:p>
        </w:tc>
        <w:tc>
          <w:tcPr>
            <w:tcW w:w="2919" w:type="dxa"/>
            <w:gridSpan w:val="5"/>
            <w:tcBorders>
              <w:top w:val="nil"/>
              <w:left w:val="nil"/>
              <w:bottom w:val="single" w:sz="4" w:space="0" w:color="E36C0A"/>
              <w:right w:val="nil"/>
            </w:tcBorders>
            <w:shd w:val="clear" w:color="auto" w:fill="auto"/>
          </w:tcPr>
          <w:p w:rsidR="00993545" w:rsidRPr="002B3385" w:rsidRDefault="00993545" w:rsidP="00993545">
            <w:pPr>
              <w:tabs>
                <w:tab w:val="left" w:pos="7920"/>
              </w:tabs>
              <w:rPr>
                <w:rFonts w:ascii="Arial" w:hAnsi="Arial" w:cs="Arial"/>
                <w:b/>
                <w:color w:val="E36C0A"/>
              </w:rPr>
            </w:pPr>
          </w:p>
        </w:tc>
      </w:tr>
      <w:tr w:rsidR="00993545" w:rsidRPr="002B3385" w:rsidTr="00993545">
        <w:tc>
          <w:tcPr>
            <w:tcW w:w="8048" w:type="dxa"/>
            <w:gridSpan w:val="7"/>
            <w:tcBorders>
              <w:top w:val="nil"/>
              <w:left w:val="nil"/>
              <w:bottom w:val="single" w:sz="4" w:space="0" w:color="E36C0A"/>
            </w:tcBorders>
          </w:tcPr>
          <w:p w:rsidR="00993545" w:rsidRPr="002B3385" w:rsidRDefault="00993545" w:rsidP="00993545">
            <w:pPr>
              <w:jc w:val="both"/>
              <w:rPr>
                <w:rFonts w:ascii="Arial" w:hAnsi="Arial" w:cs="Arial"/>
              </w:rPr>
            </w:pPr>
          </w:p>
        </w:tc>
        <w:tc>
          <w:tcPr>
            <w:tcW w:w="1460" w:type="dxa"/>
            <w:gridSpan w:val="2"/>
            <w:tcBorders>
              <w:bottom w:val="single" w:sz="4" w:space="0" w:color="E36C0A"/>
            </w:tcBorders>
            <w:shd w:val="clear" w:color="auto" w:fill="FDE9D9"/>
          </w:tcPr>
          <w:p w:rsidR="00993545" w:rsidRPr="002B3385" w:rsidRDefault="00993545" w:rsidP="00993545">
            <w:pPr>
              <w:jc w:val="both"/>
              <w:rPr>
                <w:rFonts w:ascii="Arial" w:hAnsi="Arial" w:cs="Arial"/>
              </w:rPr>
            </w:pPr>
            <w:r w:rsidRPr="002B3385">
              <w:rPr>
                <w:rFonts w:ascii="Arial" w:hAnsi="Arial" w:cs="Arial"/>
              </w:rPr>
              <w:t>Ydw / Yes</w:t>
            </w:r>
          </w:p>
        </w:tc>
        <w:tc>
          <w:tcPr>
            <w:tcW w:w="1459" w:type="dxa"/>
            <w:gridSpan w:val="3"/>
            <w:tcBorders>
              <w:bottom w:val="single" w:sz="4" w:space="0" w:color="E36C0A"/>
            </w:tcBorders>
            <w:shd w:val="clear" w:color="auto" w:fill="FDE9D9"/>
          </w:tcPr>
          <w:p w:rsidR="00993545" w:rsidRPr="002B3385" w:rsidRDefault="00993545" w:rsidP="00993545">
            <w:pPr>
              <w:rPr>
                <w:rFonts w:ascii="Arial" w:hAnsi="Arial" w:cs="Arial"/>
              </w:rPr>
            </w:pPr>
            <w:r w:rsidRPr="002B3385">
              <w:rPr>
                <w:rFonts w:ascii="Arial" w:hAnsi="Arial" w:cs="Arial"/>
              </w:rPr>
              <w:t>Na / No</w:t>
            </w:r>
          </w:p>
        </w:tc>
      </w:tr>
      <w:tr w:rsidR="00993545" w:rsidRPr="002B3385" w:rsidTr="00993545">
        <w:tc>
          <w:tcPr>
            <w:tcW w:w="687" w:type="dxa"/>
            <w:tcBorders>
              <w:bottom w:val="single" w:sz="4" w:space="0" w:color="E36C0A"/>
            </w:tcBorders>
          </w:tcPr>
          <w:p w:rsidR="00993545" w:rsidRPr="002B3385" w:rsidRDefault="00993545" w:rsidP="00993545">
            <w:pPr>
              <w:jc w:val="both"/>
              <w:rPr>
                <w:rFonts w:ascii="Arial" w:hAnsi="Arial" w:cs="Arial"/>
              </w:rPr>
            </w:pPr>
            <w:r w:rsidRPr="002B3385">
              <w:rPr>
                <w:rFonts w:ascii="Arial" w:hAnsi="Arial" w:cs="Arial"/>
              </w:rPr>
              <w:t>1.</w:t>
            </w:r>
          </w:p>
        </w:tc>
        <w:tc>
          <w:tcPr>
            <w:tcW w:w="4303" w:type="dxa"/>
            <w:gridSpan w:val="2"/>
            <w:tcBorders>
              <w:bottom w:val="single" w:sz="4" w:space="0" w:color="E36C0A"/>
            </w:tcBorders>
          </w:tcPr>
          <w:p w:rsidR="00993545" w:rsidRPr="002B3385" w:rsidRDefault="00993545" w:rsidP="00993545">
            <w:pPr>
              <w:jc w:val="both"/>
              <w:rPr>
                <w:rFonts w:ascii="Arial" w:hAnsi="Arial" w:cs="Arial"/>
              </w:rPr>
            </w:pPr>
            <w:r w:rsidRPr="002B3385">
              <w:rPr>
                <w:rFonts w:ascii="Arial" w:hAnsi="Arial" w:cs="Arial"/>
              </w:rPr>
              <w:t>Ydych chi'n gyfrifol am storio a diogelwch y data eu casglu?</w:t>
            </w:r>
          </w:p>
        </w:tc>
        <w:tc>
          <w:tcPr>
            <w:tcW w:w="3058" w:type="dxa"/>
            <w:gridSpan w:val="4"/>
            <w:tcBorders>
              <w:bottom w:val="single" w:sz="4" w:space="0" w:color="E36C0A"/>
            </w:tcBorders>
          </w:tcPr>
          <w:p w:rsidR="00993545" w:rsidRPr="002B3385" w:rsidRDefault="00993545" w:rsidP="00993545">
            <w:pPr>
              <w:jc w:val="both"/>
              <w:rPr>
                <w:rFonts w:ascii="Arial" w:hAnsi="Arial" w:cs="Arial"/>
              </w:rPr>
            </w:pPr>
            <w:r w:rsidRPr="002B3385">
              <w:rPr>
                <w:rFonts w:ascii="Arial" w:hAnsi="Arial" w:cs="Arial"/>
              </w:rPr>
              <w:t>Are you responsible for the storage and security of the data collected?</w:t>
            </w:r>
          </w:p>
        </w:tc>
        <w:tc>
          <w:tcPr>
            <w:tcW w:w="1460" w:type="dxa"/>
            <w:gridSpan w:val="2"/>
            <w:tcBorders>
              <w:bottom w:val="single" w:sz="4" w:space="0" w:color="E36C0A"/>
            </w:tcBorders>
          </w:tcPr>
          <w:p w:rsidR="00993545" w:rsidRPr="002B3385" w:rsidRDefault="00993545" w:rsidP="00993545">
            <w:pPr>
              <w:jc w:val="both"/>
              <w:rPr>
                <w:rFonts w:ascii="Arial" w:hAnsi="Arial" w:cs="Arial"/>
              </w:rPr>
            </w:pPr>
            <w:r>
              <w:rPr>
                <w:rFonts w:ascii="Arial" w:hAnsi="Arial" w:cs="Arial"/>
              </w:rPr>
              <w:t>Yes</w:t>
            </w:r>
          </w:p>
        </w:tc>
        <w:tc>
          <w:tcPr>
            <w:tcW w:w="1459" w:type="dxa"/>
            <w:gridSpan w:val="3"/>
            <w:tcBorders>
              <w:bottom w:val="single" w:sz="4" w:space="0" w:color="E36C0A"/>
            </w:tcBorders>
          </w:tcPr>
          <w:p w:rsidR="00993545" w:rsidRPr="002B3385" w:rsidRDefault="00993545" w:rsidP="00993545">
            <w:pPr>
              <w:jc w:val="both"/>
              <w:rPr>
                <w:rFonts w:ascii="Arial" w:hAnsi="Arial" w:cs="Arial"/>
              </w:rPr>
            </w:pPr>
          </w:p>
        </w:tc>
      </w:tr>
      <w:tr w:rsidR="00993545" w:rsidRPr="002B3385" w:rsidTr="00993545">
        <w:tc>
          <w:tcPr>
            <w:tcW w:w="687" w:type="dxa"/>
          </w:tcPr>
          <w:p w:rsidR="00993545" w:rsidRPr="002B3385" w:rsidRDefault="00993545" w:rsidP="00993545">
            <w:pPr>
              <w:jc w:val="both"/>
              <w:rPr>
                <w:rFonts w:ascii="Arial" w:hAnsi="Arial" w:cs="Arial"/>
              </w:rPr>
            </w:pPr>
            <w:r w:rsidRPr="002B3385">
              <w:rPr>
                <w:rFonts w:ascii="Arial" w:hAnsi="Arial" w:cs="Arial"/>
              </w:rPr>
              <w:t>2.</w:t>
            </w:r>
          </w:p>
        </w:tc>
        <w:tc>
          <w:tcPr>
            <w:tcW w:w="4303" w:type="dxa"/>
            <w:gridSpan w:val="2"/>
          </w:tcPr>
          <w:p w:rsidR="00993545" w:rsidRPr="002B3385" w:rsidRDefault="00993545" w:rsidP="00993545">
            <w:pPr>
              <w:jc w:val="both"/>
              <w:rPr>
                <w:rFonts w:ascii="Arial" w:hAnsi="Arial" w:cs="Arial"/>
              </w:rPr>
            </w:pPr>
            <w:r w:rsidRPr="002B3385">
              <w:rPr>
                <w:rFonts w:ascii="Arial" w:hAnsi="Arial" w:cs="Arial"/>
              </w:rPr>
              <w:t>Sut y bydd y data yn cael ei storio?</w:t>
            </w:r>
          </w:p>
        </w:tc>
        <w:tc>
          <w:tcPr>
            <w:tcW w:w="5977" w:type="dxa"/>
            <w:gridSpan w:val="9"/>
          </w:tcPr>
          <w:p w:rsidR="00993545" w:rsidRPr="002B3385" w:rsidRDefault="00993545" w:rsidP="00993545">
            <w:pPr>
              <w:jc w:val="both"/>
              <w:rPr>
                <w:rFonts w:ascii="Arial" w:hAnsi="Arial" w:cs="Arial"/>
              </w:rPr>
            </w:pPr>
            <w:r w:rsidRPr="002B3385">
              <w:rPr>
                <w:rFonts w:ascii="Arial" w:hAnsi="Arial" w:cs="Arial"/>
              </w:rPr>
              <w:t>How will the data be stored?</w:t>
            </w:r>
            <w:r>
              <w:rPr>
                <w:rFonts w:ascii="Arial" w:hAnsi="Arial" w:cs="Arial"/>
              </w:rPr>
              <w:t xml:space="preserve"> Excel and SPSS (password protected)</w:t>
            </w:r>
          </w:p>
          <w:p w:rsidR="00993545" w:rsidRPr="002B3385" w:rsidRDefault="00993545" w:rsidP="00993545">
            <w:pPr>
              <w:jc w:val="both"/>
              <w:rPr>
                <w:rFonts w:ascii="Arial" w:hAnsi="Arial" w:cs="Arial"/>
              </w:rPr>
            </w:pPr>
          </w:p>
        </w:tc>
      </w:tr>
      <w:tr w:rsidR="00993545" w:rsidRPr="002B3385" w:rsidTr="00993545">
        <w:tc>
          <w:tcPr>
            <w:tcW w:w="10967" w:type="dxa"/>
            <w:gridSpan w:val="12"/>
            <w:tcBorders>
              <w:bottom w:val="single" w:sz="4" w:space="0" w:color="E36C0A"/>
            </w:tcBorders>
          </w:tcPr>
          <w:p w:rsidR="00993545" w:rsidRPr="002B3385" w:rsidRDefault="00993545" w:rsidP="00993545">
            <w:pPr>
              <w:jc w:val="both"/>
              <w:rPr>
                <w:rFonts w:ascii="Arial" w:hAnsi="Arial" w:cs="Arial"/>
              </w:rPr>
            </w:pPr>
          </w:p>
          <w:p w:rsidR="00993545" w:rsidRPr="002B3385" w:rsidRDefault="00993545" w:rsidP="00993545">
            <w:pPr>
              <w:jc w:val="both"/>
              <w:rPr>
                <w:rFonts w:ascii="Arial" w:hAnsi="Arial" w:cs="Arial"/>
              </w:rPr>
            </w:pPr>
          </w:p>
        </w:tc>
      </w:tr>
      <w:tr w:rsidR="00993545" w:rsidRPr="002B3385" w:rsidTr="00993545">
        <w:tc>
          <w:tcPr>
            <w:tcW w:w="10967" w:type="dxa"/>
            <w:gridSpan w:val="12"/>
            <w:tcBorders>
              <w:left w:val="nil"/>
              <w:right w:val="nil"/>
            </w:tcBorders>
          </w:tcPr>
          <w:p w:rsidR="00993545" w:rsidRPr="002B3385" w:rsidRDefault="00993545" w:rsidP="00993545">
            <w:pPr>
              <w:jc w:val="both"/>
              <w:rPr>
                <w:rFonts w:ascii="Arial" w:hAnsi="Arial" w:cs="Arial"/>
              </w:rPr>
            </w:pPr>
          </w:p>
        </w:tc>
      </w:tr>
      <w:tr w:rsidR="00993545" w:rsidRPr="002B3385" w:rsidTr="00993545">
        <w:tc>
          <w:tcPr>
            <w:tcW w:w="687" w:type="dxa"/>
          </w:tcPr>
          <w:p w:rsidR="00993545" w:rsidRPr="002B3385" w:rsidRDefault="00993545" w:rsidP="00993545">
            <w:pPr>
              <w:jc w:val="both"/>
              <w:rPr>
                <w:rFonts w:ascii="Arial" w:hAnsi="Arial" w:cs="Arial"/>
                <w:lang w:val="cy-GB"/>
              </w:rPr>
            </w:pPr>
            <w:r w:rsidRPr="002B3385">
              <w:rPr>
                <w:rFonts w:ascii="Arial" w:hAnsi="Arial" w:cs="Arial"/>
                <w:lang w:val="cy-GB"/>
              </w:rPr>
              <w:t>3.</w:t>
            </w:r>
          </w:p>
        </w:tc>
        <w:tc>
          <w:tcPr>
            <w:tcW w:w="4779" w:type="dxa"/>
            <w:gridSpan w:val="4"/>
          </w:tcPr>
          <w:p w:rsidR="00993545" w:rsidRPr="002B3385" w:rsidRDefault="00993545" w:rsidP="00993545">
            <w:pPr>
              <w:jc w:val="both"/>
              <w:rPr>
                <w:rFonts w:ascii="Arial" w:hAnsi="Arial" w:cs="Arial"/>
                <w:lang w:val="cy-GB"/>
              </w:rPr>
            </w:pPr>
            <w:r w:rsidRPr="002B3385">
              <w:rPr>
                <w:rFonts w:ascii="Arial" w:hAnsi="Arial" w:cs="Arial"/>
                <w:lang w:val="cy-GB"/>
              </w:rPr>
              <w:t xml:space="preserve">Mynediad i Ddata: </w:t>
            </w:r>
          </w:p>
          <w:p w:rsidR="00993545" w:rsidRPr="002B3385" w:rsidRDefault="00993545" w:rsidP="00993545">
            <w:pPr>
              <w:jc w:val="both"/>
              <w:rPr>
                <w:rFonts w:ascii="Arial" w:hAnsi="Arial" w:cs="Arial"/>
                <w:lang w:val="cy-GB"/>
              </w:rPr>
            </w:pPr>
            <w:r w:rsidRPr="002B3385">
              <w:rPr>
                <w:rFonts w:ascii="Arial" w:hAnsi="Arial" w:cs="Arial"/>
                <w:lang w:val="cy-GB"/>
              </w:rPr>
              <w:t>Pwy fydd yn cael mynediad at y data? A oes unrhyw amodau i gael mynediad?</w:t>
            </w:r>
          </w:p>
          <w:p w:rsidR="00993545" w:rsidRPr="002B3385" w:rsidRDefault="00993545" w:rsidP="00993545">
            <w:pPr>
              <w:tabs>
                <w:tab w:val="left" w:pos="7920"/>
              </w:tabs>
              <w:rPr>
                <w:rFonts w:ascii="Arial" w:hAnsi="Arial" w:cs="Arial"/>
                <w:lang w:val="cy-GB"/>
              </w:rPr>
            </w:pPr>
          </w:p>
        </w:tc>
        <w:tc>
          <w:tcPr>
            <w:tcW w:w="5501" w:type="dxa"/>
            <w:gridSpan w:val="7"/>
          </w:tcPr>
          <w:p w:rsidR="00993545" w:rsidRPr="002B3385" w:rsidRDefault="00993545" w:rsidP="00993545">
            <w:pPr>
              <w:jc w:val="both"/>
              <w:rPr>
                <w:rFonts w:ascii="Arial" w:hAnsi="Arial" w:cs="Arial"/>
              </w:rPr>
            </w:pPr>
            <w:r w:rsidRPr="002B3385">
              <w:rPr>
                <w:rFonts w:ascii="Arial" w:hAnsi="Arial" w:cs="Arial"/>
              </w:rPr>
              <w:t xml:space="preserve">Data Access: </w:t>
            </w:r>
          </w:p>
          <w:p w:rsidR="00993545" w:rsidRPr="002B3385" w:rsidRDefault="00993545" w:rsidP="00993545">
            <w:pPr>
              <w:jc w:val="both"/>
              <w:rPr>
                <w:rFonts w:ascii="Arial" w:hAnsi="Arial" w:cs="Arial"/>
              </w:rPr>
            </w:pPr>
            <w:r w:rsidRPr="002B3385">
              <w:rPr>
                <w:rFonts w:ascii="Arial" w:hAnsi="Arial" w:cs="Arial"/>
              </w:rPr>
              <w:t>Who will have access to the data? Are there are any conditions to access?</w:t>
            </w:r>
          </w:p>
          <w:p w:rsidR="00993545" w:rsidRPr="002B3385" w:rsidRDefault="00993545" w:rsidP="00993545">
            <w:pPr>
              <w:jc w:val="both"/>
              <w:rPr>
                <w:rFonts w:ascii="Arial" w:hAnsi="Arial" w:cs="Arial"/>
              </w:rPr>
            </w:pPr>
          </w:p>
        </w:tc>
      </w:tr>
      <w:tr w:rsidR="00993545" w:rsidRPr="002B3385" w:rsidTr="00993545">
        <w:tc>
          <w:tcPr>
            <w:tcW w:w="10967" w:type="dxa"/>
            <w:gridSpan w:val="12"/>
            <w:tcBorders>
              <w:bottom w:val="single" w:sz="4" w:space="0" w:color="E36C0A"/>
            </w:tcBorders>
          </w:tcPr>
          <w:p w:rsidR="00993545" w:rsidRPr="002B3385" w:rsidRDefault="00993545" w:rsidP="00993545">
            <w:pPr>
              <w:jc w:val="both"/>
              <w:rPr>
                <w:rFonts w:ascii="Arial" w:hAnsi="Arial" w:cs="Arial"/>
              </w:rPr>
            </w:pPr>
          </w:p>
          <w:p w:rsidR="00993545" w:rsidRPr="002B3385" w:rsidRDefault="00993545" w:rsidP="00993545">
            <w:pPr>
              <w:jc w:val="both"/>
              <w:rPr>
                <w:rFonts w:ascii="Arial" w:hAnsi="Arial" w:cs="Arial"/>
              </w:rPr>
            </w:pPr>
            <w:r>
              <w:rPr>
                <w:rFonts w:ascii="Arial" w:hAnsi="Arial" w:cs="Arial"/>
              </w:rPr>
              <w:t>The data collected is secondary data which is public data.</w:t>
            </w:r>
          </w:p>
          <w:p w:rsidR="00993545" w:rsidRPr="002B3385" w:rsidRDefault="00993545" w:rsidP="00993545">
            <w:pPr>
              <w:jc w:val="both"/>
              <w:rPr>
                <w:rFonts w:ascii="Arial" w:hAnsi="Arial" w:cs="Arial"/>
              </w:rPr>
            </w:pPr>
          </w:p>
        </w:tc>
      </w:tr>
      <w:tr w:rsidR="00993545" w:rsidRPr="002B3385" w:rsidTr="00993545">
        <w:tc>
          <w:tcPr>
            <w:tcW w:w="10967" w:type="dxa"/>
            <w:gridSpan w:val="12"/>
            <w:tcBorders>
              <w:left w:val="nil"/>
              <w:right w:val="nil"/>
            </w:tcBorders>
          </w:tcPr>
          <w:p w:rsidR="00993545" w:rsidRPr="002B3385" w:rsidRDefault="00993545" w:rsidP="00993545">
            <w:pPr>
              <w:jc w:val="both"/>
              <w:rPr>
                <w:rFonts w:ascii="Arial" w:hAnsi="Arial" w:cs="Arial"/>
              </w:rPr>
            </w:pPr>
          </w:p>
        </w:tc>
      </w:tr>
      <w:tr w:rsidR="00993545" w:rsidRPr="002B3385" w:rsidTr="00993545">
        <w:tc>
          <w:tcPr>
            <w:tcW w:w="687" w:type="dxa"/>
          </w:tcPr>
          <w:p w:rsidR="00993545" w:rsidRPr="002B3385" w:rsidRDefault="00993545" w:rsidP="00993545">
            <w:pPr>
              <w:jc w:val="both"/>
              <w:rPr>
                <w:rFonts w:ascii="Arial" w:hAnsi="Arial" w:cs="Arial"/>
                <w:lang w:val="cy-GB"/>
              </w:rPr>
            </w:pPr>
            <w:r w:rsidRPr="002B3385">
              <w:rPr>
                <w:rFonts w:ascii="Arial" w:hAnsi="Arial" w:cs="Arial"/>
                <w:lang w:val="cy-GB"/>
              </w:rPr>
              <w:t>4.</w:t>
            </w:r>
          </w:p>
        </w:tc>
        <w:tc>
          <w:tcPr>
            <w:tcW w:w="4779" w:type="dxa"/>
            <w:gridSpan w:val="4"/>
          </w:tcPr>
          <w:p w:rsidR="00993545" w:rsidRPr="002B3385" w:rsidRDefault="00993545" w:rsidP="00993545">
            <w:pPr>
              <w:jc w:val="both"/>
              <w:rPr>
                <w:rFonts w:ascii="Arial" w:hAnsi="Arial" w:cs="Arial"/>
                <w:lang w:val="cy-GB"/>
              </w:rPr>
            </w:pPr>
            <w:r w:rsidRPr="002B3385">
              <w:rPr>
                <w:rFonts w:ascii="Arial" w:hAnsi="Arial" w:cs="Arial"/>
                <w:lang w:val="cy-GB"/>
              </w:rPr>
              <w:t xml:space="preserve">Cyfrinachedd / Anhysbysrwydd: </w:t>
            </w:r>
          </w:p>
          <w:p w:rsidR="00993545" w:rsidRPr="002B3385" w:rsidRDefault="00993545" w:rsidP="00993545">
            <w:pPr>
              <w:tabs>
                <w:tab w:val="left" w:pos="7920"/>
              </w:tabs>
              <w:rPr>
                <w:rFonts w:ascii="Arial" w:hAnsi="Arial" w:cs="Arial"/>
                <w:lang w:val="cy-GB"/>
              </w:rPr>
            </w:pPr>
            <w:r w:rsidRPr="002B3385">
              <w:rPr>
                <w:rFonts w:ascii="Arial" w:hAnsi="Arial" w:cs="Arial"/>
                <w:lang w:val="cy-GB"/>
              </w:rPr>
              <w:t>Rhestrwch y dulliau a fydd yn cael eu defnyddio i sicrhau cyfrinachedd ac anhysbysrwydd y cyfranogwyr.</w:t>
            </w:r>
          </w:p>
          <w:p w:rsidR="00993545" w:rsidRPr="002B3385" w:rsidRDefault="00993545" w:rsidP="00993545">
            <w:pPr>
              <w:tabs>
                <w:tab w:val="left" w:pos="7920"/>
              </w:tabs>
              <w:rPr>
                <w:rFonts w:ascii="Arial" w:hAnsi="Arial" w:cs="Arial"/>
                <w:i/>
                <w:lang w:val="cy-GB"/>
              </w:rPr>
            </w:pPr>
          </w:p>
        </w:tc>
        <w:tc>
          <w:tcPr>
            <w:tcW w:w="5501" w:type="dxa"/>
            <w:gridSpan w:val="7"/>
          </w:tcPr>
          <w:p w:rsidR="00993545" w:rsidRPr="002B3385" w:rsidRDefault="00993545" w:rsidP="00993545">
            <w:pPr>
              <w:jc w:val="both"/>
              <w:rPr>
                <w:rFonts w:ascii="Arial" w:hAnsi="Arial" w:cs="Arial"/>
              </w:rPr>
            </w:pPr>
            <w:r w:rsidRPr="002B3385">
              <w:rPr>
                <w:rFonts w:ascii="Arial" w:hAnsi="Arial" w:cs="Arial"/>
              </w:rPr>
              <w:t xml:space="preserve">Confidentiality / Anonymity: </w:t>
            </w:r>
          </w:p>
          <w:p w:rsidR="00993545" w:rsidRPr="002B3385" w:rsidRDefault="00993545" w:rsidP="00993545">
            <w:pPr>
              <w:tabs>
                <w:tab w:val="left" w:pos="7920"/>
              </w:tabs>
              <w:rPr>
                <w:rFonts w:ascii="Arial" w:hAnsi="Arial" w:cs="Arial"/>
              </w:rPr>
            </w:pPr>
            <w:r w:rsidRPr="002B3385">
              <w:rPr>
                <w:rFonts w:ascii="Arial" w:hAnsi="Arial" w:cs="Arial"/>
              </w:rPr>
              <w:t>List the methods that will be used to ensure the confidentiality and anonymity of participants.</w:t>
            </w:r>
          </w:p>
        </w:tc>
      </w:tr>
      <w:tr w:rsidR="00993545" w:rsidRPr="002B3385" w:rsidTr="00993545">
        <w:tc>
          <w:tcPr>
            <w:tcW w:w="10967" w:type="dxa"/>
            <w:gridSpan w:val="12"/>
          </w:tcPr>
          <w:p w:rsidR="00993545" w:rsidRPr="002B3385" w:rsidRDefault="00993545" w:rsidP="00993545">
            <w:pPr>
              <w:jc w:val="both"/>
              <w:rPr>
                <w:rFonts w:ascii="Arial" w:hAnsi="Arial" w:cs="Arial"/>
              </w:rPr>
            </w:pPr>
            <w:r>
              <w:rPr>
                <w:rFonts w:ascii="Arial" w:hAnsi="Arial" w:cs="Arial"/>
              </w:rPr>
              <w:t>The data collected is secondary data which is public data.</w:t>
            </w:r>
          </w:p>
          <w:p w:rsidR="00993545" w:rsidRPr="004C3A0B" w:rsidRDefault="00993545" w:rsidP="00993545">
            <w:pPr>
              <w:autoSpaceDE w:val="0"/>
              <w:autoSpaceDN w:val="0"/>
              <w:adjustRightInd w:val="0"/>
              <w:rPr>
                <w:rFonts w:ascii="Arial" w:hAnsi="Arial" w:cs="Arial"/>
              </w:rPr>
            </w:pPr>
          </w:p>
          <w:p w:rsidR="00993545" w:rsidRPr="002B3385" w:rsidRDefault="00993545" w:rsidP="00993545">
            <w:pPr>
              <w:jc w:val="both"/>
              <w:rPr>
                <w:rFonts w:ascii="Arial" w:hAnsi="Arial" w:cs="Arial"/>
              </w:rPr>
            </w:pPr>
          </w:p>
          <w:p w:rsidR="00993545" w:rsidRPr="002B3385" w:rsidRDefault="00993545" w:rsidP="00993545">
            <w:pPr>
              <w:jc w:val="both"/>
              <w:rPr>
                <w:rFonts w:ascii="Arial" w:hAnsi="Arial" w:cs="Arial"/>
              </w:rPr>
            </w:pPr>
          </w:p>
          <w:p w:rsidR="00993545" w:rsidRPr="002B3385" w:rsidRDefault="00993545" w:rsidP="00993545">
            <w:pPr>
              <w:jc w:val="both"/>
              <w:rPr>
                <w:rFonts w:ascii="Arial" w:hAnsi="Arial" w:cs="Arial"/>
              </w:rPr>
            </w:pPr>
          </w:p>
        </w:tc>
      </w:tr>
    </w:tbl>
    <w:p w:rsidR="00993545" w:rsidRPr="002B3385" w:rsidRDefault="00993545" w:rsidP="00993545">
      <w:pPr>
        <w:jc w:val="both"/>
        <w:rPr>
          <w:rFonts w:ascii="Arial" w:hAnsi="Arial" w:cs="Arial"/>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993545" w:rsidRPr="002B3385" w:rsidTr="00993545">
        <w:tc>
          <w:tcPr>
            <w:tcW w:w="5370" w:type="dxa"/>
            <w:gridSpan w:val="2"/>
            <w:tcBorders>
              <w:top w:val="nil"/>
              <w:left w:val="nil"/>
              <w:bottom w:val="nil"/>
              <w:right w:val="nil"/>
            </w:tcBorders>
            <w:shd w:val="clear" w:color="auto" w:fill="FDE9D9"/>
          </w:tcPr>
          <w:p w:rsidR="00993545" w:rsidRPr="002B3385" w:rsidRDefault="00993545" w:rsidP="00993545">
            <w:pPr>
              <w:rPr>
                <w:rFonts w:ascii="Arial" w:hAnsi="Arial" w:cs="Arial"/>
                <w:b/>
                <w:color w:val="E36C0A"/>
                <w:lang w:val="cy-GB"/>
              </w:rPr>
            </w:pPr>
          </w:p>
          <w:p w:rsidR="00993545" w:rsidRPr="002B3385" w:rsidRDefault="00993545" w:rsidP="00993545">
            <w:pPr>
              <w:rPr>
                <w:rFonts w:ascii="Arial" w:hAnsi="Arial" w:cs="Arial"/>
                <w:b/>
                <w:color w:val="E36C0A"/>
                <w:lang w:val="cy-GB"/>
              </w:rPr>
            </w:pPr>
            <w:r w:rsidRPr="002B3385">
              <w:rPr>
                <w:rFonts w:ascii="Arial" w:hAnsi="Arial" w:cs="Arial"/>
                <w:b/>
                <w:color w:val="E36C0A"/>
                <w:lang w:val="cy-GB"/>
              </w:rPr>
              <w:t>ADRAN 7 – DATGANIAD</w:t>
            </w:r>
          </w:p>
          <w:p w:rsidR="00993545" w:rsidRPr="002B3385" w:rsidRDefault="0053750F" w:rsidP="00993545">
            <w:pPr>
              <w:rPr>
                <w:rFonts w:ascii="Arial" w:hAnsi="Arial" w:cs="Arial"/>
                <w:color w:val="E36C0A"/>
              </w:rPr>
            </w:pPr>
            <w:r w:rsidRPr="002B3385">
              <w:rPr>
                <w:rFonts w:ascii="Arial" w:hAnsi="Arial" w:cs="Arial"/>
                <w:b/>
                <w:noProof/>
                <w:color w:val="E36C0A"/>
                <w:lang w:eastAsia="en-GB"/>
              </w:rPr>
              <mc:AlternateContent>
                <mc:Choice Requires="wps">
                  <w:drawing>
                    <wp:anchor distT="0" distB="0" distL="114300" distR="114300" simplePos="0" relativeHeight="251664384" behindDoc="0" locked="0" layoutInCell="1" allowOverlap="1">
                      <wp:simplePos x="0" y="0"/>
                      <wp:positionH relativeFrom="column">
                        <wp:posOffset>-45720</wp:posOffset>
                      </wp:positionH>
                      <wp:positionV relativeFrom="paragraph">
                        <wp:posOffset>67945</wp:posOffset>
                      </wp:positionV>
                      <wp:extent cx="6712585" cy="12065"/>
                      <wp:effectExtent l="38100" t="38100" r="50165" b="64135"/>
                      <wp:wrapNone/>
                      <wp:docPr id="29"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447C29" id="Straight Connector 4"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rsidR="00993545" w:rsidRPr="002B3385" w:rsidRDefault="00993545" w:rsidP="00993545">
            <w:pPr>
              <w:jc w:val="both"/>
              <w:rPr>
                <w:rFonts w:ascii="Arial" w:hAnsi="Arial" w:cs="Arial"/>
                <w:b/>
                <w:color w:val="E36C0A"/>
              </w:rPr>
            </w:pPr>
          </w:p>
          <w:p w:rsidR="00993545" w:rsidRPr="002B3385" w:rsidRDefault="00993545" w:rsidP="00993545">
            <w:pPr>
              <w:rPr>
                <w:rFonts w:ascii="Arial" w:hAnsi="Arial" w:cs="Arial"/>
                <w:b/>
                <w:color w:val="E36C0A"/>
              </w:rPr>
            </w:pPr>
            <w:r w:rsidRPr="002B3385">
              <w:rPr>
                <w:rFonts w:ascii="Arial" w:hAnsi="Arial" w:cs="Arial"/>
                <w:b/>
                <w:color w:val="E36C0A"/>
              </w:rPr>
              <w:t xml:space="preserve">SECTION 7 - DECLARATION </w:t>
            </w:r>
          </w:p>
          <w:p w:rsidR="00993545" w:rsidRPr="002B3385" w:rsidRDefault="00993545" w:rsidP="00993545">
            <w:pPr>
              <w:jc w:val="both"/>
              <w:rPr>
                <w:rFonts w:ascii="Arial" w:hAnsi="Arial" w:cs="Arial"/>
                <w:color w:val="E36C0A"/>
              </w:rPr>
            </w:pPr>
          </w:p>
        </w:tc>
      </w:tr>
      <w:tr w:rsidR="00993545" w:rsidRPr="002B3385" w:rsidTr="00993545">
        <w:tc>
          <w:tcPr>
            <w:tcW w:w="10740" w:type="dxa"/>
            <w:gridSpan w:val="4"/>
            <w:tcBorders>
              <w:top w:val="nil"/>
              <w:left w:val="nil"/>
              <w:bottom w:val="single" w:sz="4" w:space="0" w:color="E36C0A"/>
              <w:right w:val="nil"/>
            </w:tcBorders>
            <w:shd w:val="clear" w:color="auto" w:fill="FFFFFF"/>
          </w:tcPr>
          <w:p w:rsidR="00993545" w:rsidRPr="002B3385" w:rsidRDefault="00993545" w:rsidP="00993545">
            <w:pPr>
              <w:rPr>
                <w:rFonts w:ascii="Arial" w:hAnsi="Arial" w:cs="Arial"/>
                <w:b/>
              </w:rPr>
            </w:pPr>
          </w:p>
          <w:p w:rsidR="00993545" w:rsidRPr="002B3385" w:rsidRDefault="00993545" w:rsidP="00993545">
            <w:pPr>
              <w:rPr>
                <w:rFonts w:ascii="Arial" w:hAnsi="Arial" w:cs="Arial"/>
                <w:b/>
              </w:rPr>
            </w:pPr>
          </w:p>
        </w:tc>
      </w:tr>
      <w:tr w:rsidR="00993545" w:rsidRPr="002B3385" w:rsidTr="00993545">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rPr>
                <w:rFonts w:ascii="Arial" w:hAnsi="Arial" w:cs="Arial"/>
              </w:rPr>
            </w:pPr>
            <w:r w:rsidRPr="002B3385">
              <w:rPr>
                <w:rFonts w:ascii="Arial" w:hAnsi="Arial" w:cs="Arial"/>
                <w:lang w:val="cy-GB"/>
              </w:rPr>
              <w:t>Rhaid i’r adran hon gael ei chwblhau gan bob parti perthnasol cyn y gellir cyflwyno’ r cais i’r Bwrdd Moeseg Gyfadran.</w:t>
            </w:r>
          </w:p>
          <w:p w:rsidR="00993545" w:rsidRPr="002B3385" w:rsidRDefault="00993545" w:rsidP="00993545">
            <w:pPr>
              <w:rPr>
                <w:rFonts w:ascii="Arial" w:hAnsi="Arial" w:cs="Arial"/>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993545" w:rsidRPr="002B3385" w:rsidRDefault="00993545" w:rsidP="00993545">
            <w:pPr>
              <w:rPr>
                <w:rFonts w:ascii="Arial" w:hAnsi="Arial" w:cs="Arial"/>
              </w:rPr>
            </w:pPr>
            <w:r w:rsidRPr="002B3385">
              <w:rPr>
                <w:rFonts w:ascii="Arial" w:hAnsi="Arial" w:cs="Arial"/>
              </w:rPr>
              <w:t>This section must be completed by all concerned parties before it can be submitted to the Faculty Ethics Board.</w:t>
            </w:r>
          </w:p>
        </w:tc>
      </w:tr>
      <w:tr w:rsidR="00993545" w:rsidRPr="002B3385" w:rsidTr="00993545">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rsidR="00993545" w:rsidRPr="002B3385" w:rsidRDefault="00993545" w:rsidP="00993545">
            <w:pPr>
              <w:rPr>
                <w:rFonts w:ascii="Arial" w:hAnsi="Arial" w:cs="Arial"/>
                <w:b/>
                <w:lang w:val="cy-GB"/>
              </w:rPr>
            </w:pPr>
            <w:r w:rsidRPr="002B3385">
              <w:rPr>
                <w:rFonts w:ascii="Arial" w:hAnsi="Arial" w:cs="Arial"/>
                <w:b/>
                <w:lang w:val="cy-GB"/>
              </w:rPr>
              <w:t>Datganiad</w:t>
            </w:r>
          </w:p>
          <w:p w:rsidR="00993545" w:rsidRPr="002B3385" w:rsidRDefault="00993545" w:rsidP="00993545">
            <w:pPr>
              <w:jc w:val="both"/>
              <w:rPr>
                <w:rFonts w:ascii="Arial" w:hAnsi="Arial" w:cs="Arial"/>
                <w:b/>
                <w:lang w:val="cy-GB"/>
              </w:rPr>
            </w:pPr>
            <w:r w:rsidRPr="002B3385">
              <w:rPr>
                <w:rFonts w:ascii="Arial" w:hAnsi="Arial" w:cs="Arial"/>
                <w:b/>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rsidR="00993545" w:rsidRPr="002B3385" w:rsidRDefault="00993545" w:rsidP="00993545">
            <w:pPr>
              <w:rPr>
                <w:rFonts w:ascii="Arial" w:hAnsi="Arial" w:cs="Arial"/>
                <w: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rsidR="00993545" w:rsidRPr="002B3385" w:rsidRDefault="00993545" w:rsidP="00993545">
            <w:pPr>
              <w:rPr>
                <w:rFonts w:ascii="Arial" w:hAnsi="Arial" w:cs="Arial"/>
                <w:b/>
              </w:rPr>
            </w:pPr>
            <w:r w:rsidRPr="002B3385">
              <w:rPr>
                <w:rFonts w:ascii="Arial" w:hAnsi="Arial" w:cs="Arial"/>
                <w:b/>
              </w:rPr>
              <w:lastRenderedPageBreak/>
              <w:t xml:space="preserve">Declaration </w:t>
            </w:r>
          </w:p>
          <w:p w:rsidR="00993545" w:rsidRPr="002B3385" w:rsidRDefault="00993545" w:rsidP="00993545">
            <w:pPr>
              <w:jc w:val="both"/>
              <w:rPr>
                <w:rFonts w:ascii="Arial" w:hAnsi="Arial" w:cs="Arial"/>
                <w:b/>
              </w:rPr>
            </w:pPr>
            <w:r w:rsidRPr="002B3385">
              <w:rPr>
                <w:rFonts w:ascii="Arial" w:hAnsi="Arial" w:cs="Arial"/>
                <w: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993545" w:rsidRPr="002B3385" w:rsidTr="00993545">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rsidR="00993545" w:rsidRPr="002B3385" w:rsidRDefault="00993545" w:rsidP="00993545">
            <w:pPr>
              <w:rPr>
                <w:rFonts w:ascii="Arial" w:hAnsi="Arial" w:cs="Arial"/>
                <w:b/>
                <w:lang w:val="cy-GB"/>
              </w:rPr>
            </w:pPr>
          </w:p>
          <w:p w:rsidR="00993545" w:rsidRPr="002B3385" w:rsidRDefault="00993545" w:rsidP="00993545">
            <w:pPr>
              <w:rPr>
                <w:rFonts w:ascii="Arial" w:hAnsi="Arial" w:cs="Arial"/>
                <w:b/>
              </w:rPr>
            </w:pPr>
            <w:r w:rsidRPr="002B3385">
              <w:rPr>
                <w:rFonts w:ascii="Arial" w:hAnsi="Arial" w:cs="Arial"/>
                <w:b/>
                <w:lang w:val="cy-GB"/>
              </w:rPr>
              <w:t xml:space="preserve">Llofnodau  </w:t>
            </w:r>
          </w:p>
          <w:p w:rsidR="00993545" w:rsidRPr="002B3385" w:rsidRDefault="00993545" w:rsidP="00993545">
            <w:pPr>
              <w:rPr>
                <w:rFonts w:ascii="Arial" w:hAnsi="Arial" w:cs="Arial"/>
              </w:rPr>
            </w:pPr>
            <w:r w:rsidRPr="002B3385">
              <w:rPr>
                <w:rFonts w:ascii="Arial" w:hAnsi="Arial" w:cs="Arial"/>
              </w:rPr>
              <w:t>Dylai'r ffurflen hon gael ei chwblhau a'i llofnodi gan y myfyriwr a'r goruchwyliwr lofnodi ac yna gan Bennaeth yr Ysgol/Cyfadran/</w:t>
            </w:r>
            <w:r w:rsidRPr="002B3385">
              <w:rPr>
                <w:rStyle w:val="Heading1Char"/>
                <w:rFonts w:ascii="Arial" w:hAnsi="Arial" w:cs="Arial"/>
                <w:color w:val="222222"/>
                <w:sz w:val="22"/>
                <w:szCs w:val="22"/>
                <w:lang w:val="cy-GB"/>
              </w:rPr>
              <w:t xml:space="preserve"> </w:t>
            </w:r>
          </w:p>
        </w:tc>
        <w:tc>
          <w:tcPr>
            <w:tcW w:w="5370" w:type="dxa"/>
            <w:gridSpan w:val="2"/>
            <w:tcBorders>
              <w:top w:val="single" w:sz="4" w:space="0" w:color="E36C0A"/>
              <w:left w:val="nil"/>
              <w:bottom w:val="nil"/>
              <w:right w:val="nil"/>
            </w:tcBorders>
            <w:shd w:val="clear" w:color="auto" w:fill="FFFFFF"/>
          </w:tcPr>
          <w:p w:rsidR="00993545" w:rsidRPr="002B3385" w:rsidRDefault="00993545" w:rsidP="00993545">
            <w:pPr>
              <w:rPr>
                <w:rFonts w:ascii="Arial" w:hAnsi="Arial" w:cs="Arial"/>
                <w:b/>
              </w:rPr>
            </w:pPr>
          </w:p>
          <w:p w:rsidR="00993545" w:rsidRPr="002B3385" w:rsidRDefault="00993545" w:rsidP="00993545">
            <w:pPr>
              <w:rPr>
                <w:rFonts w:ascii="Arial" w:hAnsi="Arial" w:cs="Arial"/>
              </w:rPr>
            </w:pPr>
            <w:r w:rsidRPr="002B3385">
              <w:rPr>
                <w:rFonts w:ascii="Arial" w:hAnsi="Arial" w:cs="Arial"/>
                <w:b/>
              </w:rPr>
              <w:t>Signatures</w:t>
            </w:r>
          </w:p>
          <w:p w:rsidR="00993545" w:rsidRPr="002B3385" w:rsidRDefault="00993545" w:rsidP="00993545">
            <w:pPr>
              <w:rPr>
                <w:rFonts w:ascii="Arial" w:hAnsi="Arial" w:cs="Arial"/>
              </w:rPr>
            </w:pPr>
            <w:r w:rsidRPr="002B3385">
              <w:rPr>
                <w:rFonts w:ascii="Arial" w:hAnsi="Arial" w:cs="Arial"/>
              </w:rPr>
              <w:t>This form should be completed and signed by both the student and the supervisor and then signed by the Head of School/Faculty</w:t>
            </w:r>
          </w:p>
        </w:tc>
      </w:tr>
      <w:tr w:rsidR="00993545" w:rsidRPr="002B3385" w:rsidTr="00993545">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rsidR="00993545" w:rsidRPr="002B3385" w:rsidRDefault="00993545" w:rsidP="00993545">
            <w:pPr>
              <w:rPr>
                <w:rFonts w:ascii="Arial" w:hAnsi="Arial" w:cs="Arial"/>
                <w:b/>
              </w:rPr>
            </w:pPr>
          </w:p>
        </w:tc>
      </w:tr>
      <w:tr w:rsidR="00993545" w:rsidRPr="002B3385" w:rsidTr="00993545">
        <w:tblPrEx>
          <w:shd w:val="clear" w:color="auto" w:fill="auto"/>
        </w:tblPrEx>
        <w:tc>
          <w:tcPr>
            <w:tcW w:w="5370" w:type="dxa"/>
            <w:gridSpan w:val="2"/>
            <w:tcBorders>
              <w:top w:val="single" w:sz="8" w:space="0" w:color="1F497D"/>
              <w:left w:val="single" w:sz="8" w:space="0" w:color="1F497D"/>
              <w:bottom w:val="single" w:sz="6" w:space="0" w:color="E36C0A"/>
              <w:right w:val="nil"/>
            </w:tcBorders>
          </w:tcPr>
          <w:p w:rsidR="00993545" w:rsidRPr="002B3385" w:rsidRDefault="00993545" w:rsidP="00993545">
            <w:pPr>
              <w:rPr>
                <w:rFonts w:ascii="Arial" w:hAnsi="Arial" w:cs="Arial"/>
                <w:lang w:val="cy-GB"/>
              </w:rPr>
            </w:pPr>
            <w:r w:rsidRPr="002B3385">
              <w:rPr>
                <w:rFonts w:ascii="Arial" w:hAnsi="Arial" w:cs="Arial"/>
                <w:lang w:val="cy-GB"/>
              </w:rPr>
              <w:t>Myfyriwr / Student</w:t>
            </w:r>
            <w:r>
              <w:rPr>
                <w:bCs/>
                <w:noProof/>
                <w:sz w:val="28"/>
                <w:szCs w:val="28"/>
                <w:lang w:eastAsia="en-GB"/>
              </w:rPr>
              <w:drawing>
                <wp:inline distT="0" distB="0" distL="0" distR="0">
                  <wp:extent cx="1181100" cy="4857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81100" cy="485775"/>
                          </a:xfrm>
                          <a:prstGeom prst="rect">
                            <a:avLst/>
                          </a:prstGeom>
                          <a:noFill/>
                        </pic:spPr>
                      </pic:pic>
                    </a:graphicData>
                  </a:graphic>
                </wp:inline>
              </w:drawing>
            </w:r>
          </w:p>
          <w:p w:rsidR="00993545" w:rsidRPr="002B3385" w:rsidRDefault="00993545" w:rsidP="00993545">
            <w:pPr>
              <w:jc w:val="center"/>
              <w:rPr>
                <w:rFonts w:ascii="Arial" w:hAnsi="Arial" w:cs="Arial"/>
                <w:lang w:val="cy-GB"/>
              </w:rPr>
            </w:pPr>
            <w:r w:rsidRPr="002B3385">
              <w:rPr>
                <w:rFonts w:ascii="Arial" w:hAnsi="Arial" w:cs="Arial"/>
                <w:lang w:val="cy-GB"/>
              </w:rPr>
              <w:t xml:space="preserve">           </w:t>
            </w:r>
          </w:p>
          <w:p w:rsidR="00993545" w:rsidRPr="002B3385" w:rsidRDefault="00993545" w:rsidP="00993545">
            <w:pPr>
              <w:jc w:val="center"/>
              <w:rPr>
                <w:rFonts w:ascii="Arial" w:hAnsi="Arial" w:cs="Arial"/>
                <w:lang w:val="cy-GB"/>
              </w:rPr>
            </w:pPr>
            <w:r w:rsidRPr="002B3385">
              <w:rPr>
                <w:rFonts w:ascii="Arial" w:hAnsi="Arial" w:cs="Arial"/>
                <w:lang w:val="cy-GB"/>
              </w:rPr>
              <w:t xml:space="preserve">                                                                  </w:t>
            </w:r>
          </w:p>
        </w:tc>
        <w:tc>
          <w:tcPr>
            <w:tcW w:w="975" w:type="dxa"/>
            <w:tcBorders>
              <w:top w:val="single" w:sz="6" w:space="0" w:color="1F497D"/>
              <w:left w:val="nil"/>
              <w:bottom w:val="nil"/>
              <w:right w:val="nil"/>
            </w:tcBorders>
          </w:tcPr>
          <w:p w:rsidR="00993545" w:rsidRPr="002B3385" w:rsidRDefault="00993545" w:rsidP="00993545">
            <w:pPr>
              <w:jc w:val="center"/>
              <w:rPr>
                <w:rFonts w:ascii="Arial" w:hAnsi="Arial" w:cs="Arial"/>
                <w:lang w:val="cy-GB"/>
              </w:rPr>
            </w:pPr>
          </w:p>
        </w:tc>
        <w:tc>
          <w:tcPr>
            <w:tcW w:w="4395" w:type="dxa"/>
            <w:tcBorders>
              <w:top w:val="single" w:sz="8" w:space="0" w:color="1F497D"/>
              <w:left w:val="nil"/>
              <w:bottom w:val="single" w:sz="6" w:space="0" w:color="E36C0A"/>
              <w:right w:val="single" w:sz="8" w:space="0" w:color="1F497D"/>
            </w:tcBorders>
          </w:tcPr>
          <w:p w:rsidR="00993545" w:rsidRPr="002B3385" w:rsidRDefault="00993545" w:rsidP="00993545">
            <w:pPr>
              <w:rPr>
                <w:rFonts w:ascii="Arial" w:hAnsi="Arial" w:cs="Arial"/>
              </w:rPr>
            </w:pPr>
            <w:r w:rsidRPr="002B3385">
              <w:rPr>
                <w:rFonts w:ascii="Arial" w:hAnsi="Arial" w:cs="Arial"/>
                <w:lang w:val="cy-GB"/>
              </w:rPr>
              <w:t xml:space="preserve">Dyddiad: / </w:t>
            </w:r>
            <w:r w:rsidRPr="002B3385">
              <w:rPr>
                <w:rFonts w:ascii="Arial" w:hAnsi="Arial" w:cs="Arial"/>
              </w:rPr>
              <w:t>Date:</w:t>
            </w:r>
            <w:r>
              <w:rPr>
                <w:rFonts w:ascii="Arial" w:hAnsi="Arial" w:cs="Arial"/>
              </w:rPr>
              <w:t>22/02/2019</w:t>
            </w:r>
          </w:p>
          <w:p w:rsidR="00993545" w:rsidRPr="002B3385" w:rsidRDefault="00993545" w:rsidP="00993545">
            <w:pPr>
              <w:rPr>
                <w:rFonts w:ascii="Arial" w:hAnsi="Arial" w:cs="Arial"/>
                <w:lang w:val="cy-GB"/>
              </w:rPr>
            </w:pPr>
          </w:p>
        </w:tc>
      </w:tr>
      <w:tr w:rsidR="00993545" w:rsidRPr="002B3385" w:rsidTr="00993545">
        <w:tblPrEx>
          <w:shd w:val="clear" w:color="auto" w:fill="auto"/>
        </w:tblPrEx>
        <w:tc>
          <w:tcPr>
            <w:tcW w:w="5370" w:type="dxa"/>
            <w:gridSpan w:val="2"/>
            <w:tcBorders>
              <w:top w:val="single" w:sz="6" w:space="0" w:color="E36C0A"/>
              <w:left w:val="single" w:sz="8" w:space="0" w:color="1F497D"/>
              <w:bottom w:val="single" w:sz="8" w:space="0" w:color="E36C0A"/>
              <w:right w:val="nil"/>
            </w:tcBorders>
          </w:tcPr>
          <w:p w:rsidR="00993545" w:rsidRPr="002B3385" w:rsidRDefault="00993545" w:rsidP="00993545">
            <w:pPr>
              <w:rPr>
                <w:rFonts w:ascii="Arial" w:hAnsi="Arial" w:cs="Arial"/>
                <w:lang w:val="cy-GB"/>
              </w:rPr>
            </w:pPr>
          </w:p>
        </w:tc>
        <w:tc>
          <w:tcPr>
            <w:tcW w:w="975" w:type="dxa"/>
            <w:tcBorders>
              <w:top w:val="nil"/>
              <w:left w:val="nil"/>
              <w:bottom w:val="single" w:sz="8" w:space="0" w:color="1F497D"/>
              <w:right w:val="nil"/>
            </w:tcBorders>
          </w:tcPr>
          <w:p w:rsidR="00993545" w:rsidRPr="002B3385" w:rsidRDefault="00993545" w:rsidP="00993545">
            <w:pPr>
              <w:jc w:val="center"/>
              <w:rPr>
                <w:rFonts w:ascii="Arial" w:hAnsi="Arial" w:cs="Arial"/>
                <w:lang w:val="cy-GB"/>
              </w:rPr>
            </w:pPr>
          </w:p>
        </w:tc>
        <w:tc>
          <w:tcPr>
            <w:tcW w:w="4395" w:type="dxa"/>
            <w:tcBorders>
              <w:top w:val="single" w:sz="6" w:space="0" w:color="E36C0A"/>
              <w:left w:val="nil"/>
              <w:bottom w:val="single" w:sz="8" w:space="0" w:color="1F497D"/>
              <w:right w:val="single" w:sz="8" w:space="0" w:color="1F497D"/>
            </w:tcBorders>
          </w:tcPr>
          <w:p w:rsidR="00993545" w:rsidRPr="002B3385" w:rsidRDefault="00993545" w:rsidP="00993545">
            <w:pPr>
              <w:rPr>
                <w:rFonts w:ascii="Arial" w:hAnsi="Arial" w:cs="Arial"/>
                <w:lang w:val="cy-GB"/>
              </w:rPr>
            </w:pPr>
          </w:p>
        </w:tc>
      </w:tr>
      <w:tr w:rsidR="00993545" w:rsidRPr="002B3385" w:rsidTr="00993545">
        <w:tblPrEx>
          <w:shd w:val="clear" w:color="auto" w:fill="auto"/>
        </w:tblPrEx>
        <w:tc>
          <w:tcPr>
            <w:tcW w:w="5370" w:type="dxa"/>
            <w:gridSpan w:val="2"/>
            <w:tcBorders>
              <w:top w:val="single" w:sz="8" w:space="0" w:color="1F497D"/>
              <w:left w:val="single" w:sz="8" w:space="0" w:color="1F497D"/>
              <w:bottom w:val="single" w:sz="8" w:space="0" w:color="E36C0A"/>
              <w:right w:val="nil"/>
            </w:tcBorders>
          </w:tcPr>
          <w:p w:rsidR="00993545" w:rsidRPr="002B3385" w:rsidRDefault="00993545" w:rsidP="00993545">
            <w:pPr>
              <w:rPr>
                <w:rFonts w:ascii="Arial" w:hAnsi="Arial" w:cs="Arial"/>
                <w:lang w:val="cy-GB"/>
              </w:rPr>
            </w:pPr>
            <w:r w:rsidRPr="002B3385">
              <w:rPr>
                <w:rFonts w:ascii="Arial" w:hAnsi="Arial" w:cs="Arial"/>
                <w:lang w:val="cy-GB"/>
              </w:rPr>
              <w:t>Cydlynydd y prosiect  /  Tiwtor</w:t>
            </w:r>
          </w:p>
          <w:p w:rsidR="00993545" w:rsidRPr="002B3385" w:rsidRDefault="00993545" w:rsidP="00993545">
            <w:pPr>
              <w:rPr>
                <w:rFonts w:ascii="Arial" w:hAnsi="Arial" w:cs="Arial"/>
              </w:rPr>
            </w:pPr>
            <w:r w:rsidRPr="002B3385">
              <w:rPr>
                <w:rFonts w:ascii="Arial" w:hAnsi="Arial" w:cs="Arial"/>
              </w:rPr>
              <w:t>Project co-ordinator / Tutor</w:t>
            </w:r>
          </w:p>
          <w:p w:rsidR="00993545" w:rsidRPr="002B3385" w:rsidRDefault="00993545" w:rsidP="00993545">
            <w:pPr>
              <w:rPr>
                <w:rFonts w:ascii="Arial" w:hAnsi="Arial" w:cs="Arial"/>
              </w:rPr>
            </w:pPr>
            <w:r w:rsidRPr="002B3385">
              <w:rPr>
                <w:rFonts w:ascii="Arial" w:hAnsi="Arial" w:cs="Arial"/>
                <w:lang w:val="cy-GB"/>
              </w:rPr>
              <w:t xml:space="preserve">Arolygwr  /  </w:t>
            </w:r>
            <w:r w:rsidRPr="002B3385">
              <w:rPr>
                <w:rFonts w:ascii="Arial" w:hAnsi="Arial" w:cs="Arial"/>
              </w:rPr>
              <w:t>Supervisor</w:t>
            </w:r>
          </w:p>
          <w:p w:rsidR="00993545" w:rsidRPr="002B3385" w:rsidRDefault="00993545" w:rsidP="00993545">
            <w:pPr>
              <w:rPr>
                <w:rFonts w:ascii="Arial" w:hAnsi="Arial" w:cs="Arial"/>
              </w:rPr>
            </w:pPr>
          </w:p>
          <w:p w:rsidR="00993545" w:rsidRPr="002B3385" w:rsidRDefault="00993545" w:rsidP="00993545">
            <w:pPr>
              <w:rPr>
                <w:rFonts w:ascii="Arial" w:hAnsi="Arial" w:cs="Arial"/>
              </w:rPr>
            </w:pPr>
          </w:p>
        </w:tc>
        <w:tc>
          <w:tcPr>
            <w:tcW w:w="975" w:type="dxa"/>
            <w:tcBorders>
              <w:top w:val="single" w:sz="8" w:space="0" w:color="1F497D"/>
              <w:left w:val="nil"/>
              <w:bottom w:val="nil"/>
              <w:right w:val="nil"/>
            </w:tcBorders>
          </w:tcPr>
          <w:p w:rsidR="00993545" w:rsidRPr="002B3385" w:rsidRDefault="00993545" w:rsidP="00993545">
            <w:pPr>
              <w:rPr>
                <w:rFonts w:ascii="Arial" w:hAnsi="Arial" w:cs="Arial"/>
              </w:rPr>
            </w:pPr>
          </w:p>
        </w:tc>
        <w:tc>
          <w:tcPr>
            <w:tcW w:w="4395" w:type="dxa"/>
            <w:tcBorders>
              <w:top w:val="single" w:sz="8" w:space="0" w:color="1F497D"/>
              <w:left w:val="nil"/>
              <w:bottom w:val="single" w:sz="8" w:space="0" w:color="E36C0A"/>
              <w:right w:val="single" w:sz="8" w:space="0" w:color="1F497D"/>
            </w:tcBorders>
          </w:tcPr>
          <w:p w:rsidR="00993545" w:rsidRPr="002B3385" w:rsidRDefault="00993545" w:rsidP="00993545">
            <w:pPr>
              <w:rPr>
                <w:rFonts w:ascii="Arial" w:hAnsi="Arial" w:cs="Arial"/>
              </w:rPr>
            </w:pPr>
            <w:r w:rsidRPr="002B3385">
              <w:rPr>
                <w:rFonts w:ascii="Arial" w:hAnsi="Arial" w:cs="Arial"/>
                <w:lang w:val="cy-GB"/>
              </w:rPr>
              <w:t xml:space="preserve">                                                                                                 Dyddiad: / </w:t>
            </w:r>
            <w:r w:rsidRPr="002B3385">
              <w:rPr>
                <w:rFonts w:ascii="Arial" w:hAnsi="Arial" w:cs="Arial"/>
              </w:rPr>
              <w:t>Date:</w:t>
            </w:r>
          </w:p>
        </w:tc>
      </w:tr>
      <w:tr w:rsidR="00993545" w:rsidRPr="002B3385" w:rsidTr="00993545">
        <w:tblPrEx>
          <w:shd w:val="clear" w:color="auto" w:fill="auto"/>
        </w:tblPrEx>
        <w:tc>
          <w:tcPr>
            <w:tcW w:w="5370" w:type="dxa"/>
            <w:gridSpan w:val="2"/>
            <w:tcBorders>
              <w:top w:val="single" w:sz="8" w:space="0" w:color="E36C0A"/>
              <w:left w:val="single" w:sz="8" w:space="0" w:color="1F497D"/>
              <w:bottom w:val="single" w:sz="8" w:space="0" w:color="1F497D"/>
              <w:right w:val="nil"/>
            </w:tcBorders>
          </w:tcPr>
          <w:p w:rsidR="00993545" w:rsidRPr="002B3385" w:rsidRDefault="00993545" w:rsidP="00993545">
            <w:pPr>
              <w:rPr>
                <w:rFonts w:ascii="Arial" w:hAnsi="Arial" w:cs="Arial"/>
                <w:lang w:val="cy-GB"/>
              </w:rPr>
            </w:pPr>
          </w:p>
          <w:p w:rsidR="00993545" w:rsidRPr="002B3385" w:rsidRDefault="00993545" w:rsidP="00993545">
            <w:pPr>
              <w:rPr>
                <w:rFonts w:ascii="Arial" w:hAnsi="Arial" w:cs="Arial"/>
                <w:lang w:val="cy-GB"/>
              </w:rPr>
            </w:pPr>
          </w:p>
        </w:tc>
        <w:tc>
          <w:tcPr>
            <w:tcW w:w="975" w:type="dxa"/>
            <w:tcBorders>
              <w:top w:val="nil"/>
              <w:left w:val="nil"/>
              <w:bottom w:val="single" w:sz="8" w:space="0" w:color="1F497D"/>
              <w:right w:val="nil"/>
            </w:tcBorders>
          </w:tcPr>
          <w:p w:rsidR="00993545" w:rsidRPr="002B3385" w:rsidRDefault="00993545" w:rsidP="00993545">
            <w:pPr>
              <w:rPr>
                <w:rFonts w:ascii="Arial" w:hAnsi="Arial" w:cs="Arial"/>
                <w:lang w:val="cy-GB"/>
              </w:rPr>
            </w:pPr>
          </w:p>
        </w:tc>
        <w:tc>
          <w:tcPr>
            <w:tcW w:w="4395" w:type="dxa"/>
            <w:tcBorders>
              <w:top w:val="single" w:sz="8" w:space="0" w:color="E36C0A"/>
              <w:left w:val="nil"/>
              <w:bottom w:val="single" w:sz="8" w:space="0" w:color="1F497D"/>
              <w:right w:val="single" w:sz="8" w:space="0" w:color="1F497D"/>
            </w:tcBorders>
          </w:tcPr>
          <w:p w:rsidR="00993545" w:rsidRPr="002B3385" w:rsidRDefault="00993545" w:rsidP="00993545">
            <w:pPr>
              <w:rPr>
                <w:rFonts w:ascii="Arial" w:hAnsi="Arial" w:cs="Arial"/>
                <w:lang w:val="cy-GB"/>
              </w:rPr>
            </w:pPr>
          </w:p>
        </w:tc>
      </w:tr>
      <w:tr w:rsidR="00993545" w:rsidRPr="002B3385" w:rsidTr="00993545">
        <w:tblPrEx>
          <w:shd w:val="clear" w:color="auto" w:fill="auto"/>
        </w:tblPrEx>
        <w:tc>
          <w:tcPr>
            <w:tcW w:w="5370" w:type="dxa"/>
            <w:gridSpan w:val="2"/>
            <w:tcBorders>
              <w:top w:val="single" w:sz="8" w:space="0" w:color="1F497D"/>
              <w:left w:val="single" w:sz="8" w:space="0" w:color="1F497D"/>
              <w:bottom w:val="single" w:sz="8" w:space="0" w:color="1F497D"/>
              <w:right w:val="nil"/>
            </w:tcBorders>
          </w:tcPr>
          <w:p w:rsidR="00993545" w:rsidRPr="002B3385" w:rsidRDefault="00993545" w:rsidP="00993545">
            <w:pPr>
              <w:rPr>
                <w:rFonts w:ascii="Arial" w:hAnsi="Arial" w:cs="Arial"/>
              </w:rPr>
            </w:pPr>
            <w:r w:rsidRPr="002B3385">
              <w:rPr>
                <w:rFonts w:ascii="Arial" w:hAnsi="Arial" w:cs="Arial"/>
                <w:lang w:val="cy-GB"/>
              </w:rPr>
              <w:t xml:space="preserve">Pennaeth Ysgol/Cyfadran  /  </w:t>
            </w:r>
            <w:r w:rsidRPr="002B3385">
              <w:rPr>
                <w:rFonts w:ascii="Arial" w:hAnsi="Arial" w:cs="Arial"/>
              </w:rPr>
              <w:t>Head of School/Faculty</w:t>
            </w:r>
          </w:p>
          <w:p w:rsidR="00993545" w:rsidRPr="002B3385" w:rsidRDefault="00993545" w:rsidP="00993545">
            <w:pPr>
              <w:rPr>
                <w:rFonts w:ascii="Arial" w:hAnsi="Arial" w:cs="Arial"/>
              </w:rPr>
            </w:pPr>
          </w:p>
          <w:p w:rsidR="00993545" w:rsidRPr="002B3385" w:rsidRDefault="00993545" w:rsidP="00993545">
            <w:pPr>
              <w:rPr>
                <w:rFonts w:ascii="Arial" w:hAnsi="Arial" w:cs="Arial"/>
              </w:rPr>
            </w:pPr>
          </w:p>
        </w:tc>
        <w:tc>
          <w:tcPr>
            <w:tcW w:w="975" w:type="dxa"/>
            <w:tcBorders>
              <w:top w:val="single" w:sz="8" w:space="0" w:color="1F497D"/>
              <w:left w:val="nil"/>
              <w:bottom w:val="single" w:sz="8" w:space="0" w:color="1F497D"/>
              <w:right w:val="nil"/>
            </w:tcBorders>
          </w:tcPr>
          <w:p w:rsidR="00993545" w:rsidRPr="002B3385" w:rsidRDefault="00993545" w:rsidP="00993545">
            <w:pPr>
              <w:rPr>
                <w:rFonts w:ascii="Arial" w:hAnsi="Arial" w:cs="Arial"/>
              </w:rPr>
            </w:pPr>
          </w:p>
        </w:tc>
        <w:tc>
          <w:tcPr>
            <w:tcW w:w="4395" w:type="dxa"/>
            <w:tcBorders>
              <w:top w:val="single" w:sz="8" w:space="0" w:color="1F497D"/>
              <w:left w:val="nil"/>
              <w:bottom w:val="single" w:sz="8" w:space="0" w:color="1F497D"/>
              <w:right w:val="single" w:sz="8" w:space="0" w:color="1F497D"/>
            </w:tcBorders>
          </w:tcPr>
          <w:p w:rsidR="00993545" w:rsidRPr="002B3385" w:rsidRDefault="00993545" w:rsidP="00993545">
            <w:pPr>
              <w:rPr>
                <w:rFonts w:ascii="Arial" w:hAnsi="Arial" w:cs="Arial"/>
              </w:rPr>
            </w:pPr>
            <w:r w:rsidRPr="002B3385">
              <w:rPr>
                <w:rFonts w:ascii="Arial" w:hAnsi="Arial" w:cs="Arial"/>
                <w:lang w:val="cy-GB"/>
              </w:rPr>
              <w:t xml:space="preserve">                                                                                                                  Dyddiad: / </w:t>
            </w:r>
            <w:r w:rsidRPr="002B3385">
              <w:rPr>
                <w:rFonts w:ascii="Arial" w:hAnsi="Arial" w:cs="Arial"/>
              </w:rPr>
              <w:t>Date</w:t>
            </w:r>
          </w:p>
        </w:tc>
      </w:tr>
      <w:tr w:rsidR="00993545" w:rsidRPr="002B3385" w:rsidTr="009935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rsidR="00993545" w:rsidRPr="002B3385" w:rsidRDefault="00993545" w:rsidP="00993545">
            <w:pPr>
              <w:jc w:val="both"/>
              <w:rPr>
                <w:rFonts w:ascii="Arial" w:hAnsi="Arial" w:cs="Arial"/>
                <w:lang w:val="cy-GB"/>
              </w:rPr>
            </w:pPr>
            <w:r w:rsidRPr="002B3385">
              <w:rPr>
                <w:rFonts w:ascii="Arial" w:hAnsi="Arial" w:cs="Arial"/>
                <w:lang w:val="cy-GB"/>
              </w:rPr>
              <w:t>Rhaid i bob cais am ymchwil ar sail cyfweliadau gynnwys y dogfennau canlynol:</w:t>
            </w:r>
          </w:p>
          <w:p w:rsidR="00993545" w:rsidRPr="002B3385" w:rsidRDefault="00993545" w:rsidP="00993545">
            <w:pPr>
              <w:jc w:val="both"/>
              <w:rPr>
                <w:rFonts w:ascii="Arial" w:hAnsi="Arial" w:cs="Arial"/>
              </w:rPr>
            </w:pPr>
          </w:p>
        </w:tc>
        <w:tc>
          <w:tcPr>
            <w:tcW w:w="5399" w:type="dxa"/>
            <w:gridSpan w:val="3"/>
            <w:shd w:val="clear" w:color="auto" w:fill="FDE9D9"/>
          </w:tcPr>
          <w:p w:rsidR="00993545" w:rsidRPr="002B3385" w:rsidRDefault="00993545" w:rsidP="00993545">
            <w:pPr>
              <w:jc w:val="both"/>
              <w:rPr>
                <w:rFonts w:ascii="Arial" w:hAnsi="Arial" w:cs="Arial"/>
              </w:rPr>
            </w:pPr>
            <w:r w:rsidRPr="002B3385">
              <w:rPr>
                <w:rFonts w:ascii="Arial" w:hAnsi="Arial" w:cs="Arial"/>
              </w:rPr>
              <w:t>All interview based research applications must provide the following pro-forma documents:</w:t>
            </w:r>
          </w:p>
          <w:p w:rsidR="00993545" w:rsidRPr="002B3385" w:rsidRDefault="00993545" w:rsidP="00993545">
            <w:pPr>
              <w:jc w:val="both"/>
              <w:rPr>
                <w:rFonts w:ascii="Arial" w:hAnsi="Arial" w:cs="Arial"/>
              </w:rPr>
            </w:pPr>
          </w:p>
        </w:tc>
      </w:tr>
      <w:tr w:rsidR="00993545" w:rsidRPr="002B3385" w:rsidTr="009935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rsidR="00993545" w:rsidRPr="002B3385" w:rsidRDefault="00993545" w:rsidP="00993545">
            <w:pPr>
              <w:ind w:left="720" w:hanging="360"/>
              <w:jc w:val="both"/>
              <w:rPr>
                <w:rFonts w:ascii="Arial" w:hAnsi="Arial" w:cs="Arial"/>
                <w:lang w:val="cy-GB"/>
              </w:rPr>
            </w:pPr>
            <w:r w:rsidRPr="002B3385">
              <w:rPr>
                <w:rFonts w:ascii="Arial" w:eastAsia="Calibri" w:hAnsi="Arial" w:cs="Arial"/>
                <w:lang w:val="cy-GB"/>
              </w:rPr>
              <w:lastRenderedPageBreak/>
              <w:t xml:space="preserve">1.       </w:t>
            </w:r>
            <w:r w:rsidRPr="002B3385">
              <w:rPr>
                <w:rFonts w:ascii="Arial" w:hAnsi="Arial" w:cs="Arial"/>
                <w:lang w:val="cy-GB"/>
              </w:rPr>
              <w:t>Ffurflen gydsynio ddrafft</w:t>
            </w:r>
          </w:p>
          <w:p w:rsidR="00993545" w:rsidRPr="002B3385" w:rsidRDefault="00993545" w:rsidP="00993545">
            <w:pPr>
              <w:jc w:val="both"/>
              <w:rPr>
                <w:rFonts w:ascii="Arial" w:hAnsi="Arial" w:cs="Arial"/>
                <w:lang w:val="cy-GB"/>
              </w:rPr>
            </w:pPr>
          </w:p>
          <w:p w:rsidR="00993545" w:rsidRPr="002B3385" w:rsidRDefault="00993545" w:rsidP="00993545">
            <w:pPr>
              <w:ind w:left="720" w:hanging="360"/>
              <w:jc w:val="both"/>
              <w:rPr>
                <w:rFonts w:ascii="Arial" w:hAnsi="Arial" w:cs="Arial"/>
                <w:lang w:val="cy-GB"/>
              </w:rPr>
            </w:pPr>
            <w:r w:rsidRPr="002B3385">
              <w:rPr>
                <w:rFonts w:ascii="Arial" w:eastAsia="Calibri" w:hAnsi="Arial" w:cs="Arial"/>
                <w:lang w:val="cy-GB"/>
              </w:rPr>
              <w:t xml:space="preserve">2.       </w:t>
            </w:r>
            <w:r w:rsidRPr="002B3385">
              <w:rPr>
                <w:rFonts w:ascii="Arial" w:hAnsi="Arial" w:cs="Arial"/>
                <w:lang w:val="cy-GB"/>
              </w:rPr>
              <w:t>Sampl o’r cwestiynau a ofynnir</w:t>
            </w:r>
          </w:p>
          <w:p w:rsidR="00993545" w:rsidRPr="002B3385" w:rsidRDefault="00993545" w:rsidP="00993545">
            <w:pPr>
              <w:jc w:val="both"/>
              <w:rPr>
                <w:rFonts w:ascii="Arial" w:hAnsi="Arial" w:cs="Arial"/>
                <w:lang w:val="cy-GB"/>
              </w:rPr>
            </w:pPr>
          </w:p>
          <w:p w:rsidR="00993545" w:rsidRPr="002B3385" w:rsidRDefault="00993545" w:rsidP="00993545">
            <w:pPr>
              <w:ind w:left="720" w:hanging="360"/>
              <w:jc w:val="both"/>
              <w:rPr>
                <w:rFonts w:ascii="Arial" w:hAnsi="Arial" w:cs="Arial"/>
                <w:lang w:val="cy-GB"/>
              </w:rPr>
            </w:pPr>
            <w:r w:rsidRPr="002B3385">
              <w:rPr>
                <w:rFonts w:ascii="Arial" w:eastAsia="Calibri" w:hAnsi="Arial" w:cs="Arial"/>
                <w:lang w:val="cy-GB"/>
              </w:rPr>
              <w:t xml:space="preserve">3.       </w:t>
            </w:r>
            <w:r w:rsidRPr="002B3385">
              <w:rPr>
                <w:rFonts w:ascii="Arial" w:hAnsi="Arial" w:cs="Arial"/>
                <w:lang w:val="cy-GB"/>
              </w:rPr>
              <w:t>Taflen wybodaeth am yr ymchwil sy'n esbonio'n glir ddiben y prosiect, y deilliannau disgwyliedig a'r rheini y dangosir y canlyniadau iddynt.</w:t>
            </w:r>
          </w:p>
          <w:p w:rsidR="00993545" w:rsidRPr="002B3385" w:rsidRDefault="00993545" w:rsidP="00993545">
            <w:pPr>
              <w:jc w:val="both"/>
              <w:rPr>
                <w:rFonts w:ascii="Arial" w:hAnsi="Arial" w:cs="Arial"/>
              </w:rPr>
            </w:pPr>
          </w:p>
        </w:tc>
        <w:tc>
          <w:tcPr>
            <w:tcW w:w="5399" w:type="dxa"/>
            <w:gridSpan w:val="3"/>
            <w:shd w:val="clear" w:color="auto" w:fill="auto"/>
          </w:tcPr>
          <w:p w:rsidR="00993545" w:rsidRPr="002B3385" w:rsidRDefault="00993545" w:rsidP="00993545">
            <w:pPr>
              <w:numPr>
                <w:ilvl w:val="0"/>
                <w:numId w:val="11"/>
              </w:numPr>
              <w:spacing w:after="0" w:line="240" w:lineRule="auto"/>
              <w:jc w:val="both"/>
              <w:rPr>
                <w:rFonts w:ascii="Arial" w:hAnsi="Arial" w:cs="Arial"/>
              </w:rPr>
            </w:pPr>
            <w:r w:rsidRPr="002B3385">
              <w:rPr>
                <w:rFonts w:ascii="Arial" w:hAnsi="Arial" w:cs="Arial"/>
              </w:rPr>
              <w:t>A draft consent form</w:t>
            </w:r>
          </w:p>
          <w:p w:rsidR="00993545" w:rsidRPr="002B3385" w:rsidRDefault="00993545" w:rsidP="00993545">
            <w:pPr>
              <w:jc w:val="both"/>
              <w:rPr>
                <w:rFonts w:ascii="Arial" w:hAnsi="Arial" w:cs="Arial"/>
              </w:rPr>
            </w:pPr>
          </w:p>
          <w:p w:rsidR="00993545" w:rsidRPr="002B3385" w:rsidRDefault="00993545" w:rsidP="00993545">
            <w:pPr>
              <w:numPr>
                <w:ilvl w:val="0"/>
                <w:numId w:val="11"/>
              </w:numPr>
              <w:spacing w:after="0" w:line="240" w:lineRule="auto"/>
              <w:jc w:val="both"/>
              <w:rPr>
                <w:rFonts w:ascii="Arial" w:hAnsi="Arial" w:cs="Arial"/>
              </w:rPr>
            </w:pPr>
            <w:r w:rsidRPr="002B3385">
              <w:rPr>
                <w:rFonts w:ascii="Arial" w:hAnsi="Arial" w:cs="Arial"/>
              </w:rPr>
              <w:t>A sample of the questions that will be asked</w:t>
            </w:r>
          </w:p>
          <w:p w:rsidR="00993545" w:rsidRPr="002B3385" w:rsidRDefault="00993545" w:rsidP="00993545">
            <w:pPr>
              <w:jc w:val="both"/>
              <w:rPr>
                <w:rFonts w:ascii="Arial" w:hAnsi="Arial" w:cs="Arial"/>
              </w:rPr>
            </w:pPr>
          </w:p>
          <w:p w:rsidR="00993545" w:rsidRPr="002B3385" w:rsidRDefault="00993545" w:rsidP="00993545">
            <w:pPr>
              <w:numPr>
                <w:ilvl w:val="0"/>
                <w:numId w:val="11"/>
              </w:numPr>
              <w:spacing w:after="0" w:line="240" w:lineRule="auto"/>
              <w:jc w:val="both"/>
              <w:rPr>
                <w:rFonts w:ascii="Arial" w:hAnsi="Arial" w:cs="Arial"/>
              </w:rPr>
            </w:pPr>
            <w:r w:rsidRPr="002B3385">
              <w:rPr>
                <w:rFonts w:ascii="Arial" w:hAnsi="Arial" w:cs="Arial"/>
              </w:rPr>
              <w:t>An information sheet on the research that clearly explains what the project is, what the expected outcomes are and who the results will be shown to.</w:t>
            </w:r>
          </w:p>
          <w:p w:rsidR="00993545" w:rsidRPr="002B3385" w:rsidRDefault="00993545" w:rsidP="00993545">
            <w:pPr>
              <w:jc w:val="both"/>
              <w:rPr>
                <w:rFonts w:ascii="Arial" w:hAnsi="Arial" w:cs="Arial"/>
              </w:rPr>
            </w:pPr>
          </w:p>
        </w:tc>
      </w:tr>
    </w:tbl>
    <w:p w:rsidR="00993545" w:rsidRPr="002B3385" w:rsidRDefault="00993545" w:rsidP="00993545">
      <w:pPr>
        <w:jc w:val="center"/>
        <w:rPr>
          <w:rFonts w:ascii="Arial" w:hAnsi="Arial" w:cs="Arial"/>
        </w:rPr>
      </w:pPr>
    </w:p>
    <w:p w:rsidR="00993545" w:rsidRPr="002B3385" w:rsidRDefault="00993545" w:rsidP="00993545">
      <w:pPr>
        <w:jc w:val="center"/>
        <w:rPr>
          <w:rFonts w:ascii="Arial" w:hAnsi="Arial" w:cs="Arial"/>
        </w:rPr>
      </w:pPr>
    </w:p>
    <w:p w:rsidR="00993545" w:rsidRPr="002B3385" w:rsidRDefault="00993545" w:rsidP="00993545">
      <w:pPr>
        <w:shd w:val="clear" w:color="auto" w:fill="4F81BD"/>
        <w:jc w:val="center"/>
        <w:rPr>
          <w:rFonts w:ascii="Arial" w:hAnsi="Arial" w:cs="Arial"/>
          <w:color w:val="FFFFFF"/>
        </w:rPr>
      </w:pPr>
    </w:p>
    <w:p w:rsidR="00993545" w:rsidRPr="002B3385" w:rsidRDefault="00993545" w:rsidP="00993545">
      <w:pPr>
        <w:pStyle w:val="NoSpacing"/>
        <w:shd w:val="clear" w:color="auto" w:fill="4F81BD"/>
        <w:jc w:val="center"/>
        <w:rPr>
          <w:rFonts w:ascii="Arial" w:hAnsi="Arial" w:cs="Arial"/>
          <w:b/>
          <w:color w:val="FFFFFF"/>
          <w:szCs w:val="22"/>
          <w:lang w:val="cy-GB"/>
        </w:rPr>
      </w:pPr>
      <w:r w:rsidRPr="002B3385">
        <w:rPr>
          <w:rStyle w:val="hps"/>
          <w:rFonts w:ascii="Arial" w:eastAsiaTheme="majorEastAsia" w:hAnsi="Arial" w:cs="Arial"/>
          <w:b/>
          <w:color w:val="FFFFFF"/>
          <w:szCs w:val="22"/>
          <w:lang w:val="cy-GB"/>
        </w:rPr>
        <w:t>DYCHWELWCH</w:t>
      </w:r>
      <w:r w:rsidRPr="002B3385">
        <w:rPr>
          <w:rStyle w:val="shorttext"/>
          <w:rFonts w:ascii="Arial" w:hAnsi="Arial" w:cs="Arial"/>
          <w:b/>
          <w:color w:val="FFFFFF"/>
          <w:szCs w:val="22"/>
          <w:lang w:val="cy-GB"/>
        </w:rPr>
        <w:t xml:space="preserve"> </w:t>
      </w:r>
      <w:r w:rsidRPr="002B3385">
        <w:rPr>
          <w:rStyle w:val="hps"/>
          <w:rFonts w:ascii="Arial" w:eastAsiaTheme="majorEastAsia" w:hAnsi="Arial" w:cs="Arial"/>
          <w:b/>
          <w:color w:val="FFFFFF"/>
          <w:szCs w:val="22"/>
          <w:lang w:val="cy-GB"/>
        </w:rPr>
        <w:t>I'R</w:t>
      </w:r>
      <w:r w:rsidRPr="002B3385">
        <w:rPr>
          <w:rStyle w:val="shorttext"/>
          <w:rFonts w:ascii="Arial" w:hAnsi="Arial" w:cs="Arial"/>
          <w:b/>
          <w:color w:val="FFFFFF"/>
          <w:szCs w:val="22"/>
          <w:lang w:val="cy-GB"/>
        </w:rPr>
        <w:t xml:space="preserve"> </w:t>
      </w:r>
      <w:r w:rsidRPr="002B3385">
        <w:rPr>
          <w:rStyle w:val="hps"/>
          <w:rFonts w:ascii="Arial" w:eastAsiaTheme="majorEastAsia" w:hAnsi="Arial" w:cs="Arial"/>
          <w:b/>
          <w:color w:val="FFFFFF"/>
          <w:szCs w:val="22"/>
          <w:lang w:val="cy-GB"/>
        </w:rPr>
        <w:t>GYFADRAN</w:t>
      </w:r>
      <w:r w:rsidRPr="002B3385">
        <w:rPr>
          <w:rStyle w:val="shorttext"/>
          <w:rFonts w:ascii="Arial" w:hAnsi="Arial" w:cs="Arial"/>
          <w:b/>
          <w:color w:val="FFFFFF"/>
          <w:szCs w:val="22"/>
          <w:lang w:val="cy-GB"/>
        </w:rPr>
        <w:t xml:space="preserve"> </w:t>
      </w:r>
      <w:r w:rsidRPr="002B3385">
        <w:rPr>
          <w:rStyle w:val="hps"/>
          <w:rFonts w:ascii="Arial" w:eastAsiaTheme="majorEastAsia" w:hAnsi="Arial" w:cs="Arial"/>
          <w:b/>
          <w:color w:val="FFFFFF"/>
          <w:szCs w:val="22"/>
          <w:lang w:val="cy-GB"/>
        </w:rPr>
        <w:t>MOESEG</w:t>
      </w:r>
      <w:r w:rsidRPr="002B3385">
        <w:rPr>
          <w:rStyle w:val="shorttext"/>
          <w:rFonts w:ascii="Arial" w:hAnsi="Arial" w:cs="Arial"/>
          <w:b/>
          <w:color w:val="FFFFFF"/>
          <w:szCs w:val="22"/>
          <w:lang w:val="cy-GB"/>
        </w:rPr>
        <w:t xml:space="preserve"> </w:t>
      </w:r>
      <w:r w:rsidRPr="002B3385">
        <w:rPr>
          <w:rStyle w:val="hps"/>
          <w:rFonts w:ascii="Arial" w:eastAsiaTheme="majorEastAsia" w:hAnsi="Arial" w:cs="Arial"/>
          <w:b/>
          <w:color w:val="FFFFFF"/>
          <w:szCs w:val="22"/>
          <w:lang w:val="cy-GB"/>
        </w:rPr>
        <w:t>CYDLYNYDD</w:t>
      </w:r>
    </w:p>
    <w:p w:rsidR="00993545" w:rsidRPr="002B3385" w:rsidRDefault="00993545" w:rsidP="00993545">
      <w:pPr>
        <w:pStyle w:val="NoSpacing"/>
        <w:shd w:val="clear" w:color="auto" w:fill="4F81BD"/>
        <w:jc w:val="center"/>
        <w:rPr>
          <w:rFonts w:ascii="Arial" w:hAnsi="Arial" w:cs="Arial"/>
          <w:b/>
          <w:color w:val="FFFFFF"/>
          <w:szCs w:val="22"/>
        </w:rPr>
      </w:pPr>
    </w:p>
    <w:p w:rsidR="00993545" w:rsidRPr="002B3385" w:rsidRDefault="00993545" w:rsidP="00993545">
      <w:pPr>
        <w:shd w:val="clear" w:color="auto" w:fill="4F81BD"/>
        <w:jc w:val="center"/>
        <w:rPr>
          <w:rFonts w:ascii="Arial" w:hAnsi="Arial" w:cs="Arial"/>
          <w:color w:val="FFFFFF"/>
        </w:rPr>
      </w:pPr>
      <w:r w:rsidRPr="002B3385">
        <w:rPr>
          <w:rFonts w:ascii="Arial" w:hAnsi="Arial" w:cs="Arial"/>
          <w:b/>
          <w:color w:val="FFFFFF"/>
        </w:rPr>
        <w:t>PLEASE RETURN TO THE FACULTY ETHICS CO-ORDINATOR</w:t>
      </w:r>
    </w:p>
    <w:p w:rsidR="00993545" w:rsidRPr="002B3385" w:rsidRDefault="00993545" w:rsidP="00993545">
      <w:pPr>
        <w:shd w:val="clear" w:color="auto" w:fill="4F81BD"/>
        <w:jc w:val="center"/>
        <w:rPr>
          <w:rFonts w:ascii="Arial" w:hAnsi="Arial" w:cs="Arial"/>
        </w:rPr>
      </w:pPr>
      <w:r w:rsidRPr="002B3385">
        <w:rPr>
          <w:rFonts w:ascii="Arial" w:hAnsi="Arial" w:cs="Arial"/>
          <w:color w:val="FFFFFF"/>
        </w:rPr>
        <w:t>.</w:t>
      </w:r>
    </w:p>
    <w:p w:rsidR="00993545" w:rsidRPr="002B3385" w:rsidRDefault="00993545" w:rsidP="00993545">
      <w:pPr>
        <w:shd w:val="clear" w:color="auto" w:fill="4F81BD"/>
        <w:jc w:val="center"/>
        <w:rPr>
          <w:rFonts w:ascii="Arial" w:hAnsi="Arial" w:cs="Arial"/>
        </w:rPr>
      </w:pPr>
    </w:p>
    <w:p w:rsidR="00993545" w:rsidRPr="002B3385" w:rsidRDefault="00993545" w:rsidP="00993545">
      <w:pPr>
        <w:shd w:val="clear" w:color="auto" w:fill="4F81BD"/>
        <w:jc w:val="center"/>
        <w:rPr>
          <w:rFonts w:ascii="Arial" w:hAnsi="Arial" w:cs="Arial"/>
        </w:rPr>
      </w:pPr>
    </w:p>
    <w:p w:rsidR="00993545" w:rsidRPr="002B3385" w:rsidRDefault="00993545" w:rsidP="00993545">
      <w:pPr>
        <w:jc w:val="center"/>
        <w:rPr>
          <w:rFonts w:ascii="Arial" w:hAnsi="Arial" w:cs="Arial"/>
        </w:rPr>
      </w:pPr>
    </w:p>
    <w:p w:rsidR="00993545" w:rsidRPr="002B3385" w:rsidRDefault="00993545" w:rsidP="00993545">
      <w:pPr>
        <w:jc w:val="cente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993545" w:rsidRPr="002B3385" w:rsidTr="00993545">
        <w:trPr>
          <w:trHeight w:val="1262"/>
        </w:trPr>
        <w:tc>
          <w:tcPr>
            <w:tcW w:w="10740" w:type="dxa"/>
            <w:tcBorders>
              <w:top w:val="nil"/>
              <w:left w:val="nil"/>
              <w:bottom w:val="single" w:sz="4" w:space="0" w:color="E36C0A"/>
              <w:right w:val="nil"/>
            </w:tcBorders>
          </w:tcPr>
          <w:p w:rsidR="00993545" w:rsidRPr="002B3385" w:rsidRDefault="00993545" w:rsidP="00993545">
            <w:pPr>
              <w:tabs>
                <w:tab w:val="left" w:pos="7920"/>
              </w:tabs>
              <w:rPr>
                <w:rFonts w:ascii="Arial" w:hAnsi="Arial" w:cs="Arial"/>
                <w:b/>
              </w:rPr>
            </w:pPr>
            <w:r w:rsidRPr="002B3385">
              <w:rPr>
                <w:rStyle w:val="hps"/>
                <w:rFonts w:ascii="Arial" w:hAnsi="Arial" w:cs="Arial"/>
                <w:color w:val="222222"/>
                <w:lang w:val="cy-GB"/>
              </w:rPr>
              <w:t>Cadeirydd y</w:t>
            </w:r>
            <w:r w:rsidRPr="002B3385">
              <w:rPr>
                <w:rStyle w:val="shorttext"/>
                <w:rFonts w:ascii="Arial" w:hAnsi="Arial" w:cs="Arial"/>
                <w:color w:val="222222"/>
                <w:lang w:val="cy-GB"/>
              </w:rPr>
              <w:t xml:space="preserve"> </w:t>
            </w:r>
            <w:r w:rsidRPr="002B3385">
              <w:rPr>
                <w:rStyle w:val="hps"/>
                <w:rFonts w:ascii="Arial" w:hAnsi="Arial" w:cs="Arial"/>
                <w:color w:val="222222"/>
                <w:lang w:val="cy-GB"/>
              </w:rPr>
              <w:t>Pwyllgor</w:t>
            </w:r>
            <w:r w:rsidRPr="002B3385">
              <w:rPr>
                <w:rStyle w:val="shorttext"/>
                <w:rFonts w:ascii="Arial" w:hAnsi="Arial" w:cs="Arial"/>
                <w:color w:val="222222"/>
                <w:lang w:val="cy-GB"/>
              </w:rPr>
              <w:t xml:space="preserve"> </w:t>
            </w:r>
            <w:r w:rsidRPr="002B3385">
              <w:rPr>
                <w:rStyle w:val="hps"/>
                <w:rFonts w:ascii="Arial" w:hAnsi="Arial" w:cs="Arial"/>
                <w:color w:val="222222"/>
                <w:lang w:val="cy-GB"/>
              </w:rPr>
              <w:t>Moeseg</w:t>
            </w:r>
            <w:r w:rsidRPr="002B3385">
              <w:rPr>
                <w:rStyle w:val="shorttext"/>
                <w:rFonts w:ascii="Arial" w:hAnsi="Arial" w:cs="Arial"/>
                <w:color w:val="222222"/>
                <w:lang w:val="cy-GB"/>
              </w:rPr>
              <w:t xml:space="preserve"> </w:t>
            </w:r>
            <w:r w:rsidRPr="002B3385">
              <w:rPr>
                <w:rStyle w:val="hps"/>
                <w:rFonts w:ascii="Arial" w:hAnsi="Arial" w:cs="Arial"/>
                <w:color w:val="222222"/>
                <w:lang w:val="cy-GB"/>
              </w:rPr>
              <w:t>Gyfadran</w:t>
            </w:r>
            <w:r w:rsidRPr="002B3385">
              <w:rPr>
                <w:rFonts w:ascii="Arial" w:hAnsi="Arial" w:cs="Arial"/>
              </w:rPr>
              <w:t xml:space="preserve"> /Chair of the Faculty Ethics Committee</w:t>
            </w:r>
            <w:r w:rsidRPr="002B3385">
              <w:rPr>
                <w:rFonts w:ascii="Arial" w:hAnsi="Arial" w:cs="Arial"/>
                <w:b/>
              </w:rPr>
              <w:t xml:space="preserve">              </w:t>
            </w:r>
            <w:r w:rsidRPr="002B3385">
              <w:rPr>
                <w:rFonts w:ascii="Arial" w:hAnsi="Arial" w:cs="Arial"/>
                <w:lang w:val="cy-GB"/>
              </w:rPr>
              <w:t xml:space="preserve">Dyddiad: / </w:t>
            </w:r>
            <w:r w:rsidRPr="002B3385">
              <w:rPr>
                <w:rFonts w:ascii="Arial" w:hAnsi="Arial" w:cs="Arial"/>
              </w:rPr>
              <w:t>Date:</w:t>
            </w:r>
          </w:p>
          <w:p w:rsidR="00993545" w:rsidRPr="002B3385" w:rsidRDefault="00993545" w:rsidP="00993545">
            <w:pPr>
              <w:tabs>
                <w:tab w:val="left" w:pos="7920"/>
              </w:tabs>
              <w:rPr>
                <w:rFonts w:ascii="Arial" w:hAnsi="Arial" w:cs="Arial"/>
                <w:lang w:val="cy-GB"/>
              </w:rPr>
            </w:pPr>
          </w:p>
        </w:tc>
      </w:tr>
    </w:tbl>
    <w:p w:rsidR="00993545" w:rsidRPr="002B3385" w:rsidRDefault="00993545" w:rsidP="00993545">
      <w:pPr>
        <w:rPr>
          <w:rFonts w:ascii="Arial" w:hAnsi="Arial" w:cs="Arial"/>
          <w:b/>
        </w:rPr>
      </w:pPr>
    </w:p>
    <w:p w:rsidR="00993545" w:rsidRPr="002B3385" w:rsidRDefault="00993545" w:rsidP="00993545">
      <w:pPr>
        <w:rPr>
          <w:rFonts w:ascii="Arial" w:hAnsi="Arial" w:cs="Arial"/>
        </w:rPr>
      </w:pPr>
    </w:p>
    <w:p w:rsidR="00993545" w:rsidRPr="002B3385" w:rsidRDefault="00993545" w:rsidP="00993545">
      <w:pPr>
        <w:rPr>
          <w:rFonts w:ascii="Arial" w:hAnsi="Arial" w:cs="Arial"/>
        </w:rPr>
      </w:pPr>
    </w:p>
    <w:p w:rsidR="00993545" w:rsidRPr="002B3385" w:rsidRDefault="00993545" w:rsidP="00993545">
      <w:pPr>
        <w:rPr>
          <w:rFonts w:ascii="Arial" w:hAnsi="Arial" w:cs="Arial"/>
        </w:rPr>
      </w:pPr>
    </w:p>
    <w:p w:rsidR="00993545" w:rsidRPr="002B3385" w:rsidRDefault="00993545" w:rsidP="00993545">
      <w:pPr>
        <w:rPr>
          <w:rFonts w:ascii="Arial" w:hAnsi="Arial" w:cs="Arial"/>
        </w:rPr>
      </w:pPr>
    </w:p>
    <w:p w:rsidR="00993545" w:rsidRPr="002B3385" w:rsidRDefault="00993545" w:rsidP="00993545">
      <w:pPr>
        <w:rPr>
          <w:rFonts w:ascii="Arial" w:hAnsi="Arial" w:cs="Arial"/>
        </w:rPr>
      </w:pPr>
    </w:p>
    <w:p w:rsidR="00A12707" w:rsidRDefault="00055D96" w:rsidP="00A12707">
      <w:pPr>
        <w:pStyle w:val="Heading1"/>
        <w:rPr>
          <w:color w:val="auto"/>
        </w:rPr>
      </w:pPr>
      <w:r>
        <w:rPr>
          <w:color w:val="auto"/>
        </w:rPr>
        <w:lastRenderedPageBreak/>
        <w:t>A</w:t>
      </w:r>
      <w:r w:rsidR="00A12707" w:rsidRPr="00A12707">
        <w:rPr>
          <w:color w:val="auto"/>
        </w:rPr>
        <w:t>cknowledgement</w:t>
      </w:r>
      <w:bookmarkEnd w:id="0"/>
    </w:p>
    <w:p w:rsidR="00A12707" w:rsidRPr="00A12707" w:rsidRDefault="00A12707" w:rsidP="00A12707">
      <w:pPr>
        <w:rPr>
          <w:rFonts w:ascii="Times New Roman" w:hAnsi="Times New Roman" w:cs="Times New Roman"/>
          <w:sz w:val="24"/>
          <w:szCs w:val="24"/>
        </w:rPr>
      </w:pPr>
      <w:r w:rsidRPr="00A12707">
        <w:rPr>
          <w:rFonts w:ascii="Times New Roman" w:hAnsi="Times New Roman" w:cs="Times New Roman"/>
          <w:sz w:val="24"/>
          <w:szCs w:val="24"/>
        </w:rPr>
        <w:t>There have been many wonderful people who stood by me in my journey to success that I cannot thank them enough for their support and faith in me. Whenever I told them about the challenges that I faced they only continued in their unwavering belief in me.</w:t>
      </w:r>
    </w:p>
    <w:p w:rsidR="00A12707" w:rsidRDefault="00A12707" w:rsidP="00A12707">
      <w:pPr>
        <w:rPr>
          <w:rFonts w:ascii="Times New Roman" w:hAnsi="Times New Roman" w:cs="Times New Roman"/>
          <w:sz w:val="24"/>
          <w:szCs w:val="24"/>
        </w:rPr>
      </w:pPr>
      <w:r w:rsidRPr="00A12707">
        <w:rPr>
          <w:rFonts w:ascii="Times New Roman" w:hAnsi="Times New Roman" w:cs="Times New Roman"/>
          <w:sz w:val="24"/>
          <w:szCs w:val="24"/>
        </w:rPr>
        <w:t>Letters and words will not be enough to clearly to convey my message, so I offer you some humble expressions of gratitude which I hope will reflect the impact that you have had in my heart and in my life.</w:t>
      </w:r>
    </w:p>
    <w:p w:rsidR="00D00B89" w:rsidRPr="00A12707" w:rsidRDefault="00D00B89" w:rsidP="00A12707">
      <w:pPr>
        <w:rPr>
          <w:rFonts w:ascii="Times New Roman" w:hAnsi="Times New Roman" w:cs="Times New Roman"/>
          <w:sz w:val="24"/>
          <w:szCs w:val="24"/>
        </w:rPr>
      </w:pPr>
      <w:r>
        <w:rPr>
          <w:rFonts w:ascii="Times New Roman" w:hAnsi="Times New Roman" w:cs="Times New Roman"/>
          <w:sz w:val="24"/>
          <w:szCs w:val="24"/>
        </w:rPr>
        <w:t>First and foremost, to my parents, without you I would not be here and none of this would be possible. I do this for you and will continue to make you proud.</w:t>
      </w:r>
    </w:p>
    <w:p w:rsidR="00A12707" w:rsidRPr="00A12707" w:rsidRDefault="00A12707" w:rsidP="00A12707">
      <w:pPr>
        <w:rPr>
          <w:rFonts w:ascii="Times New Roman" w:hAnsi="Times New Roman" w:cs="Times New Roman"/>
          <w:sz w:val="24"/>
          <w:szCs w:val="24"/>
        </w:rPr>
      </w:pPr>
      <w:r w:rsidRPr="00A12707">
        <w:rPr>
          <w:rFonts w:ascii="Times New Roman" w:hAnsi="Times New Roman" w:cs="Times New Roman"/>
          <w:sz w:val="24"/>
          <w:szCs w:val="24"/>
        </w:rPr>
        <w:t>To my dear Sister H</w:t>
      </w:r>
      <w:r w:rsidR="00D00B89">
        <w:rPr>
          <w:rFonts w:ascii="Times New Roman" w:hAnsi="Times New Roman" w:cs="Times New Roman"/>
          <w:sz w:val="24"/>
          <w:szCs w:val="24"/>
        </w:rPr>
        <w:t>inda</w:t>
      </w:r>
      <w:r w:rsidRPr="00A12707">
        <w:rPr>
          <w:rFonts w:ascii="Times New Roman" w:hAnsi="Times New Roman" w:cs="Times New Roman"/>
          <w:sz w:val="24"/>
          <w:szCs w:val="24"/>
        </w:rPr>
        <w:t xml:space="preserve">, if it was not for your continuous encouragement and help throughout my journey, then I would not be where I am today. </w:t>
      </w:r>
    </w:p>
    <w:p w:rsidR="00A12707" w:rsidRPr="00A12707" w:rsidRDefault="00A12707" w:rsidP="00A12707">
      <w:pPr>
        <w:rPr>
          <w:rFonts w:ascii="Times New Roman" w:hAnsi="Times New Roman" w:cs="Times New Roman"/>
          <w:sz w:val="24"/>
          <w:szCs w:val="24"/>
        </w:rPr>
      </w:pPr>
      <w:r w:rsidRPr="00A12707">
        <w:rPr>
          <w:rFonts w:ascii="Times New Roman" w:hAnsi="Times New Roman" w:cs="Times New Roman"/>
          <w:sz w:val="24"/>
          <w:szCs w:val="24"/>
        </w:rPr>
        <w:t xml:space="preserve">To my most beautiful daughters, you have always been my world and your dynamic energy to make things better helped me. Thank you for believing in me. </w:t>
      </w:r>
    </w:p>
    <w:p w:rsidR="00A12707" w:rsidRPr="00A12707" w:rsidRDefault="00A12707" w:rsidP="00A12707">
      <w:pPr>
        <w:rPr>
          <w:rFonts w:ascii="Times New Roman" w:hAnsi="Times New Roman" w:cs="Times New Roman"/>
          <w:sz w:val="24"/>
          <w:szCs w:val="24"/>
        </w:rPr>
      </w:pPr>
      <w:r w:rsidRPr="00A12707">
        <w:rPr>
          <w:rFonts w:ascii="Times New Roman" w:hAnsi="Times New Roman" w:cs="Times New Roman"/>
          <w:sz w:val="24"/>
          <w:szCs w:val="24"/>
        </w:rPr>
        <w:t xml:space="preserve">To my respected supervisor Dr. Isaiah Oino, deep heart felt gratitude to you. You showed me success and because of you I understood new dimensions of knowledge. You helped me to combine my understanding of finance, business and experiences to build a solid foundation on which this dissertation rests. </w:t>
      </w:r>
    </w:p>
    <w:p w:rsidR="00A12707" w:rsidRPr="00A12707" w:rsidRDefault="00A12707" w:rsidP="00A12707">
      <w:pPr>
        <w:rPr>
          <w:rFonts w:ascii="Times New Roman" w:hAnsi="Times New Roman" w:cs="Times New Roman"/>
          <w:sz w:val="24"/>
          <w:szCs w:val="24"/>
        </w:rPr>
      </w:pPr>
      <w:r w:rsidRPr="00A12707">
        <w:rPr>
          <w:rFonts w:ascii="Times New Roman" w:hAnsi="Times New Roman" w:cs="Times New Roman"/>
          <w:sz w:val="24"/>
          <w:szCs w:val="24"/>
        </w:rPr>
        <w:t>To my amazing friends and relatives, it was wonderful to have you by my side when I needed you. I will always remember the difficult days when you didn’t leave me for a moment. You are always in my heart.</w:t>
      </w:r>
    </w:p>
    <w:p w:rsidR="00A12707" w:rsidRPr="00A12707" w:rsidRDefault="00A12707" w:rsidP="00A12707">
      <w:pPr>
        <w:rPr>
          <w:rFonts w:ascii="Times New Roman" w:hAnsi="Times New Roman" w:cs="Times New Roman"/>
          <w:sz w:val="24"/>
          <w:szCs w:val="24"/>
        </w:rPr>
      </w:pPr>
      <w:r w:rsidRPr="00A12707">
        <w:rPr>
          <w:rFonts w:ascii="Times New Roman" w:hAnsi="Times New Roman" w:cs="Times New Roman"/>
          <w:sz w:val="24"/>
          <w:szCs w:val="24"/>
        </w:rPr>
        <w:t>To the EMCA UK community and management, your organisation was not just place where I worked but my second home and extended community.</w:t>
      </w:r>
    </w:p>
    <w:p w:rsidR="00A12707" w:rsidRPr="00A12707" w:rsidRDefault="00A12707" w:rsidP="00A12707">
      <w:pPr>
        <w:rPr>
          <w:rFonts w:ascii="Times New Roman" w:hAnsi="Times New Roman" w:cs="Times New Roman"/>
          <w:sz w:val="24"/>
          <w:szCs w:val="24"/>
        </w:rPr>
      </w:pPr>
    </w:p>
    <w:p w:rsidR="00A12707" w:rsidRPr="00A12707" w:rsidRDefault="00A12707" w:rsidP="00A12707">
      <w:pPr>
        <w:rPr>
          <w:rFonts w:ascii="Times New Roman" w:hAnsi="Times New Roman" w:cs="Times New Roman"/>
          <w:sz w:val="24"/>
          <w:szCs w:val="24"/>
        </w:rPr>
      </w:pPr>
      <w:r w:rsidRPr="00A12707">
        <w:rPr>
          <w:rFonts w:ascii="Times New Roman" w:hAnsi="Times New Roman" w:cs="Times New Roman"/>
          <w:sz w:val="24"/>
          <w:szCs w:val="24"/>
        </w:rPr>
        <w:t>Thank you all.</w:t>
      </w:r>
    </w:p>
    <w:p w:rsidR="00914C42" w:rsidRDefault="00A12707">
      <w:pPr>
        <w:rPr>
          <w:rFonts w:ascii="Times New Roman" w:hAnsi="Times New Roman" w:cs="Times New Roman"/>
          <w:sz w:val="24"/>
          <w:szCs w:val="24"/>
        </w:rPr>
      </w:pPr>
      <w:r w:rsidRPr="00A12707">
        <w:rPr>
          <w:rFonts w:ascii="Times New Roman" w:hAnsi="Times New Roman" w:cs="Times New Roman"/>
          <w:sz w:val="24"/>
          <w:szCs w:val="24"/>
        </w:rPr>
        <w:t>Fatima Elabgari</w:t>
      </w:r>
      <w:r w:rsidR="00914C42">
        <w:rPr>
          <w:rFonts w:ascii="Times New Roman" w:hAnsi="Times New Roman" w:cs="Times New Roman"/>
          <w:sz w:val="24"/>
          <w:szCs w:val="24"/>
        </w:rPr>
        <w:br w:type="page"/>
      </w:r>
    </w:p>
    <w:p w:rsidR="00A12707" w:rsidRPr="00914C42" w:rsidRDefault="00914C42" w:rsidP="007D6811">
      <w:pPr>
        <w:pStyle w:val="Heading1"/>
        <w:rPr>
          <w:color w:val="auto"/>
        </w:rPr>
      </w:pPr>
      <w:bookmarkStart w:id="1" w:name="_Toc2075011"/>
      <w:r w:rsidRPr="00914C42">
        <w:rPr>
          <w:color w:val="auto"/>
        </w:rPr>
        <w:lastRenderedPageBreak/>
        <w:t>Abstract</w:t>
      </w:r>
      <w:bookmarkEnd w:id="1"/>
    </w:p>
    <w:p w:rsidR="00914C42" w:rsidRPr="009330A7" w:rsidRDefault="00817AE2" w:rsidP="00AA7575">
      <w:pPr>
        <w:spacing w:line="480" w:lineRule="auto"/>
        <w:ind w:firstLine="720"/>
        <w:rPr>
          <w:rFonts w:ascii="Times New Roman" w:hAnsi="Times New Roman" w:cs="Times New Roman"/>
          <w:sz w:val="24"/>
          <w:szCs w:val="24"/>
        </w:rPr>
      </w:pPr>
      <w:r w:rsidRPr="00923560">
        <w:rPr>
          <w:rFonts w:ascii="Times New Roman" w:hAnsi="Times New Roman" w:cs="Times New Roman"/>
          <w:sz w:val="24"/>
          <w:szCs w:val="24"/>
        </w:rPr>
        <w:t>In recent years, the banking sector including commercial and regional banks both ha</w:t>
      </w:r>
      <w:r w:rsidR="0028593E" w:rsidRPr="00923560">
        <w:rPr>
          <w:rFonts w:ascii="Times New Roman" w:hAnsi="Times New Roman" w:cs="Times New Roman"/>
          <w:sz w:val="24"/>
          <w:szCs w:val="24"/>
        </w:rPr>
        <w:t>ve been facing barriers at growing level due to various reasons</w:t>
      </w:r>
      <w:r w:rsidR="008D627C">
        <w:rPr>
          <w:rFonts w:ascii="Times New Roman" w:hAnsi="Times New Roman" w:cs="Times New Roman"/>
          <w:sz w:val="24"/>
          <w:szCs w:val="24"/>
        </w:rPr>
        <w:t>,</w:t>
      </w:r>
      <w:r w:rsidR="0028593E" w:rsidRPr="00923560">
        <w:rPr>
          <w:rFonts w:ascii="Times New Roman" w:hAnsi="Times New Roman" w:cs="Times New Roman"/>
          <w:sz w:val="24"/>
          <w:szCs w:val="24"/>
        </w:rPr>
        <w:t xml:space="preserve"> like smaller amount of capital source </w:t>
      </w:r>
      <w:r w:rsidR="00331A8B" w:rsidRPr="00923560">
        <w:rPr>
          <w:rFonts w:ascii="Times New Roman" w:hAnsi="Times New Roman" w:cs="Times New Roman"/>
          <w:sz w:val="24"/>
          <w:szCs w:val="24"/>
        </w:rPr>
        <w:t>for not getting sufficient</w:t>
      </w:r>
      <w:r w:rsidR="00C96A3C" w:rsidRPr="00923560">
        <w:rPr>
          <w:rFonts w:ascii="Times New Roman" w:hAnsi="Times New Roman" w:cs="Times New Roman"/>
          <w:sz w:val="24"/>
          <w:szCs w:val="24"/>
        </w:rPr>
        <w:t xml:space="preserve"> </w:t>
      </w:r>
      <w:r w:rsidR="00331A8B" w:rsidRPr="00923560">
        <w:rPr>
          <w:rFonts w:ascii="Times New Roman" w:hAnsi="Times New Roman" w:cs="Times New Roman"/>
          <w:sz w:val="24"/>
          <w:szCs w:val="24"/>
        </w:rPr>
        <w:t xml:space="preserve">access </w:t>
      </w:r>
      <w:r w:rsidR="00F57305" w:rsidRPr="00923560">
        <w:rPr>
          <w:rFonts w:ascii="Times New Roman" w:hAnsi="Times New Roman" w:cs="Times New Roman"/>
          <w:sz w:val="24"/>
          <w:szCs w:val="24"/>
        </w:rPr>
        <w:t xml:space="preserve">to high standard of shareholders. </w:t>
      </w:r>
      <w:r w:rsidR="00415FFA" w:rsidRPr="00923560">
        <w:rPr>
          <w:rFonts w:ascii="Times New Roman" w:hAnsi="Times New Roman" w:cs="Times New Roman"/>
          <w:sz w:val="24"/>
          <w:szCs w:val="24"/>
        </w:rPr>
        <w:t>The degree of these barriers have been observed more in t</w:t>
      </w:r>
      <w:bookmarkStart w:id="2" w:name="_GoBack"/>
      <w:bookmarkEnd w:id="2"/>
      <w:r w:rsidR="00415FFA" w:rsidRPr="00923560">
        <w:rPr>
          <w:rFonts w:ascii="Times New Roman" w:hAnsi="Times New Roman" w:cs="Times New Roman"/>
          <w:sz w:val="24"/>
          <w:szCs w:val="24"/>
        </w:rPr>
        <w:t xml:space="preserve">he conventional banking sector and as a result people started shifting to the regional banks due to their customer friendly management system. </w:t>
      </w:r>
      <w:r w:rsidR="00923560">
        <w:rPr>
          <w:rFonts w:ascii="Times New Roman" w:hAnsi="Times New Roman" w:cs="Times New Roman"/>
          <w:sz w:val="24"/>
          <w:szCs w:val="24"/>
        </w:rPr>
        <w:t xml:space="preserve">Despite facing recessionary trends, the recent progress of Islamic banking activities achieved in large number of financial institutions of Southeast Asia, Middle East countries, Europe and the USA due to their effective policy implementation. </w:t>
      </w:r>
    </w:p>
    <w:p w:rsidR="00A12707" w:rsidRPr="00A12707" w:rsidRDefault="009330A7" w:rsidP="00AA7575">
      <w:pPr>
        <w:spacing w:line="480" w:lineRule="auto"/>
        <w:ind w:firstLine="720"/>
        <w:rPr>
          <w:rFonts w:ascii="Times New Roman" w:hAnsi="Times New Roman" w:cs="Times New Roman"/>
          <w:sz w:val="24"/>
          <w:szCs w:val="24"/>
        </w:rPr>
      </w:pPr>
      <w:r w:rsidRPr="00923560">
        <w:rPr>
          <w:rFonts w:ascii="Times New Roman" w:hAnsi="Times New Roman" w:cs="Times New Roman"/>
          <w:sz w:val="24"/>
          <w:szCs w:val="24"/>
        </w:rPr>
        <w:t>The aim of this report is to identify the factors influencing financial performances of these banks and make a comparison between conventional and Islamic banks</w:t>
      </w:r>
      <w:r w:rsidR="008D627C">
        <w:rPr>
          <w:rFonts w:ascii="Times New Roman" w:hAnsi="Times New Roman" w:cs="Times New Roman"/>
          <w:sz w:val="24"/>
          <w:szCs w:val="24"/>
        </w:rPr>
        <w:t>,</w:t>
      </w:r>
      <w:r w:rsidRPr="00923560">
        <w:rPr>
          <w:rFonts w:ascii="Times New Roman" w:hAnsi="Times New Roman" w:cs="Times New Roman"/>
          <w:sz w:val="24"/>
          <w:szCs w:val="24"/>
        </w:rPr>
        <w:t xml:space="preserve"> as well in terms of </w:t>
      </w:r>
      <w:r>
        <w:rPr>
          <w:rFonts w:ascii="Times New Roman" w:hAnsi="Times New Roman" w:cs="Times New Roman"/>
          <w:sz w:val="24"/>
          <w:szCs w:val="24"/>
        </w:rPr>
        <w:t xml:space="preserve">the contributory factors like capital adequacy, operating efficiency, </w:t>
      </w:r>
      <w:r w:rsidR="005C637B">
        <w:rPr>
          <w:rFonts w:ascii="Times New Roman" w:hAnsi="Times New Roman" w:cs="Times New Roman"/>
          <w:sz w:val="24"/>
          <w:szCs w:val="24"/>
        </w:rPr>
        <w:t>bank size, GDP growth and profitability measurement aspects such as Return on Equity. The time period considered in this paper, 2012 to 20</w:t>
      </w:r>
      <w:r w:rsidR="008D627C">
        <w:rPr>
          <w:rFonts w:ascii="Times New Roman" w:hAnsi="Times New Roman" w:cs="Times New Roman"/>
          <w:sz w:val="24"/>
          <w:szCs w:val="24"/>
        </w:rPr>
        <w:t>17 have witnessed many economic</w:t>
      </w:r>
      <w:r w:rsidR="005C637B">
        <w:rPr>
          <w:rFonts w:ascii="Times New Roman" w:hAnsi="Times New Roman" w:cs="Times New Roman"/>
          <w:sz w:val="24"/>
          <w:szCs w:val="24"/>
        </w:rPr>
        <w:t xml:space="preserve">, financial and natural catastrophic events like oil crisis, inflationary trends and some specific phenomenon like Brexit. </w:t>
      </w:r>
    </w:p>
    <w:p w:rsidR="00A12707" w:rsidRPr="00A12707" w:rsidRDefault="007A4CF5" w:rsidP="00AA7575">
      <w:pPr>
        <w:spacing w:line="480" w:lineRule="auto"/>
        <w:ind w:firstLine="720"/>
        <w:rPr>
          <w:rFonts w:ascii="Times New Roman" w:hAnsi="Times New Roman" w:cs="Times New Roman"/>
          <w:sz w:val="24"/>
          <w:szCs w:val="24"/>
        </w:rPr>
      </w:pPr>
      <w:r>
        <w:rPr>
          <w:rFonts w:ascii="Times New Roman" w:hAnsi="Times New Roman" w:cs="Times New Roman"/>
          <w:sz w:val="24"/>
          <w:szCs w:val="24"/>
        </w:rPr>
        <w:t>After conducting a secondary data analysis</w:t>
      </w:r>
      <w:r w:rsidR="008D627C">
        <w:rPr>
          <w:rFonts w:ascii="Times New Roman" w:hAnsi="Times New Roman" w:cs="Times New Roman"/>
          <w:sz w:val="24"/>
          <w:szCs w:val="24"/>
        </w:rPr>
        <w:t>,</w:t>
      </w:r>
      <w:r>
        <w:rPr>
          <w:rFonts w:ascii="Times New Roman" w:hAnsi="Times New Roman" w:cs="Times New Roman"/>
          <w:sz w:val="24"/>
          <w:szCs w:val="24"/>
        </w:rPr>
        <w:t xml:space="preserve"> the ultimate findings revealed the current scenario of these banks. In terms of risk taking, as asserted by many scholars, the </w:t>
      </w:r>
      <w:r w:rsidR="00094B8B">
        <w:rPr>
          <w:rFonts w:ascii="Times New Roman" w:hAnsi="Times New Roman" w:cs="Times New Roman"/>
          <w:sz w:val="24"/>
          <w:szCs w:val="24"/>
        </w:rPr>
        <w:t xml:space="preserve">positioning of </w:t>
      </w:r>
      <w:r>
        <w:rPr>
          <w:rFonts w:ascii="Times New Roman" w:hAnsi="Times New Roman" w:cs="Times New Roman"/>
          <w:sz w:val="24"/>
          <w:szCs w:val="24"/>
        </w:rPr>
        <w:t xml:space="preserve">Islamic banks were observed </w:t>
      </w:r>
      <w:r w:rsidR="00094B8B">
        <w:rPr>
          <w:rFonts w:ascii="Times New Roman" w:hAnsi="Times New Roman" w:cs="Times New Roman"/>
          <w:sz w:val="24"/>
          <w:szCs w:val="24"/>
        </w:rPr>
        <w:t>to occupy the primary place compared to the conventional banks</w:t>
      </w:r>
      <w:r w:rsidR="008D627C">
        <w:rPr>
          <w:rFonts w:ascii="Times New Roman" w:hAnsi="Times New Roman" w:cs="Times New Roman"/>
          <w:sz w:val="24"/>
          <w:szCs w:val="24"/>
        </w:rPr>
        <w:t>,</w:t>
      </w:r>
      <w:r w:rsidR="00094B8B">
        <w:rPr>
          <w:rFonts w:ascii="Times New Roman" w:hAnsi="Times New Roman" w:cs="Times New Roman"/>
          <w:sz w:val="24"/>
          <w:szCs w:val="24"/>
        </w:rPr>
        <w:t xml:space="preserve"> because of the latter’s </w:t>
      </w:r>
      <w:r w:rsidR="00FD2ECB">
        <w:rPr>
          <w:rFonts w:ascii="Times New Roman" w:hAnsi="Times New Roman" w:cs="Times New Roman"/>
          <w:sz w:val="24"/>
          <w:szCs w:val="24"/>
        </w:rPr>
        <w:t xml:space="preserve">historical background, their knowledge about financial market, their scope of getting access to shareholders and their trust earning capacity from the customers. </w:t>
      </w:r>
      <w:r w:rsidR="00C25820">
        <w:rPr>
          <w:rFonts w:ascii="Times New Roman" w:hAnsi="Times New Roman" w:cs="Times New Roman"/>
          <w:sz w:val="24"/>
          <w:szCs w:val="24"/>
        </w:rPr>
        <w:t xml:space="preserve">However, Islamic banks were also started walking in the same pace with conventional ones </w:t>
      </w:r>
      <w:r w:rsidR="00A12553">
        <w:rPr>
          <w:rFonts w:ascii="Times New Roman" w:hAnsi="Times New Roman" w:cs="Times New Roman"/>
          <w:sz w:val="24"/>
          <w:szCs w:val="24"/>
        </w:rPr>
        <w:t xml:space="preserve">by taking an emphasis to build good customer-banker relationship. </w:t>
      </w:r>
    </w:p>
    <w:p w:rsidR="00F670FE" w:rsidRPr="00FD7B46" w:rsidRDefault="00A12707" w:rsidP="007D6811">
      <w:pPr>
        <w:pStyle w:val="Heading1"/>
        <w:rPr>
          <w:rFonts w:ascii="Times New Roman" w:eastAsiaTheme="minorEastAsia" w:hAnsi="Times New Roman" w:cs="Times New Roman"/>
          <w:color w:val="auto"/>
          <w:spacing w:val="15"/>
          <w:sz w:val="24"/>
          <w:szCs w:val="24"/>
        </w:rPr>
      </w:pPr>
      <w:r w:rsidRPr="00A12707">
        <w:rPr>
          <w:rFonts w:ascii="Times New Roman" w:hAnsi="Times New Roman" w:cs="Times New Roman"/>
          <w:color w:val="auto"/>
          <w:sz w:val="24"/>
          <w:szCs w:val="24"/>
        </w:rPr>
        <w:br w:type="page"/>
      </w:r>
    </w:p>
    <w:p w:rsidR="00E62E15" w:rsidRPr="001143B8" w:rsidRDefault="00E62E15" w:rsidP="00F670FE"/>
    <w:sdt>
      <w:sdtPr>
        <w:rPr>
          <w:rFonts w:asciiTheme="minorHAnsi" w:eastAsiaTheme="minorHAnsi" w:hAnsiTheme="minorHAnsi" w:cstheme="minorBidi"/>
          <w:b w:val="0"/>
          <w:bCs w:val="0"/>
          <w:color w:val="auto"/>
          <w:sz w:val="22"/>
          <w:szCs w:val="22"/>
          <w:lang w:val="en-GB"/>
        </w:rPr>
        <w:id w:val="13222063"/>
        <w:docPartObj>
          <w:docPartGallery w:val="Table of Contents"/>
          <w:docPartUnique/>
        </w:docPartObj>
      </w:sdtPr>
      <w:sdtEndPr>
        <w:rPr>
          <w:rFonts w:ascii="Times New Roman" w:hAnsi="Times New Roman" w:cs="Times New Roman"/>
          <w:sz w:val="24"/>
          <w:szCs w:val="24"/>
        </w:rPr>
      </w:sdtEndPr>
      <w:sdtContent>
        <w:p w:rsidR="00213643" w:rsidRPr="0039406C" w:rsidRDefault="00E62E15" w:rsidP="00213643">
          <w:pPr>
            <w:pStyle w:val="TOCHeading"/>
            <w:rPr>
              <w:color w:val="auto"/>
            </w:rPr>
          </w:pPr>
          <w:r w:rsidRPr="0039406C">
            <w:rPr>
              <w:color w:val="auto"/>
            </w:rPr>
            <w:t>Table of Contents</w:t>
          </w:r>
        </w:p>
        <w:p w:rsidR="000F4A33" w:rsidRPr="000F4A33" w:rsidRDefault="00E82516">
          <w:pPr>
            <w:pStyle w:val="TOC1"/>
            <w:tabs>
              <w:tab w:val="right" w:leader="dot" w:pos="9260"/>
            </w:tabs>
            <w:rPr>
              <w:rFonts w:ascii="Times New Roman" w:eastAsiaTheme="minorEastAsia" w:hAnsi="Times New Roman" w:cs="Times New Roman"/>
              <w:noProof/>
              <w:sz w:val="24"/>
              <w:szCs w:val="24"/>
              <w:lang w:eastAsia="en-GB"/>
            </w:rPr>
          </w:pPr>
          <w:r w:rsidRPr="000F4A33">
            <w:rPr>
              <w:rFonts w:ascii="Times New Roman" w:hAnsi="Times New Roman" w:cs="Times New Roman"/>
              <w:sz w:val="24"/>
              <w:szCs w:val="24"/>
            </w:rPr>
            <w:fldChar w:fldCharType="begin"/>
          </w:r>
          <w:r w:rsidR="00E62E15" w:rsidRPr="000F4A33">
            <w:rPr>
              <w:rFonts w:ascii="Times New Roman" w:hAnsi="Times New Roman" w:cs="Times New Roman"/>
              <w:sz w:val="24"/>
              <w:szCs w:val="24"/>
            </w:rPr>
            <w:instrText xml:space="preserve"> TOC \o "1-3" \h \z \u </w:instrText>
          </w:r>
          <w:r w:rsidRPr="000F4A33">
            <w:rPr>
              <w:rFonts w:ascii="Times New Roman" w:hAnsi="Times New Roman" w:cs="Times New Roman"/>
              <w:sz w:val="24"/>
              <w:szCs w:val="24"/>
            </w:rPr>
            <w:fldChar w:fldCharType="separate"/>
          </w:r>
          <w:hyperlink w:anchor="_Toc2075010" w:history="1">
            <w:r w:rsidR="000F4A33" w:rsidRPr="000F4A33">
              <w:rPr>
                <w:rStyle w:val="Hyperlink"/>
                <w:rFonts w:ascii="Times New Roman" w:hAnsi="Times New Roman" w:cs="Times New Roman"/>
                <w:noProof/>
                <w:sz w:val="24"/>
                <w:szCs w:val="24"/>
              </w:rPr>
              <w:t>Acknowledgement</w:t>
            </w:r>
            <w:r w:rsidR="000F4A33" w:rsidRPr="000F4A33">
              <w:rPr>
                <w:rFonts w:ascii="Times New Roman" w:hAnsi="Times New Roman" w:cs="Times New Roman"/>
                <w:noProof/>
                <w:webHidden/>
                <w:sz w:val="24"/>
                <w:szCs w:val="24"/>
              </w:rPr>
              <w:tab/>
            </w:r>
            <w:r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_Toc2075010 \h </w:instrText>
            </w:r>
            <w:r w:rsidRPr="000F4A33">
              <w:rPr>
                <w:rFonts w:ascii="Times New Roman" w:hAnsi="Times New Roman" w:cs="Times New Roman"/>
                <w:noProof/>
                <w:webHidden/>
                <w:sz w:val="24"/>
                <w:szCs w:val="24"/>
              </w:rPr>
            </w:r>
            <w:r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2</w:t>
            </w:r>
            <w:r w:rsidRPr="000F4A33">
              <w:rPr>
                <w:rFonts w:ascii="Times New Roman" w:hAnsi="Times New Roman" w:cs="Times New Roman"/>
                <w:noProof/>
                <w:webHidden/>
                <w:sz w:val="24"/>
                <w:szCs w:val="24"/>
              </w:rPr>
              <w:fldChar w:fldCharType="end"/>
            </w:r>
          </w:hyperlink>
        </w:p>
        <w:p w:rsidR="000F4A33" w:rsidRPr="000F4A33" w:rsidRDefault="00271644">
          <w:pPr>
            <w:pStyle w:val="TOC1"/>
            <w:tabs>
              <w:tab w:val="right" w:leader="dot" w:pos="9260"/>
            </w:tabs>
            <w:rPr>
              <w:rFonts w:ascii="Times New Roman" w:eastAsiaTheme="minorEastAsia" w:hAnsi="Times New Roman" w:cs="Times New Roman"/>
              <w:noProof/>
              <w:sz w:val="24"/>
              <w:szCs w:val="24"/>
              <w:lang w:eastAsia="en-GB"/>
            </w:rPr>
          </w:pPr>
          <w:hyperlink w:anchor="_Toc2075011" w:history="1">
            <w:r w:rsidR="000F4A33" w:rsidRPr="000F4A33">
              <w:rPr>
                <w:rStyle w:val="Hyperlink"/>
                <w:rFonts w:ascii="Times New Roman" w:hAnsi="Times New Roman" w:cs="Times New Roman"/>
                <w:noProof/>
                <w:sz w:val="24"/>
                <w:szCs w:val="24"/>
              </w:rPr>
              <w:t>Abstract</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_Toc2075011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3</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1"/>
            <w:tabs>
              <w:tab w:val="right" w:leader="dot" w:pos="9260"/>
            </w:tabs>
            <w:rPr>
              <w:rFonts w:ascii="Times New Roman" w:eastAsiaTheme="minorEastAsia" w:hAnsi="Times New Roman" w:cs="Times New Roman"/>
              <w:noProof/>
              <w:sz w:val="24"/>
              <w:szCs w:val="24"/>
              <w:lang w:eastAsia="en-GB"/>
            </w:rPr>
          </w:pPr>
          <w:hyperlink w:anchor="_Toc2075014" w:history="1">
            <w:r w:rsidR="000F4A33" w:rsidRPr="000F4A33">
              <w:rPr>
                <w:rStyle w:val="Hyperlink"/>
                <w:rFonts w:ascii="Times New Roman" w:hAnsi="Times New Roman" w:cs="Times New Roman"/>
                <w:noProof/>
                <w:sz w:val="24"/>
                <w:szCs w:val="24"/>
              </w:rPr>
              <w:t>Chapter 1: Introduction</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_Toc2075014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9</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15" w:history="1">
            <w:r w:rsidR="000F4A33" w:rsidRPr="000F4A33">
              <w:rPr>
                <w:rStyle w:val="Hyperlink"/>
                <w:rFonts w:ascii="Times New Roman" w:hAnsi="Times New Roman" w:cs="Times New Roman"/>
                <w:noProof/>
                <w:sz w:val="24"/>
                <w:szCs w:val="24"/>
              </w:rPr>
              <w:t>Background of the Study</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_Toc2075015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9</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16" w:history="1">
            <w:r w:rsidR="000F4A33" w:rsidRPr="000F4A33">
              <w:rPr>
                <w:rStyle w:val="Hyperlink"/>
                <w:rFonts w:ascii="Times New Roman" w:hAnsi="Times New Roman" w:cs="Times New Roman"/>
                <w:noProof/>
                <w:sz w:val="24"/>
                <w:szCs w:val="24"/>
              </w:rPr>
              <w:t>Purpose of the Study</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_Toc2075016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10</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17" w:history="1">
            <w:r w:rsidR="000F4A33" w:rsidRPr="000F4A33">
              <w:rPr>
                <w:rStyle w:val="Hyperlink"/>
                <w:rFonts w:ascii="Times New Roman" w:hAnsi="Times New Roman" w:cs="Times New Roman"/>
                <w:noProof/>
                <w:sz w:val="24"/>
                <w:szCs w:val="24"/>
              </w:rPr>
              <w:t>Problem Statement</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_Toc2075017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11</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18" w:history="1">
            <w:r w:rsidR="000F4A33" w:rsidRPr="000F4A33">
              <w:rPr>
                <w:rStyle w:val="Hyperlink"/>
                <w:rFonts w:ascii="Times New Roman" w:hAnsi="Times New Roman" w:cs="Times New Roman"/>
                <w:noProof/>
                <w:sz w:val="24"/>
                <w:szCs w:val="24"/>
              </w:rPr>
              <w:t>Research Questions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_Toc2075018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13</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19" w:history="1">
            <w:r w:rsidR="000F4A33" w:rsidRPr="000F4A33">
              <w:rPr>
                <w:rStyle w:val="Hyperlink"/>
                <w:rFonts w:ascii="Times New Roman" w:hAnsi="Times New Roman" w:cs="Times New Roman"/>
                <w:noProof/>
                <w:sz w:val="24"/>
                <w:szCs w:val="24"/>
              </w:rPr>
              <w:t>Research Hypothesis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_Toc2075019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13</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20" w:history="1">
            <w:r w:rsidR="000F4A33" w:rsidRPr="000F4A33">
              <w:rPr>
                <w:rStyle w:val="Hyperlink"/>
                <w:rFonts w:ascii="Times New Roman" w:hAnsi="Times New Roman" w:cs="Times New Roman"/>
                <w:noProof/>
                <w:sz w:val="24"/>
                <w:szCs w:val="24"/>
              </w:rPr>
              <w:t>Objectives of the Study</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_Toc2075020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14</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21" w:history="1">
            <w:r w:rsidR="000F4A33" w:rsidRPr="000F4A33">
              <w:rPr>
                <w:rStyle w:val="Hyperlink"/>
                <w:rFonts w:ascii="Times New Roman" w:hAnsi="Times New Roman" w:cs="Times New Roman"/>
                <w:noProof/>
                <w:sz w:val="24"/>
                <w:szCs w:val="24"/>
              </w:rPr>
              <w:t>Scope of the Study</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_Toc2075021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14</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1"/>
            <w:tabs>
              <w:tab w:val="right" w:leader="dot" w:pos="9260"/>
            </w:tabs>
            <w:rPr>
              <w:rFonts w:ascii="Times New Roman" w:eastAsiaTheme="minorEastAsia" w:hAnsi="Times New Roman" w:cs="Times New Roman"/>
              <w:noProof/>
              <w:sz w:val="24"/>
              <w:szCs w:val="24"/>
              <w:lang w:eastAsia="en-GB"/>
            </w:rPr>
          </w:pPr>
          <w:hyperlink w:anchor="_Toc2075022" w:history="1">
            <w:r w:rsidR="000F4A33" w:rsidRPr="000F4A33">
              <w:rPr>
                <w:rStyle w:val="Hyperlink"/>
                <w:rFonts w:ascii="Times New Roman" w:hAnsi="Times New Roman" w:cs="Times New Roman"/>
                <w:noProof/>
                <w:sz w:val="24"/>
                <w:szCs w:val="24"/>
              </w:rPr>
              <w:t>Chapter 2: Literature Review</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_Toc2075022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15</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23" w:history="1">
            <w:r w:rsidR="000F4A33" w:rsidRPr="000F4A33">
              <w:rPr>
                <w:rStyle w:val="Hyperlink"/>
                <w:rFonts w:ascii="Times New Roman" w:hAnsi="Times New Roman" w:cs="Times New Roman"/>
                <w:noProof/>
                <w:sz w:val="24"/>
                <w:szCs w:val="24"/>
              </w:rPr>
              <w:t>Internal Factors influencing the Financial Performance of Islamic and Conventional Banks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_Toc2075023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15</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24" w:history="1">
            <w:r w:rsidR="000F4A33" w:rsidRPr="000F4A33">
              <w:rPr>
                <w:rStyle w:val="Hyperlink"/>
                <w:rFonts w:ascii="Times New Roman" w:hAnsi="Times New Roman" w:cs="Times New Roman"/>
                <w:noProof/>
                <w:sz w:val="24"/>
                <w:szCs w:val="24"/>
              </w:rPr>
              <w:t>Impact of GDP on Financial Performances of an Economy</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_Toc2075024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16</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25" w:history="1">
            <w:r w:rsidR="000F4A33" w:rsidRPr="000F4A33">
              <w:rPr>
                <w:rStyle w:val="Hyperlink"/>
                <w:rFonts w:ascii="Times New Roman" w:hAnsi="Times New Roman" w:cs="Times New Roman"/>
                <w:noProof/>
                <w:sz w:val="24"/>
                <w:szCs w:val="24"/>
              </w:rPr>
              <w:t>Operating Efficiency</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_Toc2075025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17</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26" w:history="1">
            <w:r w:rsidR="000F4A33" w:rsidRPr="000F4A33">
              <w:rPr>
                <w:rStyle w:val="Hyperlink"/>
                <w:rFonts w:ascii="Times New Roman" w:hAnsi="Times New Roman" w:cs="Times New Roman"/>
                <w:noProof/>
                <w:sz w:val="24"/>
                <w:szCs w:val="24"/>
              </w:rPr>
              <w:t>Bank Size</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_Toc2075026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17</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27" w:history="1">
            <w:r w:rsidR="000F4A33" w:rsidRPr="000F4A33">
              <w:rPr>
                <w:rStyle w:val="Hyperlink"/>
                <w:rFonts w:ascii="Times New Roman" w:hAnsi="Times New Roman" w:cs="Times New Roman"/>
                <w:noProof/>
                <w:sz w:val="24"/>
                <w:szCs w:val="24"/>
              </w:rPr>
              <w:t>Financial Risk</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_Toc2075027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18</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28" w:history="1">
            <w:r w:rsidR="000F4A33" w:rsidRPr="000F4A33">
              <w:rPr>
                <w:rStyle w:val="Hyperlink"/>
                <w:rFonts w:ascii="Times New Roman" w:hAnsi="Times New Roman" w:cs="Times New Roman"/>
                <w:noProof/>
                <w:sz w:val="24"/>
                <w:szCs w:val="24"/>
              </w:rPr>
              <w:t>Comparison of Islamic and Conventional Banking Framework</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_Toc2075028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20</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29" w:history="1">
            <w:r w:rsidR="000F4A33" w:rsidRPr="000F4A33">
              <w:rPr>
                <w:rStyle w:val="Hyperlink"/>
                <w:rFonts w:ascii="Times New Roman" w:hAnsi="Times New Roman" w:cs="Times New Roman"/>
                <w:noProof/>
                <w:sz w:val="24"/>
                <w:szCs w:val="24"/>
              </w:rPr>
              <w:t>Reviewing Islamic and Conventional Banking Performance</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_Toc2075029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23</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30" w:history="1">
            <w:r w:rsidR="000F4A33" w:rsidRPr="000F4A33">
              <w:rPr>
                <w:rStyle w:val="Hyperlink"/>
                <w:rFonts w:ascii="Times New Roman" w:hAnsi="Times New Roman" w:cs="Times New Roman"/>
                <w:noProof/>
                <w:sz w:val="24"/>
                <w:szCs w:val="24"/>
              </w:rPr>
              <w:t>Difference in the effect of financial ratios on productivity of Islamic and Conventional banks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_Toc2075030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25</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31" w:history="1">
            <w:r w:rsidR="000F4A33" w:rsidRPr="000F4A33">
              <w:rPr>
                <w:rStyle w:val="Hyperlink"/>
                <w:rFonts w:ascii="Times New Roman" w:hAnsi="Times New Roman" w:cs="Times New Roman"/>
                <w:noProof/>
                <w:sz w:val="24"/>
                <w:szCs w:val="24"/>
              </w:rPr>
              <w:t>Impact of Capital Adequacy on the performance of both Islamic and Conventional banking systems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_Toc2075031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28</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1"/>
            <w:tabs>
              <w:tab w:val="right" w:leader="dot" w:pos="9260"/>
            </w:tabs>
            <w:rPr>
              <w:rFonts w:ascii="Times New Roman" w:eastAsiaTheme="minorEastAsia" w:hAnsi="Times New Roman" w:cs="Times New Roman"/>
              <w:noProof/>
              <w:sz w:val="24"/>
              <w:szCs w:val="24"/>
              <w:lang w:eastAsia="en-GB"/>
            </w:rPr>
          </w:pPr>
          <w:hyperlink w:anchor="_Toc2075032" w:history="1">
            <w:r w:rsidR="000F4A33" w:rsidRPr="000F4A33">
              <w:rPr>
                <w:rStyle w:val="Hyperlink"/>
                <w:rFonts w:ascii="Times New Roman" w:hAnsi="Times New Roman" w:cs="Times New Roman"/>
                <w:noProof/>
                <w:sz w:val="24"/>
                <w:szCs w:val="24"/>
              </w:rPr>
              <w:t>Chapter 3: Research Methodology</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_Toc2075032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38</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33" w:history="1">
            <w:r w:rsidR="000F4A33" w:rsidRPr="000F4A33">
              <w:rPr>
                <w:rStyle w:val="Hyperlink"/>
                <w:rFonts w:ascii="Times New Roman" w:hAnsi="Times New Roman" w:cs="Times New Roman"/>
                <w:noProof/>
                <w:sz w:val="24"/>
                <w:szCs w:val="24"/>
              </w:rPr>
              <w:t>Introduction</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_Toc2075033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38</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34" w:history="1">
            <w:r w:rsidR="000F4A33" w:rsidRPr="000F4A33">
              <w:rPr>
                <w:rStyle w:val="Hyperlink"/>
                <w:rFonts w:ascii="Times New Roman" w:hAnsi="Times New Roman" w:cs="Times New Roman"/>
                <w:noProof/>
                <w:sz w:val="24"/>
                <w:szCs w:val="24"/>
              </w:rPr>
              <w:t>Research Philosophy</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_Toc2075034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38</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35" w:history="1">
            <w:r w:rsidR="000F4A33" w:rsidRPr="000F4A33">
              <w:rPr>
                <w:rStyle w:val="Hyperlink"/>
                <w:rFonts w:ascii="Times New Roman" w:hAnsi="Times New Roman" w:cs="Times New Roman"/>
                <w:noProof/>
                <w:sz w:val="24"/>
                <w:szCs w:val="24"/>
              </w:rPr>
              <w:t>Positivism</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_Toc2075035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39</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36" w:history="1">
            <w:r w:rsidR="000F4A33" w:rsidRPr="000F4A33">
              <w:rPr>
                <w:rStyle w:val="Hyperlink"/>
                <w:rFonts w:ascii="Times New Roman" w:hAnsi="Times New Roman" w:cs="Times New Roman"/>
                <w:noProof/>
                <w:sz w:val="24"/>
                <w:szCs w:val="24"/>
              </w:rPr>
              <w:t>Interpretivism</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_Toc2075036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39</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37" w:history="1">
            <w:r w:rsidR="000F4A33" w:rsidRPr="000F4A33">
              <w:rPr>
                <w:rStyle w:val="Hyperlink"/>
                <w:rFonts w:ascii="Times New Roman" w:hAnsi="Times New Roman" w:cs="Times New Roman"/>
                <w:noProof/>
                <w:sz w:val="24"/>
                <w:szCs w:val="24"/>
              </w:rPr>
              <w:t>Research Approach</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_Toc2075037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39</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38" w:history="1">
            <w:r w:rsidR="000F4A33" w:rsidRPr="000F4A33">
              <w:rPr>
                <w:rStyle w:val="Hyperlink"/>
                <w:rFonts w:ascii="Times New Roman" w:hAnsi="Times New Roman" w:cs="Times New Roman"/>
                <w:noProof/>
                <w:sz w:val="24"/>
                <w:szCs w:val="24"/>
              </w:rPr>
              <w:t>Research Strategy</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_Toc2075038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40</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39" w:history="1">
            <w:r w:rsidR="000F4A33" w:rsidRPr="000F4A33">
              <w:rPr>
                <w:rStyle w:val="Hyperlink"/>
                <w:rFonts w:ascii="Times New Roman" w:hAnsi="Times New Roman" w:cs="Times New Roman"/>
                <w:noProof/>
                <w:sz w:val="24"/>
                <w:szCs w:val="24"/>
              </w:rPr>
              <w:t>Research design</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_Toc2075039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40</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40" w:history="1">
            <w:r w:rsidR="000F4A33" w:rsidRPr="000F4A33">
              <w:rPr>
                <w:rStyle w:val="Hyperlink"/>
                <w:rFonts w:ascii="Times New Roman" w:hAnsi="Times New Roman" w:cs="Times New Roman"/>
                <w:noProof/>
                <w:sz w:val="24"/>
                <w:szCs w:val="24"/>
              </w:rPr>
              <w:t>Experimental studies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_Toc2075040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41</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41" w:history="1">
            <w:r w:rsidR="000F4A33" w:rsidRPr="000F4A33">
              <w:rPr>
                <w:rStyle w:val="Hyperlink"/>
                <w:rFonts w:ascii="Times New Roman" w:hAnsi="Times New Roman" w:cs="Times New Roman"/>
                <w:noProof/>
                <w:sz w:val="24"/>
                <w:szCs w:val="24"/>
              </w:rPr>
              <w:t>Survey studies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_Toc2075041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41</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42" w:history="1">
            <w:r w:rsidR="000F4A33" w:rsidRPr="000F4A33">
              <w:rPr>
                <w:rStyle w:val="Hyperlink"/>
                <w:rFonts w:ascii="Times New Roman" w:hAnsi="Times New Roman" w:cs="Times New Roman"/>
                <w:noProof/>
                <w:sz w:val="24"/>
                <w:szCs w:val="24"/>
              </w:rPr>
              <w:t>Cross-sectional studies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_Toc2075042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41</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43" w:history="1">
            <w:r w:rsidR="000F4A33" w:rsidRPr="000F4A33">
              <w:rPr>
                <w:rStyle w:val="Hyperlink"/>
                <w:rFonts w:ascii="Times New Roman" w:hAnsi="Times New Roman" w:cs="Times New Roman"/>
                <w:noProof/>
                <w:sz w:val="24"/>
                <w:szCs w:val="24"/>
              </w:rPr>
              <w:t>Longitudinal studies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_Toc2075043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42</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44" w:history="1">
            <w:r w:rsidR="000F4A33" w:rsidRPr="000F4A33">
              <w:rPr>
                <w:rStyle w:val="Hyperlink"/>
                <w:rFonts w:ascii="Times New Roman" w:hAnsi="Times New Roman" w:cs="Times New Roman"/>
                <w:noProof/>
                <w:sz w:val="24"/>
                <w:szCs w:val="24"/>
              </w:rPr>
              <w:t>Data</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_Toc2075044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42</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45" w:history="1">
            <w:r w:rsidR="000F4A33" w:rsidRPr="000F4A33">
              <w:rPr>
                <w:rStyle w:val="Hyperlink"/>
                <w:rFonts w:ascii="Times New Roman" w:hAnsi="Times New Roman" w:cs="Times New Roman"/>
                <w:noProof/>
                <w:sz w:val="24"/>
                <w:szCs w:val="24"/>
              </w:rPr>
              <w:t>Data Sample</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_Toc2075045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42</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46" w:history="1">
            <w:r w:rsidR="000F4A33" w:rsidRPr="000F4A33">
              <w:rPr>
                <w:rStyle w:val="Hyperlink"/>
                <w:rFonts w:ascii="Times New Roman" w:hAnsi="Times New Roman" w:cs="Times New Roman"/>
                <w:noProof/>
                <w:sz w:val="24"/>
                <w:szCs w:val="24"/>
              </w:rPr>
              <w:t>Data Collection</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_Toc2075046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43</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47" w:history="1">
            <w:r w:rsidR="000F4A33" w:rsidRPr="000F4A33">
              <w:rPr>
                <w:rStyle w:val="Hyperlink"/>
                <w:rFonts w:ascii="Times New Roman" w:hAnsi="Times New Roman" w:cs="Times New Roman"/>
                <w:noProof/>
                <w:sz w:val="24"/>
                <w:szCs w:val="24"/>
              </w:rPr>
              <w:t>Data Analysis Technique</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_Toc2075047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44</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48" w:history="1">
            <w:r w:rsidR="000F4A33" w:rsidRPr="000F4A33">
              <w:rPr>
                <w:rStyle w:val="Hyperlink"/>
                <w:rFonts w:ascii="Times New Roman" w:hAnsi="Times New Roman" w:cs="Times New Roman"/>
                <w:noProof/>
                <w:sz w:val="24"/>
                <w:szCs w:val="24"/>
              </w:rPr>
              <w:t>Variables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_Toc2075048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44</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49" w:history="1">
            <w:r w:rsidR="000F4A33" w:rsidRPr="000F4A33">
              <w:rPr>
                <w:rStyle w:val="Hyperlink"/>
                <w:rFonts w:ascii="Times New Roman" w:hAnsi="Times New Roman" w:cs="Times New Roman"/>
                <w:noProof/>
                <w:sz w:val="24"/>
                <w:szCs w:val="24"/>
              </w:rPr>
              <w:t>Dependent Variable</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_Toc2075049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44</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50" w:history="1">
            <w:r w:rsidR="000F4A33" w:rsidRPr="000F4A33">
              <w:rPr>
                <w:rStyle w:val="Hyperlink"/>
                <w:rFonts w:ascii="Times New Roman" w:hAnsi="Times New Roman" w:cs="Times New Roman"/>
                <w:noProof/>
                <w:sz w:val="24"/>
                <w:szCs w:val="24"/>
              </w:rPr>
              <w:t>Independent Variables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_Toc2075050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45</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51" w:history="1">
            <w:r w:rsidR="000F4A33" w:rsidRPr="000F4A33">
              <w:rPr>
                <w:rStyle w:val="Hyperlink"/>
                <w:rFonts w:ascii="Times New Roman" w:hAnsi="Times New Roman" w:cs="Times New Roman"/>
                <w:noProof/>
                <w:sz w:val="24"/>
                <w:szCs w:val="24"/>
              </w:rPr>
              <w:t>Model specification</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_Toc2075051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48</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1"/>
            <w:tabs>
              <w:tab w:val="right" w:leader="dot" w:pos="9260"/>
            </w:tabs>
            <w:rPr>
              <w:rFonts w:ascii="Times New Roman" w:eastAsiaTheme="minorEastAsia" w:hAnsi="Times New Roman" w:cs="Times New Roman"/>
              <w:noProof/>
              <w:sz w:val="24"/>
              <w:szCs w:val="24"/>
              <w:lang w:eastAsia="en-GB"/>
            </w:rPr>
          </w:pPr>
          <w:hyperlink w:anchor="_Toc2075052" w:history="1">
            <w:r w:rsidR="000F4A33" w:rsidRPr="000F4A33">
              <w:rPr>
                <w:rStyle w:val="Hyperlink"/>
                <w:rFonts w:ascii="Times New Roman" w:hAnsi="Times New Roman" w:cs="Times New Roman"/>
                <w:noProof/>
                <w:sz w:val="24"/>
                <w:szCs w:val="24"/>
              </w:rPr>
              <w:t>Chapter 4: Data Analysis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_Toc2075052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49</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53" w:history="1">
            <w:r w:rsidR="000F4A33" w:rsidRPr="000F4A33">
              <w:rPr>
                <w:rStyle w:val="Hyperlink"/>
                <w:rFonts w:ascii="Times New Roman" w:hAnsi="Times New Roman" w:cs="Times New Roman"/>
                <w:noProof/>
                <w:sz w:val="24"/>
                <w:szCs w:val="24"/>
              </w:rPr>
              <w:t>Bank Size</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_Toc2075053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50</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54" w:history="1">
            <w:r w:rsidR="000F4A33" w:rsidRPr="000F4A33">
              <w:rPr>
                <w:rStyle w:val="Hyperlink"/>
                <w:rFonts w:ascii="Times New Roman" w:hAnsi="Times New Roman" w:cs="Times New Roman"/>
                <w:noProof/>
                <w:sz w:val="24"/>
                <w:szCs w:val="24"/>
              </w:rPr>
              <w:t>Operating Efficiency</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_Toc2075054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51</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55" w:history="1">
            <w:r w:rsidR="000F4A33" w:rsidRPr="000F4A33">
              <w:rPr>
                <w:rStyle w:val="Hyperlink"/>
                <w:rFonts w:ascii="Times New Roman" w:hAnsi="Times New Roman" w:cs="Times New Roman"/>
                <w:noProof/>
                <w:sz w:val="24"/>
                <w:szCs w:val="24"/>
              </w:rPr>
              <w:t>Financial Risks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_Toc2075055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52</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56" w:history="1">
            <w:r w:rsidR="000F4A33" w:rsidRPr="000F4A33">
              <w:rPr>
                <w:rStyle w:val="Hyperlink"/>
                <w:rFonts w:ascii="Times New Roman" w:hAnsi="Times New Roman" w:cs="Times New Roman"/>
                <w:noProof/>
                <w:sz w:val="24"/>
                <w:szCs w:val="24"/>
              </w:rPr>
              <w:t>Capital Adequacy</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_Toc2075056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54</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57" w:history="1">
            <w:r w:rsidR="000F4A33" w:rsidRPr="000F4A33">
              <w:rPr>
                <w:rStyle w:val="Hyperlink"/>
                <w:rFonts w:ascii="Times New Roman" w:hAnsi="Times New Roman" w:cs="Times New Roman"/>
                <w:noProof/>
                <w:sz w:val="24"/>
                <w:szCs w:val="24"/>
              </w:rPr>
              <w:t>Return to Equity</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_Toc2075057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55</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58" w:history="1">
            <w:r w:rsidR="000F4A33" w:rsidRPr="000F4A33">
              <w:rPr>
                <w:rStyle w:val="Hyperlink"/>
                <w:rFonts w:ascii="Times New Roman" w:hAnsi="Times New Roman" w:cs="Times New Roman"/>
                <w:noProof/>
                <w:sz w:val="24"/>
                <w:szCs w:val="24"/>
              </w:rPr>
              <w:t>Descriptive Statistics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_Toc2075058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56</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59" w:history="1">
            <w:r w:rsidR="000F4A33" w:rsidRPr="000F4A33">
              <w:rPr>
                <w:rStyle w:val="Hyperlink"/>
                <w:rFonts w:ascii="Times New Roman" w:hAnsi="Times New Roman" w:cs="Times New Roman"/>
                <w:noProof/>
                <w:sz w:val="24"/>
                <w:szCs w:val="24"/>
              </w:rPr>
              <w:t>Correlation</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_Toc2075059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58</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60" w:history="1">
            <w:r w:rsidR="000F4A33" w:rsidRPr="000F4A33">
              <w:rPr>
                <w:rStyle w:val="Hyperlink"/>
                <w:rFonts w:ascii="Times New Roman" w:hAnsi="Times New Roman" w:cs="Times New Roman"/>
                <w:noProof/>
                <w:sz w:val="24"/>
                <w:szCs w:val="24"/>
              </w:rPr>
              <w:t>Regression</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_Toc2075060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60</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61" w:history="1">
            <w:r w:rsidR="000F4A33" w:rsidRPr="000F4A33">
              <w:rPr>
                <w:rStyle w:val="Hyperlink"/>
                <w:rFonts w:ascii="Times New Roman" w:hAnsi="Times New Roman" w:cs="Times New Roman"/>
                <w:noProof/>
                <w:sz w:val="24"/>
                <w:szCs w:val="24"/>
              </w:rPr>
              <w:t>Model Summary</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_Toc2075061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60</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62" w:history="1">
            <w:r w:rsidR="000F4A33" w:rsidRPr="000F4A33">
              <w:rPr>
                <w:rStyle w:val="Hyperlink"/>
                <w:rFonts w:ascii="Times New Roman" w:hAnsi="Times New Roman" w:cs="Times New Roman"/>
                <w:noProof/>
                <w:sz w:val="24"/>
                <w:szCs w:val="24"/>
              </w:rPr>
              <w:t>ANOVA</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_Toc2075062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61</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63" w:history="1">
            <w:r w:rsidR="000F4A33" w:rsidRPr="000F4A33">
              <w:rPr>
                <w:rStyle w:val="Hyperlink"/>
                <w:rFonts w:ascii="Times New Roman" w:hAnsi="Times New Roman" w:cs="Times New Roman"/>
                <w:noProof/>
                <w:sz w:val="24"/>
                <w:szCs w:val="24"/>
              </w:rPr>
              <w:t>Coefficients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_Toc2075063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61</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1"/>
            <w:tabs>
              <w:tab w:val="right" w:leader="dot" w:pos="9260"/>
            </w:tabs>
            <w:rPr>
              <w:rFonts w:ascii="Times New Roman" w:eastAsiaTheme="minorEastAsia" w:hAnsi="Times New Roman" w:cs="Times New Roman"/>
              <w:noProof/>
              <w:sz w:val="24"/>
              <w:szCs w:val="24"/>
              <w:lang w:eastAsia="en-GB"/>
            </w:rPr>
          </w:pPr>
          <w:hyperlink w:anchor="_Toc2075064" w:history="1">
            <w:r w:rsidR="000F4A33" w:rsidRPr="000F4A33">
              <w:rPr>
                <w:rStyle w:val="Hyperlink"/>
                <w:rFonts w:ascii="Times New Roman" w:hAnsi="Times New Roman" w:cs="Times New Roman"/>
                <w:noProof/>
                <w:sz w:val="24"/>
                <w:szCs w:val="24"/>
              </w:rPr>
              <w:t>Chapter 5: Findings, Conclusion and Recommendations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_Toc2075064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62</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65" w:history="1">
            <w:r w:rsidR="000F4A33" w:rsidRPr="000F4A33">
              <w:rPr>
                <w:rStyle w:val="Hyperlink"/>
                <w:rFonts w:ascii="Times New Roman" w:hAnsi="Times New Roman" w:cs="Times New Roman"/>
                <w:noProof/>
                <w:sz w:val="24"/>
                <w:szCs w:val="24"/>
              </w:rPr>
              <w:t>Discussion of the Findings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_Toc2075065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62</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66" w:history="1">
            <w:r w:rsidR="000F4A33" w:rsidRPr="000F4A33">
              <w:rPr>
                <w:rStyle w:val="Hyperlink"/>
                <w:rFonts w:ascii="Times New Roman" w:hAnsi="Times New Roman" w:cs="Times New Roman"/>
                <w:noProof/>
                <w:sz w:val="24"/>
                <w:szCs w:val="24"/>
              </w:rPr>
              <w:t>Capital Adequacy</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_Toc2075066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62</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67" w:history="1">
            <w:r w:rsidR="000F4A33" w:rsidRPr="000F4A33">
              <w:rPr>
                <w:rStyle w:val="Hyperlink"/>
                <w:rFonts w:ascii="Times New Roman" w:hAnsi="Times New Roman" w:cs="Times New Roman"/>
                <w:noProof/>
                <w:sz w:val="24"/>
                <w:szCs w:val="24"/>
              </w:rPr>
              <w:t>Return on Equity</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_Toc2075067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63</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68" w:history="1">
            <w:r w:rsidR="000F4A33" w:rsidRPr="000F4A33">
              <w:rPr>
                <w:rStyle w:val="Hyperlink"/>
                <w:rFonts w:ascii="Times New Roman" w:hAnsi="Times New Roman" w:cs="Times New Roman"/>
                <w:noProof/>
                <w:sz w:val="24"/>
                <w:szCs w:val="24"/>
              </w:rPr>
              <w:t>Bank Size, Operating Efficiency and GDP Growth Rate</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_Toc2075068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64</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69" w:history="1">
            <w:r w:rsidR="000F4A33" w:rsidRPr="000F4A33">
              <w:rPr>
                <w:rStyle w:val="Hyperlink"/>
                <w:rFonts w:ascii="Times New Roman" w:hAnsi="Times New Roman" w:cs="Times New Roman"/>
                <w:noProof/>
                <w:sz w:val="24"/>
                <w:szCs w:val="24"/>
              </w:rPr>
              <w:t>Conclusion</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_Toc2075069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65</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2"/>
            <w:tabs>
              <w:tab w:val="right" w:leader="dot" w:pos="9260"/>
            </w:tabs>
            <w:rPr>
              <w:rFonts w:ascii="Times New Roman" w:eastAsiaTheme="minorEastAsia" w:hAnsi="Times New Roman" w:cs="Times New Roman"/>
              <w:noProof/>
              <w:sz w:val="24"/>
              <w:szCs w:val="24"/>
              <w:lang w:eastAsia="en-GB"/>
            </w:rPr>
          </w:pPr>
          <w:hyperlink w:anchor="_Toc2075070" w:history="1">
            <w:r w:rsidR="000F4A33" w:rsidRPr="000F4A33">
              <w:rPr>
                <w:rStyle w:val="Hyperlink"/>
                <w:rFonts w:ascii="Times New Roman" w:hAnsi="Times New Roman" w:cs="Times New Roman"/>
                <w:noProof/>
                <w:sz w:val="24"/>
                <w:szCs w:val="24"/>
              </w:rPr>
              <w:t>Recommendations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_Toc2075070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67</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71" w:history="1">
            <w:r w:rsidR="000F4A33" w:rsidRPr="000F4A33">
              <w:rPr>
                <w:rStyle w:val="Hyperlink"/>
                <w:rFonts w:ascii="Times New Roman" w:hAnsi="Times New Roman" w:cs="Times New Roman"/>
                <w:noProof/>
                <w:sz w:val="24"/>
                <w:szCs w:val="24"/>
              </w:rPr>
              <w:t>Customer Services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_Toc2075071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67</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72" w:history="1">
            <w:r w:rsidR="000F4A33" w:rsidRPr="000F4A33">
              <w:rPr>
                <w:rStyle w:val="Hyperlink"/>
                <w:rFonts w:ascii="Times New Roman" w:hAnsi="Times New Roman" w:cs="Times New Roman"/>
                <w:noProof/>
                <w:sz w:val="24"/>
                <w:szCs w:val="24"/>
              </w:rPr>
              <w:t>Consistency in Internal Operations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_Toc2075072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68</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3"/>
            <w:tabs>
              <w:tab w:val="right" w:leader="dot" w:pos="9260"/>
            </w:tabs>
            <w:rPr>
              <w:rFonts w:ascii="Times New Roman" w:eastAsiaTheme="minorEastAsia" w:hAnsi="Times New Roman" w:cs="Times New Roman"/>
              <w:noProof/>
              <w:sz w:val="24"/>
              <w:szCs w:val="24"/>
              <w:lang w:eastAsia="en-GB"/>
            </w:rPr>
          </w:pPr>
          <w:hyperlink w:anchor="_Toc2075073" w:history="1">
            <w:r w:rsidR="000F4A33" w:rsidRPr="000F4A33">
              <w:rPr>
                <w:rStyle w:val="Hyperlink"/>
                <w:rFonts w:ascii="Times New Roman" w:hAnsi="Times New Roman" w:cs="Times New Roman"/>
                <w:noProof/>
                <w:sz w:val="24"/>
                <w:szCs w:val="24"/>
              </w:rPr>
              <w:t>Enhancing Promotional Process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_Toc2075073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68</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1"/>
            <w:tabs>
              <w:tab w:val="right" w:leader="dot" w:pos="9260"/>
            </w:tabs>
            <w:rPr>
              <w:rFonts w:ascii="Times New Roman" w:eastAsiaTheme="minorEastAsia" w:hAnsi="Times New Roman" w:cs="Times New Roman"/>
              <w:noProof/>
              <w:sz w:val="24"/>
              <w:szCs w:val="24"/>
              <w:lang w:eastAsia="en-GB"/>
            </w:rPr>
          </w:pPr>
          <w:hyperlink w:anchor="_Toc2075074" w:history="1">
            <w:r w:rsidR="000F4A33" w:rsidRPr="000F4A33">
              <w:rPr>
                <w:rStyle w:val="Hyperlink"/>
                <w:rFonts w:ascii="Times New Roman" w:hAnsi="Times New Roman" w:cs="Times New Roman"/>
                <w:noProof/>
                <w:sz w:val="24"/>
                <w:szCs w:val="24"/>
              </w:rPr>
              <w:t>References</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_Toc2075074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69</w:t>
            </w:r>
            <w:r w:rsidR="00E82516" w:rsidRPr="000F4A33">
              <w:rPr>
                <w:rFonts w:ascii="Times New Roman" w:hAnsi="Times New Roman" w:cs="Times New Roman"/>
                <w:noProof/>
                <w:webHidden/>
                <w:sz w:val="24"/>
                <w:szCs w:val="24"/>
              </w:rPr>
              <w:fldChar w:fldCharType="end"/>
            </w:r>
          </w:hyperlink>
        </w:p>
        <w:p w:rsidR="000F4A33" w:rsidRPr="000F4A33" w:rsidRDefault="00271644">
          <w:pPr>
            <w:pStyle w:val="TOC1"/>
            <w:tabs>
              <w:tab w:val="right" w:leader="dot" w:pos="9260"/>
            </w:tabs>
            <w:rPr>
              <w:rFonts w:ascii="Times New Roman" w:eastAsiaTheme="minorEastAsia" w:hAnsi="Times New Roman" w:cs="Times New Roman"/>
              <w:noProof/>
              <w:sz w:val="24"/>
              <w:szCs w:val="24"/>
              <w:lang w:eastAsia="en-GB"/>
            </w:rPr>
          </w:pPr>
          <w:hyperlink w:anchor="_Toc2075075" w:history="1">
            <w:r w:rsidR="000F4A33" w:rsidRPr="000F4A33">
              <w:rPr>
                <w:rStyle w:val="Hyperlink"/>
                <w:rFonts w:ascii="Times New Roman" w:hAnsi="Times New Roman" w:cs="Times New Roman"/>
                <w:noProof/>
                <w:sz w:val="24"/>
                <w:szCs w:val="24"/>
              </w:rPr>
              <w:t>Appendix</w:t>
            </w:r>
            <w:r w:rsidR="000F4A33" w:rsidRPr="000F4A33">
              <w:rPr>
                <w:rFonts w:ascii="Times New Roman" w:hAnsi="Times New Roman" w:cs="Times New Roman"/>
                <w:noProof/>
                <w:webHidden/>
                <w:sz w:val="24"/>
                <w:szCs w:val="24"/>
              </w:rPr>
              <w:tab/>
            </w:r>
            <w:r w:rsidR="00E82516" w:rsidRPr="000F4A33">
              <w:rPr>
                <w:rFonts w:ascii="Times New Roman" w:hAnsi="Times New Roman" w:cs="Times New Roman"/>
                <w:noProof/>
                <w:webHidden/>
                <w:sz w:val="24"/>
                <w:szCs w:val="24"/>
              </w:rPr>
              <w:fldChar w:fldCharType="begin"/>
            </w:r>
            <w:r w:rsidR="000F4A33" w:rsidRPr="000F4A33">
              <w:rPr>
                <w:rFonts w:ascii="Times New Roman" w:hAnsi="Times New Roman" w:cs="Times New Roman"/>
                <w:noProof/>
                <w:webHidden/>
                <w:sz w:val="24"/>
                <w:szCs w:val="24"/>
              </w:rPr>
              <w:instrText xml:space="preserve"> PAGEREF _Toc2075075 \h </w:instrText>
            </w:r>
            <w:r w:rsidR="00E82516" w:rsidRPr="000F4A33">
              <w:rPr>
                <w:rFonts w:ascii="Times New Roman" w:hAnsi="Times New Roman" w:cs="Times New Roman"/>
                <w:noProof/>
                <w:webHidden/>
                <w:sz w:val="24"/>
                <w:szCs w:val="24"/>
              </w:rPr>
            </w:r>
            <w:r w:rsidR="00E82516" w:rsidRPr="000F4A33">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77</w:t>
            </w:r>
            <w:r w:rsidR="00E82516" w:rsidRPr="000F4A33">
              <w:rPr>
                <w:rFonts w:ascii="Times New Roman" w:hAnsi="Times New Roman" w:cs="Times New Roman"/>
                <w:noProof/>
                <w:webHidden/>
                <w:sz w:val="24"/>
                <w:szCs w:val="24"/>
              </w:rPr>
              <w:fldChar w:fldCharType="end"/>
            </w:r>
          </w:hyperlink>
        </w:p>
        <w:p w:rsidR="00E62E15" w:rsidRPr="000F4A33" w:rsidRDefault="00E82516" w:rsidP="0039406C">
          <w:pPr>
            <w:spacing w:line="480" w:lineRule="auto"/>
            <w:rPr>
              <w:rFonts w:ascii="Times New Roman" w:hAnsi="Times New Roman" w:cs="Times New Roman"/>
              <w:sz w:val="24"/>
              <w:szCs w:val="24"/>
            </w:rPr>
          </w:pPr>
          <w:r w:rsidRPr="000F4A33">
            <w:rPr>
              <w:rFonts w:ascii="Times New Roman" w:hAnsi="Times New Roman" w:cs="Times New Roman"/>
              <w:sz w:val="24"/>
              <w:szCs w:val="24"/>
            </w:rPr>
            <w:fldChar w:fldCharType="end"/>
          </w:r>
        </w:p>
      </w:sdtContent>
    </w:sdt>
    <w:p w:rsidR="00213643" w:rsidRDefault="00213643">
      <w:r>
        <w:br w:type="page"/>
      </w:r>
    </w:p>
    <w:p w:rsidR="00213643" w:rsidRDefault="00213643" w:rsidP="00213643">
      <w:pPr>
        <w:pStyle w:val="Heading2"/>
      </w:pPr>
      <w:bookmarkStart w:id="3" w:name="_Toc1468323"/>
      <w:bookmarkStart w:id="4" w:name="_Toc1493129"/>
      <w:bookmarkStart w:id="5" w:name="_Toc1742305"/>
      <w:bookmarkStart w:id="6" w:name="_Toc1743166"/>
      <w:bookmarkStart w:id="7" w:name="_Toc2075012"/>
      <w:r>
        <w:lastRenderedPageBreak/>
        <w:t>List of Tables</w:t>
      </w:r>
      <w:bookmarkEnd w:id="3"/>
      <w:bookmarkEnd w:id="4"/>
      <w:bookmarkEnd w:id="5"/>
      <w:bookmarkEnd w:id="6"/>
      <w:bookmarkEnd w:id="7"/>
    </w:p>
    <w:p w:rsidR="00871C95" w:rsidRPr="00871C95" w:rsidRDefault="00E82516"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r w:rsidRPr="00871C95">
        <w:rPr>
          <w:rFonts w:ascii="Times New Roman" w:hAnsi="Times New Roman" w:cs="Times New Roman"/>
          <w:sz w:val="24"/>
          <w:szCs w:val="24"/>
        </w:rPr>
        <w:fldChar w:fldCharType="begin"/>
      </w:r>
      <w:r w:rsidR="00213643" w:rsidRPr="00871C95">
        <w:rPr>
          <w:rFonts w:ascii="Times New Roman" w:hAnsi="Times New Roman" w:cs="Times New Roman"/>
          <w:sz w:val="24"/>
          <w:szCs w:val="24"/>
        </w:rPr>
        <w:instrText xml:space="preserve"> TOC \h \z \c "Table" </w:instrText>
      </w:r>
      <w:r w:rsidRPr="00871C95">
        <w:rPr>
          <w:rFonts w:ascii="Times New Roman" w:hAnsi="Times New Roman" w:cs="Times New Roman"/>
          <w:sz w:val="24"/>
          <w:szCs w:val="24"/>
        </w:rPr>
        <w:fldChar w:fldCharType="separate"/>
      </w:r>
      <w:hyperlink w:anchor="_Toc1742366" w:history="1">
        <w:r w:rsidR="00871C95" w:rsidRPr="00871C95">
          <w:rPr>
            <w:rStyle w:val="Hyperlink"/>
            <w:rFonts w:ascii="Times New Roman" w:hAnsi="Times New Roman" w:cs="Times New Roman"/>
            <w:noProof/>
            <w:sz w:val="24"/>
            <w:szCs w:val="24"/>
          </w:rPr>
          <w:t>Table 1: Bank Size Calculation of Conventional Banks</w:t>
        </w:r>
        <w:r w:rsidR="00871C95" w:rsidRPr="00871C95">
          <w:rPr>
            <w:rFonts w:ascii="Times New Roman" w:hAnsi="Times New Roman" w:cs="Times New Roman"/>
            <w:noProof/>
            <w:webHidden/>
            <w:sz w:val="24"/>
            <w:szCs w:val="24"/>
          </w:rPr>
          <w:tab/>
        </w:r>
        <w:r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_Toc1742366 \h </w:instrText>
        </w:r>
        <w:r w:rsidRPr="00871C95">
          <w:rPr>
            <w:rFonts w:ascii="Times New Roman" w:hAnsi="Times New Roman" w:cs="Times New Roman"/>
            <w:noProof/>
            <w:webHidden/>
            <w:sz w:val="24"/>
            <w:szCs w:val="24"/>
          </w:rPr>
        </w:r>
        <w:r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77</w:t>
        </w:r>
        <w:r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67" w:history="1">
        <w:r w:rsidR="00871C95" w:rsidRPr="00871C95">
          <w:rPr>
            <w:rStyle w:val="Hyperlink"/>
            <w:rFonts w:ascii="Times New Roman" w:hAnsi="Times New Roman" w:cs="Times New Roman"/>
            <w:noProof/>
            <w:sz w:val="24"/>
            <w:szCs w:val="24"/>
          </w:rPr>
          <w:t>Table 2: Bank Size Calculation of Islamic Banks</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_Toc1742367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78</w:t>
        </w:r>
        <w:r w:rsidR="00E82516"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68" w:history="1">
        <w:r w:rsidR="00871C95" w:rsidRPr="00871C95">
          <w:rPr>
            <w:rStyle w:val="Hyperlink"/>
            <w:rFonts w:ascii="Times New Roman" w:hAnsi="Times New Roman" w:cs="Times New Roman"/>
            <w:noProof/>
            <w:sz w:val="24"/>
            <w:szCs w:val="24"/>
          </w:rPr>
          <w:t>Table 3: Operating Efficiency Calculation of Conventional Banks</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_Toc1742368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79</w:t>
        </w:r>
        <w:r w:rsidR="00E82516"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69" w:history="1">
        <w:r w:rsidR="00871C95" w:rsidRPr="00871C95">
          <w:rPr>
            <w:rStyle w:val="Hyperlink"/>
            <w:rFonts w:ascii="Times New Roman" w:hAnsi="Times New Roman" w:cs="Times New Roman"/>
            <w:noProof/>
            <w:sz w:val="24"/>
            <w:szCs w:val="24"/>
          </w:rPr>
          <w:t>Table 4: Operating Efficiency Calculation of Islamic Banks</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_Toc1742369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80</w:t>
        </w:r>
        <w:r w:rsidR="00E82516"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70" w:history="1">
        <w:r w:rsidR="00871C95" w:rsidRPr="00871C95">
          <w:rPr>
            <w:rStyle w:val="Hyperlink"/>
            <w:rFonts w:ascii="Times New Roman" w:hAnsi="Times New Roman" w:cs="Times New Roman"/>
            <w:noProof/>
            <w:sz w:val="24"/>
            <w:szCs w:val="24"/>
          </w:rPr>
          <w:t>Table 5: Calculation on Debt to Capital and Debt to Equity Ratios of Conventional Banks</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_Toc1742370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81</w:t>
        </w:r>
        <w:r w:rsidR="00E82516"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71" w:history="1">
        <w:r w:rsidR="00871C95" w:rsidRPr="00871C95">
          <w:rPr>
            <w:rStyle w:val="Hyperlink"/>
            <w:rFonts w:ascii="Times New Roman" w:hAnsi="Times New Roman" w:cs="Times New Roman"/>
            <w:noProof/>
            <w:sz w:val="24"/>
            <w:szCs w:val="24"/>
          </w:rPr>
          <w:t>Table 6: Calculation on Debt to Capital and Debt to Equity Ratios of Islamic Banks</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_Toc1742371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82</w:t>
        </w:r>
        <w:r w:rsidR="00E82516"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72" w:history="1">
        <w:r w:rsidR="00871C95" w:rsidRPr="00871C95">
          <w:rPr>
            <w:rStyle w:val="Hyperlink"/>
            <w:rFonts w:ascii="Times New Roman" w:hAnsi="Times New Roman" w:cs="Times New Roman"/>
            <w:noProof/>
            <w:sz w:val="24"/>
            <w:szCs w:val="24"/>
          </w:rPr>
          <w:t>Table 7: Capital Adequacy Ratio of Conventional Banks</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_Toc1742372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84</w:t>
        </w:r>
        <w:r w:rsidR="00E82516"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73" w:history="1">
        <w:r w:rsidR="00871C95" w:rsidRPr="00871C95">
          <w:rPr>
            <w:rStyle w:val="Hyperlink"/>
            <w:rFonts w:ascii="Times New Roman" w:hAnsi="Times New Roman" w:cs="Times New Roman"/>
            <w:noProof/>
            <w:sz w:val="24"/>
            <w:szCs w:val="24"/>
          </w:rPr>
          <w:t>Table 8: Capital Adequacy Ratio of Islamic Banks</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_Toc1742373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85</w:t>
        </w:r>
        <w:r w:rsidR="00E82516"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74" w:history="1">
        <w:r w:rsidR="00871C95" w:rsidRPr="00871C95">
          <w:rPr>
            <w:rStyle w:val="Hyperlink"/>
            <w:rFonts w:ascii="Times New Roman" w:hAnsi="Times New Roman" w:cs="Times New Roman"/>
            <w:noProof/>
            <w:sz w:val="24"/>
            <w:szCs w:val="24"/>
          </w:rPr>
          <w:t>Table 9: Conventional Banks’ Return on Equity Calculation</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_Toc1742374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86</w:t>
        </w:r>
        <w:r w:rsidR="00E82516"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75" w:history="1">
        <w:r w:rsidR="00871C95" w:rsidRPr="00871C95">
          <w:rPr>
            <w:rStyle w:val="Hyperlink"/>
            <w:rFonts w:ascii="Times New Roman" w:hAnsi="Times New Roman" w:cs="Times New Roman"/>
            <w:noProof/>
            <w:sz w:val="24"/>
            <w:szCs w:val="24"/>
          </w:rPr>
          <w:t>Table 10: Islamic Banks’ Return on Equity Calculation</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_Toc1742375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87</w:t>
        </w:r>
        <w:r w:rsidR="00E82516"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76" w:history="1">
        <w:r w:rsidR="00871C95" w:rsidRPr="00871C95">
          <w:rPr>
            <w:rStyle w:val="Hyperlink"/>
            <w:rFonts w:ascii="Times New Roman" w:hAnsi="Times New Roman" w:cs="Times New Roman"/>
            <w:noProof/>
            <w:sz w:val="24"/>
            <w:szCs w:val="24"/>
          </w:rPr>
          <w:t>Table 11: Descriptive Statistics of Conventional Banks</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_Toc1742376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89</w:t>
        </w:r>
        <w:r w:rsidR="00E82516"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77" w:history="1">
        <w:r w:rsidR="00871C95" w:rsidRPr="00871C95">
          <w:rPr>
            <w:rStyle w:val="Hyperlink"/>
            <w:rFonts w:ascii="Times New Roman" w:hAnsi="Times New Roman" w:cs="Times New Roman"/>
            <w:noProof/>
            <w:sz w:val="24"/>
            <w:szCs w:val="24"/>
          </w:rPr>
          <w:t>Table 12: Descriptive Statistics of Islamic Banks</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_Toc1742377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90</w:t>
        </w:r>
        <w:r w:rsidR="00E82516"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78" w:history="1">
        <w:r w:rsidR="00871C95" w:rsidRPr="00871C95">
          <w:rPr>
            <w:rStyle w:val="Hyperlink"/>
            <w:rFonts w:ascii="Times New Roman" w:hAnsi="Times New Roman" w:cs="Times New Roman"/>
            <w:noProof/>
            <w:sz w:val="24"/>
            <w:szCs w:val="24"/>
          </w:rPr>
          <w:t>Table 13: Correlations between Variables in the Context of Conventional Banks</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_Toc1742378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91</w:t>
        </w:r>
        <w:r w:rsidR="00E82516"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79" w:history="1">
        <w:r w:rsidR="00871C95" w:rsidRPr="00871C95">
          <w:rPr>
            <w:rStyle w:val="Hyperlink"/>
            <w:rFonts w:ascii="Times New Roman" w:hAnsi="Times New Roman" w:cs="Times New Roman"/>
            <w:noProof/>
            <w:sz w:val="24"/>
            <w:szCs w:val="24"/>
          </w:rPr>
          <w:t>Table 14: Correlations between Variables in the Context of Islamic Banks</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_Toc1742379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93</w:t>
        </w:r>
        <w:r w:rsidR="00E82516"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80" w:history="1">
        <w:r w:rsidR="00871C95" w:rsidRPr="00871C95">
          <w:rPr>
            <w:rStyle w:val="Hyperlink"/>
            <w:rFonts w:ascii="Times New Roman" w:hAnsi="Times New Roman" w:cs="Times New Roman"/>
            <w:noProof/>
            <w:sz w:val="24"/>
            <w:szCs w:val="24"/>
          </w:rPr>
          <w:t>Table 15: Model Summary of Conventional Banks</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_Toc1742380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94</w:t>
        </w:r>
        <w:r w:rsidR="00E82516"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81" w:history="1">
        <w:r w:rsidR="00871C95" w:rsidRPr="00871C95">
          <w:rPr>
            <w:rStyle w:val="Hyperlink"/>
            <w:rFonts w:ascii="Times New Roman" w:hAnsi="Times New Roman" w:cs="Times New Roman"/>
            <w:noProof/>
            <w:sz w:val="24"/>
            <w:szCs w:val="24"/>
          </w:rPr>
          <w:t>Table 16: Model Summary of Islamic Banks</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_Toc1742381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94</w:t>
        </w:r>
        <w:r w:rsidR="00E82516"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82" w:history="1">
        <w:r w:rsidR="00871C95" w:rsidRPr="00871C95">
          <w:rPr>
            <w:rStyle w:val="Hyperlink"/>
            <w:rFonts w:ascii="Times New Roman" w:hAnsi="Times New Roman" w:cs="Times New Roman"/>
            <w:noProof/>
            <w:sz w:val="24"/>
            <w:szCs w:val="24"/>
          </w:rPr>
          <w:t>Table 17: Conventional Banks’ ANOVA Table</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_Toc1742382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94</w:t>
        </w:r>
        <w:r w:rsidR="00E82516"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83" w:history="1">
        <w:r w:rsidR="00871C95" w:rsidRPr="00871C95">
          <w:rPr>
            <w:rStyle w:val="Hyperlink"/>
            <w:rFonts w:ascii="Times New Roman" w:hAnsi="Times New Roman" w:cs="Times New Roman"/>
            <w:noProof/>
            <w:sz w:val="24"/>
            <w:szCs w:val="24"/>
          </w:rPr>
          <w:t>Table 18: Islamic Banks’ ANOVA Table</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_Toc1742383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95</w:t>
        </w:r>
        <w:r w:rsidR="00E82516"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84" w:history="1">
        <w:r w:rsidR="00871C95" w:rsidRPr="00871C95">
          <w:rPr>
            <w:rStyle w:val="Hyperlink"/>
            <w:rFonts w:ascii="Times New Roman" w:hAnsi="Times New Roman" w:cs="Times New Roman"/>
            <w:noProof/>
            <w:sz w:val="24"/>
            <w:szCs w:val="24"/>
          </w:rPr>
          <w:t>Table 19: Regression Coefficients of Conventional Banks</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_Toc1742384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96</w:t>
        </w:r>
        <w:r w:rsidR="00E82516" w:rsidRPr="00871C95">
          <w:rPr>
            <w:rFonts w:ascii="Times New Roman" w:hAnsi="Times New Roman" w:cs="Times New Roman"/>
            <w:noProof/>
            <w:webHidden/>
            <w:sz w:val="24"/>
            <w:szCs w:val="24"/>
          </w:rPr>
          <w:fldChar w:fldCharType="end"/>
        </w:r>
      </w:hyperlink>
    </w:p>
    <w:p w:rsidR="00871C95" w:rsidRPr="00871C95" w:rsidRDefault="00271644" w:rsidP="00871C95">
      <w:pPr>
        <w:pStyle w:val="TableofFigures"/>
        <w:tabs>
          <w:tab w:val="right" w:leader="dot" w:pos="9260"/>
        </w:tabs>
        <w:spacing w:line="480" w:lineRule="auto"/>
        <w:rPr>
          <w:rFonts w:ascii="Times New Roman" w:eastAsiaTheme="minorEastAsia" w:hAnsi="Times New Roman" w:cs="Times New Roman"/>
          <w:noProof/>
          <w:sz w:val="24"/>
          <w:szCs w:val="24"/>
          <w:lang w:val="en-US" w:bidi="bn-IN"/>
        </w:rPr>
      </w:pPr>
      <w:hyperlink w:anchor="_Toc1742385" w:history="1">
        <w:r w:rsidR="00871C95" w:rsidRPr="00871C95">
          <w:rPr>
            <w:rStyle w:val="Hyperlink"/>
            <w:rFonts w:ascii="Times New Roman" w:hAnsi="Times New Roman" w:cs="Times New Roman"/>
            <w:noProof/>
            <w:sz w:val="24"/>
            <w:szCs w:val="24"/>
          </w:rPr>
          <w:t>Table 20: Regression Coefficients of Islamic Banks</w:t>
        </w:r>
        <w:r w:rsidR="00871C95" w:rsidRPr="00871C95">
          <w:rPr>
            <w:rFonts w:ascii="Times New Roman" w:hAnsi="Times New Roman" w:cs="Times New Roman"/>
            <w:noProof/>
            <w:webHidden/>
            <w:sz w:val="24"/>
            <w:szCs w:val="24"/>
          </w:rPr>
          <w:tab/>
        </w:r>
        <w:r w:rsidR="00E82516" w:rsidRPr="00871C95">
          <w:rPr>
            <w:rFonts w:ascii="Times New Roman" w:hAnsi="Times New Roman" w:cs="Times New Roman"/>
            <w:noProof/>
            <w:webHidden/>
            <w:sz w:val="24"/>
            <w:szCs w:val="24"/>
          </w:rPr>
          <w:fldChar w:fldCharType="begin"/>
        </w:r>
        <w:r w:rsidR="00871C95" w:rsidRPr="00871C95">
          <w:rPr>
            <w:rFonts w:ascii="Times New Roman" w:hAnsi="Times New Roman" w:cs="Times New Roman"/>
            <w:noProof/>
            <w:webHidden/>
            <w:sz w:val="24"/>
            <w:szCs w:val="24"/>
          </w:rPr>
          <w:instrText xml:space="preserve"> PAGEREF _Toc1742385 \h </w:instrText>
        </w:r>
        <w:r w:rsidR="00E82516" w:rsidRPr="00871C95">
          <w:rPr>
            <w:rFonts w:ascii="Times New Roman" w:hAnsi="Times New Roman" w:cs="Times New Roman"/>
            <w:noProof/>
            <w:webHidden/>
            <w:sz w:val="24"/>
            <w:szCs w:val="24"/>
          </w:rPr>
        </w:r>
        <w:r w:rsidR="00E82516" w:rsidRPr="00871C95">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97</w:t>
        </w:r>
        <w:r w:rsidR="00E82516" w:rsidRPr="00871C95">
          <w:rPr>
            <w:rFonts w:ascii="Times New Roman" w:hAnsi="Times New Roman" w:cs="Times New Roman"/>
            <w:noProof/>
            <w:webHidden/>
            <w:sz w:val="24"/>
            <w:szCs w:val="24"/>
          </w:rPr>
          <w:fldChar w:fldCharType="end"/>
        </w:r>
      </w:hyperlink>
    </w:p>
    <w:p w:rsidR="00213643" w:rsidRPr="00871C95" w:rsidRDefault="00E82516" w:rsidP="00871C95">
      <w:pPr>
        <w:spacing w:line="480" w:lineRule="auto"/>
        <w:rPr>
          <w:rFonts w:ascii="Times New Roman" w:hAnsi="Times New Roman" w:cs="Times New Roman"/>
          <w:sz w:val="24"/>
          <w:szCs w:val="24"/>
        </w:rPr>
      </w:pPr>
      <w:r w:rsidRPr="00871C95">
        <w:rPr>
          <w:rFonts w:ascii="Times New Roman" w:hAnsi="Times New Roman" w:cs="Times New Roman"/>
          <w:sz w:val="24"/>
          <w:szCs w:val="24"/>
        </w:rPr>
        <w:fldChar w:fldCharType="end"/>
      </w:r>
    </w:p>
    <w:p w:rsidR="00213643" w:rsidRPr="00CC21DD" w:rsidRDefault="00213643" w:rsidP="00CC21DD">
      <w:pPr>
        <w:spacing w:line="480" w:lineRule="auto"/>
        <w:rPr>
          <w:rFonts w:ascii="Times New Roman" w:hAnsi="Times New Roman" w:cs="Times New Roman"/>
          <w:sz w:val="24"/>
          <w:szCs w:val="24"/>
        </w:rPr>
      </w:pPr>
    </w:p>
    <w:p w:rsidR="00213643" w:rsidRDefault="00213643">
      <w:r>
        <w:br w:type="page"/>
      </w:r>
    </w:p>
    <w:p w:rsidR="00213643" w:rsidRDefault="00213643" w:rsidP="00213643">
      <w:pPr>
        <w:pStyle w:val="Heading2"/>
      </w:pPr>
      <w:bookmarkStart w:id="8" w:name="_Toc1468324"/>
      <w:bookmarkStart w:id="9" w:name="_Toc1493130"/>
      <w:bookmarkStart w:id="10" w:name="_Toc1742306"/>
      <w:bookmarkStart w:id="11" w:name="_Toc1743167"/>
      <w:bookmarkStart w:id="12" w:name="_Toc2075013"/>
      <w:r>
        <w:lastRenderedPageBreak/>
        <w:t>List of Figures</w:t>
      </w:r>
      <w:bookmarkEnd w:id="8"/>
      <w:bookmarkEnd w:id="9"/>
      <w:bookmarkEnd w:id="10"/>
      <w:bookmarkEnd w:id="11"/>
      <w:bookmarkEnd w:id="12"/>
    </w:p>
    <w:p w:rsidR="00BE52BC" w:rsidRPr="00CC21DD" w:rsidRDefault="00E82516">
      <w:pPr>
        <w:pStyle w:val="TableofFigures"/>
        <w:tabs>
          <w:tab w:val="right" w:leader="dot" w:pos="9016"/>
        </w:tabs>
        <w:rPr>
          <w:rFonts w:ascii="Times New Roman" w:eastAsiaTheme="minorEastAsia" w:hAnsi="Times New Roman" w:cs="Times New Roman"/>
          <w:noProof/>
          <w:sz w:val="24"/>
          <w:szCs w:val="24"/>
          <w:lang w:eastAsia="en-GB"/>
        </w:rPr>
      </w:pPr>
      <w:r w:rsidRPr="00CC21DD">
        <w:rPr>
          <w:rFonts w:ascii="Times New Roman" w:hAnsi="Times New Roman" w:cs="Times New Roman"/>
          <w:sz w:val="24"/>
          <w:szCs w:val="24"/>
        </w:rPr>
        <w:fldChar w:fldCharType="begin"/>
      </w:r>
      <w:r w:rsidR="00213643" w:rsidRPr="00CC21DD">
        <w:rPr>
          <w:rFonts w:ascii="Times New Roman" w:hAnsi="Times New Roman" w:cs="Times New Roman"/>
          <w:sz w:val="24"/>
          <w:szCs w:val="24"/>
        </w:rPr>
        <w:instrText xml:space="preserve"> TOC \h \z \c "Figure" </w:instrText>
      </w:r>
      <w:r w:rsidRPr="00CC21DD">
        <w:rPr>
          <w:rFonts w:ascii="Times New Roman" w:hAnsi="Times New Roman" w:cs="Times New Roman"/>
          <w:sz w:val="24"/>
          <w:szCs w:val="24"/>
        </w:rPr>
        <w:fldChar w:fldCharType="separate"/>
      </w:r>
      <w:hyperlink w:anchor="_Toc1403926" w:history="1">
        <w:r w:rsidR="00BE52BC" w:rsidRPr="00CC21DD">
          <w:rPr>
            <w:rStyle w:val="Hyperlink"/>
            <w:rFonts w:ascii="Times New Roman" w:hAnsi="Times New Roman" w:cs="Times New Roman"/>
            <w:noProof/>
            <w:sz w:val="24"/>
            <w:szCs w:val="24"/>
          </w:rPr>
          <w:t>Figure 1: Comparison between Conventional and Islamic Banks in terms of Bank Sizes</w:t>
        </w:r>
        <w:r w:rsidR="00BE52BC" w:rsidRPr="00CC21DD">
          <w:rPr>
            <w:rFonts w:ascii="Times New Roman" w:hAnsi="Times New Roman" w:cs="Times New Roman"/>
            <w:noProof/>
            <w:webHidden/>
            <w:sz w:val="24"/>
            <w:szCs w:val="24"/>
          </w:rPr>
          <w:tab/>
        </w:r>
        <w:r w:rsidRPr="00CC21DD">
          <w:rPr>
            <w:rFonts w:ascii="Times New Roman" w:hAnsi="Times New Roman" w:cs="Times New Roman"/>
            <w:noProof/>
            <w:webHidden/>
            <w:sz w:val="24"/>
            <w:szCs w:val="24"/>
          </w:rPr>
          <w:fldChar w:fldCharType="begin"/>
        </w:r>
        <w:r w:rsidR="00BE52BC" w:rsidRPr="00CC21DD">
          <w:rPr>
            <w:rFonts w:ascii="Times New Roman" w:hAnsi="Times New Roman" w:cs="Times New Roman"/>
            <w:noProof/>
            <w:webHidden/>
            <w:sz w:val="24"/>
            <w:szCs w:val="24"/>
          </w:rPr>
          <w:instrText xml:space="preserve"> PAGEREF _Toc1403926 \h </w:instrText>
        </w:r>
        <w:r w:rsidRPr="00CC21DD">
          <w:rPr>
            <w:rFonts w:ascii="Times New Roman" w:hAnsi="Times New Roman" w:cs="Times New Roman"/>
            <w:noProof/>
            <w:webHidden/>
            <w:sz w:val="24"/>
            <w:szCs w:val="24"/>
          </w:rPr>
        </w:r>
        <w:r w:rsidRPr="00CC21DD">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79</w:t>
        </w:r>
        <w:r w:rsidRPr="00CC21DD">
          <w:rPr>
            <w:rFonts w:ascii="Times New Roman" w:hAnsi="Times New Roman" w:cs="Times New Roman"/>
            <w:noProof/>
            <w:webHidden/>
            <w:sz w:val="24"/>
            <w:szCs w:val="24"/>
          </w:rPr>
          <w:fldChar w:fldCharType="end"/>
        </w:r>
      </w:hyperlink>
    </w:p>
    <w:p w:rsidR="00BE52BC" w:rsidRPr="00CC21DD" w:rsidRDefault="00271644">
      <w:pPr>
        <w:pStyle w:val="TableofFigures"/>
        <w:tabs>
          <w:tab w:val="right" w:leader="dot" w:pos="9016"/>
        </w:tabs>
        <w:rPr>
          <w:rFonts w:ascii="Times New Roman" w:eastAsiaTheme="minorEastAsia" w:hAnsi="Times New Roman" w:cs="Times New Roman"/>
          <w:noProof/>
          <w:sz w:val="24"/>
          <w:szCs w:val="24"/>
          <w:lang w:eastAsia="en-GB"/>
        </w:rPr>
      </w:pPr>
      <w:hyperlink w:anchor="_Toc1403927" w:history="1">
        <w:r w:rsidR="00BE52BC" w:rsidRPr="00CC21DD">
          <w:rPr>
            <w:rStyle w:val="Hyperlink"/>
            <w:rFonts w:ascii="Times New Roman" w:hAnsi="Times New Roman" w:cs="Times New Roman"/>
            <w:noProof/>
            <w:sz w:val="24"/>
            <w:szCs w:val="24"/>
          </w:rPr>
          <w:t>Figure 2: Comparison between Conventional and Islamic Banks in terms of Operating Efficiency</w:t>
        </w:r>
        <w:r w:rsidR="00BE52BC" w:rsidRPr="00CC21DD">
          <w:rPr>
            <w:rFonts w:ascii="Times New Roman" w:hAnsi="Times New Roman" w:cs="Times New Roman"/>
            <w:noProof/>
            <w:webHidden/>
            <w:sz w:val="24"/>
            <w:szCs w:val="24"/>
          </w:rPr>
          <w:tab/>
        </w:r>
        <w:r w:rsidR="00E82516" w:rsidRPr="00CC21DD">
          <w:rPr>
            <w:rFonts w:ascii="Times New Roman" w:hAnsi="Times New Roman" w:cs="Times New Roman"/>
            <w:noProof/>
            <w:webHidden/>
            <w:sz w:val="24"/>
            <w:szCs w:val="24"/>
          </w:rPr>
          <w:fldChar w:fldCharType="begin"/>
        </w:r>
        <w:r w:rsidR="00BE52BC" w:rsidRPr="00CC21DD">
          <w:rPr>
            <w:rFonts w:ascii="Times New Roman" w:hAnsi="Times New Roman" w:cs="Times New Roman"/>
            <w:noProof/>
            <w:webHidden/>
            <w:sz w:val="24"/>
            <w:szCs w:val="24"/>
          </w:rPr>
          <w:instrText xml:space="preserve"> PAGEREF _Toc1403927 \h </w:instrText>
        </w:r>
        <w:r w:rsidR="00E82516" w:rsidRPr="00CC21DD">
          <w:rPr>
            <w:rFonts w:ascii="Times New Roman" w:hAnsi="Times New Roman" w:cs="Times New Roman"/>
            <w:noProof/>
            <w:webHidden/>
            <w:sz w:val="24"/>
            <w:szCs w:val="24"/>
          </w:rPr>
        </w:r>
        <w:r w:rsidR="00E82516" w:rsidRPr="00CC21DD">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81</w:t>
        </w:r>
        <w:r w:rsidR="00E82516" w:rsidRPr="00CC21DD">
          <w:rPr>
            <w:rFonts w:ascii="Times New Roman" w:hAnsi="Times New Roman" w:cs="Times New Roman"/>
            <w:noProof/>
            <w:webHidden/>
            <w:sz w:val="24"/>
            <w:szCs w:val="24"/>
          </w:rPr>
          <w:fldChar w:fldCharType="end"/>
        </w:r>
      </w:hyperlink>
    </w:p>
    <w:p w:rsidR="00BE52BC" w:rsidRPr="00CC21DD" w:rsidRDefault="00271644">
      <w:pPr>
        <w:pStyle w:val="TableofFigures"/>
        <w:tabs>
          <w:tab w:val="right" w:leader="dot" w:pos="9016"/>
        </w:tabs>
        <w:rPr>
          <w:rFonts w:ascii="Times New Roman" w:eastAsiaTheme="minorEastAsia" w:hAnsi="Times New Roman" w:cs="Times New Roman"/>
          <w:noProof/>
          <w:sz w:val="24"/>
          <w:szCs w:val="24"/>
          <w:lang w:eastAsia="en-GB"/>
        </w:rPr>
      </w:pPr>
      <w:hyperlink w:anchor="_Toc1403928" w:history="1">
        <w:r w:rsidR="00BE52BC" w:rsidRPr="00CC21DD">
          <w:rPr>
            <w:rStyle w:val="Hyperlink"/>
            <w:rFonts w:ascii="Times New Roman" w:hAnsi="Times New Roman" w:cs="Times New Roman"/>
            <w:noProof/>
            <w:sz w:val="24"/>
            <w:szCs w:val="24"/>
          </w:rPr>
          <w:t>Figure 3: Comparison between Conventional and Islamic Banks in terms of Debt to Capital Ratio</w:t>
        </w:r>
        <w:r w:rsidR="00BE52BC" w:rsidRPr="00CC21DD">
          <w:rPr>
            <w:rFonts w:ascii="Times New Roman" w:hAnsi="Times New Roman" w:cs="Times New Roman"/>
            <w:noProof/>
            <w:webHidden/>
            <w:sz w:val="24"/>
            <w:szCs w:val="24"/>
          </w:rPr>
          <w:tab/>
        </w:r>
        <w:r w:rsidR="00E82516" w:rsidRPr="00CC21DD">
          <w:rPr>
            <w:rFonts w:ascii="Times New Roman" w:hAnsi="Times New Roman" w:cs="Times New Roman"/>
            <w:noProof/>
            <w:webHidden/>
            <w:sz w:val="24"/>
            <w:szCs w:val="24"/>
          </w:rPr>
          <w:fldChar w:fldCharType="begin"/>
        </w:r>
        <w:r w:rsidR="00BE52BC" w:rsidRPr="00CC21DD">
          <w:rPr>
            <w:rFonts w:ascii="Times New Roman" w:hAnsi="Times New Roman" w:cs="Times New Roman"/>
            <w:noProof/>
            <w:webHidden/>
            <w:sz w:val="24"/>
            <w:szCs w:val="24"/>
          </w:rPr>
          <w:instrText xml:space="preserve"> PAGEREF _Toc1403928 \h </w:instrText>
        </w:r>
        <w:r w:rsidR="00E82516" w:rsidRPr="00CC21DD">
          <w:rPr>
            <w:rFonts w:ascii="Times New Roman" w:hAnsi="Times New Roman" w:cs="Times New Roman"/>
            <w:noProof/>
            <w:webHidden/>
            <w:sz w:val="24"/>
            <w:szCs w:val="24"/>
          </w:rPr>
        </w:r>
        <w:r w:rsidR="00E82516" w:rsidRPr="00CC21DD">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83</w:t>
        </w:r>
        <w:r w:rsidR="00E82516" w:rsidRPr="00CC21DD">
          <w:rPr>
            <w:rFonts w:ascii="Times New Roman" w:hAnsi="Times New Roman" w:cs="Times New Roman"/>
            <w:noProof/>
            <w:webHidden/>
            <w:sz w:val="24"/>
            <w:szCs w:val="24"/>
          </w:rPr>
          <w:fldChar w:fldCharType="end"/>
        </w:r>
      </w:hyperlink>
    </w:p>
    <w:p w:rsidR="00BE52BC" w:rsidRPr="00CC21DD" w:rsidRDefault="00271644">
      <w:pPr>
        <w:pStyle w:val="TableofFigures"/>
        <w:tabs>
          <w:tab w:val="right" w:leader="dot" w:pos="9016"/>
        </w:tabs>
        <w:rPr>
          <w:rFonts w:ascii="Times New Roman" w:eastAsiaTheme="minorEastAsia" w:hAnsi="Times New Roman" w:cs="Times New Roman"/>
          <w:noProof/>
          <w:sz w:val="24"/>
          <w:szCs w:val="24"/>
          <w:lang w:eastAsia="en-GB"/>
        </w:rPr>
      </w:pPr>
      <w:hyperlink w:anchor="_Toc1403929" w:history="1">
        <w:r w:rsidR="00BE52BC" w:rsidRPr="00CC21DD">
          <w:rPr>
            <w:rStyle w:val="Hyperlink"/>
            <w:rFonts w:ascii="Times New Roman" w:hAnsi="Times New Roman" w:cs="Times New Roman"/>
            <w:noProof/>
            <w:sz w:val="24"/>
            <w:szCs w:val="24"/>
          </w:rPr>
          <w:t>Figure 4: Comparison between Conventional and Islamic Banks in terms of Debt to Equity Ratio</w:t>
        </w:r>
        <w:r w:rsidR="00BE52BC" w:rsidRPr="00CC21DD">
          <w:rPr>
            <w:rFonts w:ascii="Times New Roman" w:hAnsi="Times New Roman" w:cs="Times New Roman"/>
            <w:noProof/>
            <w:webHidden/>
            <w:sz w:val="24"/>
            <w:szCs w:val="24"/>
          </w:rPr>
          <w:tab/>
        </w:r>
        <w:r w:rsidR="00E82516" w:rsidRPr="00CC21DD">
          <w:rPr>
            <w:rFonts w:ascii="Times New Roman" w:hAnsi="Times New Roman" w:cs="Times New Roman"/>
            <w:noProof/>
            <w:webHidden/>
            <w:sz w:val="24"/>
            <w:szCs w:val="24"/>
          </w:rPr>
          <w:fldChar w:fldCharType="begin"/>
        </w:r>
        <w:r w:rsidR="00BE52BC" w:rsidRPr="00CC21DD">
          <w:rPr>
            <w:rFonts w:ascii="Times New Roman" w:hAnsi="Times New Roman" w:cs="Times New Roman"/>
            <w:noProof/>
            <w:webHidden/>
            <w:sz w:val="24"/>
            <w:szCs w:val="24"/>
          </w:rPr>
          <w:instrText xml:space="preserve"> PAGEREF _Toc1403929 \h </w:instrText>
        </w:r>
        <w:r w:rsidR="00E82516" w:rsidRPr="00CC21DD">
          <w:rPr>
            <w:rFonts w:ascii="Times New Roman" w:hAnsi="Times New Roman" w:cs="Times New Roman"/>
            <w:noProof/>
            <w:webHidden/>
            <w:sz w:val="24"/>
            <w:szCs w:val="24"/>
          </w:rPr>
        </w:r>
        <w:r w:rsidR="00E82516" w:rsidRPr="00CC21DD">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83</w:t>
        </w:r>
        <w:r w:rsidR="00E82516" w:rsidRPr="00CC21DD">
          <w:rPr>
            <w:rFonts w:ascii="Times New Roman" w:hAnsi="Times New Roman" w:cs="Times New Roman"/>
            <w:noProof/>
            <w:webHidden/>
            <w:sz w:val="24"/>
            <w:szCs w:val="24"/>
          </w:rPr>
          <w:fldChar w:fldCharType="end"/>
        </w:r>
      </w:hyperlink>
    </w:p>
    <w:p w:rsidR="00BE52BC" w:rsidRPr="00CC21DD" w:rsidRDefault="00271644">
      <w:pPr>
        <w:pStyle w:val="TableofFigures"/>
        <w:tabs>
          <w:tab w:val="right" w:leader="dot" w:pos="9016"/>
        </w:tabs>
        <w:rPr>
          <w:rFonts w:ascii="Times New Roman" w:eastAsiaTheme="minorEastAsia" w:hAnsi="Times New Roman" w:cs="Times New Roman"/>
          <w:noProof/>
          <w:sz w:val="24"/>
          <w:szCs w:val="24"/>
          <w:lang w:eastAsia="en-GB"/>
        </w:rPr>
      </w:pPr>
      <w:hyperlink w:anchor="_Toc1403930" w:history="1">
        <w:r w:rsidR="00BE52BC" w:rsidRPr="00CC21DD">
          <w:rPr>
            <w:rStyle w:val="Hyperlink"/>
            <w:rFonts w:ascii="Times New Roman" w:hAnsi="Times New Roman" w:cs="Times New Roman"/>
            <w:noProof/>
            <w:sz w:val="24"/>
            <w:szCs w:val="24"/>
          </w:rPr>
          <w:t>Figure 5: Comparison between Conventional and Islamic Banks in terms of Capital Adequacy</w:t>
        </w:r>
        <w:r w:rsidR="00BE52BC" w:rsidRPr="00CC21DD">
          <w:rPr>
            <w:rFonts w:ascii="Times New Roman" w:hAnsi="Times New Roman" w:cs="Times New Roman"/>
            <w:noProof/>
            <w:webHidden/>
            <w:sz w:val="24"/>
            <w:szCs w:val="24"/>
          </w:rPr>
          <w:tab/>
        </w:r>
        <w:r w:rsidR="00E82516" w:rsidRPr="00CC21DD">
          <w:rPr>
            <w:rFonts w:ascii="Times New Roman" w:hAnsi="Times New Roman" w:cs="Times New Roman"/>
            <w:noProof/>
            <w:webHidden/>
            <w:sz w:val="24"/>
            <w:szCs w:val="24"/>
          </w:rPr>
          <w:fldChar w:fldCharType="begin"/>
        </w:r>
        <w:r w:rsidR="00BE52BC" w:rsidRPr="00CC21DD">
          <w:rPr>
            <w:rFonts w:ascii="Times New Roman" w:hAnsi="Times New Roman" w:cs="Times New Roman"/>
            <w:noProof/>
            <w:webHidden/>
            <w:sz w:val="24"/>
            <w:szCs w:val="24"/>
          </w:rPr>
          <w:instrText xml:space="preserve"> PAGEREF _Toc1403930 \h </w:instrText>
        </w:r>
        <w:r w:rsidR="00E82516" w:rsidRPr="00CC21DD">
          <w:rPr>
            <w:rFonts w:ascii="Times New Roman" w:hAnsi="Times New Roman" w:cs="Times New Roman"/>
            <w:noProof/>
            <w:webHidden/>
            <w:sz w:val="24"/>
            <w:szCs w:val="24"/>
          </w:rPr>
        </w:r>
        <w:r w:rsidR="00E82516" w:rsidRPr="00CC21DD">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86</w:t>
        </w:r>
        <w:r w:rsidR="00E82516" w:rsidRPr="00CC21DD">
          <w:rPr>
            <w:rFonts w:ascii="Times New Roman" w:hAnsi="Times New Roman" w:cs="Times New Roman"/>
            <w:noProof/>
            <w:webHidden/>
            <w:sz w:val="24"/>
            <w:szCs w:val="24"/>
          </w:rPr>
          <w:fldChar w:fldCharType="end"/>
        </w:r>
      </w:hyperlink>
    </w:p>
    <w:p w:rsidR="00BE52BC" w:rsidRPr="00CC21DD" w:rsidRDefault="00271644">
      <w:pPr>
        <w:pStyle w:val="TableofFigures"/>
        <w:tabs>
          <w:tab w:val="right" w:leader="dot" w:pos="9016"/>
        </w:tabs>
        <w:rPr>
          <w:rFonts w:ascii="Times New Roman" w:eastAsiaTheme="minorEastAsia" w:hAnsi="Times New Roman" w:cs="Times New Roman"/>
          <w:noProof/>
          <w:sz w:val="24"/>
          <w:szCs w:val="24"/>
          <w:lang w:eastAsia="en-GB"/>
        </w:rPr>
      </w:pPr>
      <w:hyperlink w:anchor="_Toc1403931" w:history="1">
        <w:r w:rsidR="00BE52BC" w:rsidRPr="00CC21DD">
          <w:rPr>
            <w:rStyle w:val="Hyperlink"/>
            <w:rFonts w:ascii="Times New Roman" w:hAnsi="Times New Roman" w:cs="Times New Roman"/>
            <w:noProof/>
            <w:sz w:val="24"/>
            <w:szCs w:val="24"/>
          </w:rPr>
          <w:t>Figure 6: Comparison between Conventional and Islamic Banks in terms of Return on Equity</w:t>
        </w:r>
        <w:r w:rsidR="00BE52BC" w:rsidRPr="00CC21DD">
          <w:rPr>
            <w:rFonts w:ascii="Times New Roman" w:hAnsi="Times New Roman" w:cs="Times New Roman"/>
            <w:noProof/>
            <w:webHidden/>
            <w:sz w:val="24"/>
            <w:szCs w:val="24"/>
          </w:rPr>
          <w:tab/>
        </w:r>
        <w:r w:rsidR="00E82516" w:rsidRPr="00CC21DD">
          <w:rPr>
            <w:rFonts w:ascii="Times New Roman" w:hAnsi="Times New Roman" w:cs="Times New Roman"/>
            <w:noProof/>
            <w:webHidden/>
            <w:sz w:val="24"/>
            <w:szCs w:val="24"/>
          </w:rPr>
          <w:fldChar w:fldCharType="begin"/>
        </w:r>
        <w:r w:rsidR="00BE52BC" w:rsidRPr="00CC21DD">
          <w:rPr>
            <w:rFonts w:ascii="Times New Roman" w:hAnsi="Times New Roman" w:cs="Times New Roman"/>
            <w:noProof/>
            <w:webHidden/>
            <w:sz w:val="24"/>
            <w:szCs w:val="24"/>
          </w:rPr>
          <w:instrText xml:space="preserve"> PAGEREF _Toc1403931 \h </w:instrText>
        </w:r>
        <w:r w:rsidR="00E82516" w:rsidRPr="00CC21DD">
          <w:rPr>
            <w:rFonts w:ascii="Times New Roman" w:hAnsi="Times New Roman" w:cs="Times New Roman"/>
            <w:noProof/>
            <w:webHidden/>
            <w:sz w:val="24"/>
            <w:szCs w:val="24"/>
          </w:rPr>
        </w:r>
        <w:r w:rsidR="00E82516" w:rsidRPr="00CC21DD">
          <w:rPr>
            <w:rFonts w:ascii="Times New Roman" w:hAnsi="Times New Roman" w:cs="Times New Roman"/>
            <w:noProof/>
            <w:webHidden/>
            <w:sz w:val="24"/>
            <w:szCs w:val="24"/>
          </w:rPr>
          <w:fldChar w:fldCharType="separate"/>
        </w:r>
        <w:r w:rsidR="00AA7575">
          <w:rPr>
            <w:rFonts w:ascii="Times New Roman" w:hAnsi="Times New Roman" w:cs="Times New Roman"/>
            <w:noProof/>
            <w:webHidden/>
            <w:sz w:val="24"/>
            <w:szCs w:val="24"/>
          </w:rPr>
          <w:t>88</w:t>
        </w:r>
        <w:r w:rsidR="00E82516" w:rsidRPr="00CC21DD">
          <w:rPr>
            <w:rFonts w:ascii="Times New Roman" w:hAnsi="Times New Roman" w:cs="Times New Roman"/>
            <w:noProof/>
            <w:webHidden/>
            <w:sz w:val="24"/>
            <w:szCs w:val="24"/>
          </w:rPr>
          <w:fldChar w:fldCharType="end"/>
        </w:r>
      </w:hyperlink>
    </w:p>
    <w:p w:rsidR="00E62E15" w:rsidRPr="00CC21DD" w:rsidRDefault="00E82516">
      <w:pPr>
        <w:rPr>
          <w:rFonts w:ascii="Times New Roman" w:eastAsiaTheme="majorEastAsia" w:hAnsi="Times New Roman" w:cs="Times New Roman"/>
          <w:b/>
          <w:bCs/>
          <w:sz w:val="24"/>
          <w:szCs w:val="24"/>
        </w:rPr>
      </w:pPr>
      <w:r w:rsidRPr="00CC21DD">
        <w:rPr>
          <w:rFonts w:ascii="Times New Roman" w:hAnsi="Times New Roman" w:cs="Times New Roman"/>
          <w:sz w:val="24"/>
          <w:szCs w:val="24"/>
        </w:rPr>
        <w:fldChar w:fldCharType="end"/>
      </w:r>
      <w:r w:rsidR="00E62E15" w:rsidRPr="00CC21DD">
        <w:rPr>
          <w:rFonts w:ascii="Times New Roman" w:hAnsi="Times New Roman" w:cs="Times New Roman"/>
          <w:sz w:val="24"/>
          <w:szCs w:val="24"/>
        </w:rPr>
        <w:br w:type="page"/>
      </w:r>
    </w:p>
    <w:p w:rsidR="00B967B6" w:rsidRPr="009A2BE5" w:rsidRDefault="00B967B6" w:rsidP="00B967B6">
      <w:pPr>
        <w:pStyle w:val="Heading1"/>
        <w:spacing w:line="600" w:lineRule="auto"/>
        <w:rPr>
          <w:color w:val="auto"/>
        </w:rPr>
      </w:pPr>
      <w:bookmarkStart w:id="13" w:name="_Toc1720315"/>
      <w:bookmarkStart w:id="14" w:name="_Toc2075014"/>
      <w:r w:rsidRPr="009A2BE5">
        <w:rPr>
          <w:color w:val="auto"/>
        </w:rPr>
        <w:lastRenderedPageBreak/>
        <w:t>Chapter 1: Introduction</w:t>
      </w:r>
      <w:bookmarkEnd w:id="13"/>
      <w:bookmarkEnd w:id="14"/>
    </w:p>
    <w:p w:rsidR="00B967B6" w:rsidRDefault="00B967B6" w:rsidP="00B967B6">
      <w:pPr>
        <w:pStyle w:val="Heading2"/>
        <w:spacing w:line="480" w:lineRule="auto"/>
      </w:pPr>
      <w:bookmarkStart w:id="15" w:name="_Toc1720316"/>
      <w:bookmarkStart w:id="16" w:name="_Toc2075015"/>
      <w:r>
        <w:t>Background of the Study</w:t>
      </w:r>
      <w:bookmarkEnd w:id="15"/>
      <w:bookmarkEnd w:id="16"/>
    </w:p>
    <w:p w:rsidR="00B967B6" w:rsidRDefault="00B967B6" w:rsidP="00B967B6">
      <w:pPr>
        <w:spacing w:line="480" w:lineRule="auto"/>
        <w:rPr>
          <w:rFonts w:ascii="Times New Roman" w:hAnsi="Times New Roman" w:cs="Times New Roman"/>
          <w:sz w:val="24"/>
          <w:szCs w:val="24"/>
        </w:rPr>
      </w:pPr>
      <w:r w:rsidRPr="001D67E0">
        <w:rPr>
          <w:rFonts w:ascii="Times New Roman" w:hAnsi="Times New Roman" w:cs="Times New Roman"/>
          <w:sz w:val="24"/>
          <w:szCs w:val="24"/>
        </w:rPr>
        <w:tab/>
        <w:t>Islamic banking is a non-interest banking system that works on the basis of the Sharia law or the Islamic principles. The key principles of this industry are the prohibition of payment of interest by</w:t>
      </w:r>
      <w:r w:rsidRPr="00710A8F">
        <w:rPr>
          <w:rFonts w:ascii="Times New Roman" w:hAnsi="Times New Roman" w:cs="Times New Roman"/>
          <w:sz w:val="24"/>
          <w:szCs w:val="24"/>
        </w:rPr>
        <w:t xml:space="preserve"> investors or lenders and the sharing of profit and loss. Continuing in the same vein, </w:t>
      </w:r>
      <w:r w:rsidRPr="00710A8F">
        <w:rPr>
          <w:rFonts w:ascii="Times New Roman" w:hAnsi="Times New Roman" w:cs="Times New Roman"/>
          <w:sz w:val="24"/>
          <w:szCs w:val="24"/>
          <w:shd w:val="clear" w:color="auto" w:fill="FFFFFF"/>
        </w:rPr>
        <w:t>(Alharbi, 2015)</w:t>
      </w:r>
      <w:r>
        <w:rPr>
          <w:rFonts w:ascii="Times New Roman" w:hAnsi="Times New Roman" w:cs="Times New Roman"/>
          <w:sz w:val="24"/>
          <w:szCs w:val="24"/>
        </w:rPr>
        <w:t xml:space="preserve"> opined, three principals have been obse</w:t>
      </w:r>
      <w:r w:rsidR="001F4974">
        <w:rPr>
          <w:rFonts w:ascii="Times New Roman" w:hAnsi="Times New Roman" w:cs="Times New Roman"/>
          <w:sz w:val="24"/>
          <w:szCs w:val="24"/>
        </w:rPr>
        <w:t>rved to govern Islamic finance:</w:t>
      </w:r>
      <w:r w:rsidR="00FB155E">
        <w:rPr>
          <w:rFonts w:ascii="Times New Roman" w:hAnsi="Times New Roman" w:cs="Times New Roman"/>
          <w:sz w:val="24"/>
          <w:szCs w:val="24"/>
        </w:rPr>
        <w:t xml:space="preserve"> </w:t>
      </w:r>
      <w:r>
        <w:rPr>
          <w:rFonts w:ascii="Times New Roman" w:hAnsi="Times New Roman" w:cs="Times New Roman"/>
          <w:sz w:val="24"/>
          <w:szCs w:val="24"/>
        </w:rPr>
        <w:t xml:space="preserve">Principle of Participation, Principle of Equity and Principle of Ownership. </w:t>
      </w:r>
      <w:r w:rsidR="00FB155E">
        <w:rPr>
          <w:rFonts w:ascii="Times New Roman" w:hAnsi="Times New Roman" w:cs="Times New Roman"/>
          <w:sz w:val="24"/>
          <w:szCs w:val="24"/>
        </w:rPr>
        <w:t xml:space="preserve">The idea of interest-free based financing has mainly been discussed in the Principle of Participation. </w:t>
      </w:r>
      <w:r>
        <w:rPr>
          <w:rFonts w:ascii="Times New Roman" w:hAnsi="Times New Roman" w:cs="Times New Roman"/>
          <w:sz w:val="24"/>
          <w:szCs w:val="24"/>
        </w:rPr>
        <w:t>However, the prohibition of collecting and paying interest (riba) does not mean t</w:t>
      </w:r>
      <w:r w:rsidR="00FE2447">
        <w:rPr>
          <w:rFonts w:ascii="Times New Roman" w:hAnsi="Times New Roman" w:cs="Times New Roman"/>
          <w:sz w:val="24"/>
          <w:szCs w:val="24"/>
        </w:rPr>
        <w:t>hat capital cannot be rewarded</w:t>
      </w:r>
      <w:r w:rsidR="001F4974">
        <w:rPr>
          <w:rFonts w:ascii="Times New Roman" w:hAnsi="Times New Roman" w:cs="Times New Roman"/>
          <w:sz w:val="24"/>
          <w:szCs w:val="24"/>
        </w:rPr>
        <w:t>.</w:t>
      </w:r>
      <w:r w:rsidR="00FE2447">
        <w:rPr>
          <w:rFonts w:ascii="Times New Roman" w:hAnsi="Times New Roman" w:cs="Times New Roman"/>
          <w:sz w:val="24"/>
          <w:szCs w:val="24"/>
        </w:rPr>
        <w:t xml:space="preserve"> </w:t>
      </w:r>
      <w:r w:rsidR="001F4974">
        <w:rPr>
          <w:rFonts w:ascii="Times New Roman" w:hAnsi="Times New Roman" w:cs="Times New Roman"/>
          <w:sz w:val="24"/>
          <w:szCs w:val="24"/>
        </w:rPr>
        <w:t>R</w:t>
      </w:r>
      <w:r w:rsidR="00FE2447">
        <w:rPr>
          <w:rFonts w:ascii="Times New Roman" w:hAnsi="Times New Roman" w:cs="Times New Roman"/>
          <w:sz w:val="24"/>
          <w:szCs w:val="24"/>
        </w:rPr>
        <w:t>ather</w:t>
      </w:r>
      <w:r w:rsidR="001F4974">
        <w:rPr>
          <w:rFonts w:ascii="Times New Roman" w:hAnsi="Times New Roman" w:cs="Times New Roman"/>
          <w:sz w:val="24"/>
          <w:szCs w:val="24"/>
        </w:rPr>
        <w:t>,</w:t>
      </w:r>
      <w:r w:rsidR="00FE2447">
        <w:rPr>
          <w:rFonts w:ascii="Times New Roman" w:hAnsi="Times New Roman" w:cs="Times New Roman"/>
          <w:sz w:val="24"/>
          <w:szCs w:val="24"/>
        </w:rPr>
        <w:t xml:space="preserve"> it </w:t>
      </w:r>
      <w:r>
        <w:rPr>
          <w:rFonts w:ascii="Times New Roman" w:hAnsi="Times New Roman" w:cs="Times New Roman"/>
          <w:sz w:val="24"/>
          <w:szCs w:val="24"/>
        </w:rPr>
        <w:t xml:space="preserve">states that investment return need to be earned in tandem with taking risks, in turn, this ensures that increase in wealth mainly comes from the productive activities </w:t>
      </w:r>
      <w:r w:rsidRPr="003A691E">
        <w:rPr>
          <w:rStyle w:val="selectable"/>
          <w:rFonts w:ascii="Times New Roman" w:hAnsi="Times New Roman" w:cs="Times New Roman"/>
          <w:sz w:val="24"/>
          <w:szCs w:val="24"/>
          <w:shd w:val="clear" w:color="auto" w:fill="FFFFFF"/>
        </w:rPr>
        <w:t>(Chokri and Anis, 2018)</w:t>
      </w:r>
      <w:r>
        <w:rPr>
          <w:rFonts w:ascii="Times New Roman" w:hAnsi="Times New Roman" w:cs="Times New Roman"/>
          <w:sz w:val="24"/>
          <w:szCs w:val="24"/>
        </w:rPr>
        <w:t xml:space="preserve">. On the other side, the principle of equity intends to protect the weaker part of the society in a financial transaction. It also prohibits excessive uncertainty as developed from contract ambiguity. According to this principle, the transacting parties must have a moral duty to reveal all the information clearly before making any contract, thus reducing the asymmetry of information. And finally, the principle of ownership </w:t>
      </w:r>
      <w:r w:rsidR="005955D3">
        <w:rPr>
          <w:rFonts w:ascii="Times New Roman" w:hAnsi="Times New Roman" w:cs="Times New Roman"/>
          <w:sz w:val="24"/>
          <w:szCs w:val="24"/>
        </w:rPr>
        <w:t>validates the idea of asset-based financing of Islamic banks</w:t>
      </w:r>
      <w:r w:rsidR="001F4974">
        <w:rPr>
          <w:rFonts w:ascii="Times New Roman" w:hAnsi="Times New Roman" w:cs="Times New Roman"/>
          <w:sz w:val="24"/>
          <w:szCs w:val="24"/>
        </w:rPr>
        <w:t>,</w:t>
      </w:r>
      <w:r w:rsidR="005955D3">
        <w:rPr>
          <w:rFonts w:ascii="Times New Roman" w:hAnsi="Times New Roman" w:cs="Times New Roman"/>
          <w:sz w:val="24"/>
          <w:szCs w:val="24"/>
        </w:rPr>
        <w:t xml:space="preserve"> by creating a link between real economy and finance.</w:t>
      </w:r>
    </w:p>
    <w:p w:rsidR="00B967B6" w:rsidRDefault="00B967B6" w:rsidP="00B967B6">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structure of Islamic banks differs to some extent from co</w:t>
      </w:r>
      <w:r w:rsidRPr="00FB0AC9">
        <w:rPr>
          <w:rFonts w:ascii="Times New Roman" w:hAnsi="Times New Roman" w:cs="Times New Roman"/>
          <w:sz w:val="24"/>
          <w:szCs w:val="24"/>
        </w:rPr>
        <w:t>nventional banks. The former banking sector works on the two-tier mudârabah and wakalah model</w:t>
      </w:r>
      <w:r>
        <w:rPr>
          <w:rFonts w:ascii="Times New Roman" w:hAnsi="Times New Roman" w:cs="Times New Roman"/>
          <w:sz w:val="24"/>
          <w:szCs w:val="24"/>
        </w:rPr>
        <w:t xml:space="preserve">, where the first level refers to the contracts signed </w:t>
      </w:r>
      <w:r w:rsidR="001F4974">
        <w:rPr>
          <w:rFonts w:ascii="Times New Roman" w:hAnsi="Times New Roman" w:cs="Times New Roman"/>
          <w:sz w:val="24"/>
          <w:szCs w:val="24"/>
        </w:rPr>
        <w:t xml:space="preserve">by </w:t>
      </w:r>
      <w:r>
        <w:rPr>
          <w:rFonts w:ascii="Times New Roman" w:hAnsi="Times New Roman" w:cs="Times New Roman"/>
          <w:sz w:val="24"/>
          <w:szCs w:val="24"/>
        </w:rPr>
        <w:t>the bank and the investment account holder. In other words, in this case, the bank acts as an a</w:t>
      </w:r>
      <w:r w:rsidRPr="00710A8F">
        <w:rPr>
          <w:rFonts w:ascii="Times New Roman" w:hAnsi="Times New Roman" w:cs="Times New Roman"/>
          <w:sz w:val="24"/>
          <w:szCs w:val="24"/>
        </w:rPr>
        <w:t>dministrator of funds and the account holder offers capital</w:t>
      </w:r>
      <w:r w:rsidRPr="00710A8F">
        <w:rPr>
          <w:rFonts w:ascii="Times New Roman" w:hAnsi="Times New Roman" w:cs="Times New Roman"/>
          <w:sz w:val="24"/>
          <w:szCs w:val="24"/>
          <w:shd w:val="clear" w:color="auto" w:fill="FFFFFF"/>
        </w:rPr>
        <w:t xml:space="preserve"> (Hussain, Shahmoradi and Turk, 2015)</w:t>
      </w:r>
      <w:r>
        <w:rPr>
          <w:rFonts w:ascii="Times New Roman" w:hAnsi="Times New Roman" w:cs="Times New Roman"/>
          <w:sz w:val="24"/>
          <w:szCs w:val="24"/>
        </w:rPr>
        <w:t xml:space="preserve">. On the other hand, the second level refers to the contracts signed between a particular client and bank, and here the client acts as a manager and the bank finances him. The conventional banking system, on the other hand, can be considered as an industry that is based on man-made laws. It is profit-oriented and its purpose is mainly to increase its wealth through interest. </w:t>
      </w:r>
    </w:p>
    <w:p w:rsidR="00B967B6" w:rsidRPr="001D67E0" w:rsidRDefault="00B967B6" w:rsidP="00B967B6">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major key difference between these two banking structures </w:t>
      </w:r>
      <w:r w:rsidR="00CD5CDC">
        <w:rPr>
          <w:rFonts w:ascii="Times New Roman" w:hAnsi="Times New Roman" w:cs="Times New Roman"/>
          <w:sz w:val="24"/>
          <w:szCs w:val="24"/>
        </w:rPr>
        <w:t xml:space="preserve">is in terms of earning income from customers for providing banking services. The source of income in </w:t>
      </w:r>
      <w:r>
        <w:rPr>
          <w:rFonts w:ascii="Times New Roman" w:hAnsi="Times New Roman" w:cs="Times New Roman"/>
          <w:sz w:val="24"/>
          <w:szCs w:val="24"/>
        </w:rPr>
        <w:t xml:space="preserve">conventional banks </w:t>
      </w:r>
      <w:r w:rsidR="00CD5CDC">
        <w:rPr>
          <w:rFonts w:ascii="Times New Roman" w:hAnsi="Times New Roman" w:cs="Times New Roman"/>
          <w:sz w:val="24"/>
          <w:szCs w:val="24"/>
        </w:rPr>
        <w:t xml:space="preserve">depends on the </w:t>
      </w:r>
      <w:r>
        <w:rPr>
          <w:rFonts w:ascii="Times New Roman" w:hAnsi="Times New Roman" w:cs="Times New Roman"/>
          <w:sz w:val="24"/>
          <w:szCs w:val="24"/>
        </w:rPr>
        <w:t>charging f</w:t>
      </w:r>
      <w:r w:rsidR="00CD5CDC">
        <w:rPr>
          <w:rFonts w:ascii="Times New Roman" w:hAnsi="Times New Roman" w:cs="Times New Roman"/>
          <w:sz w:val="24"/>
          <w:szCs w:val="24"/>
        </w:rPr>
        <w:t xml:space="preserve">ees and interests for services and </w:t>
      </w:r>
      <w:r>
        <w:rPr>
          <w:rFonts w:ascii="Times New Roman" w:hAnsi="Times New Roman" w:cs="Times New Roman"/>
          <w:sz w:val="24"/>
          <w:szCs w:val="24"/>
        </w:rPr>
        <w:t xml:space="preserve">on the other hand, trading, profit </w:t>
      </w:r>
      <w:r w:rsidR="001F4974">
        <w:rPr>
          <w:rFonts w:ascii="Times New Roman" w:hAnsi="Times New Roman" w:cs="Times New Roman"/>
          <w:sz w:val="24"/>
          <w:szCs w:val="24"/>
        </w:rPr>
        <w:t>and loss sharing.</w:t>
      </w:r>
      <w:r>
        <w:rPr>
          <w:rFonts w:ascii="Times New Roman" w:hAnsi="Times New Roman" w:cs="Times New Roman"/>
          <w:sz w:val="24"/>
          <w:szCs w:val="24"/>
        </w:rPr>
        <w:t xml:space="preserve"> </w:t>
      </w:r>
      <w:r w:rsidR="001F4974">
        <w:rPr>
          <w:rFonts w:ascii="Times New Roman" w:hAnsi="Times New Roman" w:cs="Times New Roman"/>
          <w:sz w:val="24"/>
          <w:szCs w:val="24"/>
        </w:rPr>
        <w:t>U</w:t>
      </w:r>
      <w:r>
        <w:rPr>
          <w:rFonts w:ascii="Times New Roman" w:hAnsi="Times New Roman" w:cs="Times New Roman"/>
          <w:sz w:val="24"/>
          <w:szCs w:val="24"/>
        </w:rPr>
        <w:t xml:space="preserve">sing </w:t>
      </w:r>
      <w:r w:rsidR="00501242">
        <w:rPr>
          <w:rFonts w:ascii="Times New Roman" w:hAnsi="Times New Roman" w:cs="Times New Roman"/>
          <w:sz w:val="24"/>
          <w:szCs w:val="24"/>
        </w:rPr>
        <w:t>Sharia exchange contracts are the source of income for Islamic banks.</w:t>
      </w:r>
      <w:r w:rsidR="0057541F">
        <w:rPr>
          <w:rFonts w:ascii="Times New Roman" w:hAnsi="Times New Roman" w:cs="Times New Roman"/>
          <w:sz w:val="24"/>
          <w:szCs w:val="24"/>
        </w:rPr>
        <w:t xml:space="preserve"> </w:t>
      </w:r>
      <w:r w:rsidR="00FB07D1">
        <w:rPr>
          <w:rFonts w:ascii="Times New Roman" w:hAnsi="Times New Roman" w:cs="Times New Roman"/>
          <w:sz w:val="24"/>
          <w:szCs w:val="24"/>
        </w:rPr>
        <w:t>T</w:t>
      </w:r>
      <w:r w:rsidR="0057541F">
        <w:rPr>
          <w:rFonts w:ascii="Times New Roman" w:hAnsi="Times New Roman" w:cs="Times New Roman"/>
          <w:sz w:val="24"/>
          <w:szCs w:val="24"/>
        </w:rPr>
        <w:t xml:space="preserve">he conventional banks </w:t>
      </w:r>
      <w:r>
        <w:rPr>
          <w:rFonts w:ascii="Times New Roman" w:hAnsi="Times New Roman" w:cs="Times New Roman"/>
          <w:sz w:val="24"/>
          <w:szCs w:val="24"/>
        </w:rPr>
        <w:t>operate on the basis of financial laws and regu</w:t>
      </w:r>
      <w:r w:rsidR="0057541F">
        <w:rPr>
          <w:rFonts w:ascii="Times New Roman" w:hAnsi="Times New Roman" w:cs="Times New Roman"/>
          <w:sz w:val="24"/>
          <w:szCs w:val="24"/>
        </w:rPr>
        <w:t xml:space="preserve">lations of a country unlike the Islamic banks which </w:t>
      </w:r>
      <w:r w:rsidR="00FB07D1">
        <w:rPr>
          <w:rFonts w:ascii="Times New Roman" w:hAnsi="Times New Roman" w:cs="Times New Roman"/>
          <w:sz w:val="24"/>
          <w:szCs w:val="24"/>
        </w:rPr>
        <w:t>work on religious principles.</w:t>
      </w:r>
      <w:r w:rsidRPr="00C14413">
        <w:rPr>
          <w:rFonts w:ascii="Times New Roman" w:hAnsi="Times New Roman" w:cs="Times New Roman"/>
          <w:sz w:val="24"/>
          <w:szCs w:val="24"/>
        </w:rPr>
        <w:t xml:space="preserve"> Islamic scholars believe that money has limited value</w:t>
      </w:r>
      <w:r w:rsidRPr="00C14413">
        <w:rPr>
          <w:rFonts w:ascii="Times New Roman" w:hAnsi="Times New Roman" w:cs="Times New Roman"/>
          <w:sz w:val="24"/>
          <w:szCs w:val="24"/>
          <w:shd w:val="clear" w:color="auto" w:fill="FFFFFF"/>
        </w:rPr>
        <w:t xml:space="preserve"> (Hawaldar et al., 2017)</w:t>
      </w:r>
      <w:r>
        <w:rPr>
          <w:rFonts w:ascii="Times New Roman" w:hAnsi="Times New Roman" w:cs="Times New Roman"/>
          <w:sz w:val="24"/>
          <w:szCs w:val="24"/>
        </w:rPr>
        <w:t>. The relationship between a debtor and creditor is completely different in this type of banking structure as compared to the conventional banking one. Investments in the latter ones are based on the earning fixed amount of income and guaranteed principal. Conversely, the concept is d</w:t>
      </w:r>
      <w:r w:rsidR="00177449">
        <w:rPr>
          <w:rFonts w:ascii="Times New Roman" w:hAnsi="Times New Roman" w:cs="Times New Roman"/>
          <w:sz w:val="24"/>
          <w:szCs w:val="24"/>
        </w:rPr>
        <w:t xml:space="preserve">ifferent for Islamic banks as they do not generally provide guaranteed statement on </w:t>
      </w:r>
      <w:r>
        <w:rPr>
          <w:rFonts w:ascii="Times New Roman" w:hAnsi="Times New Roman" w:cs="Times New Roman"/>
          <w:sz w:val="24"/>
          <w:szCs w:val="24"/>
        </w:rPr>
        <w:t>customer’s principal and returns</w:t>
      </w:r>
      <w:r w:rsidR="00177449">
        <w:rPr>
          <w:rFonts w:ascii="Times New Roman" w:hAnsi="Times New Roman" w:cs="Times New Roman"/>
          <w:sz w:val="24"/>
          <w:szCs w:val="24"/>
        </w:rPr>
        <w:t>. In other words</w:t>
      </w:r>
      <w:r>
        <w:rPr>
          <w:rFonts w:ascii="Times New Roman" w:hAnsi="Times New Roman" w:cs="Times New Roman"/>
          <w:sz w:val="24"/>
          <w:szCs w:val="24"/>
        </w:rPr>
        <w:t xml:space="preserve">, </w:t>
      </w:r>
      <w:r w:rsidR="001D22CE">
        <w:rPr>
          <w:rFonts w:ascii="Times New Roman" w:hAnsi="Times New Roman" w:cs="Times New Roman"/>
          <w:sz w:val="24"/>
          <w:szCs w:val="24"/>
        </w:rPr>
        <w:t xml:space="preserve">in unexpected business failure situations if a </w:t>
      </w:r>
      <w:r>
        <w:rPr>
          <w:rFonts w:ascii="Times New Roman" w:hAnsi="Times New Roman" w:cs="Times New Roman"/>
          <w:sz w:val="24"/>
          <w:szCs w:val="24"/>
        </w:rPr>
        <w:t xml:space="preserve">particular Islamic bank loses money </w:t>
      </w:r>
      <w:r w:rsidR="001D22CE">
        <w:rPr>
          <w:rFonts w:ascii="Times New Roman" w:hAnsi="Times New Roman" w:cs="Times New Roman"/>
          <w:sz w:val="24"/>
          <w:szCs w:val="24"/>
        </w:rPr>
        <w:t>then it won’</w:t>
      </w:r>
      <w:r>
        <w:rPr>
          <w:rFonts w:ascii="Times New Roman" w:hAnsi="Times New Roman" w:cs="Times New Roman"/>
          <w:sz w:val="24"/>
          <w:szCs w:val="24"/>
        </w:rPr>
        <w:t>t be liable to pay anything to the customers. Thus both these banks are</w:t>
      </w:r>
      <w:r w:rsidRPr="00C14413">
        <w:rPr>
          <w:rFonts w:ascii="Times New Roman" w:hAnsi="Times New Roman" w:cs="Times New Roman"/>
          <w:sz w:val="24"/>
          <w:szCs w:val="24"/>
        </w:rPr>
        <w:t xml:space="preserve"> the key players in the economy in the context of capital formation</w:t>
      </w:r>
      <w:r w:rsidRPr="00C14413">
        <w:rPr>
          <w:rFonts w:ascii="Times New Roman" w:hAnsi="Times New Roman" w:cs="Times New Roman"/>
          <w:sz w:val="24"/>
          <w:szCs w:val="24"/>
          <w:shd w:val="clear" w:color="auto" w:fill="FFFFFF"/>
        </w:rPr>
        <w:t xml:space="preserve"> (Suresh and Bardastani, 2016)</w:t>
      </w:r>
      <w:r>
        <w:rPr>
          <w:rFonts w:ascii="Times New Roman" w:hAnsi="Times New Roman" w:cs="Times New Roman"/>
          <w:sz w:val="24"/>
          <w:szCs w:val="24"/>
        </w:rPr>
        <w:t>. Considering that the banking system around the world has undergone several turbulen</w:t>
      </w:r>
      <w:r w:rsidR="001F4974">
        <w:rPr>
          <w:rFonts w:ascii="Times New Roman" w:hAnsi="Times New Roman" w:cs="Times New Roman"/>
          <w:sz w:val="24"/>
          <w:szCs w:val="24"/>
        </w:rPr>
        <w:t>t periods,</w:t>
      </w:r>
      <w:r>
        <w:rPr>
          <w:rFonts w:ascii="Times New Roman" w:hAnsi="Times New Roman" w:cs="Times New Roman"/>
          <w:sz w:val="24"/>
          <w:szCs w:val="24"/>
        </w:rPr>
        <w:t xml:space="preserve"> due to economic misbalances in the global economy, and both Islamic and conventional banks are no exception to this downtrend, it is important to obtain information regarding their financial performances. </w:t>
      </w:r>
    </w:p>
    <w:p w:rsidR="00B967B6" w:rsidRDefault="00B967B6" w:rsidP="00B967B6">
      <w:pPr>
        <w:pStyle w:val="Heading2"/>
        <w:spacing w:line="480" w:lineRule="auto"/>
      </w:pPr>
      <w:bookmarkStart w:id="17" w:name="_Toc1720317"/>
      <w:bookmarkStart w:id="18" w:name="_Toc2075016"/>
      <w:r w:rsidRPr="00F11E24">
        <w:t>Purpose of the Study</w:t>
      </w:r>
      <w:bookmarkEnd w:id="17"/>
      <w:bookmarkEnd w:id="18"/>
    </w:p>
    <w:p w:rsidR="00B967B6" w:rsidRDefault="00B967B6" w:rsidP="00B967B6">
      <w:pPr>
        <w:spacing w:line="480" w:lineRule="auto"/>
        <w:ind w:firstLine="720"/>
        <w:rPr>
          <w:rFonts w:ascii="Times New Roman" w:hAnsi="Times New Roman" w:cs="Times New Roman"/>
          <w:sz w:val="24"/>
          <w:szCs w:val="24"/>
        </w:rPr>
      </w:pPr>
      <w:r w:rsidRPr="00F11E24">
        <w:rPr>
          <w:rFonts w:ascii="Times New Roman" w:hAnsi="Times New Roman" w:cs="Times New Roman"/>
          <w:sz w:val="24"/>
          <w:szCs w:val="24"/>
        </w:rPr>
        <w:t>Th</w:t>
      </w:r>
      <w:r>
        <w:rPr>
          <w:rFonts w:ascii="Times New Roman" w:hAnsi="Times New Roman" w:cs="Times New Roman"/>
          <w:sz w:val="24"/>
          <w:szCs w:val="24"/>
        </w:rPr>
        <w:t>e purpose of this research study stems from the challenge to identify the difference between the financial performance of Islamic and conventional banks, using certain financial indicators. Considering that use of financial ratios is most significant to estimate the financial performance, the main aim of this paper is to display the distribution of financial resources of the banking structures. The performance of banks affects all people, whether they are directly or indirectly associated with the banking transactions. Also, stakeholders and investors benefit</w:t>
      </w:r>
      <w:r w:rsidR="001F4974">
        <w:rPr>
          <w:rFonts w:ascii="Times New Roman" w:hAnsi="Times New Roman" w:cs="Times New Roman"/>
          <w:sz w:val="24"/>
          <w:szCs w:val="24"/>
        </w:rPr>
        <w:t>,</w:t>
      </w:r>
      <w:r>
        <w:rPr>
          <w:rFonts w:ascii="Times New Roman" w:hAnsi="Times New Roman" w:cs="Times New Roman"/>
          <w:sz w:val="24"/>
          <w:szCs w:val="24"/>
        </w:rPr>
        <w:t xml:space="preserve"> by assessing the performanc</w:t>
      </w:r>
      <w:r w:rsidRPr="00271812">
        <w:rPr>
          <w:rFonts w:ascii="Times New Roman" w:hAnsi="Times New Roman" w:cs="Times New Roman"/>
          <w:sz w:val="24"/>
          <w:szCs w:val="24"/>
        </w:rPr>
        <w:t>e of banks so as to obtain information regarding their decisions on investments</w:t>
      </w:r>
      <w:r w:rsidRPr="00271812">
        <w:rPr>
          <w:rFonts w:ascii="Times New Roman" w:hAnsi="Times New Roman" w:cs="Times New Roman"/>
          <w:sz w:val="24"/>
          <w:szCs w:val="24"/>
          <w:shd w:val="clear" w:color="auto" w:fill="FFFFFF"/>
        </w:rPr>
        <w:t xml:space="preserve"> (Javaria, 2016)</w:t>
      </w:r>
      <w:r>
        <w:rPr>
          <w:rFonts w:ascii="Times New Roman" w:hAnsi="Times New Roman" w:cs="Times New Roman"/>
          <w:sz w:val="24"/>
          <w:szCs w:val="24"/>
        </w:rPr>
        <w:t>. In addition to that, the financial management benefits the banks</w:t>
      </w:r>
      <w:r w:rsidR="001F4974">
        <w:rPr>
          <w:rFonts w:ascii="Times New Roman" w:hAnsi="Times New Roman" w:cs="Times New Roman"/>
          <w:sz w:val="24"/>
          <w:szCs w:val="24"/>
        </w:rPr>
        <w:t>,</w:t>
      </w:r>
      <w:r>
        <w:rPr>
          <w:rFonts w:ascii="Times New Roman" w:hAnsi="Times New Roman" w:cs="Times New Roman"/>
          <w:sz w:val="24"/>
          <w:szCs w:val="24"/>
        </w:rPr>
        <w:t xml:space="preserve"> by identifying the issues that need to be focused on. At the same time, the depositors and lenders are also helped by knowing whether their money is in a safe place or not. This research comes to a </w:t>
      </w:r>
      <w:r>
        <w:rPr>
          <w:rFonts w:ascii="Times New Roman" w:hAnsi="Times New Roman" w:cs="Times New Roman"/>
          <w:sz w:val="24"/>
          <w:szCs w:val="24"/>
        </w:rPr>
        <w:lastRenderedPageBreak/>
        <w:t xml:space="preserve">vital step indicating the importance of principles of governances in these financial and economic institutions. This can be done by taking all legal subjects and making all ethical dealings under proper monitoring. </w:t>
      </w:r>
    </w:p>
    <w:p w:rsidR="00B967B6" w:rsidRPr="00F11E24" w:rsidRDefault="00B967B6" w:rsidP="00B967B6">
      <w:pPr>
        <w:spacing w:line="480" w:lineRule="auto"/>
        <w:ind w:firstLine="720"/>
        <w:rPr>
          <w:rFonts w:ascii="Times New Roman" w:hAnsi="Times New Roman" w:cs="Times New Roman"/>
          <w:sz w:val="24"/>
          <w:szCs w:val="24"/>
        </w:rPr>
      </w:pPr>
      <w:r>
        <w:rPr>
          <w:rFonts w:ascii="Times New Roman" w:hAnsi="Times New Roman" w:cs="Times New Roman"/>
          <w:sz w:val="24"/>
          <w:szCs w:val="24"/>
        </w:rPr>
        <w:t>This resea</w:t>
      </w:r>
      <w:r w:rsidR="001F4974">
        <w:rPr>
          <w:rFonts w:ascii="Times New Roman" w:hAnsi="Times New Roman" w:cs="Times New Roman"/>
          <w:sz w:val="24"/>
          <w:szCs w:val="24"/>
        </w:rPr>
        <w:t>rch has also carried on its stu</w:t>
      </w:r>
      <w:r>
        <w:rPr>
          <w:rFonts w:ascii="Times New Roman" w:hAnsi="Times New Roman" w:cs="Times New Roman"/>
          <w:sz w:val="24"/>
          <w:szCs w:val="24"/>
        </w:rPr>
        <w:t>dy</w:t>
      </w:r>
      <w:r w:rsidR="001F4974">
        <w:rPr>
          <w:rFonts w:ascii="Times New Roman" w:hAnsi="Times New Roman" w:cs="Times New Roman"/>
          <w:sz w:val="24"/>
          <w:szCs w:val="24"/>
        </w:rPr>
        <w:t>,</w:t>
      </w:r>
      <w:r>
        <w:rPr>
          <w:rFonts w:ascii="Times New Roman" w:hAnsi="Times New Roman" w:cs="Times New Roman"/>
          <w:sz w:val="24"/>
          <w:szCs w:val="24"/>
        </w:rPr>
        <w:t xml:space="preserve"> keeping in mind that currently the commitment of principles with regards to transparency, accountability, disclosure and responsibility is crucial. That is, in order to ensure the sustainability of the institution in an ever changing environment, this study </w:t>
      </w:r>
      <w:r w:rsidR="000650DD">
        <w:rPr>
          <w:rFonts w:ascii="Times New Roman" w:hAnsi="Times New Roman" w:cs="Times New Roman"/>
          <w:sz w:val="24"/>
          <w:szCs w:val="24"/>
        </w:rPr>
        <w:t>analysed</w:t>
      </w:r>
      <w:r>
        <w:rPr>
          <w:rFonts w:ascii="Times New Roman" w:hAnsi="Times New Roman" w:cs="Times New Roman"/>
          <w:sz w:val="24"/>
          <w:szCs w:val="24"/>
        </w:rPr>
        <w:t xml:space="preserve"> the difference between these two banking systems. Wirth access to the previous research studies, this paper assesses the concept of impact of capital adequacy</w:t>
      </w:r>
      <w:r w:rsidR="001F4974">
        <w:rPr>
          <w:rFonts w:ascii="Times New Roman" w:hAnsi="Times New Roman" w:cs="Times New Roman"/>
          <w:sz w:val="24"/>
          <w:szCs w:val="24"/>
        </w:rPr>
        <w:t>,</w:t>
      </w:r>
      <w:r>
        <w:rPr>
          <w:rFonts w:ascii="Times New Roman" w:hAnsi="Times New Roman" w:cs="Times New Roman"/>
          <w:sz w:val="24"/>
          <w:szCs w:val="24"/>
        </w:rPr>
        <w:t xml:space="preserve"> as well to know the differences in the amount of capital a bank retained </w:t>
      </w:r>
      <w:r w:rsidRPr="00271812">
        <w:rPr>
          <w:rFonts w:ascii="Times New Roman" w:hAnsi="Times New Roman" w:cs="Times New Roman"/>
          <w:sz w:val="24"/>
          <w:szCs w:val="24"/>
        </w:rPr>
        <w:t>as compared to its risk, thereby indicating the financial soundness a particular bank</w:t>
      </w:r>
      <w:r w:rsidRPr="00271812">
        <w:rPr>
          <w:rFonts w:ascii="Times New Roman" w:hAnsi="Times New Roman" w:cs="Times New Roman"/>
          <w:sz w:val="24"/>
          <w:szCs w:val="24"/>
          <w:shd w:val="clear" w:color="auto" w:fill="FFFFFF"/>
        </w:rPr>
        <w:t xml:space="preserve"> (Hossain, 2015)</w:t>
      </w:r>
      <w:r>
        <w:rPr>
          <w:rFonts w:ascii="Times New Roman" w:hAnsi="Times New Roman" w:cs="Times New Roman"/>
          <w:sz w:val="24"/>
          <w:szCs w:val="24"/>
        </w:rPr>
        <w:t>. All the conducted analysis in this study shows the findings obtained from the comparison between some selected Islamic and conventional banks. Also, the relationships between the impact of all variables of profitability and financial indicators on the financial performance</w:t>
      </w:r>
      <w:r w:rsidR="001F4974">
        <w:rPr>
          <w:rFonts w:ascii="Times New Roman" w:hAnsi="Times New Roman" w:cs="Times New Roman"/>
          <w:sz w:val="24"/>
          <w:szCs w:val="24"/>
        </w:rPr>
        <w:t>,</w:t>
      </w:r>
      <w:r>
        <w:rPr>
          <w:rFonts w:ascii="Times New Roman" w:hAnsi="Times New Roman" w:cs="Times New Roman"/>
          <w:sz w:val="24"/>
          <w:szCs w:val="24"/>
        </w:rPr>
        <w:t xml:space="preserve"> have also been discussed in this study to provide a clear picture regarding the subject matter. </w:t>
      </w:r>
    </w:p>
    <w:p w:rsidR="00B967B6" w:rsidRDefault="00B967B6" w:rsidP="00B967B6">
      <w:pPr>
        <w:pStyle w:val="Heading2"/>
        <w:spacing w:line="480" w:lineRule="auto"/>
      </w:pPr>
      <w:bookmarkStart w:id="19" w:name="_Toc1720318"/>
      <w:bookmarkStart w:id="20" w:name="_Toc2075017"/>
      <w:r>
        <w:t>Problem Statement</w:t>
      </w:r>
      <w:bookmarkEnd w:id="19"/>
      <w:bookmarkEnd w:id="20"/>
    </w:p>
    <w:p w:rsidR="00B967B6" w:rsidRDefault="00B967B6" w:rsidP="00B967B6">
      <w:pPr>
        <w:spacing w:line="480" w:lineRule="auto"/>
        <w:rPr>
          <w:rFonts w:ascii="Times New Roman" w:hAnsi="Times New Roman" w:cs="Times New Roman"/>
          <w:sz w:val="24"/>
          <w:szCs w:val="24"/>
        </w:rPr>
      </w:pPr>
      <w:r>
        <w:tab/>
      </w:r>
      <w:r w:rsidRPr="00C14413">
        <w:rPr>
          <w:rFonts w:ascii="Times New Roman" w:hAnsi="Times New Roman" w:cs="Times New Roman"/>
          <w:sz w:val="24"/>
          <w:szCs w:val="24"/>
        </w:rPr>
        <w:t>The volume of finan</w:t>
      </w:r>
      <w:r>
        <w:rPr>
          <w:rFonts w:ascii="Times New Roman" w:hAnsi="Times New Roman" w:cs="Times New Roman"/>
          <w:sz w:val="24"/>
          <w:szCs w:val="24"/>
        </w:rPr>
        <w:t>cial assets has increased in the recent times</w:t>
      </w:r>
      <w:r w:rsidR="001F4974">
        <w:rPr>
          <w:rFonts w:ascii="Times New Roman" w:hAnsi="Times New Roman" w:cs="Times New Roman"/>
          <w:sz w:val="24"/>
          <w:szCs w:val="24"/>
        </w:rPr>
        <w:t>. I</w:t>
      </w:r>
      <w:r>
        <w:rPr>
          <w:rFonts w:ascii="Times New Roman" w:hAnsi="Times New Roman" w:cs="Times New Roman"/>
          <w:sz w:val="24"/>
          <w:szCs w:val="24"/>
        </w:rPr>
        <w:t>n fact, despite recessionary trends</w:t>
      </w:r>
      <w:r w:rsidR="001F4974">
        <w:rPr>
          <w:rFonts w:ascii="Times New Roman" w:hAnsi="Times New Roman" w:cs="Times New Roman"/>
          <w:sz w:val="24"/>
          <w:szCs w:val="24"/>
        </w:rPr>
        <w:t>,</w:t>
      </w:r>
      <w:r>
        <w:rPr>
          <w:rFonts w:ascii="Times New Roman" w:hAnsi="Times New Roman" w:cs="Times New Roman"/>
          <w:sz w:val="24"/>
          <w:szCs w:val="24"/>
        </w:rPr>
        <w:t xml:space="preserve"> it has managed to increase the amount of financial investments. The customers are aware of the service quality of these banks. As a result, this has created a stiff competition, thereby impacting on the financial performance of the banks. The recent progress of Islamic banking activities has witnessed an increase in the number of financial institutions in not only Southeast Asia and Middle East countries, but also in Europe and the USA too. According to a school of thought, a lot of uncertainties are usually faced by the conventional banks and as a result, many nations of the world are considering Islamic banking structure to be well developed as compared to conventional ones. Continuing in the same vein, </w:t>
      </w:r>
      <w:r>
        <w:rPr>
          <w:rFonts w:ascii="Times New Roman" w:hAnsi="Times New Roman" w:cs="Times New Roman"/>
          <w:sz w:val="24"/>
          <w:szCs w:val="24"/>
          <w:shd w:val="clear" w:color="auto" w:fill="FFFFFF"/>
        </w:rPr>
        <w:t>Hawaldar et al. (</w:t>
      </w:r>
      <w:r w:rsidRPr="00C14413">
        <w:rPr>
          <w:rFonts w:ascii="Times New Roman" w:hAnsi="Times New Roman" w:cs="Times New Roman"/>
          <w:sz w:val="24"/>
          <w:szCs w:val="24"/>
          <w:shd w:val="clear" w:color="auto" w:fill="FFFFFF"/>
        </w:rPr>
        <w:t>2017)</w:t>
      </w:r>
      <w:r>
        <w:rPr>
          <w:rFonts w:ascii="Times New Roman" w:hAnsi="Times New Roman" w:cs="Times New Roman"/>
          <w:sz w:val="24"/>
          <w:szCs w:val="24"/>
        </w:rPr>
        <w:t xml:space="preserve"> argued that Islamic banks can be sa</w:t>
      </w:r>
      <w:r w:rsidRPr="00D94A4A">
        <w:rPr>
          <w:rFonts w:ascii="Times New Roman" w:hAnsi="Times New Roman" w:cs="Times New Roman"/>
          <w:sz w:val="24"/>
          <w:szCs w:val="24"/>
        </w:rPr>
        <w:t>id to as a strong alternative fo</w:t>
      </w:r>
      <w:r w:rsidR="00923560">
        <w:rPr>
          <w:rFonts w:ascii="Times New Roman" w:hAnsi="Times New Roman" w:cs="Times New Roman"/>
          <w:sz w:val="24"/>
          <w:szCs w:val="24"/>
        </w:rPr>
        <w:t>r the conventional banks. While</w:t>
      </w:r>
      <w:r w:rsidRPr="00D94A4A">
        <w:rPr>
          <w:rFonts w:ascii="Times New Roman" w:hAnsi="Times New Roman" w:cs="Times New Roman"/>
          <w:sz w:val="24"/>
          <w:szCs w:val="24"/>
        </w:rPr>
        <w:t xml:space="preserve"> on the other side, </w:t>
      </w:r>
      <w:r>
        <w:rPr>
          <w:rFonts w:ascii="Times New Roman" w:hAnsi="Times New Roman" w:cs="Times New Roman"/>
          <w:sz w:val="24"/>
          <w:szCs w:val="24"/>
          <w:shd w:val="clear" w:color="auto" w:fill="FFFFFF"/>
        </w:rPr>
        <w:t>Alden</w:t>
      </w:r>
      <w:r w:rsidR="00CE198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D94A4A">
        <w:rPr>
          <w:rFonts w:ascii="Times New Roman" w:hAnsi="Times New Roman" w:cs="Times New Roman"/>
          <w:sz w:val="24"/>
          <w:szCs w:val="24"/>
          <w:shd w:val="clear" w:color="auto" w:fill="FFFFFF"/>
        </w:rPr>
        <w:t>2015)</w:t>
      </w:r>
      <w:r w:rsidR="007D4D3C">
        <w:rPr>
          <w:rFonts w:ascii="Times New Roman" w:hAnsi="Times New Roman" w:cs="Times New Roman"/>
          <w:sz w:val="24"/>
          <w:szCs w:val="24"/>
          <w:shd w:val="clear" w:color="auto" w:fill="FFFFFF"/>
        </w:rPr>
        <w:t>,</w:t>
      </w:r>
      <w:r>
        <w:rPr>
          <w:rFonts w:ascii="Times New Roman" w:hAnsi="Times New Roman" w:cs="Times New Roman"/>
          <w:sz w:val="24"/>
          <w:szCs w:val="24"/>
        </w:rPr>
        <w:t xml:space="preserve"> argued that as Islamic banks are not able to charge fixed returns</w:t>
      </w:r>
      <w:r w:rsidR="001F4974">
        <w:rPr>
          <w:rFonts w:ascii="Times New Roman" w:hAnsi="Times New Roman" w:cs="Times New Roman"/>
          <w:sz w:val="24"/>
          <w:szCs w:val="24"/>
        </w:rPr>
        <w:t>,</w:t>
      </w:r>
      <w:r>
        <w:rPr>
          <w:rFonts w:ascii="Times New Roman" w:hAnsi="Times New Roman" w:cs="Times New Roman"/>
          <w:sz w:val="24"/>
          <w:szCs w:val="24"/>
        </w:rPr>
        <w:t xml:space="preserve"> irrespective of the operations of their clients, these banking structures are more risky along with volatile returns on their assets. That is to say, these banks are supposed to take more subject matter risk as compared to the conventional banks. </w:t>
      </w:r>
    </w:p>
    <w:p w:rsidR="00B967B6" w:rsidRDefault="00B967B6" w:rsidP="00B967B6">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Moreover, </w:t>
      </w:r>
      <w:r w:rsidRPr="00C12DB6">
        <w:rPr>
          <w:rFonts w:ascii="Times New Roman" w:hAnsi="Times New Roman" w:cs="Times New Roman"/>
          <w:sz w:val="24"/>
          <w:szCs w:val="24"/>
          <w:shd w:val="clear" w:color="auto" w:fill="FFFFFF"/>
        </w:rPr>
        <w:t>Kabir and Worthington (2013)</w:t>
      </w:r>
      <w:r w:rsidRPr="00C12DB6">
        <w:rPr>
          <w:rFonts w:ascii="Times New Roman" w:hAnsi="Times New Roman" w:cs="Times New Roman"/>
          <w:sz w:val="24"/>
          <w:szCs w:val="24"/>
        </w:rPr>
        <w:t xml:space="preserve"> opined that the Islamic banks have deposits in the form of savings and</w:t>
      </w:r>
      <w:r>
        <w:rPr>
          <w:rFonts w:ascii="Times New Roman" w:hAnsi="Times New Roman" w:cs="Times New Roman"/>
          <w:sz w:val="24"/>
          <w:szCs w:val="24"/>
        </w:rPr>
        <w:t xml:space="preserve"> investment accounts, and they are not obliged to offer any kind of reward to the customers as the return provided by the bank is guaranteed and hence is risk free. On the other hand, in case of investment account, though it gives a higher rate of return, yet only those customers who are willing to take risks select to do transactions in this form. However, Islamic banks do not engage in transaction with people who are risk averse and at the same time want higher return. Also, extra management burden is another factor that put these banks in a disadvantageous position. Particularly in the developing countries, where the business enterprises fail to maintain proper accounts, the problem becomes serious, thereby raising the cost of Islamic banking system. </w:t>
      </w:r>
    </w:p>
    <w:p w:rsidR="00B967B6" w:rsidRPr="00C14413" w:rsidRDefault="00B967B6" w:rsidP="00B967B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However, issues have also not been noticed in case of conventional banks. It has been observed by </w:t>
      </w:r>
      <w:r w:rsidRPr="00C12DB6">
        <w:rPr>
          <w:rFonts w:ascii="Times New Roman" w:hAnsi="Times New Roman" w:cs="Times New Roman"/>
          <w:sz w:val="24"/>
          <w:szCs w:val="24"/>
          <w:shd w:val="clear" w:color="auto" w:fill="FFFFFF"/>
        </w:rPr>
        <w:t>Sukmana and Febriyati (2016)</w:t>
      </w:r>
      <w:r w:rsidRPr="00C12DB6">
        <w:rPr>
          <w:rFonts w:ascii="Times New Roman" w:hAnsi="Times New Roman" w:cs="Times New Roman"/>
          <w:sz w:val="24"/>
          <w:szCs w:val="24"/>
        </w:rPr>
        <w:t xml:space="preserve"> that as a result of the economic tensions, these banks are not makin</w:t>
      </w:r>
      <w:r>
        <w:rPr>
          <w:rFonts w:ascii="Times New Roman" w:hAnsi="Times New Roman" w:cs="Times New Roman"/>
          <w:sz w:val="24"/>
          <w:szCs w:val="24"/>
        </w:rPr>
        <w:t xml:space="preserve">g enough money. This, in turn, has increased the pressure of banks as they are unable to deliver quality service to the customers and hence the conventional banks are failing to meet the needs and wants of the customers. Besides, the increasing competition from financial technology companies is also a problematic factor affecting the financial performance of these bank systems. Further to this, the regulatory pressure of the conventional banking system is a major portion of the discretionary budget which the banks need to spend. Nonetheless, these two banks work together in the same competitive environment, and thus face intense competition in terms of attracting potential customers and maintaining sustainability. Thus, it becomes important to observe the difference between these two banking systems in the context of their financial performance and their capital adequacy. </w:t>
      </w:r>
    </w:p>
    <w:p w:rsidR="00B967B6" w:rsidRPr="0072407A" w:rsidRDefault="00B967B6" w:rsidP="00B967B6">
      <w:pPr>
        <w:pStyle w:val="Heading2"/>
        <w:spacing w:line="480" w:lineRule="auto"/>
      </w:pPr>
      <w:bookmarkStart w:id="21" w:name="_Toc516483361"/>
      <w:bookmarkStart w:id="22" w:name="_Toc1720319"/>
      <w:bookmarkStart w:id="23" w:name="_Toc2075018"/>
      <w:r w:rsidRPr="0072407A">
        <w:t>Research Question</w:t>
      </w:r>
      <w:bookmarkEnd w:id="21"/>
      <w:r w:rsidRPr="0072407A">
        <w:t>s</w:t>
      </w:r>
      <w:bookmarkEnd w:id="22"/>
      <w:bookmarkEnd w:id="23"/>
    </w:p>
    <w:p w:rsidR="00B967B6" w:rsidRDefault="00B967B6" w:rsidP="00B967B6">
      <w:pPr>
        <w:spacing w:line="480" w:lineRule="auto"/>
        <w:ind w:firstLine="360"/>
        <w:rPr>
          <w:rFonts w:ascii="Times New Roman" w:hAnsi="Times New Roman" w:cs="Times New Roman"/>
          <w:sz w:val="24"/>
          <w:szCs w:val="24"/>
        </w:rPr>
      </w:pPr>
      <w:r w:rsidRPr="00304704">
        <w:rPr>
          <w:rFonts w:ascii="Times New Roman" w:hAnsi="Times New Roman" w:cs="Times New Roman"/>
          <w:sz w:val="24"/>
          <w:szCs w:val="24"/>
        </w:rPr>
        <w:t>The research questions of this study would be as follows</w:t>
      </w:r>
      <w:r>
        <w:rPr>
          <w:rFonts w:ascii="Times New Roman" w:hAnsi="Times New Roman" w:cs="Times New Roman"/>
          <w:sz w:val="24"/>
          <w:szCs w:val="24"/>
        </w:rPr>
        <w:t>:</w:t>
      </w:r>
    </w:p>
    <w:p w:rsidR="00B967B6" w:rsidRDefault="00B967B6" w:rsidP="00B967B6">
      <w:pPr>
        <w:pStyle w:val="ListParagraph"/>
        <w:numPr>
          <w:ilvl w:val="0"/>
          <w:numId w:val="1"/>
        </w:numPr>
        <w:spacing w:line="480" w:lineRule="auto"/>
        <w:rPr>
          <w:rFonts w:ascii="Times New Roman" w:hAnsi="Times New Roman" w:cs="Times New Roman"/>
          <w:sz w:val="24"/>
          <w:szCs w:val="24"/>
        </w:rPr>
      </w:pPr>
      <w:r w:rsidRPr="008A349A">
        <w:rPr>
          <w:rFonts w:ascii="Times New Roman" w:hAnsi="Times New Roman" w:cs="Times New Roman"/>
          <w:sz w:val="24"/>
          <w:szCs w:val="24"/>
        </w:rPr>
        <w:t xml:space="preserve"> How internal factors including Operating Efficiency, Bank Size and Financial risk influence the profitability and performance rate of Islamic and Conventional banks?</w:t>
      </w:r>
    </w:p>
    <w:p w:rsidR="00B967B6" w:rsidRPr="008A349A" w:rsidRDefault="00B967B6" w:rsidP="00B967B6">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What is the difference </w:t>
      </w:r>
      <w:r w:rsidR="007D4D3C">
        <w:rPr>
          <w:rFonts w:ascii="Times New Roman" w:hAnsi="Times New Roman" w:cs="Times New Roman"/>
          <w:sz w:val="24"/>
          <w:szCs w:val="24"/>
        </w:rPr>
        <w:t>between the banking systems of Conventional and Islamic structure in terms of</w:t>
      </w:r>
      <w:r>
        <w:rPr>
          <w:rFonts w:ascii="Times New Roman" w:hAnsi="Times New Roman" w:cs="Times New Roman"/>
          <w:sz w:val="24"/>
          <w:szCs w:val="24"/>
        </w:rPr>
        <w:t xml:space="preserve"> financial performance?</w:t>
      </w:r>
    </w:p>
    <w:p w:rsidR="00B967B6" w:rsidRDefault="008E61AF" w:rsidP="00B967B6">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How the </w:t>
      </w:r>
      <w:r w:rsidR="00B967B6">
        <w:rPr>
          <w:rFonts w:ascii="Times New Roman" w:hAnsi="Times New Roman" w:cs="Times New Roman"/>
          <w:sz w:val="24"/>
          <w:szCs w:val="24"/>
        </w:rPr>
        <w:t>effect</w:t>
      </w:r>
      <w:r>
        <w:rPr>
          <w:rFonts w:ascii="Times New Roman" w:hAnsi="Times New Roman" w:cs="Times New Roman"/>
          <w:sz w:val="24"/>
          <w:szCs w:val="24"/>
        </w:rPr>
        <w:t>s</w:t>
      </w:r>
      <w:r w:rsidR="00B967B6">
        <w:rPr>
          <w:rFonts w:ascii="Times New Roman" w:hAnsi="Times New Roman" w:cs="Times New Roman"/>
          <w:sz w:val="24"/>
          <w:szCs w:val="24"/>
        </w:rPr>
        <w:t xml:space="preserve"> of financial ratios on productivity </w:t>
      </w:r>
      <w:r>
        <w:rPr>
          <w:rFonts w:ascii="Times New Roman" w:hAnsi="Times New Roman" w:cs="Times New Roman"/>
          <w:sz w:val="24"/>
          <w:szCs w:val="24"/>
        </w:rPr>
        <w:t xml:space="preserve">differ in </w:t>
      </w:r>
      <w:r w:rsidR="00B967B6">
        <w:rPr>
          <w:rFonts w:ascii="Times New Roman" w:hAnsi="Times New Roman" w:cs="Times New Roman"/>
          <w:sz w:val="24"/>
          <w:szCs w:val="24"/>
        </w:rPr>
        <w:t xml:space="preserve">Islamic and Conventional banks? </w:t>
      </w:r>
    </w:p>
    <w:p w:rsidR="00B967B6" w:rsidRDefault="00B967B6" w:rsidP="00B967B6">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What is the </w:t>
      </w:r>
      <w:r w:rsidR="004D2E81">
        <w:rPr>
          <w:rFonts w:ascii="Times New Roman" w:hAnsi="Times New Roman" w:cs="Times New Roman"/>
          <w:sz w:val="24"/>
          <w:szCs w:val="24"/>
        </w:rPr>
        <w:t xml:space="preserve">difference of financial performance in the context of </w:t>
      </w:r>
      <w:r>
        <w:rPr>
          <w:rFonts w:ascii="Times New Roman" w:hAnsi="Times New Roman" w:cs="Times New Roman"/>
          <w:sz w:val="24"/>
          <w:szCs w:val="24"/>
        </w:rPr>
        <w:t xml:space="preserve">Capital Adequacy </w:t>
      </w:r>
      <w:r w:rsidR="004D2E81">
        <w:rPr>
          <w:rFonts w:ascii="Times New Roman" w:hAnsi="Times New Roman" w:cs="Times New Roman"/>
          <w:sz w:val="24"/>
          <w:szCs w:val="24"/>
        </w:rPr>
        <w:t xml:space="preserve">impact in </w:t>
      </w:r>
      <w:r>
        <w:rPr>
          <w:rFonts w:ascii="Times New Roman" w:hAnsi="Times New Roman" w:cs="Times New Roman"/>
          <w:sz w:val="24"/>
          <w:szCs w:val="24"/>
        </w:rPr>
        <w:t xml:space="preserve">both </w:t>
      </w:r>
      <w:r w:rsidR="004D2E81">
        <w:rPr>
          <w:rFonts w:ascii="Times New Roman" w:hAnsi="Times New Roman" w:cs="Times New Roman"/>
          <w:sz w:val="24"/>
          <w:szCs w:val="24"/>
        </w:rPr>
        <w:t>of the</w:t>
      </w:r>
      <w:r>
        <w:rPr>
          <w:rFonts w:ascii="Times New Roman" w:hAnsi="Times New Roman" w:cs="Times New Roman"/>
          <w:sz w:val="24"/>
          <w:szCs w:val="24"/>
        </w:rPr>
        <w:t xml:space="preserve"> banking systems?</w:t>
      </w:r>
    </w:p>
    <w:p w:rsidR="00B967B6" w:rsidRPr="0072407A" w:rsidRDefault="00B967B6" w:rsidP="00B967B6">
      <w:pPr>
        <w:pStyle w:val="Heading2"/>
        <w:spacing w:line="480" w:lineRule="auto"/>
      </w:pPr>
      <w:bookmarkStart w:id="24" w:name="_Toc516483362"/>
      <w:bookmarkStart w:id="25" w:name="_Toc1720320"/>
      <w:bookmarkStart w:id="26" w:name="_Toc2075019"/>
      <w:r w:rsidRPr="0072407A">
        <w:t>Research Hypothesis</w:t>
      </w:r>
      <w:bookmarkEnd w:id="24"/>
      <w:bookmarkEnd w:id="25"/>
      <w:bookmarkEnd w:id="26"/>
    </w:p>
    <w:p w:rsidR="00B967B6" w:rsidRDefault="0024481A" w:rsidP="00B967B6">
      <w:pPr>
        <w:spacing w:line="480" w:lineRule="auto"/>
        <w:ind w:firstLine="360"/>
        <w:rPr>
          <w:rFonts w:ascii="Times New Roman" w:hAnsi="Times New Roman" w:cs="Times New Roman"/>
          <w:sz w:val="24"/>
          <w:szCs w:val="24"/>
        </w:rPr>
      </w:pPr>
      <w:r>
        <w:rPr>
          <w:rFonts w:ascii="Times New Roman" w:hAnsi="Times New Roman" w:cs="Times New Roman"/>
          <w:sz w:val="24"/>
          <w:szCs w:val="24"/>
        </w:rPr>
        <w:t>T</w:t>
      </w:r>
      <w:r w:rsidR="00B967B6">
        <w:rPr>
          <w:rFonts w:ascii="Times New Roman" w:hAnsi="Times New Roman" w:cs="Times New Roman"/>
          <w:sz w:val="24"/>
          <w:szCs w:val="24"/>
        </w:rPr>
        <w:t>he following research h</w:t>
      </w:r>
      <w:r>
        <w:rPr>
          <w:rFonts w:ascii="Times New Roman" w:hAnsi="Times New Roman" w:cs="Times New Roman"/>
          <w:sz w:val="24"/>
          <w:szCs w:val="24"/>
        </w:rPr>
        <w:t>ypotheses have been formulated on the basis of the research questions discussed above:</w:t>
      </w:r>
    </w:p>
    <w:p w:rsidR="00B967B6" w:rsidRPr="008A349A" w:rsidRDefault="00B967B6" w:rsidP="00B967B6">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H</w:t>
      </w:r>
      <w:r w:rsidRPr="006D01A5">
        <w:rPr>
          <w:rFonts w:ascii="Times New Roman" w:hAnsi="Times New Roman" w:cs="Times New Roman"/>
          <w:sz w:val="24"/>
          <w:szCs w:val="24"/>
          <w:vertAlign w:val="subscript"/>
        </w:rPr>
        <w:t>1</w:t>
      </w:r>
      <w:r>
        <w:rPr>
          <w:rFonts w:ascii="Times New Roman" w:hAnsi="Times New Roman" w:cs="Times New Roman"/>
          <w:sz w:val="24"/>
          <w:szCs w:val="24"/>
        </w:rPr>
        <w:t xml:space="preserve">:  Internal Factors such as Operating Efficiency, Bank Size and Financial Risk influence significantly on the financial performance of Islamic and Conventional banks </w:t>
      </w:r>
    </w:p>
    <w:p w:rsidR="00B967B6" w:rsidRDefault="00B967B6" w:rsidP="00B967B6">
      <w:pPr>
        <w:pStyle w:val="ListParagraph"/>
        <w:numPr>
          <w:ilvl w:val="0"/>
          <w:numId w:val="2"/>
        </w:numPr>
        <w:spacing w:line="480" w:lineRule="auto"/>
        <w:rPr>
          <w:rFonts w:ascii="Times New Roman" w:hAnsi="Times New Roman" w:cs="Times New Roman"/>
          <w:sz w:val="24"/>
          <w:szCs w:val="24"/>
        </w:rPr>
      </w:pPr>
      <w:r w:rsidRPr="008A349A">
        <w:rPr>
          <w:rFonts w:ascii="Times New Roman" w:hAnsi="Times New Roman" w:cs="Times New Roman"/>
          <w:sz w:val="24"/>
          <w:szCs w:val="24"/>
        </w:rPr>
        <w:t>H</w:t>
      </w:r>
      <w:r w:rsidRPr="008A349A">
        <w:rPr>
          <w:rFonts w:ascii="Times New Roman" w:hAnsi="Times New Roman" w:cs="Times New Roman"/>
          <w:sz w:val="24"/>
          <w:szCs w:val="24"/>
          <w:vertAlign w:val="subscript"/>
        </w:rPr>
        <w:t>2</w:t>
      </w:r>
      <w:r w:rsidRPr="008A349A">
        <w:rPr>
          <w:rFonts w:ascii="Times New Roman" w:hAnsi="Times New Roman" w:cs="Times New Roman"/>
          <w:sz w:val="24"/>
          <w:szCs w:val="24"/>
        </w:rPr>
        <w:t xml:space="preserve">: </w:t>
      </w:r>
      <w:r>
        <w:rPr>
          <w:rFonts w:ascii="Times New Roman" w:hAnsi="Times New Roman" w:cs="Times New Roman"/>
          <w:sz w:val="24"/>
          <w:szCs w:val="24"/>
        </w:rPr>
        <w:t xml:space="preserve">Islamic Banking differ noticeably in terms of financial performance compared with Conventional Banking  </w:t>
      </w:r>
    </w:p>
    <w:p w:rsidR="00B967B6" w:rsidRPr="008A349A" w:rsidRDefault="00B967B6" w:rsidP="00B967B6">
      <w:pPr>
        <w:pStyle w:val="ListParagraph"/>
        <w:numPr>
          <w:ilvl w:val="0"/>
          <w:numId w:val="3"/>
        </w:numPr>
        <w:spacing w:line="480" w:lineRule="auto"/>
        <w:rPr>
          <w:rFonts w:ascii="Times New Roman" w:hAnsi="Times New Roman" w:cs="Times New Roman"/>
          <w:sz w:val="24"/>
          <w:szCs w:val="24"/>
        </w:rPr>
      </w:pPr>
      <w:r w:rsidRPr="008A349A">
        <w:rPr>
          <w:rFonts w:ascii="Times New Roman" w:hAnsi="Times New Roman" w:cs="Times New Roman"/>
          <w:sz w:val="24"/>
          <w:szCs w:val="24"/>
        </w:rPr>
        <w:t>H</w:t>
      </w:r>
      <w:r w:rsidRPr="008A349A">
        <w:rPr>
          <w:rFonts w:ascii="Times New Roman" w:hAnsi="Times New Roman" w:cs="Times New Roman"/>
          <w:sz w:val="24"/>
          <w:szCs w:val="24"/>
          <w:vertAlign w:val="subscript"/>
        </w:rPr>
        <w:t>3</w:t>
      </w:r>
      <w:r w:rsidRPr="008A349A">
        <w:rPr>
          <w:rFonts w:ascii="Times New Roman" w:hAnsi="Times New Roman" w:cs="Times New Roman"/>
          <w:sz w:val="24"/>
          <w:szCs w:val="24"/>
        </w:rPr>
        <w:t xml:space="preserve">: </w:t>
      </w:r>
      <w:r>
        <w:rPr>
          <w:rFonts w:ascii="Times New Roman" w:hAnsi="Times New Roman" w:cs="Times New Roman"/>
          <w:sz w:val="24"/>
          <w:szCs w:val="24"/>
        </w:rPr>
        <w:t>Capital Adequacy impact</w:t>
      </w:r>
      <w:r w:rsidR="002D4443">
        <w:rPr>
          <w:rFonts w:ascii="Times New Roman" w:hAnsi="Times New Roman" w:cs="Times New Roman"/>
          <w:sz w:val="24"/>
          <w:szCs w:val="24"/>
        </w:rPr>
        <w:t>s</w:t>
      </w:r>
      <w:r>
        <w:rPr>
          <w:rFonts w:ascii="Times New Roman" w:hAnsi="Times New Roman" w:cs="Times New Roman"/>
          <w:sz w:val="24"/>
          <w:szCs w:val="24"/>
        </w:rPr>
        <w:t xml:space="preserve"> significantly on the financial performance of Islamic as well as Conventional banks</w:t>
      </w:r>
    </w:p>
    <w:p w:rsidR="00B967B6" w:rsidRDefault="00B967B6" w:rsidP="00B967B6">
      <w:pPr>
        <w:pStyle w:val="Heading2"/>
        <w:spacing w:line="480" w:lineRule="auto"/>
      </w:pPr>
      <w:bookmarkStart w:id="27" w:name="_Toc1720321"/>
      <w:bookmarkStart w:id="28" w:name="_Toc2075020"/>
      <w:r>
        <w:t>Objectives of the Study</w:t>
      </w:r>
      <w:bookmarkEnd w:id="27"/>
      <w:bookmarkEnd w:id="28"/>
    </w:p>
    <w:p w:rsidR="00B967B6" w:rsidRDefault="00B967B6" w:rsidP="00B967B6">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The primary aim is to evaluate the financial productivity of both Islamic and Conventional banks depending on financial ratios. The secondary objectives include as follows: </w:t>
      </w:r>
    </w:p>
    <w:p w:rsidR="00B967B6" w:rsidRDefault="00B967B6" w:rsidP="00B967B6">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To determine the internal factors such as Operating Efficiency, Bank Size and Financial Risk that influence the financial performance of Islamic and Conventional banks </w:t>
      </w:r>
    </w:p>
    <w:p w:rsidR="00B967B6" w:rsidRDefault="00B967B6" w:rsidP="00B967B6">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To analyze Islamic Banking differ in terms of financial performance compared with Conventional Banking  </w:t>
      </w:r>
    </w:p>
    <w:p w:rsidR="00B967B6" w:rsidRDefault="00B967B6" w:rsidP="00B967B6">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To </w:t>
      </w:r>
      <w:r w:rsidR="00CC73CB">
        <w:rPr>
          <w:rFonts w:ascii="Times New Roman" w:hAnsi="Times New Roman" w:cs="Times New Roman"/>
          <w:sz w:val="24"/>
          <w:szCs w:val="24"/>
        </w:rPr>
        <w:t>evaluate</w:t>
      </w:r>
      <w:r>
        <w:rPr>
          <w:rFonts w:ascii="Times New Roman" w:hAnsi="Times New Roman" w:cs="Times New Roman"/>
          <w:sz w:val="24"/>
          <w:szCs w:val="24"/>
        </w:rPr>
        <w:t xml:space="preserve"> the </w:t>
      </w:r>
      <w:r w:rsidR="00CC73CB">
        <w:rPr>
          <w:rFonts w:ascii="Times New Roman" w:hAnsi="Times New Roman" w:cs="Times New Roman"/>
          <w:sz w:val="24"/>
          <w:szCs w:val="24"/>
        </w:rPr>
        <w:t xml:space="preserve">difference </w:t>
      </w:r>
      <w:r>
        <w:rPr>
          <w:rFonts w:ascii="Times New Roman" w:hAnsi="Times New Roman" w:cs="Times New Roman"/>
          <w:sz w:val="24"/>
          <w:szCs w:val="24"/>
        </w:rPr>
        <w:t>of Capital Adequacy</w:t>
      </w:r>
      <w:r w:rsidR="00CC73CB">
        <w:rPr>
          <w:rFonts w:ascii="Times New Roman" w:hAnsi="Times New Roman" w:cs="Times New Roman"/>
          <w:sz w:val="24"/>
          <w:szCs w:val="24"/>
        </w:rPr>
        <w:t xml:space="preserve"> impact</w:t>
      </w:r>
      <w:r>
        <w:rPr>
          <w:rFonts w:ascii="Times New Roman" w:hAnsi="Times New Roman" w:cs="Times New Roman"/>
          <w:sz w:val="24"/>
          <w:szCs w:val="24"/>
        </w:rPr>
        <w:t xml:space="preserve"> on the financial performance of Islamic as well as Conventional Banks</w:t>
      </w:r>
    </w:p>
    <w:p w:rsidR="00B967B6" w:rsidRDefault="00B967B6" w:rsidP="00B967B6">
      <w:pPr>
        <w:pStyle w:val="Heading2"/>
        <w:spacing w:line="480" w:lineRule="auto"/>
      </w:pPr>
      <w:bookmarkStart w:id="29" w:name="_Toc1720322"/>
      <w:bookmarkStart w:id="30" w:name="_Toc2075021"/>
      <w:r>
        <w:t>Scope of the Study</w:t>
      </w:r>
      <w:bookmarkEnd w:id="29"/>
      <w:bookmarkEnd w:id="30"/>
    </w:p>
    <w:p w:rsidR="00B967B6" w:rsidRDefault="004C0CB3" w:rsidP="00B967B6">
      <w:pPr>
        <w:spacing w:line="480" w:lineRule="auto"/>
        <w:ind w:firstLine="720"/>
        <w:rPr>
          <w:rFonts w:ascii="Times New Roman" w:hAnsi="Times New Roman" w:cs="Times New Roman"/>
          <w:sz w:val="24"/>
          <w:szCs w:val="24"/>
        </w:rPr>
      </w:pPr>
      <w:r>
        <w:rPr>
          <w:rFonts w:ascii="Times New Roman" w:hAnsi="Times New Roman" w:cs="Times New Roman"/>
          <w:sz w:val="24"/>
          <w:szCs w:val="24"/>
        </w:rPr>
        <w:t>This study seeks to analys</w:t>
      </w:r>
      <w:r w:rsidR="00B967B6">
        <w:rPr>
          <w:rFonts w:ascii="Times New Roman" w:hAnsi="Times New Roman" w:cs="Times New Roman"/>
          <w:sz w:val="24"/>
          <w:szCs w:val="24"/>
        </w:rPr>
        <w:t>e the differences in the financial performance of Islamic and conventional banking systems</w:t>
      </w:r>
      <w:r w:rsidR="004E4B01">
        <w:rPr>
          <w:rFonts w:ascii="Times New Roman" w:hAnsi="Times New Roman" w:cs="Times New Roman"/>
          <w:sz w:val="24"/>
          <w:szCs w:val="24"/>
        </w:rPr>
        <w:t>,</w:t>
      </w:r>
      <w:r w:rsidR="00B967B6">
        <w:rPr>
          <w:rFonts w:ascii="Times New Roman" w:hAnsi="Times New Roman" w:cs="Times New Roman"/>
          <w:sz w:val="24"/>
          <w:szCs w:val="24"/>
        </w:rPr>
        <w:t xml:space="preserve"> for </w:t>
      </w:r>
      <w:r w:rsidR="004E4B01">
        <w:rPr>
          <w:rFonts w:ascii="Times New Roman" w:hAnsi="Times New Roman" w:cs="Times New Roman"/>
          <w:sz w:val="24"/>
          <w:szCs w:val="24"/>
        </w:rPr>
        <w:t xml:space="preserve">the </w:t>
      </w:r>
      <w:r w:rsidR="00B967B6">
        <w:rPr>
          <w:rFonts w:ascii="Times New Roman" w:hAnsi="Times New Roman" w:cs="Times New Roman"/>
          <w:sz w:val="24"/>
          <w:szCs w:val="24"/>
        </w:rPr>
        <w:t xml:space="preserve">past </w:t>
      </w:r>
      <w:r w:rsidR="000D2F10">
        <w:rPr>
          <w:rFonts w:ascii="Times New Roman" w:hAnsi="Times New Roman" w:cs="Times New Roman"/>
          <w:sz w:val="24"/>
          <w:szCs w:val="24"/>
        </w:rPr>
        <w:t>six</w:t>
      </w:r>
      <w:r w:rsidR="00B967B6">
        <w:rPr>
          <w:rFonts w:ascii="Times New Roman" w:hAnsi="Times New Roman" w:cs="Times New Roman"/>
          <w:sz w:val="24"/>
          <w:szCs w:val="24"/>
        </w:rPr>
        <w:t xml:space="preserve"> financial years, 2012 to 2017. On the basis of the performances and findings from the data analysis, if any questions arise</w:t>
      </w:r>
      <w:r w:rsidR="004E4B01">
        <w:rPr>
          <w:rFonts w:ascii="Times New Roman" w:hAnsi="Times New Roman" w:cs="Times New Roman"/>
          <w:sz w:val="24"/>
          <w:szCs w:val="24"/>
        </w:rPr>
        <w:t xml:space="preserve"> they</w:t>
      </w:r>
      <w:r w:rsidR="00B967B6">
        <w:rPr>
          <w:rFonts w:ascii="Times New Roman" w:hAnsi="Times New Roman" w:cs="Times New Roman"/>
          <w:sz w:val="24"/>
          <w:szCs w:val="24"/>
        </w:rPr>
        <w:t xml:space="preserve"> would be answered. For instance, it would be </w:t>
      </w:r>
      <w:r w:rsidR="00B967B6">
        <w:rPr>
          <w:rFonts w:ascii="Times New Roman" w:hAnsi="Times New Roman" w:cs="Times New Roman"/>
          <w:sz w:val="24"/>
          <w:szCs w:val="24"/>
        </w:rPr>
        <w:lastRenderedPageBreak/>
        <w:t>clearly concluded whether Islamic or Conventional banking system has performed better during this time period. In addition to this, the study would also focus on the information regarding the differences in the behavio</w:t>
      </w:r>
      <w:r w:rsidR="00224908">
        <w:rPr>
          <w:rFonts w:ascii="Times New Roman" w:hAnsi="Times New Roman" w:cs="Times New Roman"/>
          <w:sz w:val="24"/>
          <w:szCs w:val="24"/>
        </w:rPr>
        <w:t>u</w:t>
      </w:r>
      <w:r w:rsidR="00B967B6">
        <w:rPr>
          <w:rFonts w:ascii="Times New Roman" w:hAnsi="Times New Roman" w:cs="Times New Roman"/>
          <w:sz w:val="24"/>
          <w:szCs w:val="24"/>
        </w:rPr>
        <w:t>r of both these banking structures during the Brexit issue. Finding a valid and proper answer to all these questions would not only be useful but also crucial</w:t>
      </w:r>
      <w:r w:rsidR="004E4B01">
        <w:rPr>
          <w:rFonts w:ascii="Times New Roman" w:hAnsi="Times New Roman" w:cs="Times New Roman"/>
          <w:sz w:val="24"/>
          <w:szCs w:val="24"/>
        </w:rPr>
        <w:t>,</w:t>
      </w:r>
      <w:r w:rsidR="00B967B6">
        <w:rPr>
          <w:rFonts w:ascii="Times New Roman" w:hAnsi="Times New Roman" w:cs="Times New Roman"/>
          <w:sz w:val="24"/>
          <w:szCs w:val="24"/>
        </w:rPr>
        <w:t xml:space="preserve"> not only for these banking systems, but also to the global economy as well. Moreover, the study would also highlight the impact of capital adequacy on the financial performance of these two banking systems. </w:t>
      </w:r>
    </w:p>
    <w:p w:rsidR="00B967B6" w:rsidRDefault="00B967B6" w:rsidP="00B967B6">
      <w:pPr>
        <w:spacing w:line="480" w:lineRule="auto"/>
        <w:ind w:firstLine="720"/>
      </w:pPr>
      <w:r>
        <w:rPr>
          <w:rFonts w:ascii="Times New Roman" w:hAnsi="Times New Roman" w:cs="Times New Roman"/>
          <w:sz w:val="24"/>
          <w:szCs w:val="24"/>
        </w:rPr>
        <w:t xml:space="preserve">With the help of certain financial ratios these differences would not only answer the queries regarding the extent off capital formation of these banks, but also would highlight the selection of banks from the perspectives of customers. Furthermore, the study would also determine the difference between the influences of significant internal factors on the financial performance. This study can further be conducted to know the banking feasibility and the differences in the extent of acceptance of the products and services of both these banking systems. Though this study would work considering five banks from each system, for a more descriptive picture, more number of Islamic and conventional financial institutions can be considered. Thus, this study has a wide range of opportunity in the field of further research and studies. </w:t>
      </w:r>
    </w:p>
    <w:p w:rsidR="00B967B6" w:rsidRPr="00D02383" w:rsidRDefault="00B967B6" w:rsidP="00D02383">
      <w:pPr>
        <w:pStyle w:val="Heading1"/>
        <w:spacing w:line="600" w:lineRule="auto"/>
        <w:rPr>
          <w:color w:val="auto"/>
        </w:rPr>
      </w:pPr>
      <w:bookmarkStart w:id="31" w:name="_Toc1723546"/>
      <w:bookmarkStart w:id="32" w:name="_Toc2075022"/>
      <w:r w:rsidRPr="00D02383">
        <w:rPr>
          <w:color w:val="auto"/>
        </w:rPr>
        <w:t>Chapter 2: Literature Review</w:t>
      </w:r>
      <w:bookmarkEnd w:id="31"/>
      <w:bookmarkEnd w:id="32"/>
    </w:p>
    <w:p w:rsidR="00B967B6" w:rsidRPr="005E2054" w:rsidRDefault="00B967B6" w:rsidP="00B967B6">
      <w:pPr>
        <w:spacing w:line="480" w:lineRule="auto"/>
        <w:ind w:firstLine="720"/>
        <w:rPr>
          <w:rFonts w:ascii="Times New Roman" w:hAnsi="Times New Roman" w:cs="Times New Roman"/>
          <w:sz w:val="24"/>
          <w:szCs w:val="24"/>
        </w:rPr>
      </w:pPr>
      <w:r w:rsidRPr="005E2054">
        <w:rPr>
          <w:rFonts w:ascii="Times New Roman" w:hAnsi="Times New Roman" w:cs="Times New Roman"/>
          <w:sz w:val="24"/>
          <w:szCs w:val="24"/>
        </w:rPr>
        <w:t>The main pillar of economic activities in any country is built on the stability and smooth functions of the</w:t>
      </w:r>
      <w:r w:rsidR="004E4B01">
        <w:rPr>
          <w:rFonts w:ascii="Times New Roman" w:hAnsi="Times New Roman" w:cs="Times New Roman"/>
          <w:sz w:val="24"/>
          <w:szCs w:val="24"/>
        </w:rPr>
        <w:t>ir</w:t>
      </w:r>
      <w:r w:rsidRPr="005E2054">
        <w:rPr>
          <w:rFonts w:ascii="Times New Roman" w:hAnsi="Times New Roman" w:cs="Times New Roman"/>
          <w:sz w:val="24"/>
          <w:szCs w:val="24"/>
        </w:rPr>
        <w:t xml:space="preserve"> banking sectors (Naeem, 2016). It is therefore essential to measure the factors influencing the activities of these organizations.</w:t>
      </w:r>
    </w:p>
    <w:p w:rsidR="00B967B6" w:rsidRPr="00680CB3" w:rsidRDefault="00B967B6" w:rsidP="00B967B6">
      <w:pPr>
        <w:pStyle w:val="Heading2"/>
        <w:rPr>
          <w:rFonts w:ascii="Cambria" w:hAnsi="Cambria"/>
          <w:b w:val="0"/>
          <w:bCs w:val="0"/>
        </w:rPr>
      </w:pPr>
      <w:bookmarkStart w:id="33" w:name="_Toc1723547"/>
      <w:bookmarkStart w:id="34" w:name="_Toc2075023"/>
      <w:r w:rsidRPr="00680CB3">
        <w:rPr>
          <w:rFonts w:ascii="Cambria" w:hAnsi="Cambria"/>
          <w:bCs w:val="0"/>
        </w:rPr>
        <w:t>Internal Factors influencing the Financial Performance of Islamic and Conventional Banks</w:t>
      </w:r>
      <w:bookmarkEnd w:id="33"/>
      <w:bookmarkEnd w:id="34"/>
    </w:p>
    <w:p w:rsidR="00B967B6" w:rsidRPr="005E2054" w:rsidRDefault="00B967B6" w:rsidP="005E2054">
      <w:pPr>
        <w:spacing w:line="480" w:lineRule="auto"/>
        <w:rPr>
          <w:rFonts w:ascii="Times New Roman" w:hAnsi="Times New Roman" w:cs="Times New Roman"/>
          <w:sz w:val="24"/>
          <w:szCs w:val="24"/>
        </w:rPr>
      </w:pPr>
      <w:r w:rsidRPr="00680CB3">
        <w:rPr>
          <w:rFonts w:cs="Times New Roman"/>
          <w:szCs w:val="24"/>
        </w:rPr>
        <w:tab/>
      </w:r>
      <w:r w:rsidRPr="005E2054">
        <w:rPr>
          <w:rFonts w:ascii="Times New Roman" w:hAnsi="Times New Roman" w:cs="Times New Roman"/>
          <w:sz w:val="24"/>
          <w:szCs w:val="24"/>
        </w:rPr>
        <w:t>External and internal factors both influence the financial performance of an organization be it an Islamic bank or a conventional bank. External factors are those which are beyond the control of the bank management</w:t>
      </w:r>
      <w:r w:rsidR="004E4B01">
        <w:rPr>
          <w:rFonts w:ascii="Times New Roman" w:hAnsi="Times New Roman" w:cs="Times New Roman"/>
          <w:sz w:val="24"/>
          <w:szCs w:val="24"/>
        </w:rPr>
        <w:t>;</w:t>
      </w:r>
      <w:r w:rsidRPr="005E2054">
        <w:rPr>
          <w:rFonts w:ascii="Times New Roman" w:hAnsi="Times New Roman" w:cs="Times New Roman"/>
          <w:sz w:val="24"/>
          <w:szCs w:val="24"/>
        </w:rPr>
        <w:t xml:space="preserve"> whereas internal factors are those factors which are under the control of the bank management (</w:t>
      </w:r>
      <w:r w:rsidRPr="005E2054">
        <w:rPr>
          <w:rFonts w:ascii="Times New Roman" w:eastAsia="SimSun" w:hAnsi="Times New Roman" w:cs="Times New Roman"/>
          <w:sz w:val="24"/>
          <w:szCs w:val="24"/>
        </w:rPr>
        <w:t>Saeed and Izzeldin, 2016</w:t>
      </w:r>
      <w:r w:rsidRPr="005E2054">
        <w:rPr>
          <w:rFonts w:ascii="Times New Roman" w:hAnsi="Times New Roman" w:cs="Times New Roman"/>
          <w:sz w:val="24"/>
          <w:szCs w:val="24"/>
        </w:rPr>
        <w:t xml:space="preserve">). These are also known as bank specific factors. There are various internal factors such as the size of the bank, operating efficiency and financial risk within the banking sector. These factors </w:t>
      </w:r>
      <w:r w:rsidRPr="005E2054">
        <w:rPr>
          <w:rFonts w:ascii="Times New Roman" w:hAnsi="Times New Roman" w:cs="Times New Roman"/>
          <w:sz w:val="24"/>
          <w:szCs w:val="24"/>
        </w:rPr>
        <w:lastRenderedPageBreak/>
        <w:t>are found to have a greater influence on the financial performance of both the Islamic as well as the conventional banks. The measurements of economic activities are captured through an indicator, known as Gross Domestic Product (GDP). It takes into account all the produced goods and services that have been contributing to the national income through adding values. Therefore an economy’s financial performances as well as social and environmental performances very much depend upon its GDP measurements. Conversely all these above mentioned activities also add value to improve the growth percentage of GDP.</w:t>
      </w:r>
    </w:p>
    <w:p w:rsidR="00B967B6" w:rsidRPr="00680CB3" w:rsidRDefault="00B967B6" w:rsidP="00B967B6">
      <w:pPr>
        <w:pStyle w:val="Heading3"/>
        <w:spacing w:line="480" w:lineRule="auto"/>
        <w:rPr>
          <w:color w:val="auto"/>
        </w:rPr>
      </w:pPr>
      <w:bookmarkStart w:id="35" w:name="_Toc1723548"/>
      <w:bookmarkStart w:id="36" w:name="_Toc2075024"/>
      <w:r w:rsidRPr="00680CB3">
        <w:rPr>
          <w:color w:val="auto"/>
        </w:rPr>
        <w:t>Impact of GDP on Financial Performances of an Economy</w:t>
      </w:r>
      <w:bookmarkEnd w:id="35"/>
      <w:bookmarkEnd w:id="36"/>
    </w:p>
    <w:p w:rsidR="00B967B6" w:rsidRPr="005E2054" w:rsidRDefault="00B967B6" w:rsidP="005E2054">
      <w:pPr>
        <w:spacing w:line="480" w:lineRule="auto"/>
        <w:rPr>
          <w:rFonts w:ascii="Times New Roman" w:hAnsi="Times New Roman" w:cs="Times New Roman"/>
          <w:sz w:val="24"/>
          <w:szCs w:val="24"/>
        </w:rPr>
      </w:pPr>
      <w:r w:rsidRPr="00680CB3">
        <w:tab/>
      </w:r>
      <w:r w:rsidRPr="005E2054">
        <w:rPr>
          <w:rFonts w:ascii="Times New Roman" w:hAnsi="Times New Roman" w:cs="Times New Roman"/>
          <w:sz w:val="24"/>
          <w:szCs w:val="24"/>
        </w:rPr>
        <w:t xml:space="preserve">In today’s global competitive world there are many financial institutions which are affiliated under governments’ regulation and hence the outputs produced by them contribute to the country’s GDP. Due to the variation of GDP each year in an economy, there has been seen many ups and downs in the performances of financial institutions including conventional and private sector banks. The evidence of positive performances of commercial banks in China has been found as a result of positive per capita GDP effect on these banking institutions </w:t>
      </w:r>
      <w:r w:rsidRPr="005E2054">
        <w:rPr>
          <w:rFonts w:ascii="Times New Roman" w:hAnsi="Times New Roman" w:cs="Times New Roman"/>
          <w:color w:val="000000"/>
          <w:sz w:val="24"/>
          <w:szCs w:val="24"/>
          <w:shd w:val="clear" w:color="auto" w:fill="FFFFFF"/>
        </w:rPr>
        <w:t>(Girard, Nolan and Pondillo, 2010)</w:t>
      </w:r>
      <w:r w:rsidRPr="005E2054">
        <w:rPr>
          <w:rFonts w:ascii="Times New Roman" w:hAnsi="Times New Roman" w:cs="Times New Roman"/>
          <w:sz w:val="24"/>
          <w:szCs w:val="24"/>
        </w:rPr>
        <w:t>. Similarly, when the performance of Greek banks has been examined, the annual change in GDP was considered as an external determinant impacting on these banks in the period of 1990-2002. GDP is basically one of the macroeconomic variables which affect the profitability of a bank</w:t>
      </w:r>
      <w:r w:rsidR="004E4B01">
        <w:rPr>
          <w:rFonts w:ascii="Times New Roman" w:hAnsi="Times New Roman" w:cs="Times New Roman"/>
          <w:sz w:val="24"/>
          <w:szCs w:val="24"/>
        </w:rPr>
        <w:t>,</w:t>
      </w:r>
      <w:r w:rsidRPr="005E2054">
        <w:rPr>
          <w:rFonts w:ascii="Times New Roman" w:hAnsi="Times New Roman" w:cs="Times New Roman"/>
          <w:sz w:val="24"/>
          <w:szCs w:val="24"/>
        </w:rPr>
        <w:t xml:space="preserve"> through influencing the demand for banking assets</w:t>
      </w:r>
      <w:r w:rsidR="004E4B01">
        <w:rPr>
          <w:rFonts w:ascii="Times New Roman" w:hAnsi="Times New Roman" w:cs="Times New Roman"/>
          <w:sz w:val="24"/>
          <w:szCs w:val="24"/>
        </w:rPr>
        <w:t>, and this is</w:t>
      </w:r>
      <w:r w:rsidRPr="005E2054">
        <w:rPr>
          <w:rFonts w:ascii="Times New Roman" w:hAnsi="Times New Roman" w:cs="Times New Roman"/>
          <w:sz w:val="24"/>
          <w:szCs w:val="24"/>
        </w:rPr>
        <w:t xml:space="preserve"> uncontrollable by the banking authorities. This is because the lower the growth in GDP, the more the credit demand such as loans, subsidies from which banks could earn profits will decline (Ongore and Kusa, 2013). A positive growth in GDP would make the business cycle such that the demand for credit facilities is high among the business leaders and multi-national as well as small-to-medium company owners. Since both GDP and financial performances facilitate and enhance the economic development of a nation</w:t>
      </w:r>
      <w:r w:rsidR="004E4B01">
        <w:rPr>
          <w:rFonts w:ascii="Times New Roman" w:hAnsi="Times New Roman" w:cs="Times New Roman"/>
          <w:sz w:val="24"/>
          <w:szCs w:val="24"/>
        </w:rPr>
        <w:t>,</w:t>
      </w:r>
      <w:r w:rsidRPr="005E2054">
        <w:rPr>
          <w:rFonts w:ascii="Times New Roman" w:hAnsi="Times New Roman" w:cs="Times New Roman"/>
          <w:sz w:val="24"/>
          <w:szCs w:val="24"/>
        </w:rPr>
        <w:t xml:space="preserve"> it is therefore vital to understand the mutual dependency of these two factors. To do this</w:t>
      </w:r>
      <w:r w:rsidR="004E4B01">
        <w:rPr>
          <w:rFonts w:ascii="Times New Roman" w:hAnsi="Times New Roman" w:cs="Times New Roman"/>
          <w:sz w:val="24"/>
          <w:szCs w:val="24"/>
        </w:rPr>
        <w:t>,</w:t>
      </w:r>
      <w:r w:rsidRPr="005E2054">
        <w:rPr>
          <w:rFonts w:ascii="Times New Roman" w:hAnsi="Times New Roman" w:cs="Times New Roman"/>
          <w:sz w:val="24"/>
          <w:szCs w:val="24"/>
        </w:rPr>
        <w:t xml:space="preserve"> it is important to keep observing the variability in money market, interest rate, capital markets both domestic and international and all the common key factors in that can affect both of GDP and financial performances.</w:t>
      </w:r>
    </w:p>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 xml:space="preserve">While most of the scholars have </w:t>
      </w:r>
      <w:r w:rsidR="004E4B01">
        <w:rPr>
          <w:rFonts w:ascii="Times New Roman" w:hAnsi="Times New Roman" w:cs="Times New Roman"/>
          <w:sz w:val="24"/>
          <w:szCs w:val="24"/>
        </w:rPr>
        <w:t>ascribed</w:t>
      </w:r>
      <w:r w:rsidRPr="005E2054">
        <w:rPr>
          <w:rFonts w:ascii="Times New Roman" w:hAnsi="Times New Roman" w:cs="Times New Roman"/>
          <w:sz w:val="24"/>
          <w:szCs w:val="24"/>
        </w:rPr>
        <w:t xml:space="preserve"> much importance to GDP as an external contributing factor to the performances of banking institutions, some of the researchers</w:t>
      </w:r>
      <w:r w:rsidR="004E4B01">
        <w:rPr>
          <w:rFonts w:ascii="Times New Roman" w:hAnsi="Times New Roman" w:cs="Times New Roman"/>
          <w:sz w:val="24"/>
          <w:szCs w:val="24"/>
        </w:rPr>
        <w:t>,</w:t>
      </w:r>
      <w:r w:rsidRPr="005E2054">
        <w:rPr>
          <w:rFonts w:ascii="Times New Roman" w:hAnsi="Times New Roman" w:cs="Times New Roman"/>
          <w:sz w:val="24"/>
          <w:szCs w:val="24"/>
        </w:rPr>
        <w:t xml:space="preserve"> like Kanwal and Nadeem (2013)</w:t>
      </w:r>
      <w:r w:rsidR="004E4B01">
        <w:rPr>
          <w:rFonts w:ascii="Times New Roman" w:hAnsi="Times New Roman" w:cs="Times New Roman"/>
          <w:sz w:val="24"/>
          <w:szCs w:val="24"/>
        </w:rPr>
        <w:t>,</w:t>
      </w:r>
      <w:r w:rsidRPr="005E2054">
        <w:rPr>
          <w:rFonts w:ascii="Times New Roman" w:hAnsi="Times New Roman" w:cs="Times New Roman"/>
          <w:sz w:val="24"/>
          <w:szCs w:val="24"/>
        </w:rPr>
        <w:t xml:space="preserve"> believe that </w:t>
      </w:r>
      <w:r w:rsidRPr="005E2054">
        <w:rPr>
          <w:rFonts w:ascii="Times New Roman" w:hAnsi="Times New Roman" w:cs="Times New Roman"/>
          <w:sz w:val="24"/>
          <w:szCs w:val="24"/>
        </w:rPr>
        <w:lastRenderedPageBreak/>
        <w:t>GDP has zero impact on banking activities. However</w:t>
      </w:r>
      <w:r w:rsidR="004E4B01">
        <w:rPr>
          <w:rFonts w:ascii="Times New Roman" w:hAnsi="Times New Roman" w:cs="Times New Roman"/>
          <w:sz w:val="24"/>
          <w:szCs w:val="24"/>
        </w:rPr>
        <w:t>,</w:t>
      </w:r>
      <w:r w:rsidRPr="005E2054">
        <w:rPr>
          <w:rFonts w:ascii="Times New Roman" w:hAnsi="Times New Roman" w:cs="Times New Roman"/>
          <w:sz w:val="24"/>
          <w:szCs w:val="24"/>
        </w:rPr>
        <w:t xml:space="preserve"> it is a matter of debate whether to put weight on GDP when examining the financial activities of an economy. Even if GDP is crucial in terms of asset returns and inflation rate, then the degree of importance that should be given to detect the impact of the operating factors on banks is required to estimate carefully. Also</w:t>
      </w:r>
      <w:r w:rsidR="004E4B01">
        <w:rPr>
          <w:rFonts w:ascii="Times New Roman" w:hAnsi="Times New Roman" w:cs="Times New Roman"/>
          <w:sz w:val="24"/>
          <w:szCs w:val="24"/>
        </w:rPr>
        <w:t>,</w:t>
      </w:r>
      <w:r w:rsidRPr="005E2054">
        <w:rPr>
          <w:rFonts w:ascii="Times New Roman" w:hAnsi="Times New Roman" w:cs="Times New Roman"/>
          <w:sz w:val="24"/>
          <w:szCs w:val="24"/>
        </w:rPr>
        <w:t xml:space="preserve"> the solution measurements must be considered in order to remove all the restrictions that constraints the performances of banks.</w:t>
      </w:r>
    </w:p>
    <w:p w:rsidR="00B967B6" w:rsidRPr="00680CB3" w:rsidRDefault="00B967B6" w:rsidP="00B967B6">
      <w:pPr>
        <w:pStyle w:val="Heading3"/>
        <w:spacing w:line="480" w:lineRule="auto"/>
        <w:rPr>
          <w:rFonts w:ascii="Times New Roman" w:hAnsi="Times New Roman" w:cs="Times New Roman"/>
          <w:color w:val="auto"/>
        </w:rPr>
      </w:pPr>
      <w:bookmarkStart w:id="37" w:name="_Toc1723549"/>
      <w:bookmarkStart w:id="38" w:name="_Toc2075025"/>
      <w:r w:rsidRPr="00680CB3">
        <w:rPr>
          <w:rFonts w:ascii="Times New Roman" w:hAnsi="Times New Roman" w:cs="Times New Roman"/>
          <w:color w:val="auto"/>
        </w:rPr>
        <w:t>Operating Efficiency</w:t>
      </w:r>
      <w:bookmarkEnd w:id="37"/>
      <w:bookmarkEnd w:id="38"/>
    </w:p>
    <w:p w:rsidR="00B967B6" w:rsidRPr="005E2054" w:rsidRDefault="00B967B6" w:rsidP="00B967B6">
      <w:pPr>
        <w:spacing w:line="480" w:lineRule="auto"/>
        <w:rPr>
          <w:rFonts w:ascii="Times New Roman" w:hAnsi="Times New Roman" w:cs="Times New Roman"/>
          <w:sz w:val="24"/>
          <w:szCs w:val="24"/>
        </w:rPr>
      </w:pPr>
      <w:r w:rsidRPr="00680CB3">
        <w:rPr>
          <w:rFonts w:cs="Times New Roman"/>
          <w:szCs w:val="24"/>
        </w:rPr>
        <w:tab/>
      </w:r>
      <w:r w:rsidRPr="005E2054">
        <w:rPr>
          <w:rFonts w:ascii="Times New Roman" w:hAnsi="Times New Roman" w:cs="Times New Roman"/>
          <w:sz w:val="24"/>
          <w:szCs w:val="24"/>
        </w:rPr>
        <w:t xml:space="preserve">Operating efficiency is said to be the percentage measure of the ability </w:t>
      </w:r>
      <w:r w:rsidR="004E4B01">
        <w:rPr>
          <w:rFonts w:ascii="Times New Roman" w:hAnsi="Times New Roman" w:cs="Times New Roman"/>
          <w:sz w:val="24"/>
          <w:szCs w:val="24"/>
        </w:rPr>
        <w:t>to</w:t>
      </w:r>
      <w:r w:rsidRPr="005E2054">
        <w:rPr>
          <w:rFonts w:ascii="Times New Roman" w:hAnsi="Times New Roman" w:cs="Times New Roman"/>
          <w:sz w:val="24"/>
          <w:szCs w:val="24"/>
        </w:rPr>
        <w:t xml:space="preserve"> generat</w:t>
      </w:r>
      <w:r w:rsidR="004E4B01">
        <w:rPr>
          <w:rFonts w:ascii="Times New Roman" w:hAnsi="Times New Roman" w:cs="Times New Roman"/>
          <w:sz w:val="24"/>
          <w:szCs w:val="24"/>
        </w:rPr>
        <w:t>e</w:t>
      </w:r>
      <w:r w:rsidRPr="005E2054">
        <w:rPr>
          <w:rFonts w:ascii="Times New Roman" w:hAnsi="Times New Roman" w:cs="Times New Roman"/>
          <w:sz w:val="24"/>
          <w:szCs w:val="24"/>
        </w:rPr>
        <w:t xml:space="preserve"> sales revenue and controll costs. It can be measured as Operating Expenses/Total Asset. It is said that there is a negative relation between operational cost and the performance of the bank. If the banks increase their lending it leads to a decrease in its production cost</w:t>
      </w:r>
      <w:r w:rsidR="004E4B01">
        <w:rPr>
          <w:rFonts w:ascii="Times New Roman" w:hAnsi="Times New Roman" w:cs="Times New Roman"/>
          <w:sz w:val="24"/>
          <w:szCs w:val="24"/>
        </w:rPr>
        <w:t>,</w:t>
      </w:r>
      <w:r w:rsidRPr="005E2054">
        <w:rPr>
          <w:rFonts w:ascii="Times New Roman" w:hAnsi="Times New Roman" w:cs="Times New Roman"/>
          <w:sz w:val="24"/>
          <w:szCs w:val="24"/>
        </w:rPr>
        <w:t xml:space="preserve"> thus leading to an increase in the bank’s performance.  According to a comparative performance analysis performed by Unal et al. (2007) between the private commercial banks and the Turkish state- owned ones, </w:t>
      </w:r>
      <w:r w:rsidR="004E4B01">
        <w:rPr>
          <w:rFonts w:ascii="Times New Roman" w:hAnsi="Times New Roman" w:cs="Times New Roman"/>
          <w:sz w:val="24"/>
          <w:szCs w:val="24"/>
        </w:rPr>
        <w:t>it was observed that net profit</w:t>
      </w:r>
      <w:r w:rsidRPr="005E2054">
        <w:rPr>
          <w:rFonts w:ascii="Times New Roman" w:hAnsi="Times New Roman" w:cs="Times New Roman"/>
          <w:sz w:val="24"/>
          <w:szCs w:val="24"/>
        </w:rPr>
        <w:t xml:space="preserve"> assets efficiencies</w:t>
      </w:r>
      <w:r w:rsidR="004E4B01">
        <w:rPr>
          <w:rFonts w:ascii="Times New Roman" w:hAnsi="Times New Roman" w:cs="Times New Roman"/>
          <w:sz w:val="24"/>
          <w:szCs w:val="24"/>
        </w:rPr>
        <w:t>,</w:t>
      </w:r>
      <w:r w:rsidRPr="005E2054">
        <w:rPr>
          <w:rFonts w:ascii="Times New Roman" w:hAnsi="Times New Roman" w:cs="Times New Roman"/>
          <w:sz w:val="24"/>
          <w:szCs w:val="24"/>
        </w:rPr>
        <w:t xml:space="preserve"> comparative to total employment and total number of branches</w:t>
      </w:r>
      <w:r w:rsidR="004E4B01">
        <w:rPr>
          <w:rFonts w:ascii="Times New Roman" w:hAnsi="Times New Roman" w:cs="Times New Roman"/>
          <w:sz w:val="24"/>
          <w:szCs w:val="24"/>
        </w:rPr>
        <w:t>,</w:t>
      </w:r>
      <w:r w:rsidRPr="005E2054">
        <w:rPr>
          <w:rFonts w:ascii="Times New Roman" w:hAnsi="Times New Roman" w:cs="Times New Roman"/>
          <w:sz w:val="24"/>
          <w:szCs w:val="24"/>
        </w:rPr>
        <w:t xml:space="preserve"> were utilized for measuring the operating efficiency. It was revealed that both state-owned banks as well as the private banks are equally efficient (Girard, Nolan and Pondillo, 2010) (Al- Tamimi and Hussein, 2010). In the words of Tabas, Yahya and Akhtar (2017), operating efficiency seem to act as an alternative to the financial performance for both Islamic and conventional banks. It has been found that compared to the conventional banks, there is a higher operating efficiency in the Islamic banks. Another study by Hawaldar et al. (2017) reflected that the operating efficiency is higher in wholesale Islamic as well as conventional banks in comparison to the retail banks.</w:t>
      </w:r>
    </w:p>
    <w:p w:rsidR="00B967B6" w:rsidRPr="00680CB3" w:rsidRDefault="00B967B6" w:rsidP="00B967B6">
      <w:pPr>
        <w:pStyle w:val="Heading3"/>
        <w:spacing w:line="480" w:lineRule="auto"/>
        <w:rPr>
          <w:rFonts w:ascii="Times New Roman" w:hAnsi="Times New Roman" w:cs="Times New Roman"/>
          <w:color w:val="auto"/>
        </w:rPr>
      </w:pPr>
      <w:bookmarkStart w:id="39" w:name="_Toc1723550"/>
      <w:bookmarkStart w:id="40" w:name="_Toc2075026"/>
      <w:r w:rsidRPr="00680CB3">
        <w:rPr>
          <w:rFonts w:ascii="Times New Roman" w:hAnsi="Times New Roman" w:cs="Times New Roman"/>
          <w:color w:val="auto"/>
        </w:rPr>
        <w:t>Bank Size</w:t>
      </w:r>
      <w:bookmarkEnd w:id="39"/>
      <w:bookmarkEnd w:id="40"/>
    </w:p>
    <w:p w:rsidR="00B967B6" w:rsidRPr="005E2054" w:rsidRDefault="00B967B6" w:rsidP="00B967B6">
      <w:pPr>
        <w:spacing w:line="480" w:lineRule="auto"/>
        <w:rPr>
          <w:rFonts w:ascii="Times New Roman" w:hAnsi="Times New Roman" w:cs="Times New Roman"/>
          <w:sz w:val="24"/>
          <w:szCs w:val="24"/>
        </w:rPr>
      </w:pPr>
      <w:r w:rsidRPr="00680CB3">
        <w:rPr>
          <w:rFonts w:cs="Times New Roman"/>
          <w:szCs w:val="24"/>
        </w:rPr>
        <w:tab/>
      </w:r>
      <w:r w:rsidRPr="005E2054">
        <w:rPr>
          <w:rFonts w:ascii="Times New Roman" w:hAnsi="Times New Roman" w:cs="Times New Roman"/>
          <w:sz w:val="24"/>
          <w:szCs w:val="24"/>
        </w:rPr>
        <w:t>The size of the bank also acts as a determinant factor that influences the financial performance of both conventional as well as Islamic banks. In the view of (Al- Tamimi and Hussein, 2010), bank size is one of the chief determinants for the performance of the bank. The study revealed that there exists a positive relationship between the performance of the banks and bank size</w:t>
      </w:r>
      <w:r w:rsidR="004E4B01">
        <w:rPr>
          <w:rFonts w:ascii="Times New Roman" w:hAnsi="Times New Roman" w:cs="Times New Roman"/>
          <w:sz w:val="24"/>
          <w:szCs w:val="24"/>
        </w:rPr>
        <w:t>,</w:t>
      </w:r>
      <w:r w:rsidRPr="005E2054">
        <w:rPr>
          <w:rFonts w:ascii="Times New Roman" w:hAnsi="Times New Roman" w:cs="Times New Roman"/>
          <w:sz w:val="24"/>
          <w:szCs w:val="24"/>
        </w:rPr>
        <w:t xml:space="preserve"> as an increase in the size of the banking firm makes cost reduction possible and thus, enhances the performance level. This is based on the economies of scale theory. Large banks give a higher return as they have more resources to deploy the funds </w:t>
      </w:r>
      <w:r w:rsidRPr="005E2054">
        <w:rPr>
          <w:rFonts w:ascii="Times New Roman" w:hAnsi="Times New Roman" w:cs="Times New Roman"/>
          <w:sz w:val="24"/>
          <w:szCs w:val="24"/>
        </w:rPr>
        <w:lastRenderedPageBreak/>
        <w:t>of their depositors. This leads to improvement of performance. Some studies have also concluded that if the size of the bank happens to be extremely large, it might have a negative effect on the performance of the bank</w:t>
      </w:r>
      <w:r w:rsidR="004E4B01">
        <w:rPr>
          <w:rFonts w:ascii="Times New Roman" w:hAnsi="Times New Roman" w:cs="Times New Roman"/>
          <w:sz w:val="24"/>
          <w:szCs w:val="24"/>
        </w:rPr>
        <w:t>,</w:t>
      </w:r>
      <w:r w:rsidRPr="005E2054">
        <w:rPr>
          <w:rFonts w:ascii="Times New Roman" w:hAnsi="Times New Roman" w:cs="Times New Roman"/>
          <w:sz w:val="24"/>
          <w:szCs w:val="24"/>
        </w:rPr>
        <w:t xml:space="preserve"> as larger bank</w:t>
      </w:r>
      <w:r w:rsidR="004E4B01">
        <w:rPr>
          <w:rFonts w:ascii="Times New Roman" w:hAnsi="Times New Roman" w:cs="Times New Roman"/>
          <w:sz w:val="24"/>
          <w:szCs w:val="24"/>
        </w:rPr>
        <w:t>s</w:t>
      </w:r>
      <w:r w:rsidRPr="005E2054">
        <w:rPr>
          <w:rFonts w:ascii="Times New Roman" w:hAnsi="Times New Roman" w:cs="Times New Roman"/>
          <w:sz w:val="24"/>
          <w:szCs w:val="24"/>
        </w:rPr>
        <w:t xml:space="preserve"> can be affected by inertia, bureaucracy, rigidities, etc</w:t>
      </w:r>
      <w:r w:rsidR="004E4B01">
        <w:rPr>
          <w:rFonts w:ascii="Times New Roman" w:hAnsi="Times New Roman" w:cs="Times New Roman"/>
          <w:sz w:val="24"/>
          <w:szCs w:val="24"/>
        </w:rPr>
        <w:t>.</w:t>
      </w:r>
      <w:r w:rsidRPr="005E2054">
        <w:rPr>
          <w:rFonts w:ascii="Times New Roman" w:hAnsi="Times New Roman" w:cs="Times New Roman"/>
          <w:sz w:val="24"/>
          <w:szCs w:val="24"/>
        </w:rPr>
        <w:t xml:space="preserve"> which might create hindrances in the</w:t>
      </w:r>
      <w:r w:rsidR="004E4B01">
        <w:rPr>
          <w:rFonts w:ascii="Times New Roman" w:hAnsi="Times New Roman" w:cs="Times New Roman"/>
          <w:sz w:val="24"/>
          <w:szCs w:val="24"/>
        </w:rPr>
        <w:t>ir</w:t>
      </w:r>
      <w:r w:rsidRPr="005E2054">
        <w:rPr>
          <w:rFonts w:ascii="Times New Roman" w:hAnsi="Times New Roman" w:cs="Times New Roman"/>
          <w:sz w:val="24"/>
          <w:szCs w:val="24"/>
        </w:rPr>
        <w:t xml:space="preserve"> growth. It has also been found in another study that</w:t>
      </w:r>
      <w:r w:rsidR="004E4B01">
        <w:rPr>
          <w:rFonts w:ascii="Times New Roman" w:hAnsi="Times New Roman" w:cs="Times New Roman"/>
          <w:sz w:val="24"/>
          <w:szCs w:val="24"/>
        </w:rPr>
        <w:t>,</w:t>
      </w:r>
      <w:r w:rsidRPr="005E2054">
        <w:rPr>
          <w:rFonts w:ascii="Times New Roman" w:hAnsi="Times New Roman" w:cs="Times New Roman"/>
          <w:sz w:val="24"/>
          <w:szCs w:val="24"/>
        </w:rPr>
        <w:t xml:space="preserve"> compared to the conventional banks, the bank size is higher in the Islamic banks (Tabas, Yahya and Akhtar, 2017). Therefore</w:t>
      </w:r>
      <w:r w:rsidR="00104E9E">
        <w:rPr>
          <w:rFonts w:ascii="Times New Roman" w:hAnsi="Times New Roman" w:cs="Times New Roman"/>
          <w:sz w:val="24"/>
          <w:szCs w:val="24"/>
        </w:rPr>
        <w:t>,</w:t>
      </w:r>
      <w:r w:rsidRPr="005E2054">
        <w:rPr>
          <w:rFonts w:ascii="Times New Roman" w:hAnsi="Times New Roman" w:cs="Times New Roman"/>
          <w:sz w:val="24"/>
          <w:szCs w:val="24"/>
        </w:rPr>
        <w:t xml:space="preserve"> in the context of size of total assets in the form of assets (liquid and reserve) and liability both, the size of bank matters to the market, investors and common people to be specific while choosing between Conventional and Islamic banks for their uses. </w:t>
      </w:r>
    </w:p>
    <w:p w:rsidR="00B967B6" w:rsidRPr="00680CB3" w:rsidRDefault="00B967B6" w:rsidP="00B967B6">
      <w:pPr>
        <w:pStyle w:val="Heading3"/>
        <w:spacing w:line="480" w:lineRule="auto"/>
        <w:rPr>
          <w:rFonts w:ascii="Times New Roman" w:hAnsi="Times New Roman" w:cs="Times New Roman"/>
          <w:color w:val="auto"/>
        </w:rPr>
      </w:pPr>
      <w:bookmarkStart w:id="41" w:name="_Toc1723551"/>
      <w:bookmarkStart w:id="42" w:name="_Toc2075027"/>
      <w:r w:rsidRPr="00680CB3">
        <w:rPr>
          <w:rFonts w:ascii="Times New Roman" w:hAnsi="Times New Roman" w:cs="Times New Roman"/>
          <w:color w:val="auto"/>
        </w:rPr>
        <w:t>Financial Risk</w:t>
      </w:r>
      <w:bookmarkEnd w:id="41"/>
      <w:bookmarkEnd w:id="42"/>
    </w:p>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A risk is said to be a situation which involves exposure to danger and thus financial risk is yet another internal factor that creates an impact on the financial performances of the various banks. Financial risk serves as an umbrella term for the risks which are associated with financing. It arises from the losses that occur in financial markets because of the movements in financial variables and are caused due to variation in currency exchange rates, interest rates, market price variation and others (Wanjohi, Wanjohi and Ndambiri, 2017). According to Girard, Nolan and Pondillo (2010), the financial risks comprise of the majority of the information about the expected returns in the developed market and that there are five factors which help in measuring its dimensions. In the view of Wanjohi, Wanjohi and Ndambiri(2017), the Kenyan commercial banks outline liquidity risk, credit risk, interest rate risk, market risk and risk associated with foreign exchange as the chief types of financial risks that are faced by them.</w:t>
      </w:r>
      <w:r w:rsidR="00906F93">
        <w:rPr>
          <w:rFonts w:ascii="Times New Roman" w:hAnsi="Times New Roman" w:cs="Times New Roman"/>
          <w:sz w:val="24"/>
          <w:szCs w:val="24"/>
        </w:rPr>
        <w:t xml:space="preserve"> </w:t>
      </w:r>
      <w:r w:rsidRPr="005E2054">
        <w:rPr>
          <w:rFonts w:ascii="Times New Roman" w:hAnsi="Times New Roman" w:cs="Times New Roman"/>
          <w:sz w:val="24"/>
          <w:szCs w:val="24"/>
        </w:rPr>
        <w:t>The main source of revenue for the banks is the loan that they lend to people</w:t>
      </w:r>
      <w:r w:rsidR="00104E9E">
        <w:rPr>
          <w:rFonts w:ascii="Times New Roman" w:hAnsi="Times New Roman" w:cs="Times New Roman"/>
          <w:sz w:val="24"/>
          <w:szCs w:val="24"/>
        </w:rPr>
        <w:t>,</w:t>
      </w:r>
      <w:r w:rsidRPr="005E2054">
        <w:rPr>
          <w:rFonts w:ascii="Times New Roman" w:hAnsi="Times New Roman" w:cs="Times New Roman"/>
          <w:sz w:val="24"/>
          <w:szCs w:val="24"/>
        </w:rPr>
        <w:t xml:space="preserve"> but these loans are exposed to risk if the borrower is not able to pay its interest a</w:t>
      </w:r>
      <w:r w:rsidR="00104E9E">
        <w:rPr>
          <w:rFonts w:ascii="Times New Roman" w:hAnsi="Times New Roman" w:cs="Times New Roman"/>
          <w:sz w:val="24"/>
          <w:szCs w:val="24"/>
        </w:rPr>
        <w:t>nd principal amount on time. Thi</w:t>
      </w:r>
      <w:r w:rsidRPr="005E2054">
        <w:rPr>
          <w:rFonts w:ascii="Times New Roman" w:hAnsi="Times New Roman" w:cs="Times New Roman"/>
          <w:sz w:val="24"/>
          <w:szCs w:val="24"/>
        </w:rPr>
        <w:t>s hamper</w:t>
      </w:r>
      <w:r w:rsidR="00104E9E">
        <w:rPr>
          <w:rFonts w:ascii="Times New Roman" w:hAnsi="Times New Roman" w:cs="Times New Roman"/>
          <w:sz w:val="24"/>
          <w:szCs w:val="24"/>
        </w:rPr>
        <w:t>s</w:t>
      </w:r>
      <w:r w:rsidRPr="005E2054">
        <w:rPr>
          <w:rFonts w:ascii="Times New Roman" w:hAnsi="Times New Roman" w:cs="Times New Roman"/>
          <w:sz w:val="24"/>
          <w:szCs w:val="24"/>
        </w:rPr>
        <w:t xml:space="preserve"> the performance of the banks and </w:t>
      </w:r>
      <w:r w:rsidR="00104E9E">
        <w:rPr>
          <w:rFonts w:ascii="Times New Roman" w:hAnsi="Times New Roman" w:cs="Times New Roman"/>
          <w:sz w:val="24"/>
          <w:szCs w:val="24"/>
        </w:rPr>
        <w:t>decreases</w:t>
      </w:r>
      <w:r w:rsidRPr="005E2054">
        <w:rPr>
          <w:rFonts w:ascii="Times New Roman" w:hAnsi="Times New Roman" w:cs="Times New Roman"/>
          <w:sz w:val="24"/>
          <w:szCs w:val="24"/>
        </w:rPr>
        <w:t xml:space="preserve"> its profitability. </w:t>
      </w:r>
    </w:p>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Liquidity risk is when the banks give away the money deposited by depositors as loans to borrowers</w:t>
      </w:r>
      <w:r w:rsidR="00104E9E">
        <w:rPr>
          <w:rFonts w:ascii="Times New Roman" w:hAnsi="Times New Roman" w:cs="Times New Roman"/>
          <w:sz w:val="24"/>
          <w:szCs w:val="24"/>
        </w:rPr>
        <w:t>,</w:t>
      </w:r>
      <w:r w:rsidRPr="005E2054">
        <w:rPr>
          <w:rFonts w:ascii="Times New Roman" w:hAnsi="Times New Roman" w:cs="Times New Roman"/>
          <w:sz w:val="24"/>
          <w:szCs w:val="24"/>
        </w:rPr>
        <w:t xml:space="preserve"> but i</w:t>
      </w:r>
      <w:r w:rsidR="00104E9E">
        <w:rPr>
          <w:rFonts w:ascii="Times New Roman" w:hAnsi="Times New Roman" w:cs="Times New Roman"/>
          <w:sz w:val="24"/>
          <w:szCs w:val="24"/>
        </w:rPr>
        <w:t>s</w:t>
      </w:r>
      <w:r w:rsidRPr="005E2054">
        <w:rPr>
          <w:rFonts w:ascii="Times New Roman" w:hAnsi="Times New Roman" w:cs="Times New Roman"/>
          <w:sz w:val="24"/>
          <w:szCs w:val="24"/>
        </w:rPr>
        <w:t xml:space="preserve"> not able to convert its assets into cash as and when required back by depositors. The bank which maintains a sufficient amount of liquidity is likely to perform </w:t>
      </w:r>
      <w:r w:rsidR="00104E9E">
        <w:rPr>
          <w:rFonts w:ascii="Times New Roman" w:hAnsi="Times New Roman" w:cs="Times New Roman"/>
          <w:sz w:val="24"/>
          <w:szCs w:val="24"/>
        </w:rPr>
        <w:t>better than</w:t>
      </w:r>
      <w:r w:rsidRPr="005E2054">
        <w:rPr>
          <w:rFonts w:ascii="Times New Roman" w:hAnsi="Times New Roman" w:cs="Times New Roman"/>
          <w:sz w:val="24"/>
          <w:szCs w:val="24"/>
        </w:rPr>
        <w:t xml:space="preserve"> the one having a lower liquidity</w:t>
      </w:r>
      <w:r w:rsidR="00104E9E">
        <w:rPr>
          <w:rFonts w:ascii="Times New Roman" w:hAnsi="Times New Roman" w:cs="Times New Roman"/>
          <w:sz w:val="24"/>
          <w:szCs w:val="24"/>
        </w:rPr>
        <w:t>,</w:t>
      </w:r>
      <w:r w:rsidRPr="005E2054">
        <w:rPr>
          <w:rFonts w:ascii="Times New Roman" w:hAnsi="Times New Roman" w:cs="Times New Roman"/>
          <w:sz w:val="24"/>
          <w:szCs w:val="24"/>
        </w:rPr>
        <w:t xml:space="preserve"> as lower liquidity means higher amount of risk. As the commercial banks are a part of the risk business, financial risk </w:t>
      </w:r>
      <w:r w:rsidRPr="005E2054">
        <w:rPr>
          <w:rFonts w:ascii="Times New Roman" w:hAnsi="Times New Roman" w:cs="Times New Roman"/>
          <w:sz w:val="24"/>
          <w:szCs w:val="24"/>
        </w:rPr>
        <w:lastRenderedPageBreak/>
        <w:t xml:space="preserve">management has grown to become a significant key function in operations related to banking. As per Hanif, (2014) various tools and techniques have been developed to keep the financial risk to </w:t>
      </w:r>
      <w:r w:rsidR="00104E9E">
        <w:rPr>
          <w:rFonts w:ascii="Times New Roman" w:hAnsi="Times New Roman" w:cs="Times New Roman"/>
          <w:sz w:val="24"/>
          <w:szCs w:val="24"/>
        </w:rPr>
        <w:t>a</w:t>
      </w:r>
      <w:r w:rsidRPr="005E2054">
        <w:rPr>
          <w:rFonts w:ascii="Times New Roman" w:hAnsi="Times New Roman" w:cs="Times New Roman"/>
          <w:sz w:val="24"/>
          <w:szCs w:val="24"/>
        </w:rPr>
        <w:t xml:space="preserve"> minim</w:t>
      </w:r>
      <w:r w:rsidR="00104E9E">
        <w:rPr>
          <w:rFonts w:ascii="Times New Roman" w:hAnsi="Times New Roman" w:cs="Times New Roman"/>
          <w:sz w:val="24"/>
          <w:szCs w:val="24"/>
        </w:rPr>
        <w:t>um,</w:t>
      </w:r>
      <w:r w:rsidRPr="005E2054">
        <w:rPr>
          <w:rFonts w:ascii="Times New Roman" w:hAnsi="Times New Roman" w:cs="Times New Roman"/>
          <w:sz w:val="24"/>
          <w:szCs w:val="24"/>
        </w:rPr>
        <w:t xml:space="preserve"> so that the fi</w:t>
      </w:r>
      <w:r w:rsidR="00104E9E">
        <w:rPr>
          <w:rFonts w:ascii="Times New Roman" w:hAnsi="Times New Roman" w:cs="Times New Roman"/>
          <w:sz w:val="24"/>
          <w:szCs w:val="24"/>
        </w:rPr>
        <w:t>nancial performance of the bank</w:t>
      </w:r>
      <w:r w:rsidRPr="005E2054">
        <w:rPr>
          <w:rFonts w:ascii="Times New Roman" w:hAnsi="Times New Roman" w:cs="Times New Roman"/>
          <w:sz w:val="24"/>
          <w:szCs w:val="24"/>
        </w:rPr>
        <w:t xml:space="preserve"> is not disturbed. </w:t>
      </w:r>
    </w:p>
    <w:p w:rsidR="00B967B6" w:rsidRPr="00680CB3" w:rsidRDefault="00B967B6" w:rsidP="00B967B6">
      <w:pPr>
        <w:pStyle w:val="Heading4"/>
        <w:rPr>
          <w:rFonts w:eastAsia="Times New Roman"/>
          <w:b/>
          <w:bCs/>
          <w:i w:val="0"/>
          <w:iCs w:val="0"/>
          <w:color w:val="000000" w:themeColor="text1"/>
          <w:lang w:val="en-GB"/>
        </w:rPr>
      </w:pPr>
      <w:r w:rsidRPr="00680CB3">
        <w:rPr>
          <w:rFonts w:eastAsia="Times New Roman"/>
          <w:b/>
          <w:bCs/>
          <w:i w:val="0"/>
          <w:iCs w:val="0"/>
          <w:color w:val="000000" w:themeColor="text1"/>
          <w:lang w:val="en-GB"/>
        </w:rPr>
        <w:t>Impact of Financial Risks on Dependable Variables</w:t>
      </w:r>
    </w:p>
    <w:p w:rsidR="00B967B6" w:rsidRPr="005E2054" w:rsidRDefault="00B967B6" w:rsidP="00B967B6">
      <w:pPr>
        <w:spacing w:line="480" w:lineRule="auto"/>
        <w:rPr>
          <w:rFonts w:ascii="Times New Roman" w:hAnsi="Times New Roman" w:cs="Times New Roman"/>
          <w:sz w:val="24"/>
          <w:szCs w:val="24"/>
        </w:rPr>
      </w:pPr>
      <w:r w:rsidRPr="00680CB3">
        <w:tab/>
      </w:r>
      <w:r w:rsidRPr="005E2054">
        <w:rPr>
          <w:rFonts w:ascii="Times New Roman" w:hAnsi="Times New Roman" w:cs="Times New Roman"/>
          <w:sz w:val="24"/>
          <w:szCs w:val="24"/>
        </w:rPr>
        <w:t>Risk and return are two dependable factors on each other</w:t>
      </w:r>
      <w:r w:rsidR="00104E9E">
        <w:rPr>
          <w:rFonts w:ascii="Times New Roman" w:hAnsi="Times New Roman" w:cs="Times New Roman"/>
          <w:sz w:val="24"/>
          <w:szCs w:val="24"/>
        </w:rPr>
        <w:t>,</w:t>
      </w:r>
      <w:r w:rsidRPr="005E2054">
        <w:rPr>
          <w:rFonts w:ascii="Times New Roman" w:hAnsi="Times New Roman" w:cs="Times New Roman"/>
          <w:sz w:val="24"/>
          <w:szCs w:val="24"/>
        </w:rPr>
        <w:t xml:space="preserve"> indicating change in one will eventually change the other and vice versa</w:t>
      </w:r>
      <w:r w:rsidR="00104E9E">
        <w:rPr>
          <w:rFonts w:ascii="Times New Roman" w:hAnsi="Times New Roman" w:cs="Times New Roman"/>
          <w:sz w:val="24"/>
          <w:szCs w:val="24"/>
        </w:rPr>
        <w:t xml:space="preserve"> </w:t>
      </w:r>
      <w:sdt>
        <w:sdtPr>
          <w:rPr>
            <w:rFonts w:ascii="Times New Roman" w:hAnsi="Times New Roman" w:cs="Times New Roman"/>
            <w:sz w:val="24"/>
            <w:szCs w:val="24"/>
          </w:rPr>
          <w:id w:val="-557704323"/>
          <w:citation/>
        </w:sdtPr>
        <w:sdtEndPr/>
        <w:sdtContent>
          <w:r w:rsidR="00E82516" w:rsidRPr="005E2054">
            <w:rPr>
              <w:rFonts w:ascii="Times New Roman" w:hAnsi="Times New Roman" w:cs="Times New Roman"/>
              <w:sz w:val="24"/>
              <w:szCs w:val="24"/>
            </w:rPr>
            <w:fldChar w:fldCharType="begin"/>
          </w:r>
          <w:r w:rsidRPr="005E2054">
            <w:rPr>
              <w:rFonts w:ascii="Times New Roman" w:hAnsi="Times New Roman" w:cs="Times New Roman"/>
              <w:sz w:val="24"/>
              <w:szCs w:val="24"/>
            </w:rPr>
            <w:instrText xml:space="preserve"> CITATION Wan17 \l 1033 </w:instrText>
          </w:r>
          <w:r w:rsidR="00E82516" w:rsidRPr="005E2054">
            <w:rPr>
              <w:rFonts w:ascii="Times New Roman" w:hAnsi="Times New Roman" w:cs="Times New Roman"/>
              <w:sz w:val="24"/>
              <w:szCs w:val="24"/>
            </w:rPr>
            <w:fldChar w:fldCharType="separate"/>
          </w:r>
          <w:r w:rsidRPr="005E2054">
            <w:rPr>
              <w:rFonts w:ascii="Times New Roman" w:hAnsi="Times New Roman" w:cs="Times New Roman"/>
              <w:sz w:val="24"/>
              <w:szCs w:val="24"/>
            </w:rPr>
            <w:t>(Wanjohi, et al., 2017)</w:t>
          </w:r>
          <w:r w:rsidR="00E82516" w:rsidRPr="005E2054">
            <w:rPr>
              <w:rFonts w:ascii="Times New Roman" w:hAnsi="Times New Roman" w:cs="Times New Roman"/>
              <w:sz w:val="24"/>
              <w:szCs w:val="24"/>
            </w:rPr>
            <w:fldChar w:fldCharType="end"/>
          </w:r>
        </w:sdtContent>
      </w:sdt>
      <w:r w:rsidRPr="005E2054">
        <w:rPr>
          <w:rFonts w:ascii="Times New Roman" w:hAnsi="Times New Roman" w:cs="Times New Roman"/>
          <w:sz w:val="24"/>
          <w:szCs w:val="24"/>
        </w:rPr>
        <w:t>. Because of this positive co-relation between these two factors</w:t>
      </w:r>
      <w:r w:rsidR="00104E9E">
        <w:rPr>
          <w:rFonts w:ascii="Times New Roman" w:hAnsi="Times New Roman" w:cs="Times New Roman"/>
          <w:sz w:val="24"/>
          <w:szCs w:val="24"/>
        </w:rPr>
        <w:t>,</w:t>
      </w:r>
      <w:r w:rsidRPr="005E2054">
        <w:rPr>
          <w:rFonts w:ascii="Times New Roman" w:hAnsi="Times New Roman" w:cs="Times New Roman"/>
          <w:sz w:val="24"/>
          <w:szCs w:val="24"/>
        </w:rPr>
        <w:t xml:space="preserve"> it is essential to analyse how they get affected by each other</w:t>
      </w:r>
      <w:r w:rsidR="00104E9E">
        <w:rPr>
          <w:rFonts w:ascii="Times New Roman" w:hAnsi="Times New Roman" w:cs="Times New Roman"/>
          <w:sz w:val="24"/>
          <w:szCs w:val="24"/>
        </w:rPr>
        <w:t>,</w:t>
      </w:r>
      <w:r w:rsidRPr="005E2054">
        <w:rPr>
          <w:rFonts w:ascii="Times New Roman" w:hAnsi="Times New Roman" w:cs="Times New Roman"/>
          <w:sz w:val="24"/>
          <w:szCs w:val="24"/>
        </w:rPr>
        <w:t xml:space="preserve"> in order to take effective financial decisions so that risks can be eliminated as much as possible. As previously mentioned</w:t>
      </w:r>
      <w:r w:rsidR="00104E9E">
        <w:rPr>
          <w:rFonts w:ascii="Times New Roman" w:hAnsi="Times New Roman" w:cs="Times New Roman"/>
          <w:sz w:val="24"/>
          <w:szCs w:val="24"/>
        </w:rPr>
        <w:t>,</w:t>
      </w:r>
      <w:r w:rsidRPr="005E2054">
        <w:rPr>
          <w:rFonts w:ascii="Times New Roman" w:hAnsi="Times New Roman" w:cs="Times New Roman"/>
          <w:sz w:val="24"/>
          <w:szCs w:val="24"/>
        </w:rPr>
        <w:t xml:space="preserve"> financial risk comprises of a variety of risk measurements in different fields of a money market rather an economy. Return on Equity (ROE) is one of the major indicators of performance volatility for a particular time period in any financial institution</w:t>
      </w:r>
      <w:r w:rsidR="00104E9E">
        <w:rPr>
          <w:rFonts w:ascii="Times New Roman" w:hAnsi="Times New Roman" w:cs="Times New Roman"/>
          <w:sz w:val="24"/>
          <w:szCs w:val="24"/>
        </w:rPr>
        <w:t>,</w:t>
      </w:r>
      <w:r w:rsidRPr="005E2054">
        <w:rPr>
          <w:rFonts w:ascii="Times New Roman" w:hAnsi="Times New Roman" w:cs="Times New Roman"/>
          <w:sz w:val="24"/>
          <w:szCs w:val="24"/>
        </w:rPr>
        <w:t xml:space="preserve"> such as</w:t>
      </w:r>
      <w:r w:rsidR="00104E9E">
        <w:rPr>
          <w:rFonts w:ascii="Times New Roman" w:hAnsi="Times New Roman" w:cs="Times New Roman"/>
          <w:sz w:val="24"/>
          <w:szCs w:val="24"/>
        </w:rPr>
        <w:t xml:space="preserve"> a</w:t>
      </w:r>
      <w:r w:rsidRPr="005E2054">
        <w:rPr>
          <w:rFonts w:ascii="Times New Roman" w:hAnsi="Times New Roman" w:cs="Times New Roman"/>
          <w:sz w:val="24"/>
          <w:szCs w:val="24"/>
        </w:rPr>
        <w:t xml:space="preserve"> bank. ROE calculates the profits a bank has earned during a financial year</w:t>
      </w:r>
      <w:r w:rsidR="00104E9E">
        <w:rPr>
          <w:rFonts w:ascii="Times New Roman" w:hAnsi="Times New Roman" w:cs="Times New Roman"/>
          <w:sz w:val="24"/>
          <w:szCs w:val="24"/>
        </w:rPr>
        <w:t>,</w:t>
      </w:r>
      <w:r w:rsidRPr="005E2054">
        <w:rPr>
          <w:rFonts w:ascii="Times New Roman" w:hAnsi="Times New Roman" w:cs="Times New Roman"/>
          <w:sz w:val="24"/>
          <w:szCs w:val="24"/>
        </w:rPr>
        <w:t xml:space="preserve"> by effectively using the liabilities attributed by the shareholders of the bank. Both these key factors depend solely on the willingness of </w:t>
      </w:r>
      <w:r w:rsidR="00104E9E">
        <w:rPr>
          <w:rFonts w:ascii="Times New Roman" w:hAnsi="Times New Roman" w:cs="Times New Roman"/>
          <w:sz w:val="24"/>
          <w:szCs w:val="24"/>
        </w:rPr>
        <w:t xml:space="preserve">the bank to take </w:t>
      </w:r>
      <w:r w:rsidRPr="005E2054">
        <w:rPr>
          <w:rFonts w:ascii="Times New Roman" w:hAnsi="Times New Roman" w:cs="Times New Roman"/>
          <w:sz w:val="24"/>
          <w:szCs w:val="24"/>
        </w:rPr>
        <w:t>risk</w:t>
      </w:r>
      <w:r w:rsidR="00104E9E">
        <w:rPr>
          <w:rFonts w:ascii="Times New Roman" w:hAnsi="Times New Roman" w:cs="Times New Roman"/>
          <w:sz w:val="24"/>
          <w:szCs w:val="24"/>
        </w:rPr>
        <w:t>s</w:t>
      </w:r>
      <w:r w:rsidRPr="005E2054">
        <w:rPr>
          <w:rFonts w:ascii="Times New Roman" w:hAnsi="Times New Roman" w:cs="Times New Roman"/>
          <w:sz w:val="24"/>
          <w:szCs w:val="24"/>
        </w:rPr>
        <w:t xml:space="preserve">; the more </w:t>
      </w:r>
      <w:r w:rsidR="00104E9E">
        <w:rPr>
          <w:rFonts w:ascii="Times New Roman" w:hAnsi="Times New Roman" w:cs="Times New Roman"/>
          <w:sz w:val="24"/>
          <w:szCs w:val="24"/>
        </w:rPr>
        <w:t>of a</w:t>
      </w:r>
      <w:r w:rsidRPr="005E2054">
        <w:rPr>
          <w:rFonts w:ascii="Times New Roman" w:hAnsi="Times New Roman" w:cs="Times New Roman"/>
          <w:sz w:val="24"/>
          <w:szCs w:val="24"/>
        </w:rPr>
        <w:t xml:space="preserve"> risk a bank is willing to take</w:t>
      </w:r>
      <w:r w:rsidR="00104E9E">
        <w:rPr>
          <w:rFonts w:ascii="Times New Roman" w:hAnsi="Times New Roman" w:cs="Times New Roman"/>
          <w:sz w:val="24"/>
          <w:szCs w:val="24"/>
        </w:rPr>
        <w:t>,</w:t>
      </w:r>
      <w:r w:rsidRPr="005E2054">
        <w:rPr>
          <w:rFonts w:ascii="Times New Roman" w:hAnsi="Times New Roman" w:cs="Times New Roman"/>
          <w:sz w:val="24"/>
          <w:szCs w:val="24"/>
        </w:rPr>
        <w:t xml:space="preserve"> the more profit it can earn by effectively using those factors (assets and liabilities). As a business process</w:t>
      </w:r>
      <w:r w:rsidR="00104E9E">
        <w:rPr>
          <w:rFonts w:ascii="Times New Roman" w:hAnsi="Times New Roman" w:cs="Times New Roman"/>
          <w:sz w:val="24"/>
          <w:szCs w:val="24"/>
        </w:rPr>
        <w:t>,</w:t>
      </w:r>
      <w:r w:rsidRPr="005E2054">
        <w:rPr>
          <w:rFonts w:ascii="Times New Roman" w:hAnsi="Times New Roman" w:cs="Times New Roman"/>
          <w:sz w:val="24"/>
          <w:szCs w:val="24"/>
        </w:rPr>
        <w:t xml:space="preserve"> commercial banks must have proper management to minimize the costs that are inherited</w:t>
      </w:r>
      <w:r w:rsidR="00104E9E">
        <w:rPr>
          <w:rFonts w:ascii="Times New Roman" w:hAnsi="Times New Roman" w:cs="Times New Roman"/>
          <w:sz w:val="24"/>
          <w:szCs w:val="24"/>
        </w:rPr>
        <w:t>,</w:t>
      </w:r>
      <w:r w:rsidRPr="005E2054">
        <w:rPr>
          <w:rFonts w:ascii="Times New Roman" w:hAnsi="Times New Roman" w:cs="Times New Roman"/>
          <w:sz w:val="24"/>
          <w:szCs w:val="24"/>
        </w:rPr>
        <w:t xml:space="preserve"> in order to survive in </w:t>
      </w:r>
      <w:r w:rsidR="00104E9E">
        <w:rPr>
          <w:rFonts w:ascii="Times New Roman" w:hAnsi="Times New Roman" w:cs="Times New Roman"/>
          <w:sz w:val="24"/>
          <w:szCs w:val="24"/>
        </w:rPr>
        <w:t>a</w:t>
      </w:r>
      <w:r w:rsidRPr="005E2054">
        <w:rPr>
          <w:rFonts w:ascii="Times New Roman" w:hAnsi="Times New Roman" w:cs="Times New Roman"/>
          <w:sz w:val="24"/>
          <w:szCs w:val="24"/>
        </w:rPr>
        <w:t xml:space="preserve"> competitive world through absorbing these potential costs and approaching a turnover (Mutuku, 2016). </w:t>
      </w:r>
    </w:p>
    <w:p w:rsidR="00B967B6" w:rsidRPr="00680CB3" w:rsidRDefault="00B967B6" w:rsidP="00B967B6">
      <w:pPr>
        <w:pStyle w:val="Heading2"/>
        <w:rPr>
          <w:rFonts w:ascii="Cambria" w:hAnsi="Cambria"/>
          <w:b w:val="0"/>
          <w:bCs w:val="0"/>
        </w:rPr>
      </w:pPr>
      <w:bookmarkStart w:id="43" w:name="_Toc1723552"/>
      <w:bookmarkStart w:id="44" w:name="_Toc2075028"/>
      <w:r w:rsidRPr="00680CB3">
        <w:rPr>
          <w:rFonts w:ascii="Cambria" w:hAnsi="Cambria"/>
          <w:bCs w:val="0"/>
        </w:rPr>
        <w:t>Comparison of Islamic and Conventional Banking Framework</w:t>
      </w:r>
      <w:bookmarkEnd w:id="43"/>
      <w:bookmarkEnd w:id="44"/>
    </w:p>
    <w:p w:rsidR="00B967B6" w:rsidRPr="005E2054" w:rsidRDefault="00B967B6" w:rsidP="00B967B6">
      <w:pPr>
        <w:spacing w:line="480" w:lineRule="auto"/>
        <w:rPr>
          <w:rFonts w:ascii="Times New Roman" w:hAnsi="Times New Roman" w:cs="Times New Roman"/>
          <w:sz w:val="24"/>
          <w:szCs w:val="24"/>
        </w:rPr>
      </w:pPr>
      <w:r w:rsidRPr="00680CB3">
        <w:rPr>
          <w:rFonts w:cs="Times New Roman"/>
        </w:rPr>
        <w:tab/>
      </w:r>
      <w:r w:rsidRPr="005E2054">
        <w:rPr>
          <w:rFonts w:ascii="Times New Roman" w:hAnsi="Times New Roman" w:cs="Times New Roman"/>
          <w:sz w:val="24"/>
          <w:szCs w:val="24"/>
        </w:rPr>
        <w:t>The framework of both the banks considered for this study varies to a greater extent. The Conventional ba</w:t>
      </w:r>
      <w:r w:rsidR="00895E04">
        <w:rPr>
          <w:rFonts w:ascii="Times New Roman" w:hAnsi="Times New Roman" w:cs="Times New Roman"/>
          <w:sz w:val="24"/>
          <w:szCs w:val="24"/>
        </w:rPr>
        <w:t>nks</w:t>
      </w:r>
      <w:r w:rsidRPr="005E2054">
        <w:rPr>
          <w:rFonts w:ascii="Times New Roman" w:hAnsi="Times New Roman" w:cs="Times New Roman"/>
          <w:sz w:val="24"/>
          <w:szCs w:val="24"/>
        </w:rPr>
        <w:t xml:space="preserve"> </w:t>
      </w:r>
      <w:r w:rsidR="00895E04">
        <w:rPr>
          <w:rFonts w:ascii="Times New Roman" w:hAnsi="Times New Roman" w:cs="Times New Roman"/>
          <w:sz w:val="24"/>
          <w:szCs w:val="24"/>
        </w:rPr>
        <w:t>utilise</w:t>
      </w:r>
      <w:r w:rsidRPr="005E2054">
        <w:rPr>
          <w:rFonts w:ascii="Times New Roman" w:hAnsi="Times New Roman" w:cs="Times New Roman"/>
          <w:sz w:val="24"/>
          <w:szCs w:val="24"/>
        </w:rPr>
        <w:t xml:space="preserve"> a combination of debt and equity and expect a fixed percentage of interest from the debt</w:t>
      </w:r>
      <w:r w:rsidR="00104E9E">
        <w:rPr>
          <w:rFonts w:ascii="Times New Roman" w:hAnsi="Times New Roman" w:cs="Times New Roman"/>
          <w:sz w:val="24"/>
          <w:szCs w:val="24"/>
        </w:rPr>
        <w:t>,</w:t>
      </w:r>
      <w:r w:rsidR="00895E04">
        <w:rPr>
          <w:rFonts w:ascii="Times New Roman" w:hAnsi="Times New Roman" w:cs="Times New Roman"/>
          <w:sz w:val="24"/>
          <w:szCs w:val="24"/>
        </w:rPr>
        <w:t xml:space="preserve"> while providing funding to any internal as well external project</w:t>
      </w:r>
      <w:r w:rsidR="002909E3">
        <w:rPr>
          <w:rFonts w:ascii="Times New Roman" w:hAnsi="Times New Roman" w:cs="Times New Roman"/>
          <w:sz w:val="24"/>
          <w:szCs w:val="24"/>
        </w:rPr>
        <w:t>.  However,</w:t>
      </w:r>
      <w:r w:rsidRPr="005E2054">
        <w:rPr>
          <w:rFonts w:ascii="Times New Roman" w:hAnsi="Times New Roman" w:cs="Times New Roman"/>
          <w:sz w:val="24"/>
          <w:szCs w:val="24"/>
        </w:rPr>
        <w:t xml:space="preserve"> the </w:t>
      </w:r>
      <w:r w:rsidR="002909E3">
        <w:rPr>
          <w:rFonts w:ascii="Times New Roman" w:hAnsi="Times New Roman" w:cs="Times New Roman"/>
          <w:sz w:val="24"/>
          <w:szCs w:val="24"/>
        </w:rPr>
        <w:t xml:space="preserve">operations of </w:t>
      </w:r>
      <w:r w:rsidR="00104E9E">
        <w:rPr>
          <w:rFonts w:ascii="Times New Roman" w:hAnsi="Times New Roman" w:cs="Times New Roman"/>
          <w:sz w:val="24"/>
          <w:szCs w:val="24"/>
        </w:rPr>
        <w:t xml:space="preserve">the </w:t>
      </w:r>
      <w:r w:rsidR="002909E3">
        <w:rPr>
          <w:rFonts w:ascii="Times New Roman" w:hAnsi="Times New Roman" w:cs="Times New Roman"/>
          <w:sz w:val="24"/>
          <w:szCs w:val="24"/>
        </w:rPr>
        <w:t>Islamic banking structure</w:t>
      </w:r>
      <w:r w:rsidR="00104E9E">
        <w:rPr>
          <w:rFonts w:ascii="Times New Roman" w:hAnsi="Times New Roman" w:cs="Times New Roman"/>
          <w:sz w:val="24"/>
          <w:szCs w:val="24"/>
        </w:rPr>
        <w:t xml:space="preserve"> are</w:t>
      </w:r>
      <w:r w:rsidRPr="005E2054">
        <w:rPr>
          <w:rFonts w:ascii="Times New Roman" w:hAnsi="Times New Roman" w:cs="Times New Roman"/>
          <w:sz w:val="24"/>
          <w:szCs w:val="24"/>
        </w:rPr>
        <w:t xml:space="preserve"> based on the principles of laws associated with Islami</w:t>
      </w:r>
      <w:r w:rsidR="002909E3">
        <w:rPr>
          <w:rFonts w:ascii="Times New Roman" w:hAnsi="Times New Roman" w:cs="Times New Roman"/>
          <w:sz w:val="24"/>
          <w:szCs w:val="24"/>
        </w:rPr>
        <w:t>c culture</w:t>
      </w:r>
      <w:r w:rsidRPr="005E2054">
        <w:rPr>
          <w:rFonts w:ascii="Times New Roman" w:hAnsi="Times New Roman" w:cs="Times New Roman"/>
          <w:sz w:val="24"/>
          <w:szCs w:val="24"/>
        </w:rPr>
        <w:t xml:space="preserve">. </w:t>
      </w:r>
      <w:r w:rsidR="00FB50FD">
        <w:rPr>
          <w:rFonts w:ascii="Times New Roman" w:hAnsi="Times New Roman" w:cs="Times New Roman"/>
          <w:sz w:val="24"/>
          <w:szCs w:val="24"/>
        </w:rPr>
        <w:t>T</w:t>
      </w:r>
      <w:r w:rsidR="008259CB">
        <w:rPr>
          <w:rFonts w:ascii="Times New Roman" w:hAnsi="Times New Roman" w:cs="Times New Roman"/>
          <w:sz w:val="24"/>
          <w:szCs w:val="24"/>
        </w:rPr>
        <w:t xml:space="preserve">his </w:t>
      </w:r>
      <w:r w:rsidRPr="005E2054">
        <w:rPr>
          <w:rFonts w:ascii="Times New Roman" w:hAnsi="Times New Roman" w:cs="Times New Roman"/>
          <w:sz w:val="24"/>
          <w:szCs w:val="24"/>
        </w:rPr>
        <w:t>system does not permit debt creation through the transaction of assets</w:t>
      </w:r>
      <w:r w:rsidR="00104E9E">
        <w:rPr>
          <w:rFonts w:ascii="Times New Roman" w:hAnsi="Times New Roman" w:cs="Times New Roman"/>
          <w:sz w:val="24"/>
          <w:szCs w:val="24"/>
        </w:rPr>
        <w:t>,</w:t>
      </w:r>
      <w:r w:rsidR="00FB50FD">
        <w:rPr>
          <w:rFonts w:ascii="Times New Roman" w:hAnsi="Times New Roman" w:cs="Times New Roman"/>
          <w:sz w:val="24"/>
          <w:szCs w:val="24"/>
        </w:rPr>
        <w:t xml:space="preserve"> as it recommends the sharing </w:t>
      </w:r>
      <w:r w:rsidR="00104E9E">
        <w:rPr>
          <w:rFonts w:ascii="Times New Roman" w:hAnsi="Times New Roman" w:cs="Times New Roman"/>
          <w:sz w:val="24"/>
          <w:szCs w:val="24"/>
        </w:rPr>
        <w:t xml:space="preserve">of </w:t>
      </w:r>
      <w:r w:rsidR="00FB50FD">
        <w:rPr>
          <w:rFonts w:ascii="Times New Roman" w:hAnsi="Times New Roman" w:cs="Times New Roman"/>
          <w:sz w:val="24"/>
          <w:szCs w:val="24"/>
        </w:rPr>
        <w:t xml:space="preserve">ownership </w:t>
      </w:r>
      <w:r w:rsidR="00FB50FD" w:rsidRPr="005E2054">
        <w:rPr>
          <w:rFonts w:ascii="Times New Roman" w:hAnsi="Times New Roman" w:cs="Times New Roman"/>
          <w:sz w:val="24"/>
          <w:szCs w:val="24"/>
        </w:rPr>
        <w:t>in the field of investment</w:t>
      </w:r>
      <w:r w:rsidR="006B7C9F">
        <w:rPr>
          <w:rFonts w:ascii="Times New Roman" w:hAnsi="Times New Roman" w:cs="Times New Roman"/>
          <w:sz w:val="24"/>
          <w:szCs w:val="24"/>
        </w:rPr>
        <w:t>. Taking this line of research</w:t>
      </w:r>
      <w:r w:rsidR="00104E9E">
        <w:rPr>
          <w:rFonts w:ascii="Times New Roman" w:hAnsi="Times New Roman" w:cs="Times New Roman"/>
          <w:sz w:val="24"/>
          <w:szCs w:val="24"/>
        </w:rPr>
        <w:t xml:space="preserve"> a</w:t>
      </w:r>
      <w:r w:rsidR="006B7C9F">
        <w:rPr>
          <w:rFonts w:ascii="Times New Roman" w:hAnsi="Times New Roman" w:cs="Times New Roman"/>
          <w:sz w:val="24"/>
          <w:szCs w:val="24"/>
        </w:rPr>
        <w:t xml:space="preserve"> bit deeper, as per </w:t>
      </w:r>
      <w:r w:rsidR="00104E9E">
        <w:rPr>
          <w:rFonts w:ascii="Times New Roman" w:hAnsi="Times New Roman" w:cs="Times New Roman"/>
          <w:sz w:val="24"/>
          <w:szCs w:val="24"/>
        </w:rPr>
        <w:t xml:space="preserve">the </w:t>
      </w:r>
      <w:r w:rsidR="006B7C9F">
        <w:rPr>
          <w:rFonts w:ascii="Times New Roman" w:hAnsi="Times New Roman" w:cs="Times New Roman"/>
          <w:sz w:val="24"/>
          <w:szCs w:val="24"/>
        </w:rPr>
        <w:t>view of</w:t>
      </w:r>
      <w:r w:rsidRPr="005E2054">
        <w:rPr>
          <w:rFonts w:ascii="Times New Roman" w:hAnsi="Times New Roman" w:cs="Times New Roman"/>
          <w:sz w:val="24"/>
          <w:szCs w:val="24"/>
        </w:rPr>
        <w:t xml:space="preserve"> </w:t>
      </w:r>
      <w:r w:rsidRPr="005E2054">
        <w:rPr>
          <w:rFonts w:ascii="Times New Roman" w:hAnsi="Times New Roman"/>
          <w:sz w:val="24"/>
        </w:rPr>
        <w:t>Onakoya and Onakoya (2013)</w:t>
      </w:r>
      <w:r w:rsidRPr="005E2054">
        <w:rPr>
          <w:rFonts w:ascii="Times New Roman" w:hAnsi="Times New Roman" w:cs="Times New Roman"/>
          <w:sz w:val="24"/>
          <w:szCs w:val="24"/>
        </w:rPr>
        <w:t>, the broad objective of t</w:t>
      </w:r>
      <w:r w:rsidR="00F35464">
        <w:rPr>
          <w:rFonts w:ascii="Times New Roman" w:hAnsi="Times New Roman" w:cs="Times New Roman"/>
          <w:sz w:val="24"/>
          <w:szCs w:val="24"/>
        </w:rPr>
        <w:t>his type of banking system is mitigating</w:t>
      </w:r>
      <w:r w:rsidRPr="005E2054">
        <w:rPr>
          <w:rFonts w:ascii="Times New Roman" w:hAnsi="Times New Roman" w:cs="Times New Roman"/>
          <w:sz w:val="24"/>
          <w:szCs w:val="24"/>
        </w:rPr>
        <w:t xml:space="preserve"> the unethical approaches prohibited </w:t>
      </w:r>
      <w:r w:rsidR="00F35464">
        <w:rPr>
          <w:rFonts w:ascii="Times New Roman" w:hAnsi="Times New Roman" w:cs="Times New Roman"/>
          <w:sz w:val="24"/>
          <w:szCs w:val="24"/>
        </w:rPr>
        <w:t xml:space="preserve">mainly </w:t>
      </w:r>
      <w:r w:rsidRPr="005E2054">
        <w:rPr>
          <w:rFonts w:ascii="Times New Roman" w:hAnsi="Times New Roman" w:cs="Times New Roman"/>
          <w:sz w:val="24"/>
          <w:szCs w:val="24"/>
        </w:rPr>
        <w:t xml:space="preserve">in the Islam religion. As the infrastructure of these banks forbids investment in alcohol, tobacco, entertainment and others, the scope of investment also gets reduced. Because of this precise characteristic of the Islamic banks prohibiting the use of interest, there were many segments of society who was sceptical that </w:t>
      </w:r>
      <w:r w:rsidRPr="005E2054">
        <w:rPr>
          <w:rFonts w:ascii="Times New Roman" w:hAnsi="Times New Roman" w:cs="Times New Roman"/>
          <w:sz w:val="24"/>
          <w:szCs w:val="24"/>
        </w:rPr>
        <w:lastRenderedPageBreak/>
        <w:t xml:space="preserve">this interest-free banking would not survive for long. Despite all these scepticism, Islamic banks are growing at a fast pace in the finance industry. </w:t>
      </w:r>
    </w:p>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Another thing to consider is that an interest-free banking does not at mean the bank doesn’t generate revenues. It is on the contrary a more secure and stable banking alternative. Now the question arises is if they do run on interest-free banking</w:t>
      </w:r>
      <w:r w:rsidR="00104E9E">
        <w:rPr>
          <w:rFonts w:ascii="Times New Roman" w:hAnsi="Times New Roman" w:cs="Times New Roman"/>
          <w:sz w:val="24"/>
          <w:szCs w:val="24"/>
        </w:rPr>
        <w:t>,</w:t>
      </w:r>
      <w:r w:rsidRPr="005E2054">
        <w:rPr>
          <w:rFonts w:ascii="Times New Roman" w:hAnsi="Times New Roman" w:cs="Times New Roman"/>
          <w:sz w:val="24"/>
          <w:szCs w:val="24"/>
        </w:rPr>
        <w:t xml:space="preserve"> then how do they g</w:t>
      </w:r>
      <w:r w:rsidR="00104E9E">
        <w:rPr>
          <w:rFonts w:ascii="Times New Roman" w:hAnsi="Times New Roman" w:cs="Times New Roman"/>
          <w:sz w:val="24"/>
          <w:szCs w:val="24"/>
        </w:rPr>
        <w:t>enerate profit?</w:t>
      </w:r>
      <w:r w:rsidRPr="005E2054">
        <w:rPr>
          <w:rFonts w:ascii="Times New Roman" w:hAnsi="Times New Roman" w:cs="Times New Roman"/>
          <w:sz w:val="24"/>
          <w:szCs w:val="24"/>
        </w:rPr>
        <w:t xml:space="preserve"> The answer to this is. Islamic banks are involved in receiving fees and commissions for the services being provided by them. The banks are the participant in a profit/loss sharing contract with their clients and this contract protects them. </w:t>
      </w:r>
      <w:r w:rsidR="004B76CE">
        <w:rPr>
          <w:rFonts w:ascii="Times New Roman" w:hAnsi="Times New Roman" w:cs="Times New Roman"/>
          <w:sz w:val="24"/>
          <w:szCs w:val="24"/>
        </w:rPr>
        <w:t xml:space="preserve"> According to</w:t>
      </w:r>
      <w:r w:rsidRPr="005E2054">
        <w:rPr>
          <w:rFonts w:ascii="Times New Roman" w:hAnsi="Times New Roman" w:cs="Times New Roman"/>
          <w:sz w:val="24"/>
          <w:szCs w:val="24"/>
        </w:rPr>
        <w:t xml:space="preserve"> Sillah and Harrathi (2015), the growth of this particular bank has been aroused by the imp</w:t>
      </w:r>
      <w:r w:rsidR="004B76CE">
        <w:rPr>
          <w:rFonts w:ascii="Times New Roman" w:hAnsi="Times New Roman" w:cs="Times New Roman"/>
          <w:sz w:val="24"/>
          <w:szCs w:val="24"/>
        </w:rPr>
        <w:t xml:space="preserve">lementation of modern products in order </w:t>
      </w:r>
      <w:r w:rsidRPr="005E2054">
        <w:rPr>
          <w:rFonts w:ascii="Times New Roman" w:hAnsi="Times New Roman" w:cs="Times New Roman"/>
          <w:sz w:val="24"/>
          <w:szCs w:val="24"/>
        </w:rPr>
        <w:t xml:space="preserve">to </w:t>
      </w:r>
      <w:r w:rsidR="004B76CE">
        <w:rPr>
          <w:rFonts w:ascii="Times New Roman" w:hAnsi="Times New Roman" w:cs="Times New Roman"/>
          <w:sz w:val="24"/>
          <w:szCs w:val="24"/>
        </w:rPr>
        <w:t>generate more customer satisfaction</w:t>
      </w:r>
      <w:r w:rsidRPr="005E2054">
        <w:rPr>
          <w:rFonts w:ascii="Times New Roman" w:hAnsi="Times New Roman" w:cs="Times New Roman"/>
          <w:sz w:val="24"/>
          <w:szCs w:val="24"/>
        </w:rPr>
        <w:t>. On the other hand, under Conventional banking infrastructure, present money is traded against future m</w:t>
      </w:r>
      <w:r w:rsidR="0039153D">
        <w:rPr>
          <w:rFonts w:ascii="Times New Roman" w:hAnsi="Times New Roman" w:cs="Times New Roman"/>
          <w:sz w:val="24"/>
          <w:szCs w:val="24"/>
        </w:rPr>
        <w:t>oney. As Ibrahim (2015) suggested</w:t>
      </w:r>
      <w:r w:rsidRPr="005E2054">
        <w:rPr>
          <w:rFonts w:ascii="Times New Roman" w:hAnsi="Times New Roman" w:cs="Times New Roman"/>
          <w:sz w:val="24"/>
          <w:szCs w:val="24"/>
        </w:rPr>
        <w:t>, unlike Islamic banks, large speculative transactions results into a considerable source of instability</w:t>
      </w:r>
      <w:r w:rsidR="0039153D">
        <w:rPr>
          <w:rFonts w:ascii="Times New Roman" w:hAnsi="Times New Roman" w:cs="Times New Roman"/>
          <w:sz w:val="24"/>
          <w:szCs w:val="24"/>
        </w:rPr>
        <w:t xml:space="preserve"> in conventional banks</w:t>
      </w:r>
      <w:r w:rsidRPr="005E2054">
        <w:rPr>
          <w:rFonts w:ascii="Times New Roman" w:hAnsi="Times New Roman" w:cs="Times New Roman"/>
          <w:sz w:val="24"/>
          <w:szCs w:val="24"/>
        </w:rPr>
        <w:t xml:space="preserve">. Islamic banks </w:t>
      </w:r>
      <w:r w:rsidR="0039153D">
        <w:rPr>
          <w:rFonts w:ascii="Times New Roman" w:hAnsi="Times New Roman" w:cs="Times New Roman"/>
          <w:sz w:val="24"/>
          <w:szCs w:val="24"/>
        </w:rPr>
        <w:t>are seen to utilise the money income to the situations of</w:t>
      </w:r>
      <w:r w:rsidRPr="005E2054">
        <w:rPr>
          <w:rFonts w:ascii="Times New Roman" w:hAnsi="Times New Roman" w:cs="Times New Roman"/>
          <w:sz w:val="24"/>
          <w:szCs w:val="24"/>
        </w:rPr>
        <w:t xml:space="preserve"> loss generated from the activities </w:t>
      </w:r>
      <w:r w:rsidR="0039153D">
        <w:rPr>
          <w:rFonts w:ascii="Times New Roman" w:hAnsi="Times New Roman" w:cs="Times New Roman"/>
          <w:sz w:val="24"/>
          <w:szCs w:val="24"/>
        </w:rPr>
        <w:t xml:space="preserve">that </w:t>
      </w:r>
      <w:r w:rsidRPr="005E2054">
        <w:rPr>
          <w:rFonts w:ascii="Times New Roman" w:hAnsi="Times New Roman" w:cs="Times New Roman"/>
          <w:sz w:val="24"/>
          <w:szCs w:val="24"/>
        </w:rPr>
        <w:t>are usually shared according to the agreement. The differences are pointed below:</w:t>
      </w:r>
    </w:p>
    <w:tbl>
      <w:tblPr>
        <w:tblStyle w:val="TableGrid"/>
        <w:tblW w:w="9422" w:type="dxa"/>
        <w:tblLook w:val="04A0" w:firstRow="1" w:lastRow="0" w:firstColumn="1" w:lastColumn="0" w:noHBand="0" w:noVBand="1"/>
      </w:tblPr>
      <w:tblGrid>
        <w:gridCol w:w="4711"/>
        <w:gridCol w:w="4711"/>
      </w:tblGrid>
      <w:tr w:rsidR="00B967B6" w:rsidRPr="005E2054" w:rsidTr="005E2054">
        <w:trPr>
          <w:trHeight w:val="440"/>
        </w:trPr>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Conventional Bank</w:t>
            </w:r>
          </w:p>
        </w:tc>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Islamic Bank</w:t>
            </w:r>
          </w:p>
        </w:tc>
      </w:tr>
      <w:tr w:rsidR="00B967B6" w:rsidRPr="005E2054" w:rsidTr="005E2054">
        <w:trPr>
          <w:trHeight w:val="836"/>
        </w:trPr>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Money is considered to be the core product besides being the medium of exchange and store of value in a conventional banking system.</w:t>
            </w:r>
          </w:p>
        </w:tc>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The core product in an Islamic banking system is the Real asset. Money only holds the role of a medium of exchange.</w:t>
            </w:r>
          </w:p>
        </w:tc>
      </w:tr>
      <w:tr w:rsidR="00B967B6" w:rsidRPr="005E2054" w:rsidTr="005E2054">
        <w:trPr>
          <w:trHeight w:val="886"/>
        </w:trPr>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The conventional bank charges interest even in case if it suffers losses as there is no concept such as sharing the losses.</w:t>
            </w:r>
          </w:p>
        </w:tc>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In Islamic banking when there are losses it is shared.</w:t>
            </w:r>
          </w:p>
          <w:p w:rsidR="00B967B6" w:rsidRPr="005E2054" w:rsidRDefault="00B967B6" w:rsidP="005E2054">
            <w:pPr>
              <w:spacing w:line="480" w:lineRule="auto"/>
              <w:rPr>
                <w:rFonts w:ascii="Times New Roman" w:hAnsi="Times New Roman" w:cs="Times New Roman"/>
                <w:sz w:val="24"/>
                <w:szCs w:val="24"/>
              </w:rPr>
            </w:pPr>
          </w:p>
        </w:tc>
      </w:tr>
      <w:tr w:rsidR="00B967B6" w:rsidRPr="005E2054" w:rsidTr="005E2054">
        <w:trPr>
          <w:trHeight w:val="836"/>
        </w:trPr>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Interest is charged on capital and time value is the basis on which interest is calculated in case of conventional banking.</w:t>
            </w:r>
          </w:p>
        </w:tc>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As per Waemustafa, and Sukri (2016), this is not the same with Islamic system as the basis for earning profit is the profit earned on the exchange of goods and services.</w:t>
            </w:r>
          </w:p>
          <w:p w:rsidR="00B967B6" w:rsidRPr="005E2054" w:rsidRDefault="00B967B6" w:rsidP="005E2054">
            <w:pPr>
              <w:spacing w:line="480" w:lineRule="auto"/>
              <w:rPr>
                <w:rFonts w:ascii="Times New Roman" w:hAnsi="Times New Roman" w:cs="Times New Roman"/>
                <w:sz w:val="24"/>
                <w:szCs w:val="24"/>
              </w:rPr>
            </w:pPr>
          </w:p>
        </w:tc>
      </w:tr>
      <w:tr w:rsidR="00B967B6" w:rsidRPr="005E2054" w:rsidTr="005E2054">
        <w:trPr>
          <w:trHeight w:val="886"/>
        </w:trPr>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lastRenderedPageBreak/>
              <w:t>In conventional type, in the money market the expanded money is not backed with real assets thus resulting in deficit financing.</w:t>
            </w:r>
          </w:p>
        </w:tc>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There is no expansion of money in the Islamic type thus balance budget is its outcome.</w:t>
            </w:r>
          </w:p>
        </w:tc>
      </w:tr>
      <w:tr w:rsidR="00B967B6" w:rsidRPr="005E2054" w:rsidTr="005E2054">
        <w:trPr>
          <w:trHeight w:val="886"/>
        </w:trPr>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In conventional banking, the banks do not undergo an agreement for the exchange of goods and services while disbursing cash finance, running finance or working capital finance.</w:t>
            </w:r>
          </w:p>
        </w:tc>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According to Karim et al. (2014) the opposite of this happens in the Islamic banking where while disbursing funds the execution of an agreement for the exchange of goods and services is a must.</w:t>
            </w:r>
          </w:p>
          <w:p w:rsidR="00B967B6" w:rsidRPr="005E2054" w:rsidRDefault="00B967B6" w:rsidP="005E2054">
            <w:pPr>
              <w:spacing w:line="480" w:lineRule="auto"/>
              <w:rPr>
                <w:rFonts w:ascii="Times New Roman" w:hAnsi="Times New Roman" w:cs="Times New Roman"/>
                <w:sz w:val="24"/>
                <w:szCs w:val="24"/>
              </w:rPr>
            </w:pPr>
          </w:p>
        </w:tc>
      </w:tr>
      <w:tr w:rsidR="00B967B6" w:rsidRPr="005E2054" w:rsidTr="005E2054">
        <w:trPr>
          <w:trHeight w:val="836"/>
        </w:trPr>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Since there is no existence of goods and services while disbursing loan, this leads to the expansion of money and thus creation of inflation takes place in a conventional system.</w:t>
            </w:r>
          </w:p>
        </w:tc>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Since there is an existence of goods and services thus there is no expansion of money, no inflation is generally created in Islamic system.</w:t>
            </w:r>
          </w:p>
        </w:tc>
      </w:tr>
      <w:tr w:rsidR="00B967B6" w:rsidRPr="005E2054" w:rsidTr="005E2054">
        <w:trPr>
          <w:trHeight w:val="886"/>
        </w:trPr>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Inflation leads to an increase in the price of the goods and services which makes the goods and services costlier in the conventional mechanism.</w:t>
            </w:r>
          </w:p>
        </w:tc>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On the contrary, since there is proper control over inflation in the Islamic mechanism of banking, the entrepreneur does not charge any extra price on the goods and services.</w:t>
            </w:r>
          </w:p>
          <w:p w:rsidR="00B967B6" w:rsidRPr="005E2054" w:rsidRDefault="00B967B6" w:rsidP="005E2054">
            <w:pPr>
              <w:spacing w:line="480" w:lineRule="auto"/>
              <w:rPr>
                <w:rFonts w:ascii="Times New Roman" w:hAnsi="Times New Roman" w:cs="Times New Roman"/>
                <w:sz w:val="24"/>
                <w:szCs w:val="24"/>
              </w:rPr>
            </w:pPr>
          </w:p>
        </w:tc>
      </w:tr>
      <w:tr w:rsidR="00B967B6" w:rsidRPr="005E2054" w:rsidTr="005E2054">
        <w:trPr>
          <w:trHeight w:val="836"/>
        </w:trPr>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A disadvantage in the conventional banking is that if the borrower is unable to pay his loan back, the loan declared a non performing loan and then written off which becomes a loss for the bank (Khediri et al. 2015).</w:t>
            </w:r>
          </w:p>
        </w:tc>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If a project fails in the Islamic system, the management of such an organization can be handed over to a better management team.</w:t>
            </w:r>
          </w:p>
          <w:p w:rsidR="00B967B6" w:rsidRPr="005E2054" w:rsidRDefault="00B967B6" w:rsidP="005E2054">
            <w:pPr>
              <w:spacing w:line="480" w:lineRule="auto"/>
              <w:rPr>
                <w:rFonts w:ascii="Times New Roman" w:hAnsi="Times New Roman" w:cs="Times New Roman"/>
                <w:sz w:val="24"/>
                <w:szCs w:val="24"/>
              </w:rPr>
            </w:pPr>
          </w:p>
        </w:tc>
      </w:tr>
      <w:tr w:rsidR="00B967B6" w:rsidRPr="005E2054" w:rsidTr="005E2054">
        <w:trPr>
          <w:trHeight w:val="935"/>
        </w:trPr>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There is no real growth of money in a conventional banking system as the money is only in a few hands.</w:t>
            </w:r>
          </w:p>
        </w:tc>
        <w:tc>
          <w:tcPr>
            <w:tcW w:w="4711" w:type="dxa"/>
          </w:tcPr>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 xml:space="preserve">In the Islamic system there is a real growth of wealth of the people. The society also grows as a whole. The ownership goes into a lot of </w:t>
            </w:r>
            <w:r w:rsidRPr="005E2054">
              <w:rPr>
                <w:rFonts w:ascii="Times New Roman" w:hAnsi="Times New Roman" w:cs="Times New Roman"/>
                <w:sz w:val="24"/>
                <w:szCs w:val="24"/>
              </w:rPr>
              <w:lastRenderedPageBreak/>
              <w:t>hands. One can see the multiplier effect working.</w:t>
            </w:r>
          </w:p>
          <w:p w:rsidR="00B967B6" w:rsidRPr="005E2054" w:rsidRDefault="00B967B6" w:rsidP="005E2054">
            <w:pPr>
              <w:spacing w:line="480" w:lineRule="auto"/>
              <w:rPr>
                <w:rFonts w:ascii="Times New Roman" w:hAnsi="Times New Roman" w:cs="Times New Roman"/>
                <w:sz w:val="24"/>
                <w:szCs w:val="24"/>
              </w:rPr>
            </w:pPr>
          </w:p>
        </w:tc>
      </w:tr>
    </w:tbl>
    <w:p w:rsidR="00B967B6" w:rsidRPr="005E2054" w:rsidRDefault="00B967B6" w:rsidP="005E2054">
      <w:pPr>
        <w:spacing w:line="480" w:lineRule="auto"/>
        <w:rPr>
          <w:rFonts w:ascii="Times New Roman" w:hAnsi="Times New Roman" w:cs="Times New Roman"/>
          <w:sz w:val="24"/>
          <w:szCs w:val="24"/>
        </w:rPr>
      </w:pPr>
    </w:p>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 xml:space="preserve">It has been argued by Meero (2015) that the </w:t>
      </w:r>
      <w:r w:rsidR="00D04AB3">
        <w:rPr>
          <w:rFonts w:ascii="Times New Roman" w:hAnsi="Times New Roman" w:cs="Times New Roman"/>
          <w:sz w:val="24"/>
          <w:szCs w:val="24"/>
        </w:rPr>
        <w:t xml:space="preserve">Islamic banking system </w:t>
      </w:r>
      <w:r w:rsidRPr="005E2054">
        <w:rPr>
          <w:rFonts w:ascii="Times New Roman" w:hAnsi="Times New Roman" w:cs="Times New Roman"/>
          <w:sz w:val="24"/>
          <w:szCs w:val="24"/>
        </w:rPr>
        <w:t xml:space="preserve">structure of is considered </w:t>
      </w:r>
      <w:r w:rsidR="00D04AB3">
        <w:rPr>
          <w:rFonts w:ascii="Times New Roman" w:hAnsi="Times New Roman" w:cs="Times New Roman"/>
          <w:sz w:val="24"/>
          <w:szCs w:val="24"/>
        </w:rPr>
        <w:t xml:space="preserve">to be </w:t>
      </w:r>
      <w:r w:rsidRPr="005E2054">
        <w:rPr>
          <w:rFonts w:ascii="Times New Roman" w:hAnsi="Times New Roman" w:cs="Times New Roman"/>
          <w:sz w:val="24"/>
          <w:szCs w:val="24"/>
        </w:rPr>
        <w:t xml:space="preserve">better to that of the Conventional </w:t>
      </w:r>
      <w:r w:rsidR="00D04AB3">
        <w:rPr>
          <w:rFonts w:ascii="Times New Roman" w:hAnsi="Times New Roman" w:cs="Times New Roman"/>
          <w:sz w:val="24"/>
          <w:szCs w:val="24"/>
        </w:rPr>
        <w:t>ones due to their difference in priorities. The former banks prioritis</w:t>
      </w:r>
      <w:r w:rsidRPr="005E2054">
        <w:rPr>
          <w:rFonts w:ascii="Times New Roman" w:hAnsi="Times New Roman" w:cs="Times New Roman"/>
          <w:sz w:val="24"/>
          <w:szCs w:val="24"/>
        </w:rPr>
        <w:t xml:space="preserve">e more on the social as well as economic advancement of the citizens, instead of focusing only on the financial growth of the banks. Continuing in the same vein, </w:t>
      </w:r>
      <w:r w:rsidR="00D04AB3">
        <w:rPr>
          <w:rFonts w:ascii="Times New Roman" w:hAnsi="Times New Roman"/>
          <w:sz w:val="24"/>
        </w:rPr>
        <w:t>Onakoya and Onakoya (2013),</w:t>
      </w:r>
      <w:r w:rsidRPr="005E2054">
        <w:rPr>
          <w:rFonts w:ascii="Times New Roman" w:hAnsi="Times New Roman"/>
          <w:sz w:val="24"/>
        </w:rPr>
        <w:t xml:space="preserve"> </w:t>
      </w:r>
      <w:r w:rsidRPr="005E2054">
        <w:rPr>
          <w:rFonts w:ascii="Times New Roman" w:hAnsi="Times New Roman" w:cs="Times New Roman"/>
          <w:sz w:val="24"/>
          <w:szCs w:val="24"/>
        </w:rPr>
        <w:t>stated that while Conventional banks do not buy fixed capital assets</w:t>
      </w:r>
      <w:r w:rsidR="00104E9E">
        <w:rPr>
          <w:rFonts w:ascii="Times New Roman" w:hAnsi="Times New Roman" w:cs="Times New Roman"/>
          <w:sz w:val="24"/>
          <w:szCs w:val="24"/>
        </w:rPr>
        <w:t>,</w:t>
      </w:r>
      <w:r w:rsidRPr="005E2054">
        <w:rPr>
          <w:rFonts w:ascii="Times New Roman" w:hAnsi="Times New Roman" w:cs="Times New Roman"/>
          <w:sz w:val="24"/>
          <w:szCs w:val="24"/>
        </w:rPr>
        <w:t xml:space="preserve"> unless </w:t>
      </w:r>
      <w:r w:rsidR="00D04AB3">
        <w:rPr>
          <w:rFonts w:ascii="Times New Roman" w:hAnsi="Times New Roman" w:cs="Times New Roman"/>
          <w:sz w:val="24"/>
          <w:szCs w:val="24"/>
        </w:rPr>
        <w:t>for high emergency crisis situations that could harm the purpose</w:t>
      </w:r>
      <w:r w:rsidRPr="005E2054">
        <w:rPr>
          <w:rFonts w:ascii="Times New Roman" w:hAnsi="Times New Roman" w:cs="Times New Roman"/>
          <w:sz w:val="24"/>
          <w:szCs w:val="24"/>
        </w:rPr>
        <w:t xml:space="preserve"> of the banks</w:t>
      </w:r>
      <w:r w:rsidR="00D04AB3">
        <w:rPr>
          <w:rFonts w:ascii="Times New Roman" w:hAnsi="Times New Roman" w:cs="Times New Roman"/>
          <w:sz w:val="24"/>
          <w:szCs w:val="24"/>
        </w:rPr>
        <w:t xml:space="preserve"> by limiting their services. On the other hand,</w:t>
      </w:r>
      <w:r w:rsidRPr="005E2054">
        <w:rPr>
          <w:rFonts w:ascii="Times New Roman" w:hAnsi="Times New Roman" w:cs="Times New Roman"/>
          <w:sz w:val="24"/>
          <w:szCs w:val="24"/>
        </w:rPr>
        <w:t xml:space="preserve"> the Islamic banking structure develops the financial proces</w:t>
      </w:r>
      <w:r w:rsidR="00D04AB3">
        <w:rPr>
          <w:rFonts w:ascii="Times New Roman" w:hAnsi="Times New Roman" w:cs="Times New Roman"/>
          <w:sz w:val="24"/>
          <w:szCs w:val="24"/>
        </w:rPr>
        <w:t>ses by getting interconnected with</w:t>
      </w:r>
      <w:r w:rsidRPr="005E2054">
        <w:rPr>
          <w:rFonts w:ascii="Times New Roman" w:hAnsi="Times New Roman" w:cs="Times New Roman"/>
          <w:sz w:val="24"/>
          <w:szCs w:val="24"/>
        </w:rPr>
        <w:t xml:space="preserve"> </w:t>
      </w:r>
      <w:r w:rsidR="00D04AB3" w:rsidRPr="005E2054">
        <w:rPr>
          <w:rFonts w:ascii="Times New Roman" w:hAnsi="Times New Roman" w:cs="Times New Roman"/>
          <w:sz w:val="24"/>
          <w:szCs w:val="24"/>
        </w:rPr>
        <w:t xml:space="preserve">capital assets </w:t>
      </w:r>
      <w:r w:rsidRPr="005E2054">
        <w:rPr>
          <w:rFonts w:ascii="Times New Roman" w:hAnsi="Times New Roman" w:cs="Times New Roman"/>
          <w:sz w:val="24"/>
          <w:szCs w:val="24"/>
        </w:rPr>
        <w:t>and</w:t>
      </w:r>
      <w:r w:rsidR="00D04AB3">
        <w:rPr>
          <w:rFonts w:ascii="Times New Roman" w:hAnsi="Times New Roman" w:cs="Times New Roman"/>
          <w:sz w:val="24"/>
          <w:szCs w:val="24"/>
        </w:rPr>
        <w:t xml:space="preserve"> </w:t>
      </w:r>
      <w:r w:rsidR="00D04AB3" w:rsidRPr="005E2054">
        <w:rPr>
          <w:rFonts w:ascii="Times New Roman" w:hAnsi="Times New Roman" w:cs="Times New Roman"/>
          <w:sz w:val="24"/>
          <w:szCs w:val="24"/>
        </w:rPr>
        <w:t>commodities</w:t>
      </w:r>
      <w:r w:rsidR="00D04AB3">
        <w:rPr>
          <w:rFonts w:ascii="Times New Roman" w:hAnsi="Times New Roman" w:cs="Times New Roman"/>
          <w:sz w:val="24"/>
          <w:szCs w:val="24"/>
        </w:rPr>
        <w:t xml:space="preserve"> supervising methods.</w:t>
      </w:r>
    </w:p>
    <w:p w:rsidR="00B967B6" w:rsidRPr="00680CB3" w:rsidRDefault="00B967B6" w:rsidP="00B967B6">
      <w:pPr>
        <w:pStyle w:val="Heading2"/>
        <w:rPr>
          <w:rFonts w:ascii="Cambria" w:hAnsi="Cambria"/>
          <w:b w:val="0"/>
          <w:bCs w:val="0"/>
        </w:rPr>
      </w:pPr>
      <w:bookmarkStart w:id="45" w:name="_Toc516483366"/>
      <w:bookmarkStart w:id="46" w:name="_Toc1723553"/>
      <w:bookmarkStart w:id="47" w:name="_Toc2075029"/>
      <w:r w:rsidRPr="00680CB3">
        <w:rPr>
          <w:rFonts w:ascii="Cambria" w:hAnsi="Cambria"/>
          <w:bCs w:val="0"/>
        </w:rPr>
        <w:t>Reviewing Islamic and Conventional Banking Performance</w:t>
      </w:r>
      <w:bookmarkEnd w:id="45"/>
      <w:bookmarkEnd w:id="46"/>
      <w:bookmarkEnd w:id="47"/>
    </w:p>
    <w:p w:rsidR="00B967B6" w:rsidRPr="005E2054" w:rsidRDefault="00B967B6" w:rsidP="00B967B6">
      <w:pPr>
        <w:spacing w:line="480" w:lineRule="auto"/>
        <w:rPr>
          <w:rFonts w:ascii="Times New Roman" w:hAnsi="Times New Roman" w:cs="Times New Roman"/>
          <w:sz w:val="24"/>
          <w:szCs w:val="24"/>
        </w:rPr>
      </w:pPr>
      <w:r w:rsidRPr="00680CB3">
        <w:rPr>
          <w:rFonts w:cs="Times New Roman"/>
          <w:szCs w:val="24"/>
        </w:rPr>
        <w:tab/>
      </w:r>
      <w:r w:rsidRPr="005E2054">
        <w:rPr>
          <w:rFonts w:ascii="Times New Roman" w:hAnsi="Times New Roman" w:cs="Times New Roman"/>
          <w:sz w:val="24"/>
          <w:szCs w:val="24"/>
        </w:rPr>
        <w:t xml:space="preserve">Pradhan and Shrestha (2016) revealed that there is non-linear association between </w:t>
      </w:r>
      <w:r w:rsidR="009F339A" w:rsidRPr="005E2054">
        <w:rPr>
          <w:rFonts w:ascii="Times New Roman" w:hAnsi="Times New Roman" w:cs="Times New Roman"/>
          <w:sz w:val="24"/>
          <w:szCs w:val="24"/>
        </w:rPr>
        <w:t xml:space="preserve">profitability and liquid asset ratios </w:t>
      </w:r>
      <w:r w:rsidR="009F339A">
        <w:rPr>
          <w:rFonts w:ascii="Times New Roman" w:hAnsi="Times New Roman" w:cs="Times New Roman"/>
          <w:sz w:val="24"/>
          <w:szCs w:val="24"/>
        </w:rPr>
        <w:t xml:space="preserve">by evaluating the relationship of these two factors </w:t>
      </w:r>
      <w:r w:rsidR="009F339A" w:rsidRPr="005E2054">
        <w:rPr>
          <w:rFonts w:ascii="Times New Roman" w:hAnsi="Times New Roman" w:cs="Times New Roman"/>
          <w:sz w:val="24"/>
          <w:szCs w:val="24"/>
        </w:rPr>
        <w:t>for a number of the U.S and Canadian banks and</w:t>
      </w:r>
      <w:r w:rsidRPr="005E2054">
        <w:rPr>
          <w:rFonts w:ascii="Times New Roman" w:hAnsi="Times New Roman" w:cs="Times New Roman"/>
          <w:sz w:val="24"/>
          <w:szCs w:val="24"/>
        </w:rPr>
        <w:t>. Liquid asset implicates the availability of funds in financial crisis situations like providing loans to the business or personal investors. On the other side profitability of a bank depends on the financial performances which also include the degree of liquid asset reserves available in the bank. This non-linear association arises due to the negative co-relation between ROE and liquidity ratio, indicating as the degree of liquidity increases,</w:t>
      </w:r>
      <w:r w:rsidR="009345B9">
        <w:rPr>
          <w:rFonts w:ascii="Times New Roman" w:hAnsi="Times New Roman" w:cs="Times New Roman"/>
          <w:sz w:val="24"/>
          <w:szCs w:val="24"/>
        </w:rPr>
        <w:t xml:space="preserve"> the ROE falls. As per view of Yakobi and Ngcamu (2016), the significance of global financial crisis in both types of banks can be recognised in terms of similar realisations, that is an adverse e</w:t>
      </w:r>
      <w:r w:rsidRPr="005E2054">
        <w:rPr>
          <w:rFonts w:ascii="Times New Roman" w:hAnsi="Times New Roman" w:cs="Times New Roman"/>
          <w:sz w:val="24"/>
          <w:szCs w:val="24"/>
        </w:rPr>
        <w:t xml:space="preserve">ffect </w:t>
      </w:r>
      <w:r w:rsidR="009345B9">
        <w:rPr>
          <w:rFonts w:ascii="Times New Roman" w:hAnsi="Times New Roman" w:cs="Times New Roman"/>
          <w:sz w:val="24"/>
          <w:szCs w:val="24"/>
        </w:rPr>
        <w:t xml:space="preserve">on </w:t>
      </w:r>
      <w:r w:rsidRPr="005E2054">
        <w:rPr>
          <w:rFonts w:ascii="Times New Roman" w:hAnsi="Times New Roman" w:cs="Times New Roman"/>
          <w:sz w:val="24"/>
          <w:szCs w:val="24"/>
        </w:rPr>
        <w:t>profitability and liquidity ratios</w:t>
      </w:r>
      <w:r w:rsidR="008B1FB3">
        <w:rPr>
          <w:rFonts w:ascii="Times New Roman" w:hAnsi="Times New Roman" w:cs="Times New Roman"/>
          <w:sz w:val="24"/>
          <w:szCs w:val="24"/>
        </w:rPr>
        <w:t>. Continuing in the same vein</w:t>
      </w:r>
      <w:r w:rsidRPr="005E2054">
        <w:rPr>
          <w:rFonts w:ascii="Times New Roman" w:hAnsi="Times New Roman" w:cs="Times New Roman"/>
          <w:sz w:val="24"/>
          <w:szCs w:val="24"/>
        </w:rPr>
        <w:t xml:space="preserve">, Alkhazaleh (2017) argued that there must be a positive correlation between bank size and return on assets, for both </w:t>
      </w:r>
      <w:r w:rsidR="00191873">
        <w:rPr>
          <w:rFonts w:ascii="Times New Roman" w:hAnsi="Times New Roman" w:cs="Times New Roman"/>
          <w:sz w:val="24"/>
          <w:szCs w:val="24"/>
        </w:rPr>
        <w:t>Conventional as well as Islamic</w:t>
      </w:r>
      <w:r w:rsidRPr="005E2054">
        <w:rPr>
          <w:rFonts w:ascii="Times New Roman" w:hAnsi="Times New Roman" w:cs="Times New Roman"/>
          <w:sz w:val="24"/>
          <w:szCs w:val="24"/>
        </w:rPr>
        <w:t xml:space="preserve"> banks. Many studies have been conducted to evaluate the performance of both, the conventional banks and Islamic banks on the grounds of the size of the bank and financial ratios such as profitability ratios, efficiency ratios, risk and solvency ratios, liquidity ratios, asset quality ratios and others. These ratios have been considered as important tools for analysing the performance of</w:t>
      </w:r>
      <w:r w:rsidR="005567A5">
        <w:rPr>
          <w:rFonts w:ascii="Times New Roman" w:hAnsi="Times New Roman" w:cs="Times New Roman"/>
          <w:sz w:val="24"/>
          <w:szCs w:val="24"/>
        </w:rPr>
        <w:t xml:space="preserve"> the banks. However, while </w:t>
      </w:r>
      <w:r w:rsidR="005567A5">
        <w:rPr>
          <w:rFonts w:ascii="Times New Roman" w:hAnsi="Times New Roman" w:cs="Times New Roman"/>
          <w:sz w:val="24"/>
          <w:szCs w:val="24"/>
        </w:rPr>
        <w:lastRenderedPageBreak/>
        <w:t>conducting</w:t>
      </w:r>
      <w:r w:rsidRPr="005E2054">
        <w:rPr>
          <w:rFonts w:ascii="Times New Roman" w:hAnsi="Times New Roman" w:cs="Times New Roman"/>
          <w:sz w:val="24"/>
          <w:szCs w:val="24"/>
        </w:rPr>
        <w:t xml:space="preserve"> comparative studies, several research works show</w:t>
      </w:r>
      <w:r w:rsidR="005567A5">
        <w:rPr>
          <w:rFonts w:ascii="Times New Roman" w:hAnsi="Times New Roman" w:cs="Times New Roman"/>
          <w:sz w:val="24"/>
          <w:szCs w:val="24"/>
        </w:rPr>
        <w:t>ed</w:t>
      </w:r>
      <w:r w:rsidRPr="005E2054">
        <w:rPr>
          <w:rFonts w:ascii="Times New Roman" w:hAnsi="Times New Roman" w:cs="Times New Roman"/>
          <w:sz w:val="24"/>
          <w:szCs w:val="24"/>
        </w:rPr>
        <w:t xml:space="preserve"> that the Islamic banking structure is more prof</w:t>
      </w:r>
      <w:r w:rsidR="005567A5">
        <w:rPr>
          <w:rFonts w:ascii="Times New Roman" w:hAnsi="Times New Roman" w:cs="Times New Roman"/>
          <w:sz w:val="24"/>
          <w:szCs w:val="24"/>
        </w:rPr>
        <w:t xml:space="preserve">itable than Conventional banks in terms of risk taking </w:t>
      </w:r>
      <w:r w:rsidR="00F50318">
        <w:rPr>
          <w:rFonts w:ascii="Times New Roman" w:hAnsi="Times New Roman" w:cs="Times New Roman"/>
          <w:sz w:val="24"/>
          <w:szCs w:val="24"/>
        </w:rPr>
        <w:t xml:space="preserve">measurements. </w:t>
      </w:r>
    </w:p>
    <w:p w:rsidR="00B967B6" w:rsidRPr="005E2054" w:rsidRDefault="00B967B6" w:rsidP="005E2054">
      <w:pPr>
        <w:spacing w:line="480" w:lineRule="auto"/>
        <w:rPr>
          <w:rFonts w:ascii="Times New Roman" w:hAnsi="Times New Roman" w:cs="Times New Roman"/>
          <w:sz w:val="24"/>
          <w:szCs w:val="24"/>
        </w:rPr>
      </w:pPr>
      <w:r w:rsidRPr="005E2054">
        <w:rPr>
          <w:rFonts w:ascii="Times New Roman" w:hAnsi="Times New Roman" w:cs="Times New Roman"/>
          <w:sz w:val="24"/>
          <w:szCs w:val="24"/>
        </w:rPr>
        <w:t xml:space="preserve">Comparing five of both these types of banks in Pakistan from 2005-2009, Ansari and Khalil-ur-Rehman (2011) argued that the </w:t>
      </w:r>
      <w:r w:rsidR="00BC3CB9">
        <w:rPr>
          <w:rFonts w:ascii="Times New Roman" w:hAnsi="Times New Roman" w:cs="Times New Roman"/>
          <w:sz w:val="24"/>
          <w:szCs w:val="24"/>
        </w:rPr>
        <w:t xml:space="preserve">performance of </w:t>
      </w:r>
      <w:r w:rsidRPr="005E2054">
        <w:rPr>
          <w:rFonts w:ascii="Times New Roman" w:hAnsi="Times New Roman" w:cs="Times New Roman"/>
          <w:sz w:val="24"/>
          <w:szCs w:val="24"/>
        </w:rPr>
        <w:t>I</w:t>
      </w:r>
      <w:r w:rsidR="00BC3CB9">
        <w:rPr>
          <w:rFonts w:ascii="Times New Roman" w:hAnsi="Times New Roman" w:cs="Times New Roman"/>
          <w:sz w:val="24"/>
          <w:szCs w:val="24"/>
        </w:rPr>
        <w:t>slamic banks are much superior</w:t>
      </w:r>
      <w:r w:rsidR="00991D93">
        <w:rPr>
          <w:rFonts w:ascii="Times New Roman" w:hAnsi="Times New Roman" w:cs="Times New Roman"/>
          <w:sz w:val="24"/>
          <w:szCs w:val="24"/>
        </w:rPr>
        <w:t>,</w:t>
      </w:r>
      <w:r w:rsidR="00BC3CB9">
        <w:rPr>
          <w:rFonts w:ascii="Times New Roman" w:hAnsi="Times New Roman" w:cs="Times New Roman"/>
          <w:sz w:val="24"/>
          <w:szCs w:val="24"/>
        </w:rPr>
        <w:t xml:space="preserve"> owing </w:t>
      </w:r>
      <w:r w:rsidRPr="005E2054">
        <w:rPr>
          <w:rFonts w:ascii="Times New Roman" w:hAnsi="Times New Roman" w:cs="Times New Roman"/>
          <w:sz w:val="24"/>
          <w:szCs w:val="24"/>
        </w:rPr>
        <w:t>to the fact that this</w:t>
      </w:r>
      <w:r w:rsidR="00BC3CB9">
        <w:rPr>
          <w:rFonts w:ascii="Times New Roman" w:hAnsi="Times New Roman" w:cs="Times New Roman"/>
          <w:sz w:val="24"/>
          <w:szCs w:val="24"/>
        </w:rPr>
        <w:t xml:space="preserve"> type of</w:t>
      </w:r>
      <w:r w:rsidRPr="005E2054">
        <w:rPr>
          <w:rFonts w:ascii="Times New Roman" w:hAnsi="Times New Roman" w:cs="Times New Roman"/>
          <w:sz w:val="24"/>
          <w:szCs w:val="24"/>
        </w:rPr>
        <w:t xml:space="preserve"> bank</w:t>
      </w:r>
      <w:r w:rsidR="00BC3CB9">
        <w:rPr>
          <w:rFonts w:ascii="Times New Roman" w:hAnsi="Times New Roman" w:cs="Times New Roman"/>
          <w:sz w:val="24"/>
          <w:szCs w:val="24"/>
        </w:rPr>
        <w:t>s</w:t>
      </w:r>
      <w:r w:rsidRPr="005E2054">
        <w:rPr>
          <w:rFonts w:ascii="Times New Roman" w:hAnsi="Times New Roman" w:cs="Times New Roman"/>
          <w:sz w:val="24"/>
          <w:szCs w:val="24"/>
        </w:rPr>
        <w:t xml:space="preserve"> could increase their market shares as compared to that of the Conventional banks. As opined by Zaheer and Jamil (2016), the longer historical background gives the conventional banks the power of domination in financial sector in terms of large asset share compared to Islamic Banks. Some scholars argued that, the macro-economic factors like inflation, assets, loans, market capitalization and other factors are mainly bank-specific which impact profitability through ROA and ROE. Salman (2012) found that the Islamic banking industry is growing at a decent pace and competing with the conventional banking system</w:t>
      </w:r>
      <w:r w:rsidR="00991D93">
        <w:rPr>
          <w:rFonts w:ascii="Times New Roman" w:hAnsi="Times New Roman" w:cs="Times New Roman"/>
          <w:sz w:val="24"/>
          <w:szCs w:val="24"/>
        </w:rPr>
        <w:t>, i</w:t>
      </w:r>
      <w:r w:rsidRPr="005E2054">
        <w:rPr>
          <w:rFonts w:ascii="Times New Roman" w:hAnsi="Times New Roman" w:cs="Times New Roman"/>
          <w:sz w:val="24"/>
          <w:szCs w:val="24"/>
        </w:rPr>
        <w:t>n a critical analysis of the Islamic system of banking based in Pakistan</w:t>
      </w:r>
      <w:r w:rsidR="00991D93">
        <w:rPr>
          <w:rFonts w:ascii="Times New Roman" w:hAnsi="Times New Roman" w:cs="Times New Roman"/>
          <w:sz w:val="24"/>
          <w:szCs w:val="24"/>
        </w:rPr>
        <w:t>,</w:t>
      </w:r>
      <w:r w:rsidRPr="005E2054">
        <w:rPr>
          <w:rFonts w:ascii="Times New Roman" w:hAnsi="Times New Roman" w:cs="Times New Roman"/>
          <w:sz w:val="24"/>
          <w:szCs w:val="24"/>
        </w:rPr>
        <w:t xml:space="preserve"> but instead of using a debt based mode of financing the Islamic banking system should start making use of equity based mod</w:t>
      </w:r>
      <w:r w:rsidR="00BF0FCB">
        <w:rPr>
          <w:rFonts w:ascii="Times New Roman" w:hAnsi="Times New Roman" w:cs="Times New Roman"/>
          <w:sz w:val="24"/>
          <w:szCs w:val="24"/>
        </w:rPr>
        <w:t>e of financing. M. S. Moin (2008</w:t>
      </w:r>
      <w:r w:rsidRPr="005E2054">
        <w:rPr>
          <w:rFonts w:ascii="Times New Roman" w:hAnsi="Times New Roman" w:cs="Times New Roman"/>
          <w:sz w:val="24"/>
          <w:szCs w:val="24"/>
        </w:rPr>
        <w:t>) conducted a study by comparing the performance of Pakistan’s first Islamic Bank named Meezan Bank Limited (MBL) with 5 conventional banks. The comparison was based on calculating the profitability, risk, liquidity and efficiency of these banks with the help of financial ratios. He summarized his study by saying that conventional banks were more profitable but the Islamic banks were getting near the conventional banks in terms of profitability. He also quoted that conventional banks ar</w:t>
      </w:r>
      <w:r w:rsidR="00991D93">
        <w:rPr>
          <w:rFonts w:ascii="Times New Roman" w:hAnsi="Times New Roman" w:cs="Times New Roman"/>
          <w:sz w:val="24"/>
          <w:szCs w:val="24"/>
        </w:rPr>
        <w:t>e more exposed to risk and less</w:t>
      </w:r>
      <w:r w:rsidRPr="005E2054">
        <w:rPr>
          <w:rFonts w:ascii="Times New Roman" w:hAnsi="Times New Roman" w:cs="Times New Roman"/>
          <w:sz w:val="24"/>
          <w:szCs w:val="24"/>
        </w:rPr>
        <w:t xml:space="preserve"> solvent than the Islamic banks</w:t>
      </w:r>
      <w:r w:rsidR="00991D93">
        <w:rPr>
          <w:rFonts w:ascii="Times New Roman" w:hAnsi="Times New Roman" w:cs="Times New Roman"/>
          <w:sz w:val="24"/>
          <w:szCs w:val="24"/>
        </w:rPr>
        <w:t>,</w:t>
      </w:r>
      <w:r w:rsidRPr="005E2054">
        <w:rPr>
          <w:rFonts w:ascii="Times New Roman" w:hAnsi="Times New Roman" w:cs="Times New Roman"/>
          <w:sz w:val="24"/>
          <w:szCs w:val="24"/>
        </w:rPr>
        <w:t xml:space="preserve"> due t</w:t>
      </w:r>
      <w:r w:rsidR="00BF0FCB">
        <w:rPr>
          <w:rFonts w:ascii="Times New Roman" w:hAnsi="Times New Roman" w:cs="Times New Roman"/>
          <w:sz w:val="24"/>
          <w:szCs w:val="24"/>
        </w:rPr>
        <w:t>o high profitability. Moin (2008</w:t>
      </w:r>
      <w:r w:rsidRPr="005E2054">
        <w:rPr>
          <w:rFonts w:ascii="Times New Roman" w:hAnsi="Times New Roman" w:cs="Times New Roman"/>
          <w:sz w:val="24"/>
          <w:szCs w:val="24"/>
        </w:rPr>
        <w:t>), also pointed</w:t>
      </w:r>
      <w:r w:rsidR="00991D93">
        <w:rPr>
          <w:rFonts w:ascii="Times New Roman" w:hAnsi="Times New Roman" w:cs="Times New Roman"/>
          <w:sz w:val="24"/>
          <w:szCs w:val="24"/>
        </w:rPr>
        <w:t xml:space="preserve"> out</w:t>
      </w:r>
      <w:r w:rsidRPr="005E2054">
        <w:rPr>
          <w:rFonts w:ascii="Times New Roman" w:hAnsi="Times New Roman" w:cs="Times New Roman"/>
          <w:sz w:val="24"/>
          <w:szCs w:val="24"/>
        </w:rPr>
        <w:t xml:space="preserve"> that Islamic banking could improve and perform far better with the passage of time</w:t>
      </w:r>
      <w:r w:rsidR="00991D93">
        <w:rPr>
          <w:rFonts w:ascii="Times New Roman" w:hAnsi="Times New Roman" w:cs="Times New Roman"/>
          <w:sz w:val="24"/>
          <w:szCs w:val="24"/>
        </w:rPr>
        <w:t>,</w:t>
      </w:r>
      <w:r w:rsidRPr="005E2054">
        <w:rPr>
          <w:rFonts w:ascii="Times New Roman" w:hAnsi="Times New Roman" w:cs="Times New Roman"/>
          <w:sz w:val="24"/>
          <w:szCs w:val="24"/>
        </w:rPr>
        <w:t xml:space="preserve"> by managing its operational expenses wisely, making good returns on its assets allotted and satisfying its shareholders and investors by offering them competitive or better results than the conventional banks. He also said that the results do not show any significant difference between the two banks in terms of their liquidity is concerned. However, the empirical findings of Hossain (2015) and </w:t>
      </w:r>
      <w:r w:rsidRPr="005E2054">
        <w:rPr>
          <w:rFonts w:ascii="Times New Roman" w:hAnsi="Times New Roman"/>
          <w:sz w:val="24"/>
        </w:rPr>
        <w:t xml:space="preserve">Hamid and Azmi (2011) </w:t>
      </w:r>
      <w:r w:rsidRPr="005E2054">
        <w:rPr>
          <w:rFonts w:ascii="Times New Roman" w:hAnsi="Times New Roman" w:cs="Times New Roman"/>
          <w:sz w:val="24"/>
          <w:szCs w:val="24"/>
        </w:rPr>
        <w:t>indicated no such sign</w:t>
      </w:r>
      <w:r w:rsidR="00E0649D">
        <w:rPr>
          <w:rFonts w:ascii="Times New Roman" w:hAnsi="Times New Roman" w:cs="Times New Roman"/>
          <w:sz w:val="24"/>
          <w:szCs w:val="24"/>
        </w:rPr>
        <w:t>ificant difference has been found between these</w:t>
      </w:r>
      <w:r w:rsidRPr="005E2054">
        <w:rPr>
          <w:rFonts w:ascii="Times New Roman" w:hAnsi="Times New Roman" w:cs="Times New Roman"/>
          <w:sz w:val="24"/>
          <w:szCs w:val="24"/>
        </w:rPr>
        <w:t xml:space="preserve"> interest- based banks and interest- free banks in the context of profitability</w:t>
      </w:r>
      <w:r w:rsidR="00E0649D">
        <w:rPr>
          <w:rFonts w:ascii="Times New Roman" w:hAnsi="Times New Roman" w:cs="Times New Roman"/>
          <w:sz w:val="24"/>
          <w:szCs w:val="24"/>
        </w:rPr>
        <w:t>.</w:t>
      </w:r>
      <w:r w:rsidRPr="005E2054">
        <w:rPr>
          <w:rFonts w:ascii="Times New Roman" w:hAnsi="Times New Roman" w:cs="Times New Roman"/>
          <w:sz w:val="24"/>
          <w:szCs w:val="24"/>
        </w:rPr>
        <w:t xml:space="preserve"> </w:t>
      </w:r>
      <w:r w:rsidR="00E0649D">
        <w:rPr>
          <w:rFonts w:ascii="Times New Roman" w:hAnsi="Times New Roman" w:cs="Times New Roman"/>
          <w:sz w:val="24"/>
          <w:szCs w:val="24"/>
        </w:rPr>
        <w:t>N</w:t>
      </w:r>
      <w:r w:rsidRPr="005E2054">
        <w:rPr>
          <w:rFonts w:ascii="Times New Roman" w:hAnsi="Times New Roman" w:cs="Times New Roman"/>
          <w:sz w:val="24"/>
          <w:szCs w:val="24"/>
        </w:rPr>
        <w:t>evertheless, a disparity has been observed with respect to liquidity and credit performance</w:t>
      </w:r>
      <w:r w:rsidR="00E0649D">
        <w:rPr>
          <w:rFonts w:ascii="Times New Roman" w:hAnsi="Times New Roman" w:cs="Times New Roman"/>
          <w:sz w:val="24"/>
          <w:szCs w:val="24"/>
        </w:rPr>
        <w:t xml:space="preserve"> among the two types of bank</w:t>
      </w:r>
      <w:r w:rsidRPr="005E2054">
        <w:rPr>
          <w:rFonts w:ascii="Times New Roman" w:hAnsi="Times New Roman" w:cs="Times New Roman"/>
          <w:sz w:val="24"/>
          <w:szCs w:val="24"/>
        </w:rPr>
        <w:t>. Drawing a certain conclusion to the financial</w:t>
      </w:r>
      <w:r w:rsidR="00D5715E">
        <w:rPr>
          <w:rFonts w:ascii="Times New Roman" w:hAnsi="Times New Roman" w:cs="Times New Roman"/>
          <w:sz w:val="24"/>
          <w:szCs w:val="24"/>
        </w:rPr>
        <w:t xml:space="preserve"> progress of both these banks would</w:t>
      </w:r>
      <w:r w:rsidRPr="005E2054">
        <w:rPr>
          <w:rFonts w:ascii="Times New Roman" w:hAnsi="Times New Roman" w:cs="Times New Roman"/>
          <w:sz w:val="24"/>
          <w:szCs w:val="24"/>
        </w:rPr>
        <w:t xml:space="preserve"> not</w:t>
      </w:r>
      <w:r w:rsidR="00D5715E">
        <w:rPr>
          <w:rFonts w:ascii="Times New Roman" w:hAnsi="Times New Roman" w:cs="Times New Roman"/>
          <w:sz w:val="24"/>
          <w:szCs w:val="24"/>
        </w:rPr>
        <w:t xml:space="preserve"> be</w:t>
      </w:r>
      <w:r w:rsidRPr="005E2054">
        <w:rPr>
          <w:rFonts w:ascii="Times New Roman" w:hAnsi="Times New Roman" w:cs="Times New Roman"/>
          <w:sz w:val="24"/>
          <w:szCs w:val="24"/>
        </w:rPr>
        <w:t xml:space="preserve"> </w:t>
      </w:r>
      <w:r w:rsidRPr="005E2054">
        <w:rPr>
          <w:rFonts w:ascii="Times New Roman" w:hAnsi="Times New Roman" w:cs="Times New Roman"/>
          <w:sz w:val="24"/>
          <w:szCs w:val="24"/>
        </w:rPr>
        <w:lastRenderedPageBreak/>
        <w:t>entirely possible</w:t>
      </w:r>
      <w:r w:rsidR="00991D93">
        <w:rPr>
          <w:rFonts w:ascii="Times New Roman" w:hAnsi="Times New Roman" w:cs="Times New Roman"/>
          <w:sz w:val="24"/>
          <w:szCs w:val="24"/>
        </w:rPr>
        <w:t>,</w:t>
      </w:r>
      <w:r w:rsidRPr="005E2054">
        <w:rPr>
          <w:rFonts w:ascii="Times New Roman" w:hAnsi="Times New Roman" w:cs="Times New Roman"/>
          <w:sz w:val="24"/>
          <w:szCs w:val="24"/>
        </w:rPr>
        <w:t xml:space="preserve"> but considering empirical studies is essential because of the quality, integrity and accuracy of the data. Because based on the reliability of these data future research designs can be estimated. </w:t>
      </w:r>
    </w:p>
    <w:p w:rsidR="00B967B6" w:rsidRPr="00680CB3" w:rsidRDefault="00B967B6" w:rsidP="00B967B6">
      <w:pPr>
        <w:pStyle w:val="Heading2"/>
        <w:rPr>
          <w:rFonts w:ascii="Cambria" w:hAnsi="Cambria"/>
          <w:b w:val="0"/>
          <w:bCs w:val="0"/>
        </w:rPr>
      </w:pPr>
      <w:bookmarkStart w:id="48" w:name="_Toc1723554"/>
      <w:bookmarkStart w:id="49" w:name="_Toc2075030"/>
      <w:r w:rsidRPr="00680CB3">
        <w:rPr>
          <w:rFonts w:ascii="Cambria" w:hAnsi="Cambria"/>
          <w:bCs w:val="0"/>
        </w:rPr>
        <w:t>Difference</w:t>
      </w:r>
      <w:r w:rsidR="006363DC">
        <w:rPr>
          <w:rFonts w:ascii="Cambria" w:hAnsi="Cambria"/>
          <w:bCs w:val="0"/>
        </w:rPr>
        <w:t xml:space="preserve"> </w:t>
      </w:r>
      <w:r w:rsidR="002A25F3">
        <w:rPr>
          <w:rFonts w:ascii="Cambria" w:hAnsi="Cambria"/>
          <w:bCs w:val="0"/>
        </w:rPr>
        <w:t>b</w:t>
      </w:r>
      <w:r w:rsidR="006363DC">
        <w:rPr>
          <w:rFonts w:ascii="Cambria" w:hAnsi="Cambria"/>
          <w:bCs w:val="0"/>
        </w:rPr>
        <w:t xml:space="preserve">etween </w:t>
      </w:r>
      <w:r w:rsidR="006363DC" w:rsidRPr="00680CB3">
        <w:rPr>
          <w:rFonts w:ascii="Cambria" w:hAnsi="Cambria"/>
          <w:bCs w:val="0"/>
        </w:rPr>
        <w:t>Islamic and Conventional banks</w:t>
      </w:r>
      <w:r w:rsidR="006363DC">
        <w:rPr>
          <w:rFonts w:ascii="Cambria" w:hAnsi="Cambria"/>
          <w:bCs w:val="0"/>
        </w:rPr>
        <w:t xml:space="preserve"> in the Context of Financial Ratio Impact on P</w:t>
      </w:r>
      <w:r w:rsidRPr="00680CB3">
        <w:rPr>
          <w:rFonts w:ascii="Cambria" w:hAnsi="Cambria"/>
          <w:bCs w:val="0"/>
        </w:rPr>
        <w:t>roductivity</w:t>
      </w:r>
      <w:bookmarkEnd w:id="48"/>
      <w:bookmarkEnd w:id="49"/>
    </w:p>
    <w:p w:rsidR="00B967B6" w:rsidRPr="005E2054" w:rsidRDefault="00B967B6" w:rsidP="00B967B6">
      <w:pPr>
        <w:spacing w:line="480" w:lineRule="auto"/>
        <w:ind w:firstLine="360"/>
        <w:rPr>
          <w:rFonts w:ascii="Times New Roman" w:hAnsi="Times New Roman" w:cs="Times New Roman"/>
          <w:sz w:val="24"/>
          <w:szCs w:val="24"/>
        </w:rPr>
      </w:pPr>
      <w:r w:rsidRPr="005E2054">
        <w:rPr>
          <w:rFonts w:ascii="Times New Roman" w:hAnsi="Times New Roman" w:cs="Times New Roman"/>
          <w:sz w:val="24"/>
          <w:szCs w:val="24"/>
        </w:rPr>
        <w:t>Financial Performance of bank is of importance for not only its investors, creditors and managers but also for the people and Government authority. This financial performance valuation gained more attention after the 2008 Crisis where the economies of many countries had to face a great recession because of the bank’s bad performance. As per Zarrouk et al. (2016) both qualitative and quantitative method and techniques can be used to measure a bank’s performance. Among the various tools and techniques being provided by financial management theories, financial ratios are the most commonly used ones. The financial ratios are sub categorized into four general categories: Profitability Ratios, Efficiency Ratios, Liquidity Ratios and Risk Ratios.</w:t>
      </w:r>
    </w:p>
    <w:p w:rsidR="00B967B6" w:rsidRPr="005E2054" w:rsidRDefault="00B967B6" w:rsidP="00B967B6">
      <w:pPr>
        <w:pStyle w:val="ListParagraph"/>
        <w:numPr>
          <w:ilvl w:val="0"/>
          <w:numId w:val="4"/>
        </w:numPr>
        <w:spacing w:line="480" w:lineRule="auto"/>
        <w:jc w:val="both"/>
        <w:rPr>
          <w:rFonts w:ascii="Times New Roman" w:hAnsi="Times New Roman" w:cs="Times New Roman"/>
          <w:sz w:val="24"/>
          <w:szCs w:val="24"/>
          <w:lang w:val="en-GB"/>
        </w:rPr>
      </w:pPr>
      <w:r w:rsidRPr="005E2054">
        <w:rPr>
          <w:rFonts w:ascii="Times New Roman" w:hAnsi="Times New Roman" w:cs="Times New Roman"/>
          <w:b/>
          <w:bCs/>
          <w:sz w:val="24"/>
          <w:szCs w:val="24"/>
          <w:lang w:val="en-GB"/>
        </w:rPr>
        <w:t>Profitability Ratios</w:t>
      </w:r>
      <w:r w:rsidRPr="005E2054">
        <w:rPr>
          <w:rFonts w:ascii="Times New Roman" w:hAnsi="Times New Roman" w:cs="Times New Roman"/>
          <w:sz w:val="24"/>
          <w:szCs w:val="24"/>
          <w:lang w:val="en-GB"/>
        </w:rPr>
        <w:t>: Profitability Ratio measures and evaluates a company’s ability to generate profit (income) in relation with all its expenses and other cost incurred during a period of time.</w:t>
      </w:r>
    </w:p>
    <w:p w:rsidR="00B967B6" w:rsidRPr="005E2054" w:rsidRDefault="00B967B6" w:rsidP="00B967B6">
      <w:pPr>
        <w:pStyle w:val="ListParagraph"/>
        <w:numPr>
          <w:ilvl w:val="2"/>
          <w:numId w:val="5"/>
        </w:numPr>
        <w:spacing w:line="480" w:lineRule="auto"/>
        <w:jc w:val="both"/>
        <w:rPr>
          <w:rFonts w:ascii="Times New Roman" w:hAnsi="Times New Roman" w:cs="Times New Roman"/>
          <w:sz w:val="24"/>
          <w:szCs w:val="24"/>
          <w:lang w:val="en-GB"/>
        </w:rPr>
      </w:pPr>
      <w:r w:rsidRPr="005E2054">
        <w:rPr>
          <w:rFonts w:ascii="Times New Roman" w:hAnsi="Times New Roman" w:cs="Times New Roman"/>
          <w:b/>
          <w:bCs/>
          <w:sz w:val="24"/>
          <w:szCs w:val="24"/>
          <w:lang w:val="en-GB"/>
        </w:rPr>
        <w:t>Return on Equity (ROE)</w:t>
      </w:r>
      <w:r w:rsidRPr="005E2054">
        <w:rPr>
          <w:rFonts w:ascii="Times New Roman" w:hAnsi="Times New Roman" w:cs="Times New Roman"/>
          <w:sz w:val="24"/>
          <w:szCs w:val="24"/>
          <w:lang w:val="en-GB"/>
        </w:rPr>
        <w:t xml:space="preserve"> – How can the bank generate profit with the money invested by its shareholder is determined under this ratio (Johnes et al. 2015). Profit after Tax/ Equity Capital. The higher the value represents the higher financial performance.</w:t>
      </w:r>
    </w:p>
    <w:p w:rsidR="00B967B6" w:rsidRPr="005E2054" w:rsidRDefault="00B967B6" w:rsidP="00B967B6">
      <w:pPr>
        <w:pStyle w:val="ListParagraph"/>
        <w:numPr>
          <w:ilvl w:val="2"/>
          <w:numId w:val="5"/>
        </w:numPr>
        <w:spacing w:line="480" w:lineRule="auto"/>
        <w:jc w:val="both"/>
        <w:rPr>
          <w:rFonts w:ascii="Times New Roman" w:hAnsi="Times New Roman" w:cs="Times New Roman"/>
          <w:sz w:val="24"/>
          <w:szCs w:val="24"/>
          <w:lang w:val="en-GB"/>
        </w:rPr>
      </w:pPr>
      <w:r w:rsidRPr="005E2054">
        <w:rPr>
          <w:rFonts w:ascii="Times New Roman" w:hAnsi="Times New Roman" w:cs="Times New Roman"/>
          <w:b/>
          <w:bCs/>
          <w:sz w:val="24"/>
          <w:szCs w:val="24"/>
          <w:lang w:val="en-GB"/>
        </w:rPr>
        <w:t>Profit to Total Expenses (PER)</w:t>
      </w:r>
      <w:r w:rsidRPr="005E2054">
        <w:rPr>
          <w:rFonts w:ascii="Times New Roman" w:hAnsi="Times New Roman" w:cs="Times New Roman"/>
          <w:sz w:val="24"/>
          <w:szCs w:val="24"/>
          <w:lang w:val="en-GB"/>
        </w:rPr>
        <w:t xml:space="preserve"> - The profitability of the firm in relation to its expenses is indicated by this ratio. Profit after Tax/ Total Expense. A high value indicates that a bank can make a high profit with the expenses incurred.</w:t>
      </w:r>
    </w:p>
    <w:p w:rsidR="00B967B6" w:rsidRPr="005E2054" w:rsidRDefault="00B967B6" w:rsidP="00B967B6">
      <w:pPr>
        <w:pStyle w:val="ListParagraph"/>
        <w:numPr>
          <w:ilvl w:val="0"/>
          <w:numId w:val="4"/>
        </w:numPr>
        <w:spacing w:line="480" w:lineRule="auto"/>
        <w:jc w:val="both"/>
        <w:rPr>
          <w:rFonts w:ascii="Times New Roman" w:hAnsi="Times New Roman" w:cs="Times New Roman"/>
          <w:sz w:val="24"/>
          <w:szCs w:val="24"/>
          <w:lang w:val="en-GB"/>
        </w:rPr>
      </w:pPr>
      <w:r w:rsidRPr="005E2054">
        <w:rPr>
          <w:rFonts w:ascii="Times New Roman" w:hAnsi="Times New Roman" w:cs="Times New Roman"/>
          <w:b/>
          <w:bCs/>
          <w:sz w:val="24"/>
          <w:szCs w:val="24"/>
          <w:lang w:val="en-GB"/>
        </w:rPr>
        <w:t>Efficiency Ratios</w:t>
      </w:r>
      <w:r w:rsidRPr="005E2054">
        <w:rPr>
          <w:rFonts w:ascii="Times New Roman" w:hAnsi="Times New Roman" w:cs="Times New Roman"/>
          <w:sz w:val="24"/>
          <w:szCs w:val="24"/>
          <w:lang w:val="en-GB"/>
        </w:rPr>
        <w:t xml:space="preserve">: Efficiency Ratio measure the productivity of a bank as in how effectively and efficiently the bank is managing its assets to generate the highest returns possible. </w:t>
      </w:r>
    </w:p>
    <w:p w:rsidR="00B967B6" w:rsidRPr="005E2054" w:rsidRDefault="00B967B6" w:rsidP="00B967B6">
      <w:pPr>
        <w:pStyle w:val="ListParagraph"/>
        <w:numPr>
          <w:ilvl w:val="2"/>
          <w:numId w:val="6"/>
        </w:numPr>
        <w:spacing w:line="480" w:lineRule="auto"/>
        <w:jc w:val="both"/>
        <w:rPr>
          <w:rFonts w:ascii="Times New Roman" w:hAnsi="Times New Roman" w:cs="Times New Roman"/>
          <w:sz w:val="24"/>
          <w:szCs w:val="24"/>
          <w:lang w:val="en-GB"/>
        </w:rPr>
      </w:pPr>
      <w:r w:rsidRPr="005E2054">
        <w:rPr>
          <w:rFonts w:ascii="Times New Roman" w:hAnsi="Times New Roman" w:cs="Times New Roman"/>
          <w:b/>
          <w:bCs/>
          <w:sz w:val="24"/>
          <w:szCs w:val="24"/>
          <w:lang w:val="en-GB"/>
        </w:rPr>
        <w:t xml:space="preserve">Asset Utilization Ratio (AU) </w:t>
      </w:r>
      <w:r w:rsidRPr="005E2054">
        <w:rPr>
          <w:rFonts w:ascii="Times New Roman" w:hAnsi="Times New Roman" w:cs="Times New Roman"/>
          <w:sz w:val="24"/>
          <w:szCs w:val="24"/>
          <w:lang w:val="en-GB"/>
        </w:rPr>
        <w:t>– As the name says, it measures how efficiently the bank utilizes its assets. Total Revenue/ Total Asset. The higher the value the higher is the productivity of the firm.</w:t>
      </w:r>
    </w:p>
    <w:p w:rsidR="00B967B6" w:rsidRPr="005E2054" w:rsidRDefault="00B967B6" w:rsidP="00B967B6">
      <w:pPr>
        <w:pStyle w:val="ListParagraph"/>
        <w:numPr>
          <w:ilvl w:val="2"/>
          <w:numId w:val="6"/>
        </w:numPr>
        <w:spacing w:line="480" w:lineRule="auto"/>
        <w:jc w:val="both"/>
        <w:rPr>
          <w:rFonts w:ascii="Times New Roman" w:hAnsi="Times New Roman" w:cs="Times New Roman"/>
          <w:sz w:val="24"/>
          <w:szCs w:val="24"/>
          <w:lang w:val="en-GB"/>
        </w:rPr>
      </w:pPr>
      <w:r w:rsidRPr="005E2054">
        <w:rPr>
          <w:rFonts w:ascii="Times New Roman" w:hAnsi="Times New Roman" w:cs="Times New Roman"/>
          <w:b/>
          <w:bCs/>
          <w:sz w:val="24"/>
          <w:szCs w:val="24"/>
          <w:lang w:val="en-GB"/>
        </w:rPr>
        <w:t>Operating Efficiency Ratio (OE)</w:t>
      </w:r>
      <w:r w:rsidRPr="005E2054">
        <w:rPr>
          <w:rFonts w:ascii="Times New Roman" w:hAnsi="Times New Roman" w:cs="Times New Roman"/>
          <w:sz w:val="24"/>
          <w:szCs w:val="24"/>
          <w:lang w:val="en-GB"/>
        </w:rPr>
        <w:t xml:space="preserve"> – This ratio represents how well a firm can use its assets and revenues and minimize the expenses. In the view of Rahman, and Banna (2016) total Operating </w:t>
      </w:r>
      <w:r w:rsidRPr="005E2054">
        <w:rPr>
          <w:rFonts w:ascii="Times New Roman" w:hAnsi="Times New Roman" w:cs="Times New Roman"/>
          <w:sz w:val="24"/>
          <w:szCs w:val="24"/>
          <w:lang w:val="en-GB"/>
        </w:rPr>
        <w:lastRenderedPageBreak/>
        <w:t>Expenses/ Total Operating Revenue. A lower OE ratio means the operating expenses are lesser than the operating revenue.</w:t>
      </w:r>
    </w:p>
    <w:p w:rsidR="00B967B6" w:rsidRPr="005E2054" w:rsidRDefault="00B967B6" w:rsidP="00B967B6">
      <w:pPr>
        <w:pStyle w:val="ListParagraph"/>
        <w:numPr>
          <w:ilvl w:val="0"/>
          <w:numId w:val="4"/>
        </w:numPr>
        <w:spacing w:line="480" w:lineRule="auto"/>
        <w:jc w:val="both"/>
        <w:rPr>
          <w:rFonts w:ascii="Times New Roman" w:hAnsi="Times New Roman" w:cs="Times New Roman"/>
          <w:sz w:val="24"/>
          <w:szCs w:val="24"/>
          <w:lang w:val="en-GB"/>
        </w:rPr>
      </w:pPr>
      <w:r w:rsidRPr="005E2054">
        <w:rPr>
          <w:rFonts w:ascii="Times New Roman" w:hAnsi="Times New Roman" w:cs="Times New Roman"/>
          <w:b/>
          <w:bCs/>
          <w:sz w:val="24"/>
          <w:szCs w:val="24"/>
          <w:lang w:val="en-GB"/>
        </w:rPr>
        <w:t>Liquidity Ratios</w:t>
      </w:r>
      <w:r w:rsidRPr="005E2054">
        <w:rPr>
          <w:rFonts w:ascii="Times New Roman" w:hAnsi="Times New Roman" w:cs="Times New Roman"/>
          <w:sz w:val="24"/>
          <w:szCs w:val="24"/>
          <w:lang w:val="en-GB"/>
        </w:rPr>
        <w:t>: How quickly is the bank able to convert its assets into cash for meeting the needs of the depositors and borrowers is determined by the liquidity ratio.</w:t>
      </w:r>
    </w:p>
    <w:p w:rsidR="00B967B6" w:rsidRPr="005E2054" w:rsidRDefault="00B967B6" w:rsidP="00B967B6">
      <w:pPr>
        <w:pStyle w:val="ListParagraph"/>
        <w:numPr>
          <w:ilvl w:val="2"/>
          <w:numId w:val="7"/>
        </w:numPr>
        <w:spacing w:line="480" w:lineRule="auto"/>
        <w:jc w:val="both"/>
        <w:rPr>
          <w:rFonts w:ascii="Times New Roman" w:hAnsi="Times New Roman" w:cs="Times New Roman"/>
          <w:sz w:val="24"/>
          <w:szCs w:val="24"/>
          <w:lang w:val="en-GB"/>
        </w:rPr>
      </w:pPr>
      <w:r w:rsidRPr="005E2054">
        <w:rPr>
          <w:rFonts w:ascii="Times New Roman" w:hAnsi="Times New Roman" w:cs="Times New Roman"/>
          <w:b/>
          <w:bCs/>
          <w:sz w:val="24"/>
          <w:szCs w:val="24"/>
          <w:lang w:val="en-GB"/>
        </w:rPr>
        <w:t>Cash Deposit Ratio (CDR)</w:t>
      </w:r>
      <w:r w:rsidRPr="005E2054">
        <w:rPr>
          <w:rFonts w:ascii="Times New Roman" w:hAnsi="Times New Roman" w:cs="Times New Roman"/>
          <w:sz w:val="24"/>
          <w:szCs w:val="24"/>
          <w:lang w:val="en-GB"/>
        </w:rPr>
        <w:t xml:space="preserve"> – Cash/Deposit. A higher CDR means a bank has relatively more liquidity and depositors are likely to trust such a bank.</w:t>
      </w:r>
    </w:p>
    <w:p w:rsidR="00B967B6" w:rsidRPr="005E2054" w:rsidRDefault="00B967B6" w:rsidP="00B967B6">
      <w:pPr>
        <w:pStyle w:val="ListParagraph"/>
        <w:numPr>
          <w:ilvl w:val="2"/>
          <w:numId w:val="7"/>
        </w:numPr>
        <w:spacing w:line="480" w:lineRule="auto"/>
        <w:jc w:val="both"/>
        <w:rPr>
          <w:rFonts w:ascii="Times New Roman" w:hAnsi="Times New Roman" w:cs="Times New Roman"/>
          <w:sz w:val="24"/>
          <w:szCs w:val="24"/>
          <w:lang w:val="en-GB"/>
        </w:rPr>
      </w:pPr>
      <w:r w:rsidRPr="005E2054">
        <w:rPr>
          <w:rFonts w:ascii="Times New Roman" w:hAnsi="Times New Roman" w:cs="Times New Roman"/>
          <w:b/>
          <w:bCs/>
          <w:sz w:val="24"/>
          <w:szCs w:val="24"/>
          <w:lang w:val="en-GB"/>
        </w:rPr>
        <w:t>Loan Deposit Ratio (LDR)</w:t>
      </w:r>
      <w:r w:rsidRPr="005E2054">
        <w:rPr>
          <w:rFonts w:ascii="Times New Roman" w:hAnsi="Times New Roman" w:cs="Times New Roman"/>
          <w:sz w:val="24"/>
          <w:szCs w:val="24"/>
          <w:lang w:val="en-GB"/>
        </w:rPr>
        <w:t xml:space="preserve"> – Loan/Deposit. A higher LDR indicates that the bank has given an excessive loan. In this case a lower ratio is preferred as more loans expose the bank to higher risk if the loans are not repaid.</w:t>
      </w:r>
    </w:p>
    <w:p w:rsidR="00B967B6" w:rsidRPr="005E2054" w:rsidRDefault="00B967B6" w:rsidP="00B967B6">
      <w:pPr>
        <w:pStyle w:val="ListParagraph"/>
        <w:numPr>
          <w:ilvl w:val="2"/>
          <w:numId w:val="7"/>
        </w:numPr>
        <w:spacing w:line="480" w:lineRule="auto"/>
        <w:jc w:val="both"/>
        <w:rPr>
          <w:rFonts w:ascii="Times New Roman" w:hAnsi="Times New Roman" w:cs="Times New Roman"/>
          <w:sz w:val="24"/>
          <w:szCs w:val="24"/>
          <w:lang w:val="en-GB"/>
        </w:rPr>
      </w:pPr>
      <w:r w:rsidRPr="005E2054">
        <w:rPr>
          <w:rFonts w:ascii="Times New Roman" w:hAnsi="Times New Roman" w:cs="Times New Roman"/>
          <w:b/>
          <w:bCs/>
          <w:sz w:val="24"/>
          <w:szCs w:val="24"/>
          <w:lang w:val="en-GB"/>
        </w:rPr>
        <w:t>Current Asset Ratio (CAR)</w:t>
      </w:r>
      <w:r w:rsidRPr="005E2054">
        <w:rPr>
          <w:rFonts w:ascii="Times New Roman" w:hAnsi="Times New Roman" w:cs="Times New Roman"/>
          <w:sz w:val="24"/>
          <w:szCs w:val="24"/>
          <w:lang w:val="en-GB"/>
        </w:rPr>
        <w:t xml:space="preserve"> – Current Asset Ratio means the holding of current asset in total assets of the bank. Current asset/Total asset. A lower CAR is not recommended as it means the funds are blocked in assets which are long term in nature (Yakobi, and Ngcamu, 2016).</w:t>
      </w:r>
    </w:p>
    <w:p w:rsidR="00B967B6" w:rsidRPr="005E2054" w:rsidRDefault="00B967B6" w:rsidP="00B967B6">
      <w:pPr>
        <w:pStyle w:val="ListParagraph"/>
        <w:numPr>
          <w:ilvl w:val="0"/>
          <w:numId w:val="4"/>
        </w:numPr>
        <w:spacing w:line="480" w:lineRule="auto"/>
        <w:jc w:val="both"/>
        <w:rPr>
          <w:rFonts w:ascii="Times New Roman" w:hAnsi="Times New Roman" w:cs="Times New Roman"/>
          <w:sz w:val="24"/>
          <w:szCs w:val="24"/>
          <w:lang w:val="en-GB"/>
        </w:rPr>
      </w:pPr>
      <w:r w:rsidRPr="005E2054">
        <w:rPr>
          <w:rFonts w:ascii="Times New Roman" w:hAnsi="Times New Roman" w:cs="Times New Roman"/>
          <w:b/>
          <w:bCs/>
          <w:sz w:val="24"/>
          <w:szCs w:val="24"/>
          <w:lang w:val="en-GB"/>
        </w:rPr>
        <w:t>Risk Ratios</w:t>
      </w:r>
      <w:r w:rsidRPr="005E2054">
        <w:rPr>
          <w:rFonts w:ascii="Times New Roman" w:hAnsi="Times New Roman" w:cs="Times New Roman"/>
          <w:sz w:val="24"/>
          <w:szCs w:val="24"/>
          <w:lang w:val="en-GB"/>
        </w:rPr>
        <w:t>: Solvency and Risk Ratios helps the bank determine whether it will be able to meet its requirement in the long run or not.</w:t>
      </w:r>
    </w:p>
    <w:p w:rsidR="00B967B6" w:rsidRPr="005E2054" w:rsidRDefault="00B967B6" w:rsidP="00B967B6">
      <w:pPr>
        <w:pStyle w:val="ListParagraph"/>
        <w:numPr>
          <w:ilvl w:val="2"/>
          <w:numId w:val="8"/>
        </w:numPr>
        <w:spacing w:line="480" w:lineRule="auto"/>
        <w:jc w:val="both"/>
        <w:rPr>
          <w:rFonts w:ascii="Times New Roman" w:hAnsi="Times New Roman" w:cs="Times New Roman"/>
          <w:sz w:val="24"/>
          <w:szCs w:val="24"/>
          <w:lang w:val="en-GB"/>
        </w:rPr>
      </w:pPr>
      <w:r w:rsidRPr="005E2054">
        <w:rPr>
          <w:rFonts w:ascii="Times New Roman" w:hAnsi="Times New Roman" w:cs="Times New Roman"/>
          <w:b/>
          <w:bCs/>
          <w:sz w:val="24"/>
          <w:szCs w:val="24"/>
          <w:lang w:val="en-GB"/>
        </w:rPr>
        <w:t>Debt Equity Ratio (DER)</w:t>
      </w:r>
      <w:r w:rsidRPr="005E2054">
        <w:rPr>
          <w:rFonts w:ascii="Times New Roman" w:hAnsi="Times New Roman" w:cs="Times New Roman"/>
          <w:sz w:val="24"/>
          <w:szCs w:val="24"/>
          <w:lang w:val="en-GB"/>
        </w:rPr>
        <w:t xml:space="preserve"> – DER indicates the proportion of total liability that the bank owns to its shareholders. Debt/ Shareholder Capital. A lower DER is what shareholders of a bank would prefer.</w:t>
      </w:r>
    </w:p>
    <w:p w:rsidR="00B967B6" w:rsidRPr="005E2054" w:rsidRDefault="00B967B6" w:rsidP="00B967B6">
      <w:pPr>
        <w:pStyle w:val="ListParagraph"/>
        <w:numPr>
          <w:ilvl w:val="2"/>
          <w:numId w:val="8"/>
        </w:numPr>
        <w:spacing w:line="480" w:lineRule="auto"/>
        <w:jc w:val="both"/>
        <w:rPr>
          <w:rFonts w:ascii="Times New Roman" w:hAnsi="Times New Roman" w:cs="Times New Roman"/>
          <w:sz w:val="24"/>
          <w:szCs w:val="24"/>
          <w:lang w:val="en-GB"/>
        </w:rPr>
      </w:pPr>
      <w:r w:rsidRPr="005E2054">
        <w:rPr>
          <w:rFonts w:ascii="Times New Roman" w:hAnsi="Times New Roman" w:cs="Times New Roman"/>
          <w:b/>
          <w:bCs/>
          <w:sz w:val="24"/>
          <w:szCs w:val="24"/>
          <w:lang w:val="en-GB"/>
        </w:rPr>
        <w:t>Debt to total Asset Ratio (DTAR)</w:t>
      </w:r>
      <w:r w:rsidRPr="005E2054">
        <w:rPr>
          <w:rFonts w:ascii="Times New Roman" w:hAnsi="Times New Roman" w:cs="Times New Roman"/>
          <w:sz w:val="24"/>
          <w:szCs w:val="24"/>
          <w:lang w:val="en-GB"/>
        </w:rPr>
        <w:t>–The financial strength of a bank to pay its debtors is represented by this ratio. Debt/Total Asset. A bank is involved in more risky projects if the DTAR is on the higher side.</w:t>
      </w:r>
    </w:p>
    <w:p w:rsidR="00B967B6" w:rsidRPr="005E2054" w:rsidRDefault="00B967B6" w:rsidP="00B967B6">
      <w:pPr>
        <w:pStyle w:val="ListParagraph"/>
        <w:numPr>
          <w:ilvl w:val="2"/>
          <w:numId w:val="8"/>
        </w:numPr>
        <w:spacing w:line="480" w:lineRule="auto"/>
        <w:jc w:val="both"/>
        <w:rPr>
          <w:rFonts w:ascii="Times New Roman" w:hAnsi="Times New Roman" w:cs="Times New Roman"/>
          <w:sz w:val="24"/>
          <w:szCs w:val="24"/>
          <w:lang w:val="en-GB"/>
        </w:rPr>
      </w:pPr>
      <w:r w:rsidRPr="005E2054">
        <w:rPr>
          <w:rFonts w:ascii="Times New Roman" w:hAnsi="Times New Roman" w:cs="Times New Roman"/>
          <w:b/>
          <w:bCs/>
          <w:sz w:val="24"/>
          <w:szCs w:val="24"/>
          <w:lang w:val="en-GB"/>
        </w:rPr>
        <w:t>Equity Multiplier (EM)</w:t>
      </w:r>
      <w:r w:rsidRPr="005E2054">
        <w:rPr>
          <w:rFonts w:ascii="Times New Roman" w:hAnsi="Times New Roman" w:cs="Times New Roman"/>
          <w:sz w:val="24"/>
          <w:szCs w:val="24"/>
          <w:lang w:val="en-GB"/>
        </w:rPr>
        <w:t xml:space="preserve"> – Total Assets/Share capital. The EM Ratio is used to measure the bank’s total assets relative to shareholders capital. If the EM is higher it means that the bank has more debt to finance its assets than using its equity. As per Saraç and Zeren (2015) this happens to be of greater risk to the bank.</w:t>
      </w:r>
    </w:p>
    <w:p w:rsidR="00B967B6" w:rsidRPr="005E2054" w:rsidRDefault="00B967B6" w:rsidP="00B967B6">
      <w:pPr>
        <w:spacing w:line="480" w:lineRule="auto"/>
        <w:ind w:firstLine="720"/>
        <w:rPr>
          <w:rFonts w:ascii="Times New Roman" w:hAnsi="Times New Roman" w:cs="Times New Roman"/>
          <w:sz w:val="24"/>
          <w:szCs w:val="24"/>
        </w:rPr>
      </w:pPr>
      <w:r w:rsidRPr="005E2054">
        <w:rPr>
          <w:rFonts w:ascii="Times New Roman" w:hAnsi="Times New Roman" w:cs="Times New Roman"/>
          <w:sz w:val="24"/>
          <w:szCs w:val="24"/>
        </w:rPr>
        <w:t xml:space="preserve">In this section, I will discuss the financial performance of Islamic and Conventional Banks in Jordan as an example. The period used for analysis is from 2009-2013. The ROE of Islamic banks was higher than that of conventional banks. The conclusion drawn here is the conventional banks have higher profitability </w:t>
      </w:r>
      <w:r w:rsidRPr="005E2054">
        <w:rPr>
          <w:rFonts w:ascii="Times New Roman" w:hAnsi="Times New Roman" w:cs="Times New Roman"/>
          <w:sz w:val="24"/>
          <w:szCs w:val="24"/>
        </w:rPr>
        <w:lastRenderedPageBreak/>
        <w:t>ratios than those of Islamic Banks. According to Karim et al. (2018) in case to Liquidity Ratio, the Islamic banks can be said to have more liquidity than the conventional banks as the CDR, CAR were both high of the Islamic banks. Although the DER and DTAR for Islamic banks kept on increasing during the research period but were always lower than the DER and DTAR for conventional banks meaning the conventional bank were more prone to risk. During the time period of the study, AU of the conventional banks was constantly higher than the Islamic banks and the OE was higher on the Islamic bank’s side which shows that the conventional banks were more efficient than the Islamic banks (Salih et al. 2018).</w:t>
      </w:r>
    </w:p>
    <w:p w:rsidR="00B967B6" w:rsidRPr="00680CB3" w:rsidRDefault="00B967B6" w:rsidP="00B967B6">
      <w:pPr>
        <w:pStyle w:val="Heading2"/>
        <w:rPr>
          <w:rFonts w:ascii="Cambria" w:hAnsi="Cambria"/>
          <w:b w:val="0"/>
          <w:bCs w:val="0"/>
        </w:rPr>
      </w:pPr>
      <w:bookmarkStart w:id="50" w:name="_Toc1723555"/>
      <w:bookmarkStart w:id="51" w:name="_Toc2075031"/>
      <w:r w:rsidRPr="00680CB3">
        <w:rPr>
          <w:rFonts w:ascii="Cambria" w:hAnsi="Cambria"/>
          <w:bCs w:val="0"/>
        </w:rPr>
        <w:t>Impact of Capital Adequacy on the performance of both Islamic and Conventional banking systems</w:t>
      </w:r>
      <w:bookmarkEnd w:id="50"/>
      <w:bookmarkEnd w:id="51"/>
    </w:p>
    <w:p w:rsidR="00B967B6" w:rsidRPr="005E2054" w:rsidRDefault="00B967B6" w:rsidP="00B967B6">
      <w:pPr>
        <w:spacing w:line="480" w:lineRule="auto"/>
        <w:ind w:firstLine="720"/>
        <w:rPr>
          <w:rFonts w:ascii="Times New Roman" w:hAnsi="Times New Roman" w:cs="Times New Roman"/>
          <w:sz w:val="24"/>
          <w:szCs w:val="24"/>
        </w:rPr>
      </w:pPr>
      <w:r w:rsidRPr="005E2054">
        <w:rPr>
          <w:rFonts w:ascii="Times New Roman" w:hAnsi="Times New Roman" w:cs="Times New Roman"/>
          <w:sz w:val="24"/>
          <w:szCs w:val="24"/>
        </w:rPr>
        <w:t>Capital adequacy is the amount of finance that a bank needs to keep with itself</w:t>
      </w:r>
      <w:r w:rsidR="00991D93">
        <w:rPr>
          <w:rFonts w:ascii="Times New Roman" w:hAnsi="Times New Roman" w:cs="Times New Roman"/>
          <w:sz w:val="24"/>
          <w:szCs w:val="24"/>
        </w:rPr>
        <w:t>,</w:t>
      </w:r>
      <w:r w:rsidRPr="005E2054">
        <w:rPr>
          <w:rFonts w:ascii="Times New Roman" w:hAnsi="Times New Roman" w:cs="Times New Roman"/>
          <w:sz w:val="24"/>
          <w:szCs w:val="24"/>
        </w:rPr>
        <w:t xml:space="preserve"> in order to regulate its financial functions. This is </w:t>
      </w:r>
      <w:r w:rsidR="00991D93">
        <w:rPr>
          <w:rFonts w:ascii="Times New Roman" w:hAnsi="Times New Roman" w:cs="Times New Roman"/>
          <w:sz w:val="24"/>
          <w:szCs w:val="24"/>
        </w:rPr>
        <w:t>usually</w:t>
      </w:r>
      <w:r w:rsidRPr="005E2054">
        <w:rPr>
          <w:rFonts w:ascii="Times New Roman" w:hAnsi="Times New Roman" w:cs="Times New Roman"/>
          <w:sz w:val="24"/>
          <w:szCs w:val="24"/>
        </w:rPr>
        <w:t xml:space="preserve"> done in order to curb or handle any type of crisis. It plays a huge role in the working of both Islamic as well as conventional banks. This is because it ensures that both Islamic as well as conventional bank have an adequate amount of fu</w:t>
      </w:r>
      <w:r w:rsidR="00991D93">
        <w:rPr>
          <w:rFonts w:ascii="Times New Roman" w:hAnsi="Times New Roman" w:cs="Times New Roman"/>
          <w:sz w:val="24"/>
          <w:szCs w:val="24"/>
        </w:rPr>
        <w:t>n</w:t>
      </w:r>
      <w:r w:rsidRPr="005E2054">
        <w:rPr>
          <w:rFonts w:ascii="Times New Roman" w:hAnsi="Times New Roman" w:cs="Times New Roman"/>
          <w:sz w:val="24"/>
          <w:szCs w:val="24"/>
        </w:rPr>
        <w:t>d</w:t>
      </w:r>
      <w:r w:rsidR="00991D93">
        <w:rPr>
          <w:rFonts w:ascii="Times New Roman" w:hAnsi="Times New Roman" w:cs="Times New Roman"/>
          <w:sz w:val="24"/>
          <w:szCs w:val="24"/>
        </w:rPr>
        <w:t>s</w:t>
      </w:r>
      <w:r w:rsidRPr="005E2054">
        <w:rPr>
          <w:rFonts w:ascii="Times New Roman" w:hAnsi="Times New Roman" w:cs="Times New Roman"/>
          <w:sz w:val="24"/>
          <w:szCs w:val="24"/>
        </w:rPr>
        <w:t xml:space="preserve"> with them</w:t>
      </w:r>
      <w:r w:rsidR="00991D93">
        <w:rPr>
          <w:rFonts w:ascii="Times New Roman" w:hAnsi="Times New Roman" w:cs="Times New Roman"/>
          <w:sz w:val="24"/>
          <w:szCs w:val="24"/>
        </w:rPr>
        <w:t>,</w:t>
      </w:r>
      <w:r w:rsidRPr="005E2054">
        <w:rPr>
          <w:rFonts w:ascii="Times New Roman" w:hAnsi="Times New Roman" w:cs="Times New Roman"/>
          <w:sz w:val="24"/>
          <w:szCs w:val="24"/>
        </w:rPr>
        <w:t xml:space="preserve"> in order to handle any sort of unexpected losses or incident. This is a serious issue which is </w:t>
      </w:r>
      <w:r w:rsidR="00991D93">
        <w:rPr>
          <w:rFonts w:ascii="Times New Roman" w:hAnsi="Times New Roman" w:cs="Times New Roman"/>
          <w:sz w:val="24"/>
          <w:szCs w:val="24"/>
        </w:rPr>
        <w:t>has been going on for</w:t>
      </w:r>
      <w:r w:rsidRPr="005E2054">
        <w:rPr>
          <w:rFonts w:ascii="Times New Roman" w:hAnsi="Times New Roman" w:cs="Times New Roman"/>
          <w:sz w:val="24"/>
          <w:szCs w:val="24"/>
        </w:rPr>
        <w:t xml:space="preserve"> years and is of high importance</w:t>
      </w:r>
      <w:r w:rsidR="00991D93">
        <w:rPr>
          <w:rFonts w:ascii="Times New Roman" w:hAnsi="Times New Roman" w:cs="Times New Roman"/>
          <w:sz w:val="24"/>
          <w:szCs w:val="24"/>
        </w:rPr>
        <w:t>,</w:t>
      </w:r>
      <w:r w:rsidRPr="005E2054">
        <w:rPr>
          <w:rFonts w:ascii="Times New Roman" w:hAnsi="Times New Roman" w:cs="Times New Roman"/>
          <w:sz w:val="24"/>
          <w:szCs w:val="24"/>
        </w:rPr>
        <w:t xml:space="preserve"> especially in Islamic bank</w:t>
      </w:r>
      <w:r w:rsidR="00991D93">
        <w:rPr>
          <w:rFonts w:ascii="Times New Roman" w:hAnsi="Times New Roman" w:cs="Times New Roman"/>
          <w:sz w:val="24"/>
          <w:szCs w:val="24"/>
        </w:rPr>
        <w:t xml:space="preserve">ing. This is because </w:t>
      </w:r>
      <w:r w:rsidRPr="005E2054">
        <w:rPr>
          <w:rFonts w:ascii="Times New Roman" w:hAnsi="Times New Roman" w:cs="Times New Roman"/>
          <w:sz w:val="24"/>
          <w:szCs w:val="24"/>
        </w:rPr>
        <w:t>the incidents and experiences of the financial crisis ha</w:t>
      </w:r>
      <w:r w:rsidR="00991D93">
        <w:rPr>
          <w:rFonts w:ascii="Times New Roman" w:hAnsi="Times New Roman" w:cs="Times New Roman"/>
          <w:sz w:val="24"/>
          <w:szCs w:val="24"/>
        </w:rPr>
        <w:t>ve</w:t>
      </w:r>
      <w:r w:rsidRPr="005E2054">
        <w:rPr>
          <w:rFonts w:ascii="Times New Roman" w:hAnsi="Times New Roman" w:cs="Times New Roman"/>
          <w:sz w:val="24"/>
          <w:szCs w:val="24"/>
        </w:rPr>
        <w:t xml:space="preserve"> taken a serious hike in the recent time. </w:t>
      </w:r>
    </w:p>
    <w:p w:rsidR="00B967B6" w:rsidRPr="005E2054" w:rsidRDefault="00B967B6" w:rsidP="00B967B6">
      <w:pPr>
        <w:spacing w:line="480" w:lineRule="auto"/>
        <w:ind w:firstLine="720"/>
        <w:rPr>
          <w:rFonts w:ascii="Times New Roman" w:hAnsi="Times New Roman" w:cs="Times New Roman"/>
          <w:sz w:val="24"/>
          <w:szCs w:val="24"/>
        </w:rPr>
      </w:pPr>
      <w:r w:rsidRPr="005E2054">
        <w:rPr>
          <w:rFonts w:ascii="Times New Roman" w:hAnsi="Times New Roman" w:cs="Times New Roman"/>
          <w:sz w:val="24"/>
          <w:szCs w:val="24"/>
        </w:rPr>
        <w:t>This has led to a loss of finance to the supplier</w:t>
      </w:r>
      <w:r w:rsidR="00991D93">
        <w:rPr>
          <w:rFonts w:ascii="Times New Roman" w:hAnsi="Times New Roman" w:cs="Times New Roman"/>
          <w:sz w:val="24"/>
          <w:szCs w:val="24"/>
        </w:rPr>
        <w:t>s</w:t>
      </w:r>
      <w:r w:rsidRPr="005E2054">
        <w:rPr>
          <w:rFonts w:ascii="Times New Roman" w:hAnsi="Times New Roman" w:cs="Times New Roman"/>
          <w:sz w:val="24"/>
          <w:szCs w:val="24"/>
        </w:rPr>
        <w:t xml:space="preserve"> of </w:t>
      </w:r>
      <w:r w:rsidR="00991D93">
        <w:rPr>
          <w:rFonts w:ascii="Times New Roman" w:hAnsi="Times New Roman" w:cs="Times New Roman"/>
          <w:sz w:val="24"/>
          <w:szCs w:val="24"/>
        </w:rPr>
        <w:t>funds</w:t>
      </w:r>
      <w:r w:rsidRPr="005E2054">
        <w:rPr>
          <w:rFonts w:ascii="Times New Roman" w:hAnsi="Times New Roman" w:cs="Times New Roman"/>
          <w:sz w:val="24"/>
          <w:szCs w:val="24"/>
        </w:rPr>
        <w:t xml:space="preserve"> such as shareholders, depositors etc</w:t>
      </w:r>
      <w:r w:rsidR="00991D93">
        <w:rPr>
          <w:rFonts w:ascii="Times New Roman" w:hAnsi="Times New Roman" w:cs="Times New Roman"/>
          <w:sz w:val="24"/>
          <w:szCs w:val="24"/>
        </w:rPr>
        <w:t>.</w:t>
      </w:r>
      <w:r w:rsidRPr="005E2054">
        <w:rPr>
          <w:rFonts w:ascii="Times New Roman" w:hAnsi="Times New Roman" w:cs="Times New Roman"/>
          <w:sz w:val="24"/>
          <w:szCs w:val="24"/>
        </w:rPr>
        <w:t xml:space="preserve"> who invest a lot of their time and money in it (Iqbal, and Molyneux, 2016). This is a huge cause of wastage of resources in both the cases causing more harm to the banks. As capital is the core of any banking function</w:t>
      </w:r>
      <w:r w:rsidR="00991D93">
        <w:rPr>
          <w:rFonts w:ascii="Times New Roman" w:hAnsi="Times New Roman" w:cs="Times New Roman"/>
          <w:sz w:val="24"/>
          <w:szCs w:val="24"/>
        </w:rPr>
        <w:t>,</w:t>
      </w:r>
      <w:r w:rsidRPr="005E2054">
        <w:rPr>
          <w:rFonts w:ascii="Times New Roman" w:hAnsi="Times New Roman" w:cs="Times New Roman"/>
          <w:sz w:val="24"/>
          <w:szCs w:val="24"/>
        </w:rPr>
        <w:t xml:space="preserve"> any deficiency or issue in this can harm the growth of the nation. Bank needs capital in order to have some liquidity with one. The ratio of total equity with regard to total assets is used for capital adequacy in both Islamic and conventional banks. The source of capital for both Islamic and conventional banks is different. The activities of both of them are not similar and therefore maintaining a capital adequacy may not be fruitful in all the cases.  </w:t>
      </w:r>
    </w:p>
    <w:p w:rsidR="00B967B6" w:rsidRPr="005E2054" w:rsidRDefault="00B967B6" w:rsidP="00B967B6">
      <w:pPr>
        <w:spacing w:line="480" w:lineRule="auto"/>
        <w:ind w:firstLine="720"/>
        <w:rPr>
          <w:rFonts w:ascii="Times New Roman" w:hAnsi="Times New Roman" w:cs="Times New Roman"/>
          <w:sz w:val="24"/>
          <w:szCs w:val="24"/>
        </w:rPr>
      </w:pPr>
      <w:r w:rsidRPr="005E2054">
        <w:rPr>
          <w:rFonts w:ascii="Times New Roman" w:hAnsi="Times New Roman" w:cs="Times New Roman"/>
          <w:sz w:val="24"/>
          <w:szCs w:val="24"/>
        </w:rPr>
        <w:t xml:space="preserve">A major impact of capital adequacy is the inefficient management that is present in both Islamic as well as conventional banks. In the view of Wanjohi et al. (2017) the bank lending capacity is also highly </w:t>
      </w:r>
      <w:r w:rsidRPr="005E2054">
        <w:rPr>
          <w:rFonts w:ascii="Times New Roman" w:hAnsi="Times New Roman" w:cs="Times New Roman"/>
          <w:sz w:val="24"/>
          <w:szCs w:val="24"/>
        </w:rPr>
        <w:lastRenderedPageBreak/>
        <w:t xml:space="preserve">affected by this factor. As the lender keeps a lot of information secret from the bank it can lead to chances where the bank is not aware of the ways the finance would be used by the lender which may be against the principles of the bank. Another impact is the risk of bank failure. As the information is kept secretive from the bank a lot of economists are showing more and more interest to manage the financial system of both Islamic as well as conventional banks. A lot of data is available when it comes to the conventional bank in this regard but it is the Islamic bank and its impact that needs further study. It is found that the Islamic As per Mollah, and Zaman (2015) bank had to face a lot of issues in their working with regard to the capital adequacy. This is because the same set of rules applies to both Islamic and conventional bank which is not favourable in all cases. As different bank have different capacity, maintaining the same level of capital level for both Islamic and conventional banks, act as a hindrance to their growth and development plans. It is also seen that there seems to be a negative relationship between the Islamic bank capital and the profitability available to them. Their capital ratio is quite lower at times which help them gain more revenue as compared to the conventional banks. This is an impact because of the capital adequacy. </w:t>
      </w:r>
    </w:p>
    <w:p w:rsidR="00B967B6" w:rsidRPr="005E2054" w:rsidRDefault="00B967B6" w:rsidP="00B967B6">
      <w:pPr>
        <w:spacing w:line="480" w:lineRule="auto"/>
        <w:ind w:firstLine="720"/>
        <w:rPr>
          <w:rFonts w:ascii="Times New Roman" w:hAnsi="Times New Roman" w:cs="Times New Roman"/>
          <w:sz w:val="24"/>
          <w:szCs w:val="24"/>
        </w:rPr>
      </w:pPr>
      <w:r w:rsidRPr="005E2054">
        <w:rPr>
          <w:rFonts w:ascii="Times New Roman" w:hAnsi="Times New Roman" w:cs="Times New Roman"/>
          <w:sz w:val="24"/>
          <w:szCs w:val="24"/>
        </w:rPr>
        <w:t xml:space="preserve">This is because capital adequacy has a huge impact on the profitability of the bank. It is said that higher the capital adequacy, the lower the profitability of the bank which may be the case with the conventional banks, especially that of Malaysia. As per Johnes et al. (2014) another impact of capital adequacy on the banks is the availability of funds to them. It is found that the Islamic banks that has high adequacy ratio with them are able to receive or acquire funds at a cheaper rate with again helps in its profitability. This is the reason for such great performance of Islamic banks in Malaysia. The case with the conventional banks is not the same. </w:t>
      </w:r>
    </w:p>
    <w:p w:rsidR="00B967B6" w:rsidRPr="005E2054" w:rsidRDefault="00B967B6" w:rsidP="00B967B6">
      <w:pPr>
        <w:spacing w:line="480" w:lineRule="auto"/>
        <w:ind w:firstLine="720"/>
        <w:rPr>
          <w:rFonts w:ascii="Times New Roman" w:hAnsi="Times New Roman" w:cs="Times New Roman"/>
          <w:sz w:val="24"/>
          <w:szCs w:val="24"/>
        </w:rPr>
      </w:pPr>
      <w:r w:rsidRPr="005E2054">
        <w:rPr>
          <w:rFonts w:ascii="Times New Roman" w:hAnsi="Times New Roman" w:cs="Times New Roman"/>
          <w:sz w:val="24"/>
          <w:szCs w:val="24"/>
        </w:rPr>
        <w:t>Capital adequacy has a huge impact on the risk associated with the transactions of the bank. As an Islamic bank deals into many transactions that are not with the motive of earning money, this opens the bank to a lot of risks which affects the performance of the bank. In the case of conventional banks, they look into each and every activity very carefully before entering into transactions</w:t>
      </w:r>
      <w:r w:rsidR="00991D93">
        <w:rPr>
          <w:rFonts w:ascii="Times New Roman" w:hAnsi="Times New Roman" w:cs="Times New Roman"/>
          <w:sz w:val="24"/>
          <w:szCs w:val="24"/>
        </w:rPr>
        <w:t>,</w:t>
      </w:r>
      <w:r w:rsidRPr="005E2054">
        <w:rPr>
          <w:rFonts w:ascii="Times New Roman" w:hAnsi="Times New Roman" w:cs="Times New Roman"/>
          <w:sz w:val="24"/>
          <w:szCs w:val="24"/>
        </w:rPr>
        <w:t xml:space="preserve"> which saves them from a lot of risks</w:t>
      </w:r>
      <w:r w:rsidR="00991D93">
        <w:rPr>
          <w:rFonts w:ascii="Times New Roman" w:hAnsi="Times New Roman" w:cs="Times New Roman"/>
          <w:sz w:val="24"/>
          <w:szCs w:val="24"/>
        </w:rPr>
        <w:t>,</w:t>
      </w:r>
      <w:r w:rsidRPr="005E2054">
        <w:rPr>
          <w:rFonts w:ascii="Times New Roman" w:hAnsi="Times New Roman" w:cs="Times New Roman"/>
          <w:sz w:val="24"/>
          <w:szCs w:val="24"/>
        </w:rPr>
        <w:t xml:space="preserve"> which in turn affects their profitability in a positive way (Waemustafa, and Sukri, 2015). Thus, it can be said </w:t>
      </w:r>
      <w:r w:rsidRPr="005E2054">
        <w:rPr>
          <w:rFonts w:ascii="Times New Roman" w:hAnsi="Times New Roman" w:cs="Times New Roman"/>
          <w:sz w:val="24"/>
          <w:szCs w:val="24"/>
        </w:rPr>
        <w:lastRenderedPageBreak/>
        <w:t>that capital adequacy has both positive and negative impact on the financial performance of the Islamic and conventional bank.</w:t>
      </w:r>
    </w:p>
    <w:p w:rsidR="00B967B6" w:rsidRPr="005E2054" w:rsidRDefault="00B967B6" w:rsidP="00B967B6">
      <w:pPr>
        <w:spacing w:line="480" w:lineRule="auto"/>
        <w:ind w:firstLine="720"/>
        <w:rPr>
          <w:rFonts w:ascii="Times New Roman" w:hAnsi="Times New Roman" w:cs="Times New Roman"/>
          <w:sz w:val="24"/>
          <w:szCs w:val="24"/>
        </w:rPr>
      </w:pPr>
      <w:r w:rsidRPr="005E2054">
        <w:rPr>
          <w:rFonts w:ascii="Times New Roman" w:hAnsi="Times New Roman" w:cs="Times New Roman"/>
          <w:sz w:val="24"/>
          <w:szCs w:val="24"/>
        </w:rPr>
        <w:t>The methods to analyse the impact of internal factors on financial risks taken in the referencing journals are mentioned below. The below table has shown the type of techniques taken by many scholars and their consecutive results in the place during a specific time period.</w:t>
      </w:r>
    </w:p>
    <w:tbl>
      <w:tblPr>
        <w:tblW w:w="9134" w:type="dxa"/>
        <w:shd w:val="clear" w:color="auto" w:fill="FFFFFF"/>
        <w:tblLayout w:type="fixed"/>
        <w:tblCellMar>
          <w:top w:w="15" w:type="dxa"/>
          <w:left w:w="15" w:type="dxa"/>
          <w:bottom w:w="15" w:type="dxa"/>
          <w:right w:w="15" w:type="dxa"/>
        </w:tblCellMar>
        <w:tblLook w:val="04A0" w:firstRow="1" w:lastRow="0" w:firstColumn="1" w:lastColumn="0" w:noHBand="0" w:noVBand="1"/>
      </w:tblPr>
      <w:tblGrid>
        <w:gridCol w:w="1452"/>
        <w:gridCol w:w="1428"/>
        <w:gridCol w:w="2610"/>
        <w:gridCol w:w="810"/>
        <w:gridCol w:w="1350"/>
        <w:gridCol w:w="1484"/>
      </w:tblGrid>
      <w:tr w:rsidR="00B967B6" w:rsidRPr="005E2054" w:rsidTr="005E2054">
        <w:trPr>
          <w:trHeight w:val="870"/>
        </w:trPr>
        <w:tc>
          <w:tcPr>
            <w:tcW w:w="1452"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spacing w:after="0" w:line="240" w:lineRule="auto"/>
              <w:rPr>
                <w:rFonts w:ascii="Times New Roman" w:hAnsi="Times New Roman" w:cs="Times New Roman"/>
                <w:sz w:val="24"/>
                <w:szCs w:val="24"/>
              </w:rPr>
            </w:pPr>
            <w:r w:rsidRPr="005E2054">
              <w:rPr>
                <w:rFonts w:ascii="Times New Roman" w:hAnsi="Times New Roman" w:cs="Times New Roman"/>
                <w:sz w:val="24"/>
                <w:szCs w:val="24"/>
              </w:rPr>
              <w:t>Journal/ Report</w:t>
            </w:r>
          </w:p>
        </w:tc>
        <w:tc>
          <w:tcPr>
            <w:tcW w:w="142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spacing w:after="0" w:line="240" w:lineRule="auto"/>
              <w:rPr>
                <w:rFonts w:ascii="Times New Roman" w:hAnsi="Times New Roman" w:cs="Times New Roman"/>
                <w:sz w:val="24"/>
                <w:szCs w:val="24"/>
              </w:rPr>
            </w:pPr>
            <w:r w:rsidRPr="005E2054">
              <w:rPr>
                <w:rFonts w:ascii="Times New Roman" w:hAnsi="Times New Roman" w:cs="Times New Roman"/>
                <w:sz w:val="24"/>
                <w:szCs w:val="24"/>
              </w:rPr>
              <w:t>Author</w:t>
            </w:r>
          </w:p>
        </w:tc>
        <w:tc>
          <w:tcPr>
            <w:tcW w:w="261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spacing w:after="0" w:line="240" w:lineRule="auto"/>
              <w:rPr>
                <w:rFonts w:ascii="Times New Roman" w:hAnsi="Times New Roman" w:cs="Times New Roman"/>
                <w:sz w:val="24"/>
                <w:szCs w:val="24"/>
              </w:rPr>
            </w:pPr>
            <w:r w:rsidRPr="005E2054">
              <w:rPr>
                <w:rFonts w:ascii="Times New Roman" w:hAnsi="Times New Roman" w:cs="Times New Roman"/>
                <w:sz w:val="24"/>
                <w:szCs w:val="24"/>
              </w:rPr>
              <w:t>Technique Type</w:t>
            </w:r>
          </w:p>
        </w:tc>
        <w:tc>
          <w:tcPr>
            <w:tcW w:w="81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spacing w:after="0" w:line="240" w:lineRule="auto"/>
              <w:rPr>
                <w:rFonts w:ascii="Times New Roman" w:hAnsi="Times New Roman" w:cs="Times New Roman"/>
                <w:sz w:val="24"/>
                <w:szCs w:val="24"/>
              </w:rPr>
            </w:pPr>
            <w:r w:rsidRPr="005E2054">
              <w:rPr>
                <w:rFonts w:ascii="Times New Roman" w:hAnsi="Times New Roman" w:cs="Times New Roman"/>
                <w:sz w:val="24"/>
                <w:szCs w:val="24"/>
              </w:rPr>
              <w:t>Time</w:t>
            </w:r>
          </w:p>
        </w:tc>
        <w:tc>
          <w:tcPr>
            <w:tcW w:w="135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spacing w:after="0" w:line="240" w:lineRule="auto"/>
              <w:rPr>
                <w:rFonts w:ascii="Times New Roman" w:hAnsi="Times New Roman" w:cs="Times New Roman"/>
                <w:sz w:val="24"/>
                <w:szCs w:val="24"/>
              </w:rPr>
            </w:pPr>
            <w:r w:rsidRPr="005E2054">
              <w:rPr>
                <w:rFonts w:ascii="Times New Roman" w:hAnsi="Times New Roman" w:cs="Times New Roman"/>
                <w:sz w:val="24"/>
                <w:szCs w:val="24"/>
              </w:rPr>
              <w:t>Place (Market/Country)</w:t>
            </w:r>
          </w:p>
        </w:tc>
        <w:tc>
          <w:tcPr>
            <w:tcW w:w="14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spacing w:after="0" w:line="240" w:lineRule="auto"/>
              <w:rPr>
                <w:rFonts w:ascii="Times New Roman" w:hAnsi="Times New Roman" w:cs="Times New Roman"/>
                <w:sz w:val="24"/>
                <w:szCs w:val="24"/>
              </w:rPr>
            </w:pPr>
            <w:r w:rsidRPr="005E2054">
              <w:rPr>
                <w:rFonts w:ascii="Times New Roman" w:hAnsi="Times New Roman" w:cs="Times New Roman"/>
                <w:sz w:val="24"/>
                <w:szCs w:val="24"/>
              </w:rPr>
              <w:t>Outcome</w:t>
            </w:r>
          </w:p>
        </w:tc>
      </w:tr>
      <w:tr w:rsidR="00B967B6" w:rsidRPr="005E2054" w:rsidTr="005E2054">
        <w:trPr>
          <w:trHeight w:val="900"/>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Global Journal of Business Research</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Hussein A. Hassan Al-Tamimi</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A Regression Model with Two Dependable Variables and A Multi-Collinearly Test</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1996-2008</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UAE</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Positive on Both Banking Performance</w:t>
            </w:r>
          </w:p>
        </w:tc>
      </w:tr>
      <w:tr w:rsidR="00B967B6" w:rsidRPr="005E2054" w:rsidTr="005E2054">
        <w:trPr>
          <w:trHeight w:val="2085"/>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2nd International Conference on Economics, Business and Management,</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Ansari, S. and Khalil-ur-Rehman</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Regression Model with Explained and Explanatory Variable, Descriptive Statistics, Co-relation Matrix, F-statistic</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2005-2009</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Pakistan</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Positive on ROE in Pakistani Banks, Negative on Conventional Banks (CB)</w:t>
            </w:r>
          </w:p>
        </w:tc>
      </w:tr>
      <w:tr w:rsidR="00B967B6" w:rsidRPr="005E2054" w:rsidTr="005E2054">
        <w:trPr>
          <w:trHeight w:val="2430"/>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Global Journal of Business Research</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Girard, E., Nolan, J. and Pondillo, T.</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Descriptive Statistics, Kaiser-Meyer-Olkin test, Barlett test of sphericity, VARIMAX rotation, Weighted Least Square Regression method</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1986-2006</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Emerging Markets including Stock Market, Firms and Commercial Banks</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Bank stocks with low duration gap outperform bank stock with high duration gap</w:t>
            </w:r>
          </w:p>
        </w:tc>
      </w:tr>
      <w:tr w:rsidR="00B967B6" w:rsidRPr="005E2054" w:rsidTr="005E2054">
        <w:trPr>
          <w:trHeight w:val="900"/>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lastRenderedPageBreak/>
              <w:t>International Journal of Economics and Management Sciences</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Hamid, M. and Azmi, S.</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DAE including ESOP, ROAE, Ooi, CTI</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2010-2014</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Malaysia</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Inefficient result</w:t>
            </w:r>
          </w:p>
        </w:tc>
      </w:tr>
      <w:tr w:rsidR="00B967B6" w:rsidRPr="005E2054" w:rsidTr="005E2054">
        <w:trPr>
          <w:trHeight w:val="1545"/>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ASRJETS</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Hawaldar, I.T., Rahiman, H.U., Rajesha, T.M. and KR, N.K</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Income and Cost Efficiency through Linear Trend Model, Data Analysis through SPSS and Excel</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2009-2013</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Bahrain</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Cost to income ratio, Operating efficiency, asset utilization is higher in CB</w:t>
            </w:r>
          </w:p>
        </w:tc>
      </w:tr>
      <w:tr w:rsidR="00B967B6" w:rsidRPr="005E2054" w:rsidTr="005E2054">
        <w:trPr>
          <w:trHeight w:val="1545"/>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SSRN Electronic Journal</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Hossain, M.</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Analysis of Variance (ANOVA)</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2008-2012</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Bangladesh</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No difference in terms of ROA, ROE but difference in years</w:t>
            </w:r>
          </w:p>
        </w:tc>
      </w:tr>
      <w:tr w:rsidR="00B967B6" w:rsidRPr="005E2054" w:rsidTr="005E2054">
        <w:trPr>
          <w:trHeight w:val="1500"/>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Pacific-Basin Finance Journal</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Ibrahim, M.</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Qualitative and Descriptive</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2010-2014</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Islamic banking &amp; Islamic Capital market</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Positive on ROA and ROE</w:t>
            </w:r>
          </w:p>
        </w:tc>
      </w:tr>
      <w:tr w:rsidR="00B967B6" w:rsidRPr="005E2054" w:rsidTr="005E2054">
        <w:trPr>
          <w:trHeight w:val="600"/>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Thirty years of Islamic banking</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Iqbal, M. and Molyneux, P.</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Financial Ratio Analysis (FRA)</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2005</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Saudi Arabia</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Positive results on CB</w:t>
            </w:r>
          </w:p>
        </w:tc>
      </w:tr>
      <w:tr w:rsidR="00B967B6" w:rsidRPr="005E2054" w:rsidTr="005E2054">
        <w:trPr>
          <w:trHeight w:val="2775"/>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lastRenderedPageBreak/>
              <w:t>Journal of Economic Behavior &amp; Organization</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Johnes, J., Izzeldin, M. and Pappas, V.</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Data Envelopment Analysis, Meta Frontier Analysis (Different types of efficiency based analysis)</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2004-2009</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Islamic Banking Sector</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Same efficiency level in terms of gross efficiency in both IB &amp; CB, higher on net efficiency, lower on type efficiency</w:t>
            </w:r>
          </w:p>
        </w:tc>
      </w:tr>
      <w:tr w:rsidR="00B967B6" w:rsidRPr="005E2054" w:rsidTr="005E2054">
        <w:trPr>
          <w:trHeight w:val="2205"/>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University of Huddersfield Repository</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Johnes, J., Izzeldin, M. and Pappas, V.</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FRA, Data Envelopment Analysis</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2006-2012</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GCC countries</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Using FRA shows IB is better in performance than CB in terms of capital adequacy</w:t>
            </w:r>
          </w:p>
        </w:tc>
      </w:tr>
      <w:tr w:rsidR="00B967B6" w:rsidRPr="005E2054" w:rsidTr="005E2054">
        <w:trPr>
          <w:trHeight w:val="1600"/>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European Journal of Business and Social Sciences</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Kanwal, S. and Nadeem, M</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Pooled Ordinary Least Square Method</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2001-2011</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Pakistan</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 xml:space="preserve">Insignificant positive impact on ROA, insignificant negative effect on ROE along with a strong positive relation with real interest </w:t>
            </w:r>
            <w:r w:rsidRPr="005E2054">
              <w:rPr>
                <w:rFonts w:ascii="Times New Roman" w:hAnsi="Times New Roman" w:cs="Times New Roman"/>
                <w:sz w:val="24"/>
                <w:szCs w:val="24"/>
              </w:rPr>
              <w:lastRenderedPageBreak/>
              <w:t>rate and ROA, ROE</w:t>
            </w:r>
          </w:p>
        </w:tc>
      </w:tr>
      <w:tr w:rsidR="00B967B6" w:rsidRPr="005E2054" w:rsidTr="005E2054">
        <w:trPr>
          <w:trHeight w:val="1575"/>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lastRenderedPageBreak/>
              <w:t>Pacific-Basin Finance Journal</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Karim, M.A., Hassan, M.K., Hassan, T. and Mohamad, S</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Quantitative (Capital Crunch Hypothesis)</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1999-2009</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Organization of Islamic Conference (OIC) countries</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CAR, deposit and loan growth are positive for both IBs and CBs.</w:t>
            </w:r>
          </w:p>
        </w:tc>
      </w:tr>
      <w:tr w:rsidR="00B967B6" w:rsidRPr="005E2054" w:rsidTr="005E2054">
        <w:trPr>
          <w:trHeight w:val="2445"/>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the 2nd Advances in Business Research International Conference</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Karim, N.A., Alhabshi, S.M.S.J., Kassim, S. and Haron, R.</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Bank's stability measurement through Z-score and CAMELS. After calculation the variables are ranked by introducing the average of total ranking for all variables</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1999-2015</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Malaysia</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Favorable in overall average bank stability score, sensitivity to market risk, asset quality, earning and proﬁtability, but local conventional banks are recorded favorable ranking in liquidity</w:t>
            </w:r>
          </w:p>
        </w:tc>
      </w:tr>
      <w:tr w:rsidR="00B967B6" w:rsidRPr="005E2054" w:rsidTr="005E2054">
        <w:trPr>
          <w:trHeight w:val="1500"/>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Research in International Business and Finance</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 xml:space="preserve">Khediri, K.B., Charfeddine, L. and </w:t>
            </w:r>
            <w:r w:rsidRPr="005E2054">
              <w:rPr>
                <w:rFonts w:ascii="Times New Roman" w:hAnsi="Times New Roman" w:cs="Times New Roman"/>
                <w:sz w:val="24"/>
                <w:szCs w:val="24"/>
              </w:rPr>
              <w:lastRenderedPageBreak/>
              <w:t>Youssef, S.B.</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lastRenderedPageBreak/>
              <w:t xml:space="preserve">Linear discriminate analysis, Logistic regression, Tree of </w:t>
            </w:r>
            <w:r w:rsidRPr="005E2054">
              <w:rPr>
                <w:rFonts w:ascii="Times New Roman" w:hAnsi="Times New Roman" w:cs="Times New Roman"/>
                <w:sz w:val="24"/>
                <w:szCs w:val="24"/>
              </w:rPr>
              <w:lastRenderedPageBreak/>
              <w:t>classification and Neural network</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lastRenderedPageBreak/>
              <w:t>2003-2010</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GCC countries</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 xml:space="preserve">IBs are more profitable, liquid, better capitalized, </w:t>
            </w:r>
            <w:r w:rsidRPr="005E2054">
              <w:rPr>
                <w:rFonts w:ascii="Times New Roman" w:hAnsi="Times New Roman" w:cs="Times New Roman"/>
                <w:sz w:val="24"/>
                <w:szCs w:val="24"/>
              </w:rPr>
              <w:lastRenderedPageBreak/>
              <w:t>hold lower credit risk but less involvement in off-sheet activities than CBs</w:t>
            </w:r>
          </w:p>
        </w:tc>
      </w:tr>
      <w:tr w:rsidR="00B967B6" w:rsidRPr="005E2054" w:rsidTr="005E2054">
        <w:trPr>
          <w:trHeight w:val="900"/>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lastRenderedPageBreak/>
              <w:t>The Effect of Risk Management in Kenya</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Mutuku, C.</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Regression Analysis, Co-relation Analysis</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2011-2015</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Kenya</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Negative effect of capital adequacy on financial performance</w:t>
            </w:r>
          </w:p>
        </w:tc>
      </w:tr>
      <w:tr w:rsidR="00B967B6" w:rsidRPr="005E2054" w:rsidTr="005E2054">
        <w:trPr>
          <w:trHeight w:val="1500"/>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International Journal of Economics and Financial Issues</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Ongore, V., &amp; Kusa, G.</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Linear Multiple Regression Model and Generalized Least Square method on panel data to estimate the parameters</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2009-2014</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Kenya</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Insignificant performances of CBs and insignificant effects of macroeconomic factors on the activity performances of these banks</w:t>
            </w:r>
          </w:p>
        </w:tc>
      </w:tr>
      <w:tr w:rsidR="00B967B6" w:rsidRPr="005E2054" w:rsidTr="005E2054">
        <w:trPr>
          <w:trHeight w:val="900"/>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Journal of Business and Technology</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Rahman, M.L. and Banna, S.H.</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Quantitative Analysis of Secondary Data</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2007-2012</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Dhaka</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Positive on ROA and ROE in CBS</w:t>
            </w:r>
          </w:p>
        </w:tc>
      </w:tr>
      <w:tr w:rsidR="00B967B6" w:rsidRPr="005E2054" w:rsidTr="005E2054">
        <w:trPr>
          <w:trHeight w:val="3240"/>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lastRenderedPageBreak/>
              <w:t>Journal of Economic Behavior &amp; Organization</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Saeed, M. and Izzeldin, M.</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Stochastic Frontier Approach and distance to default (Merton's model) followed by Panel Vector Auto Regression</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2002-2010</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GCC and Non-GCC Countries</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the relationship between profit efficiency and default risk for CBs and for the GCC is such that a decrease in default risk is associated with lower efficiency levels</w:t>
            </w:r>
          </w:p>
        </w:tc>
      </w:tr>
      <w:tr w:rsidR="00B967B6" w:rsidRPr="005E2054" w:rsidTr="005E2054">
        <w:trPr>
          <w:trHeight w:val="1200"/>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International Journal of Finance &amp; Economics</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Salih, A., Ghecham, M.A. and Al</w:t>
            </w:r>
            <w:r w:rsidRPr="005E2054">
              <w:rPr>
                <w:rFonts w:ascii="Cambria Math" w:hAnsi="Cambria Math" w:cs="Cambria Math"/>
                <w:sz w:val="24"/>
                <w:szCs w:val="24"/>
              </w:rPr>
              <w:t>‐</w:t>
            </w:r>
            <w:r w:rsidRPr="005E2054">
              <w:rPr>
                <w:rFonts w:ascii="Times New Roman" w:hAnsi="Times New Roman" w:cs="Times New Roman"/>
                <w:sz w:val="24"/>
                <w:szCs w:val="24"/>
              </w:rPr>
              <w:t>Barghouthi, S.</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Linear Regression Model</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2006-2012</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Gulf Corporation Council Region</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Performance based sustainability is better for CBs than IBs</w:t>
            </w:r>
          </w:p>
        </w:tc>
      </w:tr>
      <w:tr w:rsidR="00B967B6" w:rsidRPr="005E2054" w:rsidTr="005E2054">
        <w:trPr>
          <w:trHeight w:val="2670"/>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Applied Economics</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Saraç, M. and Zeren, F.</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Co-integration tests with multiple breaks and frequency domain causality test</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2007-2014</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Turkey</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 xml:space="preserve">A high co-integration between CBs and three Participation Banks in terms of TDRs (Term Deposit Rates) while in one PB </w:t>
            </w:r>
            <w:r w:rsidRPr="005E2054">
              <w:rPr>
                <w:rFonts w:ascii="Times New Roman" w:hAnsi="Times New Roman" w:cs="Times New Roman"/>
                <w:sz w:val="24"/>
                <w:szCs w:val="24"/>
              </w:rPr>
              <w:lastRenderedPageBreak/>
              <w:t>there were no co-integration</w:t>
            </w:r>
          </w:p>
        </w:tc>
      </w:tr>
      <w:tr w:rsidR="00B967B6" w:rsidRPr="005E2054" w:rsidTr="005E2054">
        <w:trPr>
          <w:trHeight w:val="2160"/>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lastRenderedPageBreak/>
              <w:t>International Journal of Financial Research</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Sillah, B. and Harrathi, N.</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DEA</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2006-2012</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GCC Countries</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Under constant return to scale assumption no evidence was found for the efficiency difference in CBs &amp; IBs</w:t>
            </w:r>
          </w:p>
        </w:tc>
      </w:tr>
      <w:tr w:rsidR="00B967B6" w:rsidRPr="005E2054" w:rsidTr="005E2054">
        <w:trPr>
          <w:trHeight w:val="1260"/>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Banks and Bank System</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Unal, Seyfettin, Aktas,Rafet, Acikaline, Sezgin</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Comparative performance analysis</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1997-2006</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Turkey</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Findings showed that Private Banks are as efficient as State Banks</w:t>
            </w:r>
          </w:p>
        </w:tc>
      </w:tr>
      <w:tr w:rsidR="00B967B6" w:rsidRPr="005E2054" w:rsidTr="005E2054">
        <w:trPr>
          <w:trHeight w:val="2805"/>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International Journal of Economics and Financial Issues</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Waemustafa, W. and Sukri, S.</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Multivariate Regression Analysis</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2000-2010</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Malaysia</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 xml:space="preserve">Significance of contracts and regulatory capital in terms of credit risk in IBs while the significant factor </w:t>
            </w:r>
            <w:r w:rsidRPr="005E2054">
              <w:rPr>
                <w:rFonts w:ascii="Times New Roman" w:hAnsi="Times New Roman" w:cs="Times New Roman"/>
                <w:sz w:val="24"/>
                <w:szCs w:val="24"/>
              </w:rPr>
              <w:lastRenderedPageBreak/>
              <w:t>promoting credit risk in CBs are debt-to-total asset ratio, bank size, liquidity etc.</w:t>
            </w:r>
          </w:p>
        </w:tc>
      </w:tr>
      <w:tr w:rsidR="00B967B6" w:rsidRPr="005E2054" w:rsidTr="005E2054">
        <w:trPr>
          <w:trHeight w:val="1635"/>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lastRenderedPageBreak/>
              <w:t>International Journal of Finance and Banking Research</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Wanjohi, S. M., Wanjohi, J.G., and Ndambiri, J. M.</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Multiple Regression Analysis on Primary Survey Data</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2008-2012</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Kenya</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Positive co-relation between ROA and financial risks</w:t>
            </w:r>
          </w:p>
        </w:tc>
      </w:tr>
      <w:tr w:rsidR="00B967B6" w:rsidRPr="005E2054" w:rsidTr="005E2054">
        <w:trPr>
          <w:trHeight w:val="1200"/>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Banks and Bank Systems</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Yakobi, K. and Ngcamu, B.</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Software Analysis through SPSS</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2010-2015</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South Africa</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Positive effect of social media on promoting business of commercial banks</w:t>
            </w:r>
          </w:p>
        </w:tc>
      </w:tr>
      <w:tr w:rsidR="00B967B6" w:rsidRPr="005E2054" w:rsidTr="005E2054">
        <w:trPr>
          <w:trHeight w:val="1560"/>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International Journal of Islamic and Middle Eastern Finance and Management</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Zarrouk, H., Ben Jedidia, K. and Moualhi, M.</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Dynamic Panel Data Model</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1994-2012</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MENA region</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Better performances of IBs in the presence of high investment and GDP</w:t>
            </w:r>
          </w:p>
        </w:tc>
      </w:tr>
      <w:tr w:rsidR="00B967B6" w:rsidRPr="005E2054" w:rsidTr="005E2054">
        <w:trPr>
          <w:trHeight w:val="1875"/>
        </w:trPr>
        <w:tc>
          <w:tcPr>
            <w:tcW w:w="145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 xml:space="preserve">Journal of Business and </w:t>
            </w:r>
            <w:r w:rsidRPr="005E2054">
              <w:rPr>
                <w:rFonts w:ascii="Times New Roman" w:hAnsi="Times New Roman" w:cs="Times New Roman"/>
                <w:sz w:val="24"/>
                <w:szCs w:val="24"/>
              </w:rPr>
              <w:lastRenderedPageBreak/>
              <w:t>Financial Affairs</w:t>
            </w:r>
          </w:p>
        </w:tc>
        <w:tc>
          <w:tcPr>
            <w:tcW w:w="142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lastRenderedPageBreak/>
              <w:t>Naeem B.</w:t>
            </w:r>
          </w:p>
        </w:tc>
        <w:tc>
          <w:tcPr>
            <w:tcW w:w="26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ANOVA, CAMEL Model</w:t>
            </w:r>
          </w:p>
        </w:tc>
        <w:tc>
          <w:tcPr>
            <w:tcW w:w="81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2008-2015</w:t>
            </w:r>
          </w:p>
        </w:tc>
        <w:tc>
          <w:tcPr>
            <w:tcW w:w="135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Pakistan</w:t>
            </w:r>
          </w:p>
        </w:tc>
        <w:tc>
          <w:tcPr>
            <w:tcW w:w="148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B967B6" w:rsidRPr="005E2054" w:rsidRDefault="00B967B6" w:rsidP="005E2054">
            <w:pPr>
              <w:rPr>
                <w:rFonts w:ascii="Times New Roman" w:hAnsi="Times New Roman" w:cs="Times New Roman"/>
                <w:sz w:val="24"/>
                <w:szCs w:val="24"/>
              </w:rPr>
            </w:pPr>
            <w:r w:rsidRPr="005E2054">
              <w:rPr>
                <w:rFonts w:ascii="Times New Roman" w:hAnsi="Times New Roman" w:cs="Times New Roman"/>
                <w:sz w:val="24"/>
                <w:szCs w:val="24"/>
              </w:rPr>
              <w:t xml:space="preserve">Internal factors such as Capital Adequacy, </w:t>
            </w:r>
            <w:r w:rsidRPr="005E2054">
              <w:rPr>
                <w:rFonts w:ascii="Times New Roman" w:hAnsi="Times New Roman" w:cs="Times New Roman"/>
                <w:sz w:val="24"/>
                <w:szCs w:val="24"/>
              </w:rPr>
              <w:lastRenderedPageBreak/>
              <w:t>Resource quality has significant effect on ROA, ROE</w:t>
            </w:r>
          </w:p>
        </w:tc>
      </w:tr>
    </w:tbl>
    <w:p w:rsidR="00B967B6" w:rsidRDefault="00B967B6" w:rsidP="00B967B6">
      <w:pPr>
        <w:spacing w:after="90" w:line="480" w:lineRule="auto"/>
        <w:rPr>
          <w:rFonts w:cs="Times New Roman"/>
          <w:szCs w:val="24"/>
        </w:rPr>
      </w:pPr>
    </w:p>
    <w:p w:rsidR="00061B4D" w:rsidRPr="00D02383" w:rsidRDefault="00061B4D" w:rsidP="00D02383">
      <w:pPr>
        <w:pStyle w:val="Heading1"/>
        <w:spacing w:line="600" w:lineRule="auto"/>
        <w:rPr>
          <w:color w:val="auto"/>
        </w:rPr>
      </w:pPr>
      <w:bookmarkStart w:id="52" w:name="_Toc1740143"/>
      <w:bookmarkStart w:id="53" w:name="_Toc2075032"/>
      <w:r w:rsidRPr="00D02383">
        <w:rPr>
          <w:color w:val="auto"/>
        </w:rPr>
        <w:t>Chapter 3: Research Methodology</w:t>
      </w:r>
      <w:bookmarkEnd w:id="52"/>
      <w:bookmarkEnd w:id="53"/>
    </w:p>
    <w:p w:rsidR="00061B4D" w:rsidRPr="00650895" w:rsidRDefault="00061B4D" w:rsidP="00061B4D">
      <w:pPr>
        <w:pStyle w:val="Heading2"/>
        <w:spacing w:line="480" w:lineRule="auto"/>
        <w:rPr>
          <w:rFonts w:ascii="Cambria" w:hAnsi="Cambria"/>
          <w:b w:val="0"/>
          <w:bCs w:val="0"/>
        </w:rPr>
      </w:pPr>
      <w:bookmarkStart w:id="54" w:name="_Toc1740144"/>
      <w:bookmarkStart w:id="55" w:name="_Toc2075033"/>
      <w:r w:rsidRPr="00650895">
        <w:rPr>
          <w:rFonts w:ascii="Cambria" w:hAnsi="Cambria"/>
        </w:rPr>
        <w:t>Introduction</w:t>
      </w:r>
      <w:bookmarkEnd w:id="54"/>
      <w:bookmarkEnd w:id="55"/>
    </w:p>
    <w:p w:rsidR="00061B4D" w:rsidRPr="005E2054" w:rsidRDefault="00061B4D" w:rsidP="005E2054">
      <w:pPr>
        <w:spacing w:line="480" w:lineRule="auto"/>
        <w:ind w:firstLine="720"/>
        <w:rPr>
          <w:rFonts w:ascii="Times New Roman" w:hAnsi="Times New Roman" w:cs="Times New Roman"/>
          <w:sz w:val="24"/>
          <w:szCs w:val="24"/>
        </w:rPr>
      </w:pPr>
      <w:r w:rsidRPr="005E2054">
        <w:rPr>
          <w:rFonts w:ascii="Times New Roman" w:hAnsi="Times New Roman" w:cs="Times New Roman"/>
          <w:sz w:val="24"/>
          <w:szCs w:val="24"/>
        </w:rPr>
        <w:t>The objective of this research study is to examine the financial performance of selected regional Islamic banks, mostly from Gulf States and international Conventional banks, and the possible internal and macroeconomic factors affecting their performance. This chapter presents the research philosophy, strategy and design, Data sample and collection, analysis techniques, definition of variables used and model specification.</w:t>
      </w:r>
    </w:p>
    <w:p w:rsidR="00061B4D" w:rsidRPr="00650895" w:rsidRDefault="00061B4D" w:rsidP="00061B4D">
      <w:pPr>
        <w:pStyle w:val="Heading2"/>
        <w:spacing w:line="480" w:lineRule="auto"/>
        <w:rPr>
          <w:rFonts w:ascii="Cambria" w:hAnsi="Cambria"/>
          <w:b w:val="0"/>
          <w:bCs w:val="0"/>
        </w:rPr>
      </w:pPr>
      <w:bookmarkStart w:id="56" w:name="_Toc1740145"/>
      <w:bookmarkStart w:id="57" w:name="_Toc2075034"/>
      <w:r w:rsidRPr="00650895">
        <w:rPr>
          <w:rFonts w:ascii="Cambria" w:hAnsi="Cambria"/>
        </w:rPr>
        <w:t>Research Philosophy</w:t>
      </w:r>
      <w:bookmarkEnd w:id="56"/>
      <w:bookmarkEnd w:id="57"/>
    </w:p>
    <w:p w:rsidR="00061B4D" w:rsidRPr="005E2054" w:rsidRDefault="00061B4D" w:rsidP="00061B4D">
      <w:pPr>
        <w:spacing w:line="480" w:lineRule="auto"/>
        <w:ind w:firstLine="720"/>
        <w:rPr>
          <w:rFonts w:ascii="Times New Roman" w:hAnsi="Times New Roman" w:cs="Times New Roman"/>
          <w:sz w:val="24"/>
          <w:szCs w:val="24"/>
        </w:rPr>
      </w:pPr>
      <w:r w:rsidRPr="005E2054">
        <w:rPr>
          <w:rFonts w:ascii="Times New Roman" w:hAnsi="Times New Roman" w:cs="Times New Roman"/>
          <w:sz w:val="24"/>
          <w:szCs w:val="24"/>
        </w:rPr>
        <w:t xml:space="preserve">The philosophical framework guides how research is conducted on the basis of people’s assumptions in relation to the nature of knowledge and the world </w:t>
      </w:r>
      <w:r w:rsidRPr="005E2054">
        <w:rPr>
          <w:rFonts w:ascii="Times New Roman" w:hAnsi="Times New Roman" w:cs="Times New Roman"/>
          <w:noProof/>
          <w:sz w:val="24"/>
          <w:szCs w:val="24"/>
        </w:rPr>
        <w:t>(Collins &amp; Hussey, 2009).</w:t>
      </w:r>
      <w:r w:rsidRPr="005E2054">
        <w:rPr>
          <w:rFonts w:ascii="Times New Roman" w:hAnsi="Times New Roman" w:cs="Times New Roman"/>
          <w:sz w:val="24"/>
          <w:szCs w:val="24"/>
        </w:rPr>
        <w:t xml:space="preserve"> For the purpose of this research work, the two important research philosophical frameworks which are related to business projects are positivism and interpretive </w:t>
      </w:r>
      <w:r w:rsidRPr="005E2054">
        <w:rPr>
          <w:rFonts w:ascii="Times New Roman" w:hAnsi="Times New Roman" w:cs="Times New Roman"/>
          <w:noProof/>
          <w:sz w:val="24"/>
          <w:szCs w:val="24"/>
        </w:rPr>
        <w:t>(Burns &amp; Burns, 2008)</w:t>
      </w:r>
      <w:r w:rsidRPr="005E2054">
        <w:rPr>
          <w:rFonts w:ascii="Times New Roman" w:hAnsi="Times New Roman" w:cs="Times New Roman"/>
          <w:sz w:val="24"/>
          <w:szCs w:val="24"/>
        </w:rPr>
        <w:t>. These two frameworks are considered below.</w:t>
      </w:r>
    </w:p>
    <w:p w:rsidR="00061B4D" w:rsidRPr="005E2054" w:rsidRDefault="00061B4D" w:rsidP="00061B4D">
      <w:pPr>
        <w:pStyle w:val="Heading3"/>
        <w:spacing w:line="480" w:lineRule="auto"/>
        <w:rPr>
          <w:rFonts w:ascii="Cambria" w:hAnsi="Cambria"/>
          <w:bCs w:val="0"/>
          <w:color w:val="auto"/>
        </w:rPr>
      </w:pPr>
      <w:bookmarkStart w:id="58" w:name="_Toc1740146"/>
      <w:bookmarkStart w:id="59" w:name="_Toc2075035"/>
      <w:r w:rsidRPr="005E2054">
        <w:rPr>
          <w:rFonts w:ascii="Cambria" w:hAnsi="Cambria"/>
          <w:bCs w:val="0"/>
          <w:color w:val="auto"/>
        </w:rPr>
        <w:t>Positivism</w:t>
      </w:r>
      <w:bookmarkEnd w:id="58"/>
      <w:bookmarkEnd w:id="59"/>
    </w:p>
    <w:p w:rsidR="00061B4D" w:rsidRPr="005E2054" w:rsidRDefault="00061B4D" w:rsidP="00061B4D">
      <w:pPr>
        <w:spacing w:line="480" w:lineRule="auto"/>
        <w:ind w:firstLine="720"/>
        <w:rPr>
          <w:rFonts w:ascii="Times New Roman" w:hAnsi="Times New Roman" w:cs="Times New Roman"/>
          <w:sz w:val="24"/>
          <w:szCs w:val="24"/>
        </w:rPr>
      </w:pPr>
      <w:r w:rsidRPr="005E2054">
        <w:rPr>
          <w:rFonts w:ascii="Times New Roman" w:hAnsi="Times New Roman" w:cs="Times New Roman"/>
          <w:sz w:val="24"/>
          <w:szCs w:val="24"/>
        </w:rPr>
        <w:t>According to Collins &amp; Hussey(2009), the posivitist assumes that social reality is objective, and that an act of investigation does not affect it, this is because it is based on the assumption that research is conducted under the natural scientific methods and natural science. Most business research projects are based on the positivist assumption due to its scientific quantitative nature (Burns &amp; Burns, 2008). This scientific method allows this quantitative data to be modelled so that relationships can be identified.</w:t>
      </w:r>
    </w:p>
    <w:p w:rsidR="00061B4D" w:rsidRPr="00BB63C1" w:rsidRDefault="00061B4D" w:rsidP="00061B4D">
      <w:pPr>
        <w:pStyle w:val="Heading3"/>
        <w:spacing w:line="480" w:lineRule="auto"/>
        <w:rPr>
          <w:rFonts w:ascii="Cambria" w:hAnsi="Cambria"/>
          <w:b w:val="0"/>
          <w:bCs w:val="0"/>
          <w:color w:val="auto"/>
        </w:rPr>
      </w:pPr>
      <w:bookmarkStart w:id="60" w:name="_Toc1740147"/>
      <w:bookmarkStart w:id="61" w:name="_Toc2075036"/>
      <w:r w:rsidRPr="00BB63C1">
        <w:rPr>
          <w:rFonts w:ascii="Cambria" w:hAnsi="Cambria"/>
          <w:bCs w:val="0"/>
          <w:color w:val="auto"/>
        </w:rPr>
        <w:lastRenderedPageBreak/>
        <w:t>Interpretivism</w:t>
      </w:r>
      <w:bookmarkEnd w:id="60"/>
      <w:bookmarkEnd w:id="61"/>
    </w:p>
    <w:p w:rsidR="00061B4D" w:rsidRPr="005E2054" w:rsidRDefault="00061B4D" w:rsidP="005E2054">
      <w:pPr>
        <w:spacing w:line="480" w:lineRule="auto"/>
        <w:ind w:firstLine="720"/>
        <w:rPr>
          <w:rFonts w:ascii="Times New Roman" w:hAnsi="Times New Roman" w:cs="Times New Roman"/>
          <w:sz w:val="24"/>
          <w:szCs w:val="24"/>
        </w:rPr>
      </w:pPr>
      <w:r w:rsidRPr="005E2054">
        <w:rPr>
          <w:rFonts w:ascii="Times New Roman" w:hAnsi="Times New Roman" w:cs="Times New Roman"/>
          <w:sz w:val="24"/>
          <w:szCs w:val="24"/>
        </w:rPr>
        <w:t>Burns &amp; Burns(2008) explain interpretivism doctrine as a socially constructed reality with subjective evaluation and meaningfulness of experience for the individual, and because it is a subjective world, people experience this social reality in different ways. The interpretivism philosophy is multiple, subjective and qualitative in nature, these features mean it is likely to be influenced by an act of investigation (Collins &amp; Hussey, 2009).</w:t>
      </w:r>
    </w:p>
    <w:p w:rsidR="00061B4D" w:rsidRPr="005E2054" w:rsidRDefault="00061B4D" w:rsidP="00061B4D">
      <w:pPr>
        <w:spacing w:line="480" w:lineRule="auto"/>
        <w:ind w:firstLine="720"/>
        <w:rPr>
          <w:rFonts w:ascii="Times New Roman" w:hAnsi="Times New Roman" w:cs="Times New Roman"/>
          <w:sz w:val="24"/>
          <w:szCs w:val="24"/>
        </w:rPr>
      </w:pPr>
      <w:r w:rsidRPr="005E2054">
        <w:rPr>
          <w:rFonts w:ascii="Times New Roman" w:hAnsi="Times New Roman" w:cs="Times New Roman"/>
          <w:sz w:val="24"/>
          <w:szCs w:val="24"/>
        </w:rPr>
        <w:t>This research will be based on the philosophical assumption which reflects the beliefs of the researcher, in line with existing literature, and which relates to the research problem and topic area. The positivist philosophy will be adopted for this studies because of its specific features, such as its precise measures and the use of quantitative data which align well with the objective of this studies. This enables the use of measurable data to identify theories on the basis of empirical study, rather than the qualitative data of interpretivist assumption.</w:t>
      </w:r>
    </w:p>
    <w:p w:rsidR="00061B4D" w:rsidRPr="00650895" w:rsidRDefault="00061B4D" w:rsidP="00061B4D">
      <w:pPr>
        <w:pStyle w:val="Heading2"/>
        <w:spacing w:line="480" w:lineRule="auto"/>
        <w:rPr>
          <w:rFonts w:ascii="Cambria" w:hAnsi="Cambria"/>
          <w:b w:val="0"/>
          <w:bCs w:val="0"/>
        </w:rPr>
      </w:pPr>
      <w:bookmarkStart w:id="62" w:name="_Toc1740148"/>
      <w:bookmarkStart w:id="63" w:name="_Toc2075037"/>
      <w:r w:rsidRPr="00650895">
        <w:rPr>
          <w:rFonts w:ascii="Cambria" w:hAnsi="Cambria"/>
        </w:rPr>
        <w:t>Research Approach</w:t>
      </w:r>
      <w:bookmarkEnd w:id="62"/>
      <w:bookmarkEnd w:id="63"/>
    </w:p>
    <w:p w:rsidR="00061B4D" w:rsidRPr="005E2054" w:rsidRDefault="00061B4D" w:rsidP="005E2054">
      <w:pPr>
        <w:spacing w:line="480" w:lineRule="auto"/>
        <w:ind w:firstLine="720"/>
        <w:rPr>
          <w:rFonts w:ascii="Times New Roman" w:hAnsi="Times New Roman" w:cs="Times New Roman"/>
          <w:sz w:val="24"/>
          <w:szCs w:val="24"/>
        </w:rPr>
      </w:pPr>
      <w:r w:rsidRPr="005E2054">
        <w:rPr>
          <w:rFonts w:ascii="Times New Roman" w:hAnsi="Times New Roman" w:cs="Times New Roman"/>
          <w:sz w:val="24"/>
          <w:szCs w:val="24"/>
        </w:rPr>
        <w:t>Approach to business research may take the form of inductive or deductive processes</w:t>
      </w:r>
      <w:r w:rsidR="005E2054">
        <w:rPr>
          <w:rFonts w:ascii="Times New Roman" w:hAnsi="Times New Roman" w:cs="Times New Roman"/>
          <w:sz w:val="24"/>
          <w:szCs w:val="24"/>
        </w:rPr>
        <w:t xml:space="preserve">. </w:t>
      </w:r>
      <w:r w:rsidRPr="005E2054">
        <w:rPr>
          <w:rFonts w:ascii="Times New Roman" w:hAnsi="Times New Roman" w:cs="Times New Roman"/>
          <w:sz w:val="24"/>
          <w:szCs w:val="24"/>
        </w:rPr>
        <w:t>Burns &amp; Burns</w:t>
      </w:r>
      <w:r w:rsidR="009D2CC5">
        <w:rPr>
          <w:rFonts w:ascii="Times New Roman" w:hAnsi="Times New Roman" w:cs="Times New Roman"/>
          <w:sz w:val="24"/>
          <w:szCs w:val="24"/>
        </w:rPr>
        <w:t xml:space="preserve"> </w:t>
      </w:r>
      <w:r w:rsidRPr="005E2054">
        <w:rPr>
          <w:rFonts w:ascii="Times New Roman" w:hAnsi="Times New Roman" w:cs="Times New Roman"/>
          <w:sz w:val="24"/>
          <w:szCs w:val="24"/>
        </w:rPr>
        <w:t>(2008) describe inductive approach as that which starts from data, followed by analysis that produces explanations or finds pattern to help established theories. This indicates a bottom-up process, as well as an approach with the characteristics of qualitative studies and interpretivist assumptions. Deductive approach on the other hand, starts with a theory, to establish testable hypotheses</w:t>
      </w:r>
      <w:r w:rsidR="009D2CC5">
        <w:rPr>
          <w:rFonts w:ascii="Times New Roman" w:hAnsi="Times New Roman" w:cs="Times New Roman"/>
          <w:sz w:val="24"/>
          <w:szCs w:val="24"/>
        </w:rPr>
        <w:t xml:space="preserve"> </w:t>
      </w:r>
      <w:r w:rsidRPr="005E2054">
        <w:rPr>
          <w:rFonts w:ascii="Times New Roman" w:hAnsi="Times New Roman" w:cs="Times New Roman"/>
          <w:sz w:val="24"/>
          <w:szCs w:val="24"/>
        </w:rPr>
        <w:t>and use the result to determine whether the initial theory is supported or rejected (Burns &amp; Burns, 2008). This is a top-down approach which reflect quantitative studies and positivist philosophical assumption.</w:t>
      </w:r>
    </w:p>
    <w:p w:rsidR="00061B4D" w:rsidRPr="005E2054" w:rsidRDefault="00061B4D" w:rsidP="00061B4D">
      <w:pPr>
        <w:spacing w:before="240" w:line="480" w:lineRule="auto"/>
        <w:ind w:firstLine="720"/>
        <w:rPr>
          <w:rFonts w:ascii="Times New Roman" w:hAnsi="Times New Roman" w:cs="Times New Roman"/>
          <w:sz w:val="24"/>
          <w:szCs w:val="24"/>
        </w:rPr>
      </w:pPr>
      <w:r w:rsidRPr="005E2054">
        <w:rPr>
          <w:rFonts w:ascii="Times New Roman" w:hAnsi="Times New Roman" w:cs="Times New Roman"/>
          <w:sz w:val="24"/>
          <w:szCs w:val="24"/>
        </w:rPr>
        <w:t xml:space="preserve">On the basis of the above definitions, a deductive approach was considered more appropriate for this study as it follows the positivist philosophy, and was therefore adopted. </w:t>
      </w:r>
    </w:p>
    <w:p w:rsidR="00061B4D" w:rsidRPr="00EF06BD" w:rsidRDefault="00061B4D" w:rsidP="00061B4D">
      <w:pPr>
        <w:pStyle w:val="Heading2"/>
        <w:spacing w:line="480" w:lineRule="auto"/>
        <w:rPr>
          <w:rFonts w:ascii="Cambria" w:hAnsi="Cambria"/>
          <w:b w:val="0"/>
          <w:bCs w:val="0"/>
        </w:rPr>
      </w:pPr>
      <w:bookmarkStart w:id="64" w:name="_Toc1740149"/>
      <w:bookmarkStart w:id="65" w:name="_Toc2075038"/>
      <w:r w:rsidRPr="00EF06BD">
        <w:rPr>
          <w:rFonts w:ascii="Cambria" w:hAnsi="Cambria"/>
        </w:rPr>
        <w:t>Research Strategy</w:t>
      </w:r>
      <w:bookmarkEnd w:id="64"/>
      <w:bookmarkEnd w:id="65"/>
    </w:p>
    <w:p w:rsidR="00061B4D" w:rsidRPr="005E2054" w:rsidRDefault="00061B4D" w:rsidP="00061B4D">
      <w:pPr>
        <w:spacing w:line="480" w:lineRule="auto"/>
        <w:ind w:firstLine="720"/>
        <w:rPr>
          <w:rFonts w:ascii="Times New Roman" w:hAnsi="Times New Roman" w:cs="Times New Roman"/>
          <w:sz w:val="24"/>
          <w:szCs w:val="24"/>
        </w:rPr>
      </w:pPr>
      <w:r w:rsidRPr="005E2054">
        <w:rPr>
          <w:rFonts w:ascii="Times New Roman" w:hAnsi="Times New Roman" w:cs="Times New Roman"/>
          <w:sz w:val="24"/>
          <w:szCs w:val="24"/>
        </w:rPr>
        <w:t xml:space="preserve">According to Open University (2018), research strategy sets out the main components of a research project, such as the research methods, design, data, and how they will be implemented to achieve the </w:t>
      </w:r>
      <w:r w:rsidRPr="005E2054">
        <w:rPr>
          <w:rFonts w:ascii="Times New Roman" w:hAnsi="Times New Roman" w:cs="Times New Roman"/>
          <w:sz w:val="24"/>
          <w:szCs w:val="24"/>
        </w:rPr>
        <w:lastRenderedPageBreak/>
        <w:t xml:space="preserve">research objectives. Quantitative research method was adopted for these studies to enable the use of measurable variables that reflect the positivist philosophy and to be in line with existing studies. Secondary data has been selected for this research study, and the justification for this choice of data and study design are explained in detail in </w:t>
      </w:r>
      <w:r w:rsidR="00E506F7">
        <w:rPr>
          <w:rFonts w:ascii="Times New Roman" w:hAnsi="Times New Roman" w:cs="Times New Roman"/>
          <w:sz w:val="24"/>
          <w:szCs w:val="24"/>
        </w:rPr>
        <w:t>the latter two sections.</w:t>
      </w:r>
    </w:p>
    <w:p w:rsidR="00061B4D" w:rsidRPr="00EF06BD" w:rsidRDefault="00061B4D" w:rsidP="00061B4D">
      <w:pPr>
        <w:pStyle w:val="Heading2"/>
        <w:spacing w:line="480" w:lineRule="auto"/>
        <w:rPr>
          <w:rFonts w:ascii="Cambria" w:hAnsi="Cambria"/>
          <w:b w:val="0"/>
          <w:bCs w:val="0"/>
        </w:rPr>
      </w:pPr>
      <w:bookmarkStart w:id="66" w:name="_Toc1740150"/>
      <w:bookmarkStart w:id="67" w:name="_Toc2075039"/>
      <w:r w:rsidRPr="00EF06BD">
        <w:rPr>
          <w:rFonts w:ascii="Cambria" w:hAnsi="Cambria"/>
        </w:rPr>
        <w:t>Research design</w:t>
      </w:r>
      <w:bookmarkEnd w:id="66"/>
      <w:bookmarkEnd w:id="67"/>
    </w:p>
    <w:p w:rsidR="00061B4D" w:rsidRPr="00350F9D" w:rsidRDefault="00061B4D" w:rsidP="00061B4D">
      <w:pPr>
        <w:spacing w:line="480" w:lineRule="auto"/>
        <w:ind w:firstLine="720"/>
        <w:rPr>
          <w:rFonts w:ascii="Times New Roman" w:hAnsi="Times New Roman" w:cs="Times New Roman"/>
          <w:sz w:val="24"/>
          <w:szCs w:val="24"/>
        </w:rPr>
      </w:pPr>
      <w:r w:rsidRPr="00350F9D">
        <w:rPr>
          <w:rFonts w:ascii="Times New Roman" w:hAnsi="Times New Roman" w:cs="Times New Roman"/>
          <w:sz w:val="24"/>
          <w:szCs w:val="24"/>
        </w:rPr>
        <w:t>It is important for a chosen research design for a particular study to reflect the philosophical framework which the research is based on (Collins &amp; Hussey, 2009). Therefore, the research designs that are associated with positivist philosophy are Experimental, Survey, cross-sectional and Longitudinal designs. Each of these designs are discussed below in more detail.</w:t>
      </w:r>
    </w:p>
    <w:p w:rsidR="00061B4D" w:rsidRPr="00BB63C1" w:rsidRDefault="00061B4D" w:rsidP="00061B4D">
      <w:pPr>
        <w:pStyle w:val="Heading3"/>
        <w:spacing w:line="480" w:lineRule="auto"/>
        <w:rPr>
          <w:rFonts w:ascii="Cambria" w:hAnsi="Cambria"/>
          <w:b w:val="0"/>
          <w:bCs w:val="0"/>
          <w:color w:val="auto"/>
        </w:rPr>
      </w:pPr>
      <w:bookmarkStart w:id="68" w:name="_Toc1740151"/>
      <w:bookmarkStart w:id="69" w:name="_Toc2075040"/>
      <w:r w:rsidRPr="00BB63C1">
        <w:rPr>
          <w:rFonts w:ascii="Cambria" w:hAnsi="Cambria"/>
          <w:bCs w:val="0"/>
          <w:color w:val="auto"/>
        </w:rPr>
        <w:t>Experimental studies</w:t>
      </w:r>
      <w:bookmarkEnd w:id="68"/>
      <w:bookmarkEnd w:id="69"/>
    </w:p>
    <w:p w:rsidR="00061B4D" w:rsidRPr="00350F9D" w:rsidRDefault="00061B4D" w:rsidP="00061B4D">
      <w:pPr>
        <w:spacing w:line="480" w:lineRule="auto"/>
        <w:ind w:firstLine="720"/>
        <w:rPr>
          <w:rFonts w:ascii="Times New Roman" w:hAnsi="Times New Roman" w:cs="Times New Roman"/>
          <w:sz w:val="24"/>
          <w:szCs w:val="24"/>
        </w:rPr>
      </w:pPr>
      <w:r w:rsidRPr="00350F9D">
        <w:rPr>
          <w:rFonts w:ascii="Times New Roman" w:hAnsi="Times New Roman" w:cs="Times New Roman"/>
          <w:sz w:val="24"/>
          <w:szCs w:val="24"/>
        </w:rPr>
        <w:t>Experimental studies are designed to examine the relationship between variables in an environment that allows the independent variable to be deliberately manipulated to give the researcher the benefits of observing the impacts of this manipulation on the dependent variable (Collins &amp; Hussey, 2009). Experimental design provides the key advantage of allowing the researcher to control the independent variables to identify causal relationship between the variables. However, this design may be cost and time consuming especially in most business research projects where timing is very important.</w:t>
      </w:r>
    </w:p>
    <w:p w:rsidR="00061B4D" w:rsidRPr="00BB63C1" w:rsidRDefault="00061B4D" w:rsidP="00061B4D">
      <w:pPr>
        <w:pStyle w:val="Heading3"/>
        <w:spacing w:line="480" w:lineRule="auto"/>
        <w:rPr>
          <w:rFonts w:ascii="Cambria" w:hAnsi="Cambria"/>
          <w:b w:val="0"/>
          <w:bCs w:val="0"/>
          <w:color w:val="auto"/>
        </w:rPr>
      </w:pPr>
      <w:bookmarkStart w:id="70" w:name="_Toc1740152"/>
      <w:bookmarkStart w:id="71" w:name="_Toc2075041"/>
      <w:r w:rsidRPr="00BB63C1">
        <w:rPr>
          <w:rFonts w:ascii="Cambria" w:hAnsi="Cambria"/>
          <w:bCs w:val="0"/>
          <w:color w:val="auto"/>
        </w:rPr>
        <w:t>Survey studies</w:t>
      </w:r>
      <w:bookmarkEnd w:id="70"/>
      <w:bookmarkEnd w:id="71"/>
    </w:p>
    <w:p w:rsidR="00061B4D" w:rsidRPr="00350F9D" w:rsidRDefault="00061B4D" w:rsidP="00350F9D">
      <w:pPr>
        <w:spacing w:line="480" w:lineRule="auto"/>
        <w:ind w:firstLine="720"/>
        <w:rPr>
          <w:rFonts w:ascii="Times New Roman" w:hAnsi="Times New Roman" w:cs="Times New Roman"/>
          <w:sz w:val="24"/>
          <w:szCs w:val="24"/>
        </w:rPr>
      </w:pPr>
      <w:r w:rsidRPr="00350F9D">
        <w:rPr>
          <w:rFonts w:ascii="Times New Roman" w:hAnsi="Times New Roman" w:cs="Times New Roman"/>
          <w:sz w:val="24"/>
          <w:szCs w:val="24"/>
        </w:rPr>
        <w:t xml:space="preserve">A survey study aimed at obtaining sample based primary and/or secondary data, through questionnaire or </w:t>
      </w:r>
      <w:r w:rsidR="000D2F10" w:rsidRPr="00350F9D">
        <w:rPr>
          <w:rFonts w:ascii="Times New Roman" w:hAnsi="Times New Roman" w:cs="Times New Roman"/>
          <w:sz w:val="24"/>
          <w:szCs w:val="24"/>
        </w:rPr>
        <w:t>interview so</w:t>
      </w:r>
      <w:r w:rsidR="00234475">
        <w:rPr>
          <w:rFonts w:ascii="Times New Roman" w:hAnsi="Times New Roman" w:cs="Times New Roman"/>
          <w:sz w:val="24"/>
          <w:szCs w:val="24"/>
        </w:rPr>
        <w:t xml:space="preserve">  </w:t>
      </w:r>
      <w:r w:rsidRPr="00350F9D">
        <w:rPr>
          <w:rFonts w:ascii="Times New Roman" w:hAnsi="Times New Roman" w:cs="Times New Roman"/>
          <w:sz w:val="24"/>
          <w:szCs w:val="24"/>
        </w:rPr>
        <w:t xml:space="preserve"> that the findings can be generalised to the entire population (Collins &amp; Hussey, 2009). This study is more qualitative in nature rather than quantitative. Survey requires significant amount of time to carry out interviews and questionnaires, therefore it may not be recommended where there is only limited resources av</w:t>
      </w:r>
      <w:r w:rsidR="00350F9D">
        <w:rPr>
          <w:rFonts w:ascii="Times New Roman" w:hAnsi="Times New Roman" w:cs="Times New Roman"/>
          <w:sz w:val="24"/>
          <w:szCs w:val="24"/>
        </w:rPr>
        <w:t>ailable for a research project.</w:t>
      </w:r>
    </w:p>
    <w:p w:rsidR="00061B4D" w:rsidRPr="00BB63C1" w:rsidRDefault="00061B4D" w:rsidP="00061B4D">
      <w:pPr>
        <w:pStyle w:val="Heading3"/>
        <w:spacing w:line="480" w:lineRule="auto"/>
        <w:rPr>
          <w:rFonts w:ascii="Cambria" w:hAnsi="Cambria"/>
          <w:b w:val="0"/>
          <w:bCs w:val="0"/>
          <w:color w:val="auto"/>
        </w:rPr>
      </w:pPr>
      <w:bookmarkStart w:id="72" w:name="_Toc1740153"/>
      <w:bookmarkStart w:id="73" w:name="_Toc2075042"/>
      <w:r w:rsidRPr="00BB63C1">
        <w:rPr>
          <w:rFonts w:ascii="Cambria" w:hAnsi="Cambria"/>
          <w:bCs w:val="0"/>
          <w:color w:val="auto"/>
        </w:rPr>
        <w:t>Cross-sectional studies</w:t>
      </w:r>
      <w:bookmarkEnd w:id="72"/>
      <w:bookmarkEnd w:id="73"/>
    </w:p>
    <w:p w:rsidR="00061B4D" w:rsidRPr="00350F9D" w:rsidRDefault="00061B4D" w:rsidP="00061B4D">
      <w:pPr>
        <w:spacing w:line="480" w:lineRule="auto"/>
        <w:ind w:firstLine="720"/>
        <w:rPr>
          <w:rFonts w:ascii="Times New Roman" w:hAnsi="Times New Roman" w:cs="Times New Roman"/>
          <w:sz w:val="24"/>
          <w:szCs w:val="24"/>
        </w:rPr>
      </w:pPr>
      <w:r w:rsidRPr="00350F9D">
        <w:rPr>
          <w:rFonts w:ascii="Times New Roman" w:hAnsi="Times New Roman" w:cs="Times New Roman"/>
          <w:sz w:val="24"/>
          <w:szCs w:val="24"/>
        </w:rPr>
        <w:t xml:space="preserve">Under cross-sectional design research data, usually of quantitative nature, is gathered from multiple sources but at one point in time, relating to several variables, which are studied to establish patterns of association (Bryman &amp; Bell, 2011). Cross-sectional design is generally used in obtaining data which is </w:t>
      </w:r>
      <w:r w:rsidRPr="00350F9D">
        <w:rPr>
          <w:rFonts w:ascii="Times New Roman" w:hAnsi="Times New Roman" w:cs="Times New Roman"/>
          <w:sz w:val="24"/>
          <w:szCs w:val="24"/>
        </w:rPr>
        <w:lastRenderedPageBreak/>
        <w:t>readily available, in which case; it is likely to be secondary data. This design is time and cost effective as data is only gathered at once and within a short period of time. However, this also means the results may not give detailed explanation of the correlation as the data was not collected or monitored over a longer period of time.</w:t>
      </w:r>
    </w:p>
    <w:p w:rsidR="00061B4D" w:rsidRPr="00BB63C1" w:rsidRDefault="00061B4D" w:rsidP="00061B4D">
      <w:pPr>
        <w:pStyle w:val="Heading3"/>
        <w:spacing w:line="480" w:lineRule="auto"/>
        <w:rPr>
          <w:rFonts w:ascii="Cambria" w:hAnsi="Cambria"/>
          <w:b w:val="0"/>
          <w:bCs w:val="0"/>
          <w:color w:val="auto"/>
        </w:rPr>
      </w:pPr>
      <w:bookmarkStart w:id="74" w:name="_Toc1740154"/>
      <w:bookmarkStart w:id="75" w:name="_Toc2075043"/>
      <w:r w:rsidRPr="00BB63C1">
        <w:rPr>
          <w:rFonts w:ascii="Cambria" w:hAnsi="Cambria"/>
          <w:bCs w:val="0"/>
          <w:color w:val="auto"/>
        </w:rPr>
        <w:t>Longitudinal studies</w:t>
      </w:r>
      <w:bookmarkEnd w:id="74"/>
      <w:bookmarkEnd w:id="75"/>
    </w:p>
    <w:p w:rsidR="00061B4D" w:rsidRPr="00350F9D" w:rsidRDefault="00061B4D" w:rsidP="00061B4D">
      <w:pPr>
        <w:spacing w:line="480" w:lineRule="auto"/>
        <w:ind w:firstLine="720"/>
        <w:rPr>
          <w:rFonts w:ascii="Times New Roman" w:hAnsi="Times New Roman" w:cs="Times New Roman"/>
          <w:sz w:val="24"/>
          <w:szCs w:val="24"/>
        </w:rPr>
      </w:pPr>
      <w:r w:rsidRPr="00350F9D">
        <w:rPr>
          <w:rFonts w:ascii="Times New Roman" w:hAnsi="Times New Roman" w:cs="Times New Roman"/>
          <w:sz w:val="24"/>
          <w:szCs w:val="24"/>
        </w:rPr>
        <w:t>Longitudinal design allows the gathering of research data to be carried out at several points in time to chart changes (Burns &amp; Burns, 2008). Longitudinal design allows the researcher to carry out cause and effect studies over a long period of time. This gives better explanation of patterns or changes over time. However, it requires a lot more resources than cross-sectional design in terms of cost and time. In order to make sure that this study reflects the positivist assumptions, deductive approach and quantitative method which are generally followed in the literature, cross-sectional design was adopted. This is quantitative in nature, and it suits the cost and time available for this study.</w:t>
      </w:r>
    </w:p>
    <w:p w:rsidR="00061B4D" w:rsidRPr="00EF06BD" w:rsidRDefault="00061B4D" w:rsidP="00061B4D">
      <w:pPr>
        <w:pStyle w:val="Heading2"/>
        <w:spacing w:line="480" w:lineRule="auto"/>
        <w:rPr>
          <w:rFonts w:ascii="Cambria" w:hAnsi="Cambria"/>
          <w:b w:val="0"/>
          <w:bCs w:val="0"/>
        </w:rPr>
      </w:pPr>
      <w:bookmarkStart w:id="76" w:name="_Toc1740155"/>
      <w:bookmarkStart w:id="77" w:name="_Toc2075044"/>
      <w:r w:rsidRPr="00EF06BD">
        <w:rPr>
          <w:rFonts w:ascii="Cambria" w:hAnsi="Cambria"/>
        </w:rPr>
        <w:t>Data</w:t>
      </w:r>
      <w:bookmarkEnd w:id="76"/>
      <w:bookmarkEnd w:id="77"/>
    </w:p>
    <w:p w:rsidR="00061B4D" w:rsidRPr="00BB63C1" w:rsidRDefault="00061B4D" w:rsidP="00061B4D">
      <w:pPr>
        <w:pStyle w:val="Heading3"/>
        <w:spacing w:line="480" w:lineRule="auto"/>
        <w:rPr>
          <w:rFonts w:ascii="Cambria" w:hAnsi="Cambria"/>
          <w:b w:val="0"/>
          <w:bCs w:val="0"/>
          <w:color w:val="auto"/>
        </w:rPr>
      </w:pPr>
      <w:bookmarkStart w:id="78" w:name="_Toc1740156"/>
      <w:bookmarkStart w:id="79" w:name="_Toc2075045"/>
      <w:r w:rsidRPr="00BB63C1">
        <w:rPr>
          <w:rFonts w:ascii="Cambria" w:hAnsi="Cambria"/>
          <w:bCs w:val="0"/>
          <w:color w:val="auto"/>
        </w:rPr>
        <w:t>Data Sample</w:t>
      </w:r>
      <w:bookmarkEnd w:id="78"/>
      <w:bookmarkEnd w:id="79"/>
    </w:p>
    <w:p w:rsidR="00061B4D" w:rsidRPr="00350F9D" w:rsidRDefault="00061B4D" w:rsidP="00061B4D">
      <w:pPr>
        <w:spacing w:line="480" w:lineRule="auto"/>
        <w:ind w:firstLine="720"/>
        <w:rPr>
          <w:rFonts w:ascii="Times New Roman" w:hAnsi="Times New Roman" w:cs="Times New Roman"/>
          <w:sz w:val="24"/>
          <w:szCs w:val="24"/>
        </w:rPr>
      </w:pPr>
      <w:r w:rsidRPr="00350F9D">
        <w:rPr>
          <w:rFonts w:ascii="Times New Roman" w:hAnsi="Times New Roman" w:cs="Times New Roman"/>
          <w:sz w:val="24"/>
          <w:szCs w:val="24"/>
        </w:rPr>
        <w:t xml:space="preserve">In the countries selected for this study, Islamic banking system exists alongside the conventional banking system. It was therefore important to evaluate the performance of both systems in order to have a good understanding of the financial performance of the Islamic banks, and the true drivers of financial performance. It was not possible to find the sufficient number of banks for this study in a single country, therefore Islamic banks and Conventional banks were selected across the Gulf States and international regions respectively. The banks were selected on the basis of their financial performance, that is, only the top performing banks have been selected. However, though banks of both developed as well as developing economies have been selected, yet the banks which failed to perform well between the financial periods of 2012 to 2017 have not been included in this study. For this, Stratified random sampling technique has been adopted for obtaining greater precision and conducting the study with smaller number of samples. This technique has also reflected the population accurately, thereby provided a better coverage of the representation of banks. </w:t>
      </w:r>
    </w:p>
    <w:p w:rsidR="00061B4D" w:rsidRPr="00350F9D" w:rsidRDefault="00061B4D" w:rsidP="00061B4D">
      <w:pPr>
        <w:spacing w:line="480" w:lineRule="auto"/>
        <w:ind w:firstLine="720"/>
        <w:rPr>
          <w:rFonts w:ascii="Times New Roman" w:hAnsi="Times New Roman" w:cs="Times New Roman"/>
          <w:sz w:val="24"/>
          <w:szCs w:val="24"/>
        </w:rPr>
      </w:pPr>
      <w:r w:rsidRPr="00350F9D">
        <w:rPr>
          <w:rFonts w:ascii="Times New Roman" w:hAnsi="Times New Roman" w:cs="Times New Roman"/>
          <w:sz w:val="24"/>
          <w:szCs w:val="24"/>
        </w:rPr>
        <w:lastRenderedPageBreak/>
        <w:t xml:space="preserve">The conventional banks include JP Morgan Chase &amp; Co., Barclays, HSBC Holdings, </w:t>
      </w:r>
      <w:r w:rsidR="00033805" w:rsidRPr="00350F9D">
        <w:rPr>
          <w:rFonts w:ascii="Times New Roman" w:hAnsi="Times New Roman" w:cs="Times New Roman"/>
          <w:sz w:val="24"/>
          <w:szCs w:val="24"/>
        </w:rPr>
        <w:t>Westpac</w:t>
      </w:r>
      <w:r w:rsidR="00033805">
        <w:rPr>
          <w:rFonts w:ascii="Times New Roman" w:hAnsi="Times New Roman" w:cs="Times New Roman"/>
          <w:sz w:val="24"/>
          <w:szCs w:val="24"/>
        </w:rPr>
        <w:t>, Bank of America</w:t>
      </w:r>
      <w:r w:rsidRPr="00350F9D">
        <w:rPr>
          <w:rFonts w:ascii="Times New Roman" w:hAnsi="Times New Roman" w:cs="Times New Roman"/>
          <w:sz w:val="24"/>
          <w:szCs w:val="24"/>
        </w:rPr>
        <w:t xml:space="preserve"> and Axis Bank Ltd. Islamic banks include Bank </w:t>
      </w:r>
      <w:r w:rsidR="00033805">
        <w:rPr>
          <w:rFonts w:ascii="Times New Roman" w:hAnsi="Times New Roman" w:cs="Times New Roman"/>
          <w:sz w:val="24"/>
          <w:szCs w:val="24"/>
        </w:rPr>
        <w:t>Bahrain</w:t>
      </w:r>
      <w:r w:rsidRPr="00350F9D">
        <w:rPr>
          <w:rFonts w:ascii="Times New Roman" w:hAnsi="Times New Roman" w:cs="Times New Roman"/>
          <w:sz w:val="24"/>
          <w:szCs w:val="24"/>
        </w:rPr>
        <w:t xml:space="preserve">, HSBC Amanah Berhad, Islami Bank Bangladesh Limited, </w:t>
      </w:r>
      <w:r w:rsidR="00033805">
        <w:rPr>
          <w:rFonts w:ascii="Times New Roman" w:hAnsi="Times New Roman" w:cs="Times New Roman"/>
          <w:sz w:val="24"/>
          <w:szCs w:val="24"/>
        </w:rPr>
        <w:t>Mashreq</w:t>
      </w:r>
      <w:r w:rsidRPr="00350F9D">
        <w:rPr>
          <w:rFonts w:ascii="Times New Roman" w:hAnsi="Times New Roman" w:cs="Times New Roman"/>
          <w:sz w:val="24"/>
          <w:szCs w:val="24"/>
        </w:rPr>
        <w:t xml:space="preserve"> </w:t>
      </w:r>
      <w:r w:rsidR="00033805" w:rsidRPr="00350F9D">
        <w:rPr>
          <w:rFonts w:ascii="Times New Roman" w:hAnsi="Times New Roman" w:cs="Times New Roman"/>
          <w:sz w:val="24"/>
          <w:szCs w:val="24"/>
        </w:rPr>
        <w:t>Bank</w:t>
      </w:r>
      <w:r w:rsidR="00033805">
        <w:rPr>
          <w:rFonts w:ascii="Times New Roman" w:hAnsi="Times New Roman" w:cs="Times New Roman"/>
          <w:sz w:val="24"/>
          <w:szCs w:val="24"/>
        </w:rPr>
        <w:t>, AL Hilal Bank</w:t>
      </w:r>
      <w:r w:rsidRPr="00350F9D">
        <w:rPr>
          <w:rFonts w:ascii="Times New Roman" w:hAnsi="Times New Roman" w:cs="Times New Roman"/>
          <w:sz w:val="24"/>
          <w:szCs w:val="24"/>
        </w:rPr>
        <w:t xml:space="preserve"> and Qatar Islamic Bank. </w:t>
      </w:r>
    </w:p>
    <w:p w:rsidR="00061B4D" w:rsidRPr="00350F9D" w:rsidRDefault="00061B4D" w:rsidP="00061B4D">
      <w:pPr>
        <w:spacing w:line="480" w:lineRule="auto"/>
        <w:rPr>
          <w:rFonts w:ascii="Times New Roman" w:hAnsi="Times New Roman" w:cs="Times New Roman"/>
          <w:sz w:val="24"/>
          <w:szCs w:val="24"/>
        </w:rPr>
      </w:pPr>
      <w:r w:rsidRPr="00350F9D">
        <w:rPr>
          <w:rFonts w:ascii="Times New Roman" w:hAnsi="Times New Roman" w:cs="Times New Roman"/>
          <w:sz w:val="24"/>
          <w:szCs w:val="24"/>
        </w:rPr>
        <w:t>In addition, data for the period 2012 to 2017 was used for this analysis due to the reliable data availability in the form of annual reports of the considered banks. The reason behind choosing this period is to consider the influence of economic changes on the performances of the selected banks during the period so that preventive strategies and policies can be drawn for the future. The economies selected for this study are both developed as well as developing, with Islamic banks mostly from Gulf States and the conventional banks which have branches worldwide. The recent economic imbalances in the form of global financial crisis, Brexit, changes in oil price and other economic situations have made significant changes to their respective banking sectors which have made it difficult to find data relating to periods prior to these key changes.</w:t>
      </w:r>
    </w:p>
    <w:p w:rsidR="00061B4D" w:rsidRPr="00BB63C1" w:rsidRDefault="00061B4D" w:rsidP="00061B4D">
      <w:pPr>
        <w:pStyle w:val="Heading3"/>
        <w:spacing w:line="480" w:lineRule="auto"/>
        <w:rPr>
          <w:rFonts w:ascii="Cambria" w:hAnsi="Cambria"/>
          <w:b w:val="0"/>
          <w:bCs w:val="0"/>
          <w:color w:val="auto"/>
        </w:rPr>
      </w:pPr>
      <w:bookmarkStart w:id="80" w:name="_Toc1740157"/>
      <w:bookmarkStart w:id="81" w:name="_Toc2075046"/>
      <w:r w:rsidRPr="00BB63C1">
        <w:rPr>
          <w:rFonts w:ascii="Cambria" w:hAnsi="Cambria"/>
          <w:bCs w:val="0"/>
          <w:color w:val="auto"/>
        </w:rPr>
        <w:t>Data Collection</w:t>
      </w:r>
      <w:bookmarkEnd w:id="80"/>
      <w:bookmarkEnd w:id="81"/>
    </w:p>
    <w:p w:rsidR="00061B4D" w:rsidRPr="00350F9D" w:rsidRDefault="00061B4D" w:rsidP="00061B4D">
      <w:pPr>
        <w:spacing w:line="480" w:lineRule="auto"/>
        <w:ind w:firstLine="720"/>
        <w:rPr>
          <w:rFonts w:ascii="Times New Roman" w:hAnsi="Times New Roman" w:cs="Times New Roman"/>
          <w:sz w:val="24"/>
          <w:szCs w:val="24"/>
        </w:rPr>
      </w:pPr>
      <w:r w:rsidRPr="00350F9D">
        <w:rPr>
          <w:rFonts w:ascii="Times New Roman" w:hAnsi="Times New Roman" w:cs="Times New Roman"/>
          <w:sz w:val="24"/>
          <w:szCs w:val="24"/>
        </w:rPr>
        <w:t>Secondary data was used for this study because the literature shows that secondary data is generally employed in the existing studies relating to banks’ performance. This is also justified by the fact that the quantitative data needed for this study was readily available in the individual bank’s annual reports. This availability of data has made the use of cross-sectional design more appropriate to collect all the data at once. Quantitative panel data was therefore collected from the banks’ financial statements. Data relating to macroeconomic factors was also included in the panel data to make sure the impact of external factors on the selected banks’ performance reflects in the overall analysis. This set of data was obtained from the World Bank annual reports (World Bank, 2018).</w:t>
      </w:r>
    </w:p>
    <w:p w:rsidR="00061B4D" w:rsidRPr="00BB63C1" w:rsidRDefault="00061B4D" w:rsidP="00061B4D">
      <w:pPr>
        <w:pStyle w:val="Heading3"/>
        <w:spacing w:line="480" w:lineRule="auto"/>
        <w:rPr>
          <w:rFonts w:ascii="Cambria" w:hAnsi="Cambria"/>
          <w:b w:val="0"/>
          <w:bCs w:val="0"/>
          <w:color w:val="auto"/>
        </w:rPr>
      </w:pPr>
      <w:bookmarkStart w:id="82" w:name="_Toc1740158"/>
      <w:bookmarkStart w:id="83" w:name="_Toc2075047"/>
      <w:r w:rsidRPr="00BB63C1">
        <w:rPr>
          <w:rFonts w:ascii="Cambria" w:hAnsi="Cambria"/>
          <w:bCs w:val="0"/>
          <w:color w:val="auto"/>
        </w:rPr>
        <w:t>Data Analysis Technique</w:t>
      </w:r>
      <w:bookmarkEnd w:id="82"/>
      <w:bookmarkEnd w:id="83"/>
    </w:p>
    <w:p w:rsidR="00061B4D" w:rsidRPr="00350F9D" w:rsidRDefault="00061B4D" w:rsidP="00061B4D">
      <w:pPr>
        <w:spacing w:line="480" w:lineRule="auto"/>
        <w:ind w:firstLine="720"/>
        <w:rPr>
          <w:rFonts w:ascii="Times New Roman" w:hAnsi="Times New Roman" w:cs="Times New Roman"/>
          <w:sz w:val="24"/>
          <w:szCs w:val="24"/>
        </w:rPr>
      </w:pPr>
      <w:r w:rsidRPr="00350F9D">
        <w:rPr>
          <w:rFonts w:ascii="Times New Roman" w:hAnsi="Times New Roman" w:cs="Times New Roman"/>
          <w:sz w:val="24"/>
          <w:szCs w:val="24"/>
        </w:rPr>
        <w:t xml:space="preserve">To achieve the objective of this analysis, quantitative method was adopted and a linear regression technique was employed to analyse the collected panel data using SPSS. The regression analysis technique has been chosen for this studies because it is widely used in the existing studies in the literature, therefore the results of this research can be easily compared with those in the literature. </w:t>
      </w:r>
    </w:p>
    <w:p w:rsidR="00350F9D" w:rsidRDefault="00061B4D" w:rsidP="00350F9D">
      <w:pPr>
        <w:spacing w:line="480" w:lineRule="auto"/>
        <w:ind w:firstLine="720"/>
        <w:rPr>
          <w:rFonts w:ascii="Times New Roman" w:hAnsi="Times New Roman" w:cs="Times New Roman"/>
          <w:sz w:val="24"/>
          <w:szCs w:val="24"/>
        </w:rPr>
      </w:pPr>
      <w:r w:rsidRPr="00350F9D">
        <w:rPr>
          <w:rFonts w:ascii="Times New Roman" w:hAnsi="Times New Roman" w:cs="Times New Roman"/>
          <w:sz w:val="24"/>
          <w:szCs w:val="24"/>
        </w:rPr>
        <w:lastRenderedPageBreak/>
        <w:t xml:space="preserve">Regression analysis technique allows statistical modelling of the relationship between variables, so that a better explanation of the strength of the relationship can be </w:t>
      </w:r>
      <w:r w:rsidR="000650DD" w:rsidRPr="00350F9D">
        <w:rPr>
          <w:rFonts w:ascii="Times New Roman" w:hAnsi="Times New Roman" w:cs="Times New Roman"/>
          <w:sz w:val="24"/>
          <w:szCs w:val="24"/>
        </w:rPr>
        <w:t>achieved. The</w:t>
      </w:r>
      <w:r w:rsidRPr="00350F9D">
        <w:rPr>
          <w:rFonts w:ascii="Times New Roman" w:hAnsi="Times New Roman" w:cs="Times New Roman"/>
          <w:sz w:val="24"/>
          <w:szCs w:val="24"/>
        </w:rPr>
        <w:t xml:space="preserve"> application of regression technique means this study aligns with the work of majority of previous researchers. However, regression analysis has its own limitations as it does not provide causal explanations for the relationship between dependent and independent variables. It only provide the statistical evidence to enable readers to make their own assumptions relating to causation (Jeon, 2015).</w:t>
      </w:r>
      <w:bookmarkStart w:id="84" w:name="_Toc1740159"/>
    </w:p>
    <w:p w:rsidR="00061B4D" w:rsidRPr="00350F9D" w:rsidRDefault="00061B4D" w:rsidP="00350F9D">
      <w:pPr>
        <w:pStyle w:val="Heading2"/>
        <w:spacing w:line="480" w:lineRule="auto"/>
        <w:rPr>
          <w:rFonts w:ascii="Cambria" w:hAnsi="Cambria"/>
        </w:rPr>
      </w:pPr>
      <w:bookmarkStart w:id="85" w:name="_Toc2075048"/>
      <w:r w:rsidRPr="00844E17">
        <w:rPr>
          <w:rFonts w:ascii="Cambria" w:hAnsi="Cambria"/>
        </w:rPr>
        <w:t>Variables</w:t>
      </w:r>
      <w:bookmarkEnd w:id="84"/>
      <w:bookmarkEnd w:id="85"/>
    </w:p>
    <w:p w:rsidR="00061B4D" w:rsidRPr="00BB63C1" w:rsidRDefault="00061B4D" w:rsidP="00061B4D">
      <w:pPr>
        <w:pStyle w:val="Heading3"/>
        <w:spacing w:line="480" w:lineRule="auto"/>
        <w:rPr>
          <w:rFonts w:ascii="Cambria" w:hAnsi="Cambria"/>
          <w:b w:val="0"/>
          <w:bCs w:val="0"/>
          <w:color w:val="auto"/>
        </w:rPr>
      </w:pPr>
      <w:bookmarkStart w:id="86" w:name="_Toc1740160"/>
      <w:bookmarkStart w:id="87" w:name="_Toc2075049"/>
      <w:r w:rsidRPr="00BB63C1">
        <w:rPr>
          <w:rFonts w:ascii="Cambria" w:hAnsi="Cambria"/>
          <w:bCs w:val="0"/>
          <w:color w:val="auto"/>
        </w:rPr>
        <w:t>Dependent Variable</w:t>
      </w:r>
      <w:bookmarkEnd w:id="86"/>
      <w:bookmarkEnd w:id="87"/>
    </w:p>
    <w:p w:rsidR="00061B4D" w:rsidRPr="00650895" w:rsidRDefault="00061B4D" w:rsidP="00061B4D">
      <w:pPr>
        <w:spacing w:line="480" w:lineRule="auto"/>
        <w:rPr>
          <w:rFonts w:ascii="Times New Roman" w:hAnsi="Times New Roman" w:cs="Times New Roman"/>
          <w:b/>
          <w:i/>
        </w:rPr>
      </w:pPr>
      <w:r w:rsidRPr="00650895">
        <w:rPr>
          <w:rFonts w:ascii="Times New Roman" w:hAnsi="Times New Roman" w:cs="Times New Roman"/>
          <w:b/>
          <w:i/>
        </w:rPr>
        <w:t>Return on</w:t>
      </w:r>
      <w:r>
        <w:rPr>
          <w:rFonts w:ascii="Times New Roman" w:hAnsi="Times New Roman" w:cs="Times New Roman"/>
          <w:b/>
          <w:i/>
        </w:rPr>
        <w:t xml:space="preserve"> Equity (ROE</w:t>
      </w:r>
      <w:r w:rsidRPr="00650895">
        <w:rPr>
          <w:rFonts w:ascii="Times New Roman" w:hAnsi="Times New Roman" w:cs="Times New Roman"/>
          <w:b/>
          <w:i/>
        </w:rPr>
        <w:t>)</w:t>
      </w:r>
    </w:p>
    <w:p w:rsidR="00061B4D" w:rsidRPr="00350F9D" w:rsidRDefault="00061B4D" w:rsidP="00061B4D">
      <w:pPr>
        <w:spacing w:line="480" w:lineRule="auto"/>
        <w:rPr>
          <w:rFonts w:ascii="Times New Roman" w:hAnsi="Times New Roman" w:cs="Times New Roman"/>
          <w:i/>
          <w:iCs/>
          <w:sz w:val="24"/>
          <w:szCs w:val="24"/>
        </w:rPr>
      </w:pPr>
      <w:r w:rsidRPr="00350F9D">
        <w:rPr>
          <w:rFonts w:ascii="Times New Roman" w:hAnsi="Times New Roman" w:cs="Times New Roman"/>
          <w:i/>
          <w:iCs/>
          <w:sz w:val="24"/>
          <w:szCs w:val="24"/>
        </w:rPr>
        <w:t xml:space="preserve">ROE =    </w:t>
      </w:r>
      <w:r w:rsidRPr="00350F9D">
        <w:rPr>
          <w:rFonts w:ascii="Times New Roman" w:hAnsi="Times New Roman" w:cs="Times New Roman"/>
          <w:i/>
          <w:iCs/>
          <w:sz w:val="24"/>
          <w:szCs w:val="24"/>
          <w:u w:val="single"/>
        </w:rPr>
        <w:t>Net Income</w:t>
      </w:r>
    </w:p>
    <w:p w:rsidR="00061B4D" w:rsidRPr="00350F9D" w:rsidRDefault="00061B4D" w:rsidP="00061B4D">
      <w:pPr>
        <w:spacing w:line="480" w:lineRule="auto"/>
        <w:rPr>
          <w:rFonts w:ascii="Times New Roman" w:hAnsi="Times New Roman" w:cs="Times New Roman"/>
          <w:i/>
          <w:iCs/>
          <w:sz w:val="24"/>
          <w:szCs w:val="24"/>
        </w:rPr>
      </w:pPr>
      <w:r w:rsidRPr="00350F9D">
        <w:rPr>
          <w:rFonts w:ascii="Times New Roman" w:hAnsi="Times New Roman" w:cs="Times New Roman"/>
          <w:i/>
          <w:iCs/>
          <w:sz w:val="24"/>
          <w:szCs w:val="24"/>
        </w:rPr>
        <w:t xml:space="preserve">              Shareholder’s Equity</w:t>
      </w:r>
    </w:p>
    <w:p w:rsidR="00061B4D" w:rsidRPr="00350F9D" w:rsidRDefault="00061B4D" w:rsidP="00061B4D">
      <w:pPr>
        <w:spacing w:line="480" w:lineRule="auto"/>
        <w:ind w:firstLine="720"/>
        <w:rPr>
          <w:rFonts w:ascii="Times New Roman" w:hAnsi="Times New Roman" w:cs="Times New Roman"/>
          <w:sz w:val="24"/>
          <w:szCs w:val="24"/>
        </w:rPr>
      </w:pPr>
      <w:r w:rsidRPr="00350F9D">
        <w:rPr>
          <w:rFonts w:ascii="Times New Roman" w:hAnsi="Times New Roman" w:cs="Times New Roman"/>
          <w:sz w:val="24"/>
          <w:szCs w:val="24"/>
        </w:rPr>
        <w:t xml:space="preserve">The dependent variable selected to represent the financial performance of banks for this study is the ROE of the respective banks. This is because ROE is a popular measure of overall financial performance of banks in the theoretical literature of Jewell &amp;Mankin, (2011). Also, in the empirical literature study of Anbar &amp;Alper (2011), ROE is defined as the financial ratio that indicates the profit percentage that any business, firm, company or organisation earns by utilising its shareholder’s equity. It can be obtained by dividing the net income by the shareholder’s equity (Gul, Irshad&amp; Zaman, 2011). </w:t>
      </w:r>
    </w:p>
    <w:p w:rsidR="00061B4D" w:rsidRPr="00BB63C1" w:rsidRDefault="00061B4D" w:rsidP="00061B4D">
      <w:pPr>
        <w:pStyle w:val="Heading3"/>
        <w:spacing w:line="480" w:lineRule="auto"/>
        <w:rPr>
          <w:rFonts w:ascii="Cambria" w:hAnsi="Cambria"/>
          <w:b w:val="0"/>
          <w:bCs w:val="0"/>
          <w:color w:val="auto"/>
        </w:rPr>
      </w:pPr>
      <w:bookmarkStart w:id="88" w:name="_Toc1740161"/>
      <w:bookmarkStart w:id="89" w:name="_Toc2075050"/>
      <w:r w:rsidRPr="00BB63C1">
        <w:rPr>
          <w:rFonts w:ascii="Cambria" w:hAnsi="Cambria"/>
          <w:bCs w:val="0"/>
          <w:color w:val="auto"/>
        </w:rPr>
        <w:t>Independent Variables</w:t>
      </w:r>
      <w:bookmarkEnd w:id="88"/>
      <w:bookmarkEnd w:id="89"/>
    </w:p>
    <w:p w:rsidR="00061B4D" w:rsidRPr="00350F9D" w:rsidRDefault="00061B4D" w:rsidP="00350F9D">
      <w:pPr>
        <w:spacing w:line="480" w:lineRule="auto"/>
        <w:ind w:firstLine="720"/>
        <w:rPr>
          <w:rFonts w:ascii="Times New Roman" w:hAnsi="Times New Roman" w:cs="Times New Roman"/>
          <w:sz w:val="24"/>
          <w:szCs w:val="24"/>
        </w:rPr>
      </w:pPr>
      <w:r w:rsidRPr="00350F9D">
        <w:rPr>
          <w:rFonts w:ascii="Times New Roman" w:hAnsi="Times New Roman" w:cs="Times New Roman"/>
          <w:sz w:val="24"/>
          <w:szCs w:val="24"/>
        </w:rPr>
        <w:t>The independent variables below have been selected on the basis of data available and those which are likely to have more impacts on the financial performance of banks in the selected countries.</w:t>
      </w:r>
    </w:p>
    <w:p w:rsidR="00061B4D" w:rsidRPr="00DA45F3" w:rsidRDefault="00061B4D" w:rsidP="00061B4D">
      <w:pPr>
        <w:spacing w:line="480" w:lineRule="auto"/>
        <w:rPr>
          <w:rFonts w:ascii="Times New Roman" w:hAnsi="Times New Roman" w:cs="Times New Roman"/>
          <w:b/>
          <w:i/>
        </w:rPr>
      </w:pPr>
      <w:r w:rsidRPr="00650895">
        <w:rPr>
          <w:rFonts w:ascii="Times New Roman" w:hAnsi="Times New Roman" w:cs="Times New Roman"/>
          <w:b/>
          <w:i/>
        </w:rPr>
        <w:t>Capital Adequacy Ratio (CAR)</w:t>
      </w:r>
    </w:p>
    <w:p w:rsidR="00061B4D" w:rsidRPr="00350F9D" w:rsidRDefault="00061B4D" w:rsidP="00061B4D">
      <w:pPr>
        <w:spacing w:line="480" w:lineRule="auto"/>
        <w:rPr>
          <w:rFonts w:ascii="Times New Roman" w:hAnsi="Times New Roman" w:cs="Times New Roman"/>
          <w:i/>
          <w:iCs/>
          <w:sz w:val="24"/>
          <w:szCs w:val="24"/>
        </w:rPr>
      </w:pPr>
      <w:r w:rsidRPr="00350F9D">
        <w:rPr>
          <w:rFonts w:ascii="Times New Roman" w:hAnsi="Times New Roman" w:cs="Times New Roman"/>
          <w:i/>
          <w:iCs/>
          <w:sz w:val="24"/>
          <w:szCs w:val="24"/>
        </w:rPr>
        <w:t xml:space="preserve">CAR = </w:t>
      </w:r>
      <w:r w:rsidRPr="00350F9D">
        <w:rPr>
          <w:rFonts w:ascii="Times New Roman" w:hAnsi="Times New Roman" w:cs="Times New Roman"/>
          <w:i/>
          <w:iCs/>
          <w:sz w:val="24"/>
          <w:szCs w:val="24"/>
          <w:u w:val="single"/>
        </w:rPr>
        <w:t>Tier One Capital+Tier Two Capital</w:t>
      </w:r>
    </w:p>
    <w:p w:rsidR="00061B4D" w:rsidRPr="00350F9D" w:rsidRDefault="00061B4D" w:rsidP="00061B4D">
      <w:pPr>
        <w:spacing w:line="480" w:lineRule="auto"/>
        <w:rPr>
          <w:rFonts w:ascii="Times New Roman" w:hAnsi="Times New Roman" w:cs="Times New Roman"/>
          <w:i/>
          <w:iCs/>
          <w:sz w:val="24"/>
          <w:szCs w:val="24"/>
        </w:rPr>
      </w:pPr>
      <w:r w:rsidRPr="00350F9D">
        <w:rPr>
          <w:rFonts w:ascii="Times New Roman" w:hAnsi="Times New Roman" w:cs="Times New Roman"/>
          <w:i/>
          <w:iCs/>
          <w:sz w:val="24"/>
          <w:szCs w:val="24"/>
        </w:rPr>
        <w:t xml:space="preserve">                     Risk Weighted Assets</w:t>
      </w:r>
    </w:p>
    <w:p w:rsidR="00061B4D" w:rsidRPr="00350F9D" w:rsidRDefault="00061B4D" w:rsidP="00061B4D">
      <w:pPr>
        <w:spacing w:line="480" w:lineRule="auto"/>
        <w:ind w:firstLine="720"/>
        <w:rPr>
          <w:rFonts w:ascii="Times New Roman" w:hAnsi="Times New Roman" w:cs="Times New Roman"/>
          <w:sz w:val="24"/>
          <w:szCs w:val="24"/>
        </w:rPr>
      </w:pPr>
      <w:r w:rsidRPr="00350F9D">
        <w:rPr>
          <w:rFonts w:ascii="Times New Roman" w:hAnsi="Times New Roman" w:cs="Times New Roman"/>
          <w:sz w:val="24"/>
          <w:szCs w:val="24"/>
        </w:rPr>
        <w:lastRenderedPageBreak/>
        <w:t>The literature shows that capitalisation of banks has significant impact on the financial performance of those banks (Waemustafa and Sukri, 2015; Wanjohi et al. 2017). It is believed that highly capitalised banks are able to invest in reasonably higher risk opportunities which are associated with higher rewards which in turn boosts the banks’ profitability. The higher the level of stockholders’ equity, the better the signal to the market about the bank. Consequently, this enables the bank to secure lower interest rate debt finances which also improve their profits performance as they only pay lower interest.</w:t>
      </w:r>
    </w:p>
    <w:p w:rsidR="00061B4D" w:rsidRPr="00350F9D" w:rsidRDefault="00061B4D" w:rsidP="00350F9D">
      <w:pPr>
        <w:spacing w:line="480" w:lineRule="auto"/>
        <w:ind w:firstLine="720"/>
        <w:rPr>
          <w:rFonts w:ascii="Times New Roman" w:hAnsi="Times New Roman" w:cs="Times New Roman"/>
          <w:sz w:val="24"/>
          <w:szCs w:val="24"/>
        </w:rPr>
      </w:pPr>
      <w:r w:rsidRPr="00350F9D">
        <w:rPr>
          <w:rFonts w:ascii="Times New Roman" w:hAnsi="Times New Roman" w:cs="Times New Roman"/>
          <w:sz w:val="24"/>
          <w:szCs w:val="24"/>
        </w:rPr>
        <w:t>This relationship is expected to be positive. However, unlike conventional banks, Islamic banks’ decisions are not entirely based on profits making. This may lead to a different relationship between capitalisation and financial performance. Therefore, the relationship could be negative, positive or neutral.</w:t>
      </w:r>
    </w:p>
    <w:p w:rsidR="00061B4D" w:rsidRPr="00650895" w:rsidRDefault="00061B4D" w:rsidP="00061B4D">
      <w:pPr>
        <w:spacing w:line="480" w:lineRule="auto"/>
        <w:rPr>
          <w:rFonts w:ascii="Times New Roman" w:hAnsi="Times New Roman" w:cs="Times New Roman"/>
          <w:b/>
          <w:i/>
        </w:rPr>
      </w:pPr>
      <w:r w:rsidRPr="00650895">
        <w:rPr>
          <w:rFonts w:ascii="Times New Roman" w:hAnsi="Times New Roman" w:cs="Times New Roman"/>
          <w:b/>
          <w:i/>
        </w:rPr>
        <w:t>Bank Size (BS)</w:t>
      </w:r>
    </w:p>
    <w:p w:rsidR="00061B4D" w:rsidRPr="00350F9D" w:rsidRDefault="00061B4D" w:rsidP="00061B4D">
      <w:pPr>
        <w:spacing w:line="480" w:lineRule="auto"/>
        <w:rPr>
          <w:rFonts w:ascii="Times New Roman" w:hAnsi="Times New Roman" w:cs="Times New Roman"/>
          <w:i/>
          <w:iCs/>
          <w:sz w:val="24"/>
          <w:szCs w:val="24"/>
        </w:rPr>
      </w:pPr>
      <w:r w:rsidRPr="00350F9D">
        <w:rPr>
          <w:rFonts w:ascii="Times New Roman" w:hAnsi="Times New Roman" w:cs="Times New Roman"/>
          <w:i/>
          <w:iCs/>
          <w:sz w:val="24"/>
          <w:szCs w:val="24"/>
        </w:rPr>
        <w:t>Bank Size = Logarithm of Value of Total Assets (+)</w:t>
      </w:r>
    </w:p>
    <w:p w:rsidR="00061B4D" w:rsidRPr="00350F9D" w:rsidRDefault="00061B4D" w:rsidP="00061B4D">
      <w:pPr>
        <w:spacing w:line="480" w:lineRule="auto"/>
        <w:ind w:firstLine="720"/>
        <w:rPr>
          <w:rFonts w:ascii="Times New Roman" w:hAnsi="Times New Roman" w:cs="Times New Roman"/>
          <w:sz w:val="24"/>
          <w:szCs w:val="24"/>
        </w:rPr>
      </w:pPr>
      <w:r w:rsidRPr="00350F9D">
        <w:rPr>
          <w:rFonts w:ascii="Times New Roman" w:hAnsi="Times New Roman" w:cs="Times New Roman"/>
          <w:sz w:val="24"/>
          <w:szCs w:val="24"/>
        </w:rPr>
        <w:t>Existing studies show that there is a positive relationship between the size of banks and their financial performance (Al-Tamimi and Hussein, 2010). This means the larger the bank the better its financial performance. Lager banks are able to take advantage of economies of scale to reduce its overall cost, and canraise capital at lower cost thank smaller banks. For this study, the size of bank is expected to be positively associated with their financial performance.</w:t>
      </w:r>
    </w:p>
    <w:p w:rsidR="00061B4D" w:rsidRPr="00650895" w:rsidRDefault="00061B4D" w:rsidP="00061B4D">
      <w:pPr>
        <w:spacing w:line="480" w:lineRule="auto"/>
        <w:rPr>
          <w:rFonts w:ascii="Times New Roman" w:hAnsi="Times New Roman" w:cs="Times New Roman"/>
          <w:b/>
          <w:i/>
        </w:rPr>
      </w:pPr>
      <w:r w:rsidRPr="00650895">
        <w:rPr>
          <w:rFonts w:ascii="Times New Roman" w:hAnsi="Times New Roman" w:cs="Times New Roman"/>
          <w:b/>
          <w:i/>
        </w:rPr>
        <w:t>Operating Efficiency (OE)</w:t>
      </w:r>
    </w:p>
    <w:p w:rsidR="00061B4D" w:rsidRPr="00350F9D" w:rsidRDefault="00061B4D" w:rsidP="00061B4D">
      <w:pPr>
        <w:spacing w:line="480" w:lineRule="auto"/>
        <w:rPr>
          <w:rFonts w:ascii="Times New Roman" w:hAnsi="Times New Roman" w:cs="Times New Roman"/>
          <w:i/>
          <w:iCs/>
          <w:sz w:val="24"/>
          <w:szCs w:val="24"/>
        </w:rPr>
      </w:pPr>
      <w:r w:rsidRPr="00350F9D">
        <w:rPr>
          <w:rFonts w:ascii="Times New Roman" w:hAnsi="Times New Roman" w:cs="Times New Roman"/>
          <w:i/>
          <w:iCs/>
          <w:sz w:val="24"/>
          <w:szCs w:val="24"/>
        </w:rPr>
        <w:t xml:space="preserve">Operating Efficiency = </w:t>
      </w:r>
      <w:r w:rsidRPr="00350F9D">
        <w:rPr>
          <w:rFonts w:ascii="Times New Roman" w:hAnsi="Times New Roman" w:cs="Times New Roman"/>
          <w:i/>
          <w:iCs/>
          <w:sz w:val="24"/>
          <w:szCs w:val="24"/>
          <w:u w:val="single"/>
        </w:rPr>
        <w:t>Noninterest Expenses ( - )</w:t>
      </w:r>
    </w:p>
    <w:p w:rsidR="00061B4D" w:rsidRPr="00350F9D" w:rsidRDefault="00061B4D" w:rsidP="00061B4D">
      <w:pPr>
        <w:spacing w:line="480" w:lineRule="auto"/>
        <w:rPr>
          <w:rFonts w:ascii="Times New Roman" w:hAnsi="Times New Roman" w:cs="Times New Roman"/>
          <w:i/>
          <w:iCs/>
          <w:sz w:val="24"/>
          <w:szCs w:val="24"/>
        </w:rPr>
      </w:pPr>
      <w:r w:rsidRPr="00350F9D">
        <w:rPr>
          <w:rFonts w:ascii="Times New Roman" w:hAnsi="Times New Roman" w:cs="Times New Roman"/>
          <w:i/>
          <w:iCs/>
          <w:sz w:val="24"/>
          <w:szCs w:val="24"/>
        </w:rPr>
        <w:t xml:space="preserve">                                          Net Revenue</w:t>
      </w:r>
    </w:p>
    <w:p w:rsidR="00061B4D" w:rsidRPr="00350F9D" w:rsidRDefault="00061B4D" w:rsidP="00350F9D">
      <w:pPr>
        <w:spacing w:line="480" w:lineRule="auto"/>
        <w:ind w:firstLine="720"/>
        <w:rPr>
          <w:rFonts w:ascii="Times New Roman" w:hAnsi="Times New Roman" w:cs="Times New Roman"/>
          <w:sz w:val="24"/>
          <w:szCs w:val="24"/>
        </w:rPr>
      </w:pPr>
      <w:r w:rsidRPr="00350F9D">
        <w:rPr>
          <w:rFonts w:ascii="Times New Roman" w:hAnsi="Times New Roman" w:cs="Times New Roman"/>
          <w:sz w:val="24"/>
          <w:szCs w:val="24"/>
        </w:rPr>
        <w:t>Banks which are able to control their operating expenses are expected to be more profitable. This means the relationship between this variable and financial performance is expected to have a negative sign.</w:t>
      </w:r>
    </w:p>
    <w:p w:rsidR="00061B4D" w:rsidRPr="00350F9D" w:rsidRDefault="00061B4D" w:rsidP="00350F9D">
      <w:pPr>
        <w:spacing w:line="480" w:lineRule="auto"/>
        <w:ind w:firstLine="720"/>
        <w:rPr>
          <w:rFonts w:ascii="Times New Roman" w:hAnsi="Times New Roman" w:cs="Times New Roman"/>
          <w:sz w:val="24"/>
          <w:szCs w:val="24"/>
        </w:rPr>
      </w:pPr>
      <w:r w:rsidRPr="00350F9D">
        <w:rPr>
          <w:rFonts w:ascii="Times New Roman" w:hAnsi="Times New Roman" w:cs="Times New Roman"/>
          <w:sz w:val="24"/>
          <w:szCs w:val="24"/>
        </w:rPr>
        <w:t xml:space="preserve">Operating efficiency may also be measured by banks management’s ability to use the resources at their disposal to generate income rather than cost management. In which case a positive association will be expected indicating that the more the revenue generated, the better the financial or profit performance of the </w:t>
      </w:r>
      <w:r w:rsidRPr="00350F9D">
        <w:rPr>
          <w:rFonts w:ascii="Times New Roman" w:hAnsi="Times New Roman" w:cs="Times New Roman"/>
          <w:sz w:val="24"/>
          <w:szCs w:val="24"/>
        </w:rPr>
        <w:lastRenderedPageBreak/>
        <w:t>banks.</w:t>
      </w:r>
      <w:r w:rsidR="00350F9D">
        <w:rPr>
          <w:rFonts w:ascii="Times New Roman" w:hAnsi="Times New Roman" w:cs="Times New Roman"/>
          <w:sz w:val="24"/>
          <w:szCs w:val="24"/>
        </w:rPr>
        <w:t xml:space="preserve"> F</w:t>
      </w:r>
      <w:r w:rsidRPr="00350F9D">
        <w:rPr>
          <w:rFonts w:ascii="Times New Roman" w:hAnsi="Times New Roman" w:cs="Times New Roman"/>
          <w:sz w:val="24"/>
          <w:szCs w:val="24"/>
        </w:rPr>
        <w:t>or this study, operating efficiency is measured by banks’ expense level in relation to its revenue. Therefore, a negative relationship is expected between banks’ financial performance and their inability to control expenses. This measure is selected to reflect the direction of studies in the literature (Rahman and Banna, 2016). This means the higher the expenses as a result of banks’ inability to control its costs, the lower their financial performance will be</w:t>
      </w:r>
      <w:r w:rsidR="00350F9D">
        <w:rPr>
          <w:rFonts w:ascii="Times New Roman" w:hAnsi="Times New Roman" w:cs="Times New Roman"/>
          <w:sz w:val="24"/>
          <w:szCs w:val="24"/>
        </w:rPr>
        <w:t>.</w:t>
      </w:r>
    </w:p>
    <w:p w:rsidR="00061B4D" w:rsidRPr="00DA45F3" w:rsidRDefault="00061B4D" w:rsidP="00061B4D">
      <w:pPr>
        <w:spacing w:line="480" w:lineRule="auto"/>
        <w:rPr>
          <w:rFonts w:ascii="Times New Roman" w:hAnsi="Times New Roman" w:cs="Times New Roman"/>
          <w:b/>
          <w:i/>
        </w:rPr>
      </w:pPr>
      <w:r w:rsidRPr="00650895">
        <w:rPr>
          <w:rFonts w:ascii="Times New Roman" w:hAnsi="Times New Roman" w:cs="Times New Roman"/>
          <w:b/>
          <w:i/>
        </w:rPr>
        <w:t>Debt to Total Capital Ratio (DTCR)</w:t>
      </w:r>
    </w:p>
    <w:p w:rsidR="00061B4D" w:rsidRPr="00350F9D" w:rsidRDefault="00061B4D" w:rsidP="00061B4D">
      <w:pPr>
        <w:spacing w:line="480" w:lineRule="auto"/>
        <w:rPr>
          <w:rFonts w:ascii="Times New Roman" w:hAnsi="Times New Roman" w:cs="Times New Roman"/>
          <w:i/>
          <w:iCs/>
          <w:sz w:val="24"/>
          <w:szCs w:val="24"/>
          <w:u w:val="single"/>
        </w:rPr>
      </w:pPr>
      <w:r w:rsidRPr="00350F9D">
        <w:rPr>
          <w:rFonts w:ascii="Times New Roman" w:hAnsi="Times New Roman" w:cs="Times New Roman"/>
          <w:i/>
          <w:iCs/>
          <w:sz w:val="24"/>
          <w:szCs w:val="24"/>
        </w:rPr>
        <w:t xml:space="preserve">Debt to Total Capital =   </w:t>
      </w:r>
      <w:r w:rsidRPr="00350F9D">
        <w:rPr>
          <w:rFonts w:ascii="Times New Roman" w:hAnsi="Times New Roman" w:cs="Times New Roman"/>
          <w:i/>
          <w:iCs/>
          <w:sz w:val="24"/>
          <w:szCs w:val="24"/>
          <w:u w:val="single"/>
        </w:rPr>
        <w:t>Total Debt( - +)</w:t>
      </w:r>
    </w:p>
    <w:p w:rsidR="00061B4D" w:rsidRPr="00350F9D" w:rsidRDefault="00061B4D" w:rsidP="00061B4D">
      <w:pPr>
        <w:spacing w:line="480" w:lineRule="auto"/>
        <w:rPr>
          <w:rFonts w:ascii="Times New Roman" w:hAnsi="Times New Roman" w:cs="Times New Roman"/>
          <w:i/>
          <w:iCs/>
          <w:sz w:val="24"/>
          <w:szCs w:val="24"/>
        </w:rPr>
      </w:pPr>
      <w:r w:rsidRPr="00350F9D">
        <w:rPr>
          <w:rFonts w:ascii="Times New Roman" w:hAnsi="Times New Roman" w:cs="Times New Roman"/>
          <w:i/>
          <w:iCs/>
          <w:sz w:val="24"/>
          <w:szCs w:val="24"/>
        </w:rPr>
        <w:t xml:space="preserve">                                         Total Capital</w:t>
      </w:r>
    </w:p>
    <w:p w:rsidR="00061B4D" w:rsidRPr="00350F9D" w:rsidRDefault="00061B4D" w:rsidP="00061B4D">
      <w:pPr>
        <w:spacing w:line="480" w:lineRule="auto"/>
        <w:ind w:firstLine="720"/>
        <w:rPr>
          <w:rFonts w:ascii="Times New Roman" w:hAnsi="Times New Roman" w:cs="Times New Roman"/>
          <w:sz w:val="24"/>
          <w:szCs w:val="24"/>
        </w:rPr>
      </w:pPr>
      <w:r w:rsidRPr="00350F9D">
        <w:rPr>
          <w:rFonts w:ascii="Times New Roman" w:hAnsi="Times New Roman" w:cs="Times New Roman"/>
          <w:sz w:val="24"/>
          <w:szCs w:val="24"/>
        </w:rPr>
        <w:t xml:space="preserve">The relationship between capital structure and the financial performance of banks has been well researched and documented in the literature. This has presented a mixed evidence in the banking literature as both negative and positive associations have been found across the world. In some cases high level of DTCR is associated with high profit performance of banks indicating a positive relationship (Berger &amp; Bonaccorsi di Patti, 2005). This result is in line with agency cost theory. However, Birru(2016) presented a negative association between DTCR and banks’ performance. In addition, more contrasting result was found by Anarfor(2015) who discovered that there was no relationship between changes in DTCR and the financial performance of banks, which supports the MM irrelevance theory. </w:t>
      </w:r>
    </w:p>
    <w:p w:rsidR="00061B4D" w:rsidRPr="00350F9D" w:rsidRDefault="00061B4D" w:rsidP="00061B4D">
      <w:pPr>
        <w:spacing w:line="480" w:lineRule="auto"/>
        <w:rPr>
          <w:rFonts w:ascii="Times New Roman" w:hAnsi="Times New Roman" w:cs="Times New Roman"/>
          <w:sz w:val="24"/>
          <w:szCs w:val="24"/>
        </w:rPr>
      </w:pPr>
      <w:r w:rsidRPr="00350F9D">
        <w:rPr>
          <w:rFonts w:ascii="Times New Roman" w:hAnsi="Times New Roman" w:cs="Times New Roman"/>
          <w:sz w:val="24"/>
          <w:szCs w:val="24"/>
        </w:rPr>
        <w:t>Based on this mixed results in the literature, the expected sign for this study could be positive (+), negative (-), or even insignificant relationship between DTCR and the financial performance of banks.</w:t>
      </w:r>
    </w:p>
    <w:p w:rsidR="00061B4D" w:rsidRPr="00DA45F3" w:rsidRDefault="00061B4D" w:rsidP="00061B4D">
      <w:pPr>
        <w:spacing w:line="480" w:lineRule="auto"/>
        <w:rPr>
          <w:rFonts w:ascii="Times New Roman" w:hAnsi="Times New Roman" w:cs="Times New Roman"/>
          <w:b/>
          <w:i/>
        </w:rPr>
      </w:pPr>
      <w:r w:rsidRPr="00650895">
        <w:rPr>
          <w:rFonts w:ascii="Times New Roman" w:hAnsi="Times New Roman" w:cs="Times New Roman"/>
          <w:b/>
          <w:i/>
        </w:rPr>
        <w:t>Gross Domestic Product (GDP)</w:t>
      </w:r>
    </w:p>
    <w:p w:rsidR="00061B4D" w:rsidRPr="00350F9D" w:rsidRDefault="00061B4D" w:rsidP="00061B4D">
      <w:pPr>
        <w:spacing w:line="480" w:lineRule="auto"/>
        <w:rPr>
          <w:rFonts w:ascii="Times New Roman" w:hAnsi="Times New Roman" w:cs="Times New Roman"/>
          <w:i/>
          <w:iCs/>
          <w:sz w:val="24"/>
          <w:szCs w:val="24"/>
        </w:rPr>
      </w:pPr>
      <w:r w:rsidRPr="00350F9D">
        <w:rPr>
          <w:rFonts w:ascii="Times New Roman" w:hAnsi="Times New Roman" w:cs="Times New Roman"/>
          <w:i/>
          <w:iCs/>
          <w:sz w:val="24"/>
          <w:szCs w:val="24"/>
        </w:rPr>
        <w:t>Economic Growth = GDP (+)</w:t>
      </w: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 xml:space="preserve">The changes in the economic activities of a country, measured by its gross domestic product (GDP) has been found to have significant impact on the performance of banks in that particular country (Louzis, Vouldis&amp; Metaxas, 2012).During economic growth, banks tend to improve in their performance. On the other hand, when there is economic down turn, banks financial performance will be expected to be poor. This is because </w:t>
      </w:r>
      <w:r w:rsidRPr="00350F9D">
        <w:rPr>
          <w:rFonts w:ascii="Times New Roman" w:hAnsi="Times New Roman" w:cs="Times New Roman"/>
          <w:sz w:val="24"/>
          <w:szCs w:val="24"/>
        </w:rPr>
        <w:lastRenderedPageBreak/>
        <w:t xml:space="preserve">business activities are more likely to improve when the economy grows, therefore business require loans from banks to finance their activities. These businesses are also able to service their loans during this period including the repayment of capital and interest. This boom economic period therefore improve banks’ lending as well as financial returns. In developing economies such as that of Qatar, Malaysia, India and Nigeria, households and businesses rely heavily on the performance of the economy (Auta, 2010). Demand for goods and labour fall significantly during bad economic time, this also means fall in the demand for bank loans and this in turn impact on the financial performance of banks. </w:t>
      </w: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On the basis of this theoretical argument backed by the evidence in the literature study of Ongore &amp; Kusa (2013), a positive relationship is expected between the economic states of these countries measured by their respective GDP and the financial performance of the selected banks</w:t>
      </w:r>
    </w:p>
    <w:p w:rsidR="00061B4D" w:rsidRPr="00A75EAF" w:rsidRDefault="00061B4D" w:rsidP="00061B4D">
      <w:pPr>
        <w:pStyle w:val="Heading2"/>
        <w:spacing w:line="480" w:lineRule="auto"/>
        <w:rPr>
          <w:rFonts w:ascii="Cambria" w:hAnsi="Cambria"/>
          <w:b w:val="0"/>
          <w:bCs w:val="0"/>
        </w:rPr>
      </w:pPr>
      <w:bookmarkStart w:id="90" w:name="_Toc1740162"/>
      <w:bookmarkStart w:id="91" w:name="_Toc2075051"/>
      <w:r w:rsidRPr="00A75EAF">
        <w:rPr>
          <w:rFonts w:ascii="Cambria" w:hAnsi="Cambria"/>
        </w:rPr>
        <w:t>Model specification</w:t>
      </w:r>
      <w:bookmarkEnd w:id="90"/>
      <w:bookmarkEnd w:id="91"/>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In order to use the multiple regression technique to establish relationship between the dependent variable (ROE) and the respective explanatory variables (Capital Adequacy Ratio, Bank Size, Debt to Total Capital Ratio, Debt to Equity Ratio and Gross Domestic Product), the model below was adopted.</w:t>
      </w:r>
    </w:p>
    <w:p w:rsidR="00061B4D" w:rsidRPr="00350F9D" w:rsidRDefault="00061B4D" w:rsidP="00061B4D">
      <w:pPr>
        <w:spacing w:line="480" w:lineRule="auto"/>
        <w:rPr>
          <w:rFonts w:ascii="Times New Roman" w:hAnsi="Times New Roman" w:cs="Times New Roman"/>
          <w:sz w:val="24"/>
          <w:szCs w:val="24"/>
        </w:rPr>
      </w:pPr>
      <w:r w:rsidRPr="00350F9D">
        <w:rPr>
          <w:rFonts w:ascii="Times New Roman" w:hAnsi="Times New Roman" w:cs="Times New Roman"/>
          <w:sz w:val="24"/>
          <w:szCs w:val="24"/>
        </w:rPr>
        <w:t>Model: Y= β0 + βX + ε</w:t>
      </w: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 xml:space="preserve">Where: </w:t>
      </w: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 xml:space="preserve">Y = the dependent variable for firm </w:t>
      </w: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β0 = constant term</w:t>
      </w: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 xml:space="preserve">β = the coefficient of explanatory variable </w:t>
      </w: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X = the explanatory variable</w:t>
      </w:r>
    </w:p>
    <w:p w:rsidR="00061B4D" w:rsidRPr="00350F9D" w:rsidRDefault="00061B4D" w:rsidP="00350F9D">
      <w:pPr>
        <w:spacing w:line="480" w:lineRule="auto"/>
        <w:rPr>
          <w:rFonts w:ascii="Times New Roman" w:hAnsi="Times New Roman" w:cs="Times New Roman"/>
          <w:sz w:val="24"/>
          <w:szCs w:val="24"/>
        </w:rPr>
      </w:pP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For the purpose of this study, below is the modified version of this general regression model to reflect the selected variables.</w:t>
      </w: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lastRenderedPageBreak/>
        <w:t>RO</w:t>
      </w:r>
      <w:r w:rsidR="00991FE5">
        <w:rPr>
          <w:rFonts w:ascii="Times New Roman" w:hAnsi="Times New Roman" w:cs="Times New Roman"/>
          <w:sz w:val="24"/>
          <w:szCs w:val="24"/>
        </w:rPr>
        <w:t>E</w:t>
      </w:r>
      <w:r w:rsidRPr="00350F9D">
        <w:rPr>
          <w:rFonts w:ascii="Times New Roman" w:hAnsi="Times New Roman" w:cs="Times New Roman"/>
          <w:sz w:val="24"/>
          <w:szCs w:val="24"/>
        </w:rPr>
        <w:t>= β0 +β1(CAR) + β2(BS)+ β3(OE)+β4(DTCR)+ β5(DER)+ β6(GDP)+ε</w:t>
      </w: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Where:</w:t>
      </w: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RO</w:t>
      </w:r>
      <w:r w:rsidR="00892945">
        <w:rPr>
          <w:rFonts w:ascii="Times New Roman" w:hAnsi="Times New Roman" w:cs="Times New Roman"/>
          <w:sz w:val="24"/>
          <w:szCs w:val="24"/>
        </w:rPr>
        <w:t>E</w:t>
      </w:r>
      <w:r w:rsidRPr="00350F9D">
        <w:rPr>
          <w:rFonts w:ascii="Times New Roman" w:hAnsi="Times New Roman" w:cs="Times New Roman"/>
          <w:sz w:val="24"/>
          <w:szCs w:val="24"/>
        </w:rPr>
        <w:t xml:space="preserve"> = Return on </w:t>
      </w:r>
      <w:r w:rsidR="00892945">
        <w:rPr>
          <w:rFonts w:ascii="Times New Roman" w:hAnsi="Times New Roman" w:cs="Times New Roman"/>
          <w:sz w:val="24"/>
          <w:szCs w:val="24"/>
        </w:rPr>
        <w:t>Equity</w:t>
      </w: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β0 = the intercept</w:t>
      </w: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β1= Capital Adequacy Ratio</w:t>
      </w: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β2= Bank Size</w:t>
      </w: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β3= Operating Efficiency</w:t>
      </w: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β4= Debt to Total Capital Ratio</w:t>
      </w: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β5= Debt to Equity Ratio</w:t>
      </w: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β6= Gross Domestic Product</w:t>
      </w:r>
    </w:p>
    <w:p w:rsidR="00061B4D" w:rsidRPr="00350F9D" w:rsidRDefault="00061B4D" w:rsidP="00350F9D">
      <w:pPr>
        <w:spacing w:line="480" w:lineRule="auto"/>
        <w:rPr>
          <w:rFonts w:ascii="Times New Roman" w:hAnsi="Times New Roman" w:cs="Times New Roman"/>
          <w:sz w:val="24"/>
          <w:szCs w:val="24"/>
        </w:rPr>
      </w:pPr>
      <w:r w:rsidRPr="00350F9D">
        <w:rPr>
          <w:rFonts w:ascii="Times New Roman" w:hAnsi="Times New Roman" w:cs="Times New Roman"/>
          <w:sz w:val="24"/>
          <w:szCs w:val="24"/>
        </w:rPr>
        <w:t>ε = Random Error</w:t>
      </w:r>
    </w:p>
    <w:p w:rsidR="00D02383" w:rsidRPr="00D02383" w:rsidRDefault="00D02383" w:rsidP="00D02383">
      <w:pPr>
        <w:pStyle w:val="Heading1"/>
        <w:spacing w:line="600" w:lineRule="auto"/>
        <w:rPr>
          <w:color w:val="auto"/>
        </w:rPr>
      </w:pPr>
      <w:bookmarkStart w:id="92" w:name="_Toc2075052"/>
      <w:r>
        <w:rPr>
          <w:color w:val="auto"/>
        </w:rPr>
        <w:t>Chapter 4</w:t>
      </w:r>
      <w:r w:rsidR="00061B4D" w:rsidRPr="00D02383">
        <w:rPr>
          <w:color w:val="auto"/>
        </w:rPr>
        <w:t xml:space="preserve">: </w:t>
      </w:r>
      <w:r w:rsidR="00030D41" w:rsidRPr="00030D41">
        <w:rPr>
          <w:color w:val="auto"/>
        </w:rPr>
        <w:t>Data Analysis</w:t>
      </w:r>
      <w:bookmarkEnd w:id="92"/>
    </w:p>
    <w:p w:rsidR="00255C47" w:rsidRPr="00255C47" w:rsidRDefault="00700091" w:rsidP="00291891">
      <w:pPr>
        <w:spacing w:line="480" w:lineRule="auto"/>
        <w:ind w:firstLine="720"/>
        <w:rPr>
          <w:rFonts w:ascii="Times New Roman" w:hAnsi="Times New Roman" w:cs="Times New Roman"/>
          <w:sz w:val="24"/>
          <w:szCs w:val="24"/>
        </w:rPr>
      </w:pPr>
      <w:r w:rsidRPr="006273C9">
        <w:rPr>
          <w:rFonts w:ascii="Times New Roman" w:hAnsi="Times New Roman" w:cs="Times New Roman"/>
          <w:sz w:val="24"/>
          <w:szCs w:val="24"/>
        </w:rPr>
        <w:t>The bank data collected from the annual reports of six conventional and Islamic banks</w:t>
      </w:r>
      <w:r w:rsidR="00EB4734" w:rsidRPr="006273C9">
        <w:rPr>
          <w:rFonts w:ascii="Times New Roman" w:hAnsi="Times New Roman" w:cs="Times New Roman"/>
          <w:sz w:val="24"/>
          <w:szCs w:val="24"/>
        </w:rPr>
        <w:t xml:space="preserve"> during the period of 2012-2017</w:t>
      </w:r>
      <w:r w:rsidR="002A7500">
        <w:rPr>
          <w:rFonts w:ascii="Times New Roman" w:hAnsi="Times New Roman" w:cs="Times New Roman"/>
          <w:sz w:val="24"/>
          <w:szCs w:val="24"/>
        </w:rPr>
        <w:t>,</w:t>
      </w:r>
      <w:r w:rsidR="00EB4734" w:rsidRPr="006273C9">
        <w:rPr>
          <w:rFonts w:ascii="Times New Roman" w:hAnsi="Times New Roman" w:cs="Times New Roman"/>
          <w:sz w:val="24"/>
          <w:szCs w:val="24"/>
        </w:rPr>
        <w:t xml:space="preserve"> to analy</w:t>
      </w:r>
      <w:r w:rsidR="002A7500">
        <w:rPr>
          <w:rFonts w:ascii="Times New Roman" w:hAnsi="Times New Roman" w:cs="Times New Roman"/>
          <w:sz w:val="24"/>
          <w:szCs w:val="24"/>
        </w:rPr>
        <w:t>s</w:t>
      </w:r>
      <w:r w:rsidR="00EB4734" w:rsidRPr="006273C9">
        <w:rPr>
          <w:rFonts w:ascii="Times New Roman" w:hAnsi="Times New Roman" w:cs="Times New Roman"/>
          <w:sz w:val="24"/>
          <w:szCs w:val="24"/>
        </w:rPr>
        <w:t xml:space="preserve">e the bank performance in order to make an effective comparison between the two categories of banks. </w:t>
      </w:r>
      <w:r w:rsidR="006273C9">
        <w:rPr>
          <w:rFonts w:ascii="Times New Roman" w:hAnsi="Times New Roman" w:cs="Times New Roman"/>
          <w:sz w:val="24"/>
          <w:szCs w:val="24"/>
        </w:rPr>
        <w:t xml:space="preserve">The essential factors representing the performance of a bank are recorded as the independent variables like bank size, capital adequacy, </w:t>
      </w:r>
      <w:r w:rsidR="00D30364">
        <w:rPr>
          <w:rFonts w:ascii="Times New Roman" w:hAnsi="Times New Roman" w:cs="Times New Roman"/>
          <w:sz w:val="24"/>
          <w:szCs w:val="24"/>
        </w:rPr>
        <w:t>financial risk measuring factors like debt to capital and debt to eq</w:t>
      </w:r>
      <w:r w:rsidR="00A924CD">
        <w:rPr>
          <w:rFonts w:ascii="Times New Roman" w:hAnsi="Times New Roman" w:cs="Times New Roman"/>
          <w:sz w:val="24"/>
          <w:szCs w:val="24"/>
        </w:rPr>
        <w:t xml:space="preserve">uity and return on equity. </w:t>
      </w:r>
      <w:r w:rsidR="00F07D23">
        <w:rPr>
          <w:rFonts w:ascii="Times New Roman" w:hAnsi="Times New Roman" w:cs="Times New Roman"/>
          <w:sz w:val="24"/>
          <w:szCs w:val="24"/>
        </w:rPr>
        <w:t xml:space="preserve">Data analyses have been done with the help of both Excel and SPSS. </w:t>
      </w:r>
      <w:r w:rsidR="00B32607">
        <w:rPr>
          <w:rFonts w:ascii="Times New Roman" w:hAnsi="Times New Roman" w:cs="Times New Roman"/>
          <w:sz w:val="24"/>
          <w:szCs w:val="24"/>
        </w:rPr>
        <w:t>All the ratios related to</w:t>
      </w:r>
      <w:r w:rsidR="00BD5809">
        <w:rPr>
          <w:rFonts w:ascii="Times New Roman" w:hAnsi="Times New Roman" w:cs="Times New Roman"/>
          <w:sz w:val="24"/>
          <w:szCs w:val="24"/>
        </w:rPr>
        <w:t xml:space="preserve"> the aforementioned factors </w:t>
      </w:r>
      <w:r w:rsidR="00065DE3">
        <w:rPr>
          <w:rFonts w:ascii="Times New Roman" w:hAnsi="Times New Roman" w:cs="Times New Roman"/>
          <w:sz w:val="24"/>
          <w:szCs w:val="24"/>
        </w:rPr>
        <w:t>have been</w:t>
      </w:r>
      <w:r w:rsidR="002A7500">
        <w:rPr>
          <w:rFonts w:ascii="Times New Roman" w:hAnsi="Times New Roman" w:cs="Times New Roman"/>
          <w:sz w:val="24"/>
          <w:szCs w:val="24"/>
        </w:rPr>
        <w:t xml:space="preserve"> </w:t>
      </w:r>
      <w:r w:rsidR="00F07D23">
        <w:rPr>
          <w:rFonts w:ascii="Times New Roman" w:hAnsi="Times New Roman" w:cs="Times New Roman"/>
          <w:sz w:val="24"/>
          <w:szCs w:val="24"/>
        </w:rPr>
        <w:t xml:space="preserve">calculated and interpreted </w:t>
      </w:r>
      <w:r w:rsidR="00065DE3">
        <w:rPr>
          <w:rFonts w:ascii="Times New Roman" w:hAnsi="Times New Roman" w:cs="Times New Roman"/>
          <w:sz w:val="24"/>
          <w:szCs w:val="24"/>
        </w:rPr>
        <w:t xml:space="preserve">with the help of Excel and accordingly some figures have </w:t>
      </w:r>
      <w:r w:rsidR="008E3DF4">
        <w:rPr>
          <w:rFonts w:ascii="Times New Roman" w:hAnsi="Times New Roman" w:cs="Times New Roman"/>
          <w:sz w:val="24"/>
          <w:szCs w:val="24"/>
        </w:rPr>
        <w:t xml:space="preserve">also been graphed to provide a strong back up for the arguments made by the </w:t>
      </w:r>
      <w:r w:rsidR="00AB588A">
        <w:rPr>
          <w:rFonts w:ascii="Times New Roman" w:hAnsi="Times New Roman" w:cs="Times New Roman"/>
          <w:sz w:val="24"/>
          <w:szCs w:val="24"/>
        </w:rPr>
        <w:t xml:space="preserve">calculated ratios in the tables. </w:t>
      </w:r>
      <w:r w:rsidR="00AB588A" w:rsidRPr="00255C47">
        <w:rPr>
          <w:rFonts w:ascii="Times New Roman" w:hAnsi="Times New Roman" w:cs="Times New Roman"/>
          <w:sz w:val="24"/>
          <w:szCs w:val="24"/>
        </w:rPr>
        <w:t>SPSS analysis has been done to examine statistical measurements</w:t>
      </w:r>
      <w:r w:rsidR="003D76A7" w:rsidRPr="00255C47">
        <w:rPr>
          <w:rFonts w:ascii="Times New Roman" w:hAnsi="Times New Roman" w:cs="Times New Roman"/>
          <w:sz w:val="24"/>
          <w:szCs w:val="24"/>
        </w:rPr>
        <w:t xml:space="preserve"> among the independent and dependent variables including</w:t>
      </w:r>
      <w:r w:rsidR="00AB588A" w:rsidRPr="00255C47">
        <w:rPr>
          <w:rFonts w:ascii="Times New Roman" w:hAnsi="Times New Roman" w:cs="Times New Roman"/>
          <w:sz w:val="24"/>
          <w:szCs w:val="24"/>
        </w:rPr>
        <w:t xml:space="preserve"> descriptive statist</w:t>
      </w:r>
      <w:r w:rsidR="003D76A7" w:rsidRPr="00255C47">
        <w:rPr>
          <w:rFonts w:ascii="Times New Roman" w:hAnsi="Times New Roman" w:cs="Times New Roman"/>
          <w:sz w:val="24"/>
          <w:szCs w:val="24"/>
        </w:rPr>
        <w:t xml:space="preserve">ics, correlation and regression. The tables and figures are provided in the Appendix section. </w:t>
      </w:r>
    </w:p>
    <w:p w:rsidR="001E042B" w:rsidRPr="007E7258" w:rsidRDefault="001E042B" w:rsidP="007E7258">
      <w:pPr>
        <w:pStyle w:val="Heading2"/>
      </w:pPr>
      <w:bookmarkStart w:id="93" w:name="_Toc2075053"/>
      <w:r w:rsidRPr="007E7258">
        <w:lastRenderedPageBreak/>
        <w:t>Bank Size</w:t>
      </w:r>
      <w:bookmarkEnd w:id="93"/>
    </w:p>
    <w:p w:rsidR="00291891" w:rsidRDefault="004650DA" w:rsidP="00291891">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w:t>
      </w:r>
      <w:r w:rsidR="00D05763">
        <w:rPr>
          <w:rFonts w:ascii="Times New Roman" w:hAnsi="Times New Roman" w:cs="Times New Roman"/>
          <w:sz w:val="24"/>
          <w:szCs w:val="24"/>
        </w:rPr>
        <w:t xml:space="preserve"> graphical presentation of</w:t>
      </w:r>
      <w:r>
        <w:rPr>
          <w:rFonts w:ascii="Times New Roman" w:hAnsi="Times New Roman" w:cs="Times New Roman"/>
          <w:sz w:val="24"/>
          <w:szCs w:val="24"/>
        </w:rPr>
        <w:t xml:space="preserve"> figure 1 in appendix has been </w:t>
      </w:r>
      <w:r w:rsidR="00D05763">
        <w:rPr>
          <w:rFonts w:ascii="Times New Roman" w:hAnsi="Times New Roman" w:cs="Times New Roman"/>
          <w:sz w:val="24"/>
          <w:szCs w:val="24"/>
        </w:rPr>
        <w:t xml:space="preserve">drawn </w:t>
      </w:r>
      <w:r w:rsidR="000C0060">
        <w:rPr>
          <w:rFonts w:ascii="Times New Roman" w:hAnsi="Times New Roman" w:cs="Times New Roman"/>
          <w:sz w:val="24"/>
          <w:szCs w:val="24"/>
        </w:rPr>
        <w:t xml:space="preserve">by taking the average of bank sizes relative to each year from </w:t>
      </w:r>
      <w:r w:rsidR="00892945">
        <w:rPr>
          <w:rFonts w:ascii="Times New Roman" w:hAnsi="Times New Roman" w:cs="Times New Roman"/>
          <w:sz w:val="24"/>
          <w:szCs w:val="24"/>
        </w:rPr>
        <w:t>the calculated</w:t>
      </w:r>
      <w:r w:rsidR="00D05763">
        <w:rPr>
          <w:rFonts w:ascii="Times New Roman" w:hAnsi="Times New Roman" w:cs="Times New Roman"/>
          <w:sz w:val="24"/>
          <w:szCs w:val="24"/>
        </w:rPr>
        <w:t xml:space="preserve"> bank size data as structured in table 1</w:t>
      </w:r>
      <w:r w:rsidR="006362D1">
        <w:rPr>
          <w:rFonts w:ascii="Times New Roman" w:hAnsi="Times New Roman" w:cs="Times New Roman"/>
          <w:sz w:val="24"/>
          <w:szCs w:val="24"/>
        </w:rPr>
        <w:t xml:space="preserve"> and table 2</w:t>
      </w:r>
      <w:r w:rsidR="00D05763">
        <w:rPr>
          <w:rFonts w:ascii="Times New Roman" w:hAnsi="Times New Roman" w:cs="Times New Roman"/>
          <w:sz w:val="24"/>
          <w:szCs w:val="24"/>
        </w:rPr>
        <w:t xml:space="preserve">. </w:t>
      </w:r>
      <w:r w:rsidR="006362D1">
        <w:rPr>
          <w:rFonts w:ascii="Times New Roman" w:hAnsi="Times New Roman" w:cs="Times New Roman"/>
          <w:sz w:val="24"/>
          <w:szCs w:val="24"/>
        </w:rPr>
        <w:t xml:space="preserve">The Conventional bank data were captured in table 1 and the Islamic bank data in table 2 where the bank sizes are calculated by taking the logarithms of total assets of each bank as mentioned in the research methodology. </w:t>
      </w:r>
      <w:r w:rsidR="00D05763">
        <w:rPr>
          <w:rFonts w:ascii="Times New Roman" w:hAnsi="Times New Roman" w:cs="Times New Roman"/>
          <w:sz w:val="24"/>
          <w:szCs w:val="24"/>
        </w:rPr>
        <w:t xml:space="preserve">The picture depicted </w:t>
      </w:r>
      <w:r w:rsidR="00841635">
        <w:rPr>
          <w:rFonts w:ascii="Times New Roman" w:hAnsi="Times New Roman" w:cs="Times New Roman"/>
          <w:sz w:val="24"/>
          <w:szCs w:val="24"/>
        </w:rPr>
        <w:t xml:space="preserve">that </w:t>
      </w:r>
      <w:r w:rsidR="00D05763">
        <w:rPr>
          <w:rFonts w:ascii="Times New Roman" w:hAnsi="Times New Roman" w:cs="Times New Roman"/>
          <w:sz w:val="24"/>
          <w:szCs w:val="24"/>
        </w:rPr>
        <w:t xml:space="preserve">the sizes </w:t>
      </w:r>
      <w:r w:rsidR="008B7187">
        <w:rPr>
          <w:rFonts w:ascii="Times New Roman" w:hAnsi="Times New Roman" w:cs="Times New Roman"/>
          <w:sz w:val="24"/>
          <w:szCs w:val="24"/>
        </w:rPr>
        <w:t>of six C</w:t>
      </w:r>
      <w:r w:rsidR="00D05763">
        <w:rPr>
          <w:rFonts w:ascii="Times New Roman" w:hAnsi="Times New Roman" w:cs="Times New Roman"/>
          <w:sz w:val="24"/>
          <w:szCs w:val="24"/>
        </w:rPr>
        <w:t xml:space="preserve">onventional banks </w:t>
      </w:r>
      <w:r w:rsidR="00841635">
        <w:rPr>
          <w:rFonts w:ascii="Times New Roman" w:hAnsi="Times New Roman" w:cs="Times New Roman"/>
          <w:sz w:val="24"/>
          <w:szCs w:val="24"/>
        </w:rPr>
        <w:t>remained almost same during the time period</w:t>
      </w:r>
      <w:r w:rsidR="008B7187">
        <w:rPr>
          <w:rFonts w:ascii="Times New Roman" w:hAnsi="Times New Roman" w:cs="Times New Roman"/>
          <w:sz w:val="24"/>
          <w:szCs w:val="24"/>
        </w:rPr>
        <w:t xml:space="preserve"> of 2012-2017 while on the other </w:t>
      </w:r>
      <w:r w:rsidR="006362D1">
        <w:rPr>
          <w:rFonts w:ascii="Times New Roman" w:hAnsi="Times New Roman" w:cs="Times New Roman"/>
          <w:sz w:val="24"/>
          <w:szCs w:val="24"/>
        </w:rPr>
        <w:t>hand;</w:t>
      </w:r>
      <w:r w:rsidR="008B7187">
        <w:rPr>
          <w:rFonts w:ascii="Times New Roman" w:hAnsi="Times New Roman" w:cs="Times New Roman"/>
          <w:sz w:val="24"/>
          <w:szCs w:val="24"/>
        </w:rPr>
        <w:t xml:space="preserve"> the six Islamic </w:t>
      </w:r>
      <w:r w:rsidR="002F480C">
        <w:rPr>
          <w:rFonts w:ascii="Times New Roman" w:hAnsi="Times New Roman" w:cs="Times New Roman"/>
          <w:sz w:val="24"/>
          <w:szCs w:val="24"/>
        </w:rPr>
        <w:t>banks experienced</w:t>
      </w:r>
      <w:r w:rsidR="008B7187">
        <w:rPr>
          <w:rFonts w:ascii="Times New Roman" w:hAnsi="Times New Roman" w:cs="Times New Roman"/>
          <w:sz w:val="24"/>
          <w:szCs w:val="24"/>
        </w:rPr>
        <w:t xml:space="preserve"> slight up-downs in years 2012,</w:t>
      </w:r>
      <w:r w:rsidR="002F480C">
        <w:rPr>
          <w:rFonts w:ascii="Times New Roman" w:hAnsi="Times New Roman" w:cs="Times New Roman"/>
          <w:sz w:val="24"/>
          <w:szCs w:val="24"/>
        </w:rPr>
        <w:t xml:space="preserve"> 2016 and 2017. Comparing the Conventional bank with the Islamic </w:t>
      </w:r>
      <w:r w:rsidR="00E613BC">
        <w:rPr>
          <w:rFonts w:ascii="Times New Roman" w:hAnsi="Times New Roman" w:cs="Times New Roman"/>
          <w:sz w:val="24"/>
          <w:szCs w:val="24"/>
        </w:rPr>
        <w:t>ones showed that most of the Islamic banks were bigger in size owing to the fact the banking industry has seen a significant decline in the numbers of commercial banks due to lack of realization regarding economies of sca</w:t>
      </w:r>
      <w:r w:rsidR="002E663A">
        <w:rPr>
          <w:rFonts w:ascii="Times New Roman" w:hAnsi="Times New Roman" w:cs="Times New Roman"/>
          <w:sz w:val="24"/>
          <w:szCs w:val="24"/>
        </w:rPr>
        <w:t xml:space="preserve">le and decreased </w:t>
      </w:r>
      <w:r w:rsidR="00554C63">
        <w:rPr>
          <w:rFonts w:ascii="Times New Roman" w:hAnsi="Times New Roman" w:cs="Times New Roman"/>
          <w:sz w:val="24"/>
          <w:szCs w:val="24"/>
        </w:rPr>
        <w:t xml:space="preserve">average assets. As opined by </w:t>
      </w:r>
      <w:r w:rsidR="00554C63" w:rsidRPr="009A0F13">
        <w:rPr>
          <w:rFonts w:ascii="Times New Roman" w:hAnsi="Times New Roman" w:cs="Times New Roman"/>
          <w:sz w:val="24"/>
          <w:szCs w:val="24"/>
        </w:rPr>
        <w:t>Regehr and Sengupta</w:t>
      </w:r>
      <w:r w:rsidR="00554C63">
        <w:rPr>
          <w:rFonts w:ascii="Times New Roman" w:hAnsi="Times New Roman" w:cs="Times New Roman"/>
          <w:sz w:val="24"/>
          <w:szCs w:val="24"/>
        </w:rPr>
        <w:t xml:space="preserve"> (2016)</w:t>
      </w:r>
      <w:r w:rsidR="002E663A">
        <w:rPr>
          <w:rFonts w:ascii="Times New Roman" w:hAnsi="Times New Roman" w:cs="Times New Roman"/>
          <w:sz w:val="24"/>
          <w:szCs w:val="24"/>
        </w:rPr>
        <w:t xml:space="preserve">, by increasing bank size a bank can reduce their average costs through accessing a greater asset base </w:t>
      </w:r>
      <w:r w:rsidR="003D4054">
        <w:rPr>
          <w:rFonts w:ascii="Times New Roman" w:hAnsi="Times New Roman" w:cs="Times New Roman"/>
          <w:sz w:val="24"/>
          <w:szCs w:val="24"/>
        </w:rPr>
        <w:t xml:space="preserve">covering their fixed costs. </w:t>
      </w:r>
      <w:r w:rsidR="006C37D5">
        <w:rPr>
          <w:rFonts w:ascii="Times New Roman" w:hAnsi="Times New Roman" w:cs="Times New Roman"/>
          <w:sz w:val="24"/>
          <w:szCs w:val="24"/>
        </w:rPr>
        <w:t>Also, the community bankers such as Islamic banks have been emerging in the recent years</w:t>
      </w:r>
      <w:r w:rsidR="00E361D6">
        <w:rPr>
          <w:rFonts w:ascii="Times New Roman" w:hAnsi="Times New Roman" w:cs="Times New Roman"/>
          <w:sz w:val="24"/>
          <w:szCs w:val="24"/>
        </w:rPr>
        <w:t xml:space="preserve"> owing to the raising concerns of industry analysts for their growth </w:t>
      </w:r>
      <w:r w:rsidR="00873ED1">
        <w:rPr>
          <w:rFonts w:ascii="Times New Roman" w:hAnsi="Times New Roman" w:cs="Times New Roman"/>
          <w:sz w:val="24"/>
          <w:szCs w:val="24"/>
        </w:rPr>
        <w:t xml:space="preserve">and since size is an essential factor which has significant influence on </w:t>
      </w:r>
      <w:r w:rsidR="00583862">
        <w:rPr>
          <w:rFonts w:ascii="Times New Roman" w:hAnsi="Times New Roman" w:cs="Times New Roman"/>
          <w:sz w:val="24"/>
          <w:szCs w:val="24"/>
        </w:rPr>
        <w:t xml:space="preserve">gaining profitability. </w:t>
      </w:r>
    </w:p>
    <w:p w:rsidR="001E042B" w:rsidRDefault="00EB22F3" w:rsidP="0029189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reason behind the increasing sizes of Islamic banks might lie in the form of building strong relationships with the customers and local businesses which help these banking institutions </w:t>
      </w:r>
      <w:r w:rsidR="005C0B67">
        <w:rPr>
          <w:rFonts w:ascii="Times New Roman" w:hAnsi="Times New Roman" w:cs="Times New Roman"/>
          <w:sz w:val="24"/>
          <w:szCs w:val="24"/>
        </w:rPr>
        <w:t xml:space="preserve">make better credit underwriting decisions and set better contact terms through getting the access to useful information compared to larger </w:t>
      </w:r>
      <w:r w:rsidR="00892945">
        <w:rPr>
          <w:rFonts w:ascii="Times New Roman" w:hAnsi="Times New Roman" w:cs="Times New Roman"/>
          <w:sz w:val="24"/>
          <w:szCs w:val="24"/>
        </w:rPr>
        <w:t>banks. Also</w:t>
      </w:r>
      <w:r w:rsidR="00474008">
        <w:rPr>
          <w:rFonts w:ascii="Times New Roman" w:hAnsi="Times New Roman" w:cs="Times New Roman"/>
          <w:sz w:val="24"/>
          <w:szCs w:val="24"/>
        </w:rPr>
        <w:t xml:space="preserve"> with the increase in scale of operations </w:t>
      </w:r>
      <w:r w:rsidR="00440896">
        <w:rPr>
          <w:rFonts w:ascii="Times New Roman" w:hAnsi="Times New Roman" w:cs="Times New Roman"/>
          <w:sz w:val="24"/>
          <w:szCs w:val="24"/>
        </w:rPr>
        <w:t xml:space="preserve">these banks could generate greater efficiency </w:t>
      </w:r>
      <w:r w:rsidR="004422B6">
        <w:rPr>
          <w:rFonts w:ascii="Times New Roman" w:hAnsi="Times New Roman" w:cs="Times New Roman"/>
          <w:sz w:val="24"/>
          <w:szCs w:val="24"/>
        </w:rPr>
        <w:t xml:space="preserve">by utilizing some specialized inputs in a better way. </w:t>
      </w:r>
      <w:r w:rsidR="00CA7920">
        <w:rPr>
          <w:rFonts w:ascii="Times New Roman" w:hAnsi="Times New Roman" w:cs="Times New Roman"/>
          <w:sz w:val="24"/>
          <w:szCs w:val="24"/>
        </w:rPr>
        <w:t>Owing to table 1 and table 2 data calculations of bank s</w:t>
      </w:r>
      <w:r w:rsidR="00DA374E">
        <w:rPr>
          <w:rFonts w:ascii="Times New Roman" w:hAnsi="Times New Roman" w:cs="Times New Roman"/>
          <w:sz w:val="24"/>
          <w:szCs w:val="24"/>
        </w:rPr>
        <w:t>izes it can be clearly stated that HSBC hold</w:t>
      </w:r>
      <w:r w:rsidR="00136B7D">
        <w:rPr>
          <w:rFonts w:ascii="Times New Roman" w:hAnsi="Times New Roman" w:cs="Times New Roman"/>
          <w:sz w:val="24"/>
          <w:szCs w:val="24"/>
        </w:rPr>
        <w:t>s</w:t>
      </w:r>
      <w:r w:rsidR="00DA374E">
        <w:rPr>
          <w:rFonts w:ascii="Times New Roman" w:hAnsi="Times New Roman" w:cs="Times New Roman"/>
          <w:sz w:val="24"/>
          <w:szCs w:val="24"/>
        </w:rPr>
        <w:t xml:space="preserve"> the position of maintaining a comparable size with an average size of 6.40 while most of the Islamic banks have an average size of above 6. </w:t>
      </w:r>
      <w:r w:rsidR="00136B7D">
        <w:rPr>
          <w:rFonts w:ascii="Times New Roman" w:hAnsi="Times New Roman" w:cs="Times New Roman"/>
          <w:sz w:val="24"/>
          <w:szCs w:val="24"/>
        </w:rPr>
        <w:t xml:space="preserve">Among the six Islamic banks, Bahrain Islamic bank holds the last position in the context of bank size </w:t>
      </w:r>
      <w:r w:rsidR="006E7A4A">
        <w:rPr>
          <w:rFonts w:ascii="Times New Roman" w:hAnsi="Times New Roman" w:cs="Times New Roman"/>
          <w:sz w:val="24"/>
          <w:szCs w:val="24"/>
        </w:rPr>
        <w:t xml:space="preserve">with an average of 5.98. </w:t>
      </w:r>
      <w:r w:rsidR="0073595A">
        <w:rPr>
          <w:rFonts w:ascii="Times New Roman" w:hAnsi="Times New Roman" w:cs="Times New Roman"/>
          <w:sz w:val="24"/>
          <w:szCs w:val="24"/>
        </w:rPr>
        <w:t xml:space="preserve">Regehr and Sengupta (2016) also suggested that, despite a significant influence of economies of scale in banking industries, the profit gains start to diminish after reaching a specific level of growth. </w:t>
      </w:r>
      <w:r w:rsidR="00877C60">
        <w:rPr>
          <w:rFonts w:ascii="Times New Roman" w:hAnsi="Times New Roman" w:cs="Times New Roman"/>
          <w:sz w:val="24"/>
          <w:szCs w:val="24"/>
        </w:rPr>
        <w:t xml:space="preserve">This is because small changes in the market specific and the bank specific factors </w:t>
      </w:r>
      <w:r w:rsidR="003454C1">
        <w:rPr>
          <w:rFonts w:ascii="Times New Roman" w:hAnsi="Times New Roman" w:cs="Times New Roman"/>
          <w:sz w:val="24"/>
          <w:szCs w:val="24"/>
        </w:rPr>
        <w:t xml:space="preserve">which are the two important determining </w:t>
      </w:r>
      <w:r w:rsidR="003454C1">
        <w:rPr>
          <w:rFonts w:ascii="Times New Roman" w:hAnsi="Times New Roman" w:cs="Times New Roman"/>
          <w:sz w:val="24"/>
          <w:szCs w:val="24"/>
        </w:rPr>
        <w:lastRenderedPageBreak/>
        <w:t xml:space="preserve">factors of bank’s profitability </w:t>
      </w:r>
      <w:r w:rsidR="00D817B0">
        <w:rPr>
          <w:rFonts w:ascii="Times New Roman" w:hAnsi="Times New Roman" w:cs="Times New Roman"/>
          <w:sz w:val="24"/>
          <w:szCs w:val="24"/>
        </w:rPr>
        <w:t xml:space="preserve">are similar to the larger changes made on asset size to achieve higher profitability. </w:t>
      </w:r>
    </w:p>
    <w:p w:rsidR="00285971" w:rsidRPr="007E7258" w:rsidRDefault="00285971" w:rsidP="007E7258">
      <w:pPr>
        <w:pStyle w:val="Heading2"/>
      </w:pPr>
      <w:bookmarkStart w:id="94" w:name="_Toc2075054"/>
      <w:r w:rsidRPr="007E7258">
        <w:t>Operating Efficiency</w:t>
      </w:r>
      <w:bookmarkEnd w:id="94"/>
    </w:p>
    <w:p w:rsidR="00E837F2" w:rsidRDefault="000061AB" w:rsidP="00291891">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line with the</w:t>
      </w:r>
      <w:r w:rsidR="0009293F">
        <w:rPr>
          <w:rFonts w:ascii="Times New Roman" w:hAnsi="Times New Roman" w:cs="Times New Roman"/>
          <w:sz w:val="24"/>
          <w:szCs w:val="24"/>
        </w:rPr>
        <w:t xml:space="preserve"> research methodology described in this paper</w:t>
      </w:r>
      <w:r>
        <w:rPr>
          <w:rFonts w:ascii="Times New Roman" w:hAnsi="Times New Roman" w:cs="Times New Roman"/>
          <w:sz w:val="24"/>
          <w:szCs w:val="24"/>
        </w:rPr>
        <w:t xml:space="preserve">, operating </w:t>
      </w:r>
      <w:r w:rsidR="000050AF">
        <w:rPr>
          <w:rFonts w:ascii="Times New Roman" w:hAnsi="Times New Roman" w:cs="Times New Roman"/>
          <w:sz w:val="24"/>
          <w:szCs w:val="24"/>
        </w:rPr>
        <w:t>efficiency of each bank is calculate</w:t>
      </w:r>
      <w:r w:rsidR="003F5C27">
        <w:rPr>
          <w:rFonts w:ascii="Times New Roman" w:hAnsi="Times New Roman" w:cs="Times New Roman"/>
          <w:sz w:val="24"/>
          <w:szCs w:val="24"/>
        </w:rPr>
        <w:t xml:space="preserve">d by taking the ratio between </w:t>
      </w:r>
      <w:r w:rsidR="003C7315">
        <w:rPr>
          <w:rFonts w:ascii="Times New Roman" w:hAnsi="Times New Roman" w:cs="Times New Roman"/>
          <w:sz w:val="24"/>
          <w:szCs w:val="24"/>
        </w:rPr>
        <w:t xml:space="preserve">non-interest expenses </w:t>
      </w:r>
      <w:r w:rsidR="003F5C27">
        <w:rPr>
          <w:rFonts w:ascii="Times New Roman" w:hAnsi="Times New Roman" w:cs="Times New Roman"/>
          <w:sz w:val="24"/>
          <w:szCs w:val="24"/>
        </w:rPr>
        <w:t xml:space="preserve">and the net income </w:t>
      </w:r>
      <w:r w:rsidR="00160B31">
        <w:rPr>
          <w:rFonts w:ascii="Times New Roman" w:hAnsi="Times New Roman" w:cs="Times New Roman"/>
          <w:sz w:val="24"/>
          <w:szCs w:val="24"/>
        </w:rPr>
        <w:t>earned by the bank after deducting all the cost related measurements.</w:t>
      </w:r>
      <w:r w:rsidR="00F61E31">
        <w:rPr>
          <w:rFonts w:ascii="Times New Roman" w:hAnsi="Times New Roman" w:cs="Times New Roman"/>
          <w:sz w:val="24"/>
          <w:szCs w:val="24"/>
        </w:rPr>
        <w:t xml:space="preserve"> The operating efficiency is a displaying feature of </w:t>
      </w:r>
      <w:r w:rsidR="00D24936">
        <w:rPr>
          <w:rFonts w:ascii="Times New Roman" w:hAnsi="Times New Roman" w:cs="Times New Roman"/>
          <w:sz w:val="24"/>
          <w:szCs w:val="24"/>
        </w:rPr>
        <w:t xml:space="preserve">analysing the performance of the bank in terms of utilising their assets and liabilities for internal purposes. </w:t>
      </w:r>
      <w:r w:rsidR="00600EF2">
        <w:rPr>
          <w:rFonts w:ascii="Times New Roman" w:hAnsi="Times New Roman" w:cs="Times New Roman"/>
          <w:sz w:val="24"/>
          <w:szCs w:val="24"/>
        </w:rPr>
        <w:t>Table 3 and 4 depict</w:t>
      </w:r>
      <w:r w:rsidR="00E0007B">
        <w:rPr>
          <w:rFonts w:ascii="Times New Roman" w:hAnsi="Times New Roman" w:cs="Times New Roman"/>
          <w:sz w:val="24"/>
          <w:szCs w:val="24"/>
        </w:rPr>
        <w:t>ing</w:t>
      </w:r>
      <w:r w:rsidR="002A7500">
        <w:rPr>
          <w:rFonts w:ascii="Times New Roman" w:hAnsi="Times New Roman" w:cs="Times New Roman"/>
          <w:sz w:val="24"/>
          <w:szCs w:val="24"/>
        </w:rPr>
        <w:t xml:space="preserve"> </w:t>
      </w:r>
      <w:r w:rsidR="00E0007B">
        <w:rPr>
          <w:rFonts w:ascii="Times New Roman" w:hAnsi="Times New Roman" w:cs="Times New Roman"/>
          <w:sz w:val="24"/>
          <w:szCs w:val="24"/>
        </w:rPr>
        <w:t>the</w:t>
      </w:r>
      <w:r w:rsidR="00600EF2">
        <w:rPr>
          <w:rFonts w:ascii="Times New Roman" w:hAnsi="Times New Roman" w:cs="Times New Roman"/>
          <w:sz w:val="24"/>
          <w:szCs w:val="24"/>
        </w:rPr>
        <w:t xml:space="preserve"> operating efficiency for six Conventional Banks </w:t>
      </w:r>
      <w:r w:rsidR="00E0007B">
        <w:rPr>
          <w:rFonts w:ascii="Times New Roman" w:hAnsi="Times New Roman" w:cs="Times New Roman"/>
          <w:sz w:val="24"/>
          <w:szCs w:val="24"/>
        </w:rPr>
        <w:t xml:space="preserve">and six Islamic Banks highlighted an overall good ratio in case of Conventional while on the other hand the ratio of </w:t>
      </w:r>
      <w:r w:rsidR="00EE1A27">
        <w:rPr>
          <w:rFonts w:ascii="Times New Roman" w:hAnsi="Times New Roman" w:cs="Times New Roman"/>
          <w:sz w:val="24"/>
          <w:szCs w:val="24"/>
        </w:rPr>
        <w:t xml:space="preserve">Islamic ones were lower compared to the Conventional ones. </w:t>
      </w:r>
      <w:r w:rsidR="000A5940">
        <w:rPr>
          <w:rFonts w:ascii="Times New Roman" w:hAnsi="Times New Roman" w:cs="Times New Roman"/>
          <w:sz w:val="24"/>
          <w:szCs w:val="24"/>
        </w:rPr>
        <w:t xml:space="preserve">The implication </w:t>
      </w:r>
      <w:r w:rsidR="00E0123D">
        <w:rPr>
          <w:rFonts w:ascii="Times New Roman" w:hAnsi="Times New Roman" w:cs="Times New Roman"/>
          <w:sz w:val="24"/>
          <w:szCs w:val="24"/>
        </w:rPr>
        <w:t xml:space="preserve">of these differences in banks might cause due to the separate ways of operating business by using their current assets and liabilities in an effective manner like </w:t>
      </w:r>
      <w:r w:rsidR="001E6917">
        <w:rPr>
          <w:rFonts w:ascii="Times New Roman" w:hAnsi="Times New Roman" w:cs="Times New Roman"/>
          <w:sz w:val="24"/>
          <w:szCs w:val="24"/>
        </w:rPr>
        <w:t xml:space="preserve">increasing </w:t>
      </w:r>
      <w:r w:rsidR="007357AB">
        <w:rPr>
          <w:rFonts w:ascii="Times New Roman" w:hAnsi="Times New Roman" w:cs="Times New Roman"/>
          <w:sz w:val="24"/>
          <w:szCs w:val="24"/>
        </w:rPr>
        <w:t>the amount for loan-able</w:t>
      </w:r>
      <w:r w:rsidR="001E6917">
        <w:rPr>
          <w:rFonts w:ascii="Times New Roman" w:hAnsi="Times New Roman" w:cs="Times New Roman"/>
          <w:sz w:val="24"/>
          <w:szCs w:val="24"/>
        </w:rPr>
        <w:t xml:space="preserve"> funds. </w:t>
      </w:r>
      <w:r w:rsidR="007357AB">
        <w:rPr>
          <w:rFonts w:ascii="Times New Roman" w:hAnsi="Times New Roman" w:cs="Times New Roman"/>
          <w:sz w:val="24"/>
          <w:szCs w:val="24"/>
        </w:rPr>
        <w:t>As opined by Young and Lighfoot (</w:t>
      </w:r>
      <w:r w:rsidR="007357AB" w:rsidRPr="009A0F13">
        <w:rPr>
          <w:rFonts w:ascii="Times New Roman" w:hAnsi="Times New Roman" w:cs="Times New Roman"/>
          <w:sz w:val="24"/>
          <w:szCs w:val="24"/>
        </w:rPr>
        <w:t>2017</w:t>
      </w:r>
      <w:r w:rsidR="007357AB">
        <w:rPr>
          <w:rFonts w:ascii="Times New Roman" w:hAnsi="Times New Roman" w:cs="Times New Roman"/>
          <w:sz w:val="24"/>
          <w:szCs w:val="24"/>
        </w:rPr>
        <w:t xml:space="preserve">) almost all the nation-wide banks have been raising the overhead non-interest expenses </w:t>
      </w:r>
      <w:r w:rsidR="00C3517C">
        <w:rPr>
          <w:rFonts w:ascii="Times New Roman" w:hAnsi="Times New Roman" w:cs="Times New Roman"/>
          <w:sz w:val="24"/>
          <w:szCs w:val="24"/>
        </w:rPr>
        <w:t xml:space="preserve">followed by a slower increase in the net income </w:t>
      </w:r>
      <w:r w:rsidR="007A1C82">
        <w:rPr>
          <w:rFonts w:ascii="Times New Roman" w:hAnsi="Times New Roman" w:cs="Times New Roman"/>
          <w:sz w:val="24"/>
          <w:szCs w:val="24"/>
        </w:rPr>
        <w:t>of those banks in</w:t>
      </w:r>
      <w:r w:rsidR="00924E97">
        <w:rPr>
          <w:rFonts w:ascii="Times New Roman" w:hAnsi="Times New Roman" w:cs="Times New Roman"/>
          <w:sz w:val="24"/>
          <w:szCs w:val="24"/>
        </w:rPr>
        <w:t xml:space="preserve"> order to improve profitability. The resulting effect as it can also be seen from the pictorial presentation given in figure 2, </w:t>
      </w:r>
      <w:r w:rsidR="007B6DB0">
        <w:rPr>
          <w:rFonts w:ascii="Times New Roman" w:hAnsi="Times New Roman" w:cs="Times New Roman"/>
          <w:sz w:val="24"/>
          <w:szCs w:val="24"/>
        </w:rPr>
        <w:t xml:space="preserve">a decline in the operating efficiency </w:t>
      </w:r>
      <w:r w:rsidR="00A67C9D">
        <w:rPr>
          <w:rFonts w:ascii="Times New Roman" w:hAnsi="Times New Roman" w:cs="Times New Roman"/>
          <w:sz w:val="24"/>
          <w:szCs w:val="24"/>
        </w:rPr>
        <w:t xml:space="preserve">in Conventional types; in 2012 it was 5 on an average, after 2017 this ratio has dropped down to 3.3 (approximately). In the context of Islamic banks, </w:t>
      </w:r>
      <w:r w:rsidR="000214D5">
        <w:rPr>
          <w:rFonts w:ascii="Times New Roman" w:hAnsi="Times New Roman" w:cs="Times New Roman"/>
          <w:sz w:val="24"/>
          <w:szCs w:val="24"/>
        </w:rPr>
        <w:t xml:space="preserve">performance based on efficiency gains </w:t>
      </w:r>
      <w:r w:rsidR="00D93B7B">
        <w:rPr>
          <w:rFonts w:ascii="Times New Roman" w:hAnsi="Times New Roman" w:cs="Times New Roman"/>
          <w:sz w:val="24"/>
          <w:szCs w:val="24"/>
        </w:rPr>
        <w:t>are</w:t>
      </w:r>
      <w:r w:rsidR="00C53AC8">
        <w:rPr>
          <w:rFonts w:ascii="Times New Roman" w:hAnsi="Times New Roman" w:cs="Times New Roman"/>
          <w:sz w:val="24"/>
          <w:szCs w:val="24"/>
        </w:rPr>
        <w:t xml:space="preserve"> more </w:t>
      </w:r>
      <w:r w:rsidR="00D93B7B">
        <w:rPr>
          <w:rFonts w:ascii="Times New Roman" w:hAnsi="Times New Roman" w:cs="Times New Roman"/>
          <w:sz w:val="24"/>
          <w:szCs w:val="24"/>
        </w:rPr>
        <w:t xml:space="preserve">fluctuating as shown in the figure; in 2012 it was below 2 on an average while in </w:t>
      </w:r>
      <w:r w:rsidR="006171A5">
        <w:rPr>
          <w:rFonts w:ascii="Times New Roman" w:hAnsi="Times New Roman" w:cs="Times New Roman"/>
          <w:sz w:val="24"/>
          <w:szCs w:val="24"/>
        </w:rPr>
        <w:t>2014 this ratio dropped bel</w:t>
      </w:r>
      <w:r w:rsidR="002B5F4E">
        <w:rPr>
          <w:rFonts w:ascii="Times New Roman" w:hAnsi="Times New Roman" w:cs="Times New Roman"/>
          <w:sz w:val="24"/>
          <w:szCs w:val="24"/>
        </w:rPr>
        <w:t>ow 2, in 2015 it increased</w:t>
      </w:r>
      <w:r w:rsidR="006171A5">
        <w:rPr>
          <w:rFonts w:ascii="Times New Roman" w:hAnsi="Times New Roman" w:cs="Times New Roman"/>
          <w:sz w:val="24"/>
          <w:szCs w:val="24"/>
        </w:rPr>
        <w:t xml:space="preserve"> above 2 and finally it </w:t>
      </w:r>
      <w:r w:rsidR="002B5F4E">
        <w:rPr>
          <w:rFonts w:ascii="Times New Roman" w:hAnsi="Times New Roman" w:cs="Times New Roman"/>
          <w:sz w:val="24"/>
          <w:szCs w:val="24"/>
        </w:rPr>
        <w:t xml:space="preserve">reached again below 2 on average in 2017. </w:t>
      </w:r>
      <w:r w:rsidR="009D5AB2">
        <w:rPr>
          <w:rFonts w:ascii="Times New Roman" w:hAnsi="Times New Roman" w:cs="Times New Roman"/>
          <w:sz w:val="24"/>
          <w:szCs w:val="24"/>
        </w:rPr>
        <w:t xml:space="preserve">The decline in average noninterest expenses </w:t>
      </w:r>
      <w:r w:rsidR="00292B65">
        <w:rPr>
          <w:rFonts w:ascii="Times New Roman" w:hAnsi="Times New Roman" w:cs="Times New Roman"/>
          <w:sz w:val="24"/>
          <w:szCs w:val="24"/>
        </w:rPr>
        <w:t xml:space="preserve">has also took place in Islamic </w:t>
      </w:r>
      <w:r w:rsidR="00EE1475">
        <w:rPr>
          <w:rFonts w:ascii="Times New Roman" w:hAnsi="Times New Roman" w:cs="Times New Roman"/>
          <w:sz w:val="24"/>
          <w:szCs w:val="24"/>
        </w:rPr>
        <w:t>banks but</w:t>
      </w:r>
      <w:r w:rsidR="00292B65">
        <w:rPr>
          <w:rFonts w:ascii="Times New Roman" w:hAnsi="Times New Roman" w:cs="Times New Roman"/>
          <w:sz w:val="24"/>
          <w:szCs w:val="24"/>
        </w:rPr>
        <w:t xml:space="preserve"> at a much slower pace relative to the commercial banks due to the latter’s noticeable sizes of assets compared to community banks. </w:t>
      </w:r>
    </w:p>
    <w:p w:rsidR="0089595F" w:rsidRDefault="000D5D8B" w:rsidP="0029189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graph </w:t>
      </w:r>
      <w:r w:rsidR="008E1A6D">
        <w:rPr>
          <w:rFonts w:ascii="Times New Roman" w:hAnsi="Times New Roman" w:cs="Times New Roman"/>
          <w:sz w:val="24"/>
          <w:szCs w:val="24"/>
        </w:rPr>
        <w:t xml:space="preserve">in figure 2 </w:t>
      </w:r>
      <w:r>
        <w:rPr>
          <w:rFonts w:ascii="Times New Roman" w:hAnsi="Times New Roman" w:cs="Times New Roman"/>
          <w:sz w:val="24"/>
          <w:szCs w:val="24"/>
        </w:rPr>
        <w:t xml:space="preserve">is structured with the help of taking the average of the </w:t>
      </w:r>
      <w:r w:rsidR="00E837F2">
        <w:rPr>
          <w:rFonts w:ascii="Times New Roman" w:hAnsi="Times New Roman" w:cs="Times New Roman"/>
          <w:sz w:val="24"/>
          <w:szCs w:val="24"/>
        </w:rPr>
        <w:t>operating efficiency from the C</w:t>
      </w:r>
      <w:r>
        <w:rPr>
          <w:rFonts w:ascii="Times New Roman" w:hAnsi="Times New Roman" w:cs="Times New Roman"/>
          <w:sz w:val="24"/>
          <w:szCs w:val="24"/>
        </w:rPr>
        <w:t xml:space="preserve">onventional as well as </w:t>
      </w:r>
      <w:r w:rsidR="00E837F2">
        <w:rPr>
          <w:rFonts w:ascii="Times New Roman" w:hAnsi="Times New Roman" w:cs="Times New Roman"/>
          <w:sz w:val="24"/>
          <w:szCs w:val="24"/>
        </w:rPr>
        <w:t xml:space="preserve">the </w:t>
      </w:r>
      <w:r w:rsidR="008E1A6D">
        <w:rPr>
          <w:rFonts w:ascii="Times New Roman" w:hAnsi="Times New Roman" w:cs="Times New Roman"/>
          <w:sz w:val="24"/>
          <w:szCs w:val="24"/>
        </w:rPr>
        <w:t xml:space="preserve">Islamic banks on yearly basis from the year 2012 to the year 2017. </w:t>
      </w:r>
      <w:r w:rsidR="009F2786">
        <w:rPr>
          <w:rFonts w:ascii="Times New Roman" w:hAnsi="Times New Roman" w:cs="Times New Roman"/>
          <w:sz w:val="24"/>
          <w:szCs w:val="24"/>
        </w:rPr>
        <w:t xml:space="preserve">From table 3 it can be clearly seen that, Bank of America </w:t>
      </w:r>
      <w:r w:rsidR="009730BD">
        <w:rPr>
          <w:rFonts w:ascii="Times New Roman" w:hAnsi="Times New Roman" w:cs="Times New Roman"/>
          <w:sz w:val="24"/>
          <w:szCs w:val="24"/>
        </w:rPr>
        <w:t xml:space="preserve">with an average operating </w:t>
      </w:r>
      <w:r w:rsidR="009F2786">
        <w:rPr>
          <w:rFonts w:ascii="Times New Roman" w:hAnsi="Times New Roman" w:cs="Times New Roman"/>
          <w:sz w:val="24"/>
          <w:szCs w:val="24"/>
        </w:rPr>
        <w:t xml:space="preserve">efficiency </w:t>
      </w:r>
      <w:r w:rsidR="009730BD">
        <w:rPr>
          <w:rFonts w:ascii="Times New Roman" w:hAnsi="Times New Roman" w:cs="Times New Roman"/>
          <w:sz w:val="24"/>
          <w:szCs w:val="24"/>
        </w:rPr>
        <w:t xml:space="preserve">of 8.08 </w:t>
      </w:r>
      <w:r w:rsidR="003247DD">
        <w:rPr>
          <w:rFonts w:ascii="Times New Roman" w:hAnsi="Times New Roman" w:cs="Times New Roman"/>
          <w:sz w:val="24"/>
          <w:szCs w:val="24"/>
        </w:rPr>
        <w:t xml:space="preserve">held the highest fluctuating efficiency gains between the </w:t>
      </w:r>
      <w:r w:rsidR="00E72C27">
        <w:rPr>
          <w:rFonts w:ascii="Times New Roman" w:hAnsi="Times New Roman" w:cs="Times New Roman"/>
          <w:sz w:val="24"/>
          <w:szCs w:val="24"/>
        </w:rPr>
        <w:t>years</w:t>
      </w:r>
      <w:r w:rsidR="003247DD">
        <w:rPr>
          <w:rFonts w:ascii="Times New Roman" w:hAnsi="Times New Roman" w:cs="Times New Roman"/>
          <w:sz w:val="24"/>
          <w:szCs w:val="24"/>
        </w:rPr>
        <w:t xml:space="preserve"> 2012 to 2015. </w:t>
      </w:r>
      <w:r w:rsidR="004A78BE">
        <w:rPr>
          <w:rFonts w:ascii="Times New Roman" w:hAnsi="Times New Roman" w:cs="Times New Roman"/>
          <w:sz w:val="24"/>
          <w:szCs w:val="24"/>
        </w:rPr>
        <w:t>In this context, the highest fluctuation</w:t>
      </w:r>
      <w:r w:rsidR="00CC3181">
        <w:rPr>
          <w:rFonts w:ascii="Times New Roman" w:hAnsi="Times New Roman" w:cs="Times New Roman"/>
          <w:sz w:val="24"/>
          <w:szCs w:val="24"/>
        </w:rPr>
        <w:t>s</w:t>
      </w:r>
      <w:r w:rsidR="004A78BE">
        <w:rPr>
          <w:rFonts w:ascii="Times New Roman" w:hAnsi="Times New Roman" w:cs="Times New Roman"/>
          <w:sz w:val="24"/>
          <w:szCs w:val="24"/>
        </w:rPr>
        <w:t xml:space="preserve"> in operating </w:t>
      </w:r>
      <w:r w:rsidR="00CC3181">
        <w:rPr>
          <w:rFonts w:ascii="Times New Roman" w:hAnsi="Times New Roman" w:cs="Times New Roman"/>
          <w:sz w:val="24"/>
          <w:szCs w:val="24"/>
        </w:rPr>
        <w:t>performances have</w:t>
      </w:r>
      <w:r w:rsidR="004A78BE">
        <w:rPr>
          <w:rFonts w:ascii="Times New Roman" w:hAnsi="Times New Roman" w:cs="Times New Roman"/>
          <w:sz w:val="24"/>
          <w:szCs w:val="24"/>
        </w:rPr>
        <w:t xml:space="preserve"> been captured in Al Hilal bank among the six Islamic ban</w:t>
      </w:r>
      <w:r w:rsidR="00AB6D2F">
        <w:rPr>
          <w:rFonts w:ascii="Times New Roman" w:hAnsi="Times New Roman" w:cs="Times New Roman"/>
          <w:sz w:val="24"/>
          <w:szCs w:val="24"/>
        </w:rPr>
        <w:t xml:space="preserve">ks </w:t>
      </w:r>
      <w:r w:rsidR="00AB6D2F">
        <w:rPr>
          <w:rFonts w:ascii="Times New Roman" w:hAnsi="Times New Roman" w:cs="Times New Roman"/>
          <w:sz w:val="24"/>
          <w:szCs w:val="24"/>
        </w:rPr>
        <w:lastRenderedPageBreak/>
        <w:t>taken in this research study but the degree of fluctuation was much slower when it is compared to the commerc</w:t>
      </w:r>
      <w:r w:rsidR="00837C67">
        <w:rPr>
          <w:rFonts w:ascii="Times New Roman" w:hAnsi="Times New Roman" w:cs="Times New Roman"/>
          <w:sz w:val="24"/>
          <w:szCs w:val="24"/>
        </w:rPr>
        <w:t xml:space="preserve">ial banks like Bank of America. </w:t>
      </w:r>
      <w:r w:rsidR="00A0530E">
        <w:rPr>
          <w:rFonts w:ascii="Times New Roman" w:hAnsi="Times New Roman" w:cs="Times New Roman"/>
          <w:sz w:val="24"/>
          <w:szCs w:val="24"/>
        </w:rPr>
        <w:t>The techniques taken for improving efficiency largely di</w:t>
      </w:r>
      <w:r w:rsidR="00971283">
        <w:rPr>
          <w:rFonts w:ascii="Times New Roman" w:hAnsi="Times New Roman" w:cs="Times New Roman"/>
          <w:sz w:val="24"/>
          <w:szCs w:val="24"/>
        </w:rPr>
        <w:t xml:space="preserve">ffer across banking industries and the purposes are also different. For example, </w:t>
      </w:r>
      <w:r w:rsidR="001C028B">
        <w:rPr>
          <w:rFonts w:ascii="Times New Roman" w:hAnsi="Times New Roman" w:cs="Times New Roman"/>
          <w:sz w:val="24"/>
          <w:szCs w:val="24"/>
        </w:rPr>
        <w:t>implementing long terms efficiency gain</w:t>
      </w:r>
      <w:r w:rsidR="00CC3181">
        <w:rPr>
          <w:rFonts w:ascii="Times New Roman" w:hAnsi="Times New Roman" w:cs="Times New Roman"/>
          <w:sz w:val="24"/>
          <w:szCs w:val="24"/>
        </w:rPr>
        <w:t>s</w:t>
      </w:r>
      <w:r w:rsidR="001C028B">
        <w:rPr>
          <w:rFonts w:ascii="Times New Roman" w:hAnsi="Times New Roman" w:cs="Times New Roman"/>
          <w:sz w:val="24"/>
          <w:szCs w:val="24"/>
        </w:rPr>
        <w:t xml:space="preserve"> in the form of providing advanced operating features </w:t>
      </w:r>
      <w:r w:rsidR="00CC3181">
        <w:rPr>
          <w:rFonts w:ascii="Times New Roman" w:hAnsi="Times New Roman" w:cs="Times New Roman"/>
          <w:sz w:val="24"/>
          <w:szCs w:val="24"/>
        </w:rPr>
        <w:t xml:space="preserve">like enforcement of technical inventions would require large amount of investments but the resulting income after implementing these inventions will more than compensate the instalment costs. </w:t>
      </w:r>
    </w:p>
    <w:p w:rsidR="00CC3181" w:rsidRPr="007E7258" w:rsidRDefault="00CC3181" w:rsidP="007E7258">
      <w:pPr>
        <w:pStyle w:val="Heading2"/>
      </w:pPr>
      <w:bookmarkStart w:id="95" w:name="_Toc2075055"/>
      <w:r w:rsidRPr="007E7258">
        <w:t>Financial Risks</w:t>
      </w:r>
      <w:bookmarkEnd w:id="95"/>
    </w:p>
    <w:p w:rsidR="00291891" w:rsidRDefault="00813ABF" w:rsidP="00291891">
      <w:pPr>
        <w:spacing w:line="480" w:lineRule="auto"/>
        <w:ind w:firstLine="720"/>
        <w:rPr>
          <w:rFonts w:ascii="Times New Roman" w:hAnsi="Times New Roman" w:cs="Times New Roman"/>
          <w:sz w:val="24"/>
          <w:szCs w:val="24"/>
        </w:rPr>
      </w:pPr>
      <w:r>
        <w:rPr>
          <w:rFonts w:ascii="Times New Roman" w:hAnsi="Times New Roman" w:cs="Times New Roman"/>
          <w:sz w:val="24"/>
          <w:szCs w:val="24"/>
        </w:rPr>
        <w:t>Financial risks in the</w:t>
      </w:r>
      <w:r w:rsidR="0076213B">
        <w:rPr>
          <w:rFonts w:ascii="Times New Roman" w:hAnsi="Times New Roman" w:cs="Times New Roman"/>
          <w:sz w:val="24"/>
          <w:szCs w:val="24"/>
        </w:rPr>
        <w:t xml:space="preserve"> banking industry imply bearing the risks associated with capital and asset that are </w:t>
      </w:r>
      <w:r w:rsidR="0009293F">
        <w:rPr>
          <w:rFonts w:ascii="Times New Roman" w:hAnsi="Times New Roman" w:cs="Times New Roman"/>
          <w:sz w:val="24"/>
          <w:szCs w:val="24"/>
        </w:rPr>
        <w:t xml:space="preserve">invested into the market in terms of credits, loans, bondages and other financial facilities provided by the bankers. </w:t>
      </w:r>
      <w:r w:rsidR="00BD0647">
        <w:rPr>
          <w:rFonts w:ascii="Times New Roman" w:hAnsi="Times New Roman" w:cs="Times New Roman"/>
          <w:sz w:val="24"/>
          <w:szCs w:val="24"/>
        </w:rPr>
        <w:t xml:space="preserve">This is </w:t>
      </w:r>
      <w:r w:rsidR="002A7500">
        <w:rPr>
          <w:rFonts w:ascii="Times New Roman" w:hAnsi="Times New Roman" w:cs="Times New Roman"/>
          <w:sz w:val="24"/>
          <w:szCs w:val="24"/>
        </w:rPr>
        <w:t>because</w:t>
      </w:r>
      <w:r w:rsidR="00BD0647">
        <w:rPr>
          <w:rFonts w:ascii="Times New Roman" w:hAnsi="Times New Roman" w:cs="Times New Roman"/>
          <w:sz w:val="24"/>
          <w:szCs w:val="24"/>
        </w:rPr>
        <w:t xml:space="preserve"> with the increase of loan</w:t>
      </w:r>
      <w:r w:rsidR="009A234F">
        <w:rPr>
          <w:rFonts w:ascii="Times New Roman" w:hAnsi="Times New Roman" w:cs="Times New Roman"/>
          <w:sz w:val="24"/>
          <w:szCs w:val="24"/>
        </w:rPr>
        <w:t>-</w:t>
      </w:r>
      <w:r w:rsidR="00BD0647">
        <w:rPr>
          <w:rFonts w:ascii="Times New Roman" w:hAnsi="Times New Roman" w:cs="Times New Roman"/>
          <w:sz w:val="24"/>
          <w:szCs w:val="24"/>
        </w:rPr>
        <w:t xml:space="preserve">able funds the possibility of non-payments by the borrowers also increases. </w:t>
      </w:r>
      <w:r>
        <w:rPr>
          <w:rFonts w:ascii="Times New Roman" w:hAnsi="Times New Roman" w:cs="Times New Roman"/>
          <w:sz w:val="24"/>
          <w:szCs w:val="24"/>
        </w:rPr>
        <w:t>The financial performance of a bank is indicated by the availability of capital for borrowing purpose and the profits from these borrowed assets in terms of capital and equity are the main sources of income earned by these banks. The</w:t>
      </w:r>
      <w:r w:rsidR="0009293F">
        <w:rPr>
          <w:rFonts w:ascii="Times New Roman" w:hAnsi="Times New Roman" w:cs="Times New Roman"/>
          <w:sz w:val="24"/>
          <w:szCs w:val="24"/>
        </w:rPr>
        <w:t xml:space="preserve"> risks</w:t>
      </w:r>
      <w:r>
        <w:rPr>
          <w:rFonts w:ascii="Times New Roman" w:hAnsi="Times New Roman" w:cs="Times New Roman"/>
          <w:sz w:val="24"/>
          <w:szCs w:val="24"/>
        </w:rPr>
        <w:t xml:space="preserve"> related to capital and equity structures</w:t>
      </w:r>
      <w:r w:rsidR="0009293F">
        <w:rPr>
          <w:rFonts w:ascii="Times New Roman" w:hAnsi="Times New Roman" w:cs="Times New Roman"/>
          <w:sz w:val="24"/>
          <w:szCs w:val="24"/>
        </w:rPr>
        <w:t xml:space="preserve"> are presented here by two factors debt to capital ratio and debt to equity ratio and the former is calculated </w:t>
      </w:r>
      <w:r w:rsidR="00BB5A86">
        <w:rPr>
          <w:rFonts w:ascii="Times New Roman" w:hAnsi="Times New Roman" w:cs="Times New Roman"/>
          <w:sz w:val="24"/>
          <w:szCs w:val="24"/>
        </w:rPr>
        <w:t xml:space="preserve">by dividing </w:t>
      </w:r>
      <w:r w:rsidR="0040442D">
        <w:rPr>
          <w:rFonts w:ascii="Times New Roman" w:hAnsi="Times New Roman" w:cs="Times New Roman"/>
          <w:sz w:val="24"/>
          <w:szCs w:val="24"/>
        </w:rPr>
        <w:t>the sum of total liabilities and the shareholder’s equity</w:t>
      </w:r>
      <w:r w:rsidR="00BD0647">
        <w:rPr>
          <w:rFonts w:ascii="Times New Roman" w:hAnsi="Times New Roman" w:cs="Times New Roman"/>
          <w:sz w:val="24"/>
          <w:szCs w:val="24"/>
        </w:rPr>
        <w:t xml:space="preserve"> wi</w:t>
      </w:r>
      <w:r w:rsidR="0040442D">
        <w:rPr>
          <w:rFonts w:ascii="Times New Roman" w:hAnsi="Times New Roman" w:cs="Times New Roman"/>
          <w:sz w:val="24"/>
          <w:szCs w:val="24"/>
        </w:rPr>
        <w:t xml:space="preserve">th total liabilities </w:t>
      </w:r>
      <w:r w:rsidR="00BD0647">
        <w:rPr>
          <w:rFonts w:ascii="Times New Roman" w:hAnsi="Times New Roman" w:cs="Times New Roman"/>
          <w:sz w:val="24"/>
          <w:szCs w:val="24"/>
        </w:rPr>
        <w:t xml:space="preserve">available in each bank and the latter is measured by taking the ratio of </w:t>
      </w:r>
      <w:r w:rsidR="0040442D">
        <w:rPr>
          <w:rFonts w:ascii="Times New Roman" w:hAnsi="Times New Roman" w:cs="Times New Roman"/>
          <w:sz w:val="24"/>
          <w:szCs w:val="24"/>
        </w:rPr>
        <w:t xml:space="preserve">total liabilities and shareholder’s equity. </w:t>
      </w:r>
      <w:r w:rsidR="00281818">
        <w:rPr>
          <w:rFonts w:ascii="Times New Roman" w:hAnsi="Times New Roman" w:cs="Times New Roman"/>
          <w:sz w:val="24"/>
          <w:szCs w:val="24"/>
        </w:rPr>
        <w:t xml:space="preserve">Table 5 and 6 of Appendix depict the debt to capital ratio and debt to equity ratio of Conventional and Islamic banks respectively during the period of 2012 to 2017. </w:t>
      </w:r>
      <w:r w:rsidR="005443EF">
        <w:rPr>
          <w:rFonts w:ascii="Times New Roman" w:hAnsi="Times New Roman" w:cs="Times New Roman"/>
          <w:sz w:val="24"/>
          <w:szCs w:val="24"/>
        </w:rPr>
        <w:t xml:space="preserve">From these two tables </w:t>
      </w:r>
      <w:r w:rsidR="00B772D5">
        <w:rPr>
          <w:rFonts w:ascii="Times New Roman" w:hAnsi="Times New Roman" w:cs="Times New Roman"/>
          <w:sz w:val="24"/>
          <w:szCs w:val="24"/>
        </w:rPr>
        <w:t>it can be stated that the debt to capital ratio remained stable overall in case of Conventional banks</w:t>
      </w:r>
      <w:r w:rsidR="00BB16D8">
        <w:rPr>
          <w:rFonts w:ascii="Times New Roman" w:hAnsi="Times New Roman" w:cs="Times New Roman"/>
          <w:sz w:val="24"/>
          <w:szCs w:val="24"/>
        </w:rPr>
        <w:t xml:space="preserve"> while the calculated data of Islamic banks showed noticeable </w:t>
      </w:r>
      <w:r w:rsidR="007C0691">
        <w:rPr>
          <w:rFonts w:ascii="Times New Roman" w:hAnsi="Times New Roman" w:cs="Times New Roman"/>
          <w:sz w:val="24"/>
          <w:szCs w:val="24"/>
        </w:rPr>
        <w:t xml:space="preserve">fluctuations. </w:t>
      </w:r>
    </w:p>
    <w:p w:rsidR="004650DA" w:rsidRDefault="007C0691" w:rsidP="0029189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Among the six Islamic banks considered in this study, Bahrain Islamic bank had the highest deviating ratio; between 2012 and 2013 the range of debt to capital </w:t>
      </w:r>
      <w:r w:rsidR="00165DAD">
        <w:rPr>
          <w:rFonts w:ascii="Times New Roman" w:hAnsi="Times New Roman" w:cs="Times New Roman"/>
          <w:sz w:val="24"/>
          <w:szCs w:val="24"/>
        </w:rPr>
        <w:t xml:space="preserve">ratio were at 0.19 on average while in 2014 this ratio increased to 0.91 and remained almost same in following </w:t>
      </w:r>
      <w:r w:rsidR="00794B23">
        <w:rPr>
          <w:rFonts w:ascii="Times New Roman" w:hAnsi="Times New Roman" w:cs="Times New Roman"/>
          <w:sz w:val="24"/>
          <w:szCs w:val="24"/>
        </w:rPr>
        <w:t xml:space="preserve">three </w:t>
      </w:r>
      <w:r w:rsidR="00165DAD">
        <w:rPr>
          <w:rFonts w:ascii="Times New Roman" w:hAnsi="Times New Roman" w:cs="Times New Roman"/>
          <w:sz w:val="24"/>
          <w:szCs w:val="24"/>
        </w:rPr>
        <w:t>years</w:t>
      </w:r>
      <w:r w:rsidR="00794B23">
        <w:rPr>
          <w:rFonts w:ascii="Times New Roman" w:hAnsi="Times New Roman" w:cs="Times New Roman"/>
          <w:sz w:val="24"/>
          <w:szCs w:val="24"/>
        </w:rPr>
        <w:t xml:space="preserve"> with an average of 0.89 each year</w:t>
      </w:r>
      <w:r w:rsidR="00165DAD">
        <w:rPr>
          <w:rFonts w:ascii="Times New Roman" w:hAnsi="Times New Roman" w:cs="Times New Roman"/>
          <w:sz w:val="24"/>
          <w:szCs w:val="24"/>
        </w:rPr>
        <w:t xml:space="preserve">. </w:t>
      </w:r>
      <w:r w:rsidR="006D4BAC">
        <w:rPr>
          <w:rFonts w:ascii="Times New Roman" w:hAnsi="Times New Roman" w:cs="Times New Roman"/>
          <w:sz w:val="24"/>
          <w:szCs w:val="24"/>
        </w:rPr>
        <w:t>The above statement is also proven by the graph drawn in figure 3 where the grey cylindrical bars are displaying the significant differential</w:t>
      </w:r>
      <w:r w:rsidR="00D62C1F">
        <w:rPr>
          <w:rFonts w:ascii="Times New Roman" w:hAnsi="Times New Roman" w:cs="Times New Roman"/>
          <w:sz w:val="24"/>
          <w:szCs w:val="24"/>
        </w:rPr>
        <w:t xml:space="preserve"> in debt to </w:t>
      </w:r>
      <w:r w:rsidR="00892945">
        <w:rPr>
          <w:rFonts w:ascii="Times New Roman" w:hAnsi="Times New Roman" w:cs="Times New Roman"/>
          <w:sz w:val="24"/>
          <w:szCs w:val="24"/>
        </w:rPr>
        <w:t>capital ratio</w:t>
      </w:r>
      <w:r w:rsidR="006D4BAC">
        <w:rPr>
          <w:rFonts w:ascii="Times New Roman" w:hAnsi="Times New Roman" w:cs="Times New Roman"/>
          <w:sz w:val="24"/>
          <w:szCs w:val="24"/>
        </w:rPr>
        <w:t xml:space="preserve"> of Islamic banks. </w:t>
      </w:r>
      <w:r w:rsidR="00D62C1F">
        <w:rPr>
          <w:rFonts w:ascii="Times New Roman" w:hAnsi="Times New Roman" w:cs="Times New Roman"/>
          <w:sz w:val="24"/>
          <w:szCs w:val="24"/>
        </w:rPr>
        <w:t>As opined by Kenton (</w:t>
      </w:r>
      <w:r w:rsidR="00D62C1F" w:rsidRPr="000328B5">
        <w:rPr>
          <w:rFonts w:ascii="Times New Roman" w:hAnsi="Times New Roman" w:cs="Times New Roman"/>
          <w:sz w:val="24"/>
          <w:szCs w:val="24"/>
        </w:rPr>
        <w:t>2018</w:t>
      </w:r>
      <w:r w:rsidR="00D62C1F">
        <w:rPr>
          <w:rFonts w:ascii="Times New Roman" w:hAnsi="Times New Roman" w:cs="Times New Roman"/>
          <w:sz w:val="24"/>
          <w:szCs w:val="24"/>
        </w:rPr>
        <w:t xml:space="preserve">), the financial leverage of a bank is the measurement of the debt to capital ratio which mainly includes </w:t>
      </w:r>
      <w:r w:rsidR="00D62C1F">
        <w:rPr>
          <w:rFonts w:ascii="Times New Roman" w:hAnsi="Times New Roman" w:cs="Times New Roman"/>
          <w:sz w:val="24"/>
          <w:szCs w:val="24"/>
        </w:rPr>
        <w:lastRenderedPageBreak/>
        <w:t xml:space="preserve">the short term and long term liabilities and the interest bearing </w:t>
      </w:r>
      <w:r w:rsidR="0021469F">
        <w:rPr>
          <w:rFonts w:ascii="Times New Roman" w:hAnsi="Times New Roman" w:cs="Times New Roman"/>
          <w:sz w:val="24"/>
          <w:szCs w:val="24"/>
        </w:rPr>
        <w:t xml:space="preserve">assets. </w:t>
      </w:r>
      <w:r w:rsidR="009F54AF">
        <w:rPr>
          <w:rFonts w:ascii="Times New Roman" w:hAnsi="Times New Roman" w:cs="Times New Roman"/>
          <w:sz w:val="24"/>
          <w:szCs w:val="24"/>
        </w:rPr>
        <w:t xml:space="preserve">Since the financial structures of banks represented by the debt to capital ratio, it provides the investors with more accurate information while making decisions about investments in the sense that the higher the ratio, the more the bank is capable to take risks. </w:t>
      </w:r>
      <w:r w:rsidR="003D0228">
        <w:rPr>
          <w:rFonts w:ascii="Times New Roman" w:hAnsi="Times New Roman" w:cs="Times New Roman"/>
          <w:sz w:val="24"/>
          <w:szCs w:val="24"/>
        </w:rPr>
        <w:t xml:space="preserve">The results mentioned above therefore implicate the fact that Islamic </w:t>
      </w:r>
      <w:r w:rsidR="00B55BB3">
        <w:rPr>
          <w:rFonts w:ascii="Times New Roman" w:hAnsi="Times New Roman" w:cs="Times New Roman"/>
          <w:sz w:val="24"/>
          <w:szCs w:val="24"/>
        </w:rPr>
        <w:t xml:space="preserve">banks are getting better in </w:t>
      </w:r>
      <w:r w:rsidR="00CD39AD">
        <w:rPr>
          <w:rFonts w:ascii="Times New Roman" w:hAnsi="Times New Roman" w:cs="Times New Roman"/>
          <w:sz w:val="24"/>
          <w:szCs w:val="24"/>
        </w:rPr>
        <w:t xml:space="preserve">drawing investors. </w:t>
      </w:r>
    </w:p>
    <w:p w:rsidR="004650DA" w:rsidRDefault="00522EF1" w:rsidP="0029189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the context of debt to equity ratio, </w:t>
      </w:r>
      <w:r w:rsidR="0014102C">
        <w:rPr>
          <w:rFonts w:ascii="Times New Roman" w:hAnsi="Times New Roman" w:cs="Times New Roman"/>
          <w:sz w:val="24"/>
          <w:szCs w:val="24"/>
        </w:rPr>
        <w:t xml:space="preserve">Conventional banks’ data calculation showed </w:t>
      </w:r>
      <w:r w:rsidR="005C547D">
        <w:rPr>
          <w:rFonts w:ascii="Times New Roman" w:hAnsi="Times New Roman" w:cs="Times New Roman"/>
          <w:sz w:val="24"/>
          <w:szCs w:val="24"/>
        </w:rPr>
        <w:t xml:space="preserve">significant fluctuations in almost all the six banks that are considered in this research study. </w:t>
      </w:r>
      <w:r w:rsidR="002B701E">
        <w:rPr>
          <w:rFonts w:ascii="Times New Roman" w:hAnsi="Times New Roman" w:cs="Times New Roman"/>
          <w:sz w:val="24"/>
          <w:szCs w:val="24"/>
        </w:rPr>
        <w:t xml:space="preserve">JP Morgan </w:t>
      </w:r>
      <w:r w:rsidR="00983866">
        <w:rPr>
          <w:rFonts w:ascii="Times New Roman" w:hAnsi="Times New Roman" w:cs="Times New Roman"/>
          <w:sz w:val="24"/>
          <w:szCs w:val="24"/>
        </w:rPr>
        <w:t>Chase &amp; Co.</w:t>
      </w:r>
      <w:r w:rsidR="007249DA">
        <w:rPr>
          <w:rFonts w:ascii="Times New Roman" w:hAnsi="Times New Roman" w:cs="Times New Roman"/>
          <w:sz w:val="24"/>
          <w:szCs w:val="24"/>
        </w:rPr>
        <w:t xml:space="preserve">, </w:t>
      </w:r>
      <w:r w:rsidR="00983866">
        <w:rPr>
          <w:rFonts w:ascii="Times New Roman" w:hAnsi="Times New Roman" w:cs="Times New Roman"/>
          <w:sz w:val="24"/>
          <w:szCs w:val="24"/>
        </w:rPr>
        <w:t>Barclays PLC</w:t>
      </w:r>
      <w:r w:rsidR="007249DA">
        <w:rPr>
          <w:rFonts w:ascii="Times New Roman" w:hAnsi="Times New Roman" w:cs="Times New Roman"/>
          <w:sz w:val="24"/>
          <w:szCs w:val="24"/>
        </w:rPr>
        <w:t xml:space="preserve"> and Westpac</w:t>
      </w:r>
      <w:r w:rsidR="00983866">
        <w:rPr>
          <w:rFonts w:ascii="Times New Roman" w:hAnsi="Times New Roman" w:cs="Times New Roman"/>
          <w:sz w:val="24"/>
          <w:szCs w:val="24"/>
        </w:rPr>
        <w:t xml:space="preserve"> had larger ratios during t</w:t>
      </w:r>
      <w:r w:rsidR="004F03CA">
        <w:rPr>
          <w:rFonts w:ascii="Times New Roman" w:hAnsi="Times New Roman" w:cs="Times New Roman"/>
          <w:sz w:val="24"/>
          <w:szCs w:val="24"/>
        </w:rPr>
        <w:t xml:space="preserve">he year 2012 to 2014 while in 2015 this ratio dropped down and after 2015 these ratios remained same. </w:t>
      </w:r>
      <w:r w:rsidR="00BB7EB7">
        <w:rPr>
          <w:rFonts w:ascii="Times New Roman" w:hAnsi="Times New Roman" w:cs="Times New Roman"/>
          <w:sz w:val="24"/>
          <w:szCs w:val="24"/>
        </w:rPr>
        <w:t xml:space="preserve">Bank of </w:t>
      </w:r>
      <w:r w:rsidR="007F2BB8">
        <w:rPr>
          <w:rFonts w:ascii="Times New Roman" w:hAnsi="Times New Roman" w:cs="Times New Roman"/>
          <w:sz w:val="24"/>
          <w:szCs w:val="24"/>
        </w:rPr>
        <w:t xml:space="preserve">America, Axis Bank Lt. </w:t>
      </w:r>
      <w:r w:rsidR="00BB7EB7">
        <w:rPr>
          <w:rFonts w:ascii="Times New Roman" w:hAnsi="Times New Roman" w:cs="Times New Roman"/>
          <w:sz w:val="24"/>
          <w:szCs w:val="24"/>
        </w:rPr>
        <w:t xml:space="preserve">and HSBC also faced significant fluctuations in its debt to equity ratio but at a slower pace than the </w:t>
      </w:r>
      <w:r w:rsidR="0069257D">
        <w:rPr>
          <w:rFonts w:ascii="Times New Roman" w:hAnsi="Times New Roman" w:cs="Times New Roman"/>
          <w:sz w:val="24"/>
          <w:szCs w:val="24"/>
        </w:rPr>
        <w:t xml:space="preserve">aforementioned conventional </w:t>
      </w:r>
      <w:r w:rsidR="007F2BB8">
        <w:rPr>
          <w:rFonts w:ascii="Times New Roman" w:hAnsi="Times New Roman" w:cs="Times New Roman"/>
          <w:sz w:val="24"/>
          <w:szCs w:val="24"/>
        </w:rPr>
        <w:t xml:space="preserve">banks as it can be seen from </w:t>
      </w:r>
      <w:r w:rsidR="00DC72A6">
        <w:rPr>
          <w:rFonts w:ascii="Times New Roman" w:hAnsi="Times New Roman" w:cs="Times New Roman"/>
          <w:sz w:val="24"/>
          <w:szCs w:val="24"/>
        </w:rPr>
        <w:t xml:space="preserve">Table 5. Table 6 depicts the </w:t>
      </w:r>
      <w:r w:rsidR="00262D58">
        <w:rPr>
          <w:rFonts w:ascii="Times New Roman" w:hAnsi="Times New Roman" w:cs="Times New Roman"/>
          <w:sz w:val="24"/>
          <w:szCs w:val="24"/>
        </w:rPr>
        <w:t>Debt to equity ratio fo</w:t>
      </w:r>
      <w:r w:rsidR="00512DC5">
        <w:rPr>
          <w:rFonts w:ascii="Times New Roman" w:hAnsi="Times New Roman" w:cs="Times New Roman"/>
          <w:sz w:val="24"/>
          <w:szCs w:val="24"/>
        </w:rPr>
        <w:t>r the</w:t>
      </w:r>
      <w:r w:rsidR="00262D58">
        <w:rPr>
          <w:rFonts w:ascii="Times New Roman" w:hAnsi="Times New Roman" w:cs="Times New Roman"/>
          <w:sz w:val="24"/>
          <w:szCs w:val="24"/>
        </w:rPr>
        <w:t xml:space="preserve"> Islamic banks which showed </w:t>
      </w:r>
      <w:r w:rsidR="00512DC5">
        <w:rPr>
          <w:rFonts w:ascii="Times New Roman" w:hAnsi="Times New Roman" w:cs="Times New Roman"/>
          <w:sz w:val="24"/>
          <w:szCs w:val="24"/>
        </w:rPr>
        <w:t xml:space="preserve">significant variations in almost all of the six banks. </w:t>
      </w:r>
      <w:r w:rsidR="003D7D7F">
        <w:rPr>
          <w:rFonts w:ascii="Times New Roman" w:hAnsi="Times New Roman" w:cs="Times New Roman"/>
          <w:sz w:val="24"/>
          <w:szCs w:val="24"/>
        </w:rPr>
        <w:t xml:space="preserve">Bahrain showed highest variations in the ratio during 2013 and 2014; in 2012 and 2013 </w:t>
      </w:r>
      <w:r w:rsidR="00310304">
        <w:rPr>
          <w:rFonts w:ascii="Times New Roman" w:hAnsi="Times New Roman" w:cs="Times New Roman"/>
          <w:sz w:val="24"/>
          <w:szCs w:val="24"/>
        </w:rPr>
        <w:t xml:space="preserve">the ratio were 0.14 on average while by the end of 2014 this ratio reached at 10.07. In 2015 this bank again faced a decline and ultimately in 2017 Bahrain Islamic bank successfully achieved the ratio </w:t>
      </w:r>
      <w:r w:rsidR="00B54CC5">
        <w:rPr>
          <w:rFonts w:ascii="Times New Roman" w:hAnsi="Times New Roman" w:cs="Times New Roman"/>
          <w:sz w:val="24"/>
          <w:szCs w:val="24"/>
        </w:rPr>
        <w:t xml:space="preserve">at </w:t>
      </w:r>
      <w:r w:rsidR="00DB44F8">
        <w:rPr>
          <w:rFonts w:ascii="Times New Roman" w:hAnsi="Times New Roman" w:cs="Times New Roman"/>
          <w:sz w:val="24"/>
          <w:szCs w:val="24"/>
        </w:rPr>
        <w:t xml:space="preserve">a larger scale of </w:t>
      </w:r>
      <w:r w:rsidR="00B54CC5">
        <w:rPr>
          <w:rFonts w:ascii="Times New Roman" w:hAnsi="Times New Roman" w:cs="Times New Roman"/>
          <w:sz w:val="24"/>
          <w:szCs w:val="24"/>
        </w:rPr>
        <w:t>9.05.</w:t>
      </w:r>
      <w:r w:rsidR="002C1B4A">
        <w:rPr>
          <w:rFonts w:ascii="Times New Roman" w:hAnsi="Times New Roman" w:cs="Times New Roman"/>
          <w:sz w:val="24"/>
          <w:szCs w:val="24"/>
        </w:rPr>
        <w:t xml:space="preserve"> The calculated data of</w:t>
      </w:r>
      <w:r w:rsidR="00892945">
        <w:rPr>
          <w:rFonts w:ascii="Times New Roman" w:hAnsi="Times New Roman" w:cs="Times New Roman"/>
          <w:sz w:val="24"/>
          <w:szCs w:val="24"/>
        </w:rPr>
        <w:t xml:space="preserve"> </w:t>
      </w:r>
      <w:r w:rsidR="002C1B4A">
        <w:rPr>
          <w:rFonts w:ascii="Times New Roman" w:hAnsi="Times New Roman" w:cs="Times New Roman"/>
          <w:sz w:val="24"/>
          <w:szCs w:val="24"/>
        </w:rPr>
        <w:t xml:space="preserve">HSBC Amanah Berhad, Islami Bank Bangladesh Limited and Al Hilal bank implied that these three banks had followed the same trend in the alteration of </w:t>
      </w:r>
      <w:r w:rsidR="00791CB0">
        <w:rPr>
          <w:rFonts w:ascii="Times New Roman" w:hAnsi="Times New Roman" w:cs="Times New Roman"/>
          <w:sz w:val="24"/>
          <w:szCs w:val="24"/>
        </w:rPr>
        <w:t xml:space="preserve">debt to equity ratio; increase, decrease and again an increase during the period of 2012 to 2017. </w:t>
      </w:r>
      <w:r w:rsidR="004E3669">
        <w:rPr>
          <w:rFonts w:ascii="Times New Roman" w:hAnsi="Times New Roman" w:cs="Times New Roman"/>
          <w:sz w:val="24"/>
          <w:szCs w:val="24"/>
        </w:rPr>
        <w:t xml:space="preserve">But the strength of growth in 2017 was </w:t>
      </w:r>
      <w:r w:rsidR="003F51B4">
        <w:rPr>
          <w:rFonts w:ascii="Times New Roman" w:hAnsi="Times New Roman" w:cs="Times New Roman"/>
          <w:sz w:val="24"/>
          <w:szCs w:val="24"/>
        </w:rPr>
        <w:t xml:space="preserve">minor compared to </w:t>
      </w:r>
      <w:r w:rsidR="004E3669">
        <w:rPr>
          <w:rFonts w:ascii="Times New Roman" w:hAnsi="Times New Roman" w:cs="Times New Roman"/>
          <w:sz w:val="24"/>
          <w:szCs w:val="24"/>
        </w:rPr>
        <w:t xml:space="preserve">that in 2012. </w:t>
      </w:r>
      <w:r w:rsidR="003C32DA">
        <w:rPr>
          <w:rFonts w:ascii="Times New Roman" w:hAnsi="Times New Roman" w:cs="Times New Roman"/>
          <w:sz w:val="24"/>
          <w:szCs w:val="24"/>
        </w:rPr>
        <w:t xml:space="preserve">Among the six Islamic banks, </w:t>
      </w:r>
      <w:r w:rsidR="00E45943">
        <w:rPr>
          <w:rFonts w:ascii="Times New Roman" w:hAnsi="Times New Roman" w:cs="Times New Roman"/>
          <w:sz w:val="24"/>
          <w:szCs w:val="24"/>
        </w:rPr>
        <w:t>Mashreq bank</w:t>
      </w:r>
      <w:r w:rsidR="000233EE">
        <w:rPr>
          <w:rFonts w:ascii="Times New Roman" w:hAnsi="Times New Roman" w:cs="Times New Roman"/>
          <w:sz w:val="24"/>
          <w:szCs w:val="24"/>
        </w:rPr>
        <w:t xml:space="preserve"> and Qatar Islamic bank were the two community banks </w:t>
      </w:r>
      <w:r w:rsidR="00E45943">
        <w:rPr>
          <w:rFonts w:ascii="Times New Roman" w:hAnsi="Times New Roman" w:cs="Times New Roman"/>
          <w:sz w:val="24"/>
          <w:szCs w:val="24"/>
        </w:rPr>
        <w:t>that experienced an overall</w:t>
      </w:r>
      <w:r w:rsidR="00D53914">
        <w:rPr>
          <w:rFonts w:ascii="Times New Roman" w:hAnsi="Times New Roman" w:cs="Times New Roman"/>
          <w:sz w:val="24"/>
          <w:szCs w:val="24"/>
        </w:rPr>
        <w:t xml:space="preserve"> decline in the equity ratio during the period of </w:t>
      </w:r>
      <w:r w:rsidR="00E45943">
        <w:rPr>
          <w:rFonts w:ascii="Times New Roman" w:hAnsi="Times New Roman" w:cs="Times New Roman"/>
          <w:sz w:val="24"/>
          <w:szCs w:val="24"/>
        </w:rPr>
        <w:t xml:space="preserve">six years. </w:t>
      </w:r>
    </w:p>
    <w:p w:rsidR="00E01551" w:rsidRDefault="002A6C6D" w:rsidP="00291891">
      <w:pPr>
        <w:spacing w:line="480" w:lineRule="auto"/>
        <w:ind w:firstLine="720"/>
        <w:rPr>
          <w:rFonts w:ascii="Times New Roman" w:hAnsi="Times New Roman" w:cs="Times New Roman"/>
          <w:sz w:val="24"/>
          <w:szCs w:val="24"/>
        </w:rPr>
      </w:pPr>
      <w:r w:rsidRPr="00D00967">
        <w:rPr>
          <w:rFonts w:ascii="Times New Roman" w:hAnsi="Times New Roman" w:cs="Times New Roman"/>
          <w:sz w:val="24"/>
          <w:szCs w:val="24"/>
        </w:rPr>
        <w:t xml:space="preserve">The above mentioned results are captured by the pictorial presentation </w:t>
      </w:r>
      <w:r w:rsidR="000E46A8">
        <w:rPr>
          <w:rFonts w:ascii="Times New Roman" w:hAnsi="Times New Roman" w:cs="Times New Roman"/>
          <w:sz w:val="24"/>
          <w:szCs w:val="24"/>
        </w:rPr>
        <w:t>given in figure 4</w:t>
      </w:r>
      <w:r w:rsidR="00A01492">
        <w:rPr>
          <w:rFonts w:ascii="Times New Roman" w:hAnsi="Times New Roman" w:cs="Times New Roman"/>
          <w:sz w:val="24"/>
          <w:szCs w:val="24"/>
        </w:rPr>
        <w:t xml:space="preserve"> which provides a strong back up </w:t>
      </w:r>
      <w:r w:rsidR="00EE0E53">
        <w:rPr>
          <w:rFonts w:ascii="Times New Roman" w:hAnsi="Times New Roman" w:cs="Times New Roman"/>
          <w:sz w:val="24"/>
          <w:szCs w:val="24"/>
        </w:rPr>
        <w:t>through</w:t>
      </w:r>
      <w:r w:rsidR="00A01492">
        <w:rPr>
          <w:rFonts w:ascii="Times New Roman" w:hAnsi="Times New Roman" w:cs="Times New Roman"/>
          <w:sz w:val="24"/>
          <w:szCs w:val="24"/>
        </w:rPr>
        <w:t xml:space="preserve"> the cone </w:t>
      </w:r>
      <w:r w:rsidR="00EE0E53">
        <w:rPr>
          <w:rFonts w:ascii="Times New Roman" w:hAnsi="Times New Roman" w:cs="Times New Roman"/>
          <w:sz w:val="24"/>
          <w:szCs w:val="24"/>
        </w:rPr>
        <w:t>bars drawn in two colours</w:t>
      </w:r>
      <w:r w:rsidR="00094AA1">
        <w:rPr>
          <w:rFonts w:ascii="Times New Roman" w:hAnsi="Times New Roman" w:cs="Times New Roman"/>
          <w:sz w:val="24"/>
          <w:szCs w:val="24"/>
        </w:rPr>
        <w:t xml:space="preserve"> for two different types of banks. </w:t>
      </w:r>
      <w:r w:rsidR="00CF0711">
        <w:rPr>
          <w:rFonts w:ascii="Times New Roman" w:hAnsi="Times New Roman" w:cs="Times New Roman"/>
          <w:sz w:val="24"/>
          <w:szCs w:val="24"/>
        </w:rPr>
        <w:t xml:space="preserve">These bars showed that the ratio was higher for the Conventional banks from Islamic banks </w:t>
      </w:r>
      <w:r w:rsidR="00BD7B8A">
        <w:rPr>
          <w:rFonts w:ascii="Times New Roman" w:hAnsi="Times New Roman" w:cs="Times New Roman"/>
          <w:sz w:val="24"/>
          <w:szCs w:val="24"/>
        </w:rPr>
        <w:t xml:space="preserve">through all the six years. </w:t>
      </w:r>
      <w:r w:rsidR="004131C7">
        <w:rPr>
          <w:rFonts w:ascii="Times New Roman" w:hAnsi="Times New Roman" w:cs="Times New Roman"/>
          <w:sz w:val="24"/>
          <w:szCs w:val="24"/>
        </w:rPr>
        <w:t xml:space="preserve">During 2012 and 2013, the degree of increase was much stronger than it was in 2014 and 2015 and again in 2016 and 2017 the gap between Conventional and Islamic banks in terms of </w:t>
      </w:r>
      <w:r w:rsidR="00726C8C">
        <w:rPr>
          <w:rFonts w:ascii="Times New Roman" w:hAnsi="Times New Roman" w:cs="Times New Roman"/>
          <w:sz w:val="24"/>
          <w:szCs w:val="24"/>
        </w:rPr>
        <w:t xml:space="preserve">the scale of debt to equity ratio. </w:t>
      </w:r>
      <w:r w:rsidR="0021465F">
        <w:rPr>
          <w:rFonts w:ascii="Times New Roman" w:hAnsi="Times New Roman" w:cs="Times New Roman"/>
          <w:sz w:val="24"/>
          <w:szCs w:val="24"/>
        </w:rPr>
        <w:t xml:space="preserve">As opined by Gallo (2015), high debt to equity ratio is a signalling factor of financial </w:t>
      </w:r>
      <w:r w:rsidR="00FC2C42">
        <w:rPr>
          <w:rFonts w:ascii="Times New Roman" w:hAnsi="Times New Roman" w:cs="Times New Roman"/>
          <w:sz w:val="24"/>
          <w:szCs w:val="24"/>
        </w:rPr>
        <w:t xml:space="preserve">distress of </w:t>
      </w:r>
      <w:r w:rsidR="00FC2C42">
        <w:rPr>
          <w:rFonts w:ascii="Times New Roman" w:hAnsi="Times New Roman" w:cs="Times New Roman"/>
          <w:sz w:val="24"/>
          <w:szCs w:val="24"/>
        </w:rPr>
        <w:lastRenderedPageBreak/>
        <w:t>a bank and the lower the ratio the more a bank rely on the shareholder’s equity fo</w:t>
      </w:r>
      <w:r w:rsidR="00B50819">
        <w:rPr>
          <w:rFonts w:ascii="Times New Roman" w:hAnsi="Times New Roman" w:cs="Times New Roman"/>
          <w:sz w:val="24"/>
          <w:szCs w:val="24"/>
        </w:rPr>
        <w:t xml:space="preserve">r financial purpose like loans, credits and all the other forms of investments. </w:t>
      </w:r>
    </w:p>
    <w:p w:rsidR="00F9062C" w:rsidRPr="007E7258" w:rsidRDefault="00F9062C" w:rsidP="007E7258">
      <w:pPr>
        <w:pStyle w:val="Heading2"/>
      </w:pPr>
      <w:bookmarkStart w:id="96" w:name="_Toc2075056"/>
      <w:r w:rsidRPr="007E7258">
        <w:t>Capital Adequacy</w:t>
      </w:r>
      <w:bookmarkEnd w:id="96"/>
    </w:p>
    <w:p w:rsidR="00A46188" w:rsidRDefault="004C313E" w:rsidP="00291891">
      <w:pPr>
        <w:spacing w:line="480" w:lineRule="auto"/>
        <w:ind w:firstLine="720"/>
        <w:rPr>
          <w:rFonts w:ascii="Times New Roman" w:hAnsi="Times New Roman" w:cs="Times New Roman"/>
          <w:sz w:val="24"/>
          <w:szCs w:val="24"/>
        </w:rPr>
      </w:pPr>
      <w:r>
        <w:rPr>
          <w:rFonts w:ascii="Times New Roman" w:hAnsi="Times New Roman" w:cs="Times New Roman"/>
          <w:sz w:val="24"/>
          <w:szCs w:val="24"/>
        </w:rPr>
        <w:t>Capital adequacy, according to Musyoka (</w:t>
      </w:r>
      <w:r w:rsidRPr="0058028B">
        <w:rPr>
          <w:rFonts w:ascii="Times New Roman" w:hAnsi="Times New Roman" w:cs="Times New Roman"/>
          <w:sz w:val="24"/>
          <w:szCs w:val="24"/>
        </w:rPr>
        <w:t>2017</w:t>
      </w:r>
      <w:r>
        <w:rPr>
          <w:rFonts w:ascii="Times New Roman" w:hAnsi="Times New Roman" w:cs="Times New Roman"/>
          <w:sz w:val="24"/>
          <w:szCs w:val="24"/>
        </w:rPr>
        <w:t xml:space="preserve">), anchoring three sets of Basel records of any bank expressed in the form of a ratio of the total capital of a bank to its </w:t>
      </w:r>
      <w:r w:rsidR="00EB1DFB">
        <w:rPr>
          <w:rFonts w:ascii="Times New Roman" w:hAnsi="Times New Roman" w:cs="Times New Roman"/>
          <w:sz w:val="24"/>
          <w:szCs w:val="24"/>
        </w:rPr>
        <w:t xml:space="preserve">risk weighted assets, reflect </w:t>
      </w:r>
      <w:r w:rsidR="00171535">
        <w:rPr>
          <w:rFonts w:ascii="Times New Roman" w:hAnsi="Times New Roman" w:cs="Times New Roman"/>
          <w:sz w:val="24"/>
          <w:szCs w:val="24"/>
        </w:rPr>
        <w:t xml:space="preserve">the scope of financing to the individual customers or business organisations in terms of credits and loans. </w:t>
      </w:r>
      <w:r w:rsidR="00DC0A9A">
        <w:rPr>
          <w:rFonts w:ascii="Times New Roman" w:hAnsi="Times New Roman" w:cs="Times New Roman"/>
          <w:sz w:val="24"/>
          <w:szCs w:val="24"/>
        </w:rPr>
        <w:t xml:space="preserve">Table 7 and 8 depict </w:t>
      </w:r>
      <w:r w:rsidR="000F5EA8">
        <w:rPr>
          <w:rFonts w:ascii="Times New Roman" w:hAnsi="Times New Roman" w:cs="Times New Roman"/>
          <w:sz w:val="24"/>
          <w:szCs w:val="24"/>
        </w:rPr>
        <w:t xml:space="preserve">the capital adequacy of conventional and Islamic </w:t>
      </w:r>
      <w:r w:rsidR="004B5301">
        <w:rPr>
          <w:rFonts w:ascii="Times New Roman" w:hAnsi="Times New Roman" w:cs="Times New Roman"/>
          <w:sz w:val="24"/>
          <w:szCs w:val="24"/>
        </w:rPr>
        <w:t xml:space="preserve">banks respectively by taking the ratio of sum of Tier 1 and Tier 2 capital to the Risk Weighted Assets </w:t>
      </w:r>
      <w:r w:rsidR="00596D28">
        <w:rPr>
          <w:rFonts w:ascii="Times New Roman" w:hAnsi="Times New Roman" w:cs="Times New Roman"/>
          <w:sz w:val="24"/>
          <w:szCs w:val="24"/>
        </w:rPr>
        <w:t xml:space="preserve">during years 2012 to 2017. </w:t>
      </w:r>
      <w:r w:rsidR="00A46188">
        <w:rPr>
          <w:rFonts w:ascii="Times New Roman" w:hAnsi="Times New Roman" w:cs="Times New Roman"/>
          <w:sz w:val="24"/>
          <w:szCs w:val="24"/>
        </w:rPr>
        <w:t>Among the six conventional banks Barclays PLC hold the</w:t>
      </w:r>
      <w:r w:rsidR="00F76ECC">
        <w:rPr>
          <w:rFonts w:ascii="Times New Roman" w:hAnsi="Times New Roman" w:cs="Times New Roman"/>
          <w:sz w:val="24"/>
          <w:szCs w:val="24"/>
        </w:rPr>
        <w:t xml:space="preserve"> highest capital adequacy ratio; from 2012 to 2013 it raised by 3%, in 2014 it jumped by 9%, from 2015 to 2017 the rate of increase</w:t>
      </w:r>
      <w:r w:rsidR="00514D69">
        <w:rPr>
          <w:rFonts w:ascii="Times New Roman" w:hAnsi="Times New Roman" w:cs="Times New Roman"/>
          <w:sz w:val="24"/>
          <w:szCs w:val="24"/>
        </w:rPr>
        <w:t xml:space="preserve"> in ratio</w:t>
      </w:r>
      <w:r w:rsidR="00F76ECC">
        <w:rPr>
          <w:rFonts w:ascii="Times New Roman" w:hAnsi="Times New Roman" w:cs="Times New Roman"/>
          <w:sz w:val="24"/>
          <w:szCs w:val="24"/>
        </w:rPr>
        <w:t xml:space="preserve"> reached stability (by 2%). </w:t>
      </w:r>
      <w:r w:rsidR="009C6A72">
        <w:rPr>
          <w:rFonts w:ascii="Times New Roman" w:hAnsi="Times New Roman" w:cs="Times New Roman"/>
          <w:sz w:val="24"/>
          <w:szCs w:val="24"/>
        </w:rPr>
        <w:t xml:space="preserve">In 2016, </w:t>
      </w:r>
      <w:r w:rsidR="00CF092F">
        <w:rPr>
          <w:rFonts w:ascii="Times New Roman" w:hAnsi="Times New Roman" w:cs="Times New Roman"/>
          <w:sz w:val="24"/>
          <w:szCs w:val="24"/>
        </w:rPr>
        <w:t xml:space="preserve">Axis Bank Ltd. </w:t>
      </w:r>
      <w:r w:rsidR="00E91350">
        <w:rPr>
          <w:rFonts w:ascii="Times New Roman" w:hAnsi="Times New Roman" w:cs="Times New Roman"/>
          <w:sz w:val="24"/>
          <w:szCs w:val="24"/>
        </w:rPr>
        <w:t xml:space="preserve">Witnessed a 10% increase in the capital adequacy ratio </w:t>
      </w:r>
      <w:r w:rsidR="00062081">
        <w:rPr>
          <w:rFonts w:ascii="Times New Roman" w:hAnsi="Times New Roman" w:cs="Times New Roman"/>
          <w:sz w:val="24"/>
          <w:szCs w:val="24"/>
        </w:rPr>
        <w:t xml:space="preserve">(CAR) </w:t>
      </w:r>
      <w:r w:rsidR="00E91350">
        <w:rPr>
          <w:rFonts w:ascii="Times New Roman" w:hAnsi="Times New Roman" w:cs="Times New Roman"/>
          <w:sz w:val="24"/>
          <w:szCs w:val="24"/>
        </w:rPr>
        <w:t xml:space="preserve">after surviving a 1% loss in </w:t>
      </w:r>
      <w:r w:rsidR="00062081">
        <w:rPr>
          <w:rFonts w:ascii="Times New Roman" w:hAnsi="Times New Roman" w:cs="Times New Roman"/>
          <w:sz w:val="24"/>
          <w:szCs w:val="24"/>
        </w:rPr>
        <w:t xml:space="preserve">2015. This higher percentage of CAR might </w:t>
      </w:r>
      <w:r w:rsidR="0090319D">
        <w:rPr>
          <w:rFonts w:ascii="Times New Roman" w:hAnsi="Times New Roman" w:cs="Times New Roman"/>
          <w:sz w:val="24"/>
          <w:szCs w:val="24"/>
        </w:rPr>
        <w:t xml:space="preserve">have </w:t>
      </w:r>
      <w:r w:rsidR="00892945">
        <w:rPr>
          <w:rFonts w:ascii="Times New Roman" w:hAnsi="Times New Roman" w:cs="Times New Roman"/>
          <w:sz w:val="24"/>
          <w:szCs w:val="24"/>
        </w:rPr>
        <w:t>generated due</w:t>
      </w:r>
      <w:r w:rsidR="009F4702">
        <w:rPr>
          <w:rFonts w:ascii="Times New Roman" w:hAnsi="Times New Roman" w:cs="Times New Roman"/>
          <w:sz w:val="24"/>
          <w:szCs w:val="24"/>
        </w:rPr>
        <w:t xml:space="preserve"> to various reasons, like </w:t>
      </w:r>
      <w:r w:rsidR="0090319D">
        <w:rPr>
          <w:rFonts w:ascii="Times New Roman" w:hAnsi="Times New Roman" w:cs="Times New Roman"/>
          <w:sz w:val="24"/>
          <w:szCs w:val="24"/>
        </w:rPr>
        <w:t>generous amount of capital availability or less amount of risk weighted assets that brought higher re</w:t>
      </w:r>
      <w:r w:rsidR="00B76A82">
        <w:rPr>
          <w:rFonts w:ascii="Times New Roman" w:hAnsi="Times New Roman" w:cs="Times New Roman"/>
          <w:sz w:val="24"/>
          <w:szCs w:val="24"/>
        </w:rPr>
        <w:t xml:space="preserve">turns. The resulting outcome of having </w:t>
      </w:r>
      <w:r w:rsidR="00E839F9">
        <w:rPr>
          <w:rFonts w:ascii="Times New Roman" w:hAnsi="Times New Roman" w:cs="Times New Roman"/>
          <w:sz w:val="24"/>
          <w:szCs w:val="24"/>
        </w:rPr>
        <w:t>higher capital ratio indicate</w:t>
      </w:r>
      <w:r w:rsidR="00BE52BC">
        <w:rPr>
          <w:rFonts w:ascii="Times New Roman" w:hAnsi="Times New Roman" w:cs="Times New Roman"/>
          <w:sz w:val="24"/>
          <w:szCs w:val="24"/>
        </w:rPr>
        <w:t>s</w:t>
      </w:r>
      <w:r w:rsidR="00E839F9">
        <w:rPr>
          <w:rFonts w:ascii="Times New Roman" w:hAnsi="Times New Roman" w:cs="Times New Roman"/>
          <w:sz w:val="24"/>
          <w:szCs w:val="24"/>
        </w:rPr>
        <w:t xml:space="preserve"> that a bank is less likely to become insolvent in situations of unexpected loss occurring. </w:t>
      </w:r>
    </w:p>
    <w:p w:rsidR="007C2343" w:rsidRDefault="00B6450E" w:rsidP="00291891">
      <w:pPr>
        <w:spacing w:line="480" w:lineRule="auto"/>
        <w:ind w:firstLine="720"/>
        <w:rPr>
          <w:rFonts w:ascii="Times New Roman" w:hAnsi="Times New Roman" w:cs="Times New Roman"/>
          <w:sz w:val="24"/>
          <w:szCs w:val="24"/>
        </w:rPr>
      </w:pPr>
      <w:r>
        <w:rPr>
          <w:rFonts w:ascii="Times New Roman" w:hAnsi="Times New Roman" w:cs="Times New Roman"/>
          <w:sz w:val="24"/>
          <w:szCs w:val="24"/>
        </w:rPr>
        <w:t>On the other hand, all</w:t>
      </w:r>
      <w:r w:rsidR="00EC6A8F">
        <w:rPr>
          <w:rFonts w:ascii="Times New Roman" w:hAnsi="Times New Roman" w:cs="Times New Roman"/>
          <w:sz w:val="24"/>
          <w:szCs w:val="24"/>
        </w:rPr>
        <w:t xml:space="preserve"> the six Islamic banks had almost the same</w:t>
      </w:r>
      <w:r w:rsidR="005C77D2">
        <w:rPr>
          <w:rFonts w:ascii="Times New Roman" w:hAnsi="Times New Roman" w:cs="Times New Roman"/>
          <w:sz w:val="24"/>
          <w:szCs w:val="24"/>
        </w:rPr>
        <w:t xml:space="preserve"> pace growth during the years 2012 to 2017, except HSBC Amanah Berhard, which showed a significant change in the CAR between 2012 and 2014; from 2012 this ratio rose by 13% and in 2014 it dropped down by 10%.</w:t>
      </w:r>
      <w:r w:rsidR="00166096">
        <w:rPr>
          <w:rFonts w:ascii="Times New Roman" w:hAnsi="Times New Roman" w:cs="Times New Roman"/>
          <w:sz w:val="24"/>
          <w:szCs w:val="24"/>
        </w:rPr>
        <w:t xml:space="preserve"> Figure 5 </w:t>
      </w:r>
      <w:r w:rsidR="00453843">
        <w:rPr>
          <w:rFonts w:ascii="Times New Roman" w:hAnsi="Times New Roman" w:cs="Times New Roman"/>
          <w:sz w:val="24"/>
          <w:szCs w:val="24"/>
        </w:rPr>
        <w:t>portra</w:t>
      </w:r>
      <w:r w:rsidR="007C2343">
        <w:rPr>
          <w:rFonts w:ascii="Times New Roman" w:hAnsi="Times New Roman" w:cs="Times New Roman"/>
          <w:sz w:val="24"/>
          <w:szCs w:val="24"/>
        </w:rPr>
        <w:t xml:space="preserve">yed the capital adequacy </w:t>
      </w:r>
      <w:r w:rsidR="00CB10A5">
        <w:rPr>
          <w:rFonts w:ascii="Times New Roman" w:hAnsi="Times New Roman" w:cs="Times New Roman"/>
          <w:sz w:val="24"/>
          <w:szCs w:val="24"/>
        </w:rPr>
        <w:t>of C</w:t>
      </w:r>
      <w:r w:rsidR="0006091D">
        <w:rPr>
          <w:rFonts w:ascii="Times New Roman" w:hAnsi="Times New Roman" w:cs="Times New Roman"/>
          <w:sz w:val="24"/>
          <w:szCs w:val="24"/>
        </w:rPr>
        <w:t xml:space="preserve">onventional and Islamic banks </w:t>
      </w:r>
      <w:r w:rsidR="00CB10A5">
        <w:rPr>
          <w:rFonts w:ascii="Times New Roman" w:hAnsi="Times New Roman" w:cs="Times New Roman"/>
          <w:sz w:val="24"/>
          <w:szCs w:val="24"/>
        </w:rPr>
        <w:t>by taking the average of calculated capital adequacy</w:t>
      </w:r>
      <w:r w:rsidR="000C5BF9">
        <w:rPr>
          <w:rFonts w:ascii="Times New Roman" w:hAnsi="Times New Roman" w:cs="Times New Roman"/>
          <w:sz w:val="24"/>
          <w:szCs w:val="24"/>
        </w:rPr>
        <w:t xml:space="preserve"> in each </w:t>
      </w:r>
      <w:r w:rsidR="00892945">
        <w:rPr>
          <w:rFonts w:ascii="Times New Roman" w:hAnsi="Times New Roman" w:cs="Times New Roman"/>
          <w:sz w:val="24"/>
          <w:szCs w:val="24"/>
        </w:rPr>
        <w:t>year to</w:t>
      </w:r>
      <w:r w:rsidR="000C5BF9">
        <w:rPr>
          <w:rFonts w:ascii="Times New Roman" w:hAnsi="Times New Roman" w:cs="Times New Roman"/>
          <w:sz w:val="24"/>
          <w:szCs w:val="24"/>
        </w:rPr>
        <w:t xml:space="preserve"> show the comparison between the two types of banks. As it can be seen </w:t>
      </w:r>
      <w:r w:rsidR="00EF079C">
        <w:rPr>
          <w:rFonts w:ascii="Times New Roman" w:hAnsi="Times New Roman" w:cs="Times New Roman"/>
          <w:sz w:val="24"/>
          <w:szCs w:val="24"/>
        </w:rPr>
        <w:t xml:space="preserve">from the figure, the growth </w:t>
      </w:r>
      <w:r w:rsidR="00892945">
        <w:rPr>
          <w:rFonts w:ascii="Times New Roman" w:hAnsi="Times New Roman" w:cs="Times New Roman"/>
          <w:sz w:val="24"/>
          <w:szCs w:val="24"/>
        </w:rPr>
        <w:t>of CAR</w:t>
      </w:r>
      <w:r w:rsidR="00EF079C">
        <w:rPr>
          <w:rFonts w:ascii="Times New Roman" w:hAnsi="Times New Roman" w:cs="Times New Roman"/>
          <w:sz w:val="24"/>
          <w:szCs w:val="24"/>
        </w:rPr>
        <w:t xml:space="preserve"> of Conventional banks is significantly visible (shown by the deep blue line) while for the Islamic Banks </w:t>
      </w:r>
      <w:r w:rsidR="0096664A">
        <w:rPr>
          <w:rFonts w:ascii="Times New Roman" w:hAnsi="Times New Roman" w:cs="Times New Roman"/>
          <w:sz w:val="24"/>
          <w:szCs w:val="24"/>
        </w:rPr>
        <w:t xml:space="preserve">the fluctuation of the line is almost </w:t>
      </w:r>
      <w:r w:rsidR="00241F38">
        <w:rPr>
          <w:rFonts w:ascii="Times New Roman" w:hAnsi="Times New Roman" w:cs="Times New Roman"/>
          <w:sz w:val="24"/>
          <w:szCs w:val="24"/>
        </w:rPr>
        <w:t xml:space="preserve">stable (shown by the light blue line). </w:t>
      </w:r>
      <w:r w:rsidR="00BE52BC">
        <w:rPr>
          <w:rFonts w:ascii="Times New Roman" w:hAnsi="Times New Roman" w:cs="Times New Roman"/>
          <w:sz w:val="24"/>
          <w:szCs w:val="24"/>
        </w:rPr>
        <w:t xml:space="preserve">Both the figure 5 and table calculation implicate that the conventional banks enjoyed a reasonable growth of CAR compared to the Islamic banks due to their access to capital sources that facilitate availability of liquid assets and their worldwide recognition in terms of considerable financial performances attract shareholders to invest more into these commercial banks. </w:t>
      </w:r>
    </w:p>
    <w:p w:rsidR="00BE52BC" w:rsidRPr="007E7258" w:rsidRDefault="00BE52BC" w:rsidP="007E7258">
      <w:pPr>
        <w:pStyle w:val="Heading2"/>
      </w:pPr>
      <w:bookmarkStart w:id="97" w:name="_Toc2075057"/>
      <w:r w:rsidRPr="007E7258">
        <w:lastRenderedPageBreak/>
        <w:t>Return to Equity</w:t>
      </w:r>
      <w:bookmarkEnd w:id="97"/>
    </w:p>
    <w:p w:rsidR="00291891" w:rsidRDefault="000155A6" w:rsidP="0029189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only dependent ratio in this research paper is Return to Equity (ROE) based on which the comparison between conventional and Islamic banks have been done. </w:t>
      </w:r>
      <w:r w:rsidR="00C0515E">
        <w:rPr>
          <w:rFonts w:ascii="Times New Roman" w:hAnsi="Times New Roman" w:cs="Times New Roman"/>
          <w:sz w:val="24"/>
          <w:szCs w:val="24"/>
        </w:rPr>
        <w:t xml:space="preserve">The data required to calculate ROE </w:t>
      </w:r>
      <w:r w:rsidR="00137F93">
        <w:rPr>
          <w:rFonts w:ascii="Times New Roman" w:hAnsi="Times New Roman" w:cs="Times New Roman"/>
          <w:sz w:val="24"/>
          <w:szCs w:val="24"/>
        </w:rPr>
        <w:t xml:space="preserve">are the net income after deducting all the costs related to operating expenses, taxes, paying dividends to shareholders and other costs related to banking actions and shareholder’s </w:t>
      </w:r>
      <w:r w:rsidR="00892945">
        <w:rPr>
          <w:rFonts w:ascii="Times New Roman" w:hAnsi="Times New Roman" w:cs="Times New Roman"/>
          <w:sz w:val="24"/>
          <w:szCs w:val="24"/>
        </w:rPr>
        <w:t>equity. Table</w:t>
      </w:r>
      <w:r w:rsidR="0065770F">
        <w:rPr>
          <w:rFonts w:ascii="Times New Roman" w:hAnsi="Times New Roman" w:cs="Times New Roman"/>
          <w:sz w:val="24"/>
          <w:szCs w:val="24"/>
        </w:rPr>
        <w:t xml:space="preserve"> 9 and 10 </w:t>
      </w:r>
      <w:r w:rsidR="00940741">
        <w:rPr>
          <w:rFonts w:ascii="Times New Roman" w:hAnsi="Times New Roman" w:cs="Times New Roman"/>
          <w:sz w:val="24"/>
          <w:szCs w:val="24"/>
        </w:rPr>
        <w:t>revealed</w:t>
      </w:r>
      <w:r w:rsidR="002E2AC6">
        <w:rPr>
          <w:rFonts w:ascii="Times New Roman" w:hAnsi="Times New Roman" w:cs="Times New Roman"/>
          <w:sz w:val="24"/>
          <w:szCs w:val="24"/>
        </w:rPr>
        <w:t xml:space="preserve"> the data calculation of</w:t>
      </w:r>
      <w:r w:rsidR="00892945">
        <w:rPr>
          <w:rFonts w:ascii="Times New Roman" w:hAnsi="Times New Roman" w:cs="Times New Roman"/>
          <w:sz w:val="24"/>
          <w:szCs w:val="24"/>
        </w:rPr>
        <w:t xml:space="preserve"> </w:t>
      </w:r>
      <w:r w:rsidR="00940741">
        <w:rPr>
          <w:rFonts w:ascii="Times New Roman" w:hAnsi="Times New Roman" w:cs="Times New Roman"/>
          <w:sz w:val="24"/>
          <w:szCs w:val="24"/>
        </w:rPr>
        <w:t xml:space="preserve">ROE </w:t>
      </w:r>
      <w:r w:rsidR="002E2AC6">
        <w:rPr>
          <w:rFonts w:ascii="Times New Roman" w:hAnsi="Times New Roman" w:cs="Times New Roman"/>
          <w:sz w:val="24"/>
          <w:szCs w:val="24"/>
        </w:rPr>
        <w:t xml:space="preserve">of both types of banks. It </w:t>
      </w:r>
      <w:r w:rsidR="00926F6A">
        <w:rPr>
          <w:rFonts w:ascii="Times New Roman" w:hAnsi="Times New Roman" w:cs="Times New Roman"/>
          <w:sz w:val="24"/>
          <w:szCs w:val="24"/>
        </w:rPr>
        <w:t xml:space="preserve">can be seen from </w:t>
      </w:r>
      <w:r w:rsidR="00271D54">
        <w:rPr>
          <w:rFonts w:ascii="Times New Roman" w:hAnsi="Times New Roman" w:cs="Times New Roman"/>
          <w:sz w:val="24"/>
          <w:szCs w:val="24"/>
        </w:rPr>
        <w:t xml:space="preserve">both the table </w:t>
      </w:r>
      <w:r w:rsidR="00926F6A">
        <w:rPr>
          <w:rFonts w:ascii="Times New Roman" w:hAnsi="Times New Roman" w:cs="Times New Roman"/>
          <w:sz w:val="24"/>
          <w:szCs w:val="24"/>
        </w:rPr>
        <w:t>that the fluctuation</w:t>
      </w:r>
      <w:r w:rsidR="00271D54">
        <w:rPr>
          <w:rFonts w:ascii="Times New Roman" w:hAnsi="Times New Roman" w:cs="Times New Roman"/>
          <w:sz w:val="24"/>
          <w:szCs w:val="24"/>
        </w:rPr>
        <w:t>s</w:t>
      </w:r>
      <w:r w:rsidR="00926F6A">
        <w:rPr>
          <w:rFonts w:ascii="Times New Roman" w:hAnsi="Times New Roman" w:cs="Times New Roman"/>
          <w:sz w:val="24"/>
          <w:szCs w:val="24"/>
        </w:rPr>
        <w:t xml:space="preserve"> in the ROE of conventional </w:t>
      </w:r>
      <w:r w:rsidR="00271D54">
        <w:rPr>
          <w:rFonts w:ascii="Times New Roman" w:hAnsi="Times New Roman" w:cs="Times New Roman"/>
          <w:sz w:val="24"/>
          <w:szCs w:val="24"/>
        </w:rPr>
        <w:t xml:space="preserve">and Islamic </w:t>
      </w:r>
      <w:r w:rsidR="00926F6A">
        <w:rPr>
          <w:rFonts w:ascii="Times New Roman" w:hAnsi="Times New Roman" w:cs="Times New Roman"/>
          <w:sz w:val="24"/>
          <w:szCs w:val="24"/>
        </w:rPr>
        <w:t xml:space="preserve">banks </w:t>
      </w:r>
      <w:r w:rsidR="00271D54">
        <w:rPr>
          <w:rFonts w:ascii="Times New Roman" w:hAnsi="Times New Roman" w:cs="Times New Roman"/>
          <w:sz w:val="24"/>
          <w:szCs w:val="24"/>
        </w:rPr>
        <w:t xml:space="preserve">are significantly noticeable in the six years duration of 2012 to 2017. </w:t>
      </w:r>
      <w:r w:rsidR="001109B7">
        <w:rPr>
          <w:rFonts w:ascii="Times New Roman" w:hAnsi="Times New Roman" w:cs="Times New Roman"/>
          <w:sz w:val="24"/>
          <w:szCs w:val="24"/>
        </w:rPr>
        <w:t>For conventional banks, the fluctuations have been observed less on yearly basis compared to the Islamic banks. For example, Bahrain Islamic bank showed the highest fluctuation between 2012 and 2014</w:t>
      </w:r>
      <w:r w:rsidR="001B7631">
        <w:rPr>
          <w:rFonts w:ascii="Times New Roman" w:hAnsi="Times New Roman" w:cs="Times New Roman"/>
          <w:sz w:val="24"/>
          <w:szCs w:val="24"/>
        </w:rPr>
        <w:t>, an above 50% fluctuation generated from in 2013 and 2014 while the highest deg</w:t>
      </w:r>
      <w:r w:rsidR="00266D96">
        <w:rPr>
          <w:rFonts w:ascii="Times New Roman" w:hAnsi="Times New Roman" w:cs="Times New Roman"/>
          <w:sz w:val="24"/>
          <w:szCs w:val="24"/>
        </w:rPr>
        <w:t xml:space="preserve">ree of fluctuation was 9% captured by Axis bank Lt. among the six conventional </w:t>
      </w:r>
      <w:r w:rsidR="00892945">
        <w:rPr>
          <w:rFonts w:ascii="Times New Roman" w:hAnsi="Times New Roman" w:cs="Times New Roman"/>
          <w:sz w:val="24"/>
          <w:szCs w:val="24"/>
        </w:rPr>
        <w:t>banks. Since</w:t>
      </w:r>
      <w:r w:rsidR="002949B5">
        <w:rPr>
          <w:rFonts w:ascii="Times New Roman" w:hAnsi="Times New Roman" w:cs="Times New Roman"/>
          <w:sz w:val="24"/>
          <w:szCs w:val="24"/>
        </w:rPr>
        <w:t xml:space="preserve">, </w:t>
      </w:r>
      <w:r w:rsidR="0065770F">
        <w:rPr>
          <w:rFonts w:ascii="Times New Roman" w:hAnsi="Times New Roman" w:cs="Times New Roman"/>
          <w:sz w:val="24"/>
          <w:szCs w:val="24"/>
        </w:rPr>
        <w:t xml:space="preserve">ROE </w:t>
      </w:r>
      <w:r w:rsidR="002949B5">
        <w:rPr>
          <w:rFonts w:ascii="Times New Roman" w:hAnsi="Times New Roman" w:cs="Times New Roman"/>
          <w:sz w:val="24"/>
          <w:szCs w:val="24"/>
        </w:rPr>
        <w:t xml:space="preserve">shows how well a bank </w:t>
      </w:r>
      <w:r w:rsidR="00137F93">
        <w:rPr>
          <w:rFonts w:ascii="Times New Roman" w:hAnsi="Times New Roman" w:cs="Times New Roman"/>
          <w:sz w:val="24"/>
          <w:szCs w:val="24"/>
        </w:rPr>
        <w:t>utilise</w:t>
      </w:r>
      <w:r w:rsidR="002949B5">
        <w:rPr>
          <w:rFonts w:ascii="Times New Roman" w:hAnsi="Times New Roman" w:cs="Times New Roman"/>
          <w:sz w:val="24"/>
          <w:szCs w:val="24"/>
        </w:rPr>
        <w:t>s</w:t>
      </w:r>
      <w:r w:rsidR="00137F93">
        <w:rPr>
          <w:rFonts w:ascii="Times New Roman" w:hAnsi="Times New Roman" w:cs="Times New Roman"/>
          <w:sz w:val="24"/>
          <w:szCs w:val="24"/>
        </w:rPr>
        <w:t xml:space="preserve"> its </w:t>
      </w:r>
      <w:r w:rsidR="0065770F">
        <w:rPr>
          <w:rFonts w:ascii="Times New Roman" w:hAnsi="Times New Roman" w:cs="Times New Roman"/>
          <w:sz w:val="24"/>
          <w:szCs w:val="24"/>
        </w:rPr>
        <w:t xml:space="preserve">liabilities in terms of shareholder’s capital by investing them to generate </w:t>
      </w:r>
      <w:r w:rsidR="002949B5">
        <w:rPr>
          <w:rFonts w:ascii="Times New Roman" w:hAnsi="Times New Roman" w:cs="Times New Roman"/>
          <w:sz w:val="24"/>
          <w:szCs w:val="24"/>
        </w:rPr>
        <w:t>return which in turn assesses the profitabi</w:t>
      </w:r>
      <w:r w:rsidR="007F0BCE">
        <w:rPr>
          <w:rFonts w:ascii="Times New Roman" w:hAnsi="Times New Roman" w:cs="Times New Roman"/>
          <w:sz w:val="24"/>
          <w:szCs w:val="24"/>
        </w:rPr>
        <w:t xml:space="preserve">lity of a bank, the fluctuations </w:t>
      </w:r>
      <w:r w:rsidR="002949B5">
        <w:rPr>
          <w:rFonts w:ascii="Times New Roman" w:hAnsi="Times New Roman" w:cs="Times New Roman"/>
          <w:sz w:val="24"/>
          <w:szCs w:val="24"/>
        </w:rPr>
        <w:t xml:space="preserve">reflected deviation in financial performances </w:t>
      </w:r>
      <w:r w:rsidR="00D43C1B">
        <w:rPr>
          <w:rFonts w:ascii="Times New Roman" w:hAnsi="Times New Roman" w:cs="Times New Roman"/>
          <w:sz w:val="24"/>
          <w:szCs w:val="24"/>
        </w:rPr>
        <w:t xml:space="preserve">measured by the banks due to variations in policy implementations. </w:t>
      </w:r>
    </w:p>
    <w:p w:rsidR="007C2343" w:rsidRPr="00766945" w:rsidRDefault="00187178" w:rsidP="00291891">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this context, Norman (</w:t>
      </w:r>
      <w:r w:rsidRPr="0058028B">
        <w:rPr>
          <w:rFonts w:ascii="Times New Roman" w:hAnsi="Times New Roman" w:cs="Times New Roman"/>
          <w:sz w:val="24"/>
          <w:szCs w:val="24"/>
        </w:rPr>
        <w:t>2017</w:t>
      </w:r>
      <w:r>
        <w:rPr>
          <w:rFonts w:ascii="Times New Roman" w:hAnsi="Times New Roman" w:cs="Times New Roman"/>
          <w:sz w:val="24"/>
          <w:szCs w:val="24"/>
        </w:rPr>
        <w:t xml:space="preserve">) suggested that, since </w:t>
      </w:r>
      <w:r w:rsidR="00D95663">
        <w:rPr>
          <w:rFonts w:ascii="Times New Roman" w:hAnsi="Times New Roman" w:cs="Times New Roman"/>
          <w:sz w:val="24"/>
          <w:szCs w:val="24"/>
        </w:rPr>
        <w:t xml:space="preserve">both </w:t>
      </w:r>
      <w:r>
        <w:rPr>
          <w:rFonts w:ascii="Times New Roman" w:hAnsi="Times New Roman" w:cs="Times New Roman"/>
          <w:sz w:val="24"/>
          <w:szCs w:val="24"/>
        </w:rPr>
        <w:t xml:space="preserve">the underlying profitability of a bank’s assets </w:t>
      </w:r>
      <w:r w:rsidR="00D95663">
        <w:rPr>
          <w:rFonts w:ascii="Times New Roman" w:hAnsi="Times New Roman" w:cs="Times New Roman"/>
          <w:sz w:val="24"/>
          <w:szCs w:val="24"/>
        </w:rPr>
        <w:t xml:space="preserve">and the extent to which these assets are being leveraged reflected by the ROE, greater fluctuation could lead to driving the shareholders away from investing into </w:t>
      </w:r>
      <w:r w:rsidR="00F43B60">
        <w:rPr>
          <w:rFonts w:ascii="Times New Roman" w:hAnsi="Times New Roman" w:cs="Times New Roman"/>
          <w:sz w:val="24"/>
          <w:szCs w:val="24"/>
        </w:rPr>
        <w:t xml:space="preserve">these </w:t>
      </w:r>
      <w:r w:rsidR="00D95663">
        <w:rPr>
          <w:rFonts w:ascii="Times New Roman" w:hAnsi="Times New Roman" w:cs="Times New Roman"/>
          <w:sz w:val="24"/>
          <w:szCs w:val="24"/>
        </w:rPr>
        <w:t xml:space="preserve">banks. </w:t>
      </w:r>
      <w:r w:rsidR="00A34BA5">
        <w:rPr>
          <w:rFonts w:ascii="Times New Roman" w:hAnsi="Times New Roman" w:cs="Times New Roman"/>
          <w:sz w:val="24"/>
          <w:szCs w:val="24"/>
        </w:rPr>
        <w:t xml:space="preserve">But also form an alternative point of view </w:t>
      </w:r>
      <w:r w:rsidR="007B3336">
        <w:rPr>
          <w:rFonts w:ascii="Times New Roman" w:hAnsi="Times New Roman" w:cs="Times New Roman"/>
          <w:sz w:val="24"/>
          <w:szCs w:val="24"/>
        </w:rPr>
        <w:t>this higher degree</w:t>
      </w:r>
      <w:r w:rsidR="00A34BA5">
        <w:rPr>
          <w:rFonts w:ascii="Times New Roman" w:hAnsi="Times New Roman" w:cs="Times New Roman"/>
          <w:sz w:val="24"/>
          <w:szCs w:val="24"/>
        </w:rPr>
        <w:t xml:space="preserve"> of fluctuations in Islamic banks might have generated as they have been dealing with greater risks compared to the conventional banks. </w:t>
      </w:r>
      <w:r w:rsidR="003069A5">
        <w:rPr>
          <w:rFonts w:ascii="Times New Roman" w:hAnsi="Times New Roman" w:cs="Times New Roman"/>
          <w:sz w:val="24"/>
          <w:szCs w:val="24"/>
        </w:rPr>
        <w:t>Figure 6 revealed a strong backup for the above argument</w:t>
      </w:r>
      <w:r w:rsidR="001723A3">
        <w:rPr>
          <w:rFonts w:ascii="Times New Roman" w:hAnsi="Times New Roman" w:cs="Times New Roman"/>
          <w:sz w:val="24"/>
          <w:szCs w:val="24"/>
        </w:rPr>
        <w:t xml:space="preserve"> where greater </w:t>
      </w:r>
      <w:r w:rsidR="004A04E6">
        <w:rPr>
          <w:rFonts w:ascii="Times New Roman" w:hAnsi="Times New Roman" w:cs="Times New Roman"/>
          <w:sz w:val="24"/>
          <w:szCs w:val="24"/>
        </w:rPr>
        <w:t>degree of fluctuations has</w:t>
      </w:r>
      <w:r w:rsidR="001723A3">
        <w:rPr>
          <w:rFonts w:ascii="Times New Roman" w:hAnsi="Times New Roman" w:cs="Times New Roman"/>
          <w:sz w:val="24"/>
          <w:szCs w:val="24"/>
        </w:rPr>
        <w:t xml:space="preserve"> been observed in Islamic banks compared to the conventional ones. </w:t>
      </w:r>
    </w:p>
    <w:p w:rsidR="00255C47" w:rsidRPr="00D94681" w:rsidRDefault="00255C47">
      <w:pPr>
        <w:rPr>
          <w:rFonts w:ascii="Times New Roman" w:hAnsi="Times New Roman" w:cs="Times New Roman"/>
          <w:b/>
          <w:sz w:val="24"/>
          <w:szCs w:val="24"/>
        </w:rPr>
      </w:pPr>
      <w:r w:rsidRPr="00D94681">
        <w:rPr>
          <w:rFonts w:ascii="Times New Roman" w:hAnsi="Times New Roman" w:cs="Times New Roman"/>
          <w:b/>
          <w:sz w:val="24"/>
          <w:szCs w:val="24"/>
        </w:rPr>
        <w:t>SPSS Analysis</w:t>
      </w:r>
    </w:p>
    <w:p w:rsidR="00885A38" w:rsidRPr="007E7258" w:rsidRDefault="00885A38" w:rsidP="007E7258">
      <w:pPr>
        <w:pStyle w:val="Heading2"/>
      </w:pPr>
      <w:bookmarkStart w:id="98" w:name="_Toc2075058"/>
      <w:r w:rsidRPr="007E7258">
        <w:t>Descriptive Statistics</w:t>
      </w:r>
      <w:bookmarkEnd w:id="98"/>
    </w:p>
    <w:p w:rsidR="00CE5016" w:rsidRDefault="00CE5016" w:rsidP="0029189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statistical analysis of Conventional Bank </w:t>
      </w:r>
      <w:r w:rsidR="00517064">
        <w:rPr>
          <w:rFonts w:ascii="Times New Roman" w:hAnsi="Times New Roman" w:cs="Times New Roman"/>
          <w:sz w:val="24"/>
          <w:szCs w:val="24"/>
        </w:rPr>
        <w:t xml:space="preserve">(table 11) </w:t>
      </w:r>
      <w:r>
        <w:rPr>
          <w:rFonts w:ascii="Times New Roman" w:hAnsi="Times New Roman" w:cs="Times New Roman"/>
          <w:sz w:val="24"/>
          <w:szCs w:val="24"/>
        </w:rPr>
        <w:t xml:space="preserve">clearly shows that the range of total assets of conventional bank is highest (2407121.49) and lowest in tier 2 capitals (99802). Therefore, in case of total assets, variation is maximum. It is clearly identified that risk in case of total asset investment is higher than </w:t>
      </w:r>
      <w:r>
        <w:rPr>
          <w:rFonts w:ascii="Times New Roman" w:hAnsi="Times New Roman" w:cs="Times New Roman"/>
          <w:sz w:val="24"/>
          <w:szCs w:val="24"/>
        </w:rPr>
        <w:lastRenderedPageBreak/>
        <w:t>other variables which is 830954. Standard deviation helps to measure risk in terms of average value (</w:t>
      </w:r>
      <w:r w:rsidRPr="00315CC5">
        <w:rPr>
          <w:rFonts w:ascii="Times New Roman" w:hAnsi="Times New Roman" w:cs="Times New Roman"/>
          <w:sz w:val="24"/>
          <w:szCs w:val="24"/>
        </w:rPr>
        <w:t>Leys</w:t>
      </w:r>
      <w:r>
        <w:rPr>
          <w:rFonts w:ascii="Times New Roman" w:hAnsi="Times New Roman" w:cs="Times New Roman"/>
          <w:sz w:val="24"/>
          <w:szCs w:val="24"/>
        </w:rPr>
        <w:t xml:space="preserve"> et al. 2013). The mean value of total assets has been calculated 1674023 </w:t>
      </w:r>
      <w:r w:rsidR="00751138">
        <w:rPr>
          <w:rFonts w:ascii="Times New Roman" w:hAnsi="Times New Roman" w:cs="Times New Roman"/>
          <w:sz w:val="24"/>
          <w:szCs w:val="24"/>
        </w:rPr>
        <w:t xml:space="preserve">while the range lies between maximum (1674023+830954) = 2504977 </w:t>
      </w:r>
      <w:r w:rsidR="00A35AE3">
        <w:rPr>
          <w:rFonts w:ascii="Times New Roman" w:hAnsi="Times New Roman" w:cs="Times New Roman"/>
          <w:sz w:val="24"/>
          <w:szCs w:val="24"/>
        </w:rPr>
        <w:t xml:space="preserve">whereas </w:t>
      </w:r>
      <w:r w:rsidR="0052757A">
        <w:rPr>
          <w:rFonts w:ascii="Times New Roman" w:hAnsi="Times New Roman" w:cs="Times New Roman"/>
          <w:sz w:val="24"/>
          <w:szCs w:val="24"/>
        </w:rPr>
        <w:t xml:space="preserve">the </w:t>
      </w:r>
      <w:r>
        <w:rPr>
          <w:rFonts w:ascii="Times New Roman" w:hAnsi="Times New Roman" w:cs="Times New Roman"/>
          <w:sz w:val="24"/>
          <w:szCs w:val="24"/>
        </w:rPr>
        <w:t xml:space="preserve">minimum </w:t>
      </w:r>
      <w:r w:rsidR="0052757A">
        <w:rPr>
          <w:rFonts w:ascii="Times New Roman" w:hAnsi="Times New Roman" w:cs="Times New Roman"/>
          <w:sz w:val="24"/>
          <w:szCs w:val="24"/>
        </w:rPr>
        <w:t xml:space="preserve">is </w:t>
      </w:r>
      <w:r>
        <w:rPr>
          <w:rFonts w:ascii="Times New Roman" w:hAnsi="Times New Roman" w:cs="Times New Roman"/>
          <w:sz w:val="24"/>
          <w:szCs w:val="24"/>
        </w:rPr>
        <w:t>(1674023-830954) = 843069. The standard deviation is minimum in case of tier 2 capitals which reveals 26036. In terms of identifying symmetry and asymmetry of distribution, skewness and Kurtosis both are having great significance (Cheng</w:t>
      </w:r>
      <w:r w:rsidRPr="000A2766">
        <w:rPr>
          <w:rFonts w:ascii="Times New Roman" w:hAnsi="Times New Roman" w:cs="Times New Roman"/>
          <w:sz w:val="24"/>
          <w:szCs w:val="24"/>
        </w:rPr>
        <w:t xml:space="preserve"> and Hung</w:t>
      </w:r>
      <w:r>
        <w:rPr>
          <w:rFonts w:ascii="Times New Roman" w:hAnsi="Times New Roman" w:cs="Times New Roman"/>
          <w:sz w:val="24"/>
          <w:szCs w:val="24"/>
        </w:rPr>
        <w:t xml:space="preserve">, 2011). In the descriptive statistical analysis of conventional Bank, it is identified that in case of shareholder’s equity, operating expenses, tier 1 capital and total assets </w:t>
      </w:r>
      <w:r w:rsidR="006D26E0">
        <w:rPr>
          <w:rFonts w:ascii="Times New Roman" w:hAnsi="Times New Roman" w:cs="Times New Roman"/>
          <w:sz w:val="24"/>
          <w:szCs w:val="24"/>
        </w:rPr>
        <w:t>and</w:t>
      </w:r>
      <w:r>
        <w:rPr>
          <w:rFonts w:ascii="Times New Roman" w:hAnsi="Times New Roman" w:cs="Times New Roman"/>
          <w:sz w:val="24"/>
          <w:szCs w:val="24"/>
        </w:rPr>
        <w:t xml:space="preserve"> liabilities the distribution is symmetrical but in other cases distribution is not symmetrical. In case </w:t>
      </w:r>
      <w:r w:rsidR="008969AF">
        <w:rPr>
          <w:rFonts w:ascii="Times New Roman" w:hAnsi="Times New Roman" w:cs="Times New Roman"/>
          <w:sz w:val="24"/>
          <w:szCs w:val="24"/>
        </w:rPr>
        <w:t xml:space="preserve">of </w:t>
      </w:r>
      <w:r>
        <w:rPr>
          <w:rFonts w:ascii="Times New Roman" w:hAnsi="Times New Roman" w:cs="Times New Roman"/>
          <w:sz w:val="24"/>
          <w:szCs w:val="24"/>
        </w:rPr>
        <w:t>shareholder’s equity, operating expenses and tier 1 capital and total ass</w:t>
      </w:r>
      <w:r w:rsidR="008969AF">
        <w:rPr>
          <w:rFonts w:ascii="Times New Roman" w:hAnsi="Times New Roman" w:cs="Times New Roman"/>
          <w:sz w:val="24"/>
          <w:szCs w:val="24"/>
        </w:rPr>
        <w:t>ets and</w:t>
      </w:r>
      <w:r>
        <w:rPr>
          <w:rFonts w:ascii="Times New Roman" w:hAnsi="Times New Roman" w:cs="Times New Roman"/>
          <w:sz w:val="24"/>
          <w:szCs w:val="24"/>
        </w:rPr>
        <w:t xml:space="preserve"> liabilities values are close to 0. In other cases skew is greater than 1. In terms of Kurtosis, it is identified that for debt capital and debt equity ratio, the value is more than 3. As value is more than 3, it indicates distribution is asymmetric. After these two factors asymmetry is identified in case of operating efficiency level. It indicates there is a remarkable fluctuation in the performance. Kurtosis provides more accurate result than skewness and based on this it can be said that asymmetry i</w:t>
      </w:r>
      <w:r w:rsidR="00511064">
        <w:rPr>
          <w:rFonts w:ascii="Times New Roman" w:hAnsi="Times New Roman" w:cs="Times New Roman"/>
          <w:sz w:val="24"/>
          <w:szCs w:val="24"/>
        </w:rPr>
        <w:t>s maximum for debt capital as well</w:t>
      </w:r>
      <w:r>
        <w:rPr>
          <w:rFonts w:ascii="Times New Roman" w:hAnsi="Times New Roman" w:cs="Times New Roman"/>
          <w:sz w:val="24"/>
          <w:szCs w:val="24"/>
        </w:rPr>
        <w:t xml:space="preserve"> </w:t>
      </w:r>
      <w:r w:rsidR="0052757A">
        <w:rPr>
          <w:rFonts w:ascii="Times New Roman" w:hAnsi="Times New Roman" w:cs="Times New Roman"/>
          <w:sz w:val="24"/>
          <w:szCs w:val="24"/>
        </w:rPr>
        <w:t xml:space="preserve">as </w:t>
      </w:r>
      <w:r>
        <w:rPr>
          <w:rFonts w:ascii="Times New Roman" w:hAnsi="Times New Roman" w:cs="Times New Roman"/>
          <w:sz w:val="24"/>
          <w:szCs w:val="24"/>
        </w:rPr>
        <w:t>debt equity ratio.</w:t>
      </w:r>
    </w:p>
    <w:p w:rsidR="00CE5016" w:rsidRDefault="00511064" w:rsidP="0029189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Based on the above analysis</w:t>
      </w:r>
      <w:r w:rsidR="00CE5016">
        <w:rPr>
          <w:rFonts w:ascii="Times New Roman" w:hAnsi="Times New Roman" w:cs="Times New Roman"/>
          <w:sz w:val="24"/>
          <w:szCs w:val="24"/>
        </w:rPr>
        <w:t>, it can be said that the fluctuation level in capital adequacy is in stable position. In terms of bank size risk is high</w:t>
      </w:r>
      <w:r>
        <w:rPr>
          <w:rFonts w:ascii="Times New Roman" w:hAnsi="Times New Roman" w:cs="Times New Roman"/>
          <w:sz w:val="24"/>
          <w:szCs w:val="24"/>
        </w:rPr>
        <w:t>er</w:t>
      </w:r>
      <w:r w:rsidR="00CE5016">
        <w:rPr>
          <w:rFonts w:ascii="Times New Roman" w:hAnsi="Times New Roman" w:cs="Times New Roman"/>
          <w:sz w:val="24"/>
          <w:szCs w:val="24"/>
        </w:rPr>
        <w:t xml:space="preserve"> and that is needed to be controlled properly. In terms of operating efficiency the position is good but as risk is very high, it is also needed to be controlled effectively. The return on equity is in the moderate position.</w:t>
      </w:r>
    </w:p>
    <w:p w:rsidR="00CE5016" w:rsidRDefault="00CE5016" w:rsidP="0029189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In case of Islamic bank</w:t>
      </w:r>
      <w:r w:rsidR="00517064">
        <w:rPr>
          <w:rFonts w:ascii="Times New Roman" w:hAnsi="Times New Roman" w:cs="Times New Roman"/>
          <w:sz w:val="24"/>
          <w:szCs w:val="24"/>
        </w:rPr>
        <w:t xml:space="preserve"> showed by table 12 in Appendix</w:t>
      </w:r>
      <w:r>
        <w:rPr>
          <w:rFonts w:ascii="Times New Roman" w:hAnsi="Times New Roman" w:cs="Times New Roman"/>
          <w:sz w:val="24"/>
          <w:szCs w:val="24"/>
        </w:rPr>
        <w:t xml:space="preserve">, the range is maximum regarding total assets which reveals the value 899597184400 and the range is minimum in case Tier 2 capitals. It clearly shows that the total asset investment is having maximum variations. The mean value is maximum in case of shareholder’s equity (7648719609). On the other hand, in case of tier 2 capital the mean value is minimum. In terms of operating expenses, the standard deviation is highest which implies that fluctuation in the mean value total assets is huge. On the contrary, the standard deviation is lowest in case of tier 2 capitals. It implies that risk is in an average position in case of this variable. In respect to the analysis of skewness it is identified that the skewness of Return on Equity is near to 3. Therefore, here it can be said that the skewness of return on equity </w:t>
      </w:r>
      <w:r>
        <w:rPr>
          <w:rFonts w:ascii="Times New Roman" w:hAnsi="Times New Roman" w:cs="Times New Roman"/>
          <w:sz w:val="24"/>
          <w:szCs w:val="24"/>
        </w:rPr>
        <w:lastRenderedPageBreak/>
        <w:t>is in moderate position. The skewness of capital adequacy is more than 1 which clearly shows that the distribution is asymmetric. In terms of bank size it is identified that the distribution is symmetric because the value is close to 0. The kurtosis in terms of return on equity is more than 3 which also reveals that the distribution is asymmetric. The kurtosis of debt to equity ratio is 0.726 which lies between + 3 and -3. Therefore, it can be said that the distribution is symmetric. In case of debt to capital ratio kurtosis is 2.831 which also within the range +3 and -3 but the value is close to 3. Here, it can be said that the distribution in the moderate position. In case of operating efficiency level, the kurtosis is very high (8.071). Therefore, here the result reveals the distribution is highly asymmetric.</w:t>
      </w:r>
    </w:p>
    <w:p w:rsidR="00885A38" w:rsidRPr="00CE5016" w:rsidRDefault="00CE5016" w:rsidP="0029189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If the comparison is made between two banks it can be identified that the risk taking capacity of Islamic banks is higher than conventional bank in terms of capital adequacy because Islamic banks are having higher standard deviation than conventional banks. In respect to operating efficiency level also conventional banks are having higher level of risk than Islamic bank. In case of bank size Islamic banks are having higher risk than conventional banks. Therefore, here it can be said that Islamic banks are having more risk taking capacity than conventional banks regarding bank size. The fluctuation level regarding return on equity is almost same for two types of banks. Comparatively the fluctuation is more in case of Islamic banks than conventional banks. Therefore, based on overall comparison, it is clear that both Islamic banks and conventional banks are having positive relationship between capital adequacy and return on equity.</w:t>
      </w:r>
    </w:p>
    <w:p w:rsidR="001D2246" w:rsidRPr="007E7258" w:rsidRDefault="001D2246" w:rsidP="007E7258">
      <w:pPr>
        <w:pStyle w:val="Heading2"/>
      </w:pPr>
      <w:bookmarkStart w:id="99" w:name="_Toc2075059"/>
      <w:r w:rsidRPr="007E7258">
        <w:t>Correlation</w:t>
      </w:r>
      <w:bookmarkEnd w:id="99"/>
    </w:p>
    <w:p w:rsidR="00291891" w:rsidRDefault="00F5120C" w:rsidP="00291891">
      <w:pPr>
        <w:spacing w:line="480" w:lineRule="auto"/>
        <w:ind w:firstLine="720"/>
        <w:rPr>
          <w:rFonts w:ascii="Times New Roman" w:hAnsi="Times New Roman" w:cs="Times New Roman"/>
          <w:sz w:val="24"/>
          <w:szCs w:val="24"/>
        </w:rPr>
      </w:pPr>
      <w:r w:rsidRPr="001D2246">
        <w:rPr>
          <w:rFonts w:ascii="Times New Roman" w:hAnsi="Times New Roman" w:cs="Times New Roman"/>
          <w:sz w:val="24"/>
          <w:szCs w:val="24"/>
        </w:rPr>
        <w:t xml:space="preserve">The </w:t>
      </w:r>
      <w:r w:rsidR="001D2246">
        <w:rPr>
          <w:rFonts w:ascii="Times New Roman" w:hAnsi="Times New Roman" w:cs="Times New Roman"/>
          <w:sz w:val="24"/>
          <w:szCs w:val="24"/>
        </w:rPr>
        <w:t xml:space="preserve">relations between </w:t>
      </w:r>
      <w:r w:rsidRPr="001D2246">
        <w:rPr>
          <w:rFonts w:ascii="Times New Roman" w:hAnsi="Times New Roman" w:cs="Times New Roman"/>
          <w:sz w:val="24"/>
          <w:szCs w:val="24"/>
        </w:rPr>
        <w:t xml:space="preserve">independent and dependent variables </w:t>
      </w:r>
      <w:r w:rsidR="001D2246" w:rsidRPr="001D2246">
        <w:rPr>
          <w:rFonts w:ascii="Times New Roman" w:hAnsi="Times New Roman" w:cs="Times New Roman"/>
          <w:sz w:val="24"/>
          <w:szCs w:val="24"/>
        </w:rPr>
        <w:t xml:space="preserve">considered in this </w:t>
      </w:r>
      <w:r w:rsidR="006D3124">
        <w:rPr>
          <w:rFonts w:ascii="Times New Roman" w:hAnsi="Times New Roman" w:cs="Times New Roman"/>
          <w:sz w:val="24"/>
          <w:szCs w:val="24"/>
        </w:rPr>
        <w:t>thesis</w:t>
      </w:r>
      <w:r w:rsidR="001D2246">
        <w:rPr>
          <w:rFonts w:ascii="Times New Roman" w:hAnsi="Times New Roman" w:cs="Times New Roman"/>
          <w:sz w:val="24"/>
          <w:szCs w:val="24"/>
        </w:rPr>
        <w:t xml:space="preserve"> have been captured by </w:t>
      </w:r>
      <w:r w:rsidR="00713FC3">
        <w:rPr>
          <w:rFonts w:ascii="Times New Roman" w:hAnsi="Times New Roman" w:cs="Times New Roman"/>
          <w:sz w:val="24"/>
          <w:szCs w:val="24"/>
        </w:rPr>
        <w:t>the correlation table provided in the Appendix.</w:t>
      </w:r>
      <w:r w:rsidR="000929D9">
        <w:rPr>
          <w:rFonts w:ascii="Times New Roman" w:hAnsi="Times New Roman" w:cs="Times New Roman"/>
          <w:sz w:val="24"/>
          <w:szCs w:val="24"/>
        </w:rPr>
        <w:t xml:space="preserve"> </w:t>
      </w:r>
      <w:r w:rsidR="000162A3">
        <w:rPr>
          <w:rFonts w:ascii="Times New Roman" w:hAnsi="Times New Roman" w:cs="Times New Roman"/>
          <w:sz w:val="24"/>
          <w:szCs w:val="24"/>
        </w:rPr>
        <w:t>Table 13</w:t>
      </w:r>
      <w:r w:rsidR="00107868">
        <w:rPr>
          <w:rFonts w:ascii="Times New Roman" w:hAnsi="Times New Roman" w:cs="Times New Roman"/>
          <w:sz w:val="24"/>
          <w:szCs w:val="24"/>
        </w:rPr>
        <w:t xml:space="preserve"> </w:t>
      </w:r>
      <w:r w:rsidR="000162A3">
        <w:rPr>
          <w:rFonts w:ascii="Times New Roman" w:hAnsi="Times New Roman" w:cs="Times New Roman"/>
          <w:sz w:val="24"/>
          <w:szCs w:val="24"/>
        </w:rPr>
        <w:t>and 14</w:t>
      </w:r>
      <w:r w:rsidR="00CF64CD">
        <w:rPr>
          <w:rFonts w:ascii="Times New Roman" w:hAnsi="Times New Roman" w:cs="Times New Roman"/>
          <w:sz w:val="24"/>
          <w:szCs w:val="24"/>
        </w:rPr>
        <w:t xml:space="preserve"> depict</w:t>
      </w:r>
      <w:r w:rsidR="00FC13D2">
        <w:rPr>
          <w:rFonts w:ascii="Times New Roman" w:hAnsi="Times New Roman" w:cs="Times New Roman"/>
          <w:sz w:val="24"/>
          <w:szCs w:val="24"/>
        </w:rPr>
        <w:t xml:space="preserve"> the correlatio</w:t>
      </w:r>
      <w:r w:rsidR="00D94431">
        <w:rPr>
          <w:rFonts w:ascii="Times New Roman" w:hAnsi="Times New Roman" w:cs="Times New Roman"/>
          <w:sz w:val="24"/>
          <w:szCs w:val="24"/>
        </w:rPr>
        <w:t xml:space="preserve">n </w:t>
      </w:r>
      <w:r w:rsidR="00D87412">
        <w:rPr>
          <w:rFonts w:ascii="Times New Roman" w:hAnsi="Times New Roman" w:cs="Times New Roman"/>
          <w:sz w:val="24"/>
          <w:szCs w:val="24"/>
        </w:rPr>
        <w:t>statistics in the forms of Pearson Correlation</w:t>
      </w:r>
      <w:r w:rsidR="00153E9F">
        <w:rPr>
          <w:rFonts w:ascii="Times New Roman" w:hAnsi="Times New Roman" w:cs="Times New Roman"/>
          <w:sz w:val="24"/>
          <w:szCs w:val="24"/>
        </w:rPr>
        <w:t xml:space="preserve"> (PC)</w:t>
      </w:r>
      <w:r w:rsidR="00D87412">
        <w:rPr>
          <w:rFonts w:ascii="Times New Roman" w:hAnsi="Times New Roman" w:cs="Times New Roman"/>
          <w:sz w:val="24"/>
          <w:szCs w:val="24"/>
        </w:rPr>
        <w:t>, significant values a</w:t>
      </w:r>
      <w:r w:rsidR="00A534C2">
        <w:rPr>
          <w:rFonts w:ascii="Times New Roman" w:hAnsi="Times New Roman" w:cs="Times New Roman"/>
          <w:sz w:val="24"/>
          <w:szCs w:val="24"/>
        </w:rPr>
        <w:t>nd the number of cases with non-</w:t>
      </w:r>
      <w:r w:rsidR="00D87412">
        <w:rPr>
          <w:rFonts w:ascii="Times New Roman" w:hAnsi="Times New Roman" w:cs="Times New Roman"/>
          <w:sz w:val="24"/>
          <w:szCs w:val="24"/>
        </w:rPr>
        <w:t>missing</w:t>
      </w:r>
      <w:r w:rsidR="00CF64CD">
        <w:rPr>
          <w:rFonts w:ascii="Times New Roman" w:hAnsi="Times New Roman" w:cs="Times New Roman"/>
          <w:sz w:val="24"/>
          <w:szCs w:val="24"/>
        </w:rPr>
        <w:t xml:space="preserve"> values (N) of both types of banks.</w:t>
      </w:r>
      <w:r w:rsidR="00D87412">
        <w:rPr>
          <w:rFonts w:ascii="Times New Roman" w:hAnsi="Times New Roman" w:cs="Times New Roman"/>
          <w:sz w:val="24"/>
          <w:szCs w:val="24"/>
        </w:rPr>
        <w:t xml:space="preserve"> The correlation </w:t>
      </w:r>
      <w:r w:rsidR="003F38B7">
        <w:rPr>
          <w:rFonts w:ascii="Times New Roman" w:hAnsi="Times New Roman" w:cs="Times New Roman"/>
          <w:sz w:val="24"/>
          <w:szCs w:val="24"/>
        </w:rPr>
        <w:t>coefficient showed</w:t>
      </w:r>
      <w:r w:rsidR="000B41F7">
        <w:rPr>
          <w:rFonts w:ascii="Times New Roman" w:hAnsi="Times New Roman" w:cs="Times New Roman"/>
          <w:sz w:val="24"/>
          <w:szCs w:val="24"/>
        </w:rPr>
        <w:t xml:space="preserve"> </w:t>
      </w:r>
      <w:r w:rsidR="00D94431">
        <w:rPr>
          <w:rFonts w:ascii="Times New Roman" w:hAnsi="Times New Roman" w:cs="Times New Roman"/>
          <w:sz w:val="24"/>
          <w:szCs w:val="24"/>
        </w:rPr>
        <w:t>the strengths of linear relationship</w:t>
      </w:r>
      <w:r w:rsidR="003F38B7">
        <w:rPr>
          <w:rFonts w:ascii="Times New Roman" w:hAnsi="Times New Roman" w:cs="Times New Roman"/>
          <w:sz w:val="24"/>
          <w:szCs w:val="24"/>
        </w:rPr>
        <w:t xml:space="preserve"> between two variables while the significant values demonstrated the </w:t>
      </w:r>
      <w:r w:rsidR="00EA3308">
        <w:rPr>
          <w:rFonts w:ascii="Times New Roman" w:hAnsi="Times New Roman" w:cs="Times New Roman"/>
          <w:sz w:val="24"/>
          <w:szCs w:val="24"/>
        </w:rPr>
        <w:t>stat</w:t>
      </w:r>
      <w:r w:rsidR="00CE0345">
        <w:rPr>
          <w:rFonts w:ascii="Times New Roman" w:hAnsi="Times New Roman" w:cs="Times New Roman"/>
          <w:sz w:val="24"/>
          <w:szCs w:val="24"/>
        </w:rPr>
        <w:t>istical significance of the</w:t>
      </w:r>
      <w:r w:rsidR="001D2DC4">
        <w:rPr>
          <w:rFonts w:ascii="Times New Roman" w:hAnsi="Times New Roman" w:cs="Times New Roman"/>
          <w:sz w:val="24"/>
          <w:szCs w:val="24"/>
        </w:rPr>
        <w:t xml:space="preserve"> correlations which in turn determine the </w:t>
      </w:r>
      <w:r w:rsidR="00477332">
        <w:rPr>
          <w:rFonts w:ascii="Times New Roman" w:hAnsi="Times New Roman" w:cs="Times New Roman"/>
          <w:sz w:val="24"/>
          <w:szCs w:val="24"/>
        </w:rPr>
        <w:t>validations of these relationships</w:t>
      </w:r>
      <w:r w:rsidR="003F38B7">
        <w:rPr>
          <w:rFonts w:ascii="Times New Roman" w:hAnsi="Times New Roman" w:cs="Times New Roman"/>
          <w:sz w:val="24"/>
          <w:szCs w:val="24"/>
        </w:rPr>
        <w:t xml:space="preserve">. </w:t>
      </w:r>
      <w:r w:rsidR="008D22A8">
        <w:rPr>
          <w:rFonts w:ascii="Times New Roman" w:hAnsi="Times New Roman" w:cs="Times New Roman"/>
          <w:sz w:val="24"/>
          <w:szCs w:val="24"/>
        </w:rPr>
        <w:t>The range of correlation coefficient varies from 1 to -1</w:t>
      </w:r>
      <w:r w:rsidR="000C1B67">
        <w:rPr>
          <w:rFonts w:ascii="Times New Roman" w:hAnsi="Times New Roman" w:cs="Times New Roman"/>
          <w:sz w:val="24"/>
          <w:szCs w:val="24"/>
        </w:rPr>
        <w:t>. The negative sign implicates</w:t>
      </w:r>
      <w:r w:rsidR="00EA3308">
        <w:rPr>
          <w:rFonts w:ascii="Times New Roman" w:hAnsi="Times New Roman" w:cs="Times New Roman"/>
          <w:sz w:val="24"/>
          <w:szCs w:val="24"/>
        </w:rPr>
        <w:t xml:space="preserve"> the directions of association exist between two variables,</w:t>
      </w:r>
      <w:r w:rsidR="000C1B67">
        <w:rPr>
          <w:rFonts w:ascii="Times New Roman" w:hAnsi="Times New Roman" w:cs="Times New Roman"/>
          <w:sz w:val="24"/>
          <w:szCs w:val="24"/>
        </w:rPr>
        <w:t xml:space="preserve"> that </w:t>
      </w:r>
      <w:r w:rsidR="00EA3308">
        <w:rPr>
          <w:rFonts w:ascii="Times New Roman" w:hAnsi="Times New Roman" w:cs="Times New Roman"/>
          <w:sz w:val="24"/>
          <w:szCs w:val="24"/>
        </w:rPr>
        <w:t xml:space="preserve">is, </w:t>
      </w:r>
      <w:r w:rsidR="000C1B67">
        <w:rPr>
          <w:rFonts w:ascii="Times New Roman" w:hAnsi="Times New Roman" w:cs="Times New Roman"/>
          <w:sz w:val="24"/>
          <w:szCs w:val="24"/>
        </w:rPr>
        <w:t xml:space="preserve">with increase in one variable, another one decreases. </w:t>
      </w:r>
      <w:r w:rsidR="007F01C8">
        <w:rPr>
          <w:rFonts w:ascii="Times New Roman" w:hAnsi="Times New Roman" w:cs="Times New Roman"/>
          <w:sz w:val="24"/>
          <w:szCs w:val="24"/>
        </w:rPr>
        <w:t xml:space="preserve">As it can be seen all the diagonal </w:t>
      </w:r>
      <w:r w:rsidR="007F01C8">
        <w:rPr>
          <w:rFonts w:ascii="Times New Roman" w:hAnsi="Times New Roman" w:cs="Times New Roman"/>
          <w:sz w:val="24"/>
          <w:szCs w:val="24"/>
        </w:rPr>
        <w:lastRenderedPageBreak/>
        <w:t>values are 1 due to the presence of perfect positive linear relationship between</w:t>
      </w:r>
      <w:r w:rsidR="001D2DC4">
        <w:rPr>
          <w:rFonts w:ascii="Times New Roman" w:hAnsi="Times New Roman" w:cs="Times New Roman"/>
          <w:sz w:val="24"/>
          <w:szCs w:val="24"/>
        </w:rPr>
        <w:t xml:space="preserve"> the variables themselves. </w:t>
      </w:r>
      <w:r w:rsidR="00103EC4">
        <w:rPr>
          <w:rFonts w:ascii="Times New Roman" w:hAnsi="Times New Roman" w:cs="Times New Roman"/>
          <w:sz w:val="24"/>
          <w:szCs w:val="24"/>
        </w:rPr>
        <w:t>The more the values of Pearson’s coefficients reach towards 0, the weak</w:t>
      </w:r>
      <w:r w:rsidR="00677DA2">
        <w:rPr>
          <w:rFonts w:ascii="Times New Roman" w:hAnsi="Times New Roman" w:cs="Times New Roman"/>
          <w:sz w:val="24"/>
          <w:szCs w:val="24"/>
        </w:rPr>
        <w:t>er</w:t>
      </w:r>
      <w:r w:rsidR="00252D4E">
        <w:rPr>
          <w:rFonts w:ascii="Times New Roman" w:hAnsi="Times New Roman" w:cs="Times New Roman"/>
          <w:sz w:val="24"/>
          <w:szCs w:val="24"/>
        </w:rPr>
        <w:t xml:space="preserve"> is the relationship and the more it reach close to 1, the stronger is the relationship. </w:t>
      </w:r>
      <w:r w:rsidR="00BC6ECB">
        <w:rPr>
          <w:rFonts w:ascii="Times New Roman" w:hAnsi="Times New Roman" w:cs="Times New Roman"/>
          <w:sz w:val="24"/>
          <w:szCs w:val="24"/>
        </w:rPr>
        <w:t xml:space="preserve">Also, </w:t>
      </w:r>
      <w:r w:rsidR="00753EFF">
        <w:rPr>
          <w:rFonts w:ascii="Times New Roman" w:hAnsi="Times New Roman" w:cs="Times New Roman"/>
          <w:sz w:val="24"/>
          <w:szCs w:val="24"/>
        </w:rPr>
        <w:t xml:space="preserve">the significance of p value depicted in the correlation table shows the statistical significance of </w:t>
      </w:r>
      <w:r w:rsidR="007D62EC">
        <w:rPr>
          <w:rFonts w:ascii="Times New Roman" w:hAnsi="Times New Roman" w:cs="Times New Roman"/>
          <w:sz w:val="24"/>
          <w:szCs w:val="24"/>
        </w:rPr>
        <w:t>correlation in terms of establishing linear relationship between two variables; more the value tend to 0 more the significant it would offer and more it reaches toward 1, the result becomes insignificant.</w:t>
      </w:r>
    </w:p>
    <w:p w:rsidR="00550E0B" w:rsidRDefault="00677DA2" w:rsidP="0029189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For example, as the table depicted, the </w:t>
      </w:r>
      <w:r w:rsidR="00153E9F">
        <w:rPr>
          <w:rFonts w:ascii="Times New Roman" w:hAnsi="Times New Roman" w:cs="Times New Roman"/>
          <w:sz w:val="24"/>
          <w:szCs w:val="24"/>
        </w:rPr>
        <w:t xml:space="preserve">negative coefficient of PC has been indicating with increase in tier 1 capital, CAR </w:t>
      </w:r>
      <w:r w:rsidR="00C127F1">
        <w:rPr>
          <w:rFonts w:ascii="Times New Roman" w:hAnsi="Times New Roman" w:cs="Times New Roman"/>
          <w:sz w:val="24"/>
          <w:szCs w:val="24"/>
        </w:rPr>
        <w:t xml:space="preserve">decreases </w:t>
      </w:r>
      <w:r w:rsidR="000326E8">
        <w:rPr>
          <w:rFonts w:ascii="Times New Roman" w:hAnsi="Times New Roman" w:cs="Times New Roman"/>
          <w:sz w:val="24"/>
          <w:szCs w:val="24"/>
        </w:rPr>
        <w:t xml:space="preserve">holding tier 1 and risk weighted assets (RWA) constant </w:t>
      </w:r>
      <w:r w:rsidR="00C127F1">
        <w:rPr>
          <w:rFonts w:ascii="Times New Roman" w:hAnsi="Times New Roman" w:cs="Times New Roman"/>
          <w:sz w:val="24"/>
          <w:szCs w:val="24"/>
        </w:rPr>
        <w:t xml:space="preserve">for both the Islamic and Conventional banks </w:t>
      </w:r>
      <w:r w:rsidR="009852A1">
        <w:rPr>
          <w:rFonts w:ascii="Times New Roman" w:hAnsi="Times New Roman" w:cs="Times New Roman"/>
          <w:sz w:val="24"/>
          <w:szCs w:val="24"/>
        </w:rPr>
        <w:t xml:space="preserve">but the degree of negativity is higher in Islamic banks compared to the conventional ones. </w:t>
      </w:r>
      <w:r w:rsidR="006254F7">
        <w:rPr>
          <w:rFonts w:ascii="Times New Roman" w:hAnsi="Times New Roman" w:cs="Times New Roman"/>
          <w:sz w:val="24"/>
          <w:szCs w:val="24"/>
        </w:rPr>
        <w:t>In terms of tier 2 capital</w:t>
      </w:r>
      <w:r w:rsidR="000326E8">
        <w:rPr>
          <w:rFonts w:ascii="Times New Roman" w:hAnsi="Times New Roman" w:cs="Times New Roman"/>
          <w:sz w:val="24"/>
          <w:szCs w:val="24"/>
        </w:rPr>
        <w:t xml:space="preserve"> holding other two factors constant</w:t>
      </w:r>
      <w:r w:rsidR="006254F7">
        <w:rPr>
          <w:rFonts w:ascii="Times New Roman" w:hAnsi="Times New Roman" w:cs="Times New Roman"/>
          <w:sz w:val="24"/>
          <w:szCs w:val="24"/>
        </w:rPr>
        <w:t>, the resulting outcome is quite differe</w:t>
      </w:r>
      <w:r w:rsidR="009A407B">
        <w:rPr>
          <w:rFonts w:ascii="Times New Roman" w:hAnsi="Times New Roman" w:cs="Times New Roman"/>
          <w:sz w:val="24"/>
          <w:szCs w:val="24"/>
        </w:rPr>
        <w:t xml:space="preserve">nt in terms of determining this factor’s relationship with </w:t>
      </w:r>
      <w:r w:rsidR="00252D4E">
        <w:rPr>
          <w:rFonts w:ascii="Times New Roman" w:hAnsi="Times New Roman" w:cs="Times New Roman"/>
          <w:sz w:val="24"/>
          <w:szCs w:val="24"/>
        </w:rPr>
        <w:t>capital adeq</w:t>
      </w:r>
      <w:r w:rsidR="00CE4BDB">
        <w:rPr>
          <w:rFonts w:ascii="Times New Roman" w:hAnsi="Times New Roman" w:cs="Times New Roman"/>
          <w:sz w:val="24"/>
          <w:szCs w:val="24"/>
        </w:rPr>
        <w:t xml:space="preserve">uacy; for conventional banks the relationship is positive (stronger) while for the Islamic ones it is negative. The relationship between risk-weighted assets </w:t>
      </w:r>
      <w:r w:rsidR="002879F3">
        <w:rPr>
          <w:rFonts w:ascii="Times New Roman" w:hAnsi="Times New Roman" w:cs="Times New Roman"/>
          <w:sz w:val="24"/>
          <w:szCs w:val="24"/>
        </w:rPr>
        <w:t>and capital adequacy is n</w:t>
      </w:r>
      <w:r w:rsidR="006F1EEB">
        <w:rPr>
          <w:rFonts w:ascii="Times New Roman" w:hAnsi="Times New Roman" w:cs="Times New Roman"/>
          <w:sz w:val="24"/>
          <w:szCs w:val="24"/>
        </w:rPr>
        <w:t>egative in both types o</w:t>
      </w:r>
      <w:r w:rsidR="000162A3">
        <w:rPr>
          <w:rFonts w:ascii="Times New Roman" w:hAnsi="Times New Roman" w:cs="Times New Roman"/>
          <w:sz w:val="24"/>
          <w:szCs w:val="24"/>
        </w:rPr>
        <w:t>f banks as shown in the table 13 and 14</w:t>
      </w:r>
      <w:r w:rsidR="006F1EEB">
        <w:rPr>
          <w:rFonts w:ascii="Times New Roman" w:hAnsi="Times New Roman" w:cs="Times New Roman"/>
          <w:sz w:val="24"/>
          <w:szCs w:val="24"/>
        </w:rPr>
        <w:t xml:space="preserve">. </w:t>
      </w:r>
      <w:r w:rsidR="00F752C4">
        <w:rPr>
          <w:rFonts w:ascii="Times New Roman" w:hAnsi="Times New Roman" w:cs="Times New Roman"/>
          <w:sz w:val="24"/>
          <w:szCs w:val="24"/>
        </w:rPr>
        <w:t>By considering the absolute values</w:t>
      </w:r>
      <w:r w:rsidR="009C63CF">
        <w:rPr>
          <w:rFonts w:ascii="Times New Roman" w:hAnsi="Times New Roman" w:cs="Times New Roman"/>
          <w:sz w:val="24"/>
          <w:szCs w:val="24"/>
        </w:rPr>
        <w:t xml:space="preserve"> of PCs</w:t>
      </w:r>
      <w:r w:rsidR="00F752C4">
        <w:rPr>
          <w:rFonts w:ascii="Times New Roman" w:hAnsi="Times New Roman" w:cs="Times New Roman"/>
          <w:sz w:val="24"/>
          <w:szCs w:val="24"/>
        </w:rPr>
        <w:t>, the resulting outcome</w:t>
      </w:r>
      <w:r w:rsidR="00945EC5">
        <w:rPr>
          <w:rFonts w:ascii="Times New Roman" w:hAnsi="Times New Roman" w:cs="Times New Roman"/>
          <w:sz w:val="24"/>
          <w:szCs w:val="24"/>
        </w:rPr>
        <w:t xml:space="preserve"> implicate</w:t>
      </w:r>
      <w:r w:rsidR="00F752C4">
        <w:rPr>
          <w:rFonts w:ascii="Times New Roman" w:hAnsi="Times New Roman" w:cs="Times New Roman"/>
          <w:sz w:val="24"/>
          <w:szCs w:val="24"/>
        </w:rPr>
        <w:t>s</w:t>
      </w:r>
      <w:r w:rsidR="00945EC5">
        <w:rPr>
          <w:rFonts w:ascii="Times New Roman" w:hAnsi="Times New Roman" w:cs="Times New Roman"/>
          <w:sz w:val="24"/>
          <w:szCs w:val="24"/>
        </w:rPr>
        <w:t xml:space="preserve"> that capital adequacy in conventional ones is more dependent on </w:t>
      </w:r>
      <w:r w:rsidR="00885A38">
        <w:rPr>
          <w:rFonts w:ascii="Times New Roman" w:hAnsi="Times New Roman" w:cs="Times New Roman"/>
          <w:sz w:val="24"/>
          <w:szCs w:val="24"/>
        </w:rPr>
        <w:t xml:space="preserve">tier 2 capital while for </w:t>
      </w:r>
      <w:r w:rsidR="00F752C4">
        <w:rPr>
          <w:rFonts w:ascii="Times New Roman" w:hAnsi="Times New Roman" w:cs="Times New Roman"/>
          <w:sz w:val="24"/>
          <w:szCs w:val="24"/>
        </w:rPr>
        <w:t>Islamic ones the more dependable factor of CAR is risk weighted assets</w:t>
      </w:r>
      <w:r w:rsidR="000F3C14">
        <w:rPr>
          <w:rFonts w:ascii="Times New Roman" w:hAnsi="Times New Roman" w:cs="Times New Roman"/>
          <w:sz w:val="24"/>
          <w:szCs w:val="24"/>
        </w:rPr>
        <w:t xml:space="preserve"> (RWA)</w:t>
      </w:r>
      <w:r w:rsidR="00F752C4">
        <w:rPr>
          <w:rFonts w:ascii="Times New Roman" w:hAnsi="Times New Roman" w:cs="Times New Roman"/>
          <w:sz w:val="24"/>
          <w:szCs w:val="24"/>
        </w:rPr>
        <w:t>.</w:t>
      </w:r>
      <w:r w:rsidR="009C63CF">
        <w:rPr>
          <w:rFonts w:ascii="Times New Roman" w:hAnsi="Times New Roman" w:cs="Times New Roman"/>
          <w:sz w:val="24"/>
          <w:szCs w:val="24"/>
        </w:rPr>
        <w:t xml:space="preserve">The dependency of conventional banks </w:t>
      </w:r>
      <w:r w:rsidR="00975DC7">
        <w:rPr>
          <w:rFonts w:ascii="Times New Roman" w:hAnsi="Times New Roman" w:cs="Times New Roman"/>
          <w:sz w:val="24"/>
          <w:szCs w:val="24"/>
        </w:rPr>
        <w:t>on tier 2 capital</w:t>
      </w:r>
      <w:r w:rsidR="009C63CF">
        <w:rPr>
          <w:rFonts w:ascii="Times New Roman" w:hAnsi="Times New Roman" w:cs="Times New Roman"/>
          <w:sz w:val="24"/>
          <w:szCs w:val="24"/>
        </w:rPr>
        <w:t xml:space="preserve">, is in line with </w:t>
      </w:r>
      <w:r w:rsidR="00054A33" w:rsidRPr="00054A33">
        <w:rPr>
          <w:rFonts w:ascii="Times New Roman" w:hAnsi="Times New Roman" w:cs="Times New Roman"/>
          <w:sz w:val="24"/>
          <w:szCs w:val="24"/>
        </w:rPr>
        <w:t>Barrell et al. (2011)</w:t>
      </w:r>
      <w:r w:rsidR="00054A33">
        <w:rPr>
          <w:rFonts w:ascii="Times New Roman" w:hAnsi="Times New Roman" w:cs="Times New Roman"/>
          <w:sz w:val="24"/>
          <w:szCs w:val="24"/>
        </w:rPr>
        <w:t>,</w:t>
      </w:r>
      <w:r w:rsidR="009C63CF">
        <w:rPr>
          <w:rFonts w:ascii="Times New Roman" w:hAnsi="Times New Roman" w:cs="Times New Roman"/>
          <w:sz w:val="24"/>
          <w:szCs w:val="24"/>
        </w:rPr>
        <w:t xml:space="preserve"> suggestion that tier 2 capital provides an additional benefit of market discipline in terms of developing </w:t>
      </w:r>
      <w:r w:rsidR="00BE2FFB">
        <w:rPr>
          <w:rFonts w:ascii="Times New Roman" w:hAnsi="Times New Roman" w:cs="Times New Roman"/>
          <w:sz w:val="24"/>
          <w:szCs w:val="24"/>
        </w:rPr>
        <w:t xml:space="preserve">the capital standards represented by </w:t>
      </w:r>
      <w:r w:rsidR="00E33E1C">
        <w:rPr>
          <w:rFonts w:ascii="Times New Roman" w:hAnsi="Times New Roman" w:cs="Times New Roman"/>
          <w:sz w:val="24"/>
          <w:szCs w:val="24"/>
        </w:rPr>
        <w:t xml:space="preserve">CAR. </w:t>
      </w:r>
      <w:r w:rsidR="00975DC7">
        <w:rPr>
          <w:rFonts w:ascii="Times New Roman" w:hAnsi="Times New Roman" w:cs="Times New Roman"/>
          <w:sz w:val="24"/>
          <w:szCs w:val="24"/>
        </w:rPr>
        <w:t xml:space="preserve">The reason behind higher dependency of </w:t>
      </w:r>
      <w:r w:rsidR="000F3C14">
        <w:rPr>
          <w:rFonts w:ascii="Times New Roman" w:hAnsi="Times New Roman" w:cs="Times New Roman"/>
          <w:sz w:val="24"/>
          <w:szCs w:val="24"/>
        </w:rPr>
        <w:t xml:space="preserve">CAR on RWA might have emerged from the fact that Islamic banks have been dealing with more risks </w:t>
      </w:r>
      <w:r w:rsidR="00024791">
        <w:rPr>
          <w:rFonts w:ascii="Times New Roman" w:hAnsi="Times New Roman" w:cs="Times New Roman"/>
          <w:sz w:val="24"/>
          <w:szCs w:val="24"/>
        </w:rPr>
        <w:t>as being new ins</w:t>
      </w:r>
      <w:r w:rsidR="006D389D">
        <w:rPr>
          <w:rFonts w:ascii="Times New Roman" w:hAnsi="Times New Roman" w:cs="Times New Roman"/>
          <w:sz w:val="24"/>
          <w:szCs w:val="24"/>
        </w:rPr>
        <w:t xml:space="preserve">titution in the banking sectors, </w:t>
      </w:r>
      <w:r w:rsidR="00CB723A">
        <w:rPr>
          <w:rFonts w:ascii="Times New Roman" w:hAnsi="Times New Roman" w:cs="Times New Roman"/>
          <w:sz w:val="24"/>
          <w:szCs w:val="24"/>
        </w:rPr>
        <w:t>the</w:t>
      </w:r>
      <w:r w:rsidR="00024791">
        <w:rPr>
          <w:rFonts w:ascii="Times New Roman" w:hAnsi="Times New Roman" w:cs="Times New Roman"/>
          <w:sz w:val="24"/>
          <w:szCs w:val="24"/>
        </w:rPr>
        <w:t xml:space="preserve"> amount of core (tier1) and su</w:t>
      </w:r>
      <w:r w:rsidR="006D389D">
        <w:rPr>
          <w:rFonts w:ascii="Times New Roman" w:hAnsi="Times New Roman" w:cs="Times New Roman"/>
          <w:sz w:val="24"/>
          <w:szCs w:val="24"/>
        </w:rPr>
        <w:t xml:space="preserve">pplementary (tier2) capital </w:t>
      </w:r>
      <w:r w:rsidR="00CB723A">
        <w:rPr>
          <w:rFonts w:ascii="Times New Roman" w:hAnsi="Times New Roman" w:cs="Times New Roman"/>
          <w:sz w:val="24"/>
          <w:szCs w:val="24"/>
        </w:rPr>
        <w:t xml:space="preserve">are less for these regional banks </w:t>
      </w:r>
      <w:r w:rsidR="006D389D">
        <w:rPr>
          <w:rFonts w:ascii="Times New Roman" w:hAnsi="Times New Roman" w:cs="Times New Roman"/>
          <w:sz w:val="24"/>
          <w:szCs w:val="24"/>
        </w:rPr>
        <w:t xml:space="preserve">and as a result the associated risks with smaller amount of capital would definitely be larger compared to the conventional ones. </w:t>
      </w:r>
    </w:p>
    <w:p w:rsidR="006712D0" w:rsidRDefault="00550E0B" w:rsidP="0029189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w:t>
      </w:r>
      <w:r w:rsidR="008E6A75">
        <w:rPr>
          <w:rFonts w:ascii="Times New Roman" w:hAnsi="Times New Roman" w:cs="Times New Roman"/>
          <w:sz w:val="24"/>
          <w:szCs w:val="24"/>
        </w:rPr>
        <w:t xml:space="preserve">the context of ‘GDP growth rate’, its relationship with capital adequacy is positive for both types of banks but the strength of relationship is more powerful </w:t>
      </w:r>
      <w:r w:rsidR="00316B16">
        <w:rPr>
          <w:rFonts w:ascii="Times New Roman" w:hAnsi="Times New Roman" w:cs="Times New Roman"/>
          <w:sz w:val="24"/>
          <w:szCs w:val="24"/>
        </w:rPr>
        <w:t xml:space="preserve">for Islamic banks compared to the Conventional one, indicating the fact that with higher </w:t>
      </w:r>
      <w:r w:rsidR="00183DE3">
        <w:rPr>
          <w:rFonts w:ascii="Times New Roman" w:hAnsi="Times New Roman" w:cs="Times New Roman"/>
          <w:sz w:val="24"/>
          <w:szCs w:val="24"/>
        </w:rPr>
        <w:t xml:space="preserve">GDP, the financial performances of these banks enhanced in terms </w:t>
      </w:r>
      <w:r w:rsidR="00316B16">
        <w:rPr>
          <w:rFonts w:ascii="Times New Roman" w:hAnsi="Times New Roman" w:cs="Times New Roman"/>
          <w:sz w:val="24"/>
          <w:szCs w:val="24"/>
        </w:rPr>
        <w:t xml:space="preserve">of capital </w:t>
      </w:r>
      <w:r w:rsidR="00183DE3">
        <w:rPr>
          <w:rFonts w:ascii="Times New Roman" w:hAnsi="Times New Roman" w:cs="Times New Roman"/>
          <w:sz w:val="24"/>
          <w:szCs w:val="24"/>
        </w:rPr>
        <w:t xml:space="preserve">adequacy. </w:t>
      </w:r>
      <w:r w:rsidR="00300E9D">
        <w:rPr>
          <w:rFonts w:ascii="Times New Roman" w:hAnsi="Times New Roman" w:cs="Times New Roman"/>
          <w:sz w:val="24"/>
          <w:szCs w:val="24"/>
        </w:rPr>
        <w:t xml:space="preserve">The relationship between operating efficiency and GDP growth rate is positive and </w:t>
      </w:r>
      <w:r w:rsidR="00300E9D">
        <w:rPr>
          <w:rFonts w:ascii="Times New Roman" w:hAnsi="Times New Roman" w:cs="Times New Roman"/>
          <w:sz w:val="24"/>
          <w:szCs w:val="24"/>
        </w:rPr>
        <w:lastRenderedPageBreak/>
        <w:t xml:space="preserve">close to 1 for Islamic banks while on the hand, there exists </w:t>
      </w:r>
      <w:r w:rsidR="00A24ADE">
        <w:rPr>
          <w:rFonts w:ascii="Times New Roman" w:hAnsi="Times New Roman" w:cs="Times New Roman"/>
          <w:sz w:val="24"/>
          <w:szCs w:val="24"/>
        </w:rPr>
        <w:t xml:space="preserve">a negative relationship among these two factors in Conventional ones. The implication of this result is increased GDP of an economy raises the net income and operating expenses, the two consisting factors of operating efficiency </w:t>
      </w:r>
      <w:r w:rsidR="008269C8">
        <w:rPr>
          <w:rFonts w:ascii="Times New Roman" w:hAnsi="Times New Roman" w:cs="Times New Roman"/>
          <w:sz w:val="24"/>
          <w:szCs w:val="24"/>
        </w:rPr>
        <w:t xml:space="preserve">in case of Islamic banks but for the conventional the result is opposite. </w:t>
      </w:r>
      <w:r w:rsidR="001E71FB">
        <w:rPr>
          <w:rFonts w:ascii="Times New Roman" w:hAnsi="Times New Roman" w:cs="Times New Roman"/>
          <w:sz w:val="24"/>
          <w:szCs w:val="24"/>
        </w:rPr>
        <w:t>Table 13and 14</w:t>
      </w:r>
      <w:r w:rsidR="001435F7">
        <w:rPr>
          <w:rFonts w:ascii="Times New Roman" w:hAnsi="Times New Roman" w:cs="Times New Roman"/>
          <w:sz w:val="24"/>
          <w:szCs w:val="24"/>
        </w:rPr>
        <w:t xml:space="preserve">also showed </w:t>
      </w:r>
      <w:r w:rsidR="005A5AF3">
        <w:rPr>
          <w:rFonts w:ascii="Times New Roman" w:hAnsi="Times New Roman" w:cs="Times New Roman"/>
          <w:sz w:val="24"/>
          <w:szCs w:val="24"/>
        </w:rPr>
        <w:t xml:space="preserve">higher dependence of return on equity (ROE) on GDP for Islamic banks compared to the conventional ones which also enjoyed a positive relationship between the two aforementioned factors but the strength of linearity is weaker. </w:t>
      </w:r>
      <w:r w:rsidR="00363BF3">
        <w:rPr>
          <w:rFonts w:ascii="Times New Roman" w:hAnsi="Times New Roman" w:cs="Times New Roman"/>
          <w:sz w:val="24"/>
          <w:szCs w:val="24"/>
        </w:rPr>
        <w:t>In terms of establishing linear relationships, capital adequacy is negatively correlated with ROE for conventiona</w:t>
      </w:r>
      <w:r w:rsidR="00DC0734">
        <w:rPr>
          <w:rFonts w:ascii="Times New Roman" w:hAnsi="Times New Roman" w:cs="Times New Roman"/>
          <w:sz w:val="24"/>
          <w:szCs w:val="24"/>
        </w:rPr>
        <w:t>l banks while for Islamic banks; there exists</w:t>
      </w:r>
      <w:r w:rsidR="004446BF">
        <w:rPr>
          <w:rFonts w:ascii="Times New Roman" w:hAnsi="Times New Roman" w:cs="Times New Roman"/>
          <w:sz w:val="24"/>
          <w:szCs w:val="24"/>
        </w:rPr>
        <w:t xml:space="preserve"> a strong positive linear relation </w:t>
      </w:r>
      <w:r w:rsidR="00DC0734">
        <w:rPr>
          <w:rFonts w:ascii="Times New Roman" w:hAnsi="Times New Roman" w:cs="Times New Roman"/>
          <w:sz w:val="24"/>
          <w:szCs w:val="24"/>
        </w:rPr>
        <w:t>between ROE and capital adequacy</w:t>
      </w:r>
      <w:r w:rsidR="000162A3">
        <w:rPr>
          <w:rFonts w:ascii="Times New Roman" w:hAnsi="Times New Roman" w:cs="Times New Roman"/>
          <w:sz w:val="24"/>
          <w:szCs w:val="24"/>
        </w:rPr>
        <w:t xml:space="preserve"> as depicted by tables 13 and 14.</w:t>
      </w:r>
    </w:p>
    <w:p w:rsidR="006712D0" w:rsidRPr="007E7258" w:rsidRDefault="006712D0" w:rsidP="007E7258">
      <w:pPr>
        <w:pStyle w:val="Heading2"/>
      </w:pPr>
      <w:bookmarkStart w:id="100" w:name="_Toc2075060"/>
      <w:r w:rsidRPr="007E7258">
        <w:t>Regression</w:t>
      </w:r>
      <w:bookmarkEnd w:id="100"/>
    </w:p>
    <w:p w:rsidR="000162A3" w:rsidRPr="00B56ADF" w:rsidRDefault="000162A3" w:rsidP="000162A3">
      <w:pPr>
        <w:pStyle w:val="Heading3"/>
        <w:rPr>
          <w:color w:val="auto"/>
        </w:rPr>
      </w:pPr>
      <w:bookmarkStart w:id="101" w:name="_Toc2075061"/>
      <w:r w:rsidRPr="00B56ADF">
        <w:rPr>
          <w:color w:val="auto"/>
        </w:rPr>
        <w:t>Model Summary</w:t>
      </w:r>
      <w:bookmarkEnd w:id="101"/>
    </w:p>
    <w:p w:rsidR="000929D9" w:rsidRDefault="000929D9" w:rsidP="000929D9">
      <w:pPr>
        <w:spacing w:line="480" w:lineRule="auto"/>
        <w:ind w:firstLine="720"/>
        <w:rPr>
          <w:rFonts w:ascii="Times New Roman" w:hAnsi="Times New Roman" w:cs="Times New Roman"/>
          <w:sz w:val="24"/>
          <w:szCs w:val="24"/>
        </w:rPr>
      </w:pPr>
      <w:r w:rsidRPr="00373AC7">
        <w:rPr>
          <w:rFonts w:ascii="Times New Roman" w:hAnsi="Times New Roman" w:cs="Times New Roman"/>
          <w:sz w:val="24"/>
          <w:szCs w:val="24"/>
        </w:rPr>
        <w:t>As observed from table 15</w:t>
      </w:r>
      <w:r>
        <w:rPr>
          <w:rFonts w:ascii="Times New Roman" w:hAnsi="Times New Roman" w:cs="Times New Roman"/>
          <w:sz w:val="24"/>
          <w:szCs w:val="24"/>
        </w:rPr>
        <w:t xml:space="preserve"> of Appendix</w:t>
      </w:r>
      <w:r w:rsidRPr="00373AC7">
        <w:rPr>
          <w:rFonts w:ascii="Times New Roman" w:hAnsi="Times New Roman" w:cs="Times New Roman"/>
          <w:sz w:val="24"/>
          <w:szCs w:val="24"/>
        </w:rPr>
        <w:t xml:space="preserve">, the value of R-square is 0.985, indicating that 98.5 percent of the total variance in return on equity can be explained by the rest of the independent variables or the predictors. While on the other side, in case of the Islamic banks, the R-square vale is 0.972, thereby showing that approximately 97.2 percent can be explained (table 16). This represents the overall measure of the degree of association rather than reflecting the extent to which any particular predictor has been associated with the dependent variable. </w:t>
      </w:r>
      <w:r>
        <w:rPr>
          <w:rFonts w:ascii="Times New Roman" w:hAnsi="Times New Roman" w:cs="Times New Roman"/>
          <w:sz w:val="24"/>
          <w:szCs w:val="24"/>
        </w:rPr>
        <w:t>Also, considering the value of the adjusted R-square, it can be observed that it came to 0.975 and 0.956 in case of conventional and Islamic banks respectively, after penalising the addition of extraneous independent variables to the model. As the R-squared value is larger in case of the Islamic banks, hence it can be said that the regression model fits the observations in this case in a better way.</w:t>
      </w:r>
    </w:p>
    <w:p w:rsidR="000162A3" w:rsidRPr="00B56ADF" w:rsidRDefault="000162A3" w:rsidP="00B56ADF">
      <w:pPr>
        <w:pStyle w:val="Heading3"/>
        <w:rPr>
          <w:rFonts w:ascii="Times New Roman" w:hAnsi="Times New Roman" w:cs="Times New Roman"/>
          <w:color w:val="auto"/>
          <w:sz w:val="24"/>
          <w:szCs w:val="24"/>
        </w:rPr>
      </w:pPr>
      <w:bookmarkStart w:id="102" w:name="_Toc2075062"/>
      <w:r w:rsidRPr="00B56ADF">
        <w:rPr>
          <w:color w:val="auto"/>
        </w:rPr>
        <w:t>ANOVA</w:t>
      </w:r>
      <w:bookmarkEnd w:id="102"/>
    </w:p>
    <w:p w:rsidR="00C66B22" w:rsidRPr="00373AC7" w:rsidRDefault="00C66B22" w:rsidP="00C66B2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Looking at the tables 17 and 18 provided in Appendix, it can be observed that in both the cases, the regression model has predicted return on equity very significantly. The statistical significance of both these models reveals that the p-value is less than 0.05. This in turn, indicates that the models statistically significantly predicted the outcome variable, and hence the models are good fit for the data. Moreover, data from both the banks has a statistically significant difference in the average length of time to analyse the </w:t>
      </w:r>
      <w:r>
        <w:rPr>
          <w:rFonts w:ascii="Times New Roman" w:hAnsi="Times New Roman" w:cs="Times New Roman"/>
          <w:sz w:val="24"/>
          <w:szCs w:val="24"/>
        </w:rPr>
        <w:lastRenderedPageBreak/>
        <w:t>entire problem as the F values are positive, indicating the acceptability of the explanatory powers of the predictors.</w:t>
      </w:r>
    </w:p>
    <w:p w:rsidR="000162A3" w:rsidRPr="00B56ADF" w:rsidRDefault="000162A3" w:rsidP="000162A3">
      <w:pPr>
        <w:pStyle w:val="Heading3"/>
        <w:rPr>
          <w:color w:val="auto"/>
        </w:rPr>
      </w:pPr>
      <w:bookmarkStart w:id="103" w:name="_Toc2075063"/>
      <w:r w:rsidRPr="00B56ADF">
        <w:rPr>
          <w:color w:val="auto"/>
        </w:rPr>
        <w:t>Coefficients</w:t>
      </w:r>
      <w:bookmarkEnd w:id="103"/>
    </w:p>
    <w:p w:rsidR="00C57E7D" w:rsidRDefault="00C57E7D" w:rsidP="00C57E7D">
      <w:pPr>
        <w:spacing w:line="480" w:lineRule="auto"/>
        <w:ind w:firstLine="720"/>
        <w:rPr>
          <w:rFonts w:ascii="Times New Roman" w:hAnsi="Times New Roman" w:cs="Times New Roman"/>
          <w:sz w:val="24"/>
          <w:szCs w:val="24"/>
        </w:rPr>
      </w:pPr>
      <w:bookmarkStart w:id="104" w:name="_Toc1738630"/>
      <w:r w:rsidRPr="004206CB">
        <w:rPr>
          <w:rFonts w:ascii="Times New Roman" w:hAnsi="Times New Roman" w:cs="Times New Roman"/>
          <w:sz w:val="24"/>
          <w:szCs w:val="24"/>
        </w:rPr>
        <w:t xml:space="preserve">The coefficient table in SPSS regression analysis generally showed the parameter estimates for the dependant variables based on the predictors (the independent variables) </w:t>
      </w:r>
      <w:r>
        <w:rPr>
          <w:rFonts w:ascii="Times New Roman" w:hAnsi="Times New Roman" w:cs="Times New Roman"/>
          <w:sz w:val="24"/>
          <w:szCs w:val="24"/>
        </w:rPr>
        <w:t xml:space="preserve">such as capital adequacy, bank size, operating efficiency, GDP growth rate of the economy in which the banks (in case of Islamic banks) or the headquarters of the banks (in case of the headquarters of the Conventional ones) are situated. First considering one of the most important predictors, capital adequacy; the negative coefficient would implicate the higher capital adequacy is related to lower ROE for both the conventional and Islamic banks. However, the p values displayed by the asymptotic significance indicated the fact that the above mentioned result is highly statistically significant for the Islamic banks compared to the conventional ones as the respective value is less than 0.05. Next, focusing on operating efficiency (OE), the </w:t>
      </w:r>
      <w:r w:rsidR="00AE50BC">
        <w:rPr>
          <w:rFonts w:ascii="Times New Roman" w:hAnsi="Times New Roman" w:cs="Times New Roman"/>
          <w:sz w:val="24"/>
          <w:szCs w:val="24"/>
        </w:rPr>
        <w:t>P-</w:t>
      </w:r>
      <w:r>
        <w:rPr>
          <w:rFonts w:ascii="Times New Roman" w:hAnsi="Times New Roman" w:cs="Times New Roman"/>
          <w:sz w:val="24"/>
          <w:szCs w:val="24"/>
        </w:rPr>
        <w:t xml:space="preserve"> values as depicted in table19, </w:t>
      </w:r>
      <w:r w:rsidR="001F4974">
        <w:rPr>
          <w:rFonts w:ascii="Times New Roman" w:hAnsi="Times New Roman" w:cs="Times New Roman"/>
          <w:sz w:val="24"/>
          <w:szCs w:val="24"/>
        </w:rPr>
        <w:t xml:space="preserve"> </w:t>
      </w:r>
      <w:r>
        <w:rPr>
          <w:rFonts w:ascii="Times New Roman" w:hAnsi="Times New Roman" w:cs="Times New Roman"/>
          <w:sz w:val="24"/>
          <w:szCs w:val="24"/>
        </w:rPr>
        <w:t xml:space="preserve">showed a zero effect of OE on ROE for conventional banks and according to table 20 in Appendix, the resulting outcome is negative which would indicate the greater the proportion of non-interest expenses the lesser the net income and the smaller the amount of ROE in case of Islamic banks. This result of conventional bank is statistically insignificant as the p value is greater than 0.05. In terms of GDP growth rate, the results are insignificant for both types of banks but the negative coefficient of conventional ones would indicate the fact higher GDP of an economy is related with lower financial performance of the conventional banks. On the other hand, there is a presence of positive effect of GDP growth rate on ROE from the perspective of Islamic banks. These results conducted on SPSS software have basically provided a backup to the ratio analysis and figures generated on Excel. </w:t>
      </w:r>
    </w:p>
    <w:p w:rsidR="00061B4D" w:rsidRPr="00C57E7D" w:rsidRDefault="00061B4D" w:rsidP="00C57E7D">
      <w:pPr>
        <w:pStyle w:val="Heading1"/>
        <w:rPr>
          <w:color w:val="auto"/>
        </w:rPr>
      </w:pPr>
      <w:bookmarkStart w:id="105" w:name="_Toc2075064"/>
      <w:r w:rsidRPr="00C57E7D">
        <w:rPr>
          <w:color w:val="auto"/>
        </w:rPr>
        <w:t>Chapter 5: Findings, Conclusion and Recommendations</w:t>
      </w:r>
      <w:bookmarkEnd w:id="104"/>
      <w:bookmarkEnd w:id="105"/>
    </w:p>
    <w:p w:rsidR="00061B4D" w:rsidRPr="00E51C23" w:rsidRDefault="00061B4D" w:rsidP="00061B4D">
      <w:pPr>
        <w:spacing w:line="480" w:lineRule="auto"/>
        <w:ind w:firstLine="720"/>
        <w:rPr>
          <w:rFonts w:ascii="Times New Roman" w:hAnsi="Times New Roman" w:cs="Times New Roman"/>
          <w:sz w:val="24"/>
          <w:szCs w:val="24"/>
        </w:rPr>
      </w:pPr>
      <w:r w:rsidRPr="00E51C23">
        <w:rPr>
          <w:rFonts w:ascii="Times New Roman" w:hAnsi="Times New Roman" w:cs="Times New Roman"/>
          <w:sz w:val="24"/>
          <w:szCs w:val="24"/>
        </w:rPr>
        <w:t xml:space="preserve">This chapter would evaluate </w:t>
      </w:r>
      <w:r>
        <w:rPr>
          <w:rFonts w:ascii="Times New Roman" w:hAnsi="Times New Roman" w:cs="Times New Roman"/>
          <w:sz w:val="24"/>
          <w:szCs w:val="24"/>
        </w:rPr>
        <w:t>the alignment of the results that have been found from the data analyses with the theories reviewed in literature. From the discussion, some concluding statements have been drawn to identify the limitations of the study based on the research insight arguments and accordingly reasonable recommendations would be presented to minimise the gaps for further research.</w:t>
      </w:r>
    </w:p>
    <w:p w:rsidR="00061B4D" w:rsidRPr="007D4FF2" w:rsidRDefault="00061B4D" w:rsidP="00061B4D">
      <w:pPr>
        <w:pStyle w:val="Heading2"/>
        <w:rPr>
          <w:rFonts w:ascii="Cambria" w:hAnsi="Cambria"/>
        </w:rPr>
      </w:pPr>
      <w:bookmarkStart w:id="106" w:name="_Toc1738631"/>
      <w:bookmarkStart w:id="107" w:name="_Toc2075065"/>
      <w:r w:rsidRPr="007D4FF2">
        <w:rPr>
          <w:rFonts w:ascii="Cambria" w:hAnsi="Cambria"/>
        </w:rPr>
        <w:lastRenderedPageBreak/>
        <w:t>Discussion of the Findings</w:t>
      </w:r>
      <w:bookmarkEnd w:id="106"/>
      <w:bookmarkEnd w:id="107"/>
    </w:p>
    <w:p w:rsidR="00061B4D" w:rsidRDefault="00061B4D" w:rsidP="00061B4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From the ratio analysis done on Excel, the comparison on different internal factors of two types of banks has been stated while the SPSS analysis showed the influence of various internal factors on the financial performance of the banking institutions. </w:t>
      </w:r>
    </w:p>
    <w:p w:rsidR="00061B4D" w:rsidRPr="00B56ADF" w:rsidRDefault="00061B4D" w:rsidP="00B56ADF">
      <w:pPr>
        <w:pStyle w:val="Heading3"/>
        <w:rPr>
          <w:color w:val="auto"/>
        </w:rPr>
      </w:pPr>
      <w:bookmarkStart w:id="108" w:name="_Toc2075066"/>
      <w:r w:rsidRPr="00B56ADF">
        <w:rPr>
          <w:color w:val="auto"/>
        </w:rPr>
        <w:t>Capital Adequacy</w:t>
      </w:r>
      <w:bookmarkEnd w:id="108"/>
    </w:p>
    <w:p w:rsidR="00061B4D" w:rsidRDefault="00061B4D" w:rsidP="00061B4D">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increased growth found in the resulting outcome in terms of ratio calculation of the conventional bank type, is in line with the study reviewed in literature</w:t>
      </w:r>
      <w:r w:rsidR="002A7500">
        <w:rPr>
          <w:rFonts w:ascii="Times New Roman" w:hAnsi="Times New Roman" w:cs="Times New Roman"/>
          <w:sz w:val="24"/>
          <w:szCs w:val="24"/>
        </w:rPr>
        <w:t>,</w:t>
      </w:r>
      <w:r>
        <w:rPr>
          <w:rFonts w:ascii="Times New Roman" w:hAnsi="Times New Roman" w:cs="Times New Roman"/>
          <w:sz w:val="24"/>
          <w:szCs w:val="24"/>
        </w:rPr>
        <w:t xml:space="preserve"> which stated that due to greater availability of data for the commercial ones and hence the impact of this internal factor on return on the financial performances is clearly visible to the public compared to the Islamic ones. Further to this, the difference between capital adequacy in conventional and Islamic banks</w:t>
      </w:r>
      <w:r w:rsidR="002A7500">
        <w:rPr>
          <w:rFonts w:ascii="Times New Roman" w:hAnsi="Times New Roman" w:cs="Times New Roman"/>
          <w:sz w:val="24"/>
          <w:szCs w:val="24"/>
        </w:rPr>
        <w:t>,</w:t>
      </w:r>
      <w:r>
        <w:rPr>
          <w:rFonts w:ascii="Times New Roman" w:hAnsi="Times New Roman" w:cs="Times New Roman"/>
          <w:sz w:val="24"/>
          <w:szCs w:val="24"/>
        </w:rPr>
        <w:t xml:space="preserve"> in terms of identifying the impact on financial performance</w:t>
      </w:r>
      <w:r w:rsidR="002A7500">
        <w:rPr>
          <w:rFonts w:ascii="Times New Roman" w:hAnsi="Times New Roman" w:cs="Times New Roman"/>
          <w:sz w:val="24"/>
          <w:szCs w:val="24"/>
        </w:rPr>
        <w:t>,</w:t>
      </w:r>
      <w:r>
        <w:rPr>
          <w:rFonts w:ascii="Times New Roman" w:hAnsi="Times New Roman" w:cs="Times New Roman"/>
          <w:sz w:val="24"/>
          <w:szCs w:val="24"/>
        </w:rPr>
        <w:t xml:space="preserve"> is stretched by Mollah and Zaman (2015), stating that applying the same set of rules in both types of banks despite their huge differences in capital availability. The slower growth of CAR over the years during 20</w:t>
      </w:r>
      <w:r w:rsidR="002A7500">
        <w:rPr>
          <w:rFonts w:ascii="Times New Roman" w:hAnsi="Times New Roman" w:cs="Times New Roman"/>
          <w:sz w:val="24"/>
          <w:szCs w:val="24"/>
        </w:rPr>
        <w:t>1</w:t>
      </w:r>
      <w:r>
        <w:rPr>
          <w:rFonts w:ascii="Times New Roman" w:hAnsi="Times New Roman" w:cs="Times New Roman"/>
          <w:sz w:val="24"/>
          <w:szCs w:val="24"/>
        </w:rPr>
        <w:t>2 to 2017 in Islamic banks owing to low capital availability sometimes help</w:t>
      </w:r>
      <w:r w:rsidR="002A7500">
        <w:rPr>
          <w:rFonts w:ascii="Times New Roman" w:hAnsi="Times New Roman" w:cs="Times New Roman"/>
          <w:sz w:val="24"/>
          <w:szCs w:val="24"/>
        </w:rPr>
        <w:t>s them gain</w:t>
      </w:r>
      <w:r>
        <w:rPr>
          <w:rFonts w:ascii="Times New Roman" w:hAnsi="Times New Roman" w:cs="Times New Roman"/>
          <w:sz w:val="24"/>
          <w:szCs w:val="24"/>
        </w:rPr>
        <w:t xml:space="preserve"> more revenue</w:t>
      </w:r>
      <w:r w:rsidR="002A7500">
        <w:rPr>
          <w:rFonts w:ascii="Times New Roman" w:hAnsi="Times New Roman" w:cs="Times New Roman"/>
          <w:sz w:val="24"/>
          <w:szCs w:val="24"/>
        </w:rPr>
        <w:t>,</w:t>
      </w:r>
      <w:r>
        <w:rPr>
          <w:rFonts w:ascii="Times New Roman" w:hAnsi="Times New Roman" w:cs="Times New Roman"/>
          <w:sz w:val="24"/>
          <w:szCs w:val="24"/>
        </w:rPr>
        <w:t xml:space="preserve"> as its relation with profitability is negative, evident from the literature review. Added to this, Islamic banks with high CAR</w:t>
      </w:r>
      <w:r w:rsidR="002A7500">
        <w:rPr>
          <w:rFonts w:ascii="Times New Roman" w:hAnsi="Times New Roman" w:cs="Times New Roman"/>
          <w:sz w:val="24"/>
          <w:szCs w:val="24"/>
        </w:rPr>
        <w:t>,</w:t>
      </w:r>
      <w:r>
        <w:rPr>
          <w:rFonts w:ascii="Times New Roman" w:hAnsi="Times New Roman" w:cs="Times New Roman"/>
          <w:sz w:val="24"/>
          <w:szCs w:val="24"/>
        </w:rPr>
        <w:t xml:space="preserve"> like HSBC Amanah Berhad</w:t>
      </w:r>
      <w:r w:rsidR="002A7500">
        <w:rPr>
          <w:rFonts w:ascii="Times New Roman" w:hAnsi="Times New Roman" w:cs="Times New Roman"/>
          <w:sz w:val="24"/>
          <w:szCs w:val="24"/>
        </w:rPr>
        <w:t>,</w:t>
      </w:r>
      <w:r>
        <w:rPr>
          <w:rFonts w:ascii="Times New Roman" w:hAnsi="Times New Roman" w:cs="Times New Roman"/>
          <w:sz w:val="24"/>
          <w:szCs w:val="24"/>
        </w:rPr>
        <w:t xml:space="preserve"> ha</w:t>
      </w:r>
      <w:r w:rsidR="002A7500">
        <w:rPr>
          <w:rFonts w:ascii="Times New Roman" w:hAnsi="Times New Roman" w:cs="Times New Roman"/>
          <w:sz w:val="24"/>
          <w:szCs w:val="24"/>
        </w:rPr>
        <w:t>ve</w:t>
      </w:r>
      <w:r>
        <w:rPr>
          <w:rFonts w:ascii="Times New Roman" w:hAnsi="Times New Roman" w:cs="Times New Roman"/>
          <w:sz w:val="24"/>
          <w:szCs w:val="24"/>
        </w:rPr>
        <w:t xml:space="preserve"> the ability to </w:t>
      </w:r>
      <w:r w:rsidRPr="00BC18D1">
        <w:rPr>
          <w:rFonts w:ascii="Times New Roman" w:hAnsi="Times New Roman" w:cs="Times New Roman"/>
          <w:sz w:val="24"/>
          <w:szCs w:val="24"/>
        </w:rPr>
        <w:t>receive or acquire funds at a cheaper rate</w:t>
      </w:r>
      <w:r w:rsidR="002A7500">
        <w:rPr>
          <w:rFonts w:ascii="Times New Roman" w:hAnsi="Times New Roman" w:cs="Times New Roman"/>
          <w:sz w:val="24"/>
          <w:szCs w:val="24"/>
        </w:rPr>
        <w:t>, w</w:t>
      </w:r>
      <w:r w:rsidRPr="00BC18D1">
        <w:rPr>
          <w:rFonts w:ascii="Times New Roman" w:hAnsi="Times New Roman" w:cs="Times New Roman"/>
          <w:sz w:val="24"/>
          <w:szCs w:val="24"/>
        </w:rPr>
        <w:t>h</w:t>
      </w:r>
      <w:r w:rsidR="002A7500">
        <w:rPr>
          <w:rFonts w:ascii="Times New Roman" w:hAnsi="Times New Roman" w:cs="Times New Roman"/>
          <w:sz w:val="24"/>
          <w:szCs w:val="24"/>
        </w:rPr>
        <w:t>ich</w:t>
      </w:r>
      <w:r w:rsidRPr="00BC18D1">
        <w:rPr>
          <w:rFonts w:ascii="Times New Roman" w:hAnsi="Times New Roman" w:cs="Times New Roman"/>
          <w:sz w:val="24"/>
          <w:szCs w:val="24"/>
        </w:rPr>
        <w:t xml:space="preserve"> again helps in its profitability</w:t>
      </w:r>
      <w:r>
        <w:rPr>
          <w:rFonts w:ascii="Times New Roman" w:hAnsi="Times New Roman" w:cs="Times New Roman"/>
          <w:sz w:val="24"/>
          <w:szCs w:val="24"/>
        </w:rPr>
        <w:t xml:space="preserve"> as opined</w:t>
      </w:r>
      <w:r w:rsidRPr="00BC18D1">
        <w:rPr>
          <w:rFonts w:ascii="Times New Roman" w:hAnsi="Times New Roman" w:cs="Times New Roman"/>
          <w:sz w:val="24"/>
          <w:szCs w:val="24"/>
        </w:rPr>
        <w:t xml:space="preserve"> by Johnes et al. (2014).</w:t>
      </w:r>
      <w:r>
        <w:rPr>
          <w:rFonts w:ascii="Times New Roman" w:hAnsi="Times New Roman" w:cs="Times New Roman"/>
          <w:sz w:val="24"/>
          <w:szCs w:val="24"/>
        </w:rPr>
        <w:t xml:space="preserve"> Also, the finding of higher standard deviation from descriptive statistics analysis regarding risk taking capacity in terms of CAR has shown higher capacity for the Islamic banks compared to the conventional ones owing to the fact that in Islamic banks transactions are associated with more risk which affect the financial performance. In the context of conventional banks, the noticeable fluctuations that have been found from the ratio analysis prove the statement of Waemustafa, and Sukri</w:t>
      </w:r>
      <w:r w:rsidR="002D5DC5">
        <w:rPr>
          <w:rFonts w:ascii="Times New Roman" w:hAnsi="Times New Roman" w:cs="Times New Roman"/>
          <w:sz w:val="24"/>
          <w:szCs w:val="24"/>
        </w:rPr>
        <w:t xml:space="preserve"> </w:t>
      </w:r>
      <w:r>
        <w:rPr>
          <w:rFonts w:ascii="Times New Roman" w:hAnsi="Times New Roman" w:cs="Times New Roman"/>
          <w:sz w:val="24"/>
          <w:szCs w:val="24"/>
        </w:rPr>
        <w:t>(</w:t>
      </w:r>
      <w:r w:rsidRPr="00D6028B">
        <w:rPr>
          <w:rFonts w:ascii="Times New Roman" w:hAnsi="Times New Roman" w:cs="Times New Roman"/>
          <w:sz w:val="24"/>
          <w:szCs w:val="24"/>
        </w:rPr>
        <w:t>2015</w:t>
      </w:r>
      <w:r>
        <w:rPr>
          <w:rFonts w:ascii="Times New Roman" w:hAnsi="Times New Roman" w:cs="Times New Roman"/>
          <w:sz w:val="24"/>
          <w:szCs w:val="24"/>
        </w:rPr>
        <w:t>) regarding taking careful actions by the conventional ones</w:t>
      </w:r>
      <w:r w:rsidR="002A7500">
        <w:rPr>
          <w:rFonts w:ascii="Times New Roman" w:hAnsi="Times New Roman" w:cs="Times New Roman"/>
          <w:sz w:val="24"/>
          <w:szCs w:val="24"/>
        </w:rPr>
        <w:t>,</w:t>
      </w:r>
      <w:r>
        <w:rPr>
          <w:rFonts w:ascii="Times New Roman" w:hAnsi="Times New Roman" w:cs="Times New Roman"/>
          <w:sz w:val="24"/>
          <w:szCs w:val="24"/>
        </w:rPr>
        <w:t xml:space="preserve"> </w:t>
      </w:r>
      <w:r w:rsidRPr="00D6028B">
        <w:rPr>
          <w:rFonts w:ascii="Times New Roman" w:hAnsi="Times New Roman" w:cs="Times New Roman"/>
          <w:sz w:val="24"/>
          <w:szCs w:val="24"/>
        </w:rPr>
        <w:t>before entering into transactions which save them from a lot of risks</w:t>
      </w:r>
      <w:r w:rsidR="002A7500">
        <w:rPr>
          <w:rFonts w:ascii="Times New Roman" w:hAnsi="Times New Roman" w:cs="Times New Roman"/>
          <w:sz w:val="24"/>
          <w:szCs w:val="24"/>
        </w:rPr>
        <w:t>,</w:t>
      </w:r>
      <w:r w:rsidRPr="00D6028B">
        <w:rPr>
          <w:rFonts w:ascii="Times New Roman" w:hAnsi="Times New Roman" w:cs="Times New Roman"/>
          <w:sz w:val="24"/>
          <w:szCs w:val="24"/>
        </w:rPr>
        <w:t xml:space="preserve"> which in turn affects their profitability in a positive way</w:t>
      </w:r>
      <w:r>
        <w:rPr>
          <w:rFonts w:ascii="Times New Roman" w:hAnsi="Times New Roman" w:cs="Times New Roman"/>
          <w:sz w:val="24"/>
          <w:szCs w:val="24"/>
        </w:rPr>
        <w:t xml:space="preserve">. </w:t>
      </w:r>
    </w:p>
    <w:p w:rsidR="00061B4D" w:rsidRPr="00B56ADF" w:rsidRDefault="00061B4D" w:rsidP="00B56ADF">
      <w:pPr>
        <w:pStyle w:val="Heading3"/>
        <w:rPr>
          <w:color w:val="auto"/>
        </w:rPr>
      </w:pPr>
      <w:bookmarkStart w:id="109" w:name="_Toc2075067"/>
      <w:r w:rsidRPr="00B56ADF">
        <w:rPr>
          <w:color w:val="auto"/>
        </w:rPr>
        <w:t>Return on Equity</w:t>
      </w:r>
      <w:bookmarkEnd w:id="109"/>
    </w:p>
    <w:p w:rsidR="00061B4D" w:rsidRDefault="00061B4D" w:rsidP="00061B4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resulting outcome that has been found from the ROE ratio calculation validated the statement reviewed in literature that, Islamic banks had higher ROE compared to the conventional ones. But the degrees of fluctuations in ROE were also found to be smaller for the conventional banks relative to the </w:t>
      </w:r>
      <w:r>
        <w:rPr>
          <w:rFonts w:ascii="Times New Roman" w:hAnsi="Times New Roman" w:cs="Times New Roman"/>
          <w:sz w:val="24"/>
          <w:szCs w:val="24"/>
        </w:rPr>
        <w:lastRenderedPageBreak/>
        <w:t xml:space="preserve">Islamic ones during the period of 2012 to 2017. This result might have generated owing to the fact that longer historical provides the power of domination to the conventional banks in terms of getting access to shareholder’s assets as opined by </w:t>
      </w:r>
      <w:r w:rsidRPr="00A93829">
        <w:rPr>
          <w:rFonts w:ascii="Times New Roman" w:hAnsi="Times New Roman" w:cs="Times New Roman"/>
          <w:sz w:val="24"/>
          <w:szCs w:val="24"/>
        </w:rPr>
        <w:t>Zaheer and Jamil</w:t>
      </w:r>
      <w:r>
        <w:rPr>
          <w:rFonts w:ascii="Times New Roman" w:hAnsi="Times New Roman" w:cs="Times New Roman"/>
          <w:sz w:val="24"/>
          <w:szCs w:val="24"/>
        </w:rPr>
        <w:t xml:space="preserve"> (2016). As a result, the ROE for the conventional banks has been found to be quite smaller compared to the Islamic ones captured through the ratio analysis. The negative correlation between CAR and ROE justi</w:t>
      </w:r>
      <w:r w:rsidR="00236CC3">
        <w:rPr>
          <w:rFonts w:ascii="Times New Roman" w:hAnsi="Times New Roman" w:cs="Times New Roman"/>
          <w:sz w:val="24"/>
          <w:szCs w:val="24"/>
        </w:rPr>
        <w:t>fied the quotation of Moin (2008</w:t>
      </w:r>
      <w:r>
        <w:rPr>
          <w:rFonts w:ascii="Times New Roman" w:hAnsi="Times New Roman" w:cs="Times New Roman"/>
          <w:sz w:val="24"/>
          <w:szCs w:val="24"/>
        </w:rPr>
        <w:t xml:space="preserve">) who stated that, </w:t>
      </w:r>
      <w:r w:rsidRPr="00AC2B7E">
        <w:rPr>
          <w:rFonts w:ascii="Times New Roman" w:hAnsi="Times New Roman" w:cs="Times New Roman"/>
          <w:sz w:val="24"/>
          <w:szCs w:val="24"/>
        </w:rPr>
        <w:t>conventional banks are more exposed to risk and lesser solvent than the Islamic banks due to high profitability</w:t>
      </w:r>
      <w:r>
        <w:rPr>
          <w:rFonts w:ascii="Times New Roman" w:hAnsi="Times New Roman" w:cs="Times New Roman"/>
          <w:sz w:val="24"/>
          <w:szCs w:val="24"/>
        </w:rPr>
        <w:t xml:space="preserve"> maintenance of the conventional ones. </w:t>
      </w:r>
    </w:p>
    <w:p w:rsidR="00061B4D" w:rsidRPr="00B56ADF" w:rsidRDefault="00061B4D" w:rsidP="00B56ADF">
      <w:pPr>
        <w:pStyle w:val="Heading3"/>
        <w:rPr>
          <w:color w:val="auto"/>
        </w:rPr>
      </w:pPr>
      <w:bookmarkStart w:id="110" w:name="_Toc2075068"/>
      <w:r w:rsidRPr="00B56ADF">
        <w:rPr>
          <w:color w:val="auto"/>
        </w:rPr>
        <w:t>Bank Size, Operating Efficiency and GDP Growth Rate</w:t>
      </w:r>
      <w:bookmarkEnd w:id="110"/>
    </w:p>
    <w:p w:rsidR="00061B4D" w:rsidRDefault="00061B4D" w:rsidP="00061B4D">
      <w:pPr>
        <w:spacing w:line="480" w:lineRule="auto"/>
        <w:ind w:firstLine="720"/>
        <w:rPr>
          <w:rFonts w:ascii="Times New Roman" w:hAnsi="Times New Roman" w:cs="Times New Roman"/>
          <w:sz w:val="24"/>
          <w:szCs w:val="24"/>
        </w:rPr>
      </w:pPr>
      <w:r w:rsidRPr="009B4261">
        <w:rPr>
          <w:rFonts w:ascii="Times New Roman" w:hAnsi="Times New Roman" w:cs="Times New Roman"/>
          <w:sz w:val="24"/>
          <w:szCs w:val="24"/>
        </w:rPr>
        <w:t xml:space="preserve">From the </w:t>
      </w:r>
      <w:r>
        <w:rPr>
          <w:rFonts w:ascii="Times New Roman" w:hAnsi="Times New Roman" w:cs="Times New Roman"/>
          <w:sz w:val="24"/>
          <w:szCs w:val="24"/>
        </w:rPr>
        <w:t xml:space="preserve">comparison made on Conventional and Islamic Banks in terms of size, it has been found that Islamic banks were growing in size during the years which justified the opinion of Moin </w:t>
      </w:r>
      <w:r w:rsidR="00BF0FCB">
        <w:rPr>
          <w:rFonts w:ascii="Times New Roman" w:hAnsi="Times New Roman" w:cs="Times New Roman"/>
          <w:sz w:val="24"/>
          <w:szCs w:val="24"/>
        </w:rPr>
        <w:t xml:space="preserve">(2008) </w:t>
      </w:r>
      <w:r>
        <w:rPr>
          <w:rFonts w:ascii="Times New Roman" w:hAnsi="Times New Roman" w:cs="Times New Roman"/>
          <w:sz w:val="24"/>
          <w:szCs w:val="24"/>
        </w:rPr>
        <w:t xml:space="preserve">that </w:t>
      </w:r>
      <w:r w:rsidRPr="00304865">
        <w:rPr>
          <w:rFonts w:ascii="Times New Roman" w:hAnsi="Times New Roman" w:cs="Times New Roman"/>
          <w:sz w:val="24"/>
          <w:szCs w:val="24"/>
        </w:rPr>
        <w:t xml:space="preserve">the </w:t>
      </w:r>
      <w:r>
        <w:rPr>
          <w:rFonts w:ascii="Times New Roman" w:hAnsi="Times New Roman" w:cs="Times New Roman"/>
          <w:sz w:val="24"/>
          <w:szCs w:val="24"/>
        </w:rPr>
        <w:t xml:space="preserve">performance of Islamic banks could get </w:t>
      </w:r>
      <w:r w:rsidRPr="00304865">
        <w:rPr>
          <w:rFonts w:ascii="Times New Roman" w:hAnsi="Times New Roman" w:cs="Times New Roman"/>
          <w:sz w:val="24"/>
          <w:szCs w:val="24"/>
        </w:rPr>
        <w:t>far be</w:t>
      </w:r>
      <w:r>
        <w:rPr>
          <w:rFonts w:ascii="Times New Roman" w:hAnsi="Times New Roman" w:cs="Times New Roman"/>
          <w:sz w:val="24"/>
          <w:szCs w:val="24"/>
        </w:rPr>
        <w:t>tter with the passage of time through wise management of its operational expenses</w:t>
      </w:r>
      <w:r w:rsidRPr="00304865">
        <w:rPr>
          <w:rFonts w:ascii="Times New Roman" w:hAnsi="Times New Roman" w:cs="Times New Roman"/>
          <w:sz w:val="24"/>
          <w:szCs w:val="24"/>
        </w:rPr>
        <w:t>, making goo</w:t>
      </w:r>
      <w:r>
        <w:rPr>
          <w:rFonts w:ascii="Times New Roman" w:hAnsi="Times New Roman" w:cs="Times New Roman"/>
          <w:sz w:val="24"/>
          <w:szCs w:val="24"/>
        </w:rPr>
        <w:t>d returns on its credited assets</w:t>
      </w:r>
      <w:r w:rsidRPr="00304865">
        <w:rPr>
          <w:rFonts w:ascii="Times New Roman" w:hAnsi="Times New Roman" w:cs="Times New Roman"/>
          <w:sz w:val="24"/>
          <w:szCs w:val="24"/>
        </w:rPr>
        <w:t xml:space="preserve"> and satisfying its shareholders and investors by offering them competitive or better results than the conventional banks.</w:t>
      </w:r>
      <w:r>
        <w:rPr>
          <w:rFonts w:ascii="Times New Roman" w:hAnsi="Times New Roman" w:cs="Times New Roman"/>
          <w:sz w:val="24"/>
          <w:szCs w:val="24"/>
        </w:rPr>
        <w:t xml:space="preserve"> In terms of operating efficiency, the performance was better for the Islamic banks as the ratios were lower</w:t>
      </w:r>
      <w:r w:rsidR="0052757A">
        <w:rPr>
          <w:rFonts w:ascii="Times New Roman" w:hAnsi="Times New Roman" w:cs="Times New Roman"/>
          <w:sz w:val="24"/>
          <w:szCs w:val="24"/>
        </w:rPr>
        <w:t>,</w:t>
      </w:r>
      <w:r>
        <w:rPr>
          <w:rFonts w:ascii="Times New Roman" w:hAnsi="Times New Roman" w:cs="Times New Roman"/>
          <w:sz w:val="24"/>
          <w:szCs w:val="24"/>
        </w:rPr>
        <w:t xml:space="preserve"> which validates the above statement made by Moin</w:t>
      </w:r>
      <w:r w:rsidR="00991FE5">
        <w:rPr>
          <w:rFonts w:ascii="Times New Roman" w:hAnsi="Times New Roman" w:cs="Times New Roman"/>
          <w:sz w:val="24"/>
          <w:szCs w:val="24"/>
        </w:rPr>
        <w:t xml:space="preserve"> (2008)</w:t>
      </w:r>
      <w:r>
        <w:rPr>
          <w:rFonts w:ascii="Times New Roman" w:hAnsi="Times New Roman" w:cs="Times New Roman"/>
          <w:sz w:val="24"/>
          <w:szCs w:val="24"/>
        </w:rPr>
        <w:t xml:space="preserve"> that Islamic banks have been giving better performance</w:t>
      </w:r>
      <w:r w:rsidR="002A7500">
        <w:rPr>
          <w:rFonts w:ascii="Times New Roman" w:hAnsi="Times New Roman" w:cs="Times New Roman"/>
          <w:sz w:val="24"/>
          <w:szCs w:val="24"/>
        </w:rPr>
        <w:t>,</w:t>
      </w:r>
      <w:r>
        <w:rPr>
          <w:rFonts w:ascii="Times New Roman" w:hAnsi="Times New Roman" w:cs="Times New Roman"/>
          <w:sz w:val="24"/>
          <w:szCs w:val="24"/>
        </w:rPr>
        <w:t xml:space="preserve"> as lower ratio implies better operational performances. GDP has been proved a greater contributor in determining the financial performance of any banking institution through affecting the internal factors like capital adequacy, operating efficiency and ROE. As discussed in the literature, lower GDP growth rate would affect the profitability in an adverse way by reducing the demand for loans and credits, as shown by the resulting outcomes of both types of banks. But the degree of stability in terms of financial performance would be higher for the Islamic banks</w:t>
      </w:r>
      <w:r w:rsidR="002A7500">
        <w:rPr>
          <w:rFonts w:ascii="Times New Roman" w:hAnsi="Times New Roman" w:cs="Times New Roman"/>
          <w:sz w:val="24"/>
          <w:szCs w:val="24"/>
        </w:rPr>
        <w:t>,</w:t>
      </w:r>
      <w:r>
        <w:rPr>
          <w:rFonts w:ascii="Times New Roman" w:hAnsi="Times New Roman" w:cs="Times New Roman"/>
          <w:sz w:val="24"/>
          <w:szCs w:val="24"/>
        </w:rPr>
        <w:t xml:space="preserve"> compared to the conventional ones</w:t>
      </w:r>
      <w:r w:rsidR="002A7500">
        <w:rPr>
          <w:rFonts w:ascii="Times New Roman" w:hAnsi="Times New Roman" w:cs="Times New Roman"/>
          <w:sz w:val="24"/>
          <w:szCs w:val="24"/>
        </w:rPr>
        <w:t>,</w:t>
      </w:r>
      <w:r>
        <w:rPr>
          <w:rFonts w:ascii="Times New Roman" w:hAnsi="Times New Roman" w:cs="Times New Roman"/>
          <w:sz w:val="24"/>
          <w:szCs w:val="24"/>
        </w:rPr>
        <w:t xml:space="preserve"> owing to the finding</w:t>
      </w:r>
      <w:r w:rsidR="002A7500">
        <w:rPr>
          <w:rFonts w:ascii="Times New Roman" w:hAnsi="Times New Roman" w:cs="Times New Roman"/>
          <w:sz w:val="24"/>
          <w:szCs w:val="24"/>
        </w:rPr>
        <w:t>s</w:t>
      </w:r>
      <w:r>
        <w:rPr>
          <w:rFonts w:ascii="Times New Roman" w:hAnsi="Times New Roman" w:cs="Times New Roman"/>
          <w:sz w:val="24"/>
          <w:szCs w:val="24"/>
        </w:rPr>
        <w:t xml:space="preserve"> which showed a strong and powerful relationship between the aforementioned internal factors of the Islamic banks (</w:t>
      </w:r>
      <w:r w:rsidRPr="00381006">
        <w:rPr>
          <w:rFonts w:ascii="Times New Roman" w:hAnsi="Times New Roman" w:cs="Times New Roman"/>
          <w:sz w:val="24"/>
          <w:szCs w:val="24"/>
        </w:rPr>
        <w:t>Girard, Nolan and Pondillo, 2010).</w:t>
      </w:r>
    </w:p>
    <w:p w:rsidR="008E5F7F" w:rsidRPr="007D4FF2" w:rsidRDefault="008E5F7F" w:rsidP="008E5F7F">
      <w:pPr>
        <w:pStyle w:val="Heading2"/>
        <w:rPr>
          <w:rFonts w:ascii="Cambria" w:hAnsi="Cambria"/>
        </w:rPr>
      </w:pPr>
      <w:bookmarkStart w:id="111" w:name="_Toc1738632"/>
      <w:bookmarkStart w:id="112" w:name="_Toc2075069"/>
      <w:r w:rsidRPr="007D4FF2">
        <w:rPr>
          <w:rFonts w:ascii="Cambria" w:hAnsi="Cambria"/>
        </w:rPr>
        <w:t>Conclusion</w:t>
      </w:r>
      <w:bookmarkEnd w:id="111"/>
      <w:bookmarkEnd w:id="112"/>
    </w:p>
    <w:p w:rsidR="008E5F7F" w:rsidRDefault="008E5F7F" w:rsidP="008E5F7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Based on the discussions above, this section would summarise the overall results of the whole subject matter. Discovering some key differences in the resulting outcomes of Conventional and Islamic banks due to their separate ways of conducting services, this paper has intended to investigate the internal </w:t>
      </w:r>
      <w:r>
        <w:rPr>
          <w:rFonts w:ascii="Times New Roman" w:hAnsi="Times New Roman" w:cs="Times New Roman"/>
          <w:sz w:val="24"/>
          <w:szCs w:val="24"/>
        </w:rPr>
        <w:lastRenderedPageBreak/>
        <w:t>factors of both types of banks from the secondary research data available on the annual reports of each bank. The findings form data analysis has captured the obvious result that in regard to objectives, goals, principles, operating methodologies and procedures. Owing to this, the financial performances of the two types of banks have shown complete</w:t>
      </w:r>
      <w:r w:rsidR="002A7500">
        <w:rPr>
          <w:rFonts w:ascii="Times New Roman" w:hAnsi="Times New Roman" w:cs="Times New Roman"/>
          <w:sz w:val="24"/>
          <w:szCs w:val="24"/>
        </w:rPr>
        <w:t>ly</w:t>
      </w:r>
      <w:r>
        <w:rPr>
          <w:rFonts w:ascii="Times New Roman" w:hAnsi="Times New Roman" w:cs="Times New Roman"/>
          <w:sz w:val="24"/>
          <w:szCs w:val="24"/>
        </w:rPr>
        <w:t xml:space="preserve"> different results in their respective countries during the time period of 2012 to 2017. This is in line</w:t>
      </w:r>
      <w:r w:rsidR="002A7500">
        <w:rPr>
          <w:rFonts w:ascii="Times New Roman" w:hAnsi="Times New Roman" w:cs="Times New Roman"/>
          <w:sz w:val="24"/>
          <w:szCs w:val="24"/>
        </w:rPr>
        <w:t xml:space="preserve"> with</w:t>
      </w:r>
      <w:r>
        <w:rPr>
          <w:rFonts w:ascii="Times New Roman" w:hAnsi="Times New Roman" w:cs="Times New Roman"/>
          <w:sz w:val="24"/>
          <w:szCs w:val="24"/>
        </w:rPr>
        <w:t xml:space="preserve"> the argument stated in the research hypothesis that Islamic banks differ noticeably from conventional banks in terms of financial performance. The empirical evidence found in the form of secondary research data has been analysed</w:t>
      </w:r>
      <w:r w:rsidR="002A7500">
        <w:rPr>
          <w:rFonts w:ascii="Times New Roman" w:hAnsi="Times New Roman" w:cs="Times New Roman"/>
          <w:sz w:val="24"/>
          <w:szCs w:val="24"/>
        </w:rPr>
        <w:t>,</w:t>
      </w:r>
      <w:r>
        <w:rPr>
          <w:rFonts w:ascii="Times New Roman" w:hAnsi="Times New Roman" w:cs="Times New Roman"/>
          <w:sz w:val="24"/>
          <w:szCs w:val="24"/>
        </w:rPr>
        <w:t xml:space="preserve"> with the help of ratio calculation done in Excel and to identify the relationship between these internal factors influencing the performance of banking system, SPSS software was used. </w:t>
      </w:r>
    </w:p>
    <w:p w:rsidR="008E5F7F" w:rsidRDefault="008E5F7F" w:rsidP="008E5F7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findings clearly showed that Islamic banks have been dealing with more fluctuations in ROE, which is considered as one of the most convenient factors for representing the financial performance of a bank during any specific time period. However in terms of guaranteed returns, conventional banks are more reliable and safe as the associated risks with investment is less in conventional compared to the Islamic ones as argued in the literature review. Further to this, the availability of previous investment records data of conventional banks in terms of internal factors impact on financial performance would provide more trustworthiness to the customers compared to the Islamic banks as discussed in the findings. Owing to the Real asset as the core product of financing system, most of the Islamic banks don’t have the obligation of being liable to pay anything to customers if any unexpected business failure occurred in those financial organisations. However, from the data analysis and findings it has been found that the lower CAR of Islamic banks sometimes resulted into more revenue generation as the relation between CAR and profitability is negative.  The burden sharing concept on the other hand, also produced some fruitful effects for the Islamic banks in terms of service charging relative to conventional ones. The study in literature review revealed that, Conventional banks share the loss in any business failure situations but also they charge a considerable amount of fees for providing banking services. The lesser fluctuations in ROE for conventional banks might have generated as these interests sufficiently compensate the collapsing situations. </w:t>
      </w:r>
    </w:p>
    <w:p w:rsidR="008E5F7F" w:rsidRDefault="008E5F7F" w:rsidP="008E5F7F">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Another hypothesis (H</w:t>
      </w:r>
      <w:r>
        <w:rPr>
          <w:rFonts w:ascii="Times New Roman" w:hAnsi="Times New Roman" w:cs="Times New Roman"/>
          <w:sz w:val="24"/>
          <w:szCs w:val="24"/>
          <w:vertAlign w:val="subscript"/>
        </w:rPr>
        <w:t>3</w:t>
      </w:r>
      <w:r>
        <w:rPr>
          <w:rFonts w:ascii="Times New Roman" w:hAnsi="Times New Roman" w:cs="Times New Roman"/>
          <w:sz w:val="24"/>
          <w:szCs w:val="24"/>
        </w:rPr>
        <w:t xml:space="preserve">) related to the capital adequacy impact on financial performance of a bank is proved to be significantly positive for both types of banks. In the context of CAR comparison, the resulting outcome showed decent performance growth rates of Islamic banks during the considered time period, in order to compete with the conventional banks by focusing more on utilising equity based mode of financing instead of debt based mode of financing system. Another fact related to the degree of risk exposures and solvency that have been found in the descriptive statistics from the data analysis chapter, contradicted the argument made by Moin (2008) on the literature study that due to high profitability conventional banks were more exposed to risk and lesser solvent compared to the Islamic ones. The model summary of regression analysis in terms of explaining the variations in ROE as well as profitability that have been found in both types of banks reflected no significant difference, hence proving the scholarly opinions stated in literature review. The research study has successfully shaped some satisfactory results by analysing the overall subject matter along with data work. However, the contradicting results that have generated in the findings are because of the </w:t>
      </w:r>
      <w:r w:rsidRPr="00F65EA4">
        <w:rPr>
          <w:rFonts w:ascii="Times New Roman" w:hAnsi="Times New Roman" w:cs="Times New Roman"/>
          <w:sz w:val="24"/>
          <w:szCs w:val="24"/>
        </w:rPr>
        <w:t>quality, integrity and accuracy of the data</w:t>
      </w:r>
      <w:r>
        <w:rPr>
          <w:rFonts w:ascii="Times New Roman" w:hAnsi="Times New Roman" w:cs="Times New Roman"/>
          <w:sz w:val="24"/>
          <w:szCs w:val="24"/>
        </w:rPr>
        <w:t xml:space="preserve">. </w:t>
      </w:r>
    </w:p>
    <w:p w:rsidR="008E5F7F" w:rsidRDefault="008E5F7F" w:rsidP="008E5F7F">
      <w:pPr>
        <w:pStyle w:val="Heading2"/>
        <w:rPr>
          <w:rFonts w:ascii="Cambria" w:hAnsi="Cambria"/>
        </w:rPr>
      </w:pPr>
      <w:bookmarkStart w:id="113" w:name="_Toc1738633"/>
      <w:bookmarkStart w:id="114" w:name="_Toc2075070"/>
      <w:r w:rsidRPr="007D4FF2">
        <w:rPr>
          <w:rFonts w:ascii="Cambria" w:hAnsi="Cambria"/>
        </w:rPr>
        <w:t>Recommendations</w:t>
      </w:r>
      <w:bookmarkEnd w:id="113"/>
      <w:bookmarkEnd w:id="114"/>
    </w:p>
    <w:p w:rsidR="008E5F7F" w:rsidRPr="00FA5117" w:rsidRDefault="008E5F7F" w:rsidP="008E5F7F">
      <w:pPr>
        <w:spacing w:line="480" w:lineRule="auto"/>
        <w:rPr>
          <w:rFonts w:ascii="Times New Roman" w:hAnsi="Times New Roman" w:cs="Times New Roman"/>
          <w:sz w:val="24"/>
          <w:szCs w:val="24"/>
        </w:rPr>
      </w:pPr>
      <w:r>
        <w:tab/>
      </w:r>
      <w:r w:rsidRPr="00BA332E">
        <w:rPr>
          <w:rFonts w:ascii="Times New Roman" w:hAnsi="Times New Roman" w:cs="Times New Roman"/>
          <w:sz w:val="24"/>
          <w:szCs w:val="24"/>
        </w:rPr>
        <w:t>Recommendations generally apprehended to provide theoretical as well as empirical evidences for future researches on similar topics by fulfilling the research gaps generated on the current study.</w:t>
      </w:r>
      <w:r>
        <w:rPr>
          <w:rFonts w:ascii="Times New Roman" w:hAnsi="Times New Roman" w:cs="Times New Roman"/>
          <w:sz w:val="24"/>
          <w:szCs w:val="24"/>
        </w:rPr>
        <w:t xml:space="preserve"> </w:t>
      </w:r>
      <w:r w:rsidRPr="00FA5117">
        <w:rPr>
          <w:rFonts w:ascii="Times New Roman" w:hAnsi="Times New Roman" w:cs="Times New Roman"/>
          <w:sz w:val="24"/>
          <w:szCs w:val="24"/>
        </w:rPr>
        <w:t>There are various fields upon which these banking institution should place their emphasis in order to achieve the goal of making a sustenance in the growing financial market by prioritising the needs in accordance with their specific target requirements. These banking systems should take smart and careful actions on the following factors to make a better performance.</w:t>
      </w:r>
    </w:p>
    <w:p w:rsidR="008E5F7F" w:rsidRPr="006708C1" w:rsidRDefault="008E5F7F" w:rsidP="008E5F7F">
      <w:pPr>
        <w:pStyle w:val="Heading3"/>
        <w:rPr>
          <w:rFonts w:ascii="Cambria" w:hAnsi="Cambria"/>
          <w:color w:val="auto"/>
        </w:rPr>
      </w:pPr>
      <w:bookmarkStart w:id="115" w:name="_Toc1738634"/>
      <w:bookmarkStart w:id="116" w:name="_Toc2075071"/>
      <w:r w:rsidRPr="006708C1">
        <w:rPr>
          <w:rFonts w:ascii="Cambria" w:hAnsi="Cambria"/>
          <w:color w:val="auto"/>
        </w:rPr>
        <w:t>Customer Services</w:t>
      </w:r>
      <w:bookmarkEnd w:id="115"/>
      <w:bookmarkEnd w:id="116"/>
    </w:p>
    <w:p w:rsidR="008E5F7F" w:rsidRPr="00C245D4" w:rsidRDefault="008E5F7F" w:rsidP="008E5F7F">
      <w:pPr>
        <w:spacing w:line="480" w:lineRule="auto"/>
      </w:pPr>
      <w:r w:rsidRPr="00086548">
        <w:rPr>
          <w:rFonts w:ascii="Times New Roman" w:hAnsi="Times New Roman" w:cs="Times New Roman"/>
          <w:sz w:val="24"/>
          <w:szCs w:val="24"/>
        </w:rPr>
        <w:t>For any area of business, customers are the most important agents in terms of every aspect of making a business grow in the market</w:t>
      </w:r>
      <w:r>
        <w:rPr>
          <w:rFonts w:ascii="Times New Roman" w:hAnsi="Times New Roman" w:cs="Times New Roman"/>
          <w:sz w:val="24"/>
          <w:szCs w:val="24"/>
        </w:rPr>
        <w:t xml:space="preserve"> </w:t>
      </w:r>
      <w:r w:rsidRPr="00C245D4">
        <w:rPr>
          <w:rFonts w:ascii="Times New Roman" w:hAnsi="Times New Roman" w:cs="Times New Roman"/>
          <w:sz w:val="24"/>
          <w:szCs w:val="24"/>
        </w:rPr>
        <w:t>(Galetto, 2017)</w:t>
      </w:r>
      <w:r w:rsidRPr="00086548">
        <w:rPr>
          <w:rFonts w:ascii="Times New Roman" w:hAnsi="Times New Roman" w:cs="Times New Roman"/>
          <w:sz w:val="24"/>
          <w:szCs w:val="24"/>
        </w:rPr>
        <w:t xml:space="preserve">. In this context, improving customer services has been placed as one of the top three strategic priorities across 70% of financial institutions as reported by Marous (2017). From the customer’s perspective, the interacting medium with any financial institution is one of the major influencing factors while making investment or savings decisions. Based on the experience a customer has gained from a bank, the business decisions would be determined whether to continue with the bank or </w:t>
      </w:r>
      <w:r w:rsidRPr="00086548">
        <w:rPr>
          <w:rFonts w:ascii="Times New Roman" w:hAnsi="Times New Roman" w:cs="Times New Roman"/>
          <w:sz w:val="24"/>
          <w:szCs w:val="24"/>
        </w:rPr>
        <w:lastRenderedPageBreak/>
        <w:t>replace it with another one, providing better services. Employing resources like recruiting a team of customer care executives</w:t>
      </w:r>
      <w:r w:rsidR="002A7500">
        <w:rPr>
          <w:rFonts w:ascii="Times New Roman" w:hAnsi="Times New Roman" w:cs="Times New Roman"/>
          <w:sz w:val="24"/>
          <w:szCs w:val="24"/>
        </w:rPr>
        <w:t>,</w:t>
      </w:r>
      <w:r w:rsidRPr="00086548">
        <w:rPr>
          <w:rFonts w:ascii="Times New Roman" w:hAnsi="Times New Roman" w:cs="Times New Roman"/>
          <w:sz w:val="24"/>
          <w:szCs w:val="24"/>
        </w:rPr>
        <w:t xml:space="preserve"> who could deal with the issues the old customers have been facing with</w:t>
      </w:r>
      <w:r w:rsidR="002A7500">
        <w:rPr>
          <w:rFonts w:ascii="Times New Roman" w:hAnsi="Times New Roman" w:cs="Times New Roman"/>
          <w:sz w:val="24"/>
          <w:szCs w:val="24"/>
        </w:rPr>
        <w:t>,</w:t>
      </w:r>
      <w:r w:rsidRPr="00086548">
        <w:rPr>
          <w:rFonts w:ascii="Times New Roman" w:hAnsi="Times New Roman" w:cs="Times New Roman"/>
          <w:sz w:val="24"/>
          <w:szCs w:val="24"/>
        </w:rPr>
        <w:t xml:space="preserve"> as well the new customers who want to acknowledge information before making any financing decision will therefore make any bank superior in terms of service providing competency. Further to this, implementing digital technologies in</w:t>
      </w:r>
      <w:r w:rsidR="002A7500">
        <w:rPr>
          <w:rFonts w:ascii="Times New Roman" w:hAnsi="Times New Roman" w:cs="Times New Roman"/>
          <w:sz w:val="24"/>
          <w:szCs w:val="24"/>
        </w:rPr>
        <w:t xml:space="preserve"> a</w:t>
      </w:r>
      <w:r w:rsidRPr="00086548">
        <w:rPr>
          <w:rFonts w:ascii="Times New Roman" w:hAnsi="Times New Roman" w:cs="Times New Roman"/>
          <w:sz w:val="24"/>
          <w:szCs w:val="24"/>
        </w:rPr>
        <w:t xml:space="preserve"> banking system would provide the scope of running services smoothly to measure customer satisfaction, engagement, loyalty, retention and some form of revenue metric (The Financial Brand, 2017).</w:t>
      </w:r>
    </w:p>
    <w:p w:rsidR="008E5F7F" w:rsidRPr="006708C1" w:rsidRDefault="008E5F7F" w:rsidP="008E5F7F">
      <w:pPr>
        <w:pStyle w:val="Heading3"/>
        <w:rPr>
          <w:rFonts w:ascii="Cambria" w:hAnsi="Cambria"/>
          <w:color w:val="auto"/>
        </w:rPr>
      </w:pPr>
      <w:bookmarkStart w:id="117" w:name="_Toc1738635"/>
      <w:bookmarkStart w:id="118" w:name="_Toc2075072"/>
      <w:r w:rsidRPr="006708C1">
        <w:rPr>
          <w:rFonts w:ascii="Cambria" w:hAnsi="Cambria"/>
          <w:color w:val="auto"/>
        </w:rPr>
        <w:t>Consistency in Internal Operations</w:t>
      </w:r>
      <w:bookmarkEnd w:id="117"/>
      <w:bookmarkEnd w:id="118"/>
    </w:p>
    <w:p w:rsidR="008E5F7F" w:rsidRPr="00086548" w:rsidRDefault="008E5F7F" w:rsidP="008E5F7F">
      <w:pPr>
        <w:spacing w:line="480" w:lineRule="auto"/>
        <w:ind w:firstLine="720"/>
        <w:rPr>
          <w:rFonts w:ascii="Times New Roman" w:hAnsi="Times New Roman" w:cs="Times New Roman"/>
          <w:sz w:val="24"/>
          <w:szCs w:val="24"/>
        </w:rPr>
      </w:pPr>
      <w:r w:rsidRPr="00086548">
        <w:rPr>
          <w:rFonts w:ascii="Times New Roman" w:hAnsi="Times New Roman" w:cs="Times New Roman"/>
          <w:sz w:val="24"/>
          <w:szCs w:val="24"/>
        </w:rPr>
        <w:t>Internal operations within a banking system not only indicates distributing people with work responsibilities according to their designations</w:t>
      </w:r>
      <w:r w:rsidR="002A7500">
        <w:rPr>
          <w:rFonts w:ascii="Times New Roman" w:hAnsi="Times New Roman" w:cs="Times New Roman"/>
          <w:sz w:val="24"/>
          <w:szCs w:val="24"/>
        </w:rPr>
        <w:t>,</w:t>
      </w:r>
      <w:r w:rsidRPr="00086548">
        <w:rPr>
          <w:rFonts w:ascii="Times New Roman" w:hAnsi="Times New Roman" w:cs="Times New Roman"/>
          <w:sz w:val="24"/>
          <w:szCs w:val="24"/>
        </w:rPr>
        <w:t xml:space="preserve"> but also it would require a close examination on the specific requirements of the institution in order to maintain consistency in the banking operations. In many banks, most of the employees</w:t>
      </w:r>
      <w:r w:rsidR="002A7500">
        <w:rPr>
          <w:rFonts w:ascii="Times New Roman" w:hAnsi="Times New Roman" w:cs="Times New Roman"/>
          <w:sz w:val="24"/>
          <w:szCs w:val="24"/>
        </w:rPr>
        <w:t>,</w:t>
      </w:r>
      <w:r w:rsidRPr="00086548">
        <w:rPr>
          <w:rFonts w:ascii="Times New Roman" w:hAnsi="Times New Roman" w:cs="Times New Roman"/>
          <w:sz w:val="24"/>
          <w:szCs w:val="24"/>
        </w:rPr>
        <w:t xml:space="preserve"> as well as official personnel</w:t>
      </w:r>
      <w:r w:rsidR="002A7500">
        <w:rPr>
          <w:rFonts w:ascii="Times New Roman" w:hAnsi="Times New Roman" w:cs="Times New Roman"/>
          <w:sz w:val="24"/>
          <w:szCs w:val="24"/>
        </w:rPr>
        <w:t>,</w:t>
      </w:r>
      <w:r w:rsidRPr="00086548">
        <w:rPr>
          <w:rFonts w:ascii="Times New Roman" w:hAnsi="Times New Roman" w:cs="Times New Roman"/>
          <w:sz w:val="24"/>
          <w:szCs w:val="24"/>
        </w:rPr>
        <w:t xml:space="preserve"> like to act on their own despite having a clear work instruction. For example, most of the banks these days have been largely focusing on credit structures and sales in order to acquire more assets by avoiding factors like equity in terms of deposits which could have made better contribution in the profitability of a bank (Wendel, 2007).</w:t>
      </w:r>
    </w:p>
    <w:p w:rsidR="008E5F7F" w:rsidRPr="006708C1" w:rsidRDefault="008E5F7F" w:rsidP="008E5F7F">
      <w:pPr>
        <w:pStyle w:val="Heading3"/>
        <w:rPr>
          <w:rFonts w:ascii="Cambria" w:hAnsi="Cambria"/>
          <w:color w:val="auto"/>
        </w:rPr>
      </w:pPr>
      <w:bookmarkStart w:id="119" w:name="_Toc1738636"/>
      <w:bookmarkStart w:id="120" w:name="_Toc2075073"/>
      <w:r w:rsidRPr="006708C1">
        <w:rPr>
          <w:rFonts w:ascii="Cambria" w:hAnsi="Cambria"/>
          <w:color w:val="auto"/>
        </w:rPr>
        <w:t>Enhancing Promotional Process</w:t>
      </w:r>
      <w:bookmarkEnd w:id="119"/>
      <w:bookmarkEnd w:id="120"/>
    </w:p>
    <w:p w:rsidR="008E5F7F" w:rsidRDefault="008E5F7F" w:rsidP="008E5F7F">
      <w:pPr>
        <w:spacing w:line="480" w:lineRule="auto"/>
        <w:ind w:firstLine="720"/>
      </w:pPr>
      <w:r w:rsidRPr="00086548">
        <w:rPr>
          <w:rFonts w:ascii="Times New Roman" w:hAnsi="Times New Roman" w:cs="Times New Roman"/>
          <w:sz w:val="24"/>
          <w:szCs w:val="24"/>
        </w:rPr>
        <w:t xml:space="preserve">In banking business, promotion means getting access to more capital sources, one of the strongest pillars to facilitate sustainable growth in the banking system. Since the conventional banks have already earned their reputation in the financial market, it is high time for the Islamic banks to plan for creative strategies to attract investors as much as possible. For example, </w:t>
      </w:r>
      <w:r>
        <w:rPr>
          <w:rFonts w:ascii="Times New Roman" w:hAnsi="Times New Roman" w:cs="Times New Roman"/>
          <w:sz w:val="24"/>
          <w:szCs w:val="24"/>
        </w:rPr>
        <w:t xml:space="preserve">by </w:t>
      </w:r>
      <w:r w:rsidRPr="00086548">
        <w:rPr>
          <w:rFonts w:ascii="Times New Roman" w:hAnsi="Times New Roman" w:cs="Times New Roman"/>
          <w:sz w:val="24"/>
          <w:szCs w:val="24"/>
        </w:rPr>
        <w:t xml:space="preserve">making active involvements into </w:t>
      </w:r>
      <w:r>
        <w:rPr>
          <w:rFonts w:ascii="Times New Roman" w:hAnsi="Times New Roman" w:cs="Times New Roman"/>
          <w:sz w:val="24"/>
          <w:szCs w:val="24"/>
        </w:rPr>
        <w:t xml:space="preserve">campaigns like education and career opportunities which are serving any social purpose these banking organisations could earn respect as well as meet with a large number of investors </w:t>
      </w:r>
      <w:r w:rsidRPr="00086548">
        <w:rPr>
          <w:rFonts w:ascii="Times New Roman" w:hAnsi="Times New Roman" w:cs="Times New Roman"/>
          <w:sz w:val="24"/>
          <w:szCs w:val="24"/>
        </w:rPr>
        <w:t>(The Financial Brand, 2017</w:t>
      </w:r>
      <w:r>
        <w:rPr>
          <w:rFonts w:ascii="Times New Roman" w:hAnsi="Times New Roman" w:cs="Times New Roman"/>
          <w:sz w:val="24"/>
          <w:szCs w:val="24"/>
        </w:rPr>
        <w:t>).</w:t>
      </w:r>
    </w:p>
    <w:p w:rsidR="007949FF" w:rsidRDefault="007949FF" w:rsidP="008E5F7F">
      <w:pPr>
        <w:spacing w:line="480" w:lineRule="auto"/>
        <w:rPr>
          <w:rFonts w:asciiTheme="majorHAnsi" w:eastAsiaTheme="majorEastAsia" w:hAnsiTheme="majorHAnsi" w:cstheme="majorBidi"/>
          <w:b/>
          <w:bCs/>
          <w:color w:val="365F91" w:themeColor="accent1" w:themeShade="BF"/>
          <w:sz w:val="28"/>
          <w:szCs w:val="28"/>
        </w:rPr>
      </w:pPr>
      <w:r>
        <w:br w:type="page"/>
      </w:r>
    </w:p>
    <w:p w:rsidR="001D5606" w:rsidRPr="007E7258" w:rsidRDefault="001D5606" w:rsidP="001C073C">
      <w:pPr>
        <w:pStyle w:val="Heading1"/>
        <w:rPr>
          <w:rFonts w:ascii="Times New Roman" w:hAnsi="Times New Roman" w:cs="Times New Roman"/>
          <w:color w:val="auto"/>
          <w:sz w:val="24"/>
          <w:szCs w:val="24"/>
        </w:rPr>
      </w:pPr>
      <w:bookmarkStart w:id="121" w:name="_Toc2075074"/>
      <w:r w:rsidRPr="007E7258">
        <w:rPr>
          <w:color w:val="auto"/>
        </w:rPr>
        <w:lastRenderedPageBreak/>
        <w:t>References</w:t>
      </w:r>
      <w:bookmarkEnd w:id="121"/>
    </w:p>
    <w:p w:rsidR="00F02175" w:rsidRPr="008C4178" w:rsidRDefault="00F02175" w:rsidP="00F02175">
      <w:pPr>
        <w:spacing w:line="480" w:lineRule="auto"/>
        <w:rPr>
          <w:rFonts w:ascii="Times New Roman" w:hAnsi="Times New Roman" w:cs="Times New Roman"/>
          <w:sz w:val="24"/>
          <w:szCs w:val="24"/>
          <w:shd w:val="clear" w:color="auto" w:fill="FFFFFF"/>
        </w:rPr>
      </w:pPr>
      <w:r w:rsidRPr="008C4178">
        <w:rPr>
          <w:rFonts w:ascii="Times New Roman" w:hAnsi="Times New Roman" w:cs="Times New Roman"/>
          <w:sz w:val="24"/>
          <w:szCs w:val="24"/>
          <w:shd w:val="clear" w:color="auto" w:fill="FFFFFF"/>
        </w:rPr>
        <w:t>Alden, N. (2015). </w:t>
      </w:r>
      <w:r>
        <w:rPr>
          <w:rFonts w:ascii="Times New Roman" w:hAnsi="Times New Roman" w:cs="Times New Roman"/>
          <w:i/>
          <w:iCs/>
          <w:sz w:val="24"/>
          <w:szCs w:val="24"/>
          <w:shd w:val="clear" w:color="auto" w:fill="FFFFFF"/>
        </w:rPr>
        <w:t>Comparative Analysis b</w:t>
      </w:r>
      <w:r w:rsidRPr="008C4178">
        <w:rPr>
          <w:rFonts w:ascii="Times New Roman" w:hAnsi="Times New Roman" w:cs="Times New Roman"/>
          <w:i/>
          <w:iCs/>
          <w:sz w:val="24"/>
          <w:szCs w:val="24"/>
          <w:shd w:val="clear" w:color="auto" w:fill="FFFFFF"/>
        </w:rPr>
        <w:t xml:space="preserve">etween Islamic and Conventional Banking </w:t>
      </w:r>
      <w:r>
        <w:rPr>
          <w:rFonts w:ascii="Times New Roman" w:hAnsi="Times New Roman" w:cs="Times New Roman"/>
          <w:i/>
          <w:iCs/>
          <w:sz w:val="24"/>
          <w:szCs w:val="24"/>
          <w:shd w:val="clear" w:color="auto" w:fill="FFFFFF"/>
        </w:rPr>
        <w:t>System i</w:t>
      </w:r>
      <w:r w:rsidRPr="008C4178">
        <w:rPr>
          <w:rFonts w:ascii="Times New Roman" w:hAnsi="Times New Roman" w:cs="Times New Roman"/>
          <w:i/>
          <w:iCs/>
          <w:sz w:val="24"/>
          <w:szCs w:val="24"/>
          <w:shd w:val="clear" w:color="auto" w:fill="FFFFFF"/>
        </w:rPr>
        <w:t>n Term of Profitability and Governance</w:t>
      </w:r>
      <w:r w:rsidRPr="008C4178">
        <w:rPr>
          <w:rFonts w:ascii="Times New Roman" w:hAnsi="Times New Roman" w:cs="Times New Roman"/>
          <w:sz w:val="24"/>
          <w:szCs w:val="24"/>
          <w:shd w:val="clear" w:color="auto" w:fill="FFFFFF"/>
        </w:rPr>
        <w:t>. Institute of Graduate Studies and Research.</w:t>
      </w:r>
    </w:p>
    <w:p w:rsidR="00F02175" w:rsidRPr="008C4178" w:rsidRDefault="00F02175" w:rsidP="00F02175">
      <w:pPr>
        <w:spacing w:line="480" w:lineRule="auto"/>
        <w:rPr>
          <w:rFonts w:ascii="Times New Roman" w:hAnsi="Times New Roman" w:cs="Times New Roman"/>
          <w:sz w:val="24"/>
          <w:szCs w:val="24"/>
          <w:shd w:val="clear" w:color="auto" w:fill="FFFFFF"/>
        </w:rPr>
      </w:pPr>
      <w:r w:rsidRPr="008C4178">
        <w:rPr>
          <w:rFonts w:ascii="Times New Roman" w:hAnsi="Times New Roman" w:cs="Times New Roman"/>
          <w:sz w:val="24"/>
          <w:szCs w:val="24"/>
          <w:shd w:val="clear" w:color="auto" w:fill="FFFFFF"/>
        </w:rPr>
        <w:t>Alharbi, A. (2015). Islamic Law and Banking: An Overview. </w:t>
      </w:r>
      <w:r w:rsidRPr="008C4178">
        <w:rPr>
          <w:rFonts w:ascii="Times New Roman" w:hAnsi="Times New Roman" w:cs="Times New Roman"/>
          <w:i/>
          <w:iCs/>
          <w:sz w:val="24"/>
          <w:szCs w:val="24"/>
          <w:shd w:val="clear" w:color="auto" w:fill="FFFFFF"/>
        </w:rPr>
        <w:t>SSRN Electronic Journal</w:t>
      </w:r>
      <w:r w:rsidRPr="008C4178">
        <w:rPr>
          <w:rFonts w:ascii="Times New Roman" w:hAnsi="Times New Roman" w:cs="Times New Roman"/>
          <w:sz w:val="24"/>
          <w:szCs w:val="24"/>
          <w:shd w:val="clear" w:color="auto" w:fill="FFFFFF"/>
        </w:rPr>
        <w:t>.</w:t>
      </w:r>
    </w:p>
    <w:p w:rsidR="00F02175" w:rsidRPr="005D5B00" w:rsidRDefault="00F02175" w:rsidP="00F02175">
      <w:pPr>
        <w:spacing w:line="480" w:lineRule="auto"/>
        <w:rPr>
          <w:rFonts w:ascii="Times New Roman" w:hAnsi="Times New Roman" w:cs="Times New Roman"/>
          <w:sz w:val="24"/>
          <w:szCs w:val="24"/>
          <w:shd w:val="clear" w:color="auto" w:fill="FFFFFF"/>
        </w:rPr>
      </w:pPr>
      <w:r w:rsidRPr="005D5B00">
        <w:rPr>
          <w:rFonts w:ascii="Times New Roman" w:hAnsi="Times New Roman" w:cs="Times New Roman"/>
          <w:sz w:val="24"/>
          <w:szCs w:val="24"/>
          <w:shd w:val="clear" w:color="auto" w:fill="FFFFFF"/>
        </w:rPr>
        <w:t>Alkhazaleh, A. (2017). Factors may Drive the Commercial Banks Lending: Evidence from Jordan.</w:t>
      </w:r>
      <w:r w:rsidRPr="005D5B00">
        <w:rPr>
          <w:rStyle w:val="apple-converted-space"/>
          <w:rFonts w:ascii="Times New Roman" w:hAnsi="Times New Roman" w:cs="Times New Roman"/>
          <w:sz w:val="24"/>
          <w:szCs w:val="24"/>
          <w:shd w:val="clear" w:color="auto" w:fill="FFFFFF"/>
        </w:rPr>
        <w:t> </w:t>
      </w:r>
      <w:r w:rsidRPr="00F60E99">
        <w:rPr>
          <w:rFonts w:ascii="Times New Roman" w:hAnsi="Times New Roman" w:cs="Times New Roman"/>
          <w:i/>
          <w:sz w:val="24"/>
          <w:szCs w:val="24"/>
          <w:shd w:val="clear" w:color="auto" w:fill="FFFFFF"/>
        </w:rPr>
        <w:t>Banks and Bank Systems</w:t>
      </w:r>
      <w:r w:rsidRPr="005D5B00">
        <w:rPr>
          <w:rFonts w:ascii="Times New Roman" w:hAnsi="Times New Roman" w:cs="Times New Roman"/>
          <w:sz w:val="24"/>
          <w:szCs w:val="24"/>
          <w:shd w:val="clear" w:color="auto" w:fill="FFFFFF"/>
        </w:rPr>
        <w:t>, 12(2), pp.31-38</w:t>
      </w:r>
    </w:p>
    <w:p w:rsidR="00F02175" w:rsidRPr="005D5B00" w:rsidRDefault="00F02175" w:rsidP="00F02175">
      <w:pPr>
        <w:spacing w:line="480" w:lineRule="auto"/>
        <w:rPr>
          <w:rFonts w:ascii="Times New Roman" w:hAnsi="Times New Roman" w:cs="Times New Roman"/>
          <w:sz w:val="24"/>
          <w:szCs w:val="24"/>
          <w:shd w:val="clear" w:color="auto" w:fill="FFFFFF"/>
        </w:rPr>
      </w:pPr>
      <w:r w:rsidRPr="005D5B00">
        <w:rPr>
          <w:rFonts w:ascii="Times New Roman" w:hAnsi="Times New Roman" w:cs="Times New Roman"/>
          <w:sz w:val="24"/>
          <w:szCs w:val="24"/>
          <w:shd w:val="clear" w:color="auto" w:fill="FFFFFF"/>
        </w:rPr>
        <w:t xml:space="preserve">Al-Tamimi, H. and Hussein, A., (2010). Factors Influencing Performance of the UAE Islamic and Conventional National Banks. </w:t>
      </w:r>
      <w:r w:rsidRPr="00F60E99">
        <w:rPr>
          <w:rFonts w:ascii="Times New Roman" w:hAnsi="Times New Roman" w:cs="Times New Roman"/>
          <w:i/>
          <w:iCs/>
          <w:sz w:val="24"/>
          <w:szCs w:val="24"/>
          <w:shd w:val="clear" w:color="auto" w:fill="FFFFFF"/>
        </w:rPr>
        <w:t>Global Journal of Business Research</w:t>
      </w:r>
      <w:r w:rsidRPr="005D5B00">
        <w:rPr>
          <w:rFonts w:ascii="Times New Roman" w:hAnsi="Times New Roman" w:cs="Times New Roman"/>
          <w:sz w:val="24"/>
          <w:szCs w:val="24"/>
          <w:shd w:val="clear" w:color="auto" w:fill="FFFFFF"/>
        </w:rPr>
        <w:t>, 4(2), pp.1-9</w:t>
      </w:r>
    </w:p>
    <w:p w:rsidR="00F02175" w:rsidRPr="003427A7" w:rsidRDefault="00F02175" w:rsidP="00F02175">
      <w:pPr>
        <w:spacing w:line="480" w:lineRule="auto"/>
        <w:rPr>
          <w:rFonts w:ascii="Times New Roman" w:hAnsi="Times New Roman" w:cs="Times New Roman"/>
          <w:noProof/>
          <w:sz w:val="24"/>
          <w:szCs w:val="24"/>
        </w:rPr>
      </w:pPr>
      <w:r w:rsidRPr="003427A7">
        <w:rPr>
          <w:rFonts w:ascii="Times New Roman" w:hAnsi="Times New Roman" w:cs="Times New Roman"/>
          <w:noProof/>
          <w:sz w:val="24"/>
          <w:szCs w:val="24"/>
        </w:rPr>
        <w:t xml:space="preserve">Anarfor, B., (2015). capital structure and banking performance - evidence from sub-sahara African,. </w:t>
      </w:r>
      <w:r w:rsidRPr="003427A7">
        <w:rPr>
          <w:rFonts w:ascii="Times New Roman" w:hAnsi="Times New Roman" w:cs="Times New Roman"/>
          <w:i/>
          <w:iCs/>
          <w:noProof/>
          <w:sz w:val="24"/>
          <w:szCs w:val="24"/>
        </w:rPr>
        <w:t>European Journal of accounting</w:t>
      </w:r>
      <w:r>
        <w:rPr>
          <w:rFonts w:ascii="Times New Roman" w:hAnsi="Times New Roman" w:cs="Times New Roman"/>
          <w:i/>
          <w:iCs/>
          <w:noProof/>
          <w:sz w:val="24"/>
          <w:szCs w:val="24"/>
        </w:rPr>
        <w:t xml:space="preserve"> auditing and finance research,</w:t>
      </w:r>
      <w:r w:rsidRPr="003427A7">
        <w:rPr>
          <w:rFonts w:ascii="Times New Roman" w:hAnsi="Times New Roman" w:cs="Times New Roman"/>
          <w:noProof/>
          <w:sz w:val="24"/>
          <w:szCs w:val="24"/>
        </w:rPr>
        <w:t xml:space="preserve"> 3, pp. 1-20.</w:t>
      </w:r>
    </w:p>
    <w:p w:rsidR="00F02175" w:rsidRPr="00F60E99" w:rsidRDefault="00F02175" w:rsidP="00F02175">
      <w:pPr>
        <w:spacing w:line="480" w:lineRule="auto"/>
        <w:rPr>
          <w:rFonts w:ascii="Times New Roman" w:hAnsi="Times New Roman" w:cs="Times New Roman"/>
          <w:sz w:val="24"/>
          <w:szCs w:val="24"/>
        </w:rPr>
      </w:pPr>
      <w:r w:rsidRPr="00F60E99">
        <w:rPr>
          <w:rFonts w:ascii="Times New Roman" w:hAnsi="Times New Roman" w:cs="Times New Roman"/>
          <w:sz w:val="24"/>
          <w:szCs w:val="24"/>
          <w:shd w:val="clear" w:color="auto" w:fill="FFFFFF"/>
        </w:rPr>
        <w:t xml:space="preserve">Anbar, A. &amp;Alper, D., (2011). </w:t>
      </w:r>
      <w:r w:rsidRPr="00F60E99">
        <w:rPr>
          <w:rFonts w:ascii="Times New Roman" w:hAnsi="Times New Roman" w:cs="Times New Roman"/>
          <w:i/>
          <w:iCs/>
          <w:sz w:val="24"/>
          <w:szCs w:val="24"/>
          <w:shd w:val="clear" w:color="auto" w:fill="FFFFFF"/>
        </w:rPr>
        <w:t>Bank specific and macroeconomic determinants of commercial bank profitability</w:t>
      </w:r>
      <w:r w:rsidRPr="00F60E99">
        <w:rPr>
          <w:rFonts w:ascii="Times New Roman" w:hAnsi="Times New Roman" w:cs="Times New Roman"/>
          <w:sz w:val="24"/>
          <w:szCs w:val="24"/>
          <w:shd w:val="clear" w:color="auto" w:fill="FFFFFF"/>
        </w:rPr>
        <w:t>: Empirical evidence from Turkey.</w:t>
      </w:r>
    </w:p>
    <w:p w:rsidR="00F02175" w:rsidRPr="003427A7" w:rsidRDefault="00F02175" w:rsidP="00F02175">
      <w:pPr>
        <w:spacing w:line="480" w:lineRule="auto"/>
        <w:rPr>
          <w:rFonts w:ascii="Times New Roman" w:hAnsi="Times New Roman" w:cs="Times New Roman"/>
          <w:sz w:val="24"/>
          <w:szCs w:val="24"/>
        </w:rPr>
      </w:pPr>
      <w:r w:rsidRPr="005D5B00">
        <w:rPr>
          <w:rFonts w:ascii="Times New Roman" w:hAnsi="Times New Roman" w:cs="Times New Roman"/>
          <w:sz w:val="24"/>
          <w:szCs w:val="24"/>
          <w:shd w:val="clear" w:color="auto" w:fill="FFFFFF"/>
        </w:rPr>
        <w:t xml:space="preserve">Ansari, S. and Khalil-ur-Rehman (2011). </w:t>
      </w:r>
      <w:r w:rsidRPr="00F60E99">
        <w:rPr>
          <w:rFonts w:ascii="Times New Roman" w:hAnsi="Times New Roman" w:cs="Times New Roman"/>
          <w:i/>
          <w:iCs/>
          <w:sz w:val="24"/>
          <w:szCs w:val="24"/>
          <w:shd w:val="clear" w:color="auto" w:fill="FFFFFF"/>
        </w:rPr>
        <w:t>Comparative Financial Performance of existing Islamic Banks and Contemporary Conventional Banks in Pakistan</w:t>
      </w:r>
      <w:r w:rsidRPr="005D5B00">
        <w:rPr>
          <w:rFonts w:ascii="Times New Roman" w:hAnsi="Times New Roman" w:cs="Times New Roman"/>
          <w:sz w:val="24"/>
          <w:szCs w:val="24"/>
          <w:shd w:val="clear" w:color="auto" w:fill="FFFFFF"/>
        </w:rPr>
        <w:t>.</w:t>
      </w:r>
      <w:r w:rsidRPr="005D5B00">
        <w:rPr>
          <w:rStyle w:val="apple-converted-space"/>
          <w:rFonts w:ascii="Times New Roman" w:hAnsi="Times New Roman" w:cs="Times New Roman"/>
          <w:sz w:val="24"/>
          <w:szCs w:val="24"/>
          <w:shd w:val="clear" w:color="auto" w:fill="FFFFFF"/>
        </w:rPr>
        <w:t> </w:t>
      </w:r>
      <w:r w:rsidRPr="005D5B00">
        <w:rPr>
          <w:rFonts w:ascii="Times New Roman" w:hAnsi="Times New Roman" w:cs="Times New Roman"/>
          <w:iCs/>
          <w:sz w:val="24"/>
          <w:szCs w:val="24"/>
          <w:shd w:val="clear" w:color="auto" w:fill="FFFFFF"/>
        </w:rPr>
        <w:t>2nd International Conference on Economics, Business and Management</w:t>
      </w:r>
      <w:r w:rsidRPr="005D5B00">
        <w:rPr>
          <w:rFonts w:ascii="Times New Roman" w:hAnsi="Times New Roman" w:cs="Times New Roman"/>
          <w:sz w:val="24"/>
          <w:szCs w:val="24"/>
          <w:shd w:val="clear" w:color="auto" w:fill="FFFFFF"/>
        </w:rPr>
        <w:t xml:space="preserve">, [online] 22, pp.45-49. Available at: </w:t>
      </w:r>
      <w:hyperlink r:id="rId11" w:history="1">
        <w:r w:rsidRPr="003427A7">
          <w:rPr>
            <w:rFonts w:ascii="Times New Roman" w:hAnsi="Times New Roman" w:cs="Times New Roman"/>
            <w:sz w:val="24"/>
            <w:szCs w:val="24"/>
          </w:rPr>
          <w:t>http://www.ipedr.com/vol22/9-ICEBM2011-M00020.pdf</w:t>
        </w:r>
      </w:hyperlink>
      <w:r w:rsidRPr="003427A7">
        <w:rPr>
          <w:rFonts w:ascii="Times New Roman" w:hAnsi="Times New Roman" w:cs="Times New Roman"/>
          <w:sz w:val="24"/>
          <w:szCs w:val="24"/>
        </w:rPr>
        <w:t>[Accessed 7 Nov. 2018]</w:t>
      </w:r>
    </w:p>
    <w:p w:rsidR="00F02175" w:rsidRPr="00F60E99" w:rsidRDefault="00F02175" w:rsidP="00F02175">
      <w:pPr>
        <w:spacing w:line="480" w:lineRule="auto"/>
        <w:rPr>
          <w:rFonts w:ascii="Times New Roman" w:hAnsi="Times New Roman" w:cs="Times New Roman"/>
          <w:sz w:val="24"/>
          <w:szCs w:val="24"/>
          <w:shd w:val="clear" w:color="auto" w:fill="FFFFFF"/>
        </w:rPr>
      </w:pPr>
      <w:r w:rsidRPr="00F60E99">
        <w:rPr>
          <w:rFonts w:ascii="Times New Roman" w:hAnsi="Times New Roman" w:cs="Times New Roman"/>
          <w:sz w:val="24"/>
          <w:szCs w:val="24"/>
          <w:shd w:val="clear" w:color="auto" w:fill="FFFFFF"/>
        </w:rPr>
        <w:t>Auta, E.M., (2010). E-Banking in developing economy: empirical evidence from Nigeria. </w:t>
      </w:r>
      <w:r w:rsidRPr="00F60E99">
        <w:rPr>
          <w:rFonts w:ascii="Times New Roman" w:hAnsi="Times New Roman" w:cs="Times New Roman"/>
          <w:i/>
          <w:iCs/>
          <w:sz w:val="24"/>
          <w:szCs w:val="24"/>
          <w:shd w:val="clear" w:color="auto" w:fill="FFFFFF"/>
        </w:rPr>
        <w:t>Journal of applied quantitative methods</w:t>
      </w:r>
      <w:r w:rsidRPr="00F60E99">
        <w:rPr>
          <w:rFonts w:ascii="Times New Roman" w:hAnsi="Times New Roman" w:cs="Times New Roman"/>
          <w:sz w:val="24"/>
          <w:szCs w:val="24"/>
          <w:shd w:val="clear" w:color="auto" w:fill="FFFFFF"/>
        </w:rPr>
        <w:t>, 5(2).</w:t>
      </w:r>
    </w:p>
    <w:p w:rsidR="00F02175" w:rsidRPr="001C073C" w:rsidRDefault="00F02175" w:rsidP="00F02175">
      <w:pPr>
        <w:spacing w:line="480" w:lineRule="auto"/>
        <w:rPr>
          <w:rFonts w:ascii="Times New Roman" w:hAnsi="Times New Roman" w:cs="Times New Roman"/>
          <w:sz w:val="24"/>
          <w:szCs w:val="24"/>
        </w:rPr>
      </w:pPr>
      <w:r w:rsidRPr="001C073C">
        <w:rPr>
          <w:rFonts w:ascii="Times New Roman" w:hAnsi="Times New Roman" w:cs="Times New Roman"/>
          <w:color w:val="000000"/>
          <w:sz w:val="24"/>
          <w:szCs w:val="24"/>
          <w:shd w:val="clear" w:color="auto" w:fill="FFFFFF"/>
        </w:rPr>
        <w:t>Barrell, R., Davis, E., Fic, T. and Karim, D. (2011). </w:t>
      </w:r>
      <w:r w:rsidRPr="001C073C">
        <w:rPr>
          <w:rFonts w:ascii="Times New Roman" w:hAnsi="Times New Roman" w:cs="Times New Roman"/>
          <w:i/>
          <w:iCs/>
          <w:color w:val="000000"/>
          <w:sz w:val="24"/>
          <w:szCs w:val="24"/>
          <w:shd w:val="clear" w:color="auto" w:fill="FFFFFF"/>
        </w:rPr>
        <w:t>Bank Capital Composition, Regulation and Risk Taking</w:t>
      </w:r>
      <w:r w:rsidRPr="001C073C">
        <w:rPr>
          <w:rFonts w:ascii="Times New Roman" w:hAnsi="Times New Roman" w:cs="Times New Roman"/>
          <w:color w:val="000000"/>
          <w:sz w:val="24"/>
          <w:szCs w:val="24"/>
          <w:shd w:val="clear" w:color="auto" w:fill="FFFFFF"/>
        </w:rPr>
        <w:t>. NIESR and Brunel University London, pp.1-15.</w:t>
      </w:r>
    </w:p>
    <w:p w:rsidR="00F02175" w:rsidRPr="003427A7" w:rsidRDefault="00F02175" w:rsidP="00F02175">
      <w:pPr>
        <w:spacing w:line="480" w:lineRule="auto"/>
        <w:rPr>
          <w:rFonts w:ascii="Times New Roman" w:hAnsi="Times New Roman" w:cs="Times New Roman"/>
          <w:noProof/>
          <w:sz w:val="24"/>
          <w:szCs w:val="24"/>
        </w:rPr>
      </w:pPr>
      <w:r w:rsidRPr="003427A7">
        <w:rPr>
          <w:rFonts w:ascii="Times New Roman" w:hAnsi="Times New Roman" w:cs="Times New Roman"/>
          <w:noProof/>
          <w:sz w:val="24"/>
          <w:szCs w:val="24"/>
        </w:rPr>
        <w:t xml:space="preserve">Berger, N. A. &amp; Bonaccorsi di Patti, B., (2005). Capital structure and Firm performance: A new approach to testing agency theory and application to the banking industry. </w:t>
      </w:r>
      <w:r w:rsidRPr="003427A7">
        <w:rPr>
          <w:rFonts w:ascii="Times New Roman" w:hAnsi="Times New Roman" w:cs="Times New Roman"/>
          <w:i/>
          <w:iCs/>
          <w:noProof/>
          <w:sz w:val="24"/>
          <w:szCs w:val="24"/>
        </w:rPr>
        <w:t xml:space="preserve">Journal of banking and finance, </w:t>
      </w:r>
      <w:r w:rsidRPr="003427A7">
        <w:rPr>
          <w:rFonts w:ascii="Times New Roman" w:hAnsi="Times New Roman" w:cs="Times New Roman"/>
          <w:noProof/>
          <w:sz w:val="24"/>
          <w:szCs w:val="24"/>
        </w:rPr>
        <w:t>Volume 30 .</w:t>
      </w:r>
    </w:p>
    <w:p w:rsidR="00F02175" w:rsidRPr="003427A7" w:rsidRDefault="00F02175" w:rsidP="00F02175">
      <w:pPr>
        <w:spacing w:line="480" w:lineRule="auto"/>
        <w:rPr>
          <w:rFonts w:ascii="Times New Roman" w:hAnsi="Times New Roman" w:cs="Times New Roman"/>
          <w:noProof/>
          <w:sz w:val="24"/>
          <w:szCs w:val="24"/>
        </w:rPr>
      </w:pPr>
      <w:r w:rsidRPr="003427A7">
        <w:rPr>
          <w:rFonts w:ascii="Times New Roman" w:hAnsi="Times New Roman" w:cs="Times New Roman"/>
          <w:noProof/>
          <w:sz w:val="24"/>
          <w:szCs w:val="24"/>
        </w:rPr>
        <w:lastRenderedPageBreak/>
        <w:t xml:space="preserve">Birru, W., (2016). the impact of capital structure on financial peroformance of commercial banks in Ethiopia. </w:t>
      </w:r>
      <w:r w:rsidRPr="003427A7">
        <w:rPr>
          <w:rFonts w:ascii="Times New Roman" w:hAnsi="Times New Roman" w:cs="Times New Roman"/>
          <w:i/>
          <w:iCs/>
          <w:noProof/>
          <w:sz w:val="24"/>
          <w:szCs w:val="24"/>
        </w:rPr>
        <w:t xml:space="preserve">Global Journal of management and business research, </w:t>
      </w:r>
      <w:r w:rsidRPr="003427A7">
        <w:rPr>
          <w:rFonts w:ascii="Times New Roman" w:hAnsi="Times New Roman" w:cs="Times New Roman"/>
          <w:noProof/>
          <w:sz w:val="24"/>
          <w:szCs w:val="24"/>
        </w:rPr>
        <w:t>Volume 16.</w:t>
      </w:r>
    </w:p>
    <w:p w:rsidR="00F02175" w:rsidRPr="003427A7" w:rsidRDefault="00F02175" w:rsidP="00F02175">
      <w:pPr>
        <w:spacing w:line="480" w:lineRule="auto"/>
        <w:rPr>
          <w:rFonts w:ascii="Times New Roman" w:hAnsi="Times New Roman" w:cs="Times New Roman"/>
          <w:noProof/>
          <w:sz w:val="24"/>
          <w:szCs w:val="24"/>
        </w:rPr>
      </w:pPr>
      <w:r w:rsidRPr="003427A7">
        <w:rPr>
          <w:rFonts w:ascii="Times New Roman" w:hAnsi="Times New Roman" w:cs="Times New Roman"/>
          <w:noProof/>
          <w:sz w:val="24"/>
          <w:szCs w:val="24"/>
        </w:rPr>
        <w:t xml:space="preserve">Bryman, A. &amp; Bell, E., (2011). </w:t>
      </w:r>
      <w:r w:rsidRPr="003427A7">
        <w:rPr>
          <w:rFonts w:ascii="Times New Roman" w:hAnsi="Times New Roman" w:cs="Times New Roman"/>
          <w:i/>
          <w:iCs/>
          <w:noProof/>
          <w:sz w:val="24"/>
          <w:szCs w:val="24"/>
        </w:rPr>
        <w:t xml:space="preserve">Business Research Methods. </w:t>
      </w:r>
      <w:r w:rsidRPr="003427A7">
        <w:rPr>
          <w:rFonts w:ascii="Times New Roman" w:hAnsi="Times New Roman" w:cs="Times New Roman"/>
          <w:noProof/>
          <w:sz w:val="24"/>
          <w:szCs w:val="24"/>
        </w:rPr>
        <w:t>3rd ed. New York: Oxford University Press.</w:t>
      </w:r>
    </w:p>
    <w:p w:rsidR="00F02175" w:rsidRPr="003427A7" w:rsidRDefault="00F02175" w:rsidP="00F02175">
      <w:pPr>
        <w:spacing w:line="480" w:lineRule="auto"/>
        <w:rPr>
          <w:rFonts w:ascii="Times New Roman" w:hAnsi="Times New Roman" w:cs="Times New Roman"/>
          <w:noProof/>
          <w:sz w:val="24"/>
          <w:szCs w:val="24"/>
        </w:rPr>
      </w:pPr>
      <w:r w:rsidRPr="003427A7">
        <w:rPr>
          <w:rFonts w:ascii="Times New Roman" w:hAnsi="Times New Roman" w:cs="Times New Roman"/>
          <w:noProof/>
          <w:sz w:val="24"/>
          <w:szCs w:val="24"/>
        </w:rPr>
        <w:t xml:space="preserve">Burns, R. &amp; Burns, R., (2008). </w:t>
      </w:r>
      <w:r w:rsidRPr="003427A7">
        <w:rPr>
          <w:rFonts w:ascii="Times New Roman" w:hAnsi="Times New Roman" w:cs="Times New Roman"/>
          <w:i/>
          <w:iCs/>
          <w:noProof/>
          <w:sz w:val="24"/>
          <w:szCs w:val="24"/>
        </w:rPr>
        <w:t>Business Research Methods and statistics using SPSS</w:t>
      </w:r>
      <w:r w:rsidRPr="003427A7">
        <w:rPr>
          <w:rFonts w:ascii="Times New Roman" w:hAnsi="Times New Roman" w:cs="Times New Roman"/>
          <w:noProof/>
          <w:sz w:val="24"/>
          <w:szCs w:val="24"/>
        </w:rPr>
        <w:t>. London: Sage.</w:t>
      </w:r>
    </w:p>
    <w:p w:rsidR="00F02175" w:rsidRPr="00F60E99" w:rsidRDefault="00F02175" w:rsidP="00F02175">
      <w:pPr>
        <w:spacing w:line="480" w:lineRule="auto"/>
        <w:jc w:val="both"/>
        <w:rPr>
          <w:rFonts w:ascii="Times New Roman" w:hAnsi="Times New Roman" w:cs="Times New Roman"/>
          <w:sz w:val="24"/>
          <w:szCs w:val="24"/>
        </w:rPr>
      </w:pPr>
      <w:r w:rsidRPr="00F60E99">
        <w:rPr>
          <w:rFonts w:ascii="Times New Roman" w:hAnsi="Times New Roman" w:cs="Times New Roman"/>
          <w:sz w:val="24"/>
          <w:szCs w:val="24"/>
          <w:shd w:val="clear" w:color="auto" w:fill="FFFFFF"/>
        </w:rPr>
        <w:t>Cheng, W.H. and Hung, J.C., (2011). Skewness and leptokurtosis in GARCH-typed VaR estimation of petroleum and metal asset returns. </w:t>
      </w:r>
      <w:r w:rsidRPr="00F60E99">
        <w:rPr>
          <w:rFonts w:ascii="Times New Roman" w:hAnsi="Times New Roman" w:cs="Times New Roman"/>
          <w:i/>
          <w:iCs/>
          <w:sz w:val="24"/>
          <w:szCs w:val="24"/>
          <w:shd w:val="clear" w:color="auto" w:fill="FFFFFF"/>
        </w:rPr>
        <w:t>Journal of Empirical Finance</w:t>
      </w:r>
      <w:r w:rsidRPr="00F60E99">
        <w:rPr>
          <w:rFonts w:ascii="Times New Roman" w:hAnsi="Times New Roman" w:cs="Times New Roman"/>
          <w:sz w:val="24"/>
          <w:szCs w:val="24"/>
          <w:shd w:val="clear" w:color="auto" w:fill="FFFFFF"/>
        </w:rPr>
        <w:t>, </w:t>
      </w:r>
      <w:r w:rsidRPr="00F60E99">
        <w:rPr>
          <w:rFonts w:ascii="Times New Roman" w:hAnsi="Times New Roman" w:cs="Times New Roman"/>
          <w:i/>
          <w:iCs/>
          <w:sz w:val="24"/>
          <w:szCs w:val="24"/>
          <w:shd w:val="clear" w:color="auto" w:fill="FFFFFF"/>
        </w:rPr>
        <w:t>18</w:t>
      </w:r>
      <w:r w:rsidRPr="00F60E99">
        <w:rPr>
          <w:rFonts w:ascii="Times New Roman" w:hAnsi="Times New Roman" w:cs="Times New Roman"/>
          <w:sz w:val="24"/>
          <w:szCs w:val="24"/>
          <w:shd w:val="clear" w:color="auto" w:fill="FFFFFF"/>
        </w:rPr>
        <w:t>(1), pp.160-173.</w:t>
      </w:r>
    </w:p>
    <w:p w:rsidR="00F02175" w:rsidRPr="008C4178" w:rsidRDefault="00F02175" w:rsidP="00F02175">
      <w:pPr>
        <w:spacing w:line="480" w:lineRule="auto"/>
        <w:rPr>
          <w:rFonts w:ascii="Times New Roman" w:hAnsi="Times New Roman" w:cs="Times New Roman"/>
          <w:sz w:val="24"/>
          <w:szCs w:val="24"/>
          <w:shd w:val="clear" w:color="auto" w:fill="FFFFFF"/>
        </w:rPr>
      </w:pPr>
      <w:r w:rsidRPr="008C4178">
        <w:rPr>
          <w:rFonts w:ascii="Times New Roman" w:hAnsi="Times New Roman" w:cs="Times New Roman"/>
          <w:sz w:val="24"/>
          <w:szCs w:val="24"/>
          <w:shd w:val="clear" w:color="auto" w:fill="FFFFFF"/>
        </w:rPr>
        <w:t>Chokri, T. and Anis, E. (2018). Measuring the Financial Performance of Islamic Banks in Selected Countries.</w:t>
      </w:r>
      <w:r w:rsidRPr="008C4178">
        <w:rPr>
          <w:rStyle w:val="apple-converted-space"/>
          <w:rFonts w:ascii="Times New Roman" w:hAnsi="Times New Roman" w:cs="Times New Roman"/>
          <w:sz w:val="24"/>
          <w:szCs w:val="24"/>
          <w:shd w:val="clear" w:color="auto" w:fill="FFFFFF"/>
        </w:rPr>
        <w:t> </w:t>
      </w:r>
      <w:r w:rsidRPr="008C4178">
        <w:rPr>
          <w:rFonts w:ascii="Times New Roman" w:hAnsi="Times New Roman" w:cs="Times New Roman"/>
          <w:i/>
          <w:iCs/>
          <w:sz w:val="24"/>
          <w:szCs w:val="24"/>
          <w:shd w:val="clear" w:color="auto" w:fill="FFFFFF"/>
        </w:rPr>
        <w:t>Journal of Business &amp; Financial Affairs</w:t>
      </w:r>
      <w:r w:rsidRPr="008C4178">
        <w:rPr>
          <w:rFonts w:ascii="Times New Roman" w:hAnsi="Times New Roman" w:cs="Times New Roman"/>
          <w:sz w:val="24"/>
          <w:szCs w:val="24"/>
          <w:shd w:val="clear" w:color="auto" w:fill="FFFFFF"/>
        </w:rPr>
        <w:t>, 07(01), pp.1-5</w:t>
      </w:r>
    </w:p>
    <w:p w:rsidR="00F02175" w:rsidRPr="003427A7" w:rsidRDefault="00F02175" w:rsidP="00F02175">
      <w:pPr>
        <w:spacing w:line="480" w:lineRule="auto"/>
        <w:rPr>
          <w:rFonts w:ascii="Times New Roman" w:hAnsi="Times New Roman" w:cs="Times New Roman"/>
          <w:noProof/>
          <w:sz w:val="24"/>
          <w:szCs w:val="24"/>
        </w:rPr>
      </w:pPr>
      <w:r w:rsidRPr="003427A7">
        <w:rPr>
          <w:rFonts w:ascii="Times New Roman" w:hAnsi="Times New Roman" w:cs="Times New Roman"/>
          <w:noProof/>
          <w:sz w:val="24"/>
          <w:szCs w:val="24"/>
        </w:rPr>
        <w:t xml:space="preserve">Collins, J. &amp; Hussey, R., (2009). </w:t>
      </w:r>
      <w:r w:rsidRPr="003427A7">
        <w:rPr>
          <w:rFonts w:ascii="Times New Roman" w:hAnsi="Times New Roman" w:cs="Times New Roman"/>
          <w:i/>
          <w:iCs/>
          <w:noProof/>
          <w:sz w:val="24"/>
          <w:szCs w:val="24"/>
        </w:rPr>
        <w:t xml:space="preserve">A Practical Guide to undergraduate and postgraduate students.. </w:t>
      </w:r>
      <w:r w:rsidRPr="003427A7">
        <w:rPr>
          <w:rFonts w:ascii="Times New Roman" w:hAnsi="Times New Roman" w:cs="Times New Roman"/>
          <w:noProof/>
          <w:sz w:val="24"/>
          <w:szCs w:val="24"/>
        </w:rPr>
        <w:t>Hampshire: Palgrave Macmillan.</w:t>
      </w:r>
    </w:p>
    <w:p w:rsidR="00F02175" w:rsidRPr="003427A7" w:rsidRDefault="00F02175" w:rsidP="00F02175">
      <w:pPr>
        <w:spacing w:line="480" w:lineRule="auto"/>
        <w:rPr>
          <w:rFonts w:ascii="Times New Roman" w:hAnsi="Times New Roman" w:cs="Times New Roman"/>
          <w:noProof/>
          <w:sz w:val="24"/>
          <w:szCs w:val="24"/>
        </w:rPr>
      </w:pPr>
      <w:r w:rsidRPr="003427A7">
        <w:rPr>
          <w:rFonts w:ascii="Times New Roman" w:hAnsi="Times New Roman" w:cs="Times New Roman"/>
          <w:noProof/>
          <w:sz w:val="24"/>
          <w:szCs w:val="24"/>
        </w:rPr>
        <w:t xml:space="preserve">Galetto, M., (2017). </w:t>
      </w:r>
      <w:r w:rsidRPr="003427A7">
        <w:rPr>
          <w:rFonts w:ascii="Times New Roman" w:hAnsi="Times New Roman" w:cs="Times New Roman"/>
          <w:i/>
          <w:iCs/>
          <w:noProof/>
          <w:sz w:val="24"/>
          <w:szCs w:val="24"/>
        </w:rPr>
        <w:t>How Banks Can Improve the Customer Experience: 5 Tips and Best Practices,</w:t>
      </w:r>
      <w:r w:rsidRPr="003427A7">
        <w:rPr>
          <w:rFonts w:ascii="Times New Roman" w:hAnsi="Times New Roman" w:cs="Times New Roman"/>
          <w:noProof/>
          <w:sz w:val="24"/>
          <w:szCs w:val="24"/>
        </w:rPr>
        <w:t xml:space="preserve"> NGDATA.</w:t>
      </w:r>
    </w:p>
    <w:p w:rsidR="00F02175" w:rsidRPr="00E62E15" w:rsidRDefault="00F02175" w:rsidP="00F02175">
      <w:pPr>
        <w:spacing w:line="480" w:lineRule="auto"/>
        <w:rPr>
          <w:rFonts w:ascii="Times New Roman" w:hAnsi="Times New Roman" w:cs="Times New Roman"/>
          <w:sz w:val="24"/>
          <w:szCs w:val="24"/>
        </w:rPr>
      </w:pPr>
      <w:r w:rsidRPr="00E62E15">
        <w:rPr>
          <w:rFonts w:ascii="Times New Roman" w:hAnsi="Times New Roman" w:cs="Times New Roman"/>
          <w:sz w:val="24"/>
          <w:szCs w:val="24"/>
          <w:shd w:val="clear" w:color="auto" w:fill="FFFFFF"/>
        </w:rPr>
        <w:t>Gallo, A. (2015). </w:t>
      </w:r>
      <w:r w:rsidRPr="00E62E15">
        <w:rPr>
          <w:rFonts w:ascii="Times New Roman" w:hAnsi="Times New Roman" w:cs="Times New Roman"/>
          <w:i/>
          <w:iCs/>
          <w:sz w:val="24"/>
          <w:szCs w:val="24"/>
          <w:shd w:val="clear" w:color="auto" w:fill="FFFFFF"/>
        </w:rPr>
        <w:t>A Refresher on Debt-to-Equity Ratio</w:t>
      </w:r>
      <w:r w:rsidRPr="00E62E15">
        <w:rPr>
          <w:rFonts w:ascii="Times New Roman" w:hAnsi="Times New Roman" w:cs="Times New Roman"/>
          <w:sz w:val="24"/>
          <w:szCs w:val="24"/>
          <w:shd w:val="clear" w:color="auto" w:fill="FFFFFF"/>
        </w:rPr>
        <w:t>. Harvard Business Publishing.</w:t>
      </w:r>
    </w:p>
    <w:p w:rsidR="00F02175" w:rsidRPr="001E53BB" w:rsidRDefault="00F02175" w:rsidP="00F02175">
      <w:pPr>
        <w:spacing w:line="480" w:lineRule="auto"/>
        <w:rPr>
          <w:rFonts w:ascii="Times New Roman" w:hAnsi="Times New Roman" w:cs="Times New Roman"/>
          <w:color w:val="000000"/>
          <w:sz w:val="24"/>
          <w:szCs w:val="24"/>
          <w:shd w:val="clear" w:color="auto" w:fill="FFFFFF"/>
        </w:rPr>
      </w:pPr>
      <w:r w:rsidRPr="001E53BB">
        <w:rPr>
          <w:rFonts w:ascii="Times New Roman" w:hAnsi="Times New Roman" w:cs="Times New Roman"/>
          <w:color w:val="000000"/>
          <w:sz w:val="24"/>
          <w:szCs w:val="24"/>
          <w:shd w:val="clear" w:color="auto" w:fill="FFFFFF"/>
        </w:rPr>
        <w:t>Girard, E., Nolan, J. and Pondillo, T. (2010). Determinants of Emerging Markets’ Commercial Bank Stock Returns. </w:t>
      </w:r>
      <w:r w:rsidRPr="001E53BB">
        <w:rPr>
          <w:rFonts w:ascii="Times New Roman" w:hAnsi="Times New Roman" w:cs="Times New Roman"/>
          <w:i/>
          <w:iCs/>
          <w:color w:val="000000"/>
          <w:sz w:val="24"/>
          <w:szCs w:val="24"/>
          <w:shd w:val="clear" w:color="auto" w:fill="FFFFFF"/>
        </w:rPr>
        <w:t>Global Journal of Business Research</w:t>
      </w:r>
      <w:r w:rsidRPr="001E53BB">
        <w:rPr>
          <w:rFonts w:ascii="Times New Roman" w:hAnsi="Times New Roman" w:cs="Times New Roman"/>
          <w:color w:val="000000"/>
          <w:sz w:val="24"/>
          <w:szCs w:val="24"/>
          <w:shd w:val="clear" w:color="auto" w:fill="FFFFFF"/>
        </w:rPr>
        <w:t>, 4(2), pp.1-120.</w:t>
      </w:r>
    </w:p>
    <w:p w:rsidR="00F02175" w:rsidRPr="00AA7058" w:rsidRDefault="00F02175" w:rsidP="00F02175">
      <w:pPr>
        <w:spacing w:line="480" w:lineRule="auto"/>
        <w:rPr>
          <w:rFonts w:ascii="Times New Roman" w:hAnsi="Times New Roman" w:cs="Times New Roman"/>
          <w:sz w:val="24"/>
          <w:szCs w:val="24"/>
          <w:shd w:val="clear" w:color="auto" w:fill="FFFFFF"/>
        </w:rPr>
      </w:pPr>
      <w:r w:rsidRPr="00AA7058">
        <w:rPr>
          <w:rFonts w:ascii="Times New Roman" w:hAnsi="Times New Roman" w:cs="Times New Roman"/>
          <w:sz w:val="24"/>
          <w:szCs w:val="24"/>
          <w:shd w:val="clear" w:color="auto" w:fill="FFFFFF"/>
        </w:rPr>
        <w:t>Gul, S., Irshad, F. &amp; Zaman, K., (2011). Factors Affecting Bank Profitability in Pakistan. </w:t>
      </w:r>
      <w:r w:rsidRPr="00AA7058">
        <w:rPr>
          <w:rFonts w:ascii="Times New Roman" w:hAnsi="Times New Roman" w:cs="Times New Roman"/>
          <w:i/>
          <w:iCs/>
          <w:sz w:val="24"/>
          <w:szCs w:val="24"/>
          <w:shd w:val="clear" w:color="auto" w:fill="FFFFFF"/>
        </w:rPr>
        <w:t>Romanian Economic Journal</w:t>
      </w:r>
      <w:r w:rsidRPr="00AA7058">
        <w:rPr>
          <w:rFonts w:ascii="Times New Roman" w:hAnsi="Times New Roman" w:cs="Times New Roman"/>
          <w:sz w:val="24"/>
          <w:szCs w:val="24"/>
          <w:shd w:val="clear" w:color="auto" w:fill="FFFFFF"/>
        </w:rPr>
        <w:t>, </w:t>
      </w:r>
      <w:r w:rsidRPr="00AA7058">
        <w:rPr>
          <w:rFonts w:ascii="Times New Roman" w:hAnsi="Times New Roman" w:cs="Times New Roman"/>
          <w:i/>
          <w:iCs/>
          <w:sz w:val="24"/>
          <w:szCs w:val="24"/>
          <w:shd w:val="clear" w:color="auto" w:fill="FFFFFF"/>
        </w:rPr>
        <w:t>14</w:t>
      </w:r>
      <w:r w:rsidRPr="00AA7058">
        <w:rPr>
          <w:rFonts w:ascii="Times New Roman" w:hAnsi="Times New Roman" w:cs="Times New Roman"/>
          <w:sz w:val="24"/>
          <w:szCs w:val="24"/>
          <w:shd w:val="clear" w:color="auto" w:fill="FFFFFF"/>
        </w:rPr>
        <w:t>(39).</w:t>
      </w:r>
    </w:p>
    <w:p w:rsidR="00F02175" w:rsidRPr="005D5B00" w:rsidRDefault="00F02175" w:rsidP="00F02175">
      <w:pPr>
        <w:spacing w:line="480" w:lineRule="auto"/>
        <w:rPr>
          <w:rFonts w:ascii="Times New Roman" w:hAnsi="Times New Roman" w:cs="Times New Roman"/>
          <w:sz w:val="24"/>
          <w:szCs w:val="24"/>
          <w:shd w:val="clear" w:color="auto" w:fill="FFFFFF"/>
        </w:rPr>
      </w:pPr>
      <w:r w:rsidRPr="005D5B00">
        <w:rPr>
          <w:rFonts w:ascii="Times New Roman" w:hAnsi="Times New Roman" w:cs="Times New Roman"/>
          <w:sz w:val="24"/>
          <w:szCs w:val="24"/>
          <w:shd w:val="clear" w:color="auto" w:fill="FFFFFF"/>
        </w:rPr>
        <w:t>Hamid, M. and Azmi, S. (2011). The Performance of Banking during 2000-2009: Bank Islam Malaysia Berhad and Conventional Banking in Malaysia.</w:t>
      </w:r>
      <w:r w:rsidRPr="005D5B00">
        <w:rPr>
          <w:rStyle w:val="apple-converted-space"/>
          <w:rFonts w:ascii="Times New Roman" w:hAnsi="Times New Roman" w:cs="Times New Roman"/>
          <w:sz w:val="24"/>
          <w:szCs w:val="24"/>
          <w:shd w:val="clear" w:color="auto" w:fill="FFFFFF"/>
        </w:rPr>
        <w:t> </w:t>
      </w:r>
      <w:r w:rsidRPr="00AA7058">
        <w:rPr>
          <w:rFonts w:ascii="Times New Roman" w:hAnsi="Times New Roman" w:cs="Times New Roman"/>
          <w:i/>
          <w:sz w:val="24"/>
          <w:szCs w:val="24"/>
          <w:shd w:val="clear" w:color="auto" w:fill="FFFFFF"/>
        </w:rPr>
        <w:t>International Journal of Economics and Management Sciences</w:t>
      </w:r>
      <w:r w:rsidRPr="005D5B00">
        <w:rPr>
          <w:rFonts w:ascii="Times New Roman" w:hAnsi="Times New Roman" w:cs="Times New Roman"/>
          <w:sz w:val="24"/>
          <w:szCs w:val="24"/>
          <w:shd w:val="clear" w:color="auto" w:fill="FFFFFF"/>
        </w:rPr>
        <w:t>, 1(1), pp.9-19</w:t>
      </w:r>
    </w:p>
    <w:p w:rsidR="00F02175" w:rsidRPr="005D5B00" w:rsidRDefault="00F02175" w:rsidP="00F02175">
      <w:pPr>
        <w:spacing w:line="480" w:lineRule="auto"/>
        <w:rPr>
          <w:rFonts w:ascii="Times New Roman" w:eastAsia="SimSun" w:hAnsi="Times New Roman" w:cs="Times New Roman"/>
          <w:sz w:val="24"/>
          <w:szCs w:val="24"/>
        </w:rPr>
      </w:pPr>
      <w:r w:rsidRPr="005D5B00">
        <w:rPr>
          <w:rFonts w:ascii="Times New Roman" w:eastAsia="SimSun" w:hAnsi="Times New Roman" w:cs="Times New Roman"/>
          <w:sz w:val="24"/>
          <w:szCs w:val="24"/>
        </w:rPr>
        <w:t xml:space="preserve">Hanif, M., </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2014</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 Differences and Similarities in Islamic and Conventional Banking.</w:t>
      </w:r>
      <w:r w:rsidRPr="005D5B00">
        <w:rPr>
          <w:rFonts w:ascii="Times New Roman" w:hAnsi="Times New Roman" w:cs="Times New Roman"/>
          <w:sz w:val="24"/>
          <w:szCs w:val="24"/>
          <w:shd w:val="clear" w:color="auto" w:fill="FFFFFF"/>
        </w:rPr>
        <w:t xml:space="preserve">International </w:t>
      </w:r>
      <w:r w:rsidRPr="004D4205">
        <w:rPr>
          <w:rFonts w:ascii="Times New Roman" w:hAnsi="Times New Roman" w:cs="Times New Roman"/>
          <w:i/>
          <w:iCs/>
          <w:sz w:val="24"/>
          <w:szCs w:val="24"/>
          <w:shd w:val="clear" w:color="auto" w:fill="FFFFFF"/>
        </w:rPr>
        <w:t>Journal of Business and Social Sciences</w:t>
      </w:r>
      <w:r w:rsidRPr="005D5B00">
        <w:rPr>
          <w:rFonts w:ascii="Times New Roman" w:hAnsi="Times New Roman" w:cs="Times New Roman"/>
          <w:sz w:val="24"/>
          <w:szCs w:val="24"/>
          <w:shd w:val="clear" w:color="auto" w:fill="FFFFFF"/>
        </w:rPr>
        <w:t>, 2(2), pp.1-25</w:t>
      </w:r>
    </w:p>
    <w:p w:rsidR="00F02175" w:rsidRPr="008C4178" w:rsidRDefault="00F02175" w:rsidP="00F02175">
      <w:pPr>
        <w:spacing w:line="480" w:lineRule="auto"/>
        <w:rPr>
          <w:rFonts w:ascii="Times New Roman" w:hAnsi="Times New Roman" w:cs="Times New Roman"/>
          <w:sz w:val="24"/>
          <w:szCs w:val="24"/>
          <w:shd w:val="clear" w:color="auto" w:fill="FFFFFF"/>
        </w:rPr>
      </w:pPr>
      <w:r w:rsidRPr="008C4178">
        <w:rPr>
          <w:rFonts w:ascii="Times New Roman" w:hAnsi="Times New Roman" w:cs="Times New Roman"/>
          <w:sz w:val="24"/>
          <w:szCs w:val="24"/>
          <w:shd w:val="clear" w:color="auto" w:fill="FFFFFF"/>
        </w:rPr>
        <w:lastRenderedPageBreak/>
        <w:t>Hawaldar, I., Rahiman, H., M, R. and K.R, N. (2017). A Comparison of Financial Performance of Islamic and Conventional Banks in Bahrain. </w:t>
      </w:r>
      <w:r w:rsidRPr="008C4178">
        <w:rPr>
          <w:rFonts w:ascii="Times New Roman" w:hAnsi="Times New Roman" w:cs="Times New Roman"/>
          <w:i/>
          <w:iCs/>
          <w:sz w:val="24"/>
          <w:szCs w:val="24"/>
          <w:shd w:val="clear" w:color="auto" w:fill="FFFFFF"/>
        </w:rPr>
        <w:t>American Scientific Research Journal for Engineering, Technology, and Sciences</w:t>
      </w:r>
      <w:r w:rsidRPr="008C4178">
        <w:rPr>
          <w:rFonts w:ascii="Times New Roman" w:hAnsi="Times New Roman" w:cs="Times New Roman"/>
          <w:sz w:val="24"/>
          <w:szCs w:val="24"/>
          <w:shd w:val="clear" w:color="auto" w:fill="FFFFFF"/>
        </w:rPr>
        <w:t>, 33(1), pp.100-110.</w:t>
      </w:r>
    </w:p>
    <w:p w:rsidR="00F02175" w:rsidRPr="005D5B00" w:rsidRDefault="00F02175" w:rsidP="00F02175">
      <w:pPr>
        <w:spacing w:line="480" w:lineRule="auto"/>
        <w:rPr>
          <w:rFonts w:ascii="Times New Roman" w:hAnsi="Times New Roman" w:cs="Times New Roman"/>
          <w:sz w:val="24"/>
          <w:szCs w:val="24"/>
          <w:shd w:val="clear" w:color="auto" w:fill="FFFFFF"/>
        </w:rPr>
      </w:pPr>
      <w:r w:rsidRPr="005D5B00">
        <w:rPr>
          <w:rFonts w:ascii="Times New Roman" w:hAnsi="Times New Roman" w:cs="Times New Roman"/>
          <w:sz w:val="24"/>
          <w:szCs w:val="24"/>
          <w:shd w:val="clear" w:color="auto" w:fill="FFFFFF"/>
        </w:rPr>
        <w:t>Hossain, M. (2015). Comparative Analysis of Financial Performance of Islamic vs. Conventional Banks in Bangladesh.</w:t>
      </w:r>
      <w:r w:rsidRPr="005D5B00">
        <w:rPr>
          <w:rStyle w:val="apple-converted-space"/>
          <w:rFonts w:ascii="Times New Roman" w:hAnsi="Times New Roman" w:cs="Times New Roman"/>
          <w:sz w:val="24"/>
          <w:szCs w:val="24"/>
          <w:shd w:val="clear" w:color="auto" w:fill="FFFFFF"/>
        </w:rPr>
        <w:t> </w:t>
      </w:r>
      <w:r w:rsidRPr="004D4205">
        <w:rPr>
          <w:rFonts w:ascii="Times New Roman" w:hAnsi="Times New Roman" w:cs="Times New Roman"/>
          <w:i/>
          <w:sz w:val="24"/>
          <w:szCs w:val="24"/>
          <w:shd w:val="clear" w:color="auto" w:fill="FFFFFF"/>
        </w:rPr>
        <w:t>SSRN Electronic Journal</w:t>
      </w:r>
      <w:r>
        <w:rPr>
          <w:rFonts w:ascii="Times New Roman" w:hAnsi="Times New Roman" w:cs="Times New Roman"/>
          <w:i/>
          <w:sz w:val="24"/>
          <w:szCs w:val="24"/>
          <w:shd w:val="clear" w:color="auto" w:fill="FFFFFF"/>
        </w:rPr>
        <w:t>.</w:t>
      </w:r>
    </w:p>
    <w:p w:rsidR="00F02175" w:rsidRPr="008C4178" w:rsidRDefault="00F02175" w:rsidP="00F02175">
      <w:pPr>
        <w:spacing w:line="480" w:lineRule="auto"/>
        <w:rPr>
          <w:rFonts w:ascii="Times New Roman" w:hAnsi="Times New Roman" w:cs="Times New Roman"/>
          <w:sz w:val="24"/>
          <w:szCs w:val="24"/>
          <w:shd w:val="clear" w:color="auto" w:fill="FFFFFF"/>
        </w:rPr>
      </w:pPr>
      <w:r w:rsidRPr="008C4178">
        <w:rPr>
          <w:rFonts w:ascii="Times New Roman" w:hAnsi="Times New Roman" w:cs="Times New Roman"/>
          <w:sz w:val="24"/>
          <w:szCs w:val="24"/>
          <w:shd w:val="clear" w:color="auto" w:fill="FFFFFF"/>
        </w:rPr>
        <w:t>Hussain, M., Shahmoradi, A. and Turk, R. (2015). </w:t>
      </w:r>
      <w:r w:rsidRPr="008C4178">
        <w:rPr>
          <w:rFonts w:ascii="Times New Roman" w:hAnsi="Times New Roman" w:cs="Times New Roman"/>
          <w:i/>
          <w:iCs/>
          <w:sz w:val="24"/>
          <w:szCs w:val="24"/>
          <w:shd w:val="clear" w:color="auto" w:fill="FFFFFF"/>
        </w:rPr>
        <w:t>An Overview of Islamic Finance</w:t>
      </w:r>
      <w:r w:rsidRPr="008C4178">
        <w:rPr>
          <w:rFonts w:ascii="Times New Roman" w:hAnsi="Times New Roman" w:cs="Times New Roman"/>
          <w:sz w:val="24"/>
          <w:szCs w:val="24"/>
          <w:shd w:val="clear" w:color="auto" w:fill="FFFFFF"/>
        </w:rPr>
        <w:t>. International Monetary Fund.</w:t>
      </w:r>
    </w:p>
    <w:p w:rsidR="00F02175" w:rsidRPr="003427A7" w:rsidRDefault="00F02175" w:rsidP="00F02175">
      <w:pPr>
        <w:spacing w:line="480" w:lineRule="auto"/>
        <w:rPr>
          <w:rFonts w:ascii="Times New Roman" w:hAnsi="Times New Roman" w:cs="Times New Roman"/>
          <w:sz w:val="24"/>
          <w:szCs w:val="24"/>
        </w:rPr>
      </w:pPr>
      <w:r w:rsidRPr="003427A7">
        <w:rPr>
          <w:rFonts w:ascii="Times New Roman" w:hAnsi="Times New Roman" w:cs="Times New Roman"/>
          <w:sz w:val="24"/>
          <w:szCs w:val="24"/>
        </w:rPr>
        <w:t>Ibrahim, M. (2015). Issues in Islamic banking and finance: Islamic banks, Shari’ah-compliant investment andsukuk. </w:t>
      </w:r>
      <w:r w:rsidRPr="003427A7">
        <w:rPr>
          <w:rFonts w:ascii="Times New Roman" w:hAnsi="Times New Roman" w:cs="Times New Roman"/>
          <w:i/>
          <w:iCs/>
          <w:sz w:val="24"/>
          <w:szCs w:val="24"/>
        </w:rPr>
        <w:t>Pacific-Basin Finance Journal</w:t>
      </w:r>
      <w:r w:rsidRPr="003427A7">
        <w:rPr>
          <w:rFonts w:ascii="Times New Roman" w:hAnsi="Times New Roman" w:cs="Times New Roman"/>
          <w:sz w:val="24"/>
          <w:szCs w:val="24"/>
        </w:rPr>
        <w:t>, 34, pp.185-191</w:t>
      </w:r>
    </w:p>
    <w:p w:rsidR="00F02175" w:rsidRPr="005D5B00" w:rsidRDefault="00F02175" w:rsidP="00F02175">
      <w:pPr>
        <w:spacing w:line="480" w:lineRule="auto"/>
        <w:rPr>
          <w:rFonts w:ascii="Times New Roman" w:eastAsia="SimSun" w:hAnsi="Times New Roman" w:cs="Times New Roman"/>
          <w:i/>
          <w:iCs/>
          <w:sz w:val="24"/>
          <w:szCs w:val="24"/>
        </w:rPr>
      </w:pPr>
      <w:r w:rsidRPr="005D5B00">
        <w:rPr>
          <w:rFonts w:ascii="Times New Roman" w:eastAsia="SimSun" w:hAnsi="Times New Roman" w:cs="Times New Roman"/>
          <w:sz w:val="24"/>
          <w:szCs w:val="24"/>
        </w:rPr>
        <w:t xml:space="preserve">Iqbal, M. and Molyneux, P., </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2016</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 xml:space="preserve">. Thirty years of Islamic banking: History, performance and prospects. </w:t>
      </w:r>
      <w:r w:rsidRPr="005D5B00">
        <w:rPr>
          <w:rStyle w:val="fontstyle01"/>
          <w:rFonts w:ascii="Times New Roman" w:hAnsi="Times New Roman" w:cs="Times New Roman"/>
          <w:color w:val="auto"/>
          <w:sz w:val="24"/>
          <w:szCs w:val="24"/>
        </w:rPr>
        <w:t>J.KAU: Islamic Econ, 19(1), pp.37-39</w:t>
      </w:r>
    </w:p>
    <w:p w:rsidR="00F02175" w:rsidRPr="008C4178" w:rsidRDefault="00F02175" w:rsidP="00F02175">
      <w:pPr>
        <w:spacing w:line="480" w:lineRule="auto"/>
        <w:rPr>
          <w:rFonts w:ascii="Times New Roman" w:hAnsi="Times New Roman" w:cs="Times New Roman"/>
          <w:sz w:val="24"/>
          <w:szCs w:val="24"/>
          <w:shd w:val="clear" w:color="auto" w:fill="FFFFFF"/>
        </w:rPr>
      </w:pPr>
      <w:r w:rsidRPr="008C4178">
        <w:rPr>
          <w:rFonts w:ascii="Times New Roman" w:hAnsi="Times New Roman" w:cs="Times New Roman"/>
          <w:sz w:val="24"/>
          <w:szCs w:val="24"/>
          <w:shd w:val="clear" w:color="auto" w:fill="FFFFFF"/>
        </w:rPr>
        <w:t>Javaria, K. (2016). Comparative Analysis of Islamic and Conventional Banks: A Case Study from Malaysia. </w:t>
      </w:r>
      <w:r w:rsidRPr="008C4178">
        <w:rPr>
          <w:rFonts w:ascii="Times New Roman" w:hAnsi="Times New Roman" w:cs="Times New Roman"/>
          <w:i/>
          <w:iCs/>
          <w:sz w:val="24"/>
          <w:szCs w:val="24"/>
          <w:shd w:val="clear" w:color="auto" w:fill="FFFFFF"/>
        </w:rPr>
        <w:t>Journal of Islamic Financial Studies</w:t>
      </w:r>
      <w:r w:rsidRPr="008C4178">
        <w:rPr>
          <w:rFonts w:ascii="Times New Roman" w:hAnsi="Times New Roman" w:cs="Times New Roman"/>
          <w:sz w:val="24"/>
          <w:szCs w:val="24"/>
          <w:shd w:val="clear" w:color="auto" w:fill="FFFFFF"/>
        </w:rPr>
        <w:t>, 2(2), pp.85-93.</w:t>
      </w:r>
    </w:p>
    <w:p w:rsidR="00F02175" w:rsidRPr="003427A7" w:rsidRDefault="00F02175" w:rsidP="00F02175">
      <w:pPr>
        <w:spacing w:line="480" w:lineRule="auto"/>
        <w:rPr>
          <w:rFonts w:ascii="Times New Roman" w:hAnsi="Times New Roman" w:cs="Times New Roman"/>
          <w:noProof/>
          <w:sz w:val="24"/>
          <w:szCs w:val="24"/>
        </w:rPr>
      </w:pPr>
      <w:r w:rsidRPr="003427A7">
        <w:rPr>
          <w:rFonts w:ascii="Times New Roman" w:hAnsi="Times New Roman" w:cs="Times New Roman"/>
          <w:noProof/>
          <w:sz w:val="24"/>
          <w:szCs w:val="24"/>
        </w:rPr>
        <w:t xml:space="preserve">Jeon, J., (2015). The Strengths and Limitations of the Statistical Modeling of Complex Social Phinomenon: Focusing on SEM, Path Analysis, or Multiple Regression Models. </w:t>
      </w:r>
      <w:r w:rsidRPr="003427A7">
        <w:rPr>
          <w:rFonts w:ascii="Times New Roman" w:hAnsi="Times New Roman" w:cs="Times New Roman"/>
          <w:i/>
          <w:iCs/>
          <w:noProof/>
          <w:sz w:val="24"/>
          <w:szCs w:val="24"/>
        </w:rPr>
        <w:t xml:space="preserve">International Journal of Social, Behavioral, Educational, Business and Industrial Engineering, </w:t>
      </w:r>
      <w:r w:rsidRPr="003427A7">
        <w:rPr>
          <w:rFonts w:ascii="Times New Roman" w:hAnsi="Times New Roman" w:cs="Times New Roman"/>
          <w:noProof/>
          <w:sz w:val="24"/>
          <w:szCs w:val="24"/>
        </w:rPr>
        <w:t>9(5).</w:t>
      </w:r>
    </w:p>
    <w:p w:rsidR="00F02175" w:rsidRPr="003427A7" w:rsidRDefault="00271644" w:rsidP="00F02175">
      <w:pPr>
        <w:spacing w:line="480" w:lineRule="auto"/>
        <w:rPr>
          <w:rFonts w:ascii="Times New Roman" w:eastAsia="SimSun" w:hAnsi="Times New Roman" w:cs="Times New Roman"/>
          <w:sz w:val="24"/>
          <w:szCs w:val="24"/>
        </w:rPr>
      </w:pPr>
      <w:sdt>
        <w:sdtPr>
          <w:rPr>
            <w:rFonts w:ascii="Times New Roman" w:eastAsia="SimSun" w:hAnsi="Times New Roman" w:cs="Times New Roman"/>
            <w:sz w:val="24"/>
            <w:szCs w:val="24"/>
          </w:rPr>
          <w:id w:val="-635257574"/>
          <w:bibliography/>
        </w:sdtPr>
        <w:sdtEndPr/>
        <w:sdtContent>
          <w:r w:rsidR="00F02175">
            <w:rPr>
              <w:rFonts w:ascii="Times New Roman" w:eastAsia="SimSun" w:hAnsi="Times New Roman" w:cs="Times New Roman"/>
              <w:sz w:val="24"/>
              <w:szCs w:val="24"/>
            </w:rPr>
            <w:t>J</w:t>
          </w:r>
        </w:sdtContent>
      </w:sdt>
      <w:r w:rsidR="00F02175" w:rsidRPr="003427A7">
        <w:rPr>
          <w:rFonts w:ascii="Times New Roman" w:eastAsia="SimSun" w:hAnsi="Times New Roman" w:cs="Times New Roman"/>
          <w:sz w:val="24"/>
          <w:szCs w:val="24"/>
        </w:rPr>
        <w:t>ewell, J.J. &amp;Mankin, J.A., (2011). What is your ROA? An investigation of the many formulas for calculating return on assets.</w:t>
      </w:r>
    </w:p>
    <w:p w:rsidR="00F02175" w:rsidRPr="005D5B00" w:rsidRDefault="00F02175" w:rsidP="00F02175">
      <w:pPr>
        <w:spacing w:line="480" w:lineRule="auto"/>
        <w:rPr>
          <w:rFonts w:ascii="Times New Roman" w:eastAsia="SimSun" w:hAnsi="Times New Roman" w:cs="Times New Roman"/>
          <w:sz w:val="24"/>
          <w:szCs w:val="24"/>
        </w:rPr>
      </w:pPr>
      <w:r w:rsidRPr="005D5B00">
        <w:rPr>
          <w:rFonts w:ascii="Times New Roman" w:eastAsia="SimSun" w:hAnsi="Times New Roman" w:cs="Times New Roman"/>
          <w:sz w:val="24"/>
          <w:szCs w:val="24"/>
        </w:rPr>
        <w:t xml:space="preserve">Johnes, J., Izzeldin, M. and Pappas, V., </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2014</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 xml:space="preserve">. A comparison of performance of Islamic and conventional banks 2004–2009. </w:t>
      </w:r>
      <w:r w:rsidRPr="004D4205">
        <w:rPr>
          <w:rFonts w:ascii="Times New Roman" w:eastAsia="SimSun" w:hAnsi="Times New Roman" w:cs="Times New Roman"/>
          <w:i/>
          <w:iCs/>
          <w:sz w:val="24"/>
          <w:szCs w:val="24"/>
        </w:rPr>
        <w:t>Journal of Economic Behavior &amp; Organization</w:t>
      </w:r>
      <w:r w:rsidRPr="005D5B00">
        <w:rPr>
          <w:rFonts w:ascii="Times New Roman" w:eastAsia="SimSun" w:hAnsi="Times New Roman" w:cs="Times New Roman"/>
          <w:sz w:val="24"/>
          <w:szCs w:val="24"/>
        </w:rPr>
        <w:t>, 103, pp.S93-S107.</w:t>
      </w:r>
    </w:p>
    <w:p w:rsidR="00F02175" w:rsidRPr="005D5B00" w:rsidRDefault="00F02175" w:rsidP="00F02175">
      <w:pPr>
        <w:spacing w:line="480" w:lineRule="auto"/>
        <w:rPr>
          <w:rFonts w:ascii="Times New Roman" w:eastAsia="SimSun" w:hAnsi="Times New Roman" w:cs="Times New Roman"/>
          <w:sz w:val="24"/>
          <w:szCs w:val="24"/>
        </w:rPr>
      </w:pPr>
      <w:r w:rsidRPr="005D5B00">
        <w:rPr>
          <w:rFonts w:ascii="Times New Roman" w:eastAsia="SimSun" w:hAnsi="Times New Roman" w:cs="Times New Roman"/>
          <w:sz w:val="24"/>
          <w:szCs w:val="24"/>
        </w:rPr>
        <w:t xml:space="preserve">Johnes, J., Izzeldin, M. and Pappas, V., </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2015</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 xml:space="preserve">. </w:t>
      </w:r>
      <w:r w:rsidRPr="004D4205">
        <w:rPr>
          <w:rFonts w:ascii="Times New Roman" w:eastAsia="SimSun" w:hAnsi="Times New Roman" w:cs="Times New Roman"/>
          <w:i/>
          <w:iCs/>
          <w:sz w:val="24"/>
          <w:szCs w:val="24"/>
        </w:rPr>
        <w:t>Efficiency and productivity change in banks in the gulf cooperation council countries</w:t>
      </w:r>
      <w:r w:rsidRPr="005D5B00">
        <w:rPr>
          <w:rFonts w:ascii="Times New Roman" w:eastAsia="SimSun" w:hAnsi="Times New Roman" w:cs="Times New Roman"/>
          <w:sz w:val="24"/>
          <w:szCs w:val="24"/>
        </w:rPr>
        <w:t>. pp.1-30</w:t>
      </w:r>
    </w:p>
    <w:p w:rsidR="00F02175" w:rsidRPr="008C4178" w:rsidRDefault="00F02175" w:rsidP="00F02175">
      <w:pPr>
        <w:spacing w:line="480" w:lineRule="auto"/>
        <w:rPr>
          <w:rFonts w:ascii="Times New Roman" w:hAnsi="Times New Roman" w:cs="Times New Roman"/>
          <w:sz w:val="24"/>
          <w:szCs w:val="24"/>
          <w:shd w:val="clear" w:color="auto" w:fill="FFFFFF"/>
        </w:rPr>
      </w:pPr>
      <w:r w:rsidRPr="008C4178">
        <w:rPr>
          <w:rFonts w:ascii="Times New Roman" w:hAnsi="Times New Roman" w:cs="Times New Roman"/>
          <w:sz w:val="24"/>
          <w:szCs w:val="24"/>
          <w:shd w:val="clear" w:color="auto" w:fill="FFFFFF"/>
        </w:rPr>
        <w:lastRenderedPageBreak/>
        <w:t>Kabir, N. and Worthington, A. (2013). Determinants of Credit Risk: A Comparative Analysis between Islamic and Conventional Banks. </w:t>
      </w:r>
      <w:r w:rsidRPr="008C4178">
        <w:rPr>
          <w:rFonts w:ascii="Times New Roman" w:hAnsi="Times New Roman" w:cs="Times New Roman"/>
          <w:i/>
          <w:iCs/>
          <w:sz w:val="24"/>
          <w:szCs w:val="24"/>
          <w:shd w:val="clear" w:color="auto" w:fill="FFFFFF"/>
        </w:rPr>
        <w:t>SSRN Electronic Journal</w:t>
      </w:r>
      <w:r w:rsidRPr="008C4178">
        <w:rPr>
          <w:rFonts w:ascii="Times New Roman" w:hAnsi="Times New Roman" w:cs="Times New Roman"/>
          <w:sz w:val="24"/>
          <w:szCs w:val="24"/>
          <w:shd w:val="clear" w:color="auto" w:fill="FFFFFF"/>
        </w:rPr>
        <w:t>.</w:t>
      </w:r>
    </w:p>
    <w:p w:rsidR="00F02175" w:rsidRPr="005D5B00" w:rsidRDefault="00F02175" w:rsidP="00F02175">
      <w:pPr>
        <w:spacing w:line="480" w:lineRule="auto"/>
        <w:rPr>
          <w:rFonts w:ascii="Times New Roman" w:hAnsi="Times New Roman" w:cs="Times New Roman"/>
          <w:sz w:val="24"/>
          <w:szCs w:val="24"/>
        </w:rPr>
      </w:pPr>
      <w:r w:rsidRPr="005D5B00">
        <w:rPr>
          <w:rFonts w:ascii="Times New Roman" w:hAnsi="Times New Roman" w:cs="Times New Roman"/>
          <w:sz w:val="24"/>
          <w:szCs w:val="24"/>
          <w:shd w:val="clear" w:color="auto" w:fill="FFFFFF"/>
        </w:rPr>
        <w:t>Kanwal, S. and Nadeem, M. (2013). The Impact of Macroeconomic Variables on the Profitability of Listed Commercial Banks in Pakistan. </w:t>
      </w:r>
      <w:r w:rsidRPr="004D4205">
        <w:rPr>
          <w:rFonts w:ascii="Times New Roman" w:hAnsi="Times New Roman" w:cs="Times New Roman"/>
          <w:i/>
          <w:sz w:val="24"/>
          <w:szCs w:val="24"/>
          <w:shd w:val="clear" w:color="auto" w:fill="FFFFFF"/>
        </w:rPr>
        <w:t>European Journal of Business and Social Sciences</w:t>
      </w:r>
      <w:r w:rsidRPr="005D5B00">
        <w:rPr>
          <w:rFonts w:ascii="Times New Roman" w:hAnsi="Times New Roman" w:cs="Times New Roman"/>
          <w:sz w:val="24"/>
          <w:szCs w:val="24"/>
          <w:shd w:val="clear" w:color="auto" w:fill="FFFFFF"/>
        </w:rPr>
        <w:t>, 2(9), pp.186-201.</w:t>
      </w:r>
    </w:p>
    <w:p w:rsidR="00F02175" w:rsidRPr="005D5B00" w:rsidRDefault="00F02175" w:rsidP="00F02175">
      <w:pPr>
        <w:spacing w:line="480" w:lineRule="auto"/>
        <w:rPr>
          <w:rFonts w:ascii="Times New Roman" w:eastAsia="SimSun" w:hAnsi="Times New Roman" w:cs="Times New Roman"/>
          <w:sz w:val="24"/>
          <w:szCs w:val="24"/>
        </w:rPr>
      </w:pPr>
      <w:r w:rsidRPr="005D5B00">
        <w:rPr>
          <w:rFonts w:ascii="Times New Roman" w:eastAsia="SimSun" w:hAnsi="Times New Roman" w:cs="Times New Roman"/>
          <w:sz w:val="24"/>
          <w:szCs w:val="24"/>
        </w:rPr>
        <w:t xml:space="preserve">Karim, M.A., Hassan, M.K., Hassan, T. and Mohamad, S., </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2014</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 xml:space="preserve">. Capital adequacy and lending and deposit behaviors of conventional and Islamic banks. </w:t>
      </w:r>
      <w:r w:rsidRPr="00574AC1">
        <w:rPr>
          <w:rFonts w:ascii="Times New Roman" w:eastAsia="SimSun" w:hAnsi="Times New Roman" w:cs="Times New Roman"/>
          <w:i/>
          <w:iCs/>
          <w:sz w:val="24"/>
          <w:szCs w:val="24"/>
        </w:rPr>
        <w:t>Pacific-Basin Finance Journal</w:t>
      </w:r>
      <w:r w:rsidRPr="005D5B00">
        <w:rPr>
          <w:rFonts w:ascii="Times New Roman" w:eastAsia="SimSun" w:hAnsi="Times New Roman" w:cs="Times New Roman"/>
          <w:sz w:val="24"/>
          <w:szCs w:val="24"/>
        </w:rPr>
        <w:t>, 28, pp.58-75.</w:t>
      </w:r>
    </w:p>
    <w:p w:rsidR="00F02175" w:rsidRPr="005D5B00" w:rsidRDefault="00F02175" w:rsidP="00F02175">
      <w:pPr>
        <w:spacing w:line="480" w:lineRule="auto"/>
        <w:rPr>
          <w:rFonts w:ascii="Times New Roman" w:eastAsia="SimSun" w:hAnsi="Times New Roman" w:cs="Times New Roman"/>
          <w:sz w:val="24"/>
          <w:szCs w:val="24"/>
        </w:rPr>
      </w:pPr>
      <w:r w:rsidRPr="005D5B00">
        <w:rPr>
          <w:rFonts w:ascii="Times New Roman" w:eastAsia="SimSun" w:hAnsi="Times New Roman" w:cs="Times New Roman"/>
          <w:sz w:val="24"/>
          <w:szCs w:val="24"/>
        </w:rPr>
        <w:t xml:space="preserve">Karim, N.A., Alhabshi, S.M.S.J., Kassim, S. and Haron, R., </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2018</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 xml:space="preserve">. Measuring Bank Stability: A Comparative Analysis between Islamic and Conventional Banks in Malaysia. </w:t>
      </w:r>
      <w:r w:rsidRPr="00574AC1">
        <w:rPr>
          <w:rFonts w:ascii="Times New Roman" w:eastAsia="SimSun" w:hAnsi="Times New Roman" w:cs="Times New Roman"/>
          <w:i/>
          <w:iCs/>
          <w:sz w:val="24"/>
          <w:szCs w:val="24"/>
        </w:rPr>
        <w:t>In Proceedings of the 2nd Advances in Business Research International Conference</w:t>
      </w:r>
      <w:r w:rsidRPr="005D5B00">
        <w:rPr>
          <w:rFonts w:ascii="Times New Roman" w:eastAsia="SimSun" w:hAnsi="Times New Roman" w:cs="Times New Roman"/>
          <w:sz w:val="24"/>
          <w:szCs w:val="24"/>
        </w:rPr>
        <w:t xml:space="preserve"> (pp. 169-177). Springer, Singapore.</w:t>
      </w:r>
    </w:p>
    <w:p w:rsidR="00F02175" w:rsidRPr="00E62E15" w:rsidRDefault="00F02175" w:rsidP="00F02175">
      <w:pPr>
        <w:spacing w:line="480" w:lineRule="auto"/>
        <w:rPr>
          <w:rFonts w:ascii="Times New Roman" w:hAnsi="Times New Roman" w:cs="Times New Roman"/>
          <w:sz w:val="24"/>
          <w:szCs w:val="24"/>
          <w:shd w:val="clear" w:color="auto" w:fill="FFFFFF"/>
        </w:rPr>
      </w:pPr>
      <w:r w:rsidRPr="00E62E15">
        <w:rPr>
          <w:rFonts w:ascii="Times New Roman" w:hAnsi="Times New Roman" w:cs="Times New Roman"/>
          <w:sz w:val="24"/>
          <w:szCs w:val="24"/>
          <w:shd w:val="clear" w:color="auto" w:fill="FFFFFF"/>
        </w:rPr>
        <w:t>Kenton, W. (2019). </w:t>
      </w:r>
      <w:r w:rsidRPr="00E62E15">
        <w:rPr>
          <w:rFonts w:ascii="Times New Roman" w:hAnsi="Times New Roman" w:cs="Times New Roman"/>
          <w:i/>
          <w:iCs/>
          <w:sz w:val="24"/>
          <w:szCs w:val="24"/>
          <w:shd w:val="clear" w:color="auto" w:fill="FFFFFF"/>
        </w:rPr>
        <w:t>Debt-To-Capital Ratio</w:t>
      </w:r>
      <w:r w:rsidRPr="00E62E15">
        <w:rPr>
          <w:rFonts w:ascii="Times New Roman" w:hAnsi="Times New Roman" w:cs="Times New Roman"/>
          <w:sz w:val="24"/>
          <w:szCs w:val="24"/>
          <w:shd w:val="clear" w:color="auto" w:fill="FFFFFF"/>
        </w:rPr>
        <w:t>. Financial Analysis. Investopedia.</w:t>
      </w:r>
    </w:p>
    <w:p w:rsidR="00F02175" w:rsidRPr="005D5B00" w:rsidRDefault="00F02175" w:rsidP="00F02175">
      <w:pPr>
        <w:spacing w:line="480" w:lineRule="auto"/>
        <w:rPr>
          <w:rFonts w:ascii="Times New Roman" w:eastAsia="SimSun" w:hAnsi="Times New Roman" w:cs="Times New Roman"/>
          <w:sz w:val="24"/>
          <w:szCs w:val="24"/>
        </w:rPr>
      </w:pPr>
      <w:r w:rsidRPr="005D5B00">
        <w:rPr>
          <w:rFonts w:ascii="Times New Roman" w:eastAsia="SimSun" w:hAnsi="Times New Roman" w:cs="Times New Roman"/>
          <w:sz w:val="24"/>
          <w:szCs w:val="24"/>
        </w:rPr>
        <w:t xml:space="preserve">Khediri, K.B., Charfeddine, L. and Youssef, S.B., </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2015</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 xml:space="preserve">. Islamic versus conventional banks in the GCC countries: A comparative study using classification techniques. </w:t>
      </w:r>
      <w:r w:rsidRPr="00574AC1">
        <w:rPr>
          <w:rFonts w:ascii="Times New Roman" w:eastAsia="SimSun" w:hAnsi="Times New Roman" w:cs="Times New Roman"/>
          <w:i/>
          <w:iCs/>
          <w:sz w:val="24"/>
          <w:szCs w:val="24"/>
        </w:rPr>
        <w:t>Research in International Business and Finance</w:t>
      </w:r>
      <w:r w:rsidRPr="005D5B00">
        <w:rPr>
          <w:rFonts w:ascii="Times New Roman" w:eastAsia="SimSun" w:hAnsi="Times New Roman" w:cs="Times New Roman"/>
          <w:sz w:val="24"/>
          <w:szCs w:val="24"/>
        </w:rPr>
        <w:t>, 33, pp.75-98.</w:t>
      </w:r>
    </w:p>
    <w:p w:rsidR="00F02175" w:rsidRPr="00574AC1" w:rsidRDefault="00F02175" w:rsidP="00F02175">
      <w:pPr>
        <w:spacing w:line="480" w:lineRule="auto"/>
        <w:jc w:val="both"/>
        <w:rPr>
          <w:rFonts w:ascii="Times New Roman" w:hAnsi="Times New Roman" w:cs="Times New Roman"/>
          <w:sz w:val="24"/>
          <w:szCs w:val="24"/>
        </w:rPr>
      </w:pPr>
      <w:r w:rsidRPr="00574AC1">
        <w:rPr>
          <w:rFonts w:ascii="Times New Roman" w:hAnsi="Times New Roman" w:cs="Times New Roman"/>
          <w:sz w:val="24"/>
          <w:szCs w:val="24"/>
          <w:shd w:val="clear" w:color="auto" w:fill="FFFFFF"/>
        </w:rPr>
        <w:t>Leys, C., Ley, C., Klein, O., Bernard, P. and Licata, L., (2013). Detecting outliers: Do not use standard deviation around the mean, use absolute deviation around the median. </w:t>
      </w:r>
      <w:r w:rsidRPr="00574AC1">
        <w:rPr>
          <w:rFonts w:ascii="Times New Roman" w:hAnsi="Times New Roman" w:cs="Times New Roman"/>
          <w:i/>
          <w:iCs/>
          <w:sz w:val="24"/>
          <w:szCs w:val="24"/>
          <w:shd w:val="clear" w:color="auto" w:fill="FFFFFF"/>
        </w:rPr>
        <w:t>Journal of Experimental Social Psychology</w:t>
      </w:r>
      <w:r w:rsidRPr="00574AC1">
        <w:rPr>
          <w:rFonts w:ascii="Times New Roman" w:hAnsi="Times New Roman" w:cs="Times New Roman"/>
          <w:sz w:val="24"/>
          <w:szCs w:val="24"/>
          <w:shd w:val="clear" w:color="auto" w:fill="FFFFFF"/>
        </w:rPr>
        <w:t>, </w:t>
      </w:r>
      <w:r w:rsidRPr="00574AC1">
        <w:rPr>
          <w:rFonts w:ascii="Times New Roman" w:hAnsi="Times New Roman" w:cs="Times New Roman"/>
          <w:i/>
          <w:iCs/>
          <w:sz w:val="24"/>
          <w:szCs w:val="24"/>
          <w:shd w:val="clear" w:color="auto" w:fill="FFFFFF"/>
        </w:rPr>
        <w:t>49</w:t>
      </w:r>
      <w:r w:rsidRPr="00574AC1">
        <w:rPr>
          <w:rFonts w:ascii="Times New Roman" w:hAnsi="Times New Roman" w:cs="Times New Roman"/>
          <w:sz w:val="24"/>
          <w:szCs w:val="24"/>
          <w:shd w:val="clear" w:color="auto" w:fill="FFFFFF"/>
        </w:rPr>
        <w:t>(4), pp.764-766.</w:t>
      </w:r>
    </w:p>
    <w:p w:rsidR="00F02175" w:rsidRPr="00574AC1" w:rsidRDefault="00F02175" w:rsidP="00F02175">
      <w:pPr>
        <w:spacing w:line="480" w:lineRule="auto"/>
        <w:rPr>
          <w:rFonts w:ascii="Times New Roman" w:hAnsi="Times New Roman" w:cs="Times New Roman"/>
          <w:sz w:val="24"/>
          <w:szCs w:val="24"/>
          <w:shd w:val="clear" w:color="auto" w:fill="FFFFFF"/>
        </w:rPr>
      </w:pPr>
      <w:r w:rsidRPr="00574AC1">
        <w:rPr>
          <w:rFonts w:ascii="Times New Roman" w:hAnsi="Times New Roman" w:cs="Times New Roman"/>
          <w:sz w:val="24"/>
          <w:szCs w:val="24"/>
          <w:shd w:val="clear" w:color="auto" w:fill="FFFFFF"/>
        </w:rPr>
        <w:t>Louzis, D.P., Vouldis, A.T. &amp; Metaxas, V.L., (2012). Macroeconomic and bank-specific determinants of non-performing loans in Greece: A comparative study of mortgage, business and consumer loan portfolios. </w:t>
      </w:r>
      <w:r w:rsidRPr="003427A7">
        <w:rPr>
          <w:rFonts w:ascii="Times New Roman" w:hAnsi="Times New Roman" w:cs="Times New Roman"/>
          <w:i/>
          <w:iCs/>
          <w:sz w:val="24"/>
          <w:szCs w:val="24"/>
          <w:shd w:val="clear" w:color="auto" w:fill="FFFFFF"/>
        </w:rPr>
        <w:t>Journal of Banking &amp; Finance</w:t>
      </w:r>
      <w:r w:rsidRPr="00574AC1">
        <w:rPr>
          <w:rFonts w:ascii="Times New Roman" w:hAnsi="Times New Roman" w:cs="Times New Roman"/>
          <w:sz w:val="24"/>
          <w:szCs w:val="24"/>
          <w:shd w:val="clear" w:color="auto" w:fill="FFFFFF"/>
        </w:rPr>
        <w:t>, 36(4), pp.1012-1027.</w:t>
      </w:r>
    </w:p>
    <w:p w:rsidR="00F02175" w:rsidRPr="003427A7" w:rsidRDefault="00F02175" w:rsidP="00F02175">
      <w:pPr>
        <w:spacing w:line="480" w:lineRule="auto"/>
        <w:rPr>
          <w:rFonts w:ascii="Times New Roman" w:hAnsi="Times New Roman" w:cs="Times New Roman"/>
          <w:noProof/>
          <w:sz w:val="24"/>
          <w:szCs w:val="24"/>
        </w:rPr>
      </w:pPr>
      <w:r w:rsidRPr="003427A7">
        <w:rPr>
          <w:rFonts w:ascii="Times New Roman" w:hAnsi="Times New Roman" w:cs="Times New Roman"/>
          <w:noProof/>
          <w:sz w:val="24"/>
          <w:szCs w:val="24"/>
        </w:rPr>
        <w:t xml:space="preserve">Marous, J., (2017). 2017 </w:t>
      </w:r>
      <w:r w:rsidRPr="003427A7">
        <w:rPr>
          <w:rFonts w:ascii="Times New Roman" w:hAnsi="Times New Roman" w:cs="Times New Roman"/>
          <w:i/>
          <w:iCs/>
          <w:noProof/>
          <w:sz w:val="24"/>
          <w:szCs w:val="24"/>
        </w:rPr>
        <w:t>Retail Banking Trends and Predictions</w:t>
      </w:r>
      <w:r w:rsidRPr="003427A7">
        <w:rPr>
          <w:rFonts w:ascii="Times New Roman" w:hAnsi="Times New Roman" w:cs="Times New Roman"/>
          <w:noProof/>
          <w:sz w:val="24"/>
          <w:szCs w:val="24"/>
        </w:rPr>
        <w:t>, Digital banking Report.</w:t>
      </w:r>
    </w:p>
    <w:p w:rsidR="00F02175" w:rsidRDefault="00F02175" w:rsidP="00C408AA">
      <w:pPr>
        <w:rPr>
          <w:rFonts w:ascii="Times New Roman" w:hAnsi="Times New Roman" w:cs="Times New Roman"/>
          <w:sz w:val="24"/>
          <w:szCs w:val="24"/>
          <w:shd w:val="clear" w:color="auto" w:fill="FFFFFF"/>
        </w:rPr>
      </w:pPr>
      <w:r w:rsidRPr="003427A7">
        <w:rPr>
          <w:rFonts w:ascii="Times New Roman" w:hAnsi="Times New Roman" w:cs="Times New Roman"/>
          <w:sz w:val="24"/>
          <w:szCs w:val="24"/>
          <w:shd w:val="clear" w:color="auto" w:fill="FFFFFF"/>
        </w:rPr>
        <w:t>Meero, A. (2015). The Relationship between Capital Structure and Performance in Gulf Countries Banks: A Comparative Study between Islamic Banks and Conventional Banks.</w:t>
      </w:r>
      <w:r w:rsidRPr="003427A7">
        <w:rPr>
          <w:rStyle w:val="apple-converted-space"/>
          <w:rFonts w:ascii="Times New Roman" w:hAnsi="Times New Roman" w:cs="Times New Roman"/>
          <w:sz w:val="24"/>
          <w:szCs w:val="24"/>
          <w:shd w:val="clear" w:color="auto" w:fill="FFFFFF"/>
        </w:rPr>
        <w:t> </w:t>
      </w:r>
      <w:r w:rsidRPr="003427A7">
        <w:rPr>
          <w:rFonts w:ascii="Times New Roman" w:hAnsi="Times New Roman" w:cs="Times New Roman"/>
          <w:i/>
          <w:iCs/>
          <w:sz w:val="24"/>
          <w:szCs w:val="24"/>
          <w:shd w:val="clear" w:color="auto" w:fill="FFFFFF"/>
        </w:rPr>
        <w:t>International Journal of Economics and Finance</w:t>
      </w:r>
      <w:r w:rsidRPr="003427A7">
        <w:rPr>
          <w:rFonts w:ascii="Times New Roman" w:hAnsi="Times New Roman" w:cs="Times New Roman"/>
          <w:sz w:val="24"/>
          <w:szCs w:val="24"/>
          <w:shd w:val="clear" w:color="auto" w:fill="FFFFFF"/>
        </w:rPr>
        <w:t>, 7(12), p.140</w:t>
      </w:r>
    </w:p>
    <w:p w:rsidR="007E7D58" w:rsidRPr="007E7D58" w:rsidRDefault="007E7D58" w:rsidP="00C408AA">
      <w:pPr>
        <w:shd w:val="clear" w:color="auto" w:fill="FFFFFF"/>
        <w:spacing w:after="0"/>
        <w:rPr>
          <w:rFonts w:ascii="Times New Roman" w:eastAsia="Times New Roman" w:hAnsi="Times New Roman" w:cs="Times New Roman"/>
          <w:i/>
          <w:color w:val="000000"/>
          <w:sz w:val="24"/>
          <w:szCs w:val="24"/>
          <w:lang w:eastAsia="en-GB"/>
        </w:rPr>
      </w:pPr>
      <w:r w:rsidRPr="007E7D58">
        <w:rPr>
          <w:rFonts w:ascii="Times New Roman" w:eastAsia="Times New Roman" w:hAnsi="Times New Roman" w:cs="Times New Roman"/>
          <w:color w:val="000000"/>
          <w:sz w:val="24"/>
          <w:szCs w:val="24"/>
          <w:lang w:eastAsia="en-GB"/>
        </w:rPr>
        <w:t xml:space="preserve">Moin, M. S. (2008). </w:t>
      </w:r>
      <w:r w:rsidRPr="007E7D58">
        <w:rPr>
          <w:rFonts w:ascii="Times New Roman" w:eastAsia="Times New Roman" w:hAnsi="Times New Roman" w:cs="Times New Roman"/>
          <w:i/>
          <w:color w:val="000000"/>
          <w:sz w:val="24"/>
          <w:szCs w:val="24"/>
          <w:lang w:eastAsia="en-GB"/>
        </w:rPr>
        <w:t xml:space="preserve">Comparative Analysis between Islamic Banking and Conventional Banking. </w:t>
      </w:r>
    </w:p>
    <w:p w:rsidR="007E7D58" w:rsidRPr="007E7D58" w:rsidRDefault="007E7D58" w:rsidP="00C408AA">
      <w:pPr>
        <w:shd w:val="clear" w:color="auto" w:fill="FFFFFF"/>
        <w:spacing w:after="0"/>
        <w:rPr>
          <w:rFonts w:ascii="Times New Roman" w:eastAsia="Times New Roman" w:hAnsi="Times New Roman" w:cs="Times New Roman"/>
          <w:i/>
          <w:color w:val="000000"/>
          <w:sz w:val="24"/>
          <w:szCs w:val="24"/>
          <w:lang w:eastAsia="en-GB"/>
        </w:rPr>
      </w:pPr>
    </w:p>
    <w:p w:rsidR="00F02175" w:rsidRPr="001E53BB" w:rsidRDefault="00F02175" w:rsidP="00C408AA">
      <w:pPr>
        <w:rPr>
          <w:rFonts w:ascii="Times New Roman" w:eastAsia="SimSun" w:hAnsi="Times New Roman" w:cs="Times New Roman"/>
          <w:sz w:val="24"/>
          <w:szCs w:val="24"/>
        </w:rPr>
      </w:pPr>
      <w:r w:rsidRPr="001E53BB">
        <w:rPr>
          <w:rFonts w:ascii="Times New Roman" w:eastAsia="SimSun" w:hAnsi="Times New Roman" w:cs="Times New Roman"/>
          <w:sz w:val="24"/>
          <w:szCs w:val="24"/>
        </w:rPr>
        <w:t xml:space="preserve">Mollah, S. and Zaman, M., </w:t>
      </w:r>
      <w:r>
        <w:rPr>
          <w:rFonts w:ascii="Times New Roman" w:eastAsia="SimSun" w:hAnsi="Times New Roman" w:cs="Times New Roman"/>
          <w:sz w:val="24"/>
          <w:szCs w:val="24"/>
        </w:rPr>
        <w:t>(</w:t>
      </w:r>
      <w:r w:rsidRPr="001E53BB">
        <w:rPr>
          <w:rFonts w:ascii="Times New Roman" w:eastAsia="SimSun" w:hAnsi="Times New Roman" w:cs="Times New Roman"/>
          <w:sz w:val="24"/>
          <w:szCs w:val="24"/>
        </w:rPr>
        <w:t>2015</w:t>
      </w:r>
      <w:r>
        <w:rPr>
          <w:rFonts w:ascii="Times New Roman" w:eastAsia="SimSun" w:hAnsi="Times New Roman" w:cs="Times New Roman"/>
          <w:sz w:val="24"/>
          <w:szCs w:val="24"/>
        </w:rPr>
        <w:t>)</w:t>
      </w:r>
      <w:r w:rsidRPr="001E53BB">
        <w:rPr>
          <w:rFonts w:ascii="Times New Roman" w:eastAsia="SimSun" w:hAnsi="Times New Roman" w:cs="Times New Roman"/>
          <w:sz w:val="24"/>
          <w:szCs w:val="24"/>
        </w:rPr>
        <w:t xml:space="preserve">. Shari’ah supervision, corporate governance and performance: Conventional vs. Islamic banks. </w:t>
      </w:r>
      <w:r w:rsidRPr="001E53BB">
        <w:rPr>
          <w:rFonts w:ascii="Times New Roman" w:eastAsia="SimSun" w:hAnsi="Times New Roman" w:cs="Times New Roman"/>
          <w:i/>
          <w:sz w:val="24"/>
          <w:szCs w:val="24"/>
        </w:rPr>
        <w:t>Journal of Banking &amp; Finance</w:t>
      </w:r>
      <w:r w:rsidRPr="001E53BB">
        <w:rPr>
          <w:rFonts w:ascii="Times New Roman" w:eastAsia="SimSun" w:hAnsi="Times New Roman" w:cs="Times New Roman"/>
          <w:sz w:val="24"/>
          <w:szCs w:val="24"/>
        </w:rPr>
        <w:t>, 58, pp.418-435.</w:t>
      </w:r>
    </w:p>
    <w:p w:rsidR="00F02175" w:rsidRPr="00F8602A" w:rsidRDefault="00F02175" w:rsidP="00F02175">
      <w:pPr>
        <w:spacing w:line="480" w:lineRule="auto"/>
        <w:rPr>
          <w:rFonts w:ascii="Times New Roman" w:hAnsi="Times New Roman" w:cs="Times New Roman"/>
          <w:bCs/>
          <w:sz w:val="24"/>
          <w:szCs w:val="24"/>
          <w:shd w:val="clear" w:color="auto" w:fill="FFFFFF"/>
        </w:rPr>
      </w:pPr>
      <w:r w:rsidRPr="00F8602A">
        <w:rPr>
          <w:rFonts w:ascii="Times New Roman" w:hAnsi="Times New Roman" w:cs="Times New Roman"/>
          <w:bCs/>
          <w:sz w:val="24"/>
          <w:szCs w:val="24"/>
          <w:shd w:val="clear" w:color="auto" w:fill="FFFFFF"/>
        </w:rPr>
        <w:t>Musyoka, B. (2017). </w:t>
      </w:r>
      <w:r w:rsidRPr="003706A4">
        <w:rPr>
          <w:rFonts w:ascii="Times New Roman" w:hAnsi="Times New Roman" w:cs="Times New Roman"/>
          <w:bCs/>
          <w:i/>
          <w:iCs/>
          <w:sz w:val="24"/>
          <w:szCs w:val="24"/>
          <w:shd w:val="clear" w:color="auto" w:fill="FFFFFF"/>
        </w:rPr>
        <w:t>The Effect of Capital Adequacy on the Financial Performance of Commercial Banks in Kenya.</w:t>
      </w:r>
      <w:r w:rsidRPr="00F8602A">
        <w:rPr>
          <w:rFonts w:ascii="Times New Roman" w:hAnsi="Times New Roman" w:cs="Times New Roman"/>
          <w:bCs/>
          <w:sz w:val="24"/>
          <w:szCs w:val="24"/>
          <w:shd w:val="clear" w:color="auto" w:fill="FFFFFF"/>
        </w:rPr>
        <w:t xml:space="preserve"> University of Nairobi, pp.1-39.</w:t>
      </w:r>
    </w:p>
    <w:p w:rsidR="00F02175" w:rsidRPr="003427A7" w:rsidRDefault="00F02175" w:rsidP="00F02175">
      <w:pPr>
        <w:spacing w:line="480" w:lineRule="auto"/>
        <w:rPr>
          <w:rFonts w:ascii="Times New Roman" w:hAnsi="Times New Roman" w:cs="Times New Roman"/>
          <w:noProof/>
          <w:sz w:val="24"/>
          <w:szCs w:val="24"/>
        </w:rPr>
      </w:pPr>
      <w:r w:rsidRPr="003427A7">
        <w:rPr>
          <w:rFonts w:ascii="Times New Roman" w:hAnsi="Times New Roman" w:cs="Times New Roman"/>
          <w:noProof/>
          <w:sz w:val="24"/>
          <w:szCs w:val="24"/>
        </w:rPr>
        <w:t>Mutuku, C., (2016). The Effect of Risk Management on The Financial Performance of Commercial Banks in Kenya. University of Nairobi.</w:t>
      </w:r>
    </w:p>
    <w:p w:rsidR="00F02175" w:rsidRPr="003427A7" w:rsidRDefault="00F02175" w:rsidP="00F02175">
      <w:pPr>
        <w:spacing w:line="480" w:lineRule="auto"/>
        <w:rPr>
          <w:rFonts w:ascii="Times New Roman" w:hAnsi="Times New Roman" w:cs="Times New Roman"/>
          <w:noProof/>
          <w:sz w:val="24"/>
          <w:szCs w:val="24"/>
        </w:rPr>
      </w:pPr>
      <w:r w:rsidRPr="003427A7">
        <w:rPr>
          <w:rFonts w:ascii="Times New Roman" w:hAnsi="Times New Roman" w:cs="Times New Roman"/>
          <w:noProof/>
          <w:sz w:val="24"/>
          <w:szCs w:val="24"/>
        </w:rPr>
        <w:t>Naeem, B., (2016). To Analyze the Comparative Financial Performance Analysis of Islamic and Conventional Banks in Pakistan. Journal of Business &amp; Financial Affairs, 6(1), pp. 1-6.</w:t>
      </w:r>
    </w:p>
    <w:p w:rsidR="00F02175" w:rsidRDefault="00F02175" w:rsidP="00F02175">
      <w:pPr>
        <w:spacing w:line="480" w:lineRule="auto"/>
        <w:rPr>
          <w:rFonts w:ascii="Times New Roman" w:hAnsi="Times New Roman" w:cs="Times New Roman"/>
          <w:bCs/>
          <w:sz w:val="24"/>
          <w:szCs w:val="24"/>
          <w:shd w:val="clear" w:color="auto" w:fill="FFFFFF"/>
        </w:rPr>
      </w:pPr>
      <w:r w:rsidRPr="00F8602A">
        <w:rPr>
          <w:rFonts w:ascii="Times New Roman" w:hAnsi="Times New Roman" w:cs="Times New Roman"/>
          <w:bCs/>
          <w:sz w:val="24"/>
          <w:szCs w:val="24"/>
          <w:shd w:val="clear" w:color="auto" w:fill="FFFFFF"/>
        </w:rPr>
        <w:t>Norman, D. (2017). </w:t>
      </w:r>
      <w:r w:rsidRPr="003706A4">
        <w:rPr>
          <w:rFonts w:ascii="Times New Roman" w:hAnsi="Times New Roman" w:cs="Times New Roman"/>
          <w:bCs/>
          <w:i/>
          <w:iCs/>
          <w:sz w:val="24"/>
          <w:szCs w:val="24"/>
          <w:shd w:val="clear" w:color="auto" w:fill="FFFFFF"/>
        </w:rPr>
        <w:t>Returns on Equity, Cost of Equity and the Implications for Banks</w:t>
      </w:r>
      <w:r w:rsidRPr="00F8602A">
        <w:rPr>
          <w:rFonts w:ascii="Times New Roman" w:hAnsi="Times New Roman" w:cs="Times New Roman"/>
          <w:bCs/>
          <w:sz w:val="24"/>
          <w:szCs w:val="24"/>
          <w:shd w:val="clear" w:color="auto" w:fill="FFFFFF"/>
        </w:rPr>
        <w:t>. Reserve Bank of Australia.</w:t>
      </w:r>
    </w:p>
    <w:p w:rsidR="00F02175" w:rsidRPr="005D5B00" w:rsidRDefault="00F02175" w:rsidP="00F02175">
      <w:pPr>
        <w:spacing w:line="480" w:lineRule="auto"/>
        <w:rPr>
          <w:rFonts w:ascii="Times New Roman" w:hAnsi="Times New Roman" w:cs="Times New Roman"/>
          <w:sz w:val="24"/>
          <w:szCs w:val="24"/>
          <w:shd w:val="clear" w:color="auto" w:fill="FFFFFF"/>
        </w:rPr>
      </w:pPr>
      <w:r w:rsidRPr="005D5B00">
        <w:rPr>
          <w:rFonts w:ascii="Times New Roman" w:hAnsi="Times New Roman" w:cs="Times New Roman"/>
          <w:sz w:val="24"/>
          <w:szCs w:val="24"/>
          <w:shd w:val="clear" w:color="auto" w:fill="FFFFFF"/>
        </w:rPr>
        <w:t>Onakoya, A. and Onakoya, A. (2013). The Performance of Conventional and Islamic Banks in the United Kingdom: A Comparative Analysis.</w:t>
      </w:r>
      <w:r w:rsidRPr="005D5B00">
        <w:rPr>
          <w:rStyle w:val="apple-converted-space"/>
          <w:rFonts w:ascii="Times New Roman" w:hAnsi="Times New Roman" w:cs="Times New Roman"/>
          <w:sz w:val="24"/>
          <w:szCs w:val="24"/>
          <w:shd w:val="clear" w:color="auto" w:fill="FFFFFF"/>
        </w:rPr>
        <w:t> </w:t>
      </w:r>
      <w:r w:rsidRPr="003706A4">
        <w:rPr>
          <w:rFonts w:ascii="Times New Roman" w:hAnsi="Times New Roman" w:cs="Times New Roman"/>
          <w:i/>
          <w:sz w:val="24"/>
          <w:szCs w:val="24"/>
          <w:shd w:val="clear" w:color="auto" w:fill="FFFFFF"/>
        </w:rPr>
        <w:t>Journal of Research in Economics and International Finance</w:t>
      </w:r>
      <w:r w:rsidRPr="005D5B00">
        <w:rPr>
          <w:rFonts w:ascii="Times New Roman" w:hAnsi="Times New Roman" w:cs="Times New Roman"/>
          <w:sz w:val="24"/>
          <w:szCs w:val="24"/>
          <w:shd w:val="clear" w:color="auto" w:fill="FFFFFF"/>
        </w:rPr>
        <w:t>, 2(2), pp.29-38</w:t>
      </w:r>
    </w:p>
    <w:p w:rsidR="00F02175" w:rsidRPr="005D5B00" w:rsidRDefault="00F02175" w:rsidP="00F02175">
      <w:pPr>
        <w:spacing w:line="480" w:lineRule="auto"/>
        <w:rPr>
          <w:rFonts w:ascii="Times New Roman" w:hAnsi="Times New Roman" w:cs="Times New Roman"/>
          <w:sz w:val="24"/>
          <w:szCs w:val="24"/>
          <w:shd w:val="clear" w:color="auto" w:fill="FFFFFF"/>
        </w:rPr>
      </w:pPr>
      <w:r w:rsidRPr="005D5B00">
        <w:rPr>
          <w:rFonts w:ascii="Times New Roman" w:hAnsi="Times New Roman" w:cs="Times New Roman"/>
          <w:sz w:val="24"/>
          <w:szCs w:val="24"/>
          <w:shd w:val="clear" w:color="auto" w:fill="FFFFFF"/>
        </w:rPr>
        <w:t>Ongore, V., &amp;Kusa, G. (2013). Determinants of Financial Performance of Commercial Banks in Kenya. </w:t>
      </w:r>
      <w:r w:rsidRPr="003706A4">
        <w:rPr>
          <w:rFonts w:ascii="Times New Roman" w:hAnsi="Times New Roman" w:cs="Times New Roman"/>
          <w:i/>
          <w:sz w:val="24"/>
          <w:szCs w:val="24"/>
          <w:shd w:val="clear" w:color="auto" w:fill="FFFFFF"/>
        </w:rPr>
        <w:t>International Journal of Economics and Financial Issues</w:t>
      </w:r>
      <w:r w:rsidRPr="005D5B00">
        <w:rPr>
          <w:rFonts w:ascii="Times New Roman" w:hAnsi="Times New Roman" w:cs="Times New Roman"/>
          <w:sz w:val="24"/>
          <w:szCs w:val="24"/>
          <w:shd w:val="clear" w:color="auto" w:fill="FFFFFF"/>
        </w:rPr>
        <w:t>, </w:t>
      </w:r>
      <w:r w:rsidRPr="005D5B00">
        <w:rPr>
          <w:rFonts w:ascii="Times New Roman" w:hAnsi="Times New Roman" w:cs="Times New Roman"/>
          <w:iCs/>
          <w:sz w:val="24"/>
          <w:szCs w:val="24"/>
          <w:shd w:val="clear" w:color="auto" w:fill="FFFFFF"/>
        </w:rPr>
        <w:t>3</w:t>
      </w:r>
      <w:r w:rsidRPr="005D5B00">
        <w:rPr>
          <w:rFonts w:ascii="Times New Roman" w:hAnsi="Times New Roman" w:cs="Times New Roman"/>
          <w:sz w:val="24"/>
          <w:szCs w:val="24"/>
          <w:shd w:val="clear" w:color="auto" w:fill="FFFFFF"/>
        </w:rPr>
        <w:t>(1), 237-252.</w:t>
      </w:r>
    </w:p>
    <w:p w:rsidR="00F02175" w:rsidRPr="003427A7" w:rsidRDefault="00F02175" w:rsidP="00F02175">
      <w:pPr>
        <w:spacing w:line="480" w:lineRule="auto"/>
        <w:rPr>
          <w:rFonts w:ascii="Times New Roman" w:hAnsi="Times New Roman" w:cs="Times New Roman"/>
          <w:noProof/>
          <w:sz w:val="24"/>
          <w:szCs w:val="24"/>
        </w:rPr>
      </w:pPr>
      <w:r w:rsidRPr="003427A7">
        <w:rPr>
          <w:rFonts w:ascii="Times New Roman" w:hAnsi="Times New Roman" w:cs="Times New Roman"/>
          <w:noProof/>
          <w:sz w:val="24"/>
          <w:szCs w:val="24"/>
        </w:rPr>
        <w:t xml:space="preserve">OpenUniversity, 2018. </w:t>
      </w:r>
      <w:r>
        <w:rPr>
          <w:rFonts w:ascii="Times New Roman" w:hAnsi="Times New Roman" w:cs="Times New Roman"/>
          <w:i/>
          <w:iCs/>
          <w:noProof/>
          <w:sz w:val="24"/>
          <w:szCs w:val="24"/>
        </w:rPr>
        <w:t>U</w:t>
      </w:r>
      <w:r w:rsidRPr="003427A7">
        <w:rPr>
          <w:rFonts w:ascii="Times New Roman" w:hAnsi="Times New Roman" w:cs="Times New Roman"/>
          <w:i/>
          <w:iCs/>
          <w:noProof/>
          <w:sz w:val="24"/>
          <w:szCs w:val="24"/>
        </w:rPr>
        <w:t xml:space="preserve">nderstanding different research perspective. </w:t>
      </w:r>
      <w:r w:rsidRPr="003427A7">
        <w:rPr>
          <w:rFonts w:ascii="Times New Roman" w:hAnsi="Times New Roman" w:cs="Times New Roman"/>
          <w:noProof/>
          <w:sz w:val="24"/>
          <w:szCs w:val="24"/>
        </w:rPr>
        <w:t xml:space="preserve">[Online] </w:t>
      </w:r>
      <w:r w:rsidRPr="003427A7">
        <w:rPr>
          <w:rFonts w:ascii="Times New Roman" w:hAnsi="Times New Roman" w:cs="Times New Roman"/>
          <w:noProof/>
          <w:sz w:val="24"/>
          <w:szCs w:val="24"/>
        </w:rPr>
        <w:br/>
        <w:t xml:space="preserve">Available at: </w:t>
      </w:r>
      <w:r w:rsidRPr="003427A7">
        <w:rPr>
          <w:rFonts w:ascii="Times New Roman" w:hAnsi="Times New Roman" w:cs="Times New Roman"/>
          <w:noProof/>
          <w:sz w:val="24"/>
          <w:szCs w:val="24"/>
          <w:u w:val="single"/>
        </w:rPr>
        <w:t>https://www.open.edu/openlearn/money-management/understanding-different-research-perspectives/content-section-6</w:t>
      </w:r>
      <w:r w:rsidRPr="003427A7">
        <w:rPr>
          <w:rFonts w:ascii="Times New Roman" w:hAnsi="Times New Roman" w:cs="Times New Roman"/>
          <w:noProof/>
          <w:sz w:val="24"/>
          <w:szCs w:val="24"/>
        </w:rPr>
        <w:br/>
        <w:t>[Accessed 10 December 2018].</w:t>
      </w:r>
    </w:p>
    <w:p w:rsidR="00F02175" w:rsidRPr="005D5B00" w:rsidRDefault="00F02175" w:rsidP="00F02175">
      <w:pPr>
        <w:spacing w:line="480" w:lineRule="auto"/>
        <w:rPr>
          <w:rFonts w:ascii="Times New Roman" w:hAnsi="Times New Roman" w:cs="Times New Roman"/>
          <w:iCs/>
          <w:sz w:val="24"/>
          <w:szCs w:val="24"/>
          <w:shd w:val="clear" w:color="auto" w:fill="FFFFFF"/>
        </w:rPr>
      </w:pPr>
      <w:r w:rsidRPr="005D5B00">
        <w:rPr>
          <w:rFonts w:ascii="Times New Roman" w:hAnsi="Times New Roman" w:cs="Times New Roman"/>
          <w:sz w:val="24"/>
          <w:szCs w:val="24"/>
          <w:shd w:val="clear" w:color="auto" w:fill="FFFFFF"/>
        </w:rPr>
        <w:t>Pradhan, R. and Shrestha, D. (2016). Impact of Liquidity on Bank Profitability in Nepalese Commercial Banks.</w:t>
      </w:r>
      <w:r w:rsidRPr="005D5B00">
        <w:rPr>
          <w:rStyle w:val="apple-converted-space"/>
          <w:rFonts w:ascii="Times New Roman" w:hAnsi="Times New Roman" w:cs="Times New Roman"/>
          <w:sz w:val="24"/>
          <w:szCs w:val="24"/>
          <w:shd w:val="clear" w:color="auto" w:fill="FFFFFF"/>
        </w:rPr>
        <w:t> </w:t>
      </w:r>
      <w:r w:rsidRPr="003706A4">
        <w:rPr>
          <w:rFonts w:ascii="Times New Roman" w:hAnsi="Times New Roman" w:cs="Times New Roman"/>
          <w:i/>
          <w:sz w:val="24"/>
          <w:szCs w:val="24"/>
          <w:shd w:val="clear" w:color="auto" w:fill="FFFFFF"/>
        </w:rPr>
        <w:t>SSRN Electronic Journal</w:t>
      </w:r>
    </w:p>
    <w:p w:rsidR="00F02175" w:rsidRPr="005D5B00" w:rsidRDefault="00F02175" w:rsidP="00F02175">
      <w:pPr>
        <w:spacing w:line="480" w:lineRule="auto"/>
        <w:rPr>
          <w:rFonts w:ascii="Times New Roman" w:eastAsia="SimSun" w:hAnsi="Times New Roman" w:cs="Times New Roman"/>
          <w:sz w:val="24"/>
          <w:szCs w:val="24"/>
        </w:rPr>
      </w:pPr>
      <w:r w:rsidRPr="005D5B00">
        <w:rPr>
          <w:rFonts w:ascii="Times New Roman" w:eastAsia="SimSun" w:hAnsi="Times New Roman" w:cs="Times New Roman"/>
          <w:sz w:val="24"/>
          <w:szCs w:val="24"/>
        </w:rPr>
        <w:lastRenderedPageBreak/>
        <w:t xml:space="preserve">Rahman, M.L. and Banna, S.H., </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2016</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 xml:space="preserve">. Liquidity Risk Management: A Comparative Study between Conventional and Islamic Banks in Bangladesh. </w:t>
      </w:r>
      <w:r w:rsidRPr="003706A4">
        <w:rPr>
          <w:rFonts w:ascii="Times New Roman" w:eastAsia="SimSun" w:hAnsi="Times New Roman" w:cs="Times New Roman"/>
          <w:i/>
          <w:iCs/>
          <w:sz w:val="24"/>
          <w:szCs w:val="24"/>
        </w:rPr>
        <w:t>Journal of Business and Technology (Dhaka)</w:t>
      </w:r>
      <w:r w:rsidRPr="005D5B00">
        <w:rPr>
          <w:rFonts w:ascii="Times New Roman" w:eastAsia="SimSun" w:hAnsi="Times New Roman" w:cs="Times New Roman"/>
          <w:sz w:val="24"/>
          <w:szCs w:val="24"/>
        </w:rPr>
        <w:t>, 10(2), pp.18-35.</w:t>
      </w:r>
    </w:p>
    <w:p w:rsidR="00F02175" w:rsidRPr="00E62E15" w:rsidRDefault="00F02175" w:rsidP="00F02175">
      <w:pPr>
        <w:spacing w:line="480" w:lineRule="auto"/>
        <w:rPr>
          <w:rFonts w:ascii="Times New Roman" w:hAnsi="Times New Roman" w:cs="Times New Roman"/>
          <w:sz w:val="24"/>
          <w:szCs w:val="24"/>
          <w:shd w:val="clear" w:color="auto" w:fill="FFFFFF"/>
        </w:rPr>
      </w:pPr>
      <w:r w:rsidRPr="00E62E15">
        <w:rPr>
          <w:rFonts w:ascii="Times New Roman" w:hAnsi="Times New Roman" w:cs="Times New Roman"/>
          <w:sz w:val="24"/>
          <w:szCs w:val="24"/>
          <w:shd w:val="clear" w:color="auto" w:fill="FFFFFF"/>
        </w:rPr>
        <w:t>Regehr, K. and Sengupta, R. (2016). </w:t>
      </w:r>
      <w:r w:rsidRPr="00E62E15">
        <w:rPr>
          <w:rFonts w:ascii="Times New Roman" w:hAnsi="Times New Roman" w:cs="Times New Roman"/>
          <w:i/>
          <w:iCs/>
          <w:sz w:val="24"/>
          <w:szCs w:val="24"/>
          <w:shd w:val="clear" w:color="auto" w:fill="FFFFFF"/>
        </w:rPr>
        <w:t>Has the Relationship between Bank Size and Profitability Changed?</w:t>
      </w:r>
      <w:r w:rsidRPr="00E62E15">
        <w:rPr>
          <w:rFonts w:ascii="Times New Roman" w:hAnsi="Times New Roman" w:cs="Times New Roman"/>
          <w:sz w:val="24"/>
          <w:szCs w:val="24"/>
          <w:shd w:val="clear" w:color="auto" w:fill="FFFFFF"/>
        </w:rPr>
        <w:t xml:space="preserve">. [online] Federal Reserve Bank of Kensas City. Available at: </w:t>
      </w:r>
      <w:hyperlink r:id="rId12" w:history="1">
        <w:r w:rsidRPr="00E62E15">
          <w:rPr>
            <w:rStyle w:val="Hyperlink"/>
            <w:rFonts w:ascii="Times New Roman" w:hAnsi="Times New Roman" w:cs="Times New Roman"/>
            <w:sz w:val="24"/>
            <w:szCs w:val="24"/>
            <w:shd w:val="clear" w:color="auto" w:fill="FFFFFF"/>
          </w:rPr>
          <w:t>https://www.kansascityfed.org/</w:t>
        </w:r>
      </w:hyperlink>
      <w:r w:rsidRPr="00E62E15">
        <w:rPr>
          <w:rFonts w:ascii="Times New Roman" w:hAnsi="Times New Roman" w:cs="Times New Roman"/>
          <w:sz w:val="24"/>
          <w:szCs w:val="24"/>
          <w:shd w:val="clear" w:color="auto" w:fill="FFFFFF"/>
        </w:rPr>
        <w:t xml:space="preserve"> [Accessed 6 Feb. 2019].</w:t>
      </w:r>
    </w:p>
    <w:p w:rsidR="00F02175" w:rsidRPr="005D5B00" w:rsidRDefault="00F02175" w:rsidP="00F02175">
      <w:pPr>
        <w:spacing w:line="480" w:lineRule="auto"/>
        <w:rPr>
          <w:rFonts w:ascii="Times New Roman" w:eastAsia="SimSun" w:hAnsi="Times New Roman" w:cs="Times New Roman"/>
          <w:sz w:val="24"/>
          <w:szCs w:val="24"/>
        </w:rPr>
      </w:pPr>
      <w:r w:rsidRPr="005D5B00">
        <w:rPr>
          <w:rFonts w:ascii="Times New Roman" w:eastAsia="SimSun" w:hAnsi="Times New Roman" w:cs="Times New Roman"/>
          <w:sz w:val="24"/>
          <w:szCs w:val="24"/>
        </w:rPr>
        <w:t xml:space="preserve">Saeed, M. and Izzeldin, M., </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2016</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 xml:space="preserve">. Examining the relationship between default risk and efficiency in Islamic and conventional banks. </w:t>
      </w:r>
      <w:r w:rsidRPr="003706A4">
        <w:rPr>
          <w:rFonts w:ascii="Times New Roman" w:eastAsia="SimSun" w:hAnsi="Times New Roman" w:cs="Times New Roman"/>
          <w:i/>
          <w:iCs/>
          <w:sz w:val="24"/>
          <w:szCs w:val="24"/>
        </w:rPr>
        <w:t>Journal of Economic Behavior &amp; Organization</w:t>
      </w:r>
      <w:r w:rsidRPr="005D5B00">
        <w:rPr>
          <w:rFonts w:ascii="Times New Roman" w:eastAsia="SimSun" w:hAnsi="Times New Roman" w:cs="Times New Roman"/>
          <w:sz w:val="24"/>
          <w:szCs w:val="24"/>
        </w:rPr>
        <w:t>, 132, pp.127-154.</w:t>
      </w:r>
    </w:p>
    <w:p w:rsidR="00F02175" w:rsidRPr="003706A4" w:rsidRDefault="00F02175" w:rsidP="00F02175">
      <w:pPr>
        <w:spacing w:line="480" w:lineRule="auto"/>
        <w:rPr>
          <w:rFonts w:ascii="Times New Roman" w:eastAsia="SimSun" w:hAnsi="Times New Roman" w:cs="Times New Roman"/>
          <w:i/>
          <w:iCs/>
          <w:sz w:val="24"/>
          <w:szCs w:val="24"/>
        </w:rPr>
      </w:pPr>
      <w:r w:rsidRPr="005D5B00">
        <w:rPr>
          <w:rFonts w:ascii="Times New Roman" w:eastAsia="SimSun" w:hAnsi="Times New Roman" w:cs="Times New Roman"/>
          <w:sz w:val="24"/>
          <w:szCs w:val="24"/>
        </w:rPr>
        <w:t>Salih, A., Ghecham, M.A. and Al</w:t>
      </w:r>
      <w:r w:rsidRPr="005D5B00">
        <w:rPr>
          <w:rFonts w:ascii="Cambria Math" w:eastAsia="SimSun" w:hAnsi="Cambria Math" w:cs="Cambria Math"/>
          <w:sz w:val="24"/>
          <w:szCs w:val="24"/>
        </w:rPr>
        <w:t>‐</w:t>
      </w:r>
      <w:r w:rsidRPr="005D5B00">
        <w:rPr>
          <w:rFonts w:ascii="Times New Roman" w:eastAsia="SimSun" w:hAnsi="Times New Roman" w:cs="Times New Roman"/>
          <w:sz w:val="24"/>
          <w:szCs w:val="24"/>
        </w:rPr>
        <w:t xml:space="preserve">Barghouthi, S., </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2018</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 xml:space="preserve">. The impact of global financial crisis on conventional and Islamic banks in the GCC countries. </w:t>
      </w:r>
      <w:r w:rsidRPr="003706A4">
        <w:rPr>
          <w:rFonts w:ascii="Times New Roman" w:eastAsia="SimSun" w:hAnsi="Times New Roman" w:cs="Times New Roman"/>
          <w:i/>
          <w:iCs/>
          <w:sz w:val="24"/>
          <w:szCs w:val="24"/>
        </w:rPr>
        <w:t>International Journal of Finance &amp; Economics.</w:t>
      </w:r>
    </w:p>
    <w:p w:rsidR="00F02175" w:rsidRPr="005D5B00" w:rsidRDefault="00F02175" w:rsidP="00F02175">
      <w:pPr>
        <w:spacing w:line="480" w:lineRule="auto"/>
        <w:rPr>
          <w:rFonts w:ascii="Times New Roman" w:eastAsia="SimSun" w:hAnsi="Times New Roman" w:cs="Times New Roman"/>
          <w:sz w:val="24"/>
          <w:szCs w:val="24"/>
        </w:rPr>
      </w:pPr>
      <w:r w:rsidRPr="005D5B00">
        <w:rPr>
          <w:rFonts w:ascii="Times New Roman" w:eastAsia="SimSun" w:hAnsi="Times New Roman" w:cs="Times New Roman"/>
          <w:sz w:val="24"/>
          <w:szCs w:val="24"/>
        </w:rPr>
        <w:t xml:space="preserve">Saraç, M. and Zeren, F., </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2015</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 xml:space="preserve">. The dependency of Islamic bank rates on conventional bank interest rates: further evidence from Turkey. </w:t>
      </w:r>
      <w:r w:rsidRPr="003706A4">
        <w:rPr>
          <w:rFonts w:ascii="Times New Roman" w:eastAsia="SimSun" w:hAnsi="Times New Roman" w:cs="Times New Roman"/>
          <w:i/>
          <w:iCs/>
          <w:sz w:val="24"/>
          <w:szCs w:val="24"/>
        </w:rPr>
        <w:t>Applied Economics</w:t>
      </w:r>
      <w:r w:rsidRPr="005D5B00">
        <w:rPr>
          <w:rFonts w:ascii="Times New Roman" w:eastAsia="SimSun" w:hAnsi="Times New Roman" w:cs="Times New Roman"/>
          <w:sz w:val="24"/>
          <w:szCs w:val="24"/>
        </w:rPr>
        <w:t>, 47(7), pp.669-679.</w:t>
      </w:r>
    </w:p>
    <w:p w:rsidR="00F02175" w:rsidRPr="005D5B00" w:rsidRDefault="00F02175" w:rsidP="00F02175">
      <w:pPr>
        <w:spacing w:line="480" w:lineRule="auto"/>
        <w:rPr>
          <w:rFonts w:ascii="Times New Roman" w:hAnsi="Times New Roman" w:cs="Times New Roman"/>
          <w:sz w:val="24"/>
          <w:szCs w:val="24"/>
          <w:shd w:val="clear" w:color="auto" w:fill="FFFFFF"/>
        </w:rPr>
      </w:pPr>
      <w:r w:rsidRPr="005D5B00">
        <w:rPr>
          <w:rFonts w:ascii="Times New Roman" w:hAnsi="Times New Roman" w:cs="Times New Roman"/>
          <w:sz w:val="24"/>
          <w:szCs w:val="24"/>
          <w:shd w:val="clear" w:color="auto" w:fill="FFFFFF"/>
        </w:rPr>
        <w:t>Sillah, B. and Harrathi, N., (2015). Bank Efficiency Analysis: Islamic Banks versus Conventional Banks in the Gulf Cooperation Council Countries 2006 - 2012.</w:t>
      </w:r>
      <w:r w:rsidRPr="005D5B00">
        <w:rPr>
          <w:rStyle w:val="apple-converted-space"/>
          <w:rFonts w:ascii="Times New Roman" w:hAnsi="Times New Roman" w:cs="Times New Roman"/>
          <w:sz w:val="24"/>
          <w:szCs w:val="24"/>
          <w:shd w:val="clear" w:color="auto" w:fill="FFFFFF"/>
        </w:rPr>
        <w:t> </w:t>
      </w:r>
      <w:r w:rsidRPr="003706A4">
        <w:rPr>
          <w:rFonts w:ascii="Times New Roman" w:hAnsi="Times New Roman" w:cs="Times New Roman"/>
          <w:i/>
          <w:sz w:val="24"/>
          <w:szCs w:val="24"/>
          <w:shd w:val="clear" w:color="auto" w:fill="FFFFFF"/>
        </w:rPr>
        <w:t>International Journal of Financial Research</w:t>
      </w:r>
      <w:r w:rsidRPr="005D5B00">
        <w:rPr>
          <w:rFonts w:ascii="Times New Roman" w:hAnsi="Times New Roman" w:cs="Times New Roman"/>
          <w:sz w:val="24"/>
          <w:szCs w:val="24"/>
          <w:shd w:val="clear" w:color="auto" w:fill="FFFFFF"/>
        </w:rPr>
        <w:t>, 6(4)</w:t>
      </w:r>
    </w:p>
    <w:p w:rsidR="00F02175" w:rsidRPr="008C4178" w:rsidRDefault="00F02175" w:rsidP="00F02175">
      <w:pPr>
        <w:spacing w:line="480" w:lineRule="auto"/>
        <w:rPr>
          <w:rFonts w:ascii="Times New Roman" w:hAnsi="Times New Roman" w:cs="Times New Roman"/>
          <w:sz w:val="24"/>
          <w:szCs w:val="24"/>
          <w:shd w:val="clear" w:color="auto" w:fill="FFFFFF"/>
        </w:rPr>
      </w:pPr>
      <w:r w:rsidRPr="008C4178">
        <w:rPr>
          <w:rFonts w:ascii="Times New Roman" w:hAnsi="Times New Roman" w:cs="Times New Roman"/>
          <w:sz w:val="24"/>
          <w:szCs w:val="24"/>
          <w:shd w:val="clear" w:color="auto" w:fill="FFFFFF"/>
        </w:rPr>
        <w:t>Sukmana, R. and Febriyati, N. (2016). Islamic Banks vs Conventional Banks in Indonesia: An Analysis on Financial Performances. </w:t>
      </w:r>
      <w:r w:rsidRPr="008C4178">
        <w:rPr>
          <w:rFonts w:ascii="Times New Roman" w:hAnsi="Times New Roman" w:cs="Times New Roman"/>
          <w:i/>
          <w:iCs/>
          <w:sz w:val="24"/>
          <w:szCs w:val="24"/>
          <w:shd w:val="clear" w:color="auto" w:fill="FFFFFF"/>
        </w:rPr>
        <w:t>Jurnal Pengurusan</w:t>
      </w:r>
      <w:r w:rsidRPr="008C4178">
        <w:rPr>
          <w:rFonts w:ascii="Times New Roman" w:hAnsi="Times New Roman" w:cs="Times New Roman"/>
          <w:sz w:val="24"/>
          <w:szCs w:val="24"/>
          <w:shd w:val="clear" w:color="auto" w:fill="FFFFFF"/>
        </w:rPr>
        <w:t>, 47(1), pp.81-90.</w:t>
      </w:r>
    </w:p>
    <w:p w:rsidR="00F02175" w:rsidRPr="008C4178" w:rsidRDefault="00F02175" w:rsidP="00F02175">
      <w:pPr>
        <w:spacing w:line="480" w:lineRule="auto"/>
        <w:rPr>
          <w:rFonts w:ascii="Times New Roman" w:hAnsi="Times New Roman" w:cs="Times New Roman"/>
          <w:sz w:val="24"/>
          <w:szCs w:val="24"/>
          <w:shd w:val="clear" w:color="auto" w:fill="FFFFFF"/>
        </w:rPr>
      </w:pPr>
      <w:r w:rsidRPr="008C4178">
        <w:rPr>
          <w:rFonts w:ascii="Times New Roman" w:hAnsi="Times New Roman" w:cs="Times New Roman"/>
          <w:sz w:val="24"/>
          <w:szCs w:val="24"/>
          <w:shd w:val="clear" w:color="auto" w:fill="FFFFFF"/>
        </w:rPr>
        <w:t>Suresh, C. and Bardastani, M. (2016). Financial Performance Of Selected Conventional And Islamic Banks In Kingdom Of Bahrain – A CAMEL Ranking Based Approach. </w:t>
      </w:r>
      <w:r w:rsidRPr="008C4178">
        <w:rPr>
          <w:rFonts w:ascii="Times New Roman" w:hAnsi="Times New Roman" w:cs="Times New Roman"/>
          <w:i/>
          <w:iCs/>
          <w:sz w:val="24"/>
          <w:szCs w:val="24"/>
          <w:shd w:val="clear" w:color="auto" w:fill="FFFFFF"/>
        </w:rPr>
        <w:t>European Journal of Economics, Law and Politics</w:t>
      </w:r>
      <w:r w:rsidRPr="008C4178">
        <w:rPr>
          <w:rFonts w:ascii="Times New Roman" w:hAnsi="Times New Roman" w:cs="Times New Roman"/>
          <w:sz w:val="24"/>
          <w:szCs w:val="24"/>
          <w:shd w:val="clear" w:color="auto" w:fill="FFFFFF"/>
        </w:rPr>
        <w:t>, 03(01).</w:t>
      </w:r>
    </w:p>
    <w:p w:rsidR="00F02175" w:rsidRPr="005D5B00" w:rsidRDefault="00F02175" w:rsidP="00F02175">
      <w:pPr>
        <w:spacing w:line="480" w:lineRule="auto"/>
        <w:rPr>
          <w:rFonts w:ascii="Times New Roman" w:hAnsi="Times New Roman" w:cs="Times New Roman"/>
          <w:sz w:val="24"/>
          <w:szCs w:val="24"/>
        </w:rPr>
      </w:pPr>
      <w:r w:rsidRPr="005D5B00">
        <w:rPr>
          <w:rFonts w:ascii="Times New Roman" w:hAnsi="Times New Roman" w:cs="Times New Roman"/>
          <w:sz w:val="24"/>
          <w:szCs w:val="24"/>
          <w:shd w:val="clear" w:color="auto" w:fill="FFFFFF"/>
        </w:rPr>
        <w:t xml:space="preserve">Tabas, M.I., Yahya, A.T. and Akhtar, A., (2017), November. Financial Performance Comparison of Islamic and conventional banks in the United Arab Emirates (UAE). </w:t>
      </w:r>
      <w:r w:rsidRPr="003706A4">
        <w:rPr>
          <w:rFonts w:ascii="Times New Roman" w:hAnsi="Times New Roman" w:cs="Times New Roman"/>
          <w:i/>
          <w:iCs/>
          <w:sz w:val="24"/>
          <w:szCs w:val="24"/>
          <w:shd w:val="clear" w:color="auto" w:fill="FFFFFF"/>
        </w:rPr>
        <w:t>In International Conference on Advances in Business, Management and Law (ICABML)</w:t>
      </w:r>
      <w:r w:rsidRPr="005D5B00">
        <w:rPr>
          <w:rFonts w:ascii="Times New Roman" w:hAnsi="Times New Roman" w:cs="Times New Roman"/>
          <w:sz w:val="24"/>
          <w:szCs w:val="24"/>
          <w:shd w:val="clear" w:color="auto" w:fill="FFFFFF"/>
        </w:rPr>
        <w:t>Vol(1).</w:t>
      </w:r>
    </w:p>
    <w:p w:rsidR="00F02175" w:rsidRPr="00A40D9B" w:rsidRDefault="00F02175" w:rsidP="00F02175">
      <w:pPr>
        <w:spacing w:line="480" w:lineRule="auto"/>
        <w:rPr>
          <w:rFonts w:ascii="Times New Roman" w:hAnsi="Times New Roman" w:cs="Times New Roman"/>
          <w:noProof/>
          <w:sz w:val="24"/>
          <w:szCs w:val="24"/>
        </w:rPr>
      </w:pPr>
      <w:r w:rsidRPr="00A40D9B">
        <w:rPr>
          <w:rFonts w:ascii="Times New Roman" w:hAnsi="Times New Roman" w:cs="Times New Roman"/>
          <w:noProof/>
          <w:sz w:val="24"/>
          <w:szCs w:val="24"/>
        </w:rPr>
        <w:t xml:space="preserve">The Financial Brand, (2017). </w:t>
      </w:r>
      <w:r w:rsidRPr="00A40D9B">
        <w:rPr>
          <w:rFonts w:ascii="Times New Roman" w:hAnsi="Times New Roman" w:cs="Times New Roman"/>
          <w:i/>
          <w:iCs/>
          <w:noProof/>
          <w:sz w:val="24"/>
          <w:szCs w:val="24"/>
        </w:rPr>
        <w:t>Top 10 Strategic Priorities for Banking in 2017,</w:t>
      </w:r>
      <w:r w:rsidRPr="00A40D9B">
        <w:rPr>
          <w:rFonts w:ascii="Times New Roman" w:hAnsi="Times New Roman" w:cs="Times New Roman"/>
          <w:noProof/>
          <w:sz w:val="24"/>
          <w:szCs w:val="24"/>
        </w:rPr>
        <w:t>The Financial Brand.</w:t>
      </w:r>
    </w:p>
    <w:p w:rsidR="00F02175" w:rsidRPr="005D5B00" w:rsidRDefault="00F02175" w:rsidP="00F02175">
      <w:pPr>
        <w:spacing w:line="480" w:lineRule="auto"/>
        <w:rPr>
          <w:rFonts w:ascii="Times New Roman" w:hAnsi="Times New Roman" w:cs="Times New Roman"/>
          <w:sz w:val="24"/>
          <w:szCs w:val="24"/>
        </w:rPr>
      </w:pPr>
      <w:r w:rsidRPr="005D5B00">
        <w:rPr>
          <w:rFonts w:ascii="Times New Roman" w:hAnsi="Times New Roman" w:cs="Times New Roman"/>
          <w:sz w:val="24"/>
          <w:szCs w:val="24"/>
        </w:rPr>
        <w:lastRenderedPageBreak/>
        <w:t xml:space="preserve">Unal, Seyfettin, Aktas,Rafet, Acikaline, Sezgin, (2007), A Comparative Profitability and Operating Efficiency Analysis and Private Banks in Turkey, </w:t>
      </w:r>
      <w:r w:rsidRPr="003706A4">
        <w:rPr>
          <w:rFonts w:ascii="Times New Roman" w:hAnsi="Times New Roman" w:cs="Times New Roman"/>
          <w:i/>
          <w:iCs/>
          <w:sz w:val="24"/>
          <w:szCs w:val="24"/>
        </w:rPr>
        <w:t>Banks and Bank System</w:t>
      </w:r>
      <w:r w:rsidRPr="005D5B00">
        <w:rPr>
          <w:rFonts w:ascii="Times New Roman" w:hAnsi="Times New Roman" w:cs="Times New Roman"/>
          <w:sz w:val="24"/>
          <w:szCs w:val="24"/>
        </w:rPr>
        <w:t>, 2(3), pp. 135-141.</w:t>
      </w:r>
    </w:p>
    <w:p w:rsidR="00F02175" w:rsidRPr="001E53BB" w:rsidRDefault="00F02175" w:rsidP="00F02175">
      <w:pPr>
        <w:spacing w:line="480" w:lineRule="auto"/>
        <w:rPr>
          <w:rFonts w:ascii="Times New Roman" w:eastAsia="SimSun" w:hAnsi="Times New Roman" w:cs="Times New Roman"/>
          <w:sz w:val="24"/>
          <w:szCs w:val="24"/>
        </w:rPr>
      </w:pPr>
      <w:r w:rsidRPr="001E53BB">
        <w:rPr>
          <w:rFonts w:ascii="Times New Roman" w:eastAsia="SimSun" w:hAnsi="Times New Roman" w:cs="Times New Roman"/>
          <w:sz w:val="24"/>
          <w:szCs w:val="24"/>
        </w:rPr>
        <w:t xml:space="preserve">Waemustafa, W. and Sukri, S., </w:t>
      </w:r>
      <w:r>
        <w:rPr>
          <w:rFonts w:ascii="Times New Roman" w:eastAsia="SimSun" w:hAnsi="Times New Roman" w:cs="Times New Roman"/>
          <w:sz w:val="24"/>
          <w:szCs w:val="24"/>
        </w:rPr>
        <w:t>(</w:t>
      </w:r>
      <w:r w:rsidRPr="001E53BB">
        <w:rPr>
          <w:rFonts w:ascii="Times New Roman" w:eastAsia="SimSun" w:hAnsi="Times New Roman" w:cs="Times New Roman"/>
          <w:sz w:val="24"/>
          <w:szCs w:val="24"/>
        </w:rPr>
        <w:t>2015</w:t>
      </w:r>
      <w:r>
        <w:rPr>
          <w:rFonts w:ascii="Times New Roman" w:eastAsia="SimSun" w:hAnsi="Times New Roman" w:cs="Times New Roman"/>
          <w:sz w:val="24"/>
          <w:szCs w:val="24"/>
        </w:rPr>
        <w:t>)</w:t>
      </w:r>
      <w:r w:rsidRPr="001E53BB">
        <w:rPr>
          <w:rFonts w:ascii="Times New Roman" w:eastAsia="SimSun" w:hAnsi="Times New Roman" w:cs="Times New Roman"/>
          <w:sz w:val="24"/>
          <w:szCs w:val="24"/>
        </w:rPr>
        <w:t xml:space="preserve">. Bank specific and macroeconomics dynamic determinants of credit risk in Islamic banks and conventional banks. </w:t>
      </w:r>
      <w:r w:rsidRPr="001E53BB">
        <w:rPr>
          <w:rFonts w:ascii="Times New Roman" w:eastAsia="SimSun" w:hAnsi="Times New Roman" w:cs="Times New Roman"/>
          <w:i/>
          <w:sz w:val="24"/>
          <w:szCs w:val="24"/>
        </w:rPr>
        <w:t>International Journal of Economics and Financial Issues,</w:t>
      </w:r>
      <w:r w:rsidRPr="001E53BB">
        <w:rPr>
          <w:rFonts w:ascii="Times New Roman" w:eastAsia="SimSun" w:hAnsi="Times New Roman" w:cs="Times New Roman"/>
          <w:sz w:val="24"/>
          <w:szCs w:val="24"/>
        </w:rPr>
        <w:t xml:space="preserve"> 5(2), pp.476-481.</w:t>
      </w:r>
    </w:p>
    <w:p w:rsidR="00F02175" w:rsidRPr="005D5B00" w:rsidRDefault="00F02175" w:rsidP="00F02175">
      <w:pPr>
        <w:spacing w:line="480" w:lineRule="auto"/>
        <w:rPr>
          <w:rFonts w:ascii="Times New Roman" w:eastAsia="SimSun" w:hAnsi="Times New Roman" w:cs="Times New Roman"/>
          <w:i/>
          <w:iCs/>
          <w:sz w:val="24"/>
          <w:szCs w:val="24"/>
        </w:rPr>
      </w:pPr>
      <w:r w:rsidRPr="005D5B00">
        <w:rPr>
          <w:rFonts w:ascii="Times New Roman" w:eastAsia="SimSun" w:hAnsi="Times New Roman" w:cs="Times New Roman"/>
          <w:sz w:val="24"/>
          <w:szCs w:val="24"/>
        </w:rPr>
        <w:t xml:space="preserve">Waemustafa, W. and Sukri, S., </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2016</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 xml:space="preserve">. </w:t>
      </w:r>
      <w:r w:rsidRPr="005D5B00">
        <w:rPr>
          <w:rFonts w:ascii="Times New Roman" w:eastAsia="SimSun" w:hAnsi="Times New Roman" w:cs="Times New Roman"/>
          <w:i/>
          <w:iCs/>
          <w:sz w:val="24"/>
          <w:szCs w:val="24"/>
        </w:rPr>
        <w:t>Systematic and unsystematic risk determinants of liquidity risk between Islamic and conventional banks.</w:t>
      </w:r>
    </w:p>
    <w:p w:rsidR="00F02175" w:rsidRPr="005D5B00" w:rsidRDefault="00F02175" w:rsidP="00F02175">
      <w:pPr>
        <w:spacing w:line="480" w:lineRule="auto"/>
        <w:rPr>
          <w:rFonts w:ascii="Times New Roman" w:hAnsi="Times New Roman" w:cs="Times New Roman"/>
          <w:iCs/>
          <w:sz w:val="24"/>
          <w:szCs w:val="24"/>
          <w:shd w:val="clear" w:color="auto" w:fill="FFFFFF"/>
        </w:rPr>
      </w:pPr>
      <w:r w:rsidRPr="005D5B00">
        <w:rPr>
          <w:rFonts w:ascii="Times New Roman" w:hAnsi="Times New Roman" w:cs="Times New Roman"/>
          <w:sz w:val="24"/>
          <w:szCs w:val="24"/>
          <w:shd w:val="clear" w:color="auto" w:fill="FFFFFF"/>
        </w:rPr>
        <w:t>Wanjohi, S. M., Wanjohi, J.G., and Ndambiri, J. M., (2017). The effect of financial risk management on the financial performance of commercial banks in Kenya. </w:t>
      </w:r>
      <w:r w:rsidRPr="005D5B00">
        <w:rPr>
          <w:rFonts w:ascii="Times New Roman" w:hAnsi="Times New Roman" w:cs="Times New Roman"/>
          <w:i/>
          <w:sz w:val="24"/>
          <w:szCs w:val="24"/>
          <w:shd w:val="clear" w:color="auto" w:fill="FFFFFF"/>
        </w:rPr>
        <w:t>International Journal of Finance and Banking Research.</w:t>
      </w:r>
      <w:r w:rsidRPr="005D5B00">
        <w:rPr>
          <w:rFonts w:ascii="Times New Roman" w:hAnsi="Times New Roman" w:cs="Times New Roman"/>
          <w:iCs/>
          <w:sz w:val="24"/>
          <w:szCs w:val="24"/>
          <w:shd w:val="clear" w:color="auto" w:fill="FFFFFF"/>
        </w:rPr>
        <w:t xml:space="preserve"> 3(5). pp. 70-81</w:t>
      </w:r>
    </w:p>
    <w:p w:rsidR="00F02175" w:rsidRPr="00A40D9B" w:rsidRDefault="00F02175" w:rsidP="00F02175">
      <w:pPr>
        <w:spacing w:line="480" w:lineRule="auto"/>
        <w:rPr>
          <w:rFonts w:ascii="Times New Roman" w:hAnsi="Times New Roman" w:cs="Times New Roman"/>
          <w:sz w:val="24"/>
          <w:szCs w:val="24"/>
          <w:shd w:val="clear" w:color="auto" w:fill="FFFFFF"/>
        </w:rPr>
      </w:pPr>
      <w:r w:rsidRPr="00A40D9B">
        <w:rPr>
          <w:rFonts w:ascii="Times New Roman" w:hAnsi="Times New Roman" w:cs="Times New Roman"/>
          <w:sz w:val="24"/>
          <w:szCs w:val="24"/>
          <w:shd w:val="clear" w:color="auto" w:fill="FFFFFF"/>
        </w:rPr>
        <w:t xml:space="preserve">Wendel, C., (2007). </w:t>
      </w:r>
      <w:r w:rsidRPr="00A40D9B">
        <w:rPr>
          <w:rFonts w:ascii="Times New Roman" w:hAnsi="Times New Roman" w:cs="Times New Roman"/>
          <w:i/>
          <w:iCs/>
          <w:sz w:val="24"/>
          <w:szCs w:val="24"/>
          <w:shd w:val="clear" w:color="auto" w:fill="FFFFFF"/>
        </w:rPr>
        <w:t>Six Actions Banks Could Take to Improve Their Performance, but Won’t and Why,</w:t>
      </w:r>
      <w:r w:rsidRPr="00A40D9B">
        <w:rPr>
          <w:rFonts w:ascii="Times New Roman" w:hAnsi="Times New Roman" w:cs="Times New Roman"/>
          <w:sz w:val="24"/>
          <w:szCs w:val="24"/>
          <w:shd w:val="clear" w:color="auto" w:fill="FFFFFF"/>
        </w:rPr>
        <w:t xml:space="preserve"> Financial Institutions Consulting.</w:t>
      </w:r>
    </w:p>
    <w:p w:rsidR="00F02175" w:rsidRPr="005D5B00" w:rsidRDefault="00F02175" w:rsidP="00F02175">
      <w:pPr>
        <w:spacing w:line="480" w:lineRule="auto"/>
        <w:rPr>
          <w:rFonts w:ascii="Times New Roman" w:hAnsi="Times New Roman" w:cs="Times New Roman"/>
          <w:sz w:val="24"/>
          <w:szCs w:val="24"/>
          <w:shd w:val="clear" w:color="auto" w:fill="FFFFFF"/>
        </w:rPr>
      </w:pPr>
      <w:r w:rsidRPr="005D5B00">
        <w:rPr>
          <w:rFonts w:ascii="Times New Roman" w:hAnsi="Times New Roman" w:cs="Times New Roman"/>
          <w:sz w:val="24"/>
          <w:szCs w:val="24"/>
          <w:shd w:val="clear" w:color="auto" w:fill="FFFFFF"/>
        </w:rPr>
        <w:t>Yakobi, K. and Ngcamu, B. (2016). An exploratory study on the impact of social media of selected commercial banks in the Eastern Cape Province, South Africa.</w:t>
      </w:r>
      <w:r w:rsidRPr="005D5B00">
        <w:rPr>
          <w:rStyle w:val="apple-converted-space"/>
          <w:rFonts w:ascii="Times New Roman" w:hAnsi="Times New Roman" w:cs="Times New Roman"/>
          <w:sz w:val="24"/>
          <w:szCs w:val="24"/>
          <w:shd w:val="clear" w:color="auto" w:fill="FFFFFF"/>
        </w:rPr>
        <w:t> </w:t>
      </w:r>
      <w:r w:rsidRPr="005D5B00">
        <w:rPr>
          <w:rFonts w:ascii="Times New Roman" w:hAnsi="Times New Roman" w:cs="Times New Roman"/>
          <w:i/>
          <w:sz w:val="24"/>
          <w:szCs w:val="24"/>
          <w:shd w:val="clear" w:color="auto" w:fill="FFFFFF"/>
        </w:rPr>
        <w:t>Banks and Bank Systems,</w:t>
      </w:r>
      <w:r w:rsidRPr="005D5B00">
        <w:rPr>
          <w:rFonts w:ascii="Times New Roman" w:hAnsi="Times New Roman" w:cs="Times New Roman"/>
          <w:sz w:val="24"/>
          <w:szCs w:val="24"/>
          <w:shd w:val="clear" w:color="auto" w:fill="FFFFFF"/>
        </w:rPr>
        <w:t xml:space="preserve"> 11(2), pp.95-102</w:t>
      </w:r>
    </w:p>
    <w:p w:rsidR="00F02175" w:rsidRDefault="00F02175" w:rsidP="00F02175">
      <w:pPr>
        <w:spacing w:line="480" w:lineRule="auto"/>
        <w:rPr>
          <w:rFonts w:ascii="Times New Roman" w:hAnsi="Times New Roman" w:cs="Times New Roman"/>
          <w:sz w:val="24"/>
          <w:szCs w:val="24"/>
          <w:shd w:val="clear" w:color="auto" w:fill="FFFFFF"/>
        </w:rPr>
      </w:pPr>
      <w:r w:rsidRPr="00E62E15">
        <w:rPr>
          <w:rFonts w:ascii="Times New Roman" w:hAnsi="Times New Roman" w:cs="Times New Roman"/>
          <w:sz w:val="24"/>
          <w:szCs w:val="24"/>
          <w:shd w:val="clear" w:color="auto" w:fill="FFFFFF"/>
        </w:rPr>
        <w:t>Young, W. and Lightfoot, A. (2017). </w:t>
      </w:r>
      <w:r w:rsidRPr="00E62E15">
        <w:rPr>
          <w:rFonts w:ascii="Times New Roman" w:hAnsi="Times New Roman" w:cs="Times New Roman"/>
          <w:i/>
          <w:iCs/>
          <w:sz w:val="24"/>
          <w:szCs w:val="24"/>
          <w:shd w:val="clear" w:color="auto" w:fill="FFFFFF"/>
        </w:rPr>
        <w:t>Banks Are Becoming More Efficient — Is That Good or Bad?</w:t>
      </w:r>
      <w:r w:rsidRPr="00E62E15">
        <w:rPr>
          <w:rFonts w:ascii="Times New Roman" w:hAnsi="Times New Roman" w:cs="Times New Roman"/>
          <w:sz w:val="24"/>
          <w:szCs w:val="24"/>
          <w:shd w:val="clear" w:color="auto" w:fill="FFFFFF"/>
        </w:rPr>
        <w:t>. The Federal Reserve System.</w:t>
      </w:r>
    </w:p>
    <w:p w:rsidR="00F02175" w:rsidRPr="005D5B00" w:rsidRDefault="00F02175" w:rsidP="00F02175">
      <w:pPr>
        <w:spacing w:line="480" w:lineRule="auto"/>
        <w:rPr>
          <w:rFonts w:ascii="Times New Roman" w:eastAsia="SimSun" w:hAnsi="Times New Roman" w:cs="Times New Roman"/>
          <w:sz w:val="24"/>
          <w:szCs w:val="24"/>
        </w:rPr>
      </w:pPr>
      <w:r w:rsidRPr="005D5B00">
        <w:rPr>
          <w:rFonts w:ascii="Times New Roman" w:eastAsia="SimSun" w:hAnsi="Times New Roman" w:cs="Times New Roman"/>
          <w:sz w:val="24"/>
          <w:szCs w:val="24"/>
        </w:rPr>
        <w:t>Zaheer, R. and Jamil, H. (2016). Performance Comparison Analysis of Islamic and Conventional Banks - Case Study of Pakistan. </w:t>
      </w:r>
      <w:r w:rsidRPr="005D5B00">
        <w:rPr>
          <w:rFonts w:ascii="Times New Roman" w:eastAsia="SimSun" w:hAnsi="Times New Roman" w:cs="Times New Roman"/>
          <w:i/>
          <w:iCs/>
          <w:sz w:val="24"/>
          <w:szCs w:val="24"/>
        </w:rPr>
        <w:t>Journal of Philosophy, Culture and Religion</w:t>
      </w:r>
      <w:r w:rsidRPr="005D5B00">
        <w:rPr>
          <w:rFonts w:ascii="Times New Roman" w:eastAsia="SimSun" w:hAnsi="Times New Roman" w:cs="Times New Roman"/>
          <w:sz w:val="24"/>
          <w:szCs w:val="24"/>
        </w:rPr>
        <w:t>, 16, pp.14-20.</w:t>
      </w:r>
    </w:p>
    <w:p w:rsidR="00F02175" w:rsidRPr="005D5B00" w:rsidRDefault="00F02175" w:rsidP="00F02175">
      <w:pPr>
        <w:spacing w:line="480" w:lineRule="auto"/>
        <w:rPr>
          <w:rFonts w:ascii="Times New Roman" w:eastAsia="SimSun" w:hAnsi="Times New Roman" w:cs="Times New Roman"/>
          <w:sz w:val="24"/>
          <w:szCs w:val="24"/>
        </w:rPr>
      </w:pPr>
      <w:r w:rsidRPr="005D5B00">
        <w:rPr>
          <w:rFonts w:ascii="Times New Roman" w:eastAsia="SimSun" w:hAnsi="Times New Roman" w:cs="Times New Roman"/>
          <w:sz w:val="24"/>
          <w:szCs w:val="24"/>
        </w:rPr>
        <w:t xml:space="preserve">Zarrouk, H., Ben Jedidia, K. and Moualhi, M., </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2016</w:t>
      </w:r>
      <w:r>
        <w:rPr>
          <w:rFonts w:ascii="Times New Roman" w:eastAsia="SimSun" w:hAnsi="Times New Roman" w:cs="Times New Roman"/>
          <w:sz w:val="24"/>
          <w:szCs w:val="24"/>
        </w:rPr>
        <w:t>)</w:t>
      </w:r>
      <w:r w:rsidRPr="005D5B00">
        <w:rPr>
          <w:rFonts w:ascii="Times New Roman" w:eastAsia="SimSun" w:hAnsi="Times New Roman" w:cs="Times New Roman"/>
          <w:sz w:val="24"/>
          <w:szCs w:val="24"/>
        </w:rPr>
        <w:t>. Is Islamic bank profitability driven by same forces as conventional banks?. International Journal of Islamic and Middle Eastern Finance and Management, 9(1), pp.46-66.</w:t>
      </w:r>
    </w:p>
    <w:p w:rsidR="00F02175" w:rsidRPr="00650895" w:rsidRDefault="00F02175" w:rsidP="00F02175">
      <w:pPr>
        <w:spacing w:line="480" w:lineRule="auto"/>
        <w:rPr>
          <w:rFonts w:ascii="Times New Roman" w:hAnsi="Times New Roman" w:cs="Times New Roman"/>
          <w:color w:val="222222"/>
          <w:shd w:val="clear" w:color="auto" w:fill="FFFFFF"/>
        </w:rPr>
      </w:pPr>
    </w:p>
    <w:p w:rsidR="00D87D7D" w:rsidRPr="00213643" w:rsidRDefault="00EF41CA" w:rsidP="00213643">
      <w:pPr>
        <w:pStyle w:val="Heading1"/>
        <w:rPr>
          <w:color w:val="auto"/>
        </w:rPr>
      </w:pPr>
      <w:bookmarkStart w:id="122" w:name="_Toc2075075"/>
      <w:r w:rsidRPr="00213643">
        <w:rPr>
          <w:color w:val="auto"/>
        </w:rPr>
        <w:lastRenderedPageBreak/>
        <w:t>Appendix</w:t>
      </w:r>
      <w:bookmarkEnd w:id="122"/>
    </w:p>
    <w:p w:rsidR="00D35678" w:rsidRPr="00F04015" w:rsidRDefault="00F04015" w:rsidP="00F04015">
      <w:pPr>
        <w:pStyle w:val="Caption"/>
        <w:keepNext/>
      </w:pPr>
      <w:bookmarkStart w:id="123" w:name="_Toc1742366"/>
      <w:r>
        <w:t xml:space="preserve">Table </w:t>
      </w:r>
      <w:r w:rsidR="00E82516">
        <w:rPr>
          <w:noProof/>
        </w:rPr>
        <w:fldChar w:fldCharType="begin"/>
      </w:r>
      <w:r w:rsidR="0076213B">
        <w:rPr>
          <w:noProof/>
        </w:rPr>
        <w:instrText xml:space="preserve"> SEQ Table \* ARABIC </w:instrText>
      </w:r>
      <w:r w:rsidR="00E82516">
        <w:rPr>
          <w:noProof/>
        </w:rPr>
        <w:fldChar w:fldCharType="separate"/>
      </w:r>
      <w:r w:rsidR="00696C7F">
        <w:rPr>
          <w:noProof/>
        </w:rPr>
        <w:t>1</w:t>
      </w:r>
      <w:r w:rsidR="00E82516">
        <w:rPr>
          <w:noProof/>
        </w:rPr>
        <w:fldChar w:fldCharType="end"/>
      </w:r>
      <w:r>
        <w:t>:</w:t>
      </w:r>
      <w:r w:rsidR="007949FF">
        <w:t xml:space="preserve"> Bank Size Calculation of Conventional Banks</w:t>
      </w:r>
      <w:bookmarkEnd w:id="123"/>
    </w:p>
    <w:tbl>
      <w:tblPr>
        <w:tblStyle w:val="TableGrid"/>
        <w:tblW w:w="4518" w:type="dxa"/>
        <w:tblLook w:val="04A0" w:firstRow="1" w:lastRow="0" w:firstColumn="1" w:lastColumn="0" w:noHBand="0" w:noVBand="1"/>
      </w:tblPr>
      <w:tblGrid>
        <w:gridCol w:w="2320"/>
        <w:gridCol w:w="960"/>
        <w:gridCol w:w="1238"/>
      </w:tblGrid>
      <w:tr w:rsidR="00D35678" w:rsidRPr="00FB0671" w:rsidTr="0089595F">
        <w:trPr>
          <w:trHeight w:val="315"/>
        </w:trPr>
        <w:tc>
          <w:tcPr>
            <w:tcW w:w="2320" w:type="dxa"/>
            <w:noWrap/>
            <w:hideMark/>
          </w:tcPr>
          <w:p w:rsidR="00D35678" w:rsidRPr="00FB0671" w:rsidRDefault="00D35678" w:rsidP="0089595F">
            <w:pPr>
              <w:rPr>
                <w:rFonts w:ascii="Calibri" w:eastAsia="Times New Roman" w:hAnsi="Calibri" w:cs="Calibri"/>
                <w:b/>
                <w:bCs/>
                <w:color w:val="000000"/>
                <w:lang w:eastAsia="en-GB"/>
              </w:rPr>
            </w:pPr>
            <w:r w:rsidRPr="00FB0671">
              <w:rPr>
                <w:rFonts w:ascii="Calibri" w:eastAsia="Times New Roman" w:hAnsi="Calibri" w:cs="Calibri"/>
                <w:b/>
                <w:bCs/>
                <w:color w:val="000000"/>
                <w:lang w:eastAsia="en-GB"/>
              </w:rPr>
              <w:t xml:space="preserve">Bank Name </w:t>
            </w:r>
          </w:p>
        </w:tc>
        <w:tc>
          <w:tcPr>
            <w:tcW w:w="960" w:type="dxa"/>
            <w:hideMark/>
          </w:tcPr>
          <w:p w:rsidR="00D35678" w:rsidRPr="00FB0671" w:rsidRDefault="00D35678" w:rsidP="0089595F">
            <w:pPr>
              <w:rPr>
                <w:rFonts w:ascii="Calibri" w:eastAsia="Times New Roman" w:hAnsi="Calibri" w:cs="Calibri"/>
                <w:b/>
                <w:bCs/>
                <w:color w:val="000000"/>
                <w:lang w:eastAsia="en-GB"/>
              </w:rPr>
            </w:pPr>
            <w:r w:rsidRPr="00FB0671">
              <w:rPr>
                <w:rFonts w:ascii="Calibri" w:eastAsia="Times New Roman" w:hAnsi="Calibri" w:cs="Calibri"/>
                <w:b/>
                <w:bCs/>
                <w:color w:val="000000"/>
                <w:lang w:eastAsia="en-GB"/>
              </w:rPr>
              <w:t>Year</w:t>
            </w:r>
          </w:p>
        </w:tc>
        <w:tc>
          <w:tcPr>
            <w:tcW w:w="1238" w:type="dxa"/>
            <w:hideMark/>
          </w:tcPr>
          <w:p w:rsidR="00D35678" w:rsidRPr="00FB0671" w:rsidRDefault="00D35678" w:rsidP="0089595F">
            <w:pPr>
              <w:rPr>
                <w:rFonts w:ascii="Calibri" w:eastAsia="Times New Roman" w:hAnsi="Calibri" w:cs="Calibri"/>
                <w:b/>
                <w:bCs/>
                <w:color w:val="000000"/>
                <w:lang w:eastAsia="en-GB"/>
              </w:rPr>
            </w:pPr>
            <w:r w:rsidRPr="00FB0671">
              <w:rPr>
                <w:rFonts w:ascii="Calibri" w:eastAsia="Times New Roman" w:hAnsi="Calibri" w:cs="Calibri"/>
                <w:b/>
                <w:bCs/>
                <w:color w:val="000000"/>
                <w:lang w:eastAsia="en-GB"/>
              </w:rPr>
              <w:t>Bank Size</w:t>
            </w:r>
          </w:p>
        </w:tc>
      </w:tr>
      <w:tr w:rsidR="00D35678" w:rsidRPr="00FB0671" w:rsidTr="0089595F">
        <w:trPr>
          <w:trHeight w:val="242"/>
        </w:trPr>
        <w:tc>
          <w:tcPr>
            <w:tcW w:w="2320" w:type="dxa"/>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JP Morgan Chase &amp; Co.</w:t>
            </w:r>
          </w:p>
        </w:tc>
        <w:tc>
          <w:tcPr>
            <w:tcW w:w="960" w:type="dxa"/>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2012</w:t>
            </w:r>
          </w:p>
        </w:tc>
        <w:tc>
          <w:tcPr>
            <w:tcW w:w="1238" w:type="dxa"/>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6.37</w:t>
            </w:r>
          </w:p>
        </w:tc>
      </w:tr>
      <w:tr w:rsidR="00D35678" w:rsidRPr="00FB0671" w:rsidTr="0089595F">
        <w:trPr>
          <w:trHeight w:val="300"/>
        </w:trPr>
        <w:tc>
          <w:tcPr>
            <w:tcW w:w="2320" w:type="dxa"/>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JP Morgan Chase &amp; Co.</w:t>
            </w:r>
          </w:p>
        </w:tc>
        <w:tc>
          <w:tcPr>
            <w:tcW w:w="960" w:type="dxa"/>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2013</w:t>
            </w:r>
          </w:p>
        </w:tc>
        <w:tc>
          <w:tcPr>
            <w:tcW w:w="1238" w:type="dxa"/>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6.38</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JP Morgan Chase &amp; Co.</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2014</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6.41</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JP Morgan Chase &amp; Co.</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2015</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6.37</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JP Morgan Chase &amp; Co.</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2016</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6.40</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JP Morgan Chase &amp; Co.</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2017</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6.40</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Barclays PLC</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2012</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6.17</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Barclays PLC</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2013</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6.12</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Barclays PLC</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2014</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6.13</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Barclays PLC</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2015</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6.05</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Barclays PLC</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2016</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6.08</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Barclays PLC</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2017</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6.05</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HSBC</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2012</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6.43</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HSBC</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2013</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6.43</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HSBC</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2014</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6.42</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HSBC</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2015</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6.38</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HSBC</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2016</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6.38</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HSBC</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2017</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6.40</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Westpac</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2012</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5.83</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Westpac</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2013</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5.84</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Westpac</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2014</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5.89</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Westpac</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2015</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5.91</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Westpac</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2016</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5.92</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Westpac</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2017</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5.93</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Bank of America</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2012</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6.34</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Bank of America</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2013</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6.34</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Bank of America</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2014</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6.32</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Bank of America</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2015</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6.33</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Bank of America</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2016</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6.34</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Bank of America</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2017</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6.36</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Axis Bank Ltd.</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2012</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5.46</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Axis Bank Ltd.</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2013</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5.53</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Axis Bank Ltd.</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2014</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5.58</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Axis Bank Ltd.</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2015</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5.66</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Axis Bank Ltd.</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2016</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5.73</w:t>
            </w:r>
          </w:p>
        </w:tc>
      </w:tr>
      <w:tr w:rsidR="00D35678" w:rsidRPr="00FB0671" w:rsidTr="0089595F">
        <w:trPr>
          <w:trHeight w:val="300"/>
        </w:trPr>
        <w:tc>
          <w:tcPr>
            <w:tcW w:w="2320" w:type="dxa"/>
            <w:noWrap/>
            <w:hideMark/>
          </w:tcPr>
          <w:p w:rsidR="00D35678" w:rsidRPr="00FB0671" w:rsidRDefault="00D35678" w:rsidP="0089595F">
            <w:pPr>
              <w:rPr>
                <w:rFonts w:ascii="Calibri" w:eastAsia="Times New Roman" w:hAnsi="Calibri" w:cs="Calibri"/>
                <w:color w:val="000000"/>
                <w:lang w:eastAsia="en-GB"/>
              </w:rPr>
            </w:pPr>
            <w:r w:rsidRPr="00FB0671">
              <w:rPr>
                <w:rFonts w:ascii="Calibri" w:eastAsia="Times New Roman" w:hAnsi="Calibri" w:cs="Calibri"/>
                <w:color w:val="000000"/>
                <w:lang w:eastAsia="en-GB"/>
              </w:rPr>
              <w:t>Axis Bank Ltd.</w:t>
            </w:r>
          </w:p>
        </w:tc>
        <w:tc>
          <w:tcPr>
            <w:tcW w:w="960"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2017</w:t>
            </w:r>
          </w:p>
        </w:tc>
        <w:tc>
          <w:tcPr>
            <w:tcW w:w="1238" w:type="dxa"/>
            <w:noWrap/>
            <w:hideMark/>
          </w:tcPr>
          <w:p w:rsidR="00D35678" w:rsidRPr="00FB0671" w:rsidRDefault="00D35678" w:rsidP="0089595F">
            <w:pPr>
              <w:jc w:val="right"/>
              <w:rPr>
                <w:rFonts w:ascii="Calibri" w:eastAsia="Times New Roman" w:hAnsi="Calibri" w:cs="Calibri"/>
                <w:color w:val="000000"/>
                <w:lang w:eastAsia="en-GB"/>
              </w:rPr>
            </w:pPr>
            <w:r w:rsidRPr="00FB0671">
              <w:rPr>
                <w:rFonts w:ascii="Calibri" w:eastAsia="Times New Roman" w:hAnsi="Calibri" w:cs="Calibri"/>
                <w:color w:val="000000"/>
                <w:lang w:eastAsia="en-GB"/>
              </w:rPr>
              <w:t>5.78</w:t>
            </w:r>
          </w:p>
        </w:tc>
      </w:tr>
    </w:tbl>
    <w:p w:rsidR="00D35678" w:rsidRDefault="00D35678" w:rsidP="00D87D7D"/>
    <w:p w:rsidR="00D35678" w:rsidRDefault="00D35678" w:rsidP="00D87D7D"/>
    <w:p w:rsidR="00D35678" w:rsidRDefault="00D35678" w:rsidP="00D87D7D"/>
    <w:p w:rsidR="00D35678" w:rsidRPr="00871C95" w:rsidRDefault="00F04015" w:rsidP="00871C95">
      <w:pPr>
        <w:pStyle w:val="Caption"/>
        <w:keepNext/>
      </w:pPr>
      <w:bookmarkStart w:id="124" w:name="_Toc1742367"/>
      <w:r>
        <w:lastRenderedPageBreak/>
        <w:t xml:space="preserve">Table </w:t>
      </w:r>
      <w:r w:rsidR="00E82516">
        <w:fldChar w:fldCharType="begin"/>
      </w:r>
      <w:r w:rsidR="0076213B">
        <w:instrText xml:space="preserve"> SEQ Table \* ARABIC </w:instrText>
      </w:r>
      <w:r w:rsidR="00E82516">
        <w:fldChar w:fldCharType="separate"/>
      </w:r>
      <w:r w:rsidR="00696C7F">
        <w:t>2</w:t>
      </w:r>
      <w:r w:rsidR="00E82516">
        <w:fldChar w:fldCharType="end"/>
      </w:r>
      <w:r>
        <w:t>:</w:t>
      </w:r>
      <w:r w:rsidR="007949FF">
        <w:t xml:space="preserve"> Bank Size Calculation of Islamic Banks</w:t>
      </w:r>
      <w:bookmarkEnd w:id="124"/>
    </w:p>
    <w:tbl>
      <w:tblPr>
        <w:tblStyle w:val="TableGrid"/>
        <w:tblW w:w="5020" w:type="dxa"/>
        <w:tblLook w:val="04A0" w:firstRow="1" w:lastRow="0" w:firstColumn="1" w:lastColumn="0" w:noHBand="0" w:noVBand="1"/>
      </w:tblPr>
      <w:tblGrid>
        <w:gridCol w:w="3078"/>
        <w:gridCol w:w="982"/>
        <w:gridCol w:w="960"/>
      </w:tblGrid>
      <w:tr w:rsidR="00D35678" w:rsidRPr="006362D1" w:rsidTr="0089595F">
        <w:trPr>
          <w:trHeight w:val="315"/>
        </w:trPr>
        <w:tc>
          <w:tcPr>
            <w:tcW w:w="3078" w:type="dxa"/>
            <w:noWrap/>
            <w:hideMark/>
          </w:tcPr>
          <w:p w:rsidR="00D35678" w:rsidRPr="006362D1" w:rsidRDefault="00D35678" w:rsidP="0089595F">
            <w:pPr>
              <w:rPr>
                <w:rFonts w:ascii="Calibri" w:eastAsia="Times New Roman" w:hAnsi="Calibri" w:cs="Calibri"/>
                <w:b/>
                <w:bCs/>
                <w:color w:val="000000"/>
                <w:lang w:eastAsia="en-GB"/>
              </w:rPr>
            </w:pPr>
            <w:r w:rsidRPr="006362D1">
              <w:rPr>
                <w:rFonts w:ascii="Calibri" w:eastAsia="Times New Roman" w:hAnsi="Calibri" w:cs="Calibri"/>
                <w:b/>
                <w:bCs/>
                <w:color w:val="000000"/>
                <w:lang w:eastAsia="en-GB"/>
              </w:rPr>
              <w:t>Bank Name</w:t>
            </w:r>
          </w:p>
        </w:tc>
        <w:tc>
          <w:tcPr>
            <w:tcW w:w="982" w:type="dxa"/>
            <w:hideMark/>
          </w:tcPr>
          <w:p w:rsidR="00D35678" w:rsidRPr="006362D1" w:rsidRDefault="00D35678" w:rsidP="0089595F">
            <w:pPr>
              <w:rPr>
                <w:rFonts w:ascii="Calibri" w:eastAsia="Times New Roman" w:hAnsi="Calibri" w:cs="Calibri"/>
                <w:b/>
                <w:bCs/>
                <w:color w:val="000000"/>
                <w:lang w:eastAsia="en-GB"/>
              </w:rPr>
            </w:pPr>
            <w:r w:rsidRPr="006362D1">
              <w:rPr>
                <w:rFonts w:ascii="Calibri" w:eastAsia="Times New Roman" w:hAnsi="Calibri" w:cs="Calibri"/>
                <w:b/>
                <w:bCs/>
                <w:color w:val="000000"/>
                <w:lang w:eastAsia="en-GB"/>
              </w:rPr>
              <w:t>Year</w:t>
            </w:r>
          </w:p>
        </w:tc>
        <w:tc>
          <w:tcPr>
            <w:tcW w:w="960" w:type="dxa"/>
            <w:hideMark/>
          </w:tcPr>
          <w:p w:rsidR="00D35678" w:rsidRPr="006362D1" w:rsidRDefault="00D35678" w:rsidP="0089595F">
            <w:pPr>
              <w:rPr>
                <w:rFonts w:ascii="Calibri" w:eastAsia="Times New Roman" w:hAnsi="Calibri" w:cs="Calibri"/>
                <w:b/>
                <w:bCs/>
                <w:color w:val="000000"/>
                <w:lang w:eastAsia="en-GB"/>
              </w:rPr>
            </w:pPr>
            <w:r w:rsidRPr="006362D1">
              <w:rPr>
                <w:rFonts w:ascii="Calibri" w:eastAsia="Times New Roman" w:hAnsi="Calibri" w:cs="Calibri"/>
                <w:b/>
                <w:bCs/>
                <w:color w:val="000000"/>
                <w:lang w:eastAsia="en-GB"/>
              </w:rPr>
              <w:t>Bank Size</w:t>
            </w:r>
          </w:p>
        </w:tc>
      </w:tr>
      <w:tr w:rsidR="00D35678" w:rsidRPr="006362D1" w:rsidTr="0089595F">
        <w:trPr>
          <w:trHeight w:val="375"/>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Bahrain Islamic Bank</w:t>
            </w:r>
          </w:p>
        </w:tc>
        <w:tc>
          <w:tcPr>
            <w:tcW w:w="982"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2012</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5.92</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Bahrain Islamic Bank</w:t>
            </w:r>
          </w:p>
        </w:tc>
        <w:tc>
          <w:tcPr>
            <w:tcW w:w="982"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2013</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5.96</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Bahrain Islamic Bank</w:t>
            </w:r>
          </w:p>
        </w:tc>
        <w:tc>
          <w:tcPr>
            <w:tcW w:w="982"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2014</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5.94</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Bahrain Islamic Bank</w:t>
            </w:r>
          </w:p>
        </w:tc>
        <w:tc>
          <w:tcPr>
            <w:tcW w:w="982"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2015</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5.99</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Bahrain Islamic Bank</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2016</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6.01</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Bahrain Islamic Bank</w:t>
            </w:r>
          </w:p>
        </w:tc>
        <w:tc>
          <w:tcPr>
            <w:tcW w:w="982"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2017</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6.09</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HSBC Amanah Berhad</w:t>
            </w:r>
          </w:p>
        </w:tc>
        <w:tc>
          <w:tcPr>
            <w:tcW w:w="982"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2012</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7.08</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HSBC Amanah Berhad</w:t>
            </w:r>
          </w:p>
        </w:tc>
        <w:tc>
          <w:tcPr>
            <w:tcW w:w="982"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2013</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7.16</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HSBC Amanah Berhad</w:t>
            </w:r>
          </w:p>
        </w:tc>
        <w:tc>
          <w:tcPr>
            <w:tcW w:w="982"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2014</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7.21</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HSBC Amanah Berhad</w:t>
            </w:r>
          </w:p>
        </w:tc>
        <w:tc>
          <w:tcPr>
            <w:tcW w:w="982"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2015</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7.29</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HSBC Amanah Berhad</w:t>
            </w:r>
          </w:p>
        </w:tc>
        <w:tc>
          <w:tcPr>
            <w:tcW w:w="982"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2016</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7.21</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HSBC Amanah Berhad</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2017</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7.25</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 xml:space="preserve">Islami Bank Bangladesh Limited </w:t>
            </w:r>
          </w:p>
        </w:tc>
        <w:tc>
          <w:tcPr>
            <w:tcW w:w="982"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2012</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11.68</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 xml:space="preserve">Islami Bank Bangladesh Limited </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2013</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11.74</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 xml:space="preserve">Islami Bank Bangladesh Limited </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2014</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11.81</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 xml:space="preserve">Islami Bank Bangladesh Limited </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2015</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11.86</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 xml:space="preserve">Islami Bank Bangladesh Limited </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2016</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11.90</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 xml:space="preserve">Islami Bank Bangladesh Limited </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2017</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11.95</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Mashreq Bank</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2012</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7.88</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Mashreq Bank</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2013</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7.95</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Mashreq Bank</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2014</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8.02</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Mashreq Bank</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2015</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8.06</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Mashreq Bank</w:t>
            </w:r>
          </w:p>
        </w:tc>
        <w:tc>
          <w:tcPr>
            <w:tcW w:w="982"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2016</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6.86</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Mashreq Bank</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2017</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6.87</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lang w:eastAsia="en-GB"/>
              </w:rPr>
            </w:pPr>
            <w:r w:rsidRPr="006362D1">
              <w:rPr>
                <w:rFonts w:ascii="Calibri" w:eastAsia="Times New Roman" w:hAnsi="Calibri" w:cs="Calibri"/>
                <w:lang w:eastAsia="en-GB"/>
              </w:rPr>
              <w:t>Al Hilal Bank</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2012</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7.51</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lang w:eastAsia="en-GB"/>
              </w:rPr>
            </w:pPr>
            <w:r w:rsidRPr="006362D1">
              <w:rPr>
                <w:rFonts w:ascii="Calibri" w:eastAsia="Times New Roman" w:hAnsi="Calibri" w:cs="Calibri"/>
                <w:lang w:eastAsia="en-GB"/>
              </w:rPr>
              <w:t>Al Hilal Bank</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2013</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7.59</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lang w:eastAsia="en-GB"/>
              </w:rPr>
            </w:pPr>
            <w:r w:rsidRPr="006362D1">
              <w:rPr>
                <w:rFonts w:ascii="Calibri" w:eastAsia="Times New Roman" w:hAnsi="Calibri" w:cs="Calibri"/>
                <w:lang w:eastAsia="en-GB"/>
              </w:rPr>
              <w:t>Al Hilal Bank</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2014</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7.62</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lang w:eastAsia="en-GB"/>
              </w:rPr>
            </w:pPr>
            <w:r w:rsidRPr="006362D1">
              <w:rPr>
                <w:rFonts w:ascii="Calibri" w:eastAsia="Times New Roman" w:hAnsi="Calibri" w:cs="Calibri"/>
                <w:lang w:eastAsia="en-GB"/>
              </w:rPr>
              <w:t>Al Hilal Bank</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2015</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7.64</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lang w:eastAsia="en-GB"/>
              </w:rPr>
            </w:pPr>
            <w:r w:rsidRPr="006362D1">
              <w:rPr>
                <w:rFonts w:ascii="Calibri" w:eastAsia="Times New Roman" w:hAnsi="Calibri" w:cs="Calibri"/>
                <w:lang w:eastAsia="en-GB"/>
              </w:rPr>
              <w:t>Al Hilal Bank</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2016</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7.64</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lang w:eastAsia="en-GB"/>
              </w:rPr>
            </w:pPr>
            <w:r w:rsidRPr="006362D1">
              <w:rPr>
                <w:rFonts w:ascii="Calibri" w:eastAsia="Times New Roman" w:hAnsi="Calibri" w:cs="Calibri"/>
                <w:lang w:eastAsia="en-GB"/>
              </w:rPr>
              <w:t>Al Hilal Bank</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2017</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7.63</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Qatar Islamic Bank</w:t>
            </w:r>
          </w:p>
        </w:tc>
        <w:tc>
          <w:tcPr>
            <w:tcW w:w="982"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2012</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7.86</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Qatar Islamic Bank</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2013</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7.89</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Qatar Islamic Bank</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2014</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8.33</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Qatar Islamic Bank</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2015</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8.35</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Qatar Islamic Bank</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2016</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8.15</w:t>
            </w:r>
          </w:p>
        </w:tc>
      </w:tr>
      <w:tr w:rsidR="00D35678" w:rsidRPr="006362D1" w:rsidTr="0089595F">
        <w:trPr>
          <w:trHeight w:val="300"/>
        </w:trPr>
        <w:tc>
          <w:tcPr>
            <w:tcW w:w="3078" w:type="dxa"/>
            <w:noWrap/>
            <w:hideMark/>
          </w:tcPr>
          <w:p w:rsidR="00D35678" w:rsidRPr="006362D1" w:rsidRDefault="00D35678" w:rsidP="0089595F">
            <w:pPr>
              <w:rPr>
                <w:rFonts w:ascii="Calibri" w:eastAsia="Times New Roman" w:hAnsi="Calibri" w:cs="Calibri"/>
                <w:color w:val="000000"/>
                <w:lang w:eastAsia="en-GB"/>
              </w:rPr>
            </w:pPr>
            <w:r w:rsidRPr="006362D1">
              <w:rPr>
                <w:rFonts w:ascii="Calibri" w:eastAsia="Times New Roman" w:hAnsi="Calibri" w:cs="Calibri"/>
                <w:color w:val="000000"/>
                <w:lang w:eastAsia="en-GB"/>
              </w:rPr>
              <w:t>Qatar Islamic Bank</w:t>
            </w:r>
          </w:p>
        </w:tc>
        <w:tc>
          <w:tcPr>
            <w:tcW w:w="982" w:type="dxa"/>
            <w:noWrap/>
            <w:hideMark/>
          </w:tcPr>
          <w:p w:rsidR="00D35678" w:rsidRPr="006362D1" w:rsidRDefault="00D35678" w:rsidP="0089595F">
            <w:pPr>
              <w:jc w:val="right"/>
              <w:rPr>
                <w:rFonts w:ascii="Calibri" w:eastAsia="Times New Roman" w:hAnsi="Calibri" w:cs="Calibri"/>
                <w:lang w:eastAsia="en-GB"/>
              </w:rPr>
            </w:pPr>
            <w:r w:rsidRPr="006362D1">
              <w:rPr>
                <w:rFonts w:ascii="Calibri" w:eastAsia="Times New Roman" w:hAnsi="Calibri" w:cs="Calibri"/>
                <w:lang w:eastAsia="en-GB"/>
              </w:rPr>
              <w:t>2017</w:t>
            </w:r>
          </w:p>
        </w:tc>
        <w:tc>
          <w:tcPr>
            <w:tcW w:w="960" w:type="dxa"/>
            <w:noWrap/>
            <w:hideMark/>
          </w:tcPr>
          <w:p w:rsidR="00D35678" w:rsidRPr="006362D1" w:rsidRDefault="00D35678" w:rsidP="0089595F">
            <w:pPr>
              <w:jc w:val="right"/>
              <w:rPr>
                <w:rFonts w:ascii="Calibri" w:eastAsia="Times New Roman" w:hAnsi="Calibri" w:cs="Calibri"/>
                <w:color w:val="000000"/>
                <w:lang w:eastAsia="en-GB"/>
              </w:rPr>
            </w:pPr>
            <w:r w:rsidRPr="006362D1">
              <w:rPr>
                <w:rFonts w:ascii="Calibri" w:eastAsia="Times New Roman" w:hAnsi="Calibri" w:cs="Calibri"/>
                <w:color w:val="000000"/>
                <w:lang w:eastAsia="en-GB"/>
              </w:rPr>
              <w:t>8.18</w:t>
            </w:r>
          </w:p>
        </w:tc>
      </w:tr>
    </w:tbl>
    <w:p w:rsidR="0073595A" w:rsidRDefault="0073595A" w:rsidP="00D87D7D"/>
    <w:p w:rsidR="0073595A" w:rsidRDefault="0073595A">
      <w:r>
        <w:br w:type="page"/>
      </w:r>
    </w:p>
    <w:p w:rsidR="0073595A" w:rsidRDefault="0073595A" w:rsidP="0073595A">
      <w:pPr>
        <w:pStyle w:val="Caption"/>
      </w:pPr>
      <w:bookmarkStart w:id="125" w:name="_Toc1403926"/>
      <w:r>
        <w:lastRenderedPageBreak/>
        <w:t xml:space="preserve">Figure </w:t>
      </w:r>
      <w:r w:rsidR="00E82516">
        <w:rPr>
          <w:noProof/>
        </w:rPr>
        <w:fldChar w:fldCharType="begin"/>
      </w:r>
      <w:r w:rsidR="0076213B">
        <w:rPr>
          <w:noProof/>
        </w:rPr>
        <w:instrText xml:space="preserve"> SEQ Figure \* ARABIC </w:instrText>
      </w:r>
      <w:r w:rsidR="00E82516">
        <w:rPr>
          <w:noProof/>
        </w:rPr>
        <w:fldChar w:fldCharType="separate"/>
      </w:r>
      <w:r w:rsidR="00940DAE">
        <w:rPr>
          <w:noProof/>
        </w:rPr>
        <w:t>1</w:t>
      </w:r>
      <w:r w:rsidR="00E82516">
        <w:rPr>
          <w:noProof/>
        </w:rPr>
        <w:fldChar w:fldCharType="end"/>
      </w:r>
      <w:r>
        <w:t>:</w:t>
      </w:r>
      <w:r w:rsidR="0089595F">
        <w:t xml:space="preserve"> Comparison between</w:t>
      </w:r>
      <w:r w:rsidR="00F04015">
        <w:t xml:space="preserve"> Conventional </w:t>
      </w:r>
      <w:r w:rsidR="0089595F">
        <w:t>and Islamic Banks in terms of Bank Sizes</w:t>
      </w:r>
      <w:bookmarkEnd w:id="125"/>
    </w:p>
    <w:p w:rsidR="00F04015" w:rsidRDefault="0073595A" w:rsidP="0073595A">
      <w:pPr>
        <w:pStyle w:val="Caption"/>
      </w:pPr>
      <w:r w:rsidRPr="0073595A">
        <w:rPr>
          <w:noProof/>
          <w:lang w:eastAsia="en-GB"/>
        </w:rPr>
        <w:drawing>
          <wp:inline distT="0" distB="0" distL="0" distR="0">
            <wp:extent cx="4572000" cy="27432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F04015" w:rsidRDefault="00F04015" w:rsidP="00F04015">
      <w:pPr>
        <w:pStyle w:val="Caption"/>
      </w:pPr>
      <w:bookmarkStart w:id="126" w:name="_Toc1742368"/>
      <w:r>
        <w:t xml:space="preserve">Table </w:t>
      </w:r>
      <w:r w:rsidR="00E82516">
        <w:rPr>
          <w:noProof/>
        </w:rPr>
        <w:fldChar w:fldCharType="begin"/>
      </w:r>
      <w:r w:rsidR="0076213B">
        <w:rPr>
          <w:noProof/>
        </w:rPr>
        <w:instrText xml:space="preserve"> SEQ Table \* ARABIC </w:instrText>
      </w:r>
      <w:r w:rsidR="00E82516">
        <w:rPr>
          <w:noProof/>
        </w:rPr>
        <w:fldChar w:fldCharType="separate"/>
      </w:r>
      <w:r w:rsidR="00696C7F">
        <w:rPr>
          <w:noProof/>
        </w:rPr>
        <w:t>3</w:t>
      </w:r>
      <w:r w:rsidR="00E82516">
        <w:rPr>
          <w:noProof/>
        </w:rPr>
        <w:fldChar w:fldCharType="end"/>
      </w:r>
      <w:r>
        <w:t>:</w:t>
      </w:r>
      <w:r w:rsidR="007949FF">
        <w:t xml:space="preserve"> Operating Efficiency Calculation of Conventional Banks</w:t>
      </w:r>
      <w:bookmarkEnd w:id="126"/>
    </w:p>
    <w:tbl>
      <w:tblPr>
        <w:tblStyle w:val="TableGrid"/>
        <w:tblW w:w="5320" w:type="dxa"/>
        <w:tblLook w:val="04A0" w:firstRow="1" w:lastRow="0" w:firstColumn="1" w:lastColumn="0" w:noHBand="0" w:noVBand="1"/>
      </w:tblPr>
      <w:tblGrid>
        <w:gridCol w:w="3100"/>
        <w:gridCol w:w="960"/>
        <w:gridCol w:w="1260"/>
      </w:tblGrid>
      <w:tr w:rsidR="00600EF2" w:rsidRPr="00600EF2" w:rsidTr="00600EF2">
        <w:trPr>
          <w:trHeight w:val="615"/>
        </w:trPr>
        <w:tc>
          <w:tcPr>
            <w:tcW w:w="3100" w:type="dxa"/>
            <w:noWrap/>
            <w:hideMark/>
          </w:tcPr>
          <w:p w:rsidR="00600EF2" w:rsidRPr="00600EF2" w:rsidRDefault="00600EF2" w:rsidP="00600EF2">
            <w:pPr>
              <w:rPr>
                <w:rFonts w:ascii="Calibri" w:eastAsia="Times New Roman" w:hAnsi="Calibri" w:cs="Calibri"/>
                <w:b/>
                <w:bCs/>
                <w:color w:val="000000"/>
                <w:lang w:eastAsia="en-GB"/>
              </w:rPr>
            </w:pPr>
            <w:r w:rsidRPr="00600EF2">
              <w:rPr>
                <w:rFonts w:ascii="Calibri" w:eastAsia="Times New Roman" w:hAnsi="Calibri" w:cs="Calibri"/>
                <w:b/>
                <w:bCs/>
                <w:color w:val="000000"/>
                <w:lang w:eastAsia="en-GB"/>
              </w:rPr>
              <w:t xml:space="preserve">Bank Name </w:t>
            </w:r>
          </w:p>
        </w:tc>
        <w:tc>
          <w:tcPr>
            <w:tcW w:w="960" w:type="dxa"/>
            <w:hideMark/>
          </w:tcPr>
          <w:p w:rsidR="00600EF2" w:rsidRPr="00600EF2" w:rsidRDefault="00600EF2" w:rsidP="00600EF2">
            <w:pPr>
              <w:rPr>
                <w:rFonts w:ascii="Calibri" w:eastAsia="Times New Roman" w:hAnsi="Calibri" w:cs="Calibri"/>
                <w:b/>
                <w:bCs/>
                <w:color w:val="000000"/>
                <w:lang w:eastAsia="en-GB"/>
              </w:rPr>
            </w:pPr>
            <w:r w:rsidRPr="00600EF2">
              <w:rPr>
                <w:rFonts w:ascii="Calibri" w:eastAsia="Times New Roman" w:hAnsi="Calibri" w:cs="Calibri"/>
                <w:b/>
                <w:bCs/>
                <w:color w:val="000000"/>
                <w:lang w:eastAsia="en-GB"/>
              </w:rPr>
              <w:t>Year</w:t>
            </w:r>
          </w:p>
        </w:tc>
        <w:tc>
          <w:tcPr>
            <w:tcW w:w="1260" w:type="dxa"/>
            <w:hideMark/>
          </w:tcPr>
          <w:p w:rsidR="00600EF2" w:rsidRPr="00600EF2" w:rsidRDefault="00600EF2" w:rsidP="00600EF2">
            <w:pPr>
              <w:rPr>
                <w:rFonts w:ascii="Calibri" w:eastAsia="Times New Roman" w:hAnsi="Calibri" w:cs="Calibri"/>
                <w:b/>
                <w:bCs/>
                <w:color w:val="000000"/>
                <w:lang w:eastAsia="en-GB"/>
              </w:rPr>
            </w:pPr>
            <w:r w:rsidRPr="00600EF2">
              <w:rPr>
                <w:rFonts w:ascii="Calibri" w:eastAsia="Times New Roman" w:hAnsi="Calibri" w:cs="Calibri"/>
                <w:b/>
                <w:bCs/>
                <w:color w:val="000000"/>
                <w:lang w:eastAsia="en-GB"/>
              </w:rPr>
              <w:t>Operating Efficiency</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JP Morgan Chase &amp; Co.</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2012</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3.04</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JP Morgan Chase &amp; Co.</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2013</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3.94</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JP Morgan Chase &amp; Co.</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2014</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2.82</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JP Morgan Chase &amp; Co.</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2015</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2.41</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JP Morgan Chase &amp; Co.</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2016</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2.25</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JP Morgan Chase &amp; Co.</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2017</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2.39</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Barclays PLC</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2012</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5.63</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Barclays PLC</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2013</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5.65</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Barclays PLC</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2014</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5.06</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Barclays PLC</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2015</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4.30</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Barclays PLC</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2016</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4.95</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Barclays PLC</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2017</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9.61</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HSBC</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2012</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0.72</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HSBC</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2013</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0.66</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HSBC</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2014</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0.72</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HSBC</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2015</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0.71</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HSBC</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2016</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0.89</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HSBC</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2017</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0.70</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Westpac</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2012</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1.15</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Westpac</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2013</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1.23</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Westpac</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2014</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0.95</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Westpac</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2015</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0.95</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Westpac</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2016</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1.14</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Westpac</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2017</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1.13</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Bank of America</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2012</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17.21</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Bank of America</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2013</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6.05</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Bank of America</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2014</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15.54</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lastRenderedPageBreak/>
              <w:t>Bank of America</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2015</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3.60</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Bank of America</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2016</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3.09</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Bank of America</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2017</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3.00</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Axis Bank Ltd.</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2012</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1.47</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Axis Bank Ltd.</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2013</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1.37</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Axis Bank Ltd.</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2014</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1.27</w:t>
            </w:r>
          </w:p>
        </w:tc>
      </w:tr>
      <w:tr w:rsidR="00600EF2" w:rsidRPr="00600EF2" w:rsidTr="00600EF2">
        <w:trPr>
          <w:trHeight w:val="315"/>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Axis Bank Ltd.</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2015</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1.25</w:t>
            </w:r>
          </w:p>
        </w:tc>
      </w:tr>
      <w:tr w:rsidR="00600EF2" w:rsidRPr="00600EF2" w:rsidTr="00600EF2">
        <w:trPr>
          <w:trHeight w:val="300"/>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Axis Bank Ltd.</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2016</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1.23</w:t>
            </w:r>
          </w:p>
        </w:tc>
      </w:tr>
      <w:tr w:rsidR="00600EF2" w:rsidRPr="00600EF2" w:rsidTr="00600EF2">
        <w:trPr>
          <w:trHeight w:val="300"/>
        </w:trPr>
        <w:tc>
          <w:tcPr>
            <w:tcW w:w="3100" w:type="dxa"/>
            <w:noWrap/>
            <w:hideMark/>
          </w:tcPr>
          <w:p w:rsidR="00600EF2" w:rsidRPr="00600EF2" w:rsidRDefault="00600EF2" w:rsidP="00600EF2">
            <w:pPr>
              <w:rPr>
                <w:rFonts w:ascii="Calibri" w:eastAsia="Times New Roman" w:hAnsi="Calibri" w:cs="Calibri"/>
                <w:color w:val="000000"/>
                <w:lang w:eastAsia="en-GB"/>
              </w:rPr>
            </w:pPr>
            <w:r w:rsidRPr="00600EF2">
              <w:rPr>
                <w:rFonts w:ascii="Calibri" w:eastAsia="Times New Roman" w:hAnsi="Calibri" w:cs="Calibri"/>
                <w:color w:val="000000"/>
                <w:lang w:eastAsia="en-GB"/>
              </w:rPr>
              <w:t>Axis Bank Ltd.</w:t>
            </w:r>
          </w:p>
        </w:tc>
        <w:tc>
          <w:tcPr>
            <w:tcW w:w="960" w:type="dxa"/>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2017</w:t>
            </w:r>
          </w:p>
        </w:tc>
        <w:tc>
          <w:tcPr>
            <w:tcW w:w="1260" w:type="dxa"/>
            <w:noWrap/>
            <w:hideMark/>
          </w:tcPr>
          <w:p w:rsidR="00600EF2" w:rsidRPr="00600EF2" w:rsidRDefault="00600EF2" w:rsidP="00600EF2">
            <w:pPr>
              <w:jc w:val="right"/>
              <w:rPr>
                <w:rFonts w:ascii="Calibri" w:eastAsia="Times New Roman" w:hAnsi="Calibri" w:cs="Calibri"/>
                <w:color w:val="000000"/>
                <w:lang w:eastAsia="en-GB"/>
              </w:rPr>
            </w:pPr>
            <w:r w:rsidRPr="00600EF2">
              <w:rPr>
                <w:rFonts w:ascii="Calibri" w:eastAsia="Times New Roman" w:hAnsi="Calibri" w:cs="Calibri"/>
                <w:color w:val="000000"/>
                <w:lang w:eastAsia="en-GB"/>
              </w:rPr>
              <w:t>3.32</w:t>
            </w:r>
          </w:p>
        </w:tc>
      </w:tr>
    </w:tbl>
    <w:p w:rsidR="00F04015" w:rsidRDefault="00F04015" w:rsidP="0073595A">
      <w:pPr>
        <w:pStyle w:val="Caption"/>
      </w:pPr>
    </w:p>
    <w:p w:rsidR="00F04015" w:rsidRDefault="00F04015" w:rsidP="00F04015">
      <w:pPr>
        <w:pStyle w:val="Caption"/>
      </w:pPr>
      <w:bookmarkStart w:id="127" w:name="_Toc1742369"/>
      <w:r>
        <w:t xml:space="preserve">Table </w:t>
      </w:r>
      <w:r w:rsidR="00E82516">
        <w:rPr>
          <w:noProof/>
        </w:rPr>
        <w:fldChar w:fldCharType="begin"/>
      </w:r>
      <w:r w:rsidR="0076213B">
        <w:rPr>
          <w:noProof/>
        </w:rPr>
        <w:instrText xml:space="preserve"> SEQ Table \* ARABIC </w:instrText>
      </w:r>
      <w:r w:rsidR="00E82516">
        <w:rPr>
          <w:noProof/>
        </w:rPr>
        <w:fldChar w:fldCharType="separate"/>
      </w:r>
      <w:r w:rsidR="00696C7F">
        <w:rPr>
          <w:noProof/>
        </w:rPr>
        <w:t>4</w:t>
      </w:r>
      <w:r w:rsidR="00E82516">
        <w:rPr>
          <w:noProof/>
        </w:rPr>
        <w:fldChar w:fldCharType="end"/>
      </w:r>
      <w:r>
        <w:t>:</w:t>
      </w:r>
      <w:r w:rsidR="007949FF">
        <w:t xml:space="preserve"> Operating Efficiency Calculation of Islamic Banks</w:t>
      </w:r>
      <w:bookmarkEnd w:id="127"/>
    </w:p>
    <w:tbl>
      <w:tblPr>
        <w:tblStyle w:val="TableGrid"/>
        <w:tblW w:w="5320" w:type="dxa"/>
        <w:tblLook w:val="04A0" w:firstRow="1" w:lastRow="0" w:firstColumn="1" w:lastColumn="0" w:noHBand="0" w:noVBand="1"/>
      </w:tblPr>
      <w:tblGrid>
        <w:gridCol w:w="3100"/>
        <w:gridCol w:w="960"/>
        <w:gridCol w:w="1260"/>
      </w:tblGrid>
      <w:tr w:rsidR="00F04015" w:rsidRPr="00F04015" w:rsidTr="00F04015">
        <w:trPr>
          <w:trHeight w:val="719"/>
        </w:trPr>
        <w:tc>
          <w:tcPr>
            <w:tcW w:w="3100" w:type="dxa"/>
            <w:noWrap/>
            <w:hideMark/>
          </w:tcPr>
          <w:p w:rsidR="00F04015" w:rsidRPr="00F04015" w:rsidRDefault="00F04015" w:rsidP="00F04015">
            <w:pPr>
              <w:rPr>
                <w:rFonts w:ascii="Calibri" w:eastAsia="Times New Roman" w:hAnsi="Calibri" w:cs="Calibri"/>
                <w:b/>
                <w:bCs/>
                <w:color w:val="000000"/>
                <w:lang w:eastAsia="en-GB"/>
              </w:rPr>
            </w:pPr>
            <w:r w:rsidRPr="00F04015">
              <w:rPr>
                <w:rFonts w:ascii="Calibri" w:eastAsia="Times New Roman" w:hAnsi="Calibri" w:cs="Calibri"/>
                <w:b/>
                <w:bCs/>
                <w:color w:val="000000"/>
                <w:lang w:eastAsia="en-GB"/>
              </w:rPr>
              <w:t>Bank Name</w:t>
            </w:r>
          </w:p>
        </w:tc>
        <w:tc>
          <w:tcPr>
            <w:tcW w:w="960" w:type="dxa"/>
            <w:hideMark/>
          </w:tcPr>
          <w:p w:rsidR="00F04015" w:rsidRPr="00F04015" w:rsidRDefault="00F04015" w:rsidP="00F04015">
            <w:pPr>
              <w:rPr>
                <w:rFonts w:ascii="Calibri" w:eastAsia="Times New Roman" w:hAnsi="Calibri" w:cs="Calibri"/>
                <w:b/>
                <w:bCs/>
                <w:color w:val="000000"/>
                <w:lang w:eastAsia="en-GB"/>
              </w:rPr>
            </w:pPr>
            <w:r w:rsidRPr="00F04015">
              <w:rPr>
                <w:rFonts w:ascii="Calibri" w:eastAsia="Times New Roman" w:hAnsi="Calibri" w:cs="Calibri"/>
                <w:b/>
                <w:bCs/>
                <w:color w:val="000000"/>
                <w:lang w:eastAsia="en-GB"/>
              </w:rPr>
              <w:t>Year</w:t>
            </w:r>
          </w:p>
        </w:tc>
        <w:tc>
          <w:tcPr>
            <w:tcW w:w="1260" w:type="dxa"/>
            <w:hideMark/>
          </w:tcPr>
          <w:p w:rsidR="00F04015" w:rsidRPr="00F04015" w:rsidRDefault="00F04015" w:rsidP="00F04015">
            <w:pPr>
              <w:rPr>
                <w:rFonts w:ascii="Calibri" w:eastAsia="Times New Roman" w:hAnsi="Calibri" w:cs="Calibri"/>
                <w:b/>
                <w:bCs/>
                <w:color w:val="000000"/>
                <w:lang w:eastAsia="en-GB"/>
              </w:rPr>
            </w:pPr>
            <w:r w:rsidRPr="00F04015">
              <w:rPr>
                <w:rFonts w:ascii="Calibri" w:eastAsia="Times New Roman" w:hAnsi="Calibri" w:cs="Calibri"/>
                <w:b/>
                <w:bCs/>
                <w:color w:val="000000"/>
                <w:lang w:eastAsia="en-GB"/>
              </w:rPr>
              <w:t>Operating Efficiency</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Bahrain Islamic Bank</w:t>
            </w:r>
          </w:p>
        </w:tc>
        <w:tc>
          <w:tcPr>
            <w:tcW w:w="9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2012</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1.69</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Bahrain Islamic Bank</w:t>
            </w:r>
          </w:p>
        </w:tc>
        <w:tc>
          <w:tcPr>
            <w:tcW w:w="9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2013</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4.84</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Bahrain Islamic Bank</w:t>
            </w:r>
          </w:p>
        </w:tc>
        <w:tc>
          <w:tcPr>
            <w:tcW w:w="9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2014</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2.35</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Bahrain Islamic Bank</w:t>
            </w:r>
          </w:p>
        </w:tc>
        <w:tc>
          <w:tcPr>
            <w:tcW w:w="9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2015</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0.24</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Bahrain Islamic Bank</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2016</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0.23</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Bahrain Islamic Bank</w:t>
            </w:r>
          </w:p>
        </w:tc>
        <w:tc>
          <w:tcPr>
            <w:tcW w:w="9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2017</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2.69</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HSBC Amanah Berhad</w:t>
            </w:r>
          </w:p>
        </w:tc>
        <w:tc>
          <w:tcPr>
            <w:tcW w:w="9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2012</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0.28</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HSBC Amanah Berhad</w:t>
            </w:r>
          </w:p>
        </w:tc>
        <w:tc>
          <w:tcPr>
            <w:tcW w:w="9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2013</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0.32</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HSBC Amanah Berhad</w:t>
            </w:r>
          </w:p>
        </w:tc>
        <w:tc>
          <w:tcPr>
            <w:tcW w:w="9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2014</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0.31</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HSBC Amanah Berhad</w:t>
            </w:r>
          </w:p>
        </w:tc>
        <w:tc>
          <w:tcPr>
            <w:tcW w:w="9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2015</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0.31</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HSBC Amanah Berhad</w:t>
            </w:r>
          </w:p>
        </w:tc>
        <w:tc>
          <w:tcPr>
            <w:tcW w:w="9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2016</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0.70</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HSBC Amanah Berhad</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2017</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0.69</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 xml:space="preserve">Islami Bank Bangladesh Limited </w:t>
            </w:r>
          </w:p>
        </w:tc>
        <w:tc>
          <w:tcPr>
            <w:tcW w:w="9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2012</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1.58</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 xml:space="preserve">Islami Bank Bangladesh Limited </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2013</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2.19</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 xml:space="preserve">Islami Bank Bangladesh Limited </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2014</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3.05</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 xml:space="preserve">Islami Bank Bangladesh Limited </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2015</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4.29</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 xml:space="preserve">Islami Bank Bangladesh Limited </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2016</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3.96</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 xml:space="preserve">Islami Bank Bangladesh Limited </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2017</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3.82</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Mashreq Bank</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2012</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0.60</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Mashreq Bank</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2013</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0.59</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Mashreq Bank</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2014</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0.52</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Mashreq Bank</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2015</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0.53</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Mashreq Bank</w:t>
            </w:r>
          </w:p>
        </w:tc>
        <w:tc>
          <w:tcPr>
            <w:tcW w:w="9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2016</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0.70</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Mashreq Bank</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2017</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0.68</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lang w:eastAsia="en-GB"/>
              </w:rPr>
            </w:pPr>
            <w:r w:rsidRPr="00F04015">
              <w:rPr>
                <w:rFonts w:ascii="Calibri" w:eastAsia="Times New Roman" w:hAnsi="Calibri" w:cs="Calibri"/>
                <w:lang w:eastAsia="en-GB"/>
              </w:rPr>
              <w:t>Al Hilal Bank</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2012</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6.81</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lang w:eastAsia="en-GB"/>
              </w:rPr>
            </w:pPr>
            <w:r w:rsidRPr="00F04015">
              <w:rPr>
                <w:rFonts w:ascii="Calibri" w:eastAsia="Times New Roman" w:hAnsi="Calibri" w:cs="Calibri"/>
                <w:lang w:eastAsia="en-GB"/>
              </w:rPr>
              <w:t>Al Hilal Bank</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2013</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4.32</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lang w:eastAsia="en-GB"/>
              </w:rPr>
            </w:pPr>
            <w:r w:rsidRPr="00F04015">
              <w:rPr>
                <w:rFonts w:ascii="Calibri" w:eastAsia="Times New Roman" w:hAnsi="Calibri" w:cs="Calibri"/>
                <w:lang w:eastAsia="en-GB"/>
              </w:rPr>
              <w:t>Al Hilal Bank</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2014</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2.24</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lang w:eastAsia="en-GB"/>
              </w:rPr>
            </w:pPr>
            <w:r w:rsidRPr="00F04015">
              <w:rPr>
                <w:rFonts w:ascii="Calibri" w:eastAsia="Times New Roman" w:hAnsi="Calibri" w:cs="Calibri"/>
                <w:lang w:eastAsia="en-GB"/>
              </w:rPr>
              <w:t>Al Hilal Bank</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2015</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8.20</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lang w:eastAsia="en-GB"/>
              </w:rPr>
            </w:pPr>
            <w:r w:rsidRPr="00F04015">
              <w:rPr>
                <w:rFonts w:ascii="Calibri" w:eastAsia="Times New Roman" w:hAnsi="Calibri" w:cs="Calibri"/>
                <w:lang w:eastAsia="en-GB"/>
              </w:rPr>
              <w:t>Al Hilal Bank</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2016</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6.88</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lang w:eastAsia="en-GB"/>
              </w:rPr>
            </w:pPr>
            <w:r w:rsidRPr="00F04015">
              <w:rPr>
                <w:rFonts w:ascii="Calibri" w:eastAsia="Times New Roman" w:hAnsi="Calibri" w:cs="Calibri"/>
                <w:lang w:eastAsia="en-GB"/>
              </w:rPr>
              <w:t>Al Hilal Bank</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2017</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3.01</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Qatar Islamic Bank</w:t>
            </w:r>
          </w:p>
        </w:tc>
        <w:tc>
          <w:tcPr>
            <w:tcW w:w="9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2012</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0.86</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Qatar Islamic Bank</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2013</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0.77</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Qatar Islamic Bank</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2014</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0.85</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lastRenderedPageBreak/>
              <w:t>Qatar Islamic Bank</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2015</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0.98</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Qatar Islamic Bank</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2016</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0.59</w:t>
            </w:r>
          </w:p>
        </w:tc>
      </w:tr>
      <w:tr w:rsidR="00F04015" w:rsidRPr="00F04015" w:rsidTr="00F04015">
        <w:trPr>
          <w:trHeight w:val="300"/>
        </w:trPr>
        <w:tc>
          <w:tcPr>
            <w:tcW w:w="3100" w:type="dxa"/>
            <w:noWrap/>
            <w:hideMark/>
          </w:tcPr>
          <w:p w:rsidR="00F04015" w:rsidRPr="00F04015" w:rsidRDefault="00F04015" w:rsidP="00F04015">
            <w:pPr>
              <w:rPr>
                <w:rFonts w:ascii="Calibri" w:eastAsia="Times New Roman" w:hAnsi="Calibri" w:cs="Calibri"/>
                <w:color w:val="000000"/>
                <w:lang w:eastAsia="en-GB"/>
              </w:rPr>
            </w:pPr>
            <w:r w:rsidRPr="00F04015">
              <w:rPr>
                <w:rFonts w:ascii="Calibri" w:eastAsia="Times New Roman" w:hAnsi="Calibri" w:cs="Calibri"/>
                <w:color w:val="000000"/>
                <w:lang w:eastAsia="en-GB"/>
              </w:rPr>
              <w:t>Qatar Islamic Bank</w:t>
            </w:r>
          </w:p>
        </w:tc>
        <w:tc>
          <w:tcPr>
            <w:tcW w:w="960" w:type="dxa"/>
            <w:noWrap/>
            <w:hideMark/>
          </w:tcPr>
          <w:p w:rsidR="00F04015" w:rsidRPr="00F04015" w:rsidRDefault="00F04015" w:rsidP="00F04015">
            <w:pPr>
              <w:jc w:val="right"/>
              <w:rPr>
                <w:rFonts w:ascii="Calibri" w:eastAsia="Times New Roman" w:hAnsi="Calibri" w:cs="Calibri"/>
                <w:lang w:eastAsia="en-GB"/>
              </w:rPr>
            </w:pPr>
            <w:r w:rsidRPr="00F04015">
              <w:rPr>
                <w:rFonts w:ascii="Calibri" w:eastAsia="Times New Roman" w:hAnsi="Calibri" w:cs="Calibri"/>
                <w:lang w:eastAsia="en-GB"/>
              </w:rPr>
              <w:t>2017</w:t>
            </w:r>
          </w:p>
        </w:tc>
        <w:tc>
          <w:tcPr>
            <w:tcW w:w="1260" w:type="dxa"/>
            <w:noWrap/>
            <w:hideMark/>
          </w:tcPr>
          <w:p w:rsidR="00F04015" w:rsidRPr="00F04015" w:rsidRDefault="00F04015" w:rsidP="00F04015">
            <w:pPr>
              <w:jc w:val="right"/>
              <w:rPr>
                <w:rFonts w:ascii="Calibri" w:eastAsia="Times New Roman" w:hAnsi="Calibri" w:cs="Calibri"/>
                <w:color w:val="000000"/>
                <w:lang w:eastAsia="en-GB"/>
              </w:rPr>
            </w:pPr>
            <w:r w:rsidRPr="00F04015">
              <w:rPr>
                <w:rFonts w:ascii="Calibri" w:eastAsia="Times New Roman" w:hAnsi="Calibri" w:cs="Calibri"/>
                <w:color w:val="000000"/>
                <w:lang w:eastAsia="en-GB"/>
              </w:rPr>
              <w:t>0.59</w:t>
            </w:r>
          </w:p>
        </w:tc>
      </w:tr>
    </w:tbl>
    <w:p w:rsidR="00F04015" w:rsidRDefault="00F04015" w:rsidP="00F04015">
      <w:pPr>
        <w:pStyle w:val="Caption"/>
      </w:pPr>
    </w:p>
    <w:p w:rsidR="0089595F" w:rsidRDefault="00F04015" w:rsidP="00F04015">
      <w:pPr>
        <w:pStyle w:val="Caption"/>
      </w:pPr>
      <w:bookmarkStart w:id="128" w:name="_Toc1403927"/>
      <w:r>
        <w:t xml:space="preserve">Figure </w:t>
      </w:r>
      <w:r w:rsidR="00E82516">
        <w:rPr>
          <w:noProof/>
        </w:rPr>
        <w:fldChar w:fldCharType="begin"/>
      </w:r>
      <w:r w:rsidR="0076213B">
        <w:rPr>
          <w:noProof/>
        </w:rPr>
        <w:instrText xml:space="preserve"> SEQ Figure \* ARABIC </w:instrText>
      </w:r>
      <w:r w:rsidR="00E82516">
        <w:rPr>
          <w:noProof/>
        </w:rPr>
        <w:fldChar w:fldCharType="separate"/>
      </w:r>
      <w:r w:rsidR="00940DAE">
        <w:rPr>
          <w:noProof/>
        </w:rPr>
        <w:t>2</w:t>
      </w:r>
      <w:r w:rsidR="00E82516">
        <w:rPr>
          <w:noProof/>
        </w:rPr>
        <w:fldChar w:fldCharType="end"/>
      </w:r>
      <w:r>
        <w:t>:</w:t>
      </w:r>
      <w:r w:rsidR="0089595F">
        <w:t xml:space="preserve"> Comparison between Conventional and Islamic Banks in terms of Operating Efficiency</w:t>
      </w:r>
      <w:bookmarkEnd w:id="128"/>
    </w:p>
    <w:p w:rsidR="007214F7" w:rsidRDefault="0089595F" w:rsidP="00F04015">
      <w:pPr>
        <w:pStyle w:val="Caption"/>
      </w:pPr>
      <w:r w:rsidRPr="0089595F">
        <w:rPr>
          <w:noProof/>
          <w:lang w:eastAsia="en-GB"/>
        </w:rPr>
        <w:drawing>
          <wp:inline distT="0" distB="0" distL="0" distR="0">
            <wp:extent cx="457200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7214F7" w:rsidRDefault="007214F7" w:rsidP="00F04015">
      <w:pPr>
        <w:pStyle w:val="Caption"/>
      </w:pPr>
    </w:p>
    <w:p w:rsidR="007214F7" w:rsidRDefault="007214F7" w:rsidP="007214F7">
      <w:pPr>
        <w:pStyle w:val="Caption"/>
      </w:pPr>
      <w:bookmarkStart w:id="129" w:name="_Toc1742370"/>
      <w:r>
        <w:t xml:space="preserve">Table </w:t>
      </w:r>
      <w:r w:rsidR="00E82516">
        <w:rPr>
          <w:noProof/>
        </w:rPr>
        <w:fldChar w:fldCharType="begin"/>
      </w:r>
      <w:r w:rsidR="0076213B">
        <w:rPr>
          <w:noProof/>
        </w:rPr>
        <w:instrText xml:space="preserve"> SEQ Table \* ARABIC </w:instrText>
      </w:r>
      <w:r w:rsidR="00E82516">
        <w:rPr>
          <w:noProof/>
        </w:rPr>
        <w:fldChar w:fldCharType="separate"/>
      </w:r>
      <w:r w:rsidR="00696C7F">
        <w:rPr>
          <w:noProof/>
        </w:rPr>
        <w:t>5</w:t>
      </w:r>
      <w:r w:rsidR="00E82516">
        <w:rPr>
          <w:noProof/>
        </w:rPr>
        <w:fldChar w:fldCharType="end"/>
      </w:r>
      <w:r>
        <w:t>:</w:t>
      </w:r>
      <w:r w:rsidR="007949FF">
        <w:t xml:space="preserve"> Calculation on Debt to Capital and Debt to Equity Ratios of Conventional Banks</w:t>
      </w:r>
      <w:bookmarkEnd w:id="129"/>
    </w:p>
    <w:tbl>
      <w:tblPr>
        <w:tblStyle w:val="TableGrid"/>
        <w:tblW w:w="6520" w:type="dxa"/>
        <w:tblLook w:val="04A0" w:firstRow="1" w:lastRow="0" w:firstColumn="1" w:lastColumn="0" w:noHBand="0" w:noVBand="1"/>
      </w:tblPr>
      <w:tblGrid>
        <w:gridCol w:w="3100"/>
        <w:gridCol w:w="960"/>
        <w:gridCol w:w="1260"/>
        <w:gridCol w:w="1200"/>
      </w:tblGrid>
      <w:tr w:rsidR="007214F7" w:rsidTr="007214F7">
        <w:trPr>
          <w:trHeight w:val="774"/>
        </w:trPr>
        <w:tc>
          <w:tcPr>
            <w:tcW w:w="3100" w:type="dxa"/>
            <w:noWrap/>
            <w:hideMark/>
          </w:tcPr>
          <w:p w:rsidR="007214F7" w:rsidRDefault="007214F7">
            <w:pPr>
              <w:rPr>
                <w:rFonts w:ascii="Calibri" w:hAnsi="Calibri" w:cs="Calibri"/>
                <w:b/>
                <w:bCs/>
                <w:color w:val="000000"/>
              </w:rPr>
            </w:pPr>
            <w:r>
              <w:rPr>
                <w:rFonts w:ascii="Calibri" w:hAnsi="Calibri" w:cs="Calibri"/>
                <w:b/>
                <w:bCs/>
                <w:color w:val="000000"/>
              </w:rPr>
              <w:t xml:space="preserve">Bank Name </w:t>
            </w:r>
          </w:p>
        </w:tc>
        <w:tc>
          <w:tcPr>
            <w:tcW w:w="960" w:type="dxa"/>
            <w:hideMark/>
          </w:tcPr>
          <w:p w:rsidR="007214F7" w:rsidRDefault="007214F7">
            <w:pPr>
              <w:rPr>
                <w:rFonts w:ascii="Calibri" w:hAnsi="Calibri" w:cs="Calibri"/>
                <w:b/>
                <w:bCs/>
                <w:color w:val="000000"/>
              </w:rPr>
            </w:pPr>
            <w:r>
              <w:rPr>
                <w:rFonts w:ascii="Calibri" w:hAnsi="Calibri" w:cs="Calibri"/>
                <w:b/>
                <w:bCs/>
                <w:color w:val="000000"/>
              </w:rPr>
              <w:t>Year</w:t>
            </w:r>
          </w:p>
        </w:tc>
        <w:tc>
          <w:tcPr>
            <w:tcW w:w="1260" w:type="dxa"/>
            <w:hideMark/>
          </w:tcPr>
          <w:p w:rsidR="007214F7" w:rsidRDefault="007214F7">
            <w:pPr>
              <w:rPr>
                <w:rFonts w:ascii="Calibri" w:hAnsi="Calibri" w:cs="Calibri"/>
                <w:b/>
                <w:bCs/>
                <w:color w:val="000000"/>
              </w:rPr>
            </w:pPr>
            <w:r>
              <w:rPr>
                <w:rFonts w:ascii="Calibri" w:hAnsi="Calibri" w:cs="Calibri"/>
                <w:b/>
                <w:bCs/>
                <w:color w:val="000000"/>
              </w:rPr>
              <w:t>Debt to Capital Ratio</w:t>
            </w:r>
          </w:p>
        </w:tc>
        <w:tc>
          <w:tcPr>
            <w:tcW w:w="1200" w:type="dxa"/>
            <w:hideMark/>
          </w:tcPr>
          <w:p w:rsidR="007214F7" w:rsidRDefault="007214F7">
            <w:pPr>
              <w:rPr>
                <w:rFonts w:ascii="Calibri" w:hAnsi="Calibri" w:cs="Calibri"/>
                <w:b/>
                <w:bCs/>
                <w:color w:val="000000"/>
              </w:rPr>
            </w:pPr>
            <w:r>
              <w:rPr>
                <w:rFonts w:ascii="Calibri" w:hAnsi="Calibri" w:cs="Calibri"/>
                <w:b/>
                <w:bCs/>
                <w:color w:val="000000"/>
              </w:rPr>
              <w:t>Debt to Equity Ratio</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JP Morgan Chase &amp; Co.</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0.91</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10.56</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JP Morgan Chase &amp; Co.</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0.91</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10.44</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JP Morgan Chase &amp; Co.</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0.91</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10.10</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JP Morgan Chase &amp; Co.</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2015</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0.89</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8.50</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JP Morgan Chase &amp; Co.</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2016</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0.90</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8.80</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JP Morgan Chase &amp; Co.</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2017</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0.90</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8.91</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Barclays PLC</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0.96</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23.81</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Barclays PLC</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0.95</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19.52</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Barclays PLC</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0.95</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19.59</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Barclays PLC</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2015</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16.00</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Barclays PLC</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2016</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16.00</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Barclays PLC</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2017</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16.17</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HSBC</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14.32</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HSBC</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13.64</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HSBC</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12.78</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HSBC</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2015</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11.74</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HSBC</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2016</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12.50</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HSBC</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2017</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12.21</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Westpac</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14.18</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Westpac</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15.67</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Westpac</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14.89</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lastRenderedPageBreak/>
              <w:t>Westpac</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2015</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14.28</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Westpac</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2016</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13.97</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Westpac</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2017</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13.50</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Bank of America</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0.86</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6.01</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Bank of America</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0.85</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5.90</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Bank of America</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0.88</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7.64</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Bank of America</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2015</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0.88</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7.37</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Bank of America</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2016</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0.89</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8.22</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Bank of America</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2017</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0.88</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7.54</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Axis Bank Ltd.</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11.58</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Axis Bank Ltd.</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0.90</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9.27</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Axis Bank Ltd.</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0.90</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9.03</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Axis Bank Ltd.</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2015</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0.90</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9.34</w:t>
            </w:r>
          </w:p>
        </w:tc>
      </w:tr>
      <w:tr w:rsidR="007214F7" w:rsidTr="007214F7">
        <w:trPr>
          <w:trHeight w:val="315"/>
        </w:trPr>
        <w:tc>
          <w:tcPr>
            <w:tcW w:w="0" w:type="auto"/>
            <w:noWrap/>
            <w:hideMark/>
          </w:tcPr>
          <w:p w:rsidR="007214F7" w:rsidRDefault="007214F7">
            <w:pPr>
              <w:rPr>
                <w:rFonts w:ascii="Calibri" w:hAnsi="Calibri" w:cs="Calibri"/>
                <w:color w:val="000000"/>
              </w:rPr>
            </w:pPr>
            <w:r>
              <w:rPr>
                <w:rFonts w:ascii="Calibri" w:hAnsi="Calibri" w:cs="Calibri"/>
                <w:color w:val="000000"/>
              </w:rPr>
              <w:t>Axis Bank Ltd.</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2016</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0.90</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9.15</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Axis Bank Ltd.</w:t>
            </w:r>
          </w:p>
        </w:tc>
        <w:tc>
          <w:tcPr>
            <w:tcW w:w="960" w:type="dxa"/>
            <w:hideMark/>
          </w:tcPr>
          <w:p w:rsidR="007214F7" w:rsidRDefault="007214F7">
            <w:pPr>
              <w:jc w:val="right"/>
              <w:rPr>
                <w:rFonts w:ascii="Calibri" w:hAnsi="Calibri" w:cs="Calibri"/>
                <w:color w:val="000000"/>
              </w:rPr>
            </w:pPr>
            <w:r>
              <w:rPr>
                <w:rFonts w:ascii="Calibri" w:hAnsi="Calibri" w:cs="Calibri"/>
                <w:color w:val="000000"/>
              </w:rPr>
              <w:t>2017</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0.91</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9.79</w:t>
            </w:r>
          </w:p>
        </w:tc>
      </w:tr>
    </w:tbl>
    <w:p w:rsidR="007214F7" w:rsidRDefault="007214F7" w:rsidP="00F04015">
      <w:pPr>
        <w:pStyle w:val="Caption"/>
      </w:pPr>
    </w:p>
    <w:p w:rsidR="007214F7" w:rsidRDefault="007214F7" w:rsidP="007214F7">
      <w:pPr>
        <w:pStyle w:val="Caption"/>
      </w:pPr>
      <w:bookmarkStart w:id="130" w:name="_Toc1742371"/>
      <w:r>
        <w:t xml:space="preserve">Table </w:t>
      </w:r>
      <w:r w:rsidR="00E82516">
        <w:rPr>
          <w:noProof/>
        </w:rPr>
        <w:fldChar w:fldCharType="begin"/>
      </w:r>
      <w:r w:rsidR="0076213B">
        <w:rPr>
          <w:noProof/>
        </w:rPr>
        <w:instrText xml:space="preserve"> SEQ Table \* ARABIC </w:instrText>
      </w:r>
      <w:r w:rsidR="00E82516">
        <w:rPr>
          <w:noProof/>
        </w:rPr>
        <w:fldChar w:fldCharType="separate"/>
      </w:r>
      <w:r w:rsidR="00696C7F">
        <w:rPr>
          <w:noProof/>
        </w:rPr>
        <w:t>6</w:t>
      </w:r>
      <w:r w:rsidR="00E82516">
        <w:rPr>
          <w:noProof/>
        </w:rPr>
        <w:fldChar w:fldCharType="end"/>
      </w:r>
      <w:r>
        <w:t>:</w:t>
      </w:r>
      <w:r w:rsidR="007949FF">
        <w:t xml:space="preserve"> Calculation on Debt to Capital and Debt to Equity Ratios of Islamic Banks</w:t>
      </w:r>
      <w:bookmarkEnd w:id="130"/>
    </w:p>
    <w:tbl>
      <w:tblPr>
        <w:tblStyle w:val="TableGrid"/>
        <w:tblW w:w="6520" w:type="dxa"/>
        <w:tblLook w:val="04A0" w:firstRow="1" w:lastRow="0" w:firstColumn="1" w:lastColumn="0" w:noHBand="0" w:noVBand="1"/>
      </w:tblPr>
      <w:tblGrid>
        <w:gridCol w:w="3100"/>
        <w:gridCol w:w="960"/>
        <w:gridCol w:w="1260"/>
        <w:gridCol w:w="1200"/>
      </w:tblGrid>
      <w:tr w:rsidR="007214F7" w:rsidTr="007214F7">
        <w:trPr>
          <w:trHeight w:val="900"/>
        </w:trPr>
        <w:tc>
          <w:tcPr>
            <w:tcW w:w="3100" w:type="dxa"/>
            <w:noWrap/>
            <w:hideMark/>
          </w:tcPr>
          <w:p w:rsidR="007214F7" w:rsidRDefault="007214F7">
            <w:pPr>
              <w:rPr>
                <w:rFonts w:ascii="Calibri" w:hAnsi="Calibri" w:cs="Calibri"/>
                <w:b/>
                <w:bCs/>
                <w:color w:val="000000"/>
              </w:rPr>
            </w:pPr>
            <w:r>
              <w:rPr>
                <w:rFonts w:ascii="Calibri" w:hAnsi="Calibri" w:cs="Calibri"/>
                <w:b/>
                <w:bCs/>
                <w:color w:val="000000"/>
              </w:rPr>
              <w:t>Bank Name</w:t>
            </w:r>
          </w:p>
        </w:tc>
        <w:tc>
          <w:tcPr>
            <w:tcW w:w="960" w:type="dxa"/>
            <w:hideMark/>
          </w:tcPr>
          <w:p w:rsidR="007214F7" w:rsidRDefault="007214F7">
            <w:pPr>
              <w:rPr>
                <w:rFonts w:ascii="Calibri" w:hAnsi="Calibri" w:cs="Calibri"/>
                <w:b/>
                <w:bCs/>
                <w:color w:val="000000"/>
              </w:rPr>
            </w:pPr>
            <w:r>
              <w:rPr>
                <w:rFonts w:ascii="Calibri" w:hAnsi="Calibri" w:cs="Calibri"/>
                <w:b/>
                <w:bCs/>
                <w:color w:val="000000"/>
              </w:rPr>
              <w:t>Year</w:t>
            </w:r>
          </w:p>
        </w:tc>
        <w:tc>
          <w:tcPr>
            <w:tcW w:w="1260" w:type="dxa"/>
            <w:hideMark/>
          </w:tcPr>
          <w:p w:rsidR="007214F7" w:rsidRDefault="007214F7">
            <w:pPr>
              <w:rPr>
                <w:rFonts w:ascii="Calibri" w:hAnsi="Calibri" w:cs="Calibri"/>
                <w:b/>
                <w:bCs/>
                <w:color w:val="000000"/>
              </w:rPr>
            </w:pPr>
            <w:r>
              <w:rPr>
                <w:rFonts w:ascii="Calibri" w:hAnsi="Calibri" w:cs="Calibri"/>
                <w:b/>
                <w:bCs/>
                <w:color w:val="000000"/>
              </w:rPr>
              <w:t>Debt to Capital Ratio</w:t>
            </w:r>
          </w:p>
        </w:tc>
        <w:tc>
          <w:tcPr>
            <w:tcW w:w="1200" w:type="dxa"/>
            <w:hideMark/>
          </w:tcPr>
          <w:p w:rsidR="007214F7" w:rsidRDefault="007214F7">
            <w:pPr>
              <w:rPr>
                <w:rFonts w:ascii="Calibri" w:hAnsi="Calibri" w:cs="Calibri"/>
                <w:b/>
                <w:bCs/>
                <w:color w:val="000000"/>
              </w:rPr>
            </w:pPr>
            <w:r>
              <w:rPr>
                <w:rFonts w:ascii="Calibri" w:hAnsi="Calibri" w:cs="Calibri"/>
                <w:b/>
                <w:bCs/>
                <w:color w:val="000000"/>
              </w:rPr>
              <w:t xml:space="preserve"> Debt to Equity Ratio</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Bahrain Islamic Bank</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2012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0.12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0.14</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Bahrain Islamic Bank</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2013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0.13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0.15</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Bahrain Islamic Bank</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2014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0.91</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10.07</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Bahrain Islamic Bank</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2015</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0.89</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7.92</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Bahrain Islamic Bank</w:t>
            </w:r>
          </w:p>
        </w:tc>
        <w:tc>
          <w:tcPr>
            <w:tcW w:w="0" w:type="auto"/>
            <w:noWrap/>
            <w:hideMark/>
          </w:tcPr>
          <w:p w:rsidR="007214F7" w:rsidRDefault="007214F7">
            <w:pPr>
              <w:jc w:val="right"/>
              <w:rPr>
                <w:rFonts w:ascii="Calibri" w:hAnsi="Calibri" w:cs="Calibri"/>
              </w:rPr>
            </w:pPr>
            <w:r>
              <w:rPr>
                <w:rFonts w:ascii="Calibri" w:hAnsi="Calibri" w:cs="Calibri"/>
              </w:rPr>
              <w:t>2016</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0.89</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7.77</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Bahrain Islamic Bank</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2017</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0.90</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9.05</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HSBC Amanah Berhad</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2012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0.91</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10.68</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HSBC Amanah Berhad</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2013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11.37</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HSBC Amanah Berhad</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2014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11.42</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HSBC Amanah Berhad</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2015</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12.31</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HSBC Amanah Berhad</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2016</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0.91</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9.72</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HSBC Amanah Berhad</w:t>
            </w:r>
          </w:p>
        </w:tc>
        <w:tc>
          <w:tcPr>
            <w:tcW w:w="0" w:type="auto"/>
            <w:noWrap/>
            <w:hideMark/>
          </w:tcPr>
          <w:p w:rsidR="007214F7" w:rsidRDefault="007214F7">
            <w:pPr>
              <w:jc w:val="right"/>
              <w:rPr>
                <w:rFonts w:ascii="Calibri" w:hAnsi="Calibri" w:cs="Calibri"/>
              </w:rPr>
            </w:pPr>
            <w:r>
              <w:rPr>
                <w:rFonts w:ascii="Calibri" w:hAnsi="Calibri" w:cs="Calibri"/>
              </w:rPr>
              <w:t>2017</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0.91</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10.00</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 xml:space="preserve">Islami Bank Bangladesh Limited </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2012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11.17</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 xml:space="preserve">Islami Bank Bangladesh Limited </w:t>
            </w:r>
          </w:p>
        </w:tc>
        <w:tc>
          <w:tcPr>
            <w:tcW w:w="0" w:type="auto"/>
            <w:noWrap/>
            <w:hideMark/>
          </w:tcPr>
          <w:p w:rsidR="007214F7" w:rsidRDefault="007214F7">
            <w:pPr>
              <w:jc w:val="right"/>
              <w:rPr>
                <w:rFonts w:ascii="Calibri" w:hAnsi="Calibri" w:cs="Calibri"/>
              </w:rPr>
            </w:pPr>
            <w:r>
              <w:rPr>
                <w:rFonts w:ascii="Calibri" w:hAnsi="Calibri" w:cs="Calibri"/>
              </w:rPr>
              <w:t>2013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11.56</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 xml:space="preserve">Islami Bank Bangladesh Limited </w:t>
            </w:r>
          </w:p>
        </w:tc>
        <w:tc>
          <w:tcPr>
            <w:tcW w:w="0" w:type="auto"/>
            <w:noWrap/>
            <w:hideMark/>
          </w:tcPr>
          <w:p w:rsidR="007214F7" w:rsidRDefault="007214F7">
            <w:pPr>
              <w:jc w:val="right"/>
              <w:rPr>
                <w:rFonts w:ascii="Calibri" w:hAnsi="Calibri" w:cs="Calibri"/>
              </w:rPr>
            </w:pPr>
            <w:r>
              <w:rPr>
                <w:rFonts w:ascii="Calibri" w:hAnsi="Calibri" w:cs="Calibri"/>
              </w:rPr>
              <w:t>2014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12.99</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 xml:space="preserve">Islami Bank Bangladesh Limited </w:t>
            </w:r>
          </w:p>
        </w:tc>
        <w:tc>
          <w:tcPr>
            <w:tcW w:w="0" w:type="auto"/>
            <w:noWrap/>
            <w:hideMark/>
          </w:tcPr>
          <w:p w:rsidR="007214F7" w:rsidRDefault="007214F7">
            <w:pPr>
              <w:jc w:val="right"/>
              <w:rPr>
                <w:rFonts w:ascii="Calibri" w:hAnsi="Calibri" w:cs="Calibri"/>
              </w:rPr>
            </w:pPr>
            <w:r>
              <w:rPr>
                <w:rFonts w:ascii="Calibri" w:hAnsi="Calibri" w:cs="Calibri"/>
              </w:rPr>
              <w:t>2015</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14.35</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 xml:space="preserve">Islami Bank Bangladesh Limited </w:t>
            </w:r>
          </w:p>
        </w:tc>
        <w:tc>
          <w:tcPr>
            <w:tcW w:w="0" w:type="auto"/>
            <w:noWrap/>
            <w:hideMark/>
          </w:tcPr>
          <w:p w:rsidR="007214F7" w:rsidRDefault="007214F7">
            <w:pPr>
              <w:jc w:val="right"/>
              <w:rPr>
                <w:rFonts w:ascii="Calibri" w:hAnsi="Calibri" w:cs="Calibri"/>
              </w:rPr>
            </w:pPr>
            <w:r>
              <w:rPr>
                <w:rFonts w:ascii="Calibri" w:hAnsi="Calibri" w:cs="Calibri"/>
              </w:rPr>
              <w:t>2016</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15.87</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 xml:space="preserve">Islami Bank Bangladesh Limited </w:t>
            </w:r>
          </w:p>
        </w:tc>
        <w:tc>
          <w:tcPr>
            <w:tcW w:w="0" w:type="auto"/>
            <w:noWrap/>
            <w:hideMark/>
          </w:tcPr>
          <w:p w:rsidR="007214F7" w:rsidRDefault="007214F7">
            <w:pPr>
              <w:jc w:val="right"/>
              <w:rPr>
                <w:rFonts w:ascii="Calibri" w:hAnsi="Calibri" w:cs="Calibri"/>
              </w:rPr>
            </w:pPr>
            <w:r>
              <w:rPr>
                <w:rFonts w:ascii="Calibri" w:hAnsi="Calibri" w:cs="Calibri"/>
              </w:rPr>
              <w:t>2017</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16.76</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Mashreq Bank</w:t>
            </w:r>
          </w:p>
        </w:tc>
        <w:tc>
          <w:tcPr>
            <w:tcW w:w="0" w:type="auto"/>
            <w:noWrap/>
            <w:hideMark/>
          </w:tcPr>
          <w:p w:rsidR="007214F7" w:rsidRDefault="007214F7">
            <w:pPr>
              <w:jc w:val="right"/>
              <w:rPr>
                <w:rFonts w:ascii="Calibri" w:hAnsi="Calibri" w:cs="Calibri"/>
              </w:rPr>
            </w:pPr>
            <w:r>
              <w:rPr>
                <w:rFonts w:ascii="Calibri" w:hAnsi="Calibri" w:cs="Calibri"/>
              </w:rPr>
              <w:t>2012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4.53</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Mashreq Bank</w:t>
            </w:r>
          </w:p>
        </w:tc>
        <w:tc>
          <w:tcPr>
            <w:tcW w:w="0" w:type="auto"/>
            <w:noWrap/>
            <w:hideMark/>
          </w:tcPr>
          <w:p w:rsidR="007214F7" w:rsidRDefault="007214F7">
            <w:pPr>
              <w:jc w:val="right"/>
              <w:rPr>
                <w:rFonts w:ascii="Calibri" w:hAnsi="Calibri" w:cs="Calibri"/>
              </w:rPr>
            </w:pPr>
            <w:r>
              <w:rPr>
                <w:rFonts w:ascii="Calibri" w:hAnsi="Calibri" w:cs="Calibri"/>
              </w:rPr>
              <w:t>2013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4.93</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Mashreq Bank</w:t>
            </w:r>
          </w:p>
        </w:tc>
        <w:tc>
          <w:tcPr>
            <w:tcW w:w="0" w:type="auto"/>
            <w:noWrap/>
            <w:hideMark/>
          </w:tcPr>
          <w:p w:rsidR="007214F7" w:rsidRDefault="007214F7">
            <w:pPr>
              <w:jc w:val="right"/>
              <w:rPr>
                <w:rFonts w:ascii="Calibri" w:hAnsi="Calibri" w:cs="Calibri"/>
              </w:rPr>
            </w:pPr>
            <w:r>
              <w:rPr>
                <w:rFonts w:ascii="Calibri" w:hAnsi="Calibri" w:cs="Calibri"/>
              </w:rPr>
              <w:t>2014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5.26</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Mashreq Bank</w:t>
            </w:r>
          </w:p>
        </w:tc>
        <w:tc>
          <w:tcPr>
            <w:tcW w:w="0" w:type="auto"/>
            <w:noWrap/>
            <w:hideMark/>
          </w:tcPr>
          <w:p w:rsidR="007214F7" w:rsidRDefault="007214F7">
            <w:pPr>
              <w:jc w:val="right"/>
              <w:rPr>
                <w:rFonts w:ascii="Calibri" w:hAnsi="Calibri" w:cs="Calibri"/>
              </w:rPr>
            </w:pPr>
            <w:r>
              <w:rPr>
                <w:rFonts w:ascii="Calibri" w:hAnsi="Calibri" w:cs="Calibri"/>
              </w:rPr>
              <w:t>2015</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5.23</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Mashreq Bank</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2016</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0.50</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1.00</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Mashreq Bank</w:t>
            </w:r>
          </w:p>
        </w:tc>
        <w:tc>
          <w:tcPr>
            <w:tcW w:w="0" w:type="auto"/>
            <w:noWrap/>
            <w:hideMark/>
          </w:tcPr>
          <w:p w:rsidR="007214F7" w:rsidRDefault="007214F7">
            <w:pPr>
              <w:jc w:val="right"/>
              <w:rPr>
                <w:rFonts w:ascii="Calibri" w:hAnsi="Calibri" w:cs="Calibri"/>
              </w:rPr>
            </w:pPr>
            <w:r>
              <w:rPr>
                <w:rFonts w:ascii="Calibri" w:hAnsi="Calibri" w:cs="Calibri"/>
              </w:rPr>
              <w:t>2017</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0.72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2.59</w:t>
            </w:r>
          </w:p>
        </w:tc>
      </w:tr>
      <w:tr w:rsidR="007214F7" w:rsidTr="007214F7">
        <w:trPr>
          <w:trHeight w:val="300"/>
        </w:trPr>
        <w:tc>
          <w:tcPr>
            <w:tcW w:w="0" w:type="auto"/>
            <w:noWrap/>
            <w:hideMark/>
          </w:tcPr>
          <w:p w:rsidR="007214F7" w:rsidRDefault="007214F7">
            <w:pPr>
              <w:rPr>
                <w:rFonts w:ascii="Calibri" w:hAnsi="Calibri" w:cs="Calibri"/>
              </w:rPr>
            </w:pPr>
            <w:r>
              <w:rPr>
                <w:rFonts w:ascii="Calibri" w:hAnsi="Calibri" w:cs="Calibri"/>
              </w:rPr>
              <w:t>Al Hilal Bank</w:t>
            </w:r>
          </w:p>
        </w:tc>
        <w:tc>
          <w:tcPr>
            <w:tcW w:w="0" w:type="auto"/>
            <w:noWrap/>
            <w:hideMark/>
          </w:tcPr>
          <w:p w:rsidR="007214F7" w:rsidRDefault="007214F7">
            <w:pPr>
              <w:jc w:val="right"/>
              <w:rPr>
                <w:rFonts w:ascii="Calibri" w:hAnsi="Calibri" w:cs="Calibri"/>
              </w:rPr>
            </w:pPr>
            <w:r>
              <w:rPr>
                <w:rFonts w:ascii="Calibri" w:hAnsi="Calibri" w:cs="Calibri"/>
              </w:rPr>
              <w:t>2012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0.89</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8.19</w:t>
            </w:r>
          </w:p>
        </w:tc>
      </w:tr>
      <w:tr w:rsidR="007214F7" w:rsidTr="007214F7">
        <w:trPr>
          <w:trHeight w:val="300"/>
        </w:trPr>
        <w:tc>
          <w:tcPr>
            <w:tcW w:w="0" w:type="auto"/>
            <w:noWrap/>
            <w:hideMark/>
          </w:tcPr>
          <w:p w:rsidR="007214F7" w:rsidRDefault="007214F7">
            <w:pPr>
              <w:rPr>
                <w:rFonts w:ascii="Calibri" w:hAnsi="Calibri" w:cs="Calibri"/>
              </w:rPr>
            </w:pPr>
            <w:r>
              <w:rPr>
                <w:rFonts w:ascii="Calibri" w:hAnsi="Calibri" w:cs="Calibri"/>
              </w:rPr>
              <w:t>Al Hilal Bank</w:t>
            </w:r>
          </w:p>
        </w:tc>
        <w:tc>
          <w:tcPr>
            <w:tcW w:w="0" w:type="auto"/>
            <w:noWrap/>
            <w:hideMark/>
          </w:tcPr>
          <w:p w:rsidR="007214F7" w:rsidRDefault="007214F7">
            <w:pPr>
              <w:jc w:val="right"/>
              <w:rPr>
                <w:rFonts w:ascii="Calibri" w:hAnsi="Calibri" w:cs="Calibri"/>
              </w:rPr>
            </w:pPr>
            <w:r>
              <w:rPr>
                <w:rFonts w:ascii="Calibri" w:hAnsi="Calibri" w:cs="Calibri"/>
              </w:rPr>
              <w:t>2013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0.90</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8.84</w:t>
            </w:r>
          </w:p>
        </w:tc>
      </w:tr>
      <w:tr w:rsidR="007214F7" w:rsidTr="007214F7">
        <w:trPr>
          <w:trHeight w:val="300"/>
        </w:trPr>
        <w:tc>
          <w:tcPr>
            <w:tcW w:w="0" w:type="auto"/>
            <w:noWrap/>
            <w:hideMark/>
          </w:tcPr>
          <w:p w:rsidR="007214F7" w:rsidRDefault="007214F7">
            <w:pPr>
              <w:rPr>
                <w:rFonts w:ascii="Calibri" w:hAnsi="Calibri" w:cs="Calibri"/>
              </w:rPr>
            </w:pPr>
            <w:r>
              <w:rPr>
                <w:rFonts w:ascii="Calibri" w:hAnsi="Calibri" w:cs="Calibri"/>
              </w:rPr>
              <w:lastRenderedPageBreak/>
              <w:t>Al Hilal Bank</w:t>
            </w:r>
          </w:p>
        </w:tc>
        <w:tc>
          <w:tcPr>
            <w:tcW w:w="0" w:type="auto"/>
            <w:noWrap/>
            <w:hideMark/>
          </w:tcPr>
          <w:p w:rsidR="007214F7" w:rsidRDefault="007214F7">
            <w:pPr>
              <w:jc w:val="right"/>
              <w:rPr>
                <w:rFonts w:ascii="Calibri" w:hAnsi="Calibri" w:cs="Calibri"/>
              </w:rPr>
            </w:pPr>
            <w:r>
              <w:rPr>
                <w:rFonts w:ascii="Calibri" w:hAnsi="Calibri" w:cs="Calibri"/>
              </w:rPr>
              <w:t>2014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0.86</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6.25</w:t>
            </w:r>
          </w:p>
        </w:tc>
      </w:tr>
      <w:tr w:rsidR="007214F7" w:rsidTr="007214F7">
        <w:trPr>
          <w:trHeight w:val="300"/>
        </w:trPr>
        <w:tc>
          <w:tcPr>
            <w:tcW w:w="0" w:type="auto"/>
            <w:noWrap/>
            <w:hideMark/>
          </w:tcPr>
          <w:p w:rsidR="007214F7" w:rsidRDefault="007214F7">
            <w:pPr>
              <w:rPr>
                <w:rFonts w:ascii="Calibri" w:hAnsi="Calibri" w:cs="Calibri"/>
              </w:rPr>
            </w:pPr>
            <w:r>
              <w:rPr>
                <w:rFonts w:ascii="Calibri" w:hAnsi="Calibri" w:cs="Calibri"/>
              </w:rPr>
              <w:t>Al Hilal Bank</w:t>
            </w:r>
          </w:p>
        </w:tc>
        <w:tc>
          <w:tcPr>
            <w:tcW w:w="0" w:type="auto"/>
            <w:noWrap/>
            <w:hideMark/>
          </w:tcPr>
          <w:p w:rsidR="007214F7" w:rsidRDefault="007214F7">
            <w:pPr>
              <w:jc w:val="right"/>
              <w:rPr>
                <w:rFonts w:ascii="Calibri" w:hAnsi="Calibri" w:cs="Calibri"/>
              </w:rPr>
            </w:pPr>
            <w:r>
              <w:rPr>
                <w:rFonts w:ascii="Calibri" w:hAnsi="Calibri" w:cs="Calibri"/>
              </w:rPr>
              <w:t>2015</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0.86</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5.97</w:t>
            </w:r>
          </w:p>
        </w:tc>
      </w:tr>
      <w:tr w:rsidR="007214F7" w:rsidTr="007214F7">
        <w:trPr>
          <w:trHeight w:val="300"/>
        </w:trPr>
        <w:tc>
          <w:tcPr>
            <w:tcW w:w="0" w:type="auto"/>
            <w:noWrap/>
            <w:hideMark/>
          </w:tcPr>
          <w:p w:rsidR="007214F7" w:rsidRDefault="007214F7">
            <w:pPr>
              <w:rPr>
                <w:rFonts w:ascii="Calibri" w:hAnsi="Calibri" w:cs="Calibri"/>
              </w:rPr>
            </w:pPr>
            <w:r>
              <w:rPr>
                <w:rFonts w:ascii="Calibri" w:hAnsi="Calibri" w:cs="Calibri"/>
              </w:rPr>
              <w:t>Al Hilal Bank</w:t>
            </w:r>
          </w:p>
        </w:tc>
        <w:tc>
          <w:tcPr>
            <w:tcW w:w="0" w:type="auto"/>
            <w:noWrap/>
            <w:hideMark/>
          </w:tcPr>
          <w:p w:rsidR="007214F7" w:rsidRDefault="007214F7">
            <w:pPr>
              <w:jc w:val="right"/>
              <w:rPr>
                <w:rFonts w:ascii="Calibri" w:hAnsi="Calibri" w:cs="Calibri"/>
              </w:rPr>
            </w:pPr>
            <w:r>
              <w:rPr>
                <w:rFonts w:ascii="Calibri" w:hAnsi="Calibri" w:cs="Calibri"/>
              </w:rPr>
              <w:t>2016</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0.85</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5.76</w:t>
            </w:r>
          </w:p>
        </w:tc>
      </w:tr>
      <w:tr w:rsidR="007214F7" w:rsidTr="007214F7">
        <w:trPr>
          <w:trHeight w:val="300"/>
        </w:trPr>
        <w:tc>
          <w:tcPr>
            <w:tcW w:w="0" w:type="auto"/>
            <w:noWrap/>
            <w:hideMark/>
          </w:tcPr>
          <w:p w:rsidR="007214F7" w:rsidRDefault="007214F7">
            <w:pPr>
              <w:rPr>
                <w:rFonts w:ascii="Calibri" w:hAnsi="Calibri" w:cs="Calibri"/>
              </w:rPr>
            </w:pPr>
            <w:r>
              <w:rPr>
                <w:rFonts w:ascii="Calibri" w:hAnsi="Calibri" w:cs="Calibri"/>
              </w:rPr>
              <w:t>Al Hilal Bank</w:t>
            </w:r>
          </w:p>
        </w:tc>
        <w:tc>
          <w:tcPr>
            <w:tcW w:w="0" w:type="auto"/>
            <w:noWrap/>
            <w:hideMark/>
          </w:tcPr>
          <w:p w:rsidR="007214F7" w:rsidRDefault="007214F7">
            <w:pPr>
              <w:jc w:val="right"/>
              <w:rPr>
                <w:rFonts w:ascii="Calibri" w:hAnsi="Calibri" w:cs="Calibri"/>
              </w:rPr>
            </w:pPr>
            <w:r>
              <w:rPr>
                <w:rFonts w:ascii="Calibri" w:hAnsi="Calibri" w:cs="Calibri"/>
              </w:rPr>
              <w:t>2017</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0.87</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6.68</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Qatar Islamic Bank</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2012</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0.69</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2.27</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Qatar Islamic Bank</w:t>
            </w:r>
          </w:p>
        </w:tc>
        <w:tc>
          <w:tcPr>
            <w:tcW w:w="0" w:type="auto"/>
            <w:noWrap/>
            <w:hideMark/>
          </w:tcPr>
          <w:p w:rsidR="007214F7" w:rsidRDefault="007214F7">
            <w:pPr>
              <w:jc w:val="right"/>
              <w:rPr>
                <w:rFonts w:ascii="Calibri" w:hAnsi="Calibri" w:cs="Calibri"/>
              </w:rPr>
            </w:pPr>
            <w:r>
              <w:rPr>
                <w:rFonts w:ascii="Calibri" w:hAnsi="Calibri" w:cs="Calibri"/>
              </w:rPr>
              <w:t>2013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0.68</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2.17</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Qatar Islamic Bank</w:t>
            </w:r>
          </w:p>
        </w:tc>
        <w:tc>
          <w:tcPr>
            <w:tcW w:w="0" w:type="auto"/>
            <w:noWrap/>
            <w:hideMark/>
          </w:tcPr>
          <w:p w:rsidR="007214F7" w:rsidRDefault="007214F7">
            <w:pPr>
              <w:jc w:val="right"/>
              <w:rPr>
                <w:rFonts w:ascii="Calibri" w:hAnsi="Calibri" w:cs="Calibri"/>
              </w:rPr>
            </w:pPr>
            <w:r>
              <w:rPr>
                <w:rFonts w:ascii="Calibri" w:hAnsi="Calibri" w:cs="Calibri"/>
              </w:rPr>
              <w:t>2014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5.04</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Qatar Islamic Bank</w:t>
            </w:r>
          </w:p>
        </w:tc>
        <w:tc>
          <w:tcPr>
            <w:tcW w:w="0" w:type="auto"/>
            <w:noWrap/>
            <w:hideMark/>
          </w:tcPr>
          <w:p w:rsidR="007214F7" w:rsidRDefault="007214F7">
            <w:pPr>
              <w:jc w:val="right"/>
              <w:rPr>
                <w:rFonts w:ascii="Calibri" w:hAnsi="Calibri" w:cs="Calibri"/>
              </w:rPr>
            </w:pPr>
            <w:r>
              <w:rPr>
                <w:rFonts w:ascii="Calibri" w:hAnsi="Calibri" w:cs="Calibri"/>
              </w:rPr>
              <w:t>2015</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0.84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5.11</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Qatar Islamic Bank</w:t>
            </w:r>
          </w:p>
        </w:tc>
        <w:tc>
          <w:tcPr>
            <w:tcW w:w="0" w:type="auto"/>
            <w:noWrap/>
            <w:hideMark/>
          </w:tcPr>
          <w:p w:rsidR="007214F7" w:rsidRDefault="007214F7">
            <w:pPr>
              <w:jc w:val="right"/>
              <w:rPr>
                <w:rFonts w:ascii="Calibri" w:hAnsi="Calibri" w:cs="Calibri"/>
              </w:rPr>
            </w:pPr>
            <w:r>
              <w:rPr>
                <w:rFonts w:ascii="Calibri" w:hAnsi="Calibri" w:cs="Calibri"/>
              </w:rPr>
              <w:t>2016</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0.73</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2.70</w:t>
            </w:r>
          </w:p>
        </w:tc>
      </w:tr>
      <w:tr w:rsidR="007214F7" w:rsidTr="007214F7">
        <w:trPr>
          <w:trHeight w:val="300"/>
        </w:trPr>
        <w:tc>
          <w:tcPr>
            <w:tcW w:w="0" w:type="auto"/>
            <w:noWrap/>
            <w:hideMark/>
          </w:tcPr>
          <w:p w:rsidR="007214F7" w:rsidRDefault="007214F7">
            <w:pPr>
              <w:rPr>
                <w:rFonts w:ascii="Calibri" w:hAnsi="Calibri" w:cs="Calibri"/>
                <w:color w:val="000000"/>
              </w:rPr>
            </w:pPr>
            <w:r>
              <w:rPr>
                <w:rFonts w:ascii="Calibri" w:hAnsi="Calibri" w:cs="Calibri"/>
                <w:color w:val="000000"/>
              </w:rPr>
              <w:t>Qatar Islamic Bank</w:t>
            </w:r>
          </w:p>
        </w:tc>
        <w:tc>
          <w:tcPr>
            <w:tcW w:w="0" w:type="auto"/>
            <w:noWrap/>
            <w:hideMark/>
          </w:tcPr>
          <w:p w:rsidR="007214F7" w:rsidRDefault="007214F7">
            <w:pPr>
              <w:jc w:val="right"/>
              <w:rPr>
                <w:rFonts w:ascii="Calibri" w:hAnsi="Calibri" w:cs="Calibri"/>
              </w:rPr>
            </w:pPr>
            <w:r>
              <w:rPr>
                <w:rFonts w:ascii="Calibri" w:hAnsi="Calibri" w:cs="Calibri"/>
              </w:rPr>
              <w:t>2017</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0.74</w:t>
            </w:r>
          </w:p>
        </w:tc>
        <w:tc>
          <w:tcPr>
            <w:tcW w:w="0" w:type="auto"/>
            <w:noWrap/>
            <w:hideMark/>
          </w:tcPr>
          <w:p w:rsidR="007214F7" w:rsidRDefault="007214F7">
            <w:pPr>
              <w:jc w:val="right"/>
              <w:rPr>
                <w:rFonts w:ascii="Calibri" w:hAnsi="Calibri" w:cs="Calibri"/>
                <w:color w:val="000000"/>
              </w:rPr>
            </w:pPr>
            <w:r>
              <w:rPr>
                <w:rFonts w:ascii="Calibri" w:hAnsi="Calibri" w:cs="Calibri"/>
                <w:color w:val="000000"/>
              </w:rPr>
              <w:t>2.90</w:t>
            </w:r>
          </w:p>
        </w:tc>
      </w:tr>
    </w:tbl>
    <w:p w:rsidR="007214F7" w:rsidRDefault="007214F7" w:rsidP="00F04015">
      <w:pPr>
        <w:pStyle w:val="Caption"/>
      </w:pPr>
    </w:p>
    <w:p w:rsidR="007214F7" w:rsidRPr="007214F7" w:rsidRDefault="007214F7" w:rsidP="007214F7"/>
    <w:p w:rsidR="007214F7" w:rsidRDefault="007214F7" w:rsidP="007214F7">
      <w:pPr>
        <w:pStyle w:val="Caption"/>
      </w:pPr>
      <w:bookmarkStart w:id="131" w:name="_Toc1403928"/>
      <w:r>
        <w:t xml:space="preserve">Figure </w:t>
      </w:r>
      <w:r w:rsidR="00E82516">
        <w:rPr>
          <w:noProof/>
        </w:rPr>
        <w:fldChar w:fldCharType="begin"/>
      </w:r>
      <w:r w:rsidR="0076213B">
        <w:rPr>
          <w:noProof/>
        </w:rPr>
        <w:instrText xml:space="preserve"> SEQ Figure \* ARABIC </w:instrText>
      </w:r>
      <w:r w:rsidR="00E82516">
        <w:rPr>
          <w:noProof/>
        </w:rPr>
        <w:fldChar w:fldCharType="separate"/>
      </w:r>
      <w:r w:rsidR="00940DAE">
        <w:rPr>
          <w:noProof/>
        </w:rPr>
        <w:t>3</w:t>
      </w:r>
      <w:r w:rsidR="00E82516">
        <w:rPr>
          <w:noProof/>
        </w:rPr>
        <w:fldChar w:fldCharType="end"/>
      </w:r>
      <w:r>
        <w:t>: Comparison between Conventional and Islamic Banks in terms of Debt to Capital Ratio</w:t>
      </w:r>
      <w:bookmarkEnd w:id="131"/>
    </w:p>
    <w:p w:rsidR="007214F7" w:rsidRDefault="007214F7" w:rsidP="00F04015">
      <w:pPr>
        <w:pStyle w:val="Caption"/>
      </w:pPr>
      <w:r w:rsidRPr="007214F7">
        <w:rPr>
          <w:noProof/>
          <w:lang w:eastAsia="en-GB"/>
        </w:rPr>
        <w:drawing>
          <wp:inline distT="0" distB="0" distL="0" distR="0">
            <wp:extent cx="4692799" cy="3044415"/>
            <wp:effectExtent l="19050" t="0" r="12551" b="3585"/>
            <wp:docPr id="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7949FF" w:rsidRDefault="007949FF">
      <w:pPr>
        <w:rPr>
          <w:b/>
          <w:bCs/>
          <w:color w:val="4F81BD" w:themeColor="accent1"/>
          <w:sz w:val="18"/>
          <w:szCs w:val="18"/>
        </w:rPr>
      </w:pPr>
      <w:bookmarkStart w:id="132" w:name="_Toc1403929"/>
    </w:p>
    <w:p w:rsidR="007214F7" w:rsidRDefault="007214F7" w:rsidP="007214F7">
      <w:pPr>
        <w:pStyle w:val="Caption"/>
      </w:pPr>
      <w:r>
        <w:t xml:space="preserve">Figure </w:t>
      </w:r>
      <w:r w:rsidR="00E82516">
        <w:rPr>
          <w:noProof/>
        </w:rPr>
        <w:fldChar w:fldCharType="begin"/>
      </w:r>
      <w:r w:rsidR="0076213B">
        <w:rPr>
          <w:noProof/>
        </w:rPr>
        <w:instrText xml:space="preserve"> SEQ Figure \* ARABIC </w:instrText>
      </w:r>
      <w:r w:rsidR="00E82516">
        <w:rPr>
          <w:noProof/>
        </w:rPr>
        <w:fldChar w:fldCharType="separate"/>
      </w:r>
      <w:r w:rsidR="00940DAE">
        <w:rPr>
          <w:noProof/>
        </w:rPr>
        <w:t>4</w:t>
      </w:r>
      <w:r w:rsidR="00E82516">
        <w:rPr>
          <w:noProof/>
        </w:rPr>
        <w:fldChar w:fldCharType="end"/>
      </w:r>
      <w:r>
        <w:t>: Comparison between Conventional and Islamic Banks in terms of Debt to Equity Ratio</w:t>
      </w:r>
      <w:bookmarkEnd w:id="132"/>
    </w:p>
    <w:p w:rsidR="00A37016" w:rsidRDefault="007214F7" w:rsidP="00F04015">
      <w:pPr>
        <w:pStyle w:val="Caption"/>
      </w:pPr>
      <w:r w:rsidRPr="007214F7">
        <w:rPr>
          <w:noProof/>
          <w:lang w:eastAsia="en-GB"/>
        </w:rPr>
        <w:lastRenderedPageBreak/>
        <w:drawing>
          <wp:inline distT="0" distB="0" distL="0" distR="0">
            <wp:extent cx="4402343" cy="3076687"/>
            <wp:effectExtent l="19050" t="0" r="17257" b="9413"/>
            <wp:docPr id="6"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A37016" w:rsidRDefault="00A37016" w:rsidP="00F04015">
      <w:pPr>
        <w:pStyle w:val="Caption"/>
      </w:pPr>
    </w:p>
    <w:p w:rsidR="00A37016" w:rsidRDefault="00940DAE" w:rsidP="00940DAE">
      <w:pPr>
        <w:pStyle w:val="Caption"/>
      </w:pPr>
      <w:bookmarkStart w:id="133" w:name="_Toc1742372"/>
      <w:r>
        <w:t xml:space="preserve">Table </w:t>
      </w:r>
      <w:r w:rsidR="00E82516">
        <w:rPr>
          <w:noProof/>
        </w:rPr>
        <w:fldChar w:fldCharType="begin"/>
      </w:r>
      <w:r w:rsidR="00291891">
        <w:rPr>
          <w:noProof/>
        </w:rPr>
        <w:instrText xml:space="preserve"> SEQ Table \* ARABIC </w:instrText>
      </w:r>
      <w:r w:rsidR="00E82516">
        <w:rPr>
          <w:noProof/>
        </w:rPr>
        <w:fldChar w:fldCharType="separate"/>
      </w:r>
      <w:r w:rsidR="00696C7F">
        <w:rPr>
          <w:noProof/>
        </w:rPr>
        <w:t>7</w:t>
      </w:r>
      <w:r w:rsidR="00E82516">
        <w:rPr>
          <w:noProof/>
        </w:rPr>
        <w:fldChar w:fldCharType="end"/>
      </w:r>
      <w:r>
        <w:t>:</w:t>
      </w:r>
      <w:r w:rsidR="00CC21DD">
        <w:t>Capital Adequacy Ratio of Conventional Banks</w:t>
      </w:r>
      <w:bookmarkEnd w:id="133"/>
    </w:p>
    <w:tbl>
      <w:tblPr>
        <w:tblStyle w:val="TableGrid"/>
        <w:tblW w:w="5320" w:type="dxa"/>
        <w:tblLook w:val="04A0" w:firstRow="1" w:lastRow="0" w:firstColumn="1" w:lastColumn="0" w:noHBand="0" w:noVBand="1"/>
      </w:tblPr>
      <w:tblGrid>
        <w:gridCol w:w="3100"/>
        <w:gridCol w:w="960"/>
        <w:gridCol w:w="1260"/>
      </w:tblGrid>
      <w:tr w:rsidR="00A37016" w:rsidRPr="00A37016" w:rsidTr="00A37016">
        <w:trPr>
          <w:trHeight w:val="600"/>
        </w:trPr>
        <w:tc>
          <w:tcPr>
            <w:tcW w:w="3100" w:type="dxa"/>
            <w:noWrap/>
            <w:hideMark/>
          </w:tcPr>
          <w:p w:rsidR="00A37016" w:rsidRPr="00A37016" w:rsidRDefault="00A37016" w:rsidP="00A37016">
            <w:pPr>
              <w:rPr>
                <w:rFonts w:ascii="Calibri" w:eastAsia="Times New Roman" w:hAnsi="Calibri" w:cs="Calibri"/>
                <w:b/>
                <w:bCs/>
                <w:color w:val="000000"/>
                <w:lang w:eastAsia="en-GB"/>
              </w:rPr>
            </w:pPr>
            <w:r w:rsidRPr="00A37016">
              <w:rPr>
                <w:rFonts w:ascii="Calibri" w:eastAsia="Times New Roman" w:hAnsi="Calibri" w:cs="Calibri"/>
                <w:b/>
                <w:bCs/>
                <w:color w:val="000000"/>
                <w:lang w:eastAsia="en-GB"/>
              </w:rPr>
              <w:t xml:space="preserve">Bank Name </w:t>
            </w:r>
          </w:p>
        </w:tc>
        <w:tc>
          <w:tcPr>
            <w:tcW w:w="960" w:type="dxa"/>
            <w:hideMark/>
          </w:tcPr>
          <w:p w:rsidR="00A37016" w:rsidRPr="00A37016" w:rsidRDefault="00A37016" w:rsidP="00A37016">
            <w:pPr>
              <w:rPr>
                <w:rFonts w:ascii="Calibri" w:eastAsia="Times New Roman" w:hAnsi="Calibri" w:cs="Calibri"/>
                <w:b/>
                <w:bCs/>
                <w:color w:val="000000"/>
                <w:lang w:eastAsia="en-GB"/>
              </w:rPr>
            </w:pPr>
            <w:r w:rsidRPr="00A37016">
              <w:rPr>
                <w:rFonts w:ascii="Calibri" w:eastAsia="Times New Roman" w:hAnsi="Calibri" w:cs="Calibri"/>
                <w:b/>
                <w:bCs/>
                <w:color w:val="000000"/>
                <w:lang w:eastAsia="en-GB"/>
              </w:rPr>
              <w:t>Year</w:t>
            </w:r>
          </w:p>
        </w:tc>
        <w:tc>
          <w:tcPr>
            <w:tcW w:w="1260" w:type="dxa"/>
            <w:hideMark/>
          </w:tcPr>
          <w:p w:rsidR="00A37016" w:rsidRPr="00A37016" w:rsidRDefault="00A37016" w:rsidP="00A37016">
            <w:pPr>
              <w:rPr>
                <w:rFonts w:ascii="Calibri" w:eastAsia="Times New Roman" w:hAnsi="Calibri" w:cs="Calibri"/>
                <w:b/>
                <w:bCs/>
                <w:color w:val="000000"/>
                <w:lang w:eastAsia="en-GB"/>
              </w:rPr>
            </w:pPr>
            <w:r w:rsidRPr="00A37016">
              <w:rPr>
                <w:rFonts w:ascii="Calibri" w:eastAsia="Times New Roman" w:hAnsi="Calibri" w:cs="Calibri"/>
                <w:b/>
                <w:bCs/>
                <w:color w:val="000000"/>
                <w:lang w:eastAsia="en-GB"/>
              </w:rPr>
              <w:t xml:space="preserve">Capital Adequacy </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JP Morgan Chase &amp; Co.</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0.15</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JP Morgan Chase &amp; Co.</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2013</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0.13</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JP Morgan Chase &amp; Co.</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2014</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0.15</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JP Morgan Chase &amp; Co.</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2015</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0.16</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JP Morgan Chase &amp; Co.</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2016</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0.16</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JP Morgan Chase &amp; Co.</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2017</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0.15</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Barclays PLC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0.17</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Barclays PLC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2013</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0.20</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Barclays PLC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2014</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0.29</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Barclays PLC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2015</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0.33</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Barclays PLC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2016</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0.35</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Barclays PLC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2017</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0.39</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0.16</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2013</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0.18</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2014</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0.16</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2015</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0.17</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2016</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0.20</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2017</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0.21</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Westpac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0.12</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Westpac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2013</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0.12</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Westpac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2014</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0.12</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Westpac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2015</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0.13</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Westpac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2016</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0.13</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Westpac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2017</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0.15</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Bank of America</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0.14</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Bank of America</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2013</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0.15</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lastRenderedPageBreak/>
              <w:t>Bank of America</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2014</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0.14</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Bank of America</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2015</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0.13</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Bank of America</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2016</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0.14</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Bank of America</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2017</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0.15</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Axis Bank Ltd.</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0.14</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Axis Bank Ltd.</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2013</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0.17</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Axis Bank Ltd.</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2014</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0.16</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Axis Bank Ltd.</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2015</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0.15</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Axis Bank Ltd.</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2016</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0.25</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Axis Bank Ltd.</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2017</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0.23</w:t>
            </w:r>
          </w:p>
        </w:tc>
      </w:tr>
    </w:tbl>
    <w:p w:rsidR="00A37016" w:rsidRDefault="00A37016" w:rsidP="00F04015">
      <w:pPr>
        <w:pStyle w:val="Caption"/>
      </w:pPr>
    </w:p>
    <w:p w:rsidR="00A37016" w:rsidRDefault="00940DAE" w:rsidP="00940DAE">
      <w:pPr>
        <w:pStyle w:val="Caption"/>
      </w:pPr>
      <w:bookmarkStart w:id="134" w:name="_Toc1742373"/>
      <w:r>
        <w:t xml:space="preserve">Table </w:t>
      </w:r>
      <w:r w:rsidR="00E82516">
        <w:rPr>
          <w:noProof/>
        </w:rPr>
        <w:fldChar w:fldCharType="begin"/>
      </w:r>
      <w:r w:rsidR="00291891">
        <w:rPr>
          <w:noProof/>
        </w:rPr>
        <w:instrText xml:space="preserve"> SEQ Table \* ARABIC </w:instrText>
      </w:r>
      <w:r w:rsidR="00E82516">
        <w:rPr>
          <w:noProof/>
        </w:rPr>
        <w:fldChar w:fldCharType="separate"/>
      </w:r>
      <w:r w:rsidR="00696C7F">
        <w:rPr>
          <w:noProof/>
        </w:rPr>
        <w:t>8</w:t>
      </w:r>
      <w:r w:rsidR="00E82516">
        <w:rPr>
          <w:noProof/>
        </w:rPr>
        <w:fldChar w:fldCharType="end"/>
      </w:r>
      <w:r>
        <w:t>:</w:t>
      </w:r>
      <w:r w:rsidR="00CC21DD">
        <w:t xml:space="preserve"> Capital Adequacy Ratio of Islamic Banks</w:t>
      </w:r>
      <w:bookmarkEnd w:id="134"/>
    </w:p>
    <w:tbl>
      <w:tblPr>
        <w:tblStyle w:val="TableGrid"/>
        <w:tblW w:w="5320" w:type="dxa"/>
        <w:tblLook w:val="04A0" w:firstRow="1" w:lastRow="0" w:firstColumn="1" w:lastColumn="0" w:noHBand="0" w:noVBand="1"/>
      </w:tblPr>
      <w:tblGrid>
        <w:gridCol w:w="3100"/>
        <w:gridCol w:w="960"/>
        <w:gridCol w:w="1260"/>
      </w:tblGrid>
      <w:tr w:rsidR="00A37016" w:rsidRPr="00A37016" w:rsidTr="00A37016">
        <w:trPr>
          <w:trHeight w:val="600"/>
        </w:trPr>
        <w:tc>
          <w:tcPr>
            <w:tcW w:w="3100" w:type="dxa"/>
            <w:noWrap/>
            <w:hideMark/>
          </w:tcPr>
          <w:p w:rsidR="00A37016" w:rsidRPr="00A37016" w:rsidRDefault="00A37016" w:rsidP="00A37016">
            <w:pPr>
              <w:rPr>
                <w:rFonts w:ascii="Calibri" w:eastAsia="Times New Roman" w:hAnsi="Calibri" w:cs="Calibri"/>
                <w:b/>
                <w:bCs/>
                <w:color w:val="000000"/>
                <w:lang w:eastAsia="en-GB"/>
              </w:rPr>
            </w:pPr>
            <w:r w:rsidRPr="00A37016">
              <w:rPr>
                <w:rFonts w:ascii="Calibri" w:eastAsia="Times New Roman" w:hAnsi="Calibri" w:cs="Calibri"/>
                <w:b/>
                <w:bCs/>
                <w:color w:val="000000"/>
                <w:lang w:eastAsia="en-GB"/>
              </w:rPr>
              <w:t>Bank Name</w:t>
            </w:r>
          </w:p>
        </w:tc>
        <w:tc>
          <w:tcPr>
            <w:tcW w:w="960" w:type="dxa"/>
            <w:hideMark/>
          </w:tcPr>
          <w:p w:rsidR="00A37016" w:rsidRPr="00A37016" w:rsidRDefault="00A37016" w:rsidP="00A37016">
            <w:pPr>
              <w:rPr>
                <w:rFonts w:ascii="Calibri" w:eastAsia="Times New Roman" w:hAnsi="Calibri" w:cs="Calibri"/>
                <w:b/>
                <w:bCs/>
                <w:color w:val="000000"/>
                <w:lang w:eastAsia="en-GB"/>
              </w:rPr>
            </w:pPr>
            <w:r w:rsidRPr="00A37016">
              <w:rPr>
                <w:rFonts w:ascii="Calibri" w:eastAsia="Times New Roman" w:hAnsi="Calibri" w:cs="Calibri"/>
                <w:b/>
                <w:bCs/>
                <w:color w:val="000000"/>
                <w:lang w:eastAsia="en-GB"/>
              </w:rPr>
              <w:t>Year</w:t>
            </w:r>
          </w:p>
        </w:tc>
        <w:tc>
          <w:tcPr>
            <w:tcW w:w="1260" w:type="dxa"/>
            <w:hideMark/>
          </w:tcPr>
          <w:p w:rsidR="00A37016" w:rsidRPr="00A37016" w:rsidRDefault="00A37016" w:rsidP="00A37016">
            <w:pPr>
              <w:rPr>
                <w:rFonts w:ascii="Calibri" w:eastAsia="Times New Roman" w:hAnsi="Calibri" w:cs="Calibri"/>
                <w:b/>
                <w:bCs/>
                <w:color w:val="000000"/>
                <w:lang w:eastAsia="en-GB"/>
              </w:rPr>
            </w:pPr>
            <w:r w:rsidRPr="00A37016">
              <w:rPr>
                <w:rFonts w:ascii="Calibri" w:eastAsia="Times New Roman" w:hAnsi="Calibri" w:cs="Calibri"/>
                <w:b/>
                <w:bCs/>
                <w:color w:val="000000"/>
                <w:lang w:eastAsia="en-GB"/>
              </w:rPr>
              <w:t>Capital Adequacy</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Bahrain Islamic Bank</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0.14</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Bahrain Islamic Bank</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2013</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0.13</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Bahrain Islamic Bank</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2014</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0.16</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Bahrain Islamic Bank</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2015</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0.18</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Bahrain Islamic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2016</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0.20</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Bahrain Islamic Bank</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2017</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0.19</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 Amanah Berhad</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0.12</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 Amanah Berhad</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2013</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0.25</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 Amanah Berhad</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2014</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0.15</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 Amanah Berhad</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2015</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0.18</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 Amanah Berhad</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2016</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0.19</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 Amanah Berhad</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2017</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0.18</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 xml:space="preserve">Islami Bank Bangladesh Limited </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0.13</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 xml:space="preserve">Islami Bank Bangladesh Limited </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2013</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0.14</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 xml:space="preserve">Islami Bank Bangladesh Limited </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2014</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0.13</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 xml:space="preserve">Islami Bank Bangladesh Limited </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2015</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0.12</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 xml:space="preserve">Islami Bank Bangladesh Limited </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2016</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0.11</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 xml:space="preserve">Islami Bank Bangladesh Limited </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2017</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0.11</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Mashreq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2012</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0.19</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Mashreq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2013</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0.18</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Mashreq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2014</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0.17</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Mashreq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2015</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0.17</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Mashreq Bank</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2016</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0.17</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Mashreq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2017</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0.18</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lang w:eastAsia="en-GB"/>
              </w:rPr>
            </w:pPr>
            <w:r w:rsidRPr="00A37016">
              <w:rPr>
                <w:rFonts w:ascii="Calibri" w:eastAsia="Times New Roman" w:hAnsi="Calibri" w:cs="Calibri"/>
                <w:lang w:eastAsia="en-GB"/>
              </w:rPr>
              <w:t>Al Hilal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2012</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0.15</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lang w:eastAsia="en-GB"/>
              </w:rPr>
            </w:pPr>
            <w:r w:rsidRPr="00A37016">
              <w:rPr>
                <w:rFonts w:ascii="Calibri" w:eastAsia="Times New Roman" w:hAnsi="Calibri" w:cs="Calibri"/>
                <w:lang w:eastAsia="en-GB"/>
              </w:rPr>
              <w:t>Al Hilal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2013</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0.14</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lang w:eastAsia="en-GB"/>
              </w:rPr>
            </w:pPr>
            <w:r w:rsidRPr="00A37016">
              <w:rPr>
                <w:rFonts w:ascii="Calibri" w:eastAsia="Times New Roman" w:hAnsi="Calibri" w:cs="Calibri"/>
                <w:lang w:eastAsia="en-GB"/>
              </w:rPr>
              <w:t>Al Hilal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2014</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0.17</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lang w:eastAsia="en-GB"/>
              </w:rPr>
            </w:pPr>
            <w:r w:rsidRPr="00A37016">
              <w:rPr>
                <w:rFonts w:ascii="Calibri" w:eastAsia="Times New Roman" w:hAnsi="Calibri" w:cs="Calibri"/>
                <w:lang w:eastAsia="en-GB"/>
              </w:rPr>
              <w:t>Al Hilal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2015</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0.16</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lang w:eastAsia="en-GB"/>
              </w:rPr>
            </w:pPr>
            <w:r w:rsidRPr="00A37016">
              <w:rPr>
                <w:rFonts w:ascii="Calibri" w:eastAsia="Times New Roman" w:hAnsi="Calibri" w:cs="Calibri"/>
                <w:lang w:eastAsia="en-GB"/>
              </w:rPr>
              <w:t>Al Hilal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2016</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0.15</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lang w:eastAsia="en-GB"/>
              </w:rPr>
            </w:pPr>
            <w:r w:rsidRPr="00A37016">
              <w:rPr>
                <w:rFonts w:ascii="Calibri" w:eastAsia="Times New Roman" w:hAnsi="Calibri" w:cs="Calibri"/>
                <w:lang w:eastAsia="en-GB"/>
              </w:rPr>
              <w:t>Al Hilal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2017</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0.15</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Qatar Islamic Bank</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0.15</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Qatar Islamic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2013</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0.17</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Qatar Islamic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2014</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0.17</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lastRenderedPageBreak/>
              <w:t>Qatar Islamic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2015</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0.18</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Qatar Islamic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2016</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0.17</w:t>
            </w:r>
          </w:p>
        </w:tc>
      </w:tr>
      <w:tr w:rsidR="00A37016" w:rsidRPr="00A37016" w:rsidTr="00A37016">
        <w:trPr>
          <w:trHeight w:val="300"/>
        </w:trPr>
        <w:tc>
          <w:tcPr>
            <w:tcW w:w="310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Qatar Islamic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2017</w:t>
            </w:r>
          </w:p>
        </w:tc>
        <w:tc>
          <w:tcPr>
            <w:tcW w:w="12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0.17</w:t>
            </w:r>
          </w:p>
        </w:tc>
      </w:tr>
    </w:tbl>
    <w:p w:rsidR="00A37016" w:rsidRDefault="00A37016" w:rsidP="00F04015">
      <w:pPr>
        <w:pStyle w:val="Caption"/>
      </w:pPr>
    </w:p>
    <w:p w:rsidR="00A37016" w:rsidRDefault="00940DAE" w:rsidP="00940DAE">
      <w:pPr>
        <w:pStyle w:val="Caption"/>
      </w:pPr>
      <w:bookmarkStart w:id="135" w:name="_Toc1403930"/>
      <w:r>
        <w:t xml:space="preserve">Figure </w:t>
      </w:r>
      <w:r w:rsidR="00E82516">
        <w:rPr>
          <w:noProof/>
        </w:rPr>
        <w:fldChar w:fldCharType="begin"/>
      </w:r>
      <w:r w:rsidR="00291891">
        <w:rPr>
          <w:noProof/>
        </w:rPr>
        <w:instrText xml:space="preserve"> SEQ Figure \* ARABIC </w:instrText>
      </w:r>
      <w:r w:rsidR="00E82516">
        <w:rPr>
          <w:noProof/>
        </w:rPr>
        <w:fldChar w:fldCharType="separate"/>
      </w:r>
      <w:r>
        <w:rPr>
          <w:noProof/>
        </w:rPr>
        <w:t>5</w:t>
      </w:r>
      <w:r w:rsidR="00E82516">
        <w:rPr>
          <w:noProof/>
        </w:rPr>
        <w:fldChar w:fldCharType="end"/>
      </w:r>
      <w:r>
        <w:t xml:space="preserve">: </w:t>
      </w:r>
      <w:r w:rsidR="00D62FC8">
        <w:t>Comparison between Conventional and Islamic Banks in terms of Capital Adequacy</w:t>
      </w:r>
      <w:bookmarkEnd w:id="135"/>
    </w:p>
    <w:p w:rsidR="00A37016" w:rsidRDefault="00A37016" w:rsidP="00F04015">
      <w:pPr>
        <w:pStyle w:val="Caption"/>
      </w:pPr>
      <w:r w:rsidRPr="00A37016">
        <w:rPr>
          <w:noProof/>
          <w:lang w:eastAsia="en-GB"/>
        </w:rPr>
        <w:drawing>
          <wp:inline distT="0" distB="0" distL="0" distR="0">
            <wp:extent cx="4552950" cy="2847975"/>
            <wp:effectExtent l="19050" t="0" r="19050" b="0"/>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A37016" w:rsidRDefault="00A37016" w:rsidP="00F04015">
      <w:pPr>
        <w:pStyle w:val="Caption"/>
      </w:pPr>
    </w:p>
    <w:p w:rsidR="00A37016" w:rsidRDefault="00940DAE" w:rsidP="00940DAE">
      <w:pPr>
        <w:pStyle w:val="Caption"/>
      </w:pPr>
      <w:bookmarkStart w:id="136" w:name="_Toc1742374"/>
      <w:r>
        <w:t xml:space="preserve">Table </w:t>
      </w:r>
      <w:r w:rsidR="00E82516">
        <w:rPr>
          <w:noProof/>
        </w:rPr>
        <w:fldChar w:fldCharType="begin"/>
      </w:r>
      <w:r w:rsidR="00291891">
        <w:rPr>
          <w:noProof/>
        </w:rPr>
        <w:instrText xml:space="preserve"> SEQ Table \* ARABIC </w:instrText>
      </w:r>
      <w:r w:rsidR="00E82516">
        <w:rPr>
          <w:noProof/>
        </w:rPr>
        <w:fldChar w:fldCharType="separate"/>
      </w:r>
      <w:r w:rsidR="00696C7F">
        <w:rPr>
          <w:noProof/>
        </w:rPr>
        <w:t>9</w:t>
      </w:r>
      <w:r w:rsidR="00E82516">
        <w:rPr>
          <w:noProof/>
        </w:rPr>
        <w:fldChar w:fldCharType="end"/>
      </w:r>
      <w:r>
        <w:t>:</w:t>
      </w:r>
      <w:r w:rsidR="00CC21DD">
        <w:t xml:space="preserve"> Conventional Banks’ Return on Equity Calculation</w:t>
      </w:r>
      <w:bookmarkEnd w:id="136"/>
    </w:p>
    <w:tbl>
      <w:tblPr>
        <w:tblStyle w:val="TableGrid"/>
        <w:tblW w:w="5860" w:type="dxa"/>
        <w:tblLook w:val="04A0" w:firstRow="1" w:lastRow="0" w:firstColumn="1" w:lastColumn="0" w:noHBand="0" w:noVBand="1"/>
      </w:tblPr>
      <w:tblGrid>
        <w:gridCol w:w="3140"/>
        <w:gridCol w:w="960"/>
        <w:gridCol w:w="1760"/>
      </w:tblGrid>
      <w:tr w:rsidR="00A37016" w:rsidRPr="00A37016" w:rsidTr="00A37016">
        <w:trPr>
          <w:trHeight w:val="600"/>
        </w:trPr>
        <w:tc>
          <w:tcPr>
            <w:tcW w:w="3140" w:type="dxa"/>
            <w:noWrap/>
            <w:hideMark/>
          </w:tcPr>
          <w:p w:rsidR="00A37016" w:rsidRPr="00A37016" w:rsidRDefault="00A37016" w:rsidP="00A37016">
            <w:pPr>
              <w:rPr>
                <w:rFonts w:ascii="Calibri" w:eastAsia="Times New Roman" w:hAnsi="Calibri" w:cs="Calibri"/>
                <w:b/>
                <w:bCs/>
                <w:color w:val="000000"/>
                <w:lang w:eastAsia="en-GB"/>
              </w:rPr>
            </w:pPr>
            <w:r w:rsidRPr="00A37016">
              <w:rPr>
                <w:rFonts w:ascii="Calibri" w:eastAsia="Times New Roman" w:hAnsi="Calibri" w:cs="Calibri"/>
                <w:b/>
                <w:bCs/>
                <w:color w:val="000000"/>
                <w:lang w:eastAsia="en-GB"/>
              </w:rPr>
              <w:t xml:space="preserve">Bank Name </w:t>
            </w:r>
          </w:p>
        </w:tc>
        <w:tc>
          <w:tcPr>
            <w:tcW w:w="960" w:type="dxa"/>
            <w:hideMark/>
          </w:tcPr>
          <w:p w:rsidR="00A37016" w:rsidRPr="00A37016" w:rsidRDefault="00A37016" w:rsidP="00A37016">
            <w:pPr>
              <w:rPr>
                <w:rFonts w:ascii="Calibri" w:eastAsia="Times New Roman" w:hAnsi="Calibri" w:cs="Calibri"/>
                <w:b/>
                <w:bCs/>
                <w:color w:val="000000"/>
                <w:lang w:eastAsia="en-GB"/>
              </w:rPr>
            </w:pPr>
            <w:r w:rsidRPr="00A37016">
              <w:rPr>
                <w:rFonts w:ascii="Calibri" w:eastAsia="Times New Roman" w:hAnsi="Calibri" w:cs="Calibri"/>
                <w:b/>
                <w:bCs/>
                <w:color w:val="000000"/>
                <w:lang w:eastAsia="en-GB"/>
              </w:rPr>
              <w:t>Year</w:t>
            </w:r>
          </w:p>
        </w:tc>
        <w:tc>
          <w:tcPr>
            <w:tcW w:w="1760" w:type="dxa"/>
            <w:hideMark/>
          </w:tcPr>
          <w:p w:rsidR="00A37016" w:rsidRPr="00A37016" w:rsidRDefault="00A37016" w:rsidP="00A37016">
            <w:pPr>
              <w:rPr>
                <w:rFonts w:ascii="Calibri" w:eastAsia="Times New Roman" w:hAnsi="Calibri" w:cs="Calibri"/>
                <w:b/>
                <w:bCs/>
                <w:color w:val="000000"/>
                <w:lang w:eastAsia="en-GB"/>
              </w:rPr>
            </w:pPr>
            <w:r w:rsidRPr="00A37016">
              <w:rPr>
                <w:rFonts w:ascii="Calibri" w:eastAsia="Times New Roman" w:hAnsi="Calibri" w:cs="Calibri"/>
                <w:b/>
                <w:bCs/>
                <w:color w:val="000000"/>
                <w:lang w:eastAsia="en-GB"/>
              </w:rPr>
              <w:t>Return on Equity</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JP Morgan Chase &amp; Co.</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10.42%</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JP Morgan Chase &amp; Co.</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2013</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8.47%</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JP Morgan Chase &amp; Co.</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2014</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9.38%</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JP Morgan Chase &amp; Co.</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2015</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9.87%</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JP Morgan Chase &amp; Co.</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2016</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9.73%</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JP Morgan Chase &amp; Co.</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2017</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9.56%</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Barclays PLC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5.49%</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Barclays PLC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2013</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5.51%</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Barclays PLC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2014</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4.81%</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Barclays PLC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2015</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5.58%</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Barclays PLC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2016</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4.63%</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Barclays PLC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2017</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2.44%</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34.25%</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2013</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32.33%</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2014</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30.14%</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2015</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29.76%</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2016</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25.41%</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2017</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26.11%</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Westpac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15.54%</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Westpac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2013</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15.54%</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Westpac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2014</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15.88%</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Westpac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2015</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14.84%</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lastRenderedPageBreak/>
              <w:t>Westpac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2016</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14.02%</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Westpac</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2017</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13.78%</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Bank of America</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1.79%</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Bank of America</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2013</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4.89%</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Bank of America</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2014</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1.99%</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Bank of America</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2015</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6.20%</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Bank of America</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2016</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6.70%</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Bank of America</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2017</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6.82%</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Axis Bank Ltd.</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18.05%</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Axis Bank Ltd.</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2013</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15.27%</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Axis Bank Ltd.</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2014</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16.27%</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Axis Bank Ltd.</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2015</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16.47%</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Axis Bank Ltd.</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2016</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15.47%</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Axis Bank Ltd.</w:t>
            </w:r>
          </w:p>
        </w:tc>
        <w:tc>
          <w:tcPr>
            <w:tcW w:w="960" w:type="dxa"/>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2017</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6.60%</w:t>
            </w:r>
          </w:p>
        </w:tc>
      </w:tr>
    </w:tbl>
    <w:p w:rsidR="00940DAE" w:rsidRDefault="00940DAE" w:rsidP="00940DAE">
      <w:pPr>
        <w:pStyle w:val="Caption"/>
      </w:pPr>
    </w:p>
    <w:p w:rsidR="00A37016" w:rsidRDefault="00940DAE" w:rsidP="00940DAE">
      <w:pPr>
        <w:pStyle w:val="Caption"/>
      </w:pPr>
      <w:bookmarkStart w:id="137" w:name="_Toc1742375"/>
      <w:r>
        <w:t xml:space="preserve">Table </w:t>
      </w:r>
      <w:r w:rsidR="00E82516">
        <w:rPr>
          <w:noProof/>
        </w:rPr>
        <w:fldChar w:fldCharType="begin"/>
      </w:r>
      <w:r w:rsidR="00291891">
        <w:rPr>
          <w:noProof/>
        </w:rPr>
        <w:instrText xml:space="preserve"> SEQ Table \* ARABIC </w:instrText>
      </w:r>
      <w:r w:rsidR="00E82516">
        <w:rPr>
          <w:noProof/>
        </w:rPr>
        <w:fldChar w:fldCharType="separate"/>
      </w:r>
      <w:r w:rsidR="00696C7F">
        <w:rPr>
          <w:noProof/>
        </w:rPr>
        <w:t>10</w:t>
      </w:r>
      <w:r w:rsidR="00E82516">
        <w:rPr>
          <w:noProof/>
        </w:rPr>
        <w:fldChar w:fldCharType="end"/>
      </w:r>
      <w:r>
        <w:t>:</w:t>
      </w:r>
      <w:r w:rsidR="00CC21DD">
        <w:t xml:space="preserve"> Islamic Banks’ Return on Equity Calculation</w:t>
      </w:r>
      <w:bookmarkEnd w:id="137"/>
    </w:p>
    <w:tbl>
      <w:tblPr>
        <w:tblStyle w:val="TableGrid"/>
        <w:tblW w:w="5860" w:type="dxa"/>
        <w:tblLook w:val="04A0" w:firstRow="1" w:lastRow="0" w:firstColumn="1" w:lastColumn="0" w:noHBand="0" w:noVBand="1"/>
      </w:tblPr>
      <w:tblGrid>
        <w:gridCol w:w="3140"/>
        <w:gridCol w:w="960"/>
        <w:gridCol w:w="1760"/>
      </w:tblGrid>
      <w:tr w:rsidR="00A37016" w:rsidRPr="00A37016" w:rsidTr="00A37016">
        <w:trPr>
          <w:trHeight w:val="600"/>
        </w:trPr>
        <w:tc>
          <w:tcPr>
            <w:tcW w:w="3140" w:type="dxa"/>
            <w:noWrap/>
            <w:hideMark/>
          </w:tcPr>
          <w:p w:rsidR="00A37016" w:rsidRPr="00A37016" w:rsidRDefault="00A37016" w:rsidP="00A37016">
            <w:pPr>
              <w:rPr>
                <w:rFonts w:ascii="Calibri" w:eastAsia="Times New Roman" w:hAnsi="Calibri" w:cs="Calibri"/>
                <w:b/>
                <w:bCs/>
                <w:color w:val="000000"/>
                <w:lang w:eastAsia="en-GB"/>
              </w:rPr>
            </w:pPr>
            <w:r w:rsidRPr="00A37016">
              <w:rPr>
                <w:rFonts w:ascii="Calibri" w:eastAsia="Times New Roman" w:hAnsi="Calibri" w:cs="Calibri"/>
                <w:b/>
                <w:bCs/>
                <w:color w:val="000000"/>
                <w:lang w:eastAsia="en-GB"/>
              </w:rPr>
              <w:t>Bank Name</w:t>
            </w:r>
          </w:p>
        </w:tc>
        <w:tc>
          <w:tcPr>
            <w:tcW w:w="960" w:type="dxa"/>
            <w:hideMark/>
          </w:tcPr>
          <w:p w:rsidR="00A37016" w:rsidRPr="00A37016" w:rsidRDefault="00A37016" w:rsidP="00A37016">
            <w:pPr>
              <w:rPr>
                <w:rFonts w:ascii="Calibri" w:eastAsia="Times New Roman" w:hAnsi="Calibri" w:cs="Calibri"/>
                <w:b/>
                <w:bCs/>
                <w:color w:val="000000"/>
                <w:lang w:eastAsia="en-GB"/>
              </w:rPr>
            </w:pPr>
            <w:r w:rsidRPr="00A37016">
              <w:rPr>
                <w:rFonts w:ascii="Calibri" w:eastAsia="Times New Roman" w:hAnsi="Calibri" w:cs="Calibri"/>
                <w:b/>
                <w:bCs/>
                <w:color w:val="000000"/>
                <w:lang w:eastAsia="en-GB"/>
              </w:rPr>
              <w:t>Year</w:t>
            </w:r>
          </w:p>
        </w:tc>
        <w:tc>
          <w:tcPr>
            <w:tcW w:w="1760" w:type="dxa"/>
            <w:hideMark/>
          </w:tcPr>
          <w:p w:rsidR="00A37016" w:rsidRPr="00A37016" w:rsidRDefault="00A37016" w:rsidP="00A37016">
            <w:pPr>
              <w:rPr>
                <w:rFonts w:ascii="Calibri" w:eastAsia="Times New Roman" w:hAnsi="Calibri" w:cs="Calibri"/>
                <w:b/>
                <w:bCs/>
                <w:color w:val="000000"/>
                <w:lang w:eastAsia="en-GB"/>
              </w:rPr>
            </w:pPr>
            <w:r w:rsidRPr="00A37016">
              <w:rPr>
                <w:rFonts w:ascii="Calibri" w:eastAsia="Times New Roman" w:hAnsi="Calibri" w:cs="Calibri"/>
                <w:b/>
                <w:bCs/>
                <w:color w:val="000000"/>
                <w:lang w:eastAsia="en-GB"/>
              </w:rPr>
              <w:t>Return on Equity</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Bahrain Islamic Bank</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4.95%</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Bahrain Islamic Bank</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2013</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0.77%</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Bahrain Islamic Bank</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2014</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54.18%</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Bahrain Islamic Bank</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2015</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38.10%</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Bahrain Islamic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2016</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35.78%</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Bahrain Islamic Bank</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2017</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35.09%</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 Amanah Berhad</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35.86%</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 Amanah Berhad</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2013</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34.04%</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 Amanah Berhad</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2014</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31.75%</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 Amanah Berhad</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2015</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27.31%</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 Amanah Berhad</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2016</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22.02%</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HSBC Amanah Berhad</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2017</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21.35%</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 xml:space="preserve">Islami Bank Bangladesh Limited </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14.16%</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 xml:space="preserve">Islami Bank Bangladesh Limited </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2013</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11.54%</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 xml:space="preserve">Islami Bank Bangladesh Limited </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2014</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8.52%</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 xml:space="preserve">Islami Bank Bangladesh Limited </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2015</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6.66%</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 xml:space="preserve">Islami Bank Bangladesh Limited </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2016</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9.47%</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 xml:space="preserve">Islami Bank Bangladesh Limited </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2017</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9.71%</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Mashreq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2012</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9.92%</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Mashreq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2013</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12.45%</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Mashreq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2014</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14.70%</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Mashreq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2015</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13.17%</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Mashreq Bank</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2016</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37.29%</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Mashreq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2017</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101.35%</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lang w:eastAsia="en-GB"/>
              </w:rPr>
            </w:pPr>
            <w:r w:rsidRPr="00A37016">
              <w:rPr>
                <w:rFonts w:ascii="Calibri" w:eastAsia="Times New Roman" w:hAnsi="Calibri" w:cs="Calibri"/>
                <w:lang w:eastAsia="en-GB"/>
              </w:rPr>
              <w:t>Al Hilal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2012</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7.60%</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lang w:eastAsia="en-GB"/>
              </w:rPr>
            </w:pPr>
            <w:r w:rsidRPr="00A37016">
              <w:rPr>
                <w:rFonts w:ascii="Calibri" w:eastAsia="Times New Roman" w:hAnsi="Calibri" w:cs="Calibri"/>
                <w:lang w:eastAsia="en-GB"/>
              </w:rPr>
              <w:t>Al Hilal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2013</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11.23%</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lang w:eastAsia="en-GB"/>
              </w:rPr>
            </w:pPr>
            <w:r w:rsidRPr="00A37016">
              <w:rPr>
                <w:rFonts w:ascii="Calibri" w:eastAsia="Times New Roman" w:hAnsi="Calibri" w:cs="Calibri"/>
                <w:lang w:eastAsia="en-GB"/>
              </w:rPr>
              <w:t>Al Hilal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2014</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1.58%</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lang w:eastAsia="en-GB"/>
              </w:rPr>
            </w:pPr>
            <w:r w:rsidRPr="00A37016">
              <w:rPr>
                <w:rFonts w:ascii="Calibri" w:eastAsia="Times New Roman" w:hAnsi="Calibri" w:cs="Calibri"/>
                <w:lang w:eastAsia="en-GB"/>
              </w:rPr>
              <w:t>Al Hilal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2015</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1.69%</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lang w:eastAsia="en-GB"/>
              </w:rPr>
            </w:pPr>
            <w:r w:rsidRPr="00A37016">
              <w:rPr>
                <w:rFonts w:ascii="Calibri" w:eastAsia="Times New Roman" w:hAnsi="Calibri" w:cs="Calibri"/>
                <w:lang w:eastAsia="en-GB"/>
              </w:rPr>
              <w:t>Al Hilal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2016</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1.91%</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lang w:eastAsia="en-GB"/>
              </w:rPr>
            </w:pPr>
            <w:r w:rsidRPr="00A37016">
              <w:rPr>
                <w:rFonts w:ascii="Calibri" w:eastAsia="Times New Roman" w:hAnsi="Calibri" w:cs="Calibri"/>
                <w:lang w:eastAsia="en-GB"/>
              </w:rPr>
              <w:lastRenderedPageBreak/>
              <w:t>Al Hilal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2017</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2.24%</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Qatar Islamic Bank</w:t>
            </w:r>
          </w:p>
        </w:tc>
        <w:tc>
          <w:tcPr>
            <w:tcW w:w="9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2012</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9.81%</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Qatar Islamic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2013</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11.18%</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Qatar Islamic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2014</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12.25%</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Qatar Islamic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2015</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11.08%</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Qatar Islamic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2016</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14.82%</w:t>
            </w:r>
          </w:p>
        </w:tc>
      </w:tr>
      <w:tr w:rsidR="00A37016" w:rsidRPr="00A37016" w:rsidTr="00A37016">
        <w:trPr>
          <w:trHeight w:val="300"/>
        </w:trPr>
        <w:tc>
          <w:tcPr>
            <w:tcW w:w="3140" w:type="dxa"/>
            <w:noWrap/>
            <w:hideMark/>
          </w:tcPr>
          <w:p w:rsidR="00A37016" w:rsidRPr="00A37016" w:rsidRDefault="00A37016" w:rsidP="00A37016">
            <w:pPr>
              <w:rPr>
                <w:rFonts w:ascii="Calibri" w:eastAsia="Times New Roman" w:hAnsi="Calibri" w:cs="Calibri"/>
                <w:color w:val="000000"/>
                <w:lang w:eastAsia="en-GB"/>
              </w:rPr>
            </w:pPr>
            <w:r w:rsidRPr="00A37016">
              <w:rPr>
                <w:rFonts w:ascii="Calibri" w:eastAsia="Times New Roman" w:hAnsi="Calibri" w:cs="Calibri"/>
                <w:color w:val="000000"/>
                <w:lang w:eastAsia="en-GB"/>
              </w:rPr>
              <w:t>Qatar Islamic Bank</w:t>
            </w:r>
          </w:p>
        </w:tc>
        <w:tc>
          <w:tcPr>
            <w:tcW w:w="960" w:type="dxa"/>
            <w:noWrap/>
            <w:hideMark/>
          </w:tcPr>
          <w:p w:rsidR="00A37016" w:rsidRPr="00A37016" w:rsidRDefault="00A37016" w:rsidP="00A37016">
            <w:pPr>
              <w:jc w:val="right"/>
              <w:rPr>
                <w:rFonts w:ascii="Calibri" w:eastAsia="Times New Roman" w:hAnsi="Calibri" w:cs="Calibri"/>
                <w:lang w:eastAsia="en-GB"/>
              </w:rPr>
            </w:pPr>
            <w:r w:rsidRPr="00A37016">
              <w:rPr>
                <w:rFonts w:ascii="Calibri" w:eastAsia="Times New Roman" w:hAnsi="Calibri" w:cs="Calibri"/>
                <w:lang w:eastAsia="en-GB"/>
              </w:rPr>
              <w:t>2017</w:t>
            </w:r>
          </w:p>
        </w:tc>
        <w:tc>
          <w:tcPr>
            <w:tcW w:w="1760" w:type="dxa"/>
            <w:noWrap/>
            <w:hideMark/>
          </w:tcPr>
          <w:p w:rsidR="00A37016" w:rsidRPr="00A37016" w:rsidRDefault="00A37016" w:rsidP="00A37016">
            <w:pPr>
              <w:jc w:val="right"/>
              <w:rPr>
                <w:rFonts w:ascii="Calibri" w:eastAsia="Times New Roman" w:hAnsi="Calibri" w:cs="Calibri"/>
                <w:color w:val="000000"/>
                <w:lang w:eastAsia="en-GB"/>
              </w:rPr>
            </w:pPr>
            <w:r w:rsidRPr="00A37016">
              <w:rPr>
                <w:rFonts w:ascii="Calibri" w:eastAsia="Times New Roman" w:hAnsi="Calibri" w:cs="Calibri"/>
                <w:color w:val="000000"/>
                <w:lang w:eastAsia="en-GB"/>
              </w:rPr>
              <w:t>14.72%</w:t>
            </w:r>
          </w:p>
        </w:tc>
      </w:tr>
    </w:tbl>
    <w:p w:rsidR="00A37016" w:rsidRDefault="00A37016" w:rsidP="00F04015">
      <w:pPr>
        <w:pStyle w:val="Caption"/>
      </w:pPr>
    </w:p>
    <w:p w:rsidR="00A37016" w:rsidRDefault="00940DAE" w:rsidP="00940DAE">
      <w:pPr>
        <w:pStyle w:val="Caption"/>
      </w:pPr>
      <w:bookmarkStart w:id="138" w:name="_Toc1403931"/>
      <w:r>
        <w:t xml:space="preserve">Figure </w:t>
      </w:r>
      <w:r w:rsidR="00E82516">
        <w:rPr>
          <w:noProof/>
        </w:rPr>
        <w:fldChar w:fldCharType="begin"/>
      </w:r>
      <w:r w:rsidR="00291891">
        <w:rPr>
          <w:noProof/>
        </w:rPr>
        <w:instrText xml:space="preserve"> SEQ Figure \* ARABIC </w:instrText>
      </w:r>
      <w:r w:rsidR="00E82516">
        <w:rPr>
          <w:noProof/>
        </w:rPr>
        <w:fldChar w:fldCharType="separate"/>
      </w:r>
      <w:r>
        <w:rPr>
          <w:noProof/>
        </w:rPr>
        <w:t>6</w:t>
      </w:r>
      <w:r w:rsidR="00E82516">
        <w:rPr>
          <w:noProof/>
        </w:rPr>
        <w:fldChar w:fldCharType="end"/>
      </w:r>
      <w:r>
        <w:t>:</w:t>
      </w:r>
      <w:r w:rsidR="00D62FC8">
        <w:t xml:space="preserve"> Comparison between Conventional and Islamic Banks in terms of Return on Equity</w:t>
      </w:r>
      <w:bookmarkEnd w:id="138"/>
    </w:p>
    <w:p w:rsidR="00A37016" w:rsidRDefault="00A37016" w:rsidP="00F04015">
      <w:pPr>
        <w:pStyle w:val="Caption"/>
      </w:pPr>
      <w:r w:rsidRPr="00A37016">
        <w:rPr>
          <w:noProof/>
          <w:lang w:eastAsia="en-GB"/>
        </w:rPr>
        <w:drawing>
          <wp:inline distT="0" distB="0" distL="0" distR="0">
            <wp:extent cx="4133850" cy="2647950"/>
            <wp:effectExtent l="19050" t="0" r="19050" b="0"/>
            <wp:docPr id="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192CE2" w:rsidRDefault="00192CE2">
      <w:pPr>
        <w:rPr>
          <w:b/>
          <w:bCs/>
          <w:color w:val="4F81BD" w:themeColor="accent1"/>
          <w:sz w:val="18"/>
          <w:szCs w:val="18"/>
        </w:rPr>
      </w:pPr>
      <w:r>
        <w:rPr>
          <w:b/>
          <w:bCs/>
          <w:color w:val="4F81BD" w:themeColor="accent1"/>
          <w:sz w:val="18"/>
          <w:szCs w:val="18"/>
        </w:rPr>
        <w:br w:type="page"/>
      </w:r>
    </w:p>
    <w:p w:rsidR="00871C95" w:rsidRPr="00871C95" w:rsidRDefault="00871C95" w:rsidP="00871C95">
      <w:pPr>
        <w:rPr>
          <w:rFonts w:ascii="Times New Roman" w:hAnsi="Times New Roman" w:cs="Times New Roman"/>
          <w:b/>
          <w:bCs/>
          <w:sz w:val="24"/>
          <w:szCs w:val="24"/>
        </w:rPr>
      </w:pPr>
      <w:bookmarkStart w:id="139" w:name="_Toc1742376"/>
      <w:r w:rsidRPr="00871C95">
        <w:rPr>
          <w:rFonts w:ascii="Times New Roman" w:hAnsi="Times New Roman" w:cs="Times New Roman"/>
          <w:b/>
          <w:bCs/>
          <w:sz w:val="24"/>
          <w:szCs w:val="24"/>
        </w:rPr>
        <w:lastRenderedPageBreak/>
        <w:t>SPSS Table</w:t>
      </w:r>
      <w:r>
        <w:rPr>
          <w:rFonts w:ascii="Times New Roman" w:hAnsi="Times New Roman" w:cs="Times New Roman"/>
          <w:b/>
          <w:bCs/>
          <w:sz w:val="24"/>
          <w:szCs w:val="24"/>
        </w:rPr>
        <w:t>s</w:t>
      </w:r>
    </w:p>
    <w:p w:rsidR="00A37016" w:rsidRDefault="00192CE2" w:rsidP="00192CE2">
      <w:pPr>
        <w:pStyle w:val="Caption"/>
        <w:rPr>
          <w:b w:val="0"/>
          <w:bCs w:val="0"/>
        </w:rPr>
      </w:pPr>
      <w:r>
        <w:t xml:space="preserve">Table </w:t>
      </w:r>
      <w:r w:rsidR="00E82516">
        <w:rPr>
          <w:noProof/>
        </w:rPr>
        <w:fldChar w:fldCharType="begin"/>
      </w:r>
      <w:r w:rsidR="00291891">
        <w:rPr>
          <w:noProof/>
        </w:rPr>
        <w:instrText xml:space="preserve"> SEQ Table \* ARABIC </w:instrText>
      </w:r>
      <w:r w:rsidR="00E82516">
        <w:rPr>
          <w:noProof/>
        </w:rPr>
        <w:fldChar w:fldCharType="separate"/>
      </w:r>
      <w:r w:rsidR="00696C7F">
        <w:rPr>
          <w:noProof/>
        </w:rPr>
        <w:t>11</w:t>
      </w:r>
      <w:r w:rsidR="00E82516">
        <w:rPr>
          <w:noProof/>
        </w:rPr>
        <w:fldChar w:fldCharType="end"/>
      </w:r>
      <w:r>
        <w:t>: Descriptive Statistics of Conventional Banks</w:t>
      </w:r>
      <w:bookmarkEnd w:id="139"/>
    </w:p>
    <w:p w:rsidR="00192CE2" w:rsidRDefault="00192CE2" w:rsidP="00A37016">
      <w:r w:rsidRPr="00192CE2">
        <w:rPr>
          <w:b/>
          <w:bCs/>
          <w:noProof/>
          <w:color w:val="4F81BD" w:themeColor="accent1"/>
          <w:sz w:val="18"/>
          <w:szCs w:val="18"/>
          <w:lang w:eastAsia="en-GB"/>
        </w:rPr>
        <w:drawing>
          <wp:inline distT="0" distB="0" distL="0" distR="0">
            <wp:extent cx="5731510" cy="5095875"/>
            <wp:effectExtent l="19050" t="19050" r="21590" b="28575"/>
            <wp:docPr id="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srcRect t="3777"/>
                    <a:stretch>
                      <a:fillRect/>
                    </a:stretch>
                  </pic:blipFill>
                  <pic:spPr bwMode="auto">
                    <a:xfrm>
                      <a:off x="0" y="0"/>
                      <a:ext cx="5731510" cy="5095875"/>
                    </a:xfrm>
                    <a:prstGeom prst="rect">
                      <a:avLst/>
                    </a:prstGeom>
                    <a:noFill/>
                    <a:ln w="9525">
                      <a:solidFill>
                        <a:schemeClr val="tx1"/>
                      </a:solidFill>
                      <a:miter lim="800000"/>
                      <a:headEnd/>
                      <a:tailEnd/>
                    </a:ln>
                  </pic:spPr>
                </pic:pic>
              </a:graphicData>
            </a:graphic>
          </wp:inline>
        </w:drawing>
      </w:r>
    </w:p>
    <w:p w:rsidR="00192CE2" w:rsidRDefault="00192CE2">
      <w:r>
        <w:br w:type="page"/>
      </w:r>
    </w:p>
    <w:p w:rsidR="00192CE2" w:rsidRDefault="00192CE2" w:rsidP="00192CE2">
      <w:pPr>
        <w:pStyle w:val="Caption"/>
      </w:pPr>
      <w:bookmarkStart w:id="140" w:name="_Toc1742377"/>
      <w:r>
        <w:lastRenderedPageBreak/>
        <w:t xml:space="preserve">Table </w:t>
      </w:r>
      <w:r w:rsidR="00E82516">
        <w:rPr>
          <w:noProof/>
        </w:rPr>
        <w:fldChar w:fldCharType="begin"/>
      </w:r>
      <w:r w:rsidR="00291891">
        <w:rPr>
          <w:noProof/>
        </w:rPr>
        <w:instrText xml:space="preserve"> SEQ Table \* ARABIC </w:instrText>
      </w:r>
      <w:r w:rsidR="00E82516">
        <w:rPr>
          <w:noProof/>
        </w:rPr>
        <w:fldChar w:fldCharType="separate"/>
      </w:r>
      <w:r w:rsidR="00696C7F">
        <w:rPr>
          <w:noProof/>
        </w:rPr>
        <w:t>12</w:t>
      </w:r>
      <w:r w:rsidR="00E82516">
        <w:rPr>
          <w:noProof/>
        </w:rPr>
        <w:fldChar w:fldCharType="end"/>
      </w:r>
      <w:r>
        <w:t>: Descriptive Statistics of Islamic Banks</w:t>
      </w:r>
      <w:bookmarkEnd w:id="140"/>
    </w:p>
    <w:p w:rsidR="00192CE2" w:rsidRDefault="00192CE2" w:rsidP="00A37016">
      <w:r w:rsidRPr="00192CE2">
        <w:rPr>
          <w:noProof/>
          <w:lang w:eastAsia="en-GB"/>
        </w:rPr>
        <w:drawing>
          <wp:inline distT="0" distB="0" distL="0" distR="0">
            <wp:extent cx="5731510" cy="4600575"/>
            <wp:effectExtent l="19050" t="19050" r="21590" b="28575"/>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srcRect t="3873"/>
                    <a:stretch>
                      <a:fillRect/>
                    </a:stretch>
                  </pic:blipFill>
                  <pic:spPr bwMode="auto">
                    <a:xfrm>
                      <a:off x="0" y="0"/>
                      <a:ext cx="5731510" cy="4600575"/>
                    </a:xfrm>
                    <a:prstGeom prst="rect">
                      <a:avLst/>
                    </a:prstGeom>
                    <a:noFill/>
                    <a:ln w="9525">
                      <a:solidFill>
                        <a:schemeClr val="tx1"/>
                      </a:solidFill>
                      <a:miter lim="800000"/>
                      <a:headEnd/>
                      <a:tailEnd/>
                    </a:ln>
                  </pic:spPr>
                </pic:pic>
              </a:graphicData>
            </a:graphic>
          </wp:inline>
        </w:drawing>
      </w:r>
    </w:p>
    <w:p w:rsidR="00192CE2" w:rsidRDefault="00192CE2" w:rsidP="00A37016">
      <w:r>
        <w:br w:type="page"/>
      </w:r>
    </w:p>
    <w:p w:rsidR="00192CE2" w:rsidRDefault="00192CE2" w:rsidP="00192CE2">
      <w:pPr>
        <w:pStyle w:val="Caption"/>
      </w:pPr>
      <w:bookmarkStart w:id="141" w:name="_Toc1742378"/>
      <w:r>
        <w:lastRenderedPageBreak/>
        <w:t xml:space="preserve">Table </w:t>
      </w:r>
      <w:r w:rsidR="00E82516">
        <w:rPr>
          <w:noProof/>
        </w:rPr>
        <w:fldChar w:fldCharType="begin"/>
      </w:r>
      <w:r w:rsidR="00291891">
        <w:rPr>
          <w:noProof/>
        </w:rPr>
        <w:instrText xml:space="preserve"> SEQ Table \* ARABIC </w:instrText>
      </w:r>
      <w:r w:rsidR="00E82516">
        <w:rPr>
          <w:noProof/>
        </w:rPr>
        <w:fldChar w:fldCharType="separate"/>
      </w:r>
      <w:r w:rsidR="00696C7F">
        <w:rPr>
          <w:noProof/>
        </w:rPr>
        <w:t>13</w:t>
      </w:r>
      <w:r w:rsidR="00E82516">
        <w:rPr>
          <w:noProof/>
        </w:rPr>
        <w:fldChar w:fldCharType="end"/>
      </w:r>
      <w:r>
        <w:t>: Correlations between Variables in the Context of Conventional Banks</w:t>
      </w:r>
      <w:bookmarkEnd w:id="141"/>
    </w:p>
    <w:p w:rsidR="00A37016" w:rsidRDefault="00192CE2" w:rsidP="00A37016">
      <w:r w:rsidRPr="00192CE2">
        <w:rPr>
          <w:noProof/>
          <w:lang w:eastAsia="en-GB"/>
        </w:rPr>
        <w:drawing>
          <wp:inline distT="0" distB="0" distL="0" distR="0">
            <wp:extent cx="5781675" cy="8629650"/>
            <wp:effectExtent l="38100" t="19050" r="28575" b="19050"/>
            <wp:docPr id="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srcRect t="1200"/>
                    <a:stretch>
                      <a:fillRect/>
                    </a:stretch>
                  </pic:blipFill>
                  <pic:spPr bwMode="auto">
                    <a:xfrm>
                      <a:off x="0" y="0"/>
                      <a:ext cx="5781675" cy="8629650"/>
                    </a:xfrm>
                    <a:prstGeom prst="rect">
                      <a:avLst/>
                    </a:prstGeom>
                    <a:noFill/>
                    <a:ln w="9525">
                      <a:solidFill>
                        <a:schemeClr val="tx1"/>
                      </a:solidFill>
                      <a:miter lim="800000"/>
                      <a:headEnd/>
                      <a:tailEnd/>
                    </a:ln>
                  </pic:spPr>
                </pic:pic>
              </a:graphicData>
            </a:graphic>
          </wp:inline>
        </w:drawing>
      </w:r>
    </w:p>
    <w:p w:rsidR="00192CE2" w:rsidRDefault="00192CE2" w:rsidP="00192CE2">
      <w:pPr>
        <w:pStyle w:val="Caption"/>
      </w:pPr>
      <w:bookmarkStart w:id="142" w:name="_Toc1742379"/>
      <w:r>
        <w:t xml:space="preserve">Table </w:t>
      </w:r>
      <w:r w:rsidR="00E82516">
        <w:rPr>
          <w:noProof/>
        </w:rPr>
        <w:fldChar w:fldCharType="begin"/>
      </w:r>
      <w:r w:rsidR="00291891">
        <w:rPr>
          <w:noProof/>
        </w:rPr>
        <w:instrText xml:space="preserve"> SEQ Table \* ARABIC </w:instrText>
      </w:r>
      <w:r w:rsidR="00E82516">
        <w:rPr>
          <w:noProof/>
        </w:rPr>
        <w:fldChar w:fldCharType="separate"/>
      </w:r>
      <w:r w:rsidR="00696C7F">
        <w:rPr>
          <w:noProof/>
        </w:rPr>
        <w:t>14</w:t>
      </w:r>
      <w:r w:rsidR="00E82516">
        <w:rPr>
          <w:noProof/>
        </w:rPr>
        <w:fldChar w:fldCharType="end"/>
      </w:r>
      <w:r>
        <w:t>: Correlations between Variables in the Context of Islamic Banks</w:t>
      </w:r>
      <w:bookmarkEnd w:id="142"/>
    </w:p>
    <w:p w:rsidR="00A37016" w:rsidRDefault="00192CE2" w:rsidP="00192CE2">
      <w:pPr>
        <w:pStyle w:val="Caption"/>
      </w:pPr>
      <w:r w:rsidRPr="00192CE2">
        <w:rPr>
          <w:noProof/>
          <w:lang w:eastAsia="en-GB"/>
        </w:rPr>
        <w:lastRenderedPageBreak/>
        <w:drawing>
          <wp:inline distT="0" distB="0" distL="0" distR="0">
            <wp:extent cx="5887675" cy="8193297"/>
            <wp:effectExtent l="38100" t="19050" r="17825" b="17253"/>
            <wp:docPr id="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srcRect r="5581"/>
                    <a:stretch>
                      <a:fillRect/>
                    </a:stretch>
                  </pic:blipFill>
                  <pic:spPr bwMode="auto">
                    <a:xfrm>
                      <a:off x="0" y="0"/>
                      <a:ext cx="5886450" cy="8191592"/>
                    </a:xfrm>
                    <a:prstGeom prst="rect">
                      <a:avLst/>
                    </a:prstGeom>
                    <a:noFill/>
                    <a:ln w="9525">
                      <a:solidFill>
                        <a:schemeClr val="tx1"/>
                      </a:solidFill>
                      <a:miter lim="800000"/>
                      <a:headEnd/>
                      <a:tailEnd/>
                    </a:ln>
                  </pic:spPr>
                </pic:pic>
              </a:graphicData>
            </a:graphic>
          </wp:inline>
        </w:drawing>
      </w:r>
    </w:p>
    <w:p w:rsidR="00A37016" w:rsidRDefault="00A37016" w:rsidP="00A37016"/>
    <w:p w:rsidR="00EF41CA" w:rsidRDefault="00696C7F" w:rsidP="00EF41CA">
      <w:pPr>
        <w:rPr>
          <w:rFonts w:ascii="Times New Roman" w:hAnsi="Times New Roman" w:cs="Times New Roman"/>
          <w:b/>
          <w:sz w:val="24"/>
          <w:szCs w:val="24"/>
        </w:rPr>
      </w:pPr>
      <w:r w:rsidRPr="00696C7F">
        <w:rPr>
          <w:rFonts w:ascii="Times New Roman" w:hAnsi="Times New Roman" w:cs="Times New Roman"/>
          <w:b/>
          <w:sz w:val="24"/>
          <w:szCs w:val="24"/>
        </w:rPr>
        <w:t>Regression Tables</w:t>
      </w:r>
    </w:p>
    <w:p w:rsidR="00696C7F" w:rsidRDefault="00696C7F" w:rsidP="00696C7F">
      <w:pPr>
        <w:pStyle w:val="Caption"/>
      </w:pPr>
      <w:bookmarkStart w:id="143" w:name="_Toc1742380"/>
      <w:r>
        <w:t xml:space="preserve">Table </w:t>
      </w:r>
      <w:r w:rsidR="00E82516">
        <w:rPr>
          <w:noProof/>
        </w:rPr>
        <w:fldChar w:fldCharType="begin"/>
      </w:r>
      <w:r w:rsidR="00291891">
        <w:rPr>
          <w:noProof/>
        </w:rPr>
        <w:instrText xml:space="preserve"> SEQ Table \* ARABIC </w:instrText>
      </w:r>
      <w:r w:rsidR="00E82516">
        <w:rPr>
          <w:noProof/>
        </w:rPr>
        <w:fldChar w:fldCharType="separate"/>
      </w:r>
      <w:r>
        <w:rPr>
          <w:noProof/>
        </w:rPr>
        <w:t>15</w:t>
      </w:r>
      <w:r w:rsidR="00E82516">
        <w:rPr>
          <w:noProof/>
        </w:rPr>
        <w:fldChar w:fldCharType="end"/>
      </w:r>
      <w:r>
        <w:t>: Model Summary of Conventional Banks</w:t>
      </w:r>
      <w:bookmarkEnd w:id="143"/>
    </w:p>
    <w:p w:rsidR="00696C7F" w:rsidRDefault="00696C7F" w:rsidP="00696C7F">
      <w:r w:rsidRPr="00696C7F">
        <w:rPr>
          <w:noProof/>
          <w:lang w:eastAsia="en-GB"/>
        </w:rPr>
        <w:lastRenderedPageBreak/>
        <w:drawing>
          <wp:inline distT="0" distB="0" distL="0" distR="0">
            <wp:extent cx="3276600" cy="1276350"/>
            <wp:effectExtent l="19050" t="19050" r="19050" b="19050"/>
            <wp:docPr id="1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srcRect/>
                    <a:stretch>
                      <a:fillRect/>
                    </a:stretch>
                  </pic:blipFill>
                  <pic:spPr bwMode="auto">
                    <a:xfrm>
                      <a:off x="0" y="0"/>
                      <a:ext cx="3276600" cy="1276350"/>
                    </a:xfrm>
                    <a:prstGeom prst="rect">
                      <a:avLst/>
                    </a:prstGeom>
                    <a:noFill/>
                    <a:ln w="9525">
                      <a:solidFill>
                        <a:schemeClr val="tx1"/>
                      </a:solidFill>
                      <a:miter lim="800000"/>
                      <a:headEnd/>
                      <a:tailEnd/>
                    </a:ln>
                  </pic:spPr>
                </pic:pic>
              </a:graphicData>
            </a:graphic>
          </wp:inline>
        </w:drawing>
      </w:r>
    </w:p>
    <w:p w:rsidR="00696C7F" w:rsidRDefault="00696C7F" w:rsidP="00696C7F">
      <w:pPr>
        <w:pStyle w:val="Caption"/>
      </w:pPr>
      <w:bookmarkStart w:id="144" w:name="_Toc1742381"/>
      <w:r>
        <w:t xml:space="preserve">Table </w:t>
      </w:r>
      <w:r w:rsidR="00E82516">
        <w:rPr>
          <w:noProof/>
        </w:rPr>
        <w:fldChar w:fldCharType="begin"/>
      </w:r>
      <w:r w:rsidR="00291891">
        <w:rPr>
          <w:noProof/>
        </w:rPr>
        <w:instrText xml:space="preserve"> SEQ Table \* ARABIC </w:instrText>
      </w:r>
      <w:r w:rsidR="00E82516">
        <w:rPr>
          <w:noProof/>
        </w:rPr>
        <w:fldChar w:fldCharType="separate"/>
      </w:r>
      <w:r>
        <w:rPr>
          <w:noProof/>
        </w:rPr>
        <w:t>16</w:t>
      </w:r>
      <w:r w:rsidR="00E82516">
        <w:rPr>
          <w:noProof/>
        </w:rPr>
        <w:fldChar w:fldCharType="end"/>
      </w:r>
      <w:r>
        <w:t>: Model Summary of Islamic Banks</w:t>
      </w:r>
      <w:bookmarkEnd w:id="144"/>
    </w:p>
    <w:p w:rsidR="00696C7F" w:rsidRDefault="00696C7F" w:rsidP="00696C7F">
      <w:r w:rsidRPr="00696C7F">
        <w:rPr>
          <w:noProof/>
          <w:lang w:eastAsia="en-GB"/>
        </w:rPr>
        <w:drawing>
          <wp:inline distT="0" distB="0" distL="0" distR="0">
            <wp:extent cx="3733800" cy="1714500"/>
            <wp:effectExtent l="19050" t="19050" r="19050" b="19050"/>
            <wp:docPr id="17" name="Picture 3"/>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24" cstate="print"/>
                    <a:stretch>
                      <a:fillRect/>
                    </a:stretch>
                  </pic:blipFill>
                  <pic:spPr>
                    <a:xfrm>
                      <a:off x="0" y="0"/>
                      <a:ext cx="3733800" cy="1714500"/>
                    </a:xfrm>
                    <a:prstGeom prst="rect">
                      <a:avLst/>
                    </a:prstGeom>
                    <a:ln>
                      <a:solidFill>
                        <a:schemeClr val="tx1"/>
                      </a:solidFill>
                    </a:ln>
                  </pic:spPr>
                </pic:pic>
              </a:graphicData>
            </a:graphic>
          </wp:inline>
        </w:drawing>
      </w:r>
    </w:p>
    <w:p w:rsidR="00696C7F" w:rsidRDefault="00696C7F" w:rsidP="00696C7F">
      <w:pPr>
        <w:pStyle w:val="Caption"/>
      </w:pPr>
      <w:bookmarkStart w:id="145" w:name="_Toc1742382"/>
      <w:r>
        <w:t xml:space="preserve">Table </w:t>
      </w:r>
      <w:r w:rsidR="00E82516">
        <w:rPr>
          <w:noProof/>
        </w:rPr>
        <w:fldChar w:fldCharType="begin"/>
      </w:r>
      <w:r w:rsidR="00291891">
        <w:rPr>
          <w:noProof/>
        </w:rPr>
        <w:instrText xml:space="preserve"> SEQ Table \* ARABIC </w:instrText>
      </w:r>
      <w:r w:rsidR="00E82516">
        <w:rPr>
          <w:noProof/>
        </w:rPr>
        <w:fldChar w:fldCharType="separate"/>
      </w:r>
      <w:r>
        <w:rPr>
          <w:noProof/>
        </w:rPr>
        <w:t>17</w:t>
      </w:r>
      <w:r w:rsidR="00E82516">
        <w:rPr>
          <w:noProof/>
        </w:rPr>
        <w:fldChar w:fldCharType="end"/>
      </w:r>
      <w:r>
        <w:t>: Conventional Banks’ ANOVA Table</w:t>
      </w:r>
      <w:bookmarkEnd w:id="145"/>
    </w:p>
    <w:p w:rsidR="00696C7F" w:rsidRDefault="00696C7F" w:rsidP="00696C7F">
      <w:r w:rsidRPr="00696C7F">
        <w:rPr>
          <w:noProof/>
          <w:lang w:eastAsia="en-GB"/>
        </w:rPr>
        <w:drawing>
          <wp:inline distT="0" distB="0" distL="0" distR="0">
            <wp:extent cx="4581525" cy="1971675"/>
            <wp:effectExtent l="19050" t="19050" r="28575" b="28575"/>
            <wp:docPr id="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srcRect/>
                    <a:stretch>
                      <a:fillRect/>
                    </a:stretch>
                  </pic:blipFill>
                  <pic:spPr bwMode="auto">
                    <a:xfrm>
                      <a:off x="0" y="0"/>
                      <a:ext cx="4581525" cy="1971675"/>
                    </a:xfrm>
                    <a:prstGeom prst="rect">
                      <a:avLst/>
                    </a:prstGeom>
                    <a:noFill/>
                    <a:ln w="9525">
                      <a:solidFill>
                        <a:schemeClr val="tx1"/>
                      </a:solidFill>
                      <a:miter lim="800000"/>
                      <a:headEnd/>
                      <a:tailEnd/>
                    </a:ln>
                  </pic:spPr>
                </pic:pic>
              </a:graphicData>
            </a:graphic>
          </wp:inline>
        </w:drawing>
      </w:r>
    </w:p>
    <w:p w:rsidR="00696C7F" w:rsidRDefault="00696C7F">
      <w:pPr>
        <w:rPr>
          <w:b/>
          <w:bCs/>
          <w:color w:val="4F81BD" w:themeColor="accent1"/>
          <w:sz w:val="18"/>
          <w:szCs w:val="18"/>
        </w:rPr>
      </w:pPr>
      <w:r>
        <w:br w:type="page"/>
      </w:r>
    </w:p>
    <w:p w:rsidR="00696C7F" w:rsidRDefault="00696C7F" w:rsidP="00696C7F">
      <w:pPr>
        <w:pStyle w:val="Caption"/>
      </w:pPr>
      <w:bookmarkStart w:id="146" w:name="_Toc1742383"/>
      <w:r>
        <w:lastRenderedPageBreak/>
        <w:t xml:space="preserve">Table </w:t>
      </w:r>
      <w:r w:rsidR="00E82516">
        <w:rPr>
          <w:noProof/>
        </w:rPr>
        <w:fldChar w:fldCharType="begin"/>
      </w:r>
      <w:r w:rsidR="00291891">
        <w:rPr>
          <w:noProof/>
        </w:rPr>
        <w:instrText xml:space="preserve"> SEQ Table \* ARABIC </w:instrText>
      </w:r>
      <w:r w:rsidR="00E82516">
        <w:rPr>
          <w:noProof/>
        </w:rPr>
        <w:fldChar w:fldCharType="separate"/>
      </w:r>
      <w:r>
        <w:rPr>
          <w:noProof/>
        </w:rPr>
        <w:t>18</w:t>
      </w:r>
      <w:r w:rsidR="00E82516">
        <w:rPr>
          <w:noProof/>
        </w:rPr>
        <w:fldChar w:fldCharType="end"/>
      </w:r>
      <w:r>
        <w:t>: Islamic Banks’ ANOVA Table</w:t>
      </w:r>
      <w:bookmarkEnd w:id="146"/>
    </w:p>
    <w:p w:rsidR="00696C7F" w:rsidRDefault="00696C7F" w:rsidP="00696C7F">
      <w:r w:rsidRPr="00696C7F">
        <w:rPr>
          <w:noProof/>
          <w:lang w:eastAsia="en-GB"/>
        </w:rPr>
        <w:drawing>
          <wp:inline distT="0" distB="0" distL="0" distR="0">
            <wp:extent cx="5057775" cy="2076450"/>
            <wp:effectExtent l="19050" t="19050" r="28575" b="19050"/>
            <wp:docPr id="18" name="Picture 4"/>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26" cstate="print"/>
                    <a:stretch>
                      <a:fillRect/>
                    </a:stretch>
                  </pic:blipFill>
                  <pic:spPr>
                    <a:xfrm>
                      <a:off x="0" y="0"/>
                      <a:ext cx="5057775" cy="2076450"/>
                    </a:xfrm>
                    <a:prstGeom prst="rect">
                      <a:avLst/>
                    </a:prstGeom>
                    <a:ln>
                      <a:solidFill>
                        <a:schemeClr val="tx1"/>
                      </a:solidFill>
                    </a:ln>
                  </pic:spPr>
                </pic:pic>
              </a:graphicData>
            </a:graphic>
          </wp:inline>
        </w:drawing>
      </w:r>
    </w:p>
    <w:p w:rsidR="00696C7F" w:rsidRDefault="00696C7F">
      <w:pPr>
        <w:rPr>
          <w:b/>
          <w:bCs/>
          <w:color w:val="4F81BD" w:themeColor="accent1"/>
          <w:sz w:val="18"/>
          <w:szCs w:val="18"/>
        </w:rPr>
      </w:pPr>
      <w:r>
        <w:br w:type="page"/>
      </w:r>
    </w:p>
    <w:p w:rsidR="00696C7F" w:rsidRDefault="00696C7F" w:rsidP="00696C7F">
      <w:pPr>
        <w:pStyle w:val="Caption"/>
      </w:pPr>
      <w:bookmarkStart w:id="147" w:name="_Toc1742384"/>
      <w:r>
        <w:lastRenderedPageBreak/>
        <w:t xml:space="preserve">Table </w:t>
      </w:r>
      <w:r w:rsidR="00E82516">
        <w:rPr>
          <w:noProof/>
        </w:rPr>
        <w:fldChar w:fldCharType="begin"/>
      </w:r>
      <w:r w:rsidR="00291891">
        <w:rPr>
          <w:noProof/>
        </w:rPr>
        <w:instrText xml:space="preserve"> SEQ Table \* ARABIC </w:instrText>
      </w:r>
      <w:r w:rsidR="00E82516">
        <w:rPr>
          <w:noProof/>
        </w:rPr>
        <w:fldChar w:fldCharType="separate"/>
      </w:r>
      <w:r>
        <w:rPr>
          <w:noProof/>
        </w:rPr>
        <w:t>19</w:t>
      </w:r>
      <w:r w:rsidR="00E82516">
        <w:rPr>
          <w:noProof/>
        </w:rPr>
        <w:fldChar w:fldCharType="end"/>
      </w:r>
      <w:r>
        <w:t>: Regression Coefficients of Conventional Banks</w:t>
      </w:r>
      <w:bookmarkEnd w:id="147"/>
    </w:p>
    <w:p w:rsidR="00696C7F" w:rsidRDefault="00696C7F" w:rsidP="00696C7F">
      <w:r w:rsidRPr="00696C7F">
        <w:rPr>
          <w:noProof/>
          <w:lang w:eastAsia="en-GB"/>
        </w:rPr>
        <w:drawing>
          <wp:inline distT="0" distB="0" distL="0" distR="0">
            <wp:extent cx="4648200" cy="5467350"/>
            <wp:effectExtent l="19050" t="19050" r="19050" b="19050"/>
            <wp:docPr id="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cstate="print"/>
                    <a:srcRect/>
                    <a:stretch>
                      <a:fillRect/>
                    </a:stretch>
                  </pic:blipFill>
                  <pic:spPr bwMode="auto">
                    <a:xfrm>
                      <a:off x="0" y="0"/>
                      <a:ext cx="4648200" cy="5467350"/>
                    </a:xfrm>
                    <a:prstGeom prst="rect">
                      <a:avLst/>
                    </a:prstGeom>
                    <a:noFill/>
                    <a:ln w="9525">
                      <a:solidFill>
                        <a:schemeClr val="tx1"/>
                      </a:solidFill>
                      <a:miter lim="800000"/>
                      <a:headEnd/>
                      <a:tailEnd/>
                    </a:ln>
                  </pic:spPr>
                </pic:pic>
              </a:graphicData>
            </a:graphic>
          </wp:inline>
        </w:drawing>
      </w:r>
    </w:p>
    <w:p w:rsidR="00696C7F" w:rsidRDefault="00696C7F">
      <w:pPr>
        <w:rPr>
          <w:b/>
          <w:bCs/>
          <w:color w:val="4F81BD" w:themeColor="accent1"/>
          <w:sz w:val="18"/>
          <w:szCs w:val="18"/>
        </w:rPr>
      </w:pPr>
      <w:r>
        <w:br w:type="page"/>
      </w:r>
    </w:p>
    <w:p w:rsidR="00696C7F" w:rsidRPr="00696C7F" w:rsidRDefault="00696C7F" w:rsidP="00696C7F">
      <w:pPr>
        <w:pStyle w:val="Caption"/>
      </w:pPr>
      <w:bookmarkStart w:id="148" w:name="_Toc1742385"/>
      <w:r>
        <w:lastRenderedPageBreak/>
        <w:t xml:space="preserve">Table </w:t>
      </w:r>
      <w:r w:rsidR="00E82516">
        <w:rPr>
          <w:noProof/>
        </w:rPr>
        <w:fldChar w:fldCharType="begin"/>
      </w:r>
      <w:r w:rsidR="00291891">
        <w:rPr>
          <w:noProof/>
        </w:rPr>
        <w:instrText xml:space="preserve"> SEQ Table \* ARABIC </w:instrText>
      </w:r>
      <w:r w:rsidR="00E82516">
        <w:rPr>
          <w:noProof/>
        </w:rPr>
        <w:fldChar w:fldCharType="separate"/>
      </w:r>
      <w:r>
        <w:rPr>
          <w:noProof/>
        </w:rPr>
        <w:t>20</w:t>
      </w:r>
      <w:r w:rsidR="00E82516">
        <w:rPr>
          <w:noProof/>
        </w:rPr>
        <w:fldChar w:fldCharType="end"/>
      </w:r>
      <w:r>
        <w:t>: Regression Coefficients of Islamic Banks</w:t>
      </w:r>
      <w:bookmarkEnd w:id="148"/>
    </w:p>
    <w:p w:rsidR="00696C7F" w:rsidRPr="00696C7F" w:rsidRDefault="00696C7F" w:rsidP="00696C7F">
      <w:pPr>
        <w:pStyle w:val="Caption"/>
      </w:pPr>
      <w:r w:rsidRPr="00696C7F">
        <w:rPr>
          <w:noProof/>
          <w:lang w:eastAsia="en-GB"/>
        </w:rPr>
        <w:drawing>
          <wp:inline distT="0" distB="0" distL="0" distR="0">
            <wp:extent cx="5610225" cy="4067175"/>
            <wp:effectExtent l="19050" t="19050" r="28575" b="28575"/>
            <wp:docPr id="19" name="Picture 5"/>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28" cstate="print"/>
                    <a:stretch>
                      <a:fillRect/>
                    </a:stretch>
                  </pic:blipFill>
                  <pic:spPr>
                    <a:xfrm>
                      <a:off x="0" y="0"/>
                      <a:ext cx="5610225" cy="4067175"/>
                    </a:xfrm>
                    <a:prstGeom prst="rect">
                      <a:avLst/>
                    </a:prstGeom>
                    <a:ln>
                      <a:solidFill>
                        <a:schemeClr val="tx1"/>
                      </a:solidFill>
                    </a:ln>
                  </pic:spPr>
                </pic:pic>
              </a:graphicData>
            </a:graphic>
          </wp:inline>
        </w:drawing>
      </w:r>
    </w:p>
    <w:p w:rsidR="00696C7F" w:rsidRPr="00696C7F" w:rsidRDefault="00696C7F" w:rsidP="00696C7F">
      <w:pPr>
        <w:pStyle w:val="Caption"/>
      </w:pPr>
    </w:p>
    <w:p w:rsidR="00DE16CB" w:rsidRPr="00EF41CA" w:rsidRDefault="00DE16CB" w:rsidP="00EF41CA"/>
    <w:sectPr w:rsidR="00DE16CB" w:rsidRPr="00EF41CA" w:rsidSect="00055D96">
      <w:footerReference w:type="default" r:id="rId29"/>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04E9E" w:rsidRDefault="00104E9E" w:rsidP="00D35678">
      <w:pPr>
        <w:spacing w:after="0" w:line="240" w:lineRule="auto"/>
      </w:pPr>
      <w:r>
        <w:separator/>
      </w:r>
    </w:p>
  </w:endnote>
  <w:endnote w:type="continuationSeparator" w:id="0">
    <w:p w:rsidR="00104E9E" w:rsidRDefault="00104E9E" w:rsidP="00D35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Italic">
    <w:altName w:val="Times New Roman"/>
    <w:panose1 w:val="00000400000000000000"/>
    <w:charset w:val="00"/>
    <w:family w:val="auto"/>
    <w:pitch w:val="variable"/>
    <w:sig w:usb0="20002A87" w:usb1="00000000" w:usb2="00000000"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15481465"/>
      <w:docPartObj>
        <w:docPartGallery w:val="Page Numbers (Bottom of Page)"/>
        <w:docPartUnique/>
      </w:docPartObj>
    </w:sdtPr>
    <w:sdtEndPr>
      <w:rPr>
        <w:noProof/>
      </w:rPr>
    </w:sdtEndPr>
    <w:sdtContent>
      <w:p w:rsidR="00104E9E" w:rsidRDefault="00104E9E">
        <w:pPr>
          <w:pStyle w:val="Footer"/>
          <w:jc w:val="right"/>
        </w:pPr>
        <w:r>
          <w:rPr>
            <w:noProof/>
          </w:rPr>
          <w:fldChar w:fldCharType="begin"/>
        </w:r>
        <w:r>
          <w:rPr>
            <w:noProof/>
          </w:rPr>
          <w:instrText xml:space="preserve"> PAGE   \* MERGEFORMAT </w:instrText>
        </w:r>
        <w:r>
          <w:rPr>
            <w:noProof/>
          </w:rPr>
          <w:fldChar w:fldCharType="separate"/>
        </w:r>
        <w:r w:rsidR="00271644">
          <w:rPr>
            <w:noProof/>
          </w:rPr>
          <w:t>21</w:t>
        </w:r>
        <w:r>
          <w:rPr>
            <w:noProof/>
          </w:rPr>
          <w:fldChar w:fldCharType="end"/>
        </w:r>
      </w:p>
    </w:sdtContent>
  </w:sdt>
  <w:p w:rsidR="00104E9E" w:rsidRDefault="00104E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04E9E" w:rsidRDefault="00104E9E" w:rsidP="00D35678">
      <w:pPr>
        <w:spacing w:after="0" w:line="240" w:lineRule="auto"/>
      </w:pPr>
      <w:r>
        <w:separator/>
      </w:r>
    </w:p>
  </w:footnote>
  <w:footnote w:type="continuationSeparator" w:id="0">
    <w:p w:rsidR="00104E9E" w:rsidRDefault="00104E9E" w:rsidP="00D356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BC46BE"/>
    <w:multiLevelType w:val="hybridMultilevel"/>
    <w:tmpl w:val="D2D24A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7170F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0D6AE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32592E69"/>
    <w:multiLevelType w:val="hybridMultilevel"/>
    <w:tmpl w:val="8ACC2E38"/>
    <w:lvl w:ilvl="0" w:tplc="04090013">
      <w:start w:val="1"/>
      <w:numFmt w:val="upp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3AC25C6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469E5C7F"/>
    <w:multiLevelType w:val="hybridMultilevel"/>
    <w:tmpl w:val="A26C7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75E67B1"/>
    <w:multiLevelType w:val="multilevel"/>
    <w:tmpl w:val="4692D382"/>
    <w:lvl w:ilvl="0">
      <w:start w:val="1"/>
      <w:numFmt w:val="upperRoman"/>
      <w:lvlText w:val="%1."/>
      <w:lvlJc w:val="righ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59A14A43"/>
    <w:multiLevelType w:val="hybridMultilevel"/>
    <w:tmpl w:val="470CEB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9B51EF"/>
    <w:multiLevelType w:val="hybridMultilevel"/>
    <w:tmpl w:val="EA94AC86"/>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10" w15:restartNumberingAfterBreak="0">
    <w:nsid w:val="6DE837E4"/>
    <w:multiLevelType w:val="hybridMultilevel"/>
    <w:tmpl w:val="DEC013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0E26596"/>
    <w:multiLevelType w:val="hybridMultilevel"/>
    <w:tmpl w:val="EDE85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10"/>
  </w:num>
  <w:num w:numId="2">
    <w:abstractNumId w:val="11"/>
  </w:num>
  <w:num w:numId="3">
    <w:abstractNumId w:val="6"/>
  </w:num>
  <w:num w:numId="4">
    <w:abstractNumId w:val="4"/>
  </w:num>
  <w:num w:numId="5">
    <w:abstractNumId w:val="7"/>
  </w:num>
  <w:num w:numId="6">
    <w:abstractNumId w:val="3"/>
  </w:num>
  <w:num w:numId="7">
    <w:abstractNumId w:val="5"/>
  </w:num>
  <w:num w:numId="8">
    <w:abstractNumId w:val="1"/>
  </w:num>
  <w:num w:numId="9">
    <w:abstractNumId w:val="8"/>
  </w:num>
  <w:num w:numId="10">
    <w:abstractNumId w:val="12"/>
    <w:lvlOverride w:ilvl="0">
      <w:startOverride w:val="1"/>
    </w:lvlOverride>
    <w:lvlOverride w:ilvl="1"/>
    <w:lvlOverride w:ilvl="2"/>
    <w:lvlOverride w:ilvl="3"/>
    <w:lvlOverride w:ilvl="4"/>
    <w:lvlOverride w:ilvl="5"/>
    <w:lvlOverride w:ilvl="6"/>
    <w:lvlOverride w:ilvl="7"/>
    <w:lvlOverride w:ilvl="8"/>
  </w:num>
  <w:num w:numId="11">
    <w:abstractNumId w:val="2"/>
  </w:num>
  <w:num w:numId="12">
    <w:abstractNumId w:val="0"/>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mailMerge>
    <w:mainDocumentType w:val="catalog"/>
    <w:dataType w:val="textFile"/>
    <w:activeRecord w:val="-1"/>
    <w:odso/>
  </w:mailMerg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0D41"/>
    <w:rsid w:val="000050AF"/>
    <w:rsid w:val="000061AB"/>
    <w:rsid w:val="00006A03"/>
    <w:rsid w:val="000102EF"/>
    <w:rsid w:val="000118F5"/>
    <w:rsid w:val="000155A6"/>
    <w:rsid w:val="000162A3"/>
    <w:rsid w:val="00017A51"/>
    <w:rsid w:val="000214D5"/>
    <w:rsid w:val="000233EE"/>
    <w:rsid w:val="00024791"/>
    <w:rsid w:val="00027827"/>
    <w:rsid w:val="00030D41"/>
    <w:rsid w:val="000326E8"/>
    <w:rsid w:val="000328B5"/>
    <w:rsid w:val="00033805"/>
    <w:rsid w:val="00051DA7"/>
    <w:rsid w:val="00054A33"/>
    <w:rsid w:val="00055532"/>
    <w:rsid w:val="00055D96"/>
    <w:rsid w:val="00056DA4"/>
    <w:rsid w:val="0006091D"/>
    <w:rsid w:val="00061B4D"/>
    <w:rsid w:val="00062081"/>
    <w:rsid w:val="00063F41"/>
    <w:rsid w:val="000650DD"/>
    <w:rsid w:val="00065DE3"/>
    <w:rsid w:val="000762A9"/>
    <w:rsid w:val="0009293F"/>
    <w:rsid w:val="000929D9"/>
    <w:rsid w:val="00094AA1"/>
    <w:rsid w:val="00094B8B"/>
    <w:rsid w:val="000A5940"/>
    <w:rsid w:val="000A7654"/>
    <w:rsid w:val="000A7874"/>
    <w:rsid w:val="000B41F7"/>
    <w:rsid w:val="000C0060"/>
    <w:rsid w:val="000C1B67"/>
    <w:rsid w:val="000C5BF9"/>
    <w:rsid w:val="000C7F18"/>
    <w:rsid w:val="000D2F10"/>
    <w:rsid w:val="000D5D8B"/>
    <w:rsid w:val="000E46A8"/>
    <w:rsid w:val="000F3C14"/>
    <w:rsid w:val="000F4A33"/>
    <w:rsid w:val="000F5EA8"/>
    <w:rsid w:val="00103823"/>
    <w:rsid w:val="00103EC4"/>
    <w:rsid w:val="00104E9E"/>
    <w:rsid w:val="00107868"/>
    <w:rsid w:val="001109B7"/>
    <w:rsid w:val="001143B8"/>
    <w:rsid w:val="0011561F"/>
    <w:rsid w:val="00136B7D"/>
    <w:rsid w:val="00137F93"/>
    <w:rsid w:val="0014102C"/>
    <w:rsid w:val="001435F7"/>
    <w:rsid w:val="00153E9F"/>
    <w:rsid w:val="00160B31"/>
    <w:rsid w:val="00165C2F"/>
    <w:rsid w:val="00165DAD"/>
    <w:rsid w:val="00166096"/>
    <w:rsid w:val="00166475"/>
    <w:rsid w:val="00171535"/>
    <w:rsid w:val="001723A3"/>
    <w:rsid w:val="00177449"/>
    <w:rsid w:val="00183815"/>
    <w:rsid w:val="00183DE3"/>
    <w:rsid w:val="00187178"/>
    <w:rsid w:val="00191873"/>
    <w:rsid w:val="00192CE2"/>
    <w:rsid w:val="00193198"/>
    <w:rsid w:val="001A7739"/>
    <w:rsid w:val="001B7631"/>
    <w:rsid w:val="001C028B"/>
    <w:rsid w:val="001C073C"/>
    <w:rsid w:val="001C33AA"/>
    <w:rsid w:val="001C5B3D"/>
    <w:rsid w:val="001D2246"/>
    <w:rsid w:val="001D22CE"/>
    <w:rsid w:val="001D2DC4"/>
    <w:rsid w:val="001D5606"/>
    <w:rsid w:val="001E042B"/>
    <w:rsid w:val="001E6917"/>
    <w:rsid w:val="001E71FB"/>
    <w:rsid w:val="001F4974"/>
    <w:rsid w:val="00213643"/>
    <w:rsid w:val="0021465F"/>
    <w:rsid w:val="0021469F"/>
    <w:rsid w:val="00224908"/>
    <w:rsid w:val="00234225"/>
    <w:rsid w:val="00234475"/>
    <w:rsid w:val="00236CC3"/>
    <w:rsid w:val="0023745D"/>
    <w:rsid w:val="0023790A"/>
    <w:rsid w:val="00241F38"/>
    <w:rsid w:val="0024481A"/>
    <w:rsid w:val="00252D4E"/>
    <w:rsid w:val="002536D9"/>
    <w:rsid w:val="00255C47"/>
    <w:rsid w:val="00262D58"/>
    <w:rsid w:val="00266D96"/>
    <w:rsid w:val="00271644"/>
    <w:rsid w:val="00271D54"/>
    <w:rsid w:val="00281818"/>
    <w:rsid w:val="0028593E"/>
    <w:rsid w:val="00285971"/>
    <w:rsid w:val="002879F3"/>
    <w:rsid w:val="002909E3"/>
    <w:rsid w:val="00291891"/>
    <w:rsid w:val="00292B65"/>
    <w:rsid w:val="002949B5"/>
    <w:rsid w:val="002A25F3"/>
    <w:rsid w:val="002A2B88"/>
    <w:rsid w:val="002A3E57"/>
    <w:rsid w:val="002A6C6D"/>
    <w:rsid w:val="002A7500"/>
    <w:rsid w:val="002B5F4E"/>
    <w:rsid w:val="002B701E"/>
    <w:rsid w:val="002C1B4A"/>
    <w:rsid w:val="002C5F6E"/>
    <w:rsid w:val="002D4443"/>
    <w:rsid w:val="002D5DC5"/>
    <w:rsid w:val="002E2AC6"/>
    <w:rsid w:val="002E51A4"/>
    <w:rsid w:val="002E663A"/>
    <w:rsid w:val="002F480C"/>
    <w:rsid w:val="00300E9D"/>
    <w:rsid w:val="003069A5"/>
    <w:rsid w:val="00310304"/>
    <w:rsid w:val="00312212"/>
    <w:rsid w:val="00316B16"/>
    <w:rsid w:val="003247DD"/>
    <w:rsid w:val="00331A8B"/>
    <w:rsid w:val="003362FD"/>
    <w:rsid w:val="003454C1"/>
    <w:rsid w:val="00350F9D"/>
    <w:rsid w:val="0035445A"/>
    <w:rsid w:val="00363BF3"/>
    <w:rsid w:val="003652F6"/>
    <w:rsid w:val="00371E70"/>
    <w:rsid w:val="00376D59"/>
    <w:rsid w:val="00390E40"/>
    <w:rsid w:val="0039100D"/>
    <w:rsid w:val="0039153D"/>
    <w:rsid w:val="0039406C"/>
    <w:rsid w:val="00394B89"/>
    <w:rsid w:val="0039629C"/>
    <w:rsid w:val="003A03F4"/>
    <w:rsid w:val="003A585D"/>
    <w:rsid w:val="003A5946"/>
    <w:rsid w:val="003C1F34"/>
    <w:rsid w:val="003C32DA"/>
    <w:rsid w:val="003C57CA"/>
    <w:rsid w:val="003C7315"/>
    <w:rsid w:val="003D0228"/>
    <w:rsid w:val="003D4054"/>
    <w:rsid w:val="003D76A7"/>
    <w:rsid w:val="003D7D7F"/>
    <w:rsid w:val="003E76AF"/>
    <w:rsid w:val="003F38B7"/>
    <w:rsid w:val="003F51B4"/>
    <w:rsid w:val="003F5C27"/>
    <w:rsid w:val="0040442D"/>
    <w:rsid w:val="00404E0B"/>
    <w:rsid w:val="00413136"/>
    <w:rsid w:val="004131C7"/>
    <w:rsid w:val="00415FFA"/>
    <w:rsid w:val="0041716D"/>
    <w:rsid w:val="004206CB"/>
    <w:rsid w:val="00422E62"/>
    <w:rsid w:val="004267D8"/>
    <w:rsid w:val="00435844"/>
    <w:rsid w:val="00440896"/>
    <w:rsid w:val="004422B6"/>
    <w:rsid w:val="004446BF"/>
    <w:rsid w:val="00445268"/>
    <w:rsid w:val="00453843"/>
    <w:rsid w:val="0045628E"/>
    <w:rsid w:val="00457058"/>
    <w:rsid w:val="004650DA"/>
    <w:rsid w:val="00466DCB"/>
    <w:rsid w:val="00474008"/>
    <w:rsid w:val="00475CCD"/>
    <w:rsid w:val="00477332"/>
    <w:rsid w:val="004A04E6"/>
    <w:rsid w:val="004A78BE"/>
    <w:rsid w:val="004B4797"/>
    <w:rsid w:val="004B5301"/>
    <w:rsid w:val="004B76CE"/>
    <w:rsid w:val="004C0CB3"/>
    <w:rsid w:val="004C313E"/>
    <w:rsid w:val="004D2E81"/>
    <w:rsid w:val="004E3669"/>
    <w:rsid w:val="004E4B01"/>
    <w:rsid w:val="004F03CA"/>
    <w:rsid w:val="0050006E"/>
    <w:rsid w:val="00501242"/>
    <w:rsid w:val="00511064"/>
    <w:rsid w:val="00512DC5"/>
    <w:rsid w:val="00514D69"/>
    <w:rsid w:val="00517064"/>
    <w:rsid w:val="00522EF1"/>
    <w:rsid w:val="0052757A"/>
    <w:rsid w:val="005309A5"/>
    <w:rsid w:val="0053150D"/>
    <w:rsid w:val="0053750F"/>
    <w:rsid w:val="005428DE"/>
    <w:rsid w:val="005431D4"/>
    <w:rsid w:val="005443EF"/>
    <w:rsid w:val="00550E0B"/>
    <w:rsid w:val="00551308"/>
    <w:rsid w:val="005516A9"/>
    <w:rsid w:val="005543BC"/>
    <w:rsid w:val="00554C63"/>
    <w:rsid w:val="005567A5"/>
    <w:rsid w:val="00560F9E"/>
    <w:rsid w:val="0057541F"/>
    <w:rsid w:val="0058028B"/>
    <w:rsid w:val="00583862"/>
    <w:rsid w:val="00586E60"/>
    <w:rsid w:val="005955D3"/>
    <w:rsid w:val="00596D28"/>
    <w:rsid w:val="005A0E6F"/>
    <w:rsid w:val="005A5AF3"/>
    <w:rsid w:val="005A5F33"/>
    <w:rsid w:val="005B11ED"/>
    <w:rsid w:val="005C0B67"/>
    <w:rsid w:val="005C547D"/>
    <w:rsid w:val="005C637B"/>
    <w:rsid w:val="005C77D2"/>
    <w:rsid w:val="005D2290"/>
    <w:rsid w:val="005E2054"/>
    <w:rsid w:val="00600EF2"/>
    <w:rsid w:val="006171A5"/>
    <w:rsid w:val="00617ABD"/>
    <w:rsid w:val="00617CF7"/>
    <w:rsid w:val="006254F7"/>
    <w:rsid w:val="006273C9"/>
    <w:rsid w:val="006362D1"/>
    <w:rsid w:val="006363DC"/>
    <w:rsid w:val="0065770F"/>
    <w:rsid w:val="00661257"/>
    <w:rsid w:val="006708C1"/>
    <w:rsid w:val="006712D0"/>
    <w:rsid w:val="00677DA2"/>
    <w:rsid w:val="00690759"/>
    <w:rsid w:val="00692349"/>
    <w:rsid w:val="0069257D"/>
    <w:rsid w:val="00696C7F"/>
    <w:rsid w:val="006A401C"/>
    <w:rsid w:val="006A7F44"/>
    <w:rsid w:val="006B7C9F"/>
    <w:rsid w:val="006C2E03"/>
    <w:rsid w:val="006C37D5"/>
    <w:rsid w:val="006D26E0"/>
    <w:rsid w:val="006D3124"/>
    <w:rsid w:val="006D389D"/>
    <w:rsid w:val="006D4BAC"/>
    <w:rsid w:val="006E7A4A"/>
    <w:rsid w:val="006F1EEB"/>
    <w:rsid w:val="006F3C73"/>
    <w:rsid w:val="00700091"/>
    <w:rsid w:val="00713565"/>
    <w:rsid w:val="00713FC3"/>
    <w:rsid w:val="00720CE7"/>
    <w:rsid w:val="007214F7"/>
    <w:rsid w:val="007249DA"/>
    <w:rsid w:val="00726C8C"/>
    <w:rsid w:val="007357AB"/>
    <w:rsid w:val="0073595A"/>
    <w:rsid w:val="00751138"/>
    <w:rsid w:val="00753EFF"/>
    <w:rsid w:val="0076213B"/>
    <w:rsid w:val="00763C92"/>
    <w:rsid w:val="00766939"/>
    <w:rsid w:val="00766945"/>
    <w:rsid w:val="00775D68"/>
    <w:rsid w:val="00786736"/>
    <w:rsid w:val="00791CB0"/>
    <w:rsid w:val="007949FF"/>
    <w:rsid w:val="00794B23"/>
    <w:rsid w:val="007A1C82"/>
    <w:rsid w:val="007A4CF5"/>
    <w:rsid w:val="007B3336"/>
    <w:rsid w:val="007B5465"/>
    <w:rsid w:val="007B6981"/>
    <w:rsid w:val="007B6DB0"/>
    <w:rsid w:val="007C00F0"/>
    <w:rsid w:val="007C0375"/>
    <w:rsid w:val="007C0691"/>
    <w:rsid w:val="007C2343"/>
    <w:rsid w:val="007D4D3C"/>
    <w:rsid w:val="007D62EC"/>
    <w:rsid w:val="007D6811"/>
    <w:rsid w:val="007E4235"/>
    <w:rsid w:val="007E7258"/>
    <w:rsid w:val="007E7D58"/>
    <w:rsid w:val="007F01C8"/>
    <w:rsid w:val="007F0BCE"/>
    <w:rsid w:val="007F2BB8"/>
    <w:rsid w:val="00813ABF"/>
    <w:rsid w:val="00817AE2"/>
    <w:rsid w:val="008223C9"/>
    <w:rsid w:val="008244BE"/>
    <w:rsid w:val="008259CB"/>
    <w:rsid w:val="008269C8"/>
    <w:rsid w:val="00827D7B"/>
    <w:rsid w:val="008361C1"/>
    <w:rsid w:val="00837C67"/>
    <w:rsid w:val="00841635"/>
    <w:rsid w:val="00871C95"/>
    <w:rsid w:val="00873ED1"/>
    <w:rsid w:val="0087647E"/>
    <w:rsid w:val="00877C60"/>
    <w:rsid w:val="008806A3"/>
    <w:rsid w:val="00885A38"/>
    <w:rsid w:val="00892945"/>
    <w:rsid w:val="0089595F"/>
    <w:rsid w:val="00895E04"/>
    <w:rsid w:val="008969AF"/>
    <w:rsid w:val="00896D6A"/>
    <w:rsid w:val="00896DBD"/>
    <w:rsid w:val="00897E86"/>
    <w:rsid w:val="008A70B6"/>
    <w:rsid w:val="008B1FB3"/>
    <w:rsid w:val="008B7187"/>
    <w:rsid w:val="008D22A8"/>
    <w:rsid w:val="008D627C"/>
    <w:rsid w:val="008E1A6D"/>
    <w:rsid w:val="008E3DF4"/>
    <w:rsid w:val="008E5F7F"/>
    <w:rsid w:val="008E61AF"/>
    <w:rsid w:val="008E6A75"/>
    <w:rsid w:val="0090319D"/>
    <w:rsid w:val="009031DD"/>
    <w:rsid w:val="00905EF2"/>
    <w:rsid w:val="00906F93"/>
    <w:rsid w:val="009132ED"/>
    <w:rsid w:val="00914C42"/>
    <w:rsid w:val="00923560"/>
    <w:rsid w:val="00924E97"/>
    <w:rsid w:val="00926F6A"/>
    <w:rsid w:val="009330A7"/>
    <w:rsid w:val="009345B9"/>
    <w:rsid w:val="00934D74"/>
    <w:rsid w:val="00940741"/>
    <w:rsid w:val="00940DAE"/>
    <w:rsid w:val="00945EC5"/>
    <w:rsid w:val="00953719"/>
    <w:rsid w:val="0096664A"/>
    <w:rsid w:val="00971283"/>
    <w:rsid w:val="009730BD"/>
    <w:rsid w:val="00975D39"/>
    <w:rsid w:val="00975DC7"/>
    <w:rsid w:val="00983866"/>
    <w:rsid w:val="009852A1"/>
    <w:rsid w:val="0098781B"/>
    <w:rsid w:val="00991D93"/>
    <w:rsid w:val="00991FE5"/>
    <w:rsid w:val="00993545"/>
    <w:rsid w:val="009A0F13"/>
    <w:rsid w:val="009A234F"/>
    <w:rsid w:val="009A407B"/>
    <w:rsid w:val="009B012E"/>
    <w:rsid w:val="009C63CF"/>
    <w:rsid w:val="009C6A72"/>
    <w:rsid w:val="009D1422"/>
    <w:rsid w:val="009D2CC5"/>
    <w:rsid w:val="009D4AA7"/>
    <w:rsid w:val="009D5AB2"/>
    <w:rsid w:val="009F2786"/>
    <w:rsid w:val="009F338A"/>
    <w:rsid w:val="009F339A"/>
    <w:rsid w:val="009F3A87"/>
    <w:rsid w:val="009F4702"/>
    <w:rsid w:val="009F54AF"/>
    <w:rsid w:val="00A01492"/>
    <w:rsid w:val="00A0530E"/>
    <w:rsid w:val="00A12553"/>
    <w:rsid w:val="00A12707"/>
    <w:rsid w:val="00A1524A"/>
    <w:rsid w:val="00A238FC"/>
    <w:rsid w:val="00A24164"/>
    <w:rsid w:val="00A24ADE"/>
    <w:rsid w:val="00A27153"/>
    <w:rsid w:val="00A31E0C"/>
    <w:rsid w:val="00A34BA5"/>
    <w:rsid w:val="00A35AE3"/>
    <w:rsid w:val="00A37016"/>
    <w:rsid w:val="00A37506"/>
    <w:rsid w:val="00A46188"/>
    <w:rsid w:val="00A52979"/>
    <w:rsid w:val="00A534C2"/>
    <w:rsid w:val="00A57957"/>
    <w:rsid w:val="00A67084"/>
    <w:rsid w:val="00A67C9D"/>
    <w:rsid w:val="00A823DE"/>
    <w:rsid w:val="00A829F3"/>
    <w:rsid w:val="00A83D8B"/>
    <w:rsid w:val="00A924CD"/>
    <w:rsid w:val="00AA7575"/>
    <w:rsid w:val="00AB588A"/>
    <w:rsid w:val="00AB6D2F"/>
    <w:rsid w:val="00AD46A7"/>
    <w:rsid w:val="00AE0246"/>
    <w:rsid w:val="00AE50BC"/>
    <w:rsid w:val="00AE53D5"/>
    <w:rsid w:val="00AF721D"/>
    <w:rsid w:val="00B005D8"/>
    <w:rsid w:val="00B11678"/>
    <w:rsid w:val="00B26D25"/>
    <w:rsid w:val="00B32607"/>
    <w:rsid w:val="00B42002"/>
    <w:rsid w:val="00B474B8"/>
    <w:rsid w:val="00B50819"/>
    <w:rsid w:val="00B54CC5"/>
    <w:rsid w:val="00B55BB3"/>
    <w:rsid w:val="00B56ADF"/>
    <w:rsid w:val="00B6450E"/>
    <w:rsid w:val="00B76A82"/>
    <w:rsid w:val="00B772D5"/>
    <w:rsid w:val="00B83725"/>
    <w:rsid w:val="00B967B6"/>
    <w:rsid w:val="00BA6E59"/>
    <w:rsid w:val="00BB16D8"/>
    <w:rsid w:val="00BB5A86"/>
    <w:rsid w:val="00BB7EB7"/>
    <w:rsid w:val="00BC1DC7"/>
    <w:rsid w:val="00BC3CB9"/>
    <w:rsid w:val="00BC6ECB"/>
    <w:rsid w:val="00BD0647"/>
    <w:rsid w:val="00BD5809"/>
    <w:rsid w:val="00BD7B8A"/>
    <w:rsid w:val="00BD7E4B"/>
    <w:rsid w:val="00BE2FFB"/>
    <w:rsid w:val="00BE52BC"/>
    <w:rsid w:val="00BF0FCB"/>
    <w:rsid w:val="00C04037"/>
    <w:rsid w:val="00C0515E"/>
    <w:rsid w:val="00C127F1"/>
    <w:rsid w:val="00C25820"/>
    <w:rsid w:val="00C3517C"/>
    <w:rsid w:val="00C378ED"/>
    <w:rsid w:val="00C408AA"/>
    <w:rsid w:val="00C47D16"/>
    <w:rsid w:val="00C53AC8"/>
    <w:rsid w:val="00C55205"/>
    <w:rsid w:val="00C57E7D"/>
    <w:rsid w:val="00C614CC"/>
    <w:rsid w:val="00C66B22"/>
    <w:rsid w:val="00C96A3C"/>
    <w:rsid w:val="00CA7920"/>
    <w:rsid w:val="00CB10A5"/>
    <w:rsid w:val="00CB723A"/>
    <w:rsid w:val="00CC21DD"/>
    <w:rsid w:val="00CC2EB3"/>
    <w:rsid w:val="00CC3181"/>
    <w:rsid w:val="00CC6D72"/>
    <w:rsid w:val="00CC73CB"/>
    <w:rsid w:val="00CD39AD"/>
    <w:rsid w:val="00CD5CDC"/>
    <w:rsid w:val="00CE0345"/>
    <w:rsid w:val="00CE11C3"/>
    <w:rsid w:val="00CE198E"/>
    <w:rsid w:val="00CE4BDB"/>
    <w:rsid w:val="00CE5016"/>
    <w:rsid w:val="00CF0711"/>
    <w:rsid w:val="00CF092F"/>
    <w:rsid w:val="00CF0D38"/>
    <w:rsid w:val="00CF64CD"/>
    <w:rsid w:val="00D00967"/>
    <w:rsid w:val="00D00B89"/>
    <w:rsid w:val="00D02383"/>
    <w:rsid w:val="00D04AB3"/>
    <w:rsid w:val="00D05763"/>
    <w:rsid w:val="00D17DF5"/>
    <w:rsid w:val="00D22749"/>
    <w:rsid w:val="00D24936"/>
    <w:rsid w:val="00D30364"/>
    <w:rsid w:val="00D35678"/>
    <w:rsid w:val="00D379D5"/>
    <w:rsid w:val="00D43C1B"/>
    <w:rsid w:val="00D452CC"/>
    <w:rsid w:val="00D53914"/>
    <w:rsid w:val="00D55BE0"/>
    <w:rsid w:val="00D5715E"/>
    <w:rsid w:val="00D62C1F"/>
    <w:rsid w:val="00D62FC8"/>
    <w:rsid w:val="00D817B0"/>
    <w:rsid w:val="00D849F8"/>
    <w:rsid w:val="00D87412"/>
    <w:rsid w:val="00D87D7D"/>
    <w:rsid w:val="00D93B7B"/>
    <w:rsid w:val="00D94431"/>
    <w:rsid w:val="00D94681"/>
    <w:rsid w:val="00D95663"/>
    <w:rsid w:val="00D9599E"/>
    <w:rsid w:val="00DA374E"/>
    <w:rsid w:val="00DB44F8"/>
    <w:rsid w:val="00DC0734"/>
    <w:rsid w:val="00DC0A9A"/>
    <w:rsid w:val="00DC1E42"/>
    <w:rsid w:val="00DC72A6"/>
    <w:rsid w:val="00DD7575"/>
    <w:rsid w:val="00DE16CB"/>
    <w:rsid w:val="00DF0F96"/>
    <w:rsid w:val="00DF10F8"/>
    <w:rsid w:val="00E0007B"/>
    <w:rsid w:val="00E0123D"/>
    <w:rsid w:val="00E01551"/>
    <w:rsid w:val="00E0649D"/>
    <w:rsid w:val="00E140C5"/>
    <w:rsid w:val="00E15EA1"/>
    <w:rsid w:val="00E33E1C"/>
    <w:rsid w:val="00E344DB"/>
    <w:rsid w:val="00E34D5E"/>
    <w:rsid w:val="00E361D6"/>
    <w:rsid w:val="00E45943"/>
    <w:rsid w:val="00E46F20"/>
    <w:rsid w:val="00E506F7"/>
    <w:rsid w:val="00E561A4"/>
    <w:rsid w:val="00E613BC"/>
    <w:rsid w:val="00E62E15"/>
    <w:rsid w:val="00E72C27"/>
    <w:rsid w:val="00E82516"/>
    <w:rsid w:val="00E837F2"/>
    <w:rsid w:val="00E839F9"/>
    <w:rsid w:val="00E91216"/>
    <w:rsid w:val="00E91350"/>
    <w:rsid w:val="00EA3308"/>
    <w:rsid w:val="00EB1DFB"/>
    <w:rsid w:val="00EB22F3"/>
    <w:rsid w:val="00EB44DF"/>
    <w:rsid w:val="00EB4734"/>
    <w:rsid w:val="00EB5B90"/>
    <w:rsid w:val="00EB76DD"/>
    <w:rsid w:val="00EC6A8F"/>
    <w:rsid w:val="00EE0E53"/>
    <w:rsid w:val="00EE1475"/>
    <w:rsid w:val="00EE1A27"/>
    <w:rsid w:val="00EE312C"/>
    <w:rsid w:val="00EF079C"/>
    <w:rsid w:val="00EF41CA"/>
    <w:rsid w:val="00F02175"/>
    <w:rsid w:val="00F04015"/>
    <w:rsid w:val="00F07D23"/>
    <w:rsid w:val="00F17701"/>
    <w:rsid w:val="00F178A5"/>
    <w:rsid w:val="00F21E44"/>
    <w:rsid w:val="00F35464"/>
    <w:rsid w:val="00F375FB"/>
    <w:rsid w:val="00F43B60"/>
    <w:rsid w:val="00F50318"/>
    <w:rsid w:val="00F5120C"/>
    <w:rsid w:val="00F57305"/>
    <w:rsid w:val="00F61E31"/>
    <w:rsid w:val="00F647A8"/>
    <w:rsid w:val="00F670FE"/>
    <w:rsid w:val="00F752C4"/>
    <w:rsid w:val="00F76ECC"/>
    <w:rsid w:val="00F808CB"/>
    <w:rsid w:val="00F8602A"/>
    <w:rsid w:val="00F9062C"/>
    <w:rsid w:val="00F90ECF"/>
    <w:rsid w:val="00F913D4"/>
    <w:rsid w:val="00F937FF"/>
    <w:rsid w:val="00FB0671"/>
    <w:rsid w:val="00FB07D1"/>
    <w:rsid w:val="00FB155E"/>
    <w:rsid w:val="00FB50FD"/>
    <w:rsid w:val="00FC13D2"/>
    <w:rsid w:val="00FC2C42"/>
    <w:rsid w:val="00FD2ECB"/>
    <w:rsid w:val="00FD7860"/>
    <w:rsid w:val="00FD7B46"/>
    <w:rsid w:val="00FE2447"/>
    <w:rsid w:val="00FF736A"/>
  </w:rsids>
  <m:mathPr>
    <m:mathFont m:val="Cambria Math"/>
    <m:brkBin m:val="before"/>
    <m:brkBinSub m:val="--"/>
    <m:smallFrac/>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6E3952"/>
  <w15:docId w15:val="{A0C80E6F-FE60-42B3-9192-1924D221F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31D4"/>
  </w:style>
  <w:style w:type="paragraph" w:styleId="Heading1">
    <w:name w:val="heading 1"/>
    <w:basedOn w:val="Normal"/>
    <w:next w:val="Normal"/>
    <w:link w:val="Heading1Char"/>
    <w:uiPriority w:val="9"/>
    <w:qFormat/>
    <w:rsid w:val="00030D4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F41C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162A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967B6"/>
    <w:pPr>
      <w:keepNext/>
      <w:keepLines/>
      <w:spacing w:before="40" w:after="0"/>
      <w:jc w:val="both"/>
      <w:outlineLvl w:val="3"/>
    </w:pPr>
    <w:rPr>
      <w:rFonts w:asciiTheme="majorHAnsi" w:eastAsiaTheme="majorEastAsia" w:hAnsiTheme="majorHAnsi" w:cstheme="majorBidi"/>
      <w:i/>
      <w:iCs/>
      <w:color w:val="365F91" w:themeColor="accent1" w:themeShade="BF"/>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D41"/>
    <w:rPr>
      <w:rFonts w:asciiTheme="majorHAnsi" w:eastAsiaTheme="majorEastAsia" w:hAnsiTheme="majorHAnsi" w:cstheme="majorBidi"/>
      <w:b/>
      <w:bCs/>
      <w:color w:val="365F91" w:themeColor="accent1" w:themeShade="BF"/>
      <w:sz w:val="28"/>
      <w:szCs w:val="28"/>
    </w:rPr>
  </w:style>
  <w:style w:type="paragraph" w:styleId="Caption">
    <w:name w:val="caption"/>
    <w:basedOn w:val="Normal"/>
    <w:next w:val="Normal"/>
    <w:uiPriority w:val="35"/>
    <w:unhideWhenUsed/>
    <w:qFormat/>
    <w:rsid w:val="00FB0671"/>
    <w:pPr>
      <w:spacing w:line="240" w:lineRule="auto"/>
    </w:pPr>
    <w:rPr>
      <w:b/>
      <w:bCs/>
      <w:color w:val="4F81BD" w:themeColor="accent1"/>
      <w:sz w:val="18"/>
      <w:szCs w:val="18"/>
    </w:rPr>
  </w:style>
  <w:style w:type="table" w:styleId="TableGrid">
    <w:name w:val="Table Grid"/>
    <w:basedOn w:val="TableNormal"/>
    <w:uiPriority w:val="59"/>
    <w:rsid w:val="00FB067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EF41CA"/>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4650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50DA"/>
    <w:rPr>
      <w:rFonts w:ascii="Tahoma" w:hAnsi="Tahoma" w:cs="Tahoma"/>
      <w:sz w:val="16"/>
      <w:szCs w:val="16"/>
    </w:rPr>
  </w:style>
  <w:style w:type="character" w:styleId="Hyperlink">
    <w:name w:val="Hyperlink"/>
    <w:basedOn w:val="DefaultParagraphFont"/>
    <w:uiPriority w:val="99"/>
    <w:unhideWhenUsed/>
    <w:rsid w:val="00D87D7D"/>
    <w:rPr>
      <w:color w:val="0000FF" w:themeColor="hyperlink"/>
      <w:u w:val="single"/>
    </w:rPr>
  </w:style>
  <w:style w:type="paragraph" w:styleId="Header">
    <w:name w:val="header"/>
    <w:basedOn w:val="Normal"/>
    <w:link w:val="HeaderChar"/>
    <w:uiPriority w:val="99"/>
    <w:unhideWhenUsed/>
    <w:rsid w:val="00D356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678"/>
  </w:style>
  <w:style w:type="paragraph" w:styleId="Footer">
    <w:name w:val="footer"/>
    <w:basedOn w:val="Normal"/>
    <w:link w:val="FooterChar"/>
    <w:uiPriority w:val="99"/>
    <w:unhideWhenUsed/>
    <w:rsid w:val="00D356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678"/>
  </w:style>
  <w:style w:type="paragraph" w:styleId="Title">
    <w:name w:val="Title"/>
    <w:basedOn w:val="Normal"/>
    <w:next w:val="Normal"/>
    <w:link w:val="TitleChar"/>
    <w:uiPriority w:val="10"/>
    <w:qFormat/>
    <w:rsid w:val="00E62E1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62E15"/>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unhideWhenUsed/>
    <w:qFormat/>
    <w:rsid w:val="00E62E15"/>
    <w:pPr>
      <w:spacing w:line="276" w:lineRule="auto"/>
      <w:outlineLvl w:val="9"/>
    </w:pPr>
    <w:rPr>
      <w:lang w:val="en-US"/>
    </w:rPr>
  </w:style>
  <w:style w:type="paragraph" w:styleId="TOC1">
    <w:name w:val="toc 1"/>
    <w:basedOn w:val="Normal"/>
    <w:next w:val="Normal"/>
    <w:autoRedefine/>
    <w:uiPriority w:val="39"/>
    <w:unhideWhenUsed/>
    <w:rsid w:val="00E62E15"/>
    <w:pPr>
      <w:spacing w:after="100"/>
    </w:pPr>
  </w:style>
  <w:style w:type="paragraph" w:styleId="TOC2">
    <w:name w:val="toc 2"/>
    <w:basedOn w:val="Normal"/>
    <w:next w:val="Normal"/>
    <w:autoRedefine/>
    <w:uiPriority w:val="39"/>
    <w:unhideWhenUsed/>
    <w:rsid w:val="00E62E15"/>
    <w:pPr>
      <w:spacing w:after="100"/>
      <w:ind w:left="220"/>
    </w:pPr>
  </w:style>
  <w:style w:type="paragraph" w:styleId="TableofFigures">
    <w:name w:val="table of figures"/>
    <w:basedOn w:val="Normal"/>
    <w:next w:val="Normal"/>
    <w:uiPriority w:val="99"/>
    <w:unhideWhenUsed/>
    <w:rsid w:val="00213643"/>
    <w:pPr>
      <w:spacing w:after="0"/>
    </w:pPr>
  </w:style>
  <w:style w:type="character" w:customStyle="1" w:styleId="Heading3Char">
    <w:name w:val="Heading 3 Char"/>
    <w:basedOn w:val="DefaultParagraphFont"/>
    <w:link w:val="Heading3"/>
    <w:uiPriority w:val="9"/>
    <w:rsid w:val="000162A3"/>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1E71FB"/>
    <w:pPr>
      <w:spacing w:after="100"/>
      <w:ind w:left="440"/>
    </w:pPr>
  </w:style>
  <w:style w:type="paragraph" w:styleId="Subtitle">
    <w:name w:val="Subtitle"/>
    <w:basedOn w:val="Normal"/>
    <w:next w:val="Normal"/>
    <w:link w:val="SubtitleChar"/>
    <w:uiPriority w:val="11"/>
    <w:qFormat/>
    <w:rsid w:val="00896DBD"/>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96DBD"/>
    <w:rPr>
      <w:rFonts w:eastAsiaTheme="minorEastAsia"/>
      <w:color w:val="5A5A5A" w:themeColor="text1" w:themeTint="A5"/>
      <w:spacing w:val="15"/>
    </w:rPr>
  </w:style>
  <w:style w:type="paragraph" w:styleId="ListParagraph">
    <w:name w:val="List Paragraph"/>
    <w:basedOn w:val="Normal"/>
    <w:uiPriority w:val="34"/>
    <w:qFormat/>
    <w:rsid w:val="00B967B6"/>
    <w:pPr>
      <w:spacing w:line="276" w:lineRule="auto"/>
      <w:ind w:left="720"/>
      <w:contextualSpacing/>
    </w:pPr>
    <w:rPr>
      <w:lang w:val="en-US"/>
    </w:rPr>
  </w:style>
  <w:style w:type="character" w:customStyle="1" w:styleId="selectable">
    <w:name w:val="selectable"/>
    <w:basedOn w:val="DefaultParagraphFont"/>
    <w:rsid w:val="00B967B6"/>
  </w:style>
  <w:style w:type="character" w:customStyle="1" w:styleId="Heading4Char">
    <w:name w:val="Heading 4 Char"/>
    <w:basedOn w:val="DefaultParagraphFont"/>
    <w:link w:val="Heading4"/>
    <w:uiPriority w:val="9"/>
    <w:rsid w:val="00B967B6"/>
    <w:rPr>
      <w:rFonts w:asciiTheme="majorHAnsi" w:eastAsiaTheme="majorEastAsia" w:hAnsiTheme="majorHAnsi" w:cstheme="majorBidi"/>
      <w:i/>
      <w:iCs/>
      <w:color w:val="365F91" w:themeColor="accent1" w:themeShade="BF"/>
      <w:sz w:val="24"/>
      <w:lang w:val="en-US"/>
    </w:rPr>
  </w:style>
  <w:style w:type="character" w:customStyle="1" w:styleId="apple-converted-space">
    <w:name w:val="apple-converted-space"/>
    <w:basedOn w:val="DefaultParagraphFont"/>
    <w:qFormat/>
    <w:rsid w:val="00B967B6"/>
  </w:style>
  <w:style w:type="paragraph" w:styleId="Bibliography">
    <w:name w:val="Bibliography"/>
    <w:basedOn w:val="Normal"/>
    <w:next w:val="Normal"/>
    <w:uiPriority w:val="37"/>
    <w:semiHidden/>
    <w:unhideWhenUsed/>
    <w:rsid w:val="005309A5"/>
  </w:style>
  <w:style w:type="character" w:customStyle="1" w:styleId="fontstyle01">
    <w:name w:val="fontstyle01"/>
    <w:basedOn w:val="DefaultParagraphFont"/>
    <w:rsid w:val="005309A5"/>
    <w:rPr>
      <w:rFonts w:ascii="Italic" w:hAnsi="Italic" w:hint="default"/>
      <w:b w:val="0"/>
      <w:bCs w:val="0"/>
      <w:i/>
      <w:iCs/>
      <w:color w:val="000000"/>
      <w:sz w:val="16"/>
      <w:szCs w:val="16"/>
    </w:rPr>
  </w:style>
  <w:style w:type="character" w:customStyle="1" w:styleId="ls18">
    <w:name w:val="ls18"/>
    <w:basedOn w:val="DefaultParagraphFont"/>
    <w:rsid w:val="007E7D58"/>
  </w:style>
  <w:style w:type="character" w:customStyle="1" w:styleId="ls1c">
    <w:name w:val="ls1c"/>
    <w:basedOn w:val="DefaultParagraphFont"/>
    <w:rsid w:val="007E7D58"/>
  </w:style>
  <w:style w:type="character" w:customStyle="1" w:styleId="ls17">
    <w:name w:val="ls17"/>
    <w:basedOn w:val="DefaultParagraphFont"/>
    <w:rsid w:val="007E7D58"/>
  </w:style>
  <w:style w:type="character" w:customStyle="1" w:styleId="hps">
    <w:name w:val="hps"/>
    <w:rsid w:val="00993545"/>
  </w:style>
  <w:style w:type="paragraph" w:styleId="NoSpacing">
    <w:name w:val="No Spacing"/>
    <w:uiPriority w:val="99"/>
    <w:qFormat/>
    <w:rsid w:val="00993545"/>
    <w:pPr>
      <w:overflowPunct w:val="0"/>
      <w:autoSpaceDE w:val="0"/>
      <w:autoSpaceDN w:val="0"/>
      <w:adjustRightInd w:val="0"/>
      <w:spacing w:after="0" w:line="240" w:lineRule="auto"/>
    </w:pPr>
    <w:rPr>
      <w:rFonts w:ascii="Calibri" w:eastAsia="Times New Roman" w:hAnsi="Calibri" w:cs="Times New Roman"/>
      <w:szCs w:val="20"/>
    </w:rPr>
  </w:style>
  <w:style w:type="character" w:customStyle="1" w:styleId="shorttext">
    <w:name w:val="short_text"/>
    <w:rsid w:val="009935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776315">
      <w:bodyDiv w:val="1"/>
      <w:marLeft w:val="0"/>
      <w:marRight w:val="0"/>
      <w:marTop w:val="0"/>
      <w:marBottom w:val="0"/>
      <w:divBdr>
        <w:top w:val="none" w:sz="0" w:space="0" w:color="auto"/>
        <w:left w:val="none" w:sz="0" w:space="0" w:color="auto"/>
        <w:bottom w:val="none" w:sz="0" w:space="0" w:color="auto"/>
        <w:right w:val="none" w:sz="0" w:space="0" w:color="auto"/>
      </w:divBdr>
    </w:div>
    <w:div w:id="376589010">
      <w:bodyDiv w:val="1"/>
      <w:marLeft w:val="0"/>
      <w:marRight w:val="0"/>
      <w:marTop w:val="0"/>
      <w:marBottom w:val="0"/>
      <w:divBdr>
        <w:top w:val="none" w:sz="0" w:space="0" w:color="auto"/>
        <w:left w:val="none" w:sz="0" w:space="0" w:color="auto"/>
        <w:bottom w:val="none" w:sz="0" w:space="0" w:color="auto"/>
        <w:right w:val="none" w:sz="0" w:space="0" w:color="auto"/>
      </w:divBdr>
    </w:div>
    <w:div w:id="384136972">
      <w:bodyDiv w:val="1"/>
      <w:marLeft w:val="0"/>
      <w:marRight w:val="0"/>
      <w:marTop w:val="0"/>
      <w:marBottom w:val="0"/>
      <w:divBdr>
        <w:top w:val="none" w:sz="0" w:space="0" w:color="auto"/>
        <w:left w:val="none" w:sz="0" w:space="0" w:color="auto"/>
        <w:bottom w:val="none" w:sz="0" w:space="0" w:color="auto"/>
        <w:right w:val="none" w:sz="0" w:space="0" w:color="auto"/>
      </w:divBdr>
    </w:div>
    <w:div w:id="384838340">
      <w:bodyDiv w:val="1"/>
      <w:marLeft w:val="0"/>
      <w:marRight w:val="0"/>
      <w:marTop w:val="0"/>
      <w:marBottom w:val="0"/>
      <w:divBdr>
        <w:top w:val="none" w:sz="0" w:space="0" w:color="auto"/>
        <w:left w:val="none" w:sz="0" w:space="0" w:color="auto"/>
        <w:bottom w:val="none" w:sz="0" w:space="0" w:color="auto"/>
        <w:right w:val="none" w:sz="0" w:space="0" w:color="auto"/>
      </w:divBdr>
    </w:div>
    <w:div w:id="683823168">
      <w:bodyDiv w:val="1"/>
      <w:marLeft w:val="0"/>
      <w:marRight w:val="0"/>
      <w:marTop w:val="0"/>
      <w:marBottom w:val="0"/>
      <w:divBdr>
        <w:top w:val="none" w:sz="0" w:space="0" w:color="auto"/>
        <w:left w:val="none" w:sz="0" w:space="0" w:color="auto"/>
        <w:bottom w:val="none" w:sz="0" w:space="0" w:color="auto"/>
        <w:right w:val="none" w:sz="0" w:space="0" w:color="auto"/>
      </w:divBdr>
    </w:div>
    <w:div w:id="707492056">
      <w:bodyDiv w:val="1"/>
      <w:marLeft w:val="0"/>
      <w:marRight w:val="0"/>
      <w:marTop w:val="0"/>
      <w:marBottom w:val="0"/>
      <w:divBdr>
        <w:top w:val="none" w:sz="0" w:space="0" w:color="auto"/>
        <w:left w:val="none" w:sz="0" w:space="0" w:color="auto"/>
        <w:bottom w:val="none" w:sz="0" w:space="0" w:color="auto"/>
        <w:right w:val="none" w:sz="0" w:space="0" w:color="auto"/>
      </w:divBdr>
    </w:div>
    <w:div w:id="1027830049">
      <w:bodyDiv w:val="1"/>
      <w:marLeft w:val="0"/>
      <w:marRight w:val="0"/>
      <w:marTop w:val="0"/>
      <w:marBottom w:val="0"/>
      <w:divBdr>
        <w:top w:val="none" w:sz="0" w:space="0" w:color="auto"/>
        <w:left w:val="none" w:sz="0" w:space="0" w:color="auto"/>
        <w:bottom w:val="none" w:sz="0" w:space="0" w:color="auto"/>
        <w:right w:val="none" w:sz="0" w:space="0" w:color="auto"/>
      </w:divBdr>
    </w:div>
    <w:div w:id="1273443080">
      <w:bodyDiv w:val="1"/>
      <w:marLeft w:val="0"/>
      <w:marRight w:val="0"/>
      <w:marTop w:val="0"/>
      <w:marBottom w:val="0"/>
      <w:divBdr>
        <w:top w:val="none" w:sz="0" w:space="0" w:color="auto"/>
        <w:left w:val="none" w:sz="0" w:space="0" w:color="auto"/>
        <w:bottom w:val="none" w:sz="0" w:space="0" w:color="auto"/>
        <w:right w:val="none" w:sz="0" w:space="0" w:color="auto"/>
      </w:divBdr>
    </w:div>
    <w:div w:id="1331330904">
      <w:bodyDiv w:val="1"/>
      <w:marLeft w:val="0"/>
      <w:marRight w:val="0"/>
      <w:marTop w:val="0"/>
      <w:marBottom w:val="0"/>
      <w:divBdr>
        <w:top w:val="none" w:sz="0" w:space="0" w:color="auto"/>
        <w:left w:val="none" w:sz="0" w:space="0" w:color="auto"/>
        <w:bottom w:val="none" w:sz="0" w:space="0" w:color="auto"/>
        <w:right w:val="none" w:sz="0" w:space="0" w:color="auto"/>
      </w:divBdr>
    </w:div>
    <w:div w:id="1400398942">
      <w:bodyDiv w:val="1"/>
      <w:marLeft w:val="0"/>
      <w:marRight w:val="0"/>
      <w:marTop w:val="0"/>
      <w:marBottom w:val="0"/>
      <w:divBdr>
        <w:top w:val="none" w:sz="0" w:space="0" w:color="auto"/>
        <w:left w:val="none" w:sz="0" w:space="0" w:color="auto"/>
        <w:bottom w:val="none" w:sz="0" w:space="0" w:color="auto"/>
        <w:right w:val="none" w:sz="0" w:space="0" w:color="auto"/>
      </w:divBdr>
    </w:div>
    <w:div w:id="1463421807">
      <w:bodyDiv w:val="1"/>
      <w:marLeft w:val="0"/>
      <w:marRight w:val="0"/>
      <w:marTop w:val="0"/>
      <w:marBottom w:val="0"/>
      <w:divBdr>
        <w:top w:val="none" w:sz="0" w:space="0" w:color="auto"/>
        <w:left w:val="none" w:sz="0" w:space="0" w:color="auto"/>
        <w:bottom w:val="none" w:sz="0" w:space="0" w:color="auto"/>
        <w:right w:val="none" w:sz="0" w:space="0" w:color="auto"/>
      </w:divBdr>
    </w:div>
    <w:div w:id="1554192872">
      <w:bodyDiv w:val="1"/>
      <w:marLeft w:val="0"/>
      <w:marRight w:val="0"/>
      <w:marTop w:val="0"/>
      <w:marBottom w:val="0"/>
      <w:divBdr>
        <w:top w:val="none" w:sz="0" w:space="0" w:color="auto"/>
        <w:left w:val="none" w:sz="0" w:space="0" w:color="auto"/>
        <w:bottom w:val="none" w:sz="0" w:space="0" w:color="auto"/>
        <w:right w:val="none" w:sz="0" w:space="0" w:color="auto"/>
      </w:divBdr>
    </w:div>
    <w:div w:id="1607425886">
      <w:bodyDiv w:val="1"/>
      <w:marLeft w:val="0"/>
      <w:marRight w:val="0"/>
      <w:marTop w:val="0"/>
      <w:marBottom w:val="0"/>
      <w:divBdr>
        <w:top w:val="none" w:sz="0" w:space="0" w:color="auto"/>
        <w:left w:val="none" w:sz="0" w:space="0" w:color="auto"/>
        <w:bottom w:val="none" w:sz="0" w:space="0" w:color="auto"/>
        <w:right w:val="none" w:sz="0" w:space="0" w:color="auto"/>
      </w:divBdr>
    </w:div>
    <w:div w:id="1639605434">
      <w:bodyDiv w:val="1"/>
      <w:marLeft w:val="0"/>
      <w:marRight w:val="0"/>
      <w:marTop w:val="0"/>
      <w:marBottom w:val="0"/>
      <w:divBdr>
        <w:top w:val="none" w:sz="0" w:space="0" w:color="auto"/>
        <w:left w:val="none" w:sz="0" w:space="0" w:color="auto"/>
        <w:bottom w:val="none" w:sz="0" w:space="0" w:color="auto"/>
        <w:right w:val="none" w:sz="0" w:space="0" w:color="auto"/>
      </w:divBdr>
    </w:div>
    <w:div w:id="1742678294">
      <w:bodyDiv w:val="1"/>
      <w:marLeft w:val="0"/>
      <w:marRight w:val="0"/>
      <w:marTop w:val="0"/>
      <w:marBottom w:val="0"/>
      <w:divBdr>
        <w:top w:val="none" w:sz="0" w:space="0" w:color="auto"/>
        <w:left w:val="none" w:sz="0" w:space="0" w:color="auto"/>
        <w:bottom w:val="none" w:sz="0" w:space="0" w:color="auto"/>
        <w:right w:val="none" w:sz="0" w:space="0" w:color="auto"/>
      </w:divBdr>
    </w:div>
    <w:div w:id="1773084131">
      <w:bodyDiv w:val="1"/>
      <w:marLeft w:val="0"/>
      <w:marRight w:val="0"/>
      <w:marTop w:val="0"/>
      <w:marBottom w:val="0"/>
      <w:divBdr>
        <w:top w:val="none" w:sz="0" w:space="0" w:color="auto"/>
        <w:left w:val="none" w:sz="0" w:space="0" w:color="auto"/>
        <w:bottom w:val="none" w:sz="0" w:space="0" w:color="auto"/>
        <w:right w:val="none" w:sz="0" w:space="0" w:color="auto"/>
      </w:divBdr>
    </w:div>
    <w:div w:id="1776436266">
      <w:bodyDiv w:val="1"/>
      <w:marLeft w:val="0"/>
      <w:marRight w:val="0"/>
      <w:marTop w:val="0"/>
      <w:marBottom w:val="0"/>
      <w:divBdr>
        <w:top w:val="none" w:sz="0" w:space="0" w:color="auto"/>
        <w:left w:val="none" w:sz="0" w:space="0" w:color="auto"/>
        <w:bottom w:val="none" w:sz="0" w:space="0" w:color="auto"/>
        <w:right w:val="none" w:sz="0" w:space="0" w:color="auto"/>
      </w:divBdr>
    </w:div>
    <w:div w:id="1875388990">
      <w:bodyDiv w:val="1"/>
      <w:marLeft w:val="0"/>
      <w:marRight w:val="0"/>
      <w:marTop w:val="0"/>
      <w:marBottom w:val="0"/>
      <w:divBdr>
        <w:top w:val="none" w:sz="0" w:space="0" w:color="auto"/>
        <w:left w:val="none" w:sz="0" w:space="0" w:color="auto"/>
        <w:bottom w:val="none" w:sz="0" w:space="0" w:color="auto"/>
        <w:right w:val="none" w:sz="0" w:space="0" w:color="auto"/>
      </w:divBdr>
    </w:div>
    <w:div w:id="1969624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chart" Target="charts/chart6.xml"/><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6.emf"/><Relationship Id="rId7" Type="http://schemas.openxmlformats.org/officeDocument/2006/relationships/endnotes" Target="endnotes.xml"/><Relationship Id="rId12" Type="http://schemas.openxmlformats.org/officeDocument/2006/relationships/hyperlink" Target="https://www.kansascityfed.org/" TargetMode="External"/><Relationship Id="rId17" Type="http://schemas.openxmlformats.org/officeDocument/2006/relationships/chart" Target="charts/chart5.xml"/><Relationship Id="rId25"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image" Target="media/image5.emf"/><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pedr.com/vol22/9-ICEBM2011-M00020.pdf" TargetMode="External"/><Relationship Id="rId24" Type="http://schemas.openxmlformats.org/officeDocument/2006/relationships/image" Target="media/image9.jpeg"/><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image" Target="media/image8.emf"/><Relationship Id="rId28" Type="http://schemas.openxmlformats.org/officeDocument/2006/relationships/image" Target="media/image13.jpeg"/><Relationship Id="rId10" Type="http://schemas.openxmlformats.org/officeDocument/2006/relationships/image" Target="media/image3.jpeg"/><Relationship Id="rId19" Type="http://schemas.openxmlformats.org/officeDocument/2006/relationships/image" Target="media/image4.emf"/><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image" Target="media/image7.emf"/><Relationship Id="rId27" Type="http://schemas.openxmlformats.org/officeDocument/2006/relationships/image" Target="media/image12.emf"/><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a\Desktop\Snigdha\Fatima\Banks%20data%20Calculation%20(final).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a\Desktop\Snigdha\Fatima\Banks%20data%20Calculation%20(final).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a\Desktop\Snigdha\Fatima\Banks%20data%20Calculation%20(final).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a\Desktop\Snigdha\Fatima\Banks%20data%20Calculation%20(final).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a\Desktop\Snigdha\Fatima\Banks%20data%20Calculation%20(final).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a\Desktop\Snigdha\Fatima\Banks%20data%20Calculation%20(final).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GB"/>
              <a:t>Bank</a:t>
            </a:r>
            <a:r>
              <a:rPr lang="en-GB" baseline="0"/>
              <a:t> Size</a:t>
            </a:r>
            <a:endParaRPr lang="en-GB"/>
          </a:p>
        </c:rich>
      </c:tx>
      <c:layout/>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Sheet1!$T$4</c:f>
              <c:strCache>
                <c:ptCount val="1"/>
                <c:pt idx="0">
                  <c:v>Conventional Bank</c:v>
                </c:pt>
              </c:strCache>
            </c:strRef>
          </c:tx>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atMod val="105000"/>
                </a:schemeClr>
              </a:solidFill>
              <a:prstDash val="solid"/>
            </a:ln>
            <a:effectLst>
              <a:outerShdw blurRad="40000" dist="20000" dir="5400000" rotWithShape="0">
                <a:srgbClr val="000000">
                  <a:alpha val="38000"/>
                </a:srgbClr>
              </a:outerShdw>
            </a:effectLst>
          </c:spPr>
          <c:invertIfNegative val="0"/>
          <c:cat>
            <c:numRef>
              <c:f>Sheet1!$U$3:$Z$3</c:f>
              <c:numCache>
                <c:formatCode>General</c:formatCode>
                <c:ptCount val="6"/>
                <c:pt idx="0">
                  <c:v>2012</c:v>
                </c:pt>
                <c:pt idx="1">
                  <c:v>2013</c:v>
                </c:pt>
                <c:pt idx="2">
                  <c:v>2014</c:v>
                </c:pt>
                <c:pt idx="3">
                  <c:v>2015</c:v>
                </c:pt>
                <c:pt idx="4">
                  <c:v>2016</c:v>
                </c:pt>
                <c:pt idx="5">
                  <c:v>2017</c:v>
                </c:pt>
              </c:numCache>
            </c:numRef>
          </c:cat>
          <c:val>
            <c:numRef>
              <c:f>Sheet1!$U$4:$Z$4</c:f>
              <c:numCache>
                <c:formatCode>0.00</c:formatCode>
                <c:ptCount val="6"/>
                <c:pt idx="0">
                  <c:v>6.1001565174259236</c:v>
                </c:pt>
                <c:pt idx="1">
                  <c:v>6.1063297941613399</c:v>
                </c:pt>
                <c:pt idx="2">
                  <c:v>6.1262372187523289</c:v>
                </c:pt>
                <c:pt idx="3">
                  <c:v>6.1180109886357297</c:v>
                </c:pt>
                <c:pt idx="4">
                  <c:v>6.1420187880631714</c:v>
                </c:pt>
                <c:pt idx="5">
                  <c:v>6.1545877758098655</c:v>
                </c:pt>
              </c:numCache>
            </c:numRef>
          </c:val>
          <c:extLst>
            <c:ext xmlns:c16="http://schemas.microsoft.com/office/drawing/2014/chart" uri="{C3380CC4-5D6E-409C-BE32-E72D297353CC}">
              <c16:uniqueId val="{00000000-49F1-4931-820F-BB7184784CCE}"/>
            </c:ext>
          </c:extLst>
        </c:ser>
        <c:ser>
          <c:idx val="1"/>
          <c:order val="1"/>
          <c:tx>
            <c:strRef>
              <c:f>Sheet1!$T$5</c:f>
              <c:strCache>
                <c:ptCount val="1"/>
                <c:pt idx="0">
                  <c:v>Islamic Bank</c:v>
                </c:pt>
              </c:strCache>
            </c:strRef>
          </c:tx>
          <c:spPr>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atMod val="105000"/>
                </a:schemeClr>
              </a:solidFill>
              <a:prstDash val="solid"/>
            </a:ln>
            <a:effectLst>
              <a:outerShdw blurRad="40000" dist="20000" dir="5400000" rotWithShape="0">
                <a:srgbClr val="000000">
                  <a:alpha val="38000"/>
                </a:srgbClr>
              </a:outerShdw>
            </a:effectLst>
          </c:spPr>
          <c:invertIfNegative val="0"/>
          <c:cat>
            <c:numRef>
              <c:f>Sheet1!$U$3:$Z$3</c:f>
              <c:numCache>
                <c:formatCode>General</c:formatCode>
                <c:ptCount val="6"/>
                <c:pt idx="0">
                  <c:v>2012</c:v>
                </c:pt>
                <c:pt idx="1">
                  <c:v>2013</c:v>
                </c:pt>
                <c:pt idx="2">
                  <c:v>2014</c:v>
                </c:pt>
                <c:pt idx="3">
                  <c:v>2015</c:v>
                </c:pt>
                <c:pt idx="4">
                  <c:v>2016</c:v>
                </c:pt>
                <c:pt idx="5">
                  <c:v>2017</c:v>
                </c:pt>
              </c:numCache>
            </c:numRef>
          </c:cat>
          <c:val>
            <c:numRef>
              <c:f>Sheet1!$U$5:$Z$5</c:f>
              <c:numCache>
                <c:formatCode>0.00</c:formatCode>
                <c:ptCount val="6"/>
                <c:pt idx="0">
                  <c:v>7.9904796776994864</c:v>
                </c:pt>
                <c:pt idx="1">
                  <c:v>8.048608117764358</c:v>
                </c:pt>
                <c:pt idx="2">
                  <c:v>8.157297287418432</c:v>
                </c:pt>
                <c:pt idx="3">
                  <c:v>8.1973887557619012</c:v>
                </c:pt>
                <c:pt idx="4">
                  <c:v>7.9616936280617594</c:v>
                </c:pt>
                <c:pt idx="5">
                  <c:v>7.9951048191480432</c:v>
                </c:pt>
              </c:numCache>
            </c:numRef>
          </c:val>
          <c:extLst>
            <c:ext xmlns:c16="http://schemas.microsoft.com/office/drawing/2014/chart" uri="{C3380CC4-5D6E-409C-BE32-E72D297353CC}">
              <c16:uniqueId val="{00000001-49F1-4931-820F-BB7184784CCE}"/>
            </c:ext>
          </c:extLst>
        </c:ser>
        <c:dLbls>
          <c:showLegendKey val="0"/>
          <c:showVal val="0"/>
          <c:showCatName val="0"/>
          <c:showSerName val="0"/>
          <c:showPercent val="0"/>
          <c:showBubbleSize val="0"/>
        </c:dLbls>
        <c:gapWidth val="150"/>
        <c:shape val="box"/>
        <c:axId val="8539520"/>
        <c:axId val="8565888"/>
        <c:axId val="0"/>
      </c:bar3DChart>
      <c:catAx>
        <c:axId val="8539520"/>
        <c:scaling>
          <c:orientation val="minMax"/>
        </c:scaling>
        <c:delete val="0"/>
        <c:axPos val="b"/>
        <c:numFmt formatCode="General" sourceLinked="1"/>
        <c:majorTickMark val="out"/>
        <c:minorTickMark val="none"/>
        <c:tickLblPos val="nextTo"/>
        <c:txPr>
          <a:bodyPr/>
          <a:lstStyle/>
          <a:p>
            <a:pPr>
              <a:defRPr lang="en-US"/>
            </a:pPr>
            <a:endParaRPr lang="en-US"/>
          </a:p>
        </c:txPr>
        <c:crossAx val="8565888"/>
        <c:crosses val="autoZero"/>
        <c:auto val="1"/>
        <c:lblAlgn val="ctr"/>
        <c:lblOffset val="100"/>
        <c:noMultiLvlLbl val="0"/>
      </c:catAx>
      <c:valAx>
        <c:axId val="8565888"/>
        <c:scaling>
          <c:orientation val="minMax"/>
        </c:scaling>
        <c:delete val="0"/>
        <c:axPos val="l"/>
        <c:majorGridlines/>
        <c:numFmt formatCode="0.00" sourceLinked="1"/>
        <c:majorTickMark val="out"/>
        <c:minorTickMark val="none"/>
        <c:tickLblPos val="nextTo"/>
        <c:txPr>
          <a:bodyPr/>
          <a:lstStyle/>
          <a:p>
            <a:pPr>
              <a:defRPr lang="en-US"/>
            </a:pPr>
            <a:endParaRPr lang="en-US"/>
          </a:p>
        </c:txPr>
        <c:crossAx val="8539520"/>
        <c:crosses val="autoZero"/>
        <c:crossBetween val="between"/>
      </c:valAx>
    </c:plotArea>
    <c:legend>
      <c:legendPos val="r"/>
      <c:layout/>
      <c:overlay val="0"/>
      <c:txPr>
        <a:bodyPr/>
        <a:lstStyle/>
        <a:p>
          <a:pPr>
            <a:defRPr lang="en-US"/>
          </a:pPr>
          <a:endParaRPr lang="en-US"/>
        </a:p>
      </c:txPr>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GB"/>
              <a:t>Operating</a:t>
            </a:r>
            <a:r>
              <a:rPr lang="en-GB" baseline="0"/>
              <a:t> Efficiency</a:t>
            </a:r>
          </a:p>
        </c:rich>
      </c:tx>
      <c:overlay val="0"/>
    </c:title>
    <c:autoTitleDeleted val="0"/>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Sheet1!$T$9</c:f>
              <c:strCache>
                <c:ptCount val="1"/>
                <c:pt idx="0">
                  <c:v>Conventional Bank</c:v>
                </c:pt>
              </c:strCache>
            </c:strRef>
          </c:tx>
          <c:spPr>
            <a:solidFill>
              <a:schemeClr val="accent6">
                <a:lumMod val="60000"/>
                <a:lumOff val="40000"/>
              </a:scheme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numRef>
              <c:f>Sheet1!$U$8:$Z$8</c:f>
              <c:numCache>
                <c:formatCode>General</c:formatCode>
                <c:ptCount val="6"/>
                <c:pt idx="0">
                  <c:v>2012</c:v>
                </c:pt>
                <c:pt idx="1">
                  <c:v>2013</c:v>
                </c:pt>
                <c:pt idx="2">
                  <c:v>2014</c:v>
                </c:pt>
                <c:pt idx="3">
                  <c:v>2015</c:v>
                </c:pt>
                <c:pt idx="4">
                  <c:v>2016</c:v>
                </c:pt>
                <c:pt idx="5">
                  <c:v>2017</c:v>
                </c:pt>
              </c:numCache>
            </c:numRef>
          </c:cat>
          <c:val>
            <c:numRef>
              <c:f>Sheet1!$U$9:$Z$9</c:f>
              <c:numCache>
                <c:formatCode>0.00</c:formatCode>
                <c:ptCount val="6"/>
                <c:pt idx="0">
                  <c:v>4.8703974531938332</c:v>
                </c:pt>
                <c:pt idx="1">
                  <c:v>3.1493307219481492</c:v>
                </c:pt>
                <c:pt idx="2">
                  <c:v>4.3938078464496755</c:v>
                </c:pt>
                <c:pt idx="3">
                  <c:v>2.2040533027648754</c:v>
                </c:pt>
                <c:pt idx="4">
                  <c:v>2.2593594930073677</c:v>
                </c:pt>
                <c:pt idx="5">
                  <c:v>3.3576379639254514</c:v>
                </c:pt>
              </c:numCache>
            </c:numRef>
          </c:val>
          <c:extLst>
            <c:ext xmlns:c16="http://schemas.microsoft.com/office/drawing/2014/chart" uri="{C3380CC4-5D6E-409C-BE32-E72D297353CC}">
              <c16:uniqueId val="{00000000-85E3-490A-9C0C-4F678A72EC81}"/>
            </c:ext>
          </c:extLst>
        </c:ser>
        <c:ser>
          <c:idx val="1"/>
          <c:order val="1"/>
          <c:tx>
            <c:strRef>
              <c:f>Sheet1!$T$10</c:f>
              <c:strCache>
                <c:ptCount val="1"/>
                <c:pt idx="0">
                  <c:v>Islamic Bank</c:v>
                </c:pt>
              </c:strCache>
            </c:strRef>
          </c:tx>
          <c:spPr>
            <a:solidFill>
              <a:schemeClr val="accent2">
                <a:lumMod val="75000"/>
              </a:schemeClr>
            </a:solidFill>
            <a:ln w="9525" cap="flat" cmpd="sng" algn="ctr">
              <a:noFill/>
              <a:prstDash val="solid"/>
            </a:ln>
            <a:effectLst>
              <a:outerShdw blurRad="40000" dist="23000" dir="5400000" rotWithShape="0">
                <a:srgbClr val="000000">
                  <a:alpha val="35000"/>
                </a:srgbClr>
              </a:outerShdw>
            </a:effectLst>
          </c:spPr>
          <c:invertIfNegative val="0"/>
          <c:cat>
            <c:numRef>
              <c:f>Sheet1!$U$8:$Z$8</c:f>
              <c:numCache>
                <c:formatCode>General</c:formatCode>
                <c:ptCount val="6"/>
                <c:pt idx="0">
                  <c:v>2012</c:v>
                </c:pt>
                <c:pt idx="1">
                  <c:v>2013</c:v>
                </c:pt>
                <c:pt idx="2">
                  <c:v>2014</c:v>
                </c:pt>
                <c:pt idx="3">
                  <c:v>2015</c:v>
                </c:pt>
                <c:pt idx="4">
                  <c:v>2016</c:v>
                </c:pt>
                <c:pt idx="5">
                  <c:v>2017</c:v>
                </c:pt>
              </c:numCache>
            </c:numRef>
          </c:cat>
          <c:val>
            <c:numRef>
              <c:f>Sheet1!$U$10:$Z$10</c:f>
              <c:numCache>
                <c:formatCode>0.00</c:formatCode>
                <c:ptCount val="6"/>
                <c:pt idx="0">
                  <c:v>1.972443643059848</c:v>
                </c:pt>
                <c:pt idx="1">
                  <c:v>2.1711358953627502</c:v>
                </c:pt>
                <c:pt idx="2">
                  <c:v>1.5546504737105487</c:v>
                </c:pt>
                <c:pt idx="3">
                  <c:v>2.4261262602611202</c:v>
                </c:pt>
                <c:pt idx="4">
                  <c:v>2.1749083705290126</c:v>
                </c:pt>
                <c:pt idx="5">
                  <c:v>1.9144962164901118</c:v>
                </c:pt>
              </c:numCache>
            </c:numRef>
          </c:val>
          <c:extLst>
            <c:ext xmlns:c16="http://schemas.microsoft.com/office/drawing/2014/chart" uri="{C3380CC4-5D6E-409C-BE32-E72D297353CC}">
              <c16:uniqueId val="{00000001-85E3-490A-9C0C-4F678A72EC81}"/>
            </c:ext>
          </c:extLst>
        </c:ser>
        <c:dLbls>
          <c:showLegendKey val="0"/>
          <c:showVal val="0"/>
          <c:showCatName val="0"/>
          <c:showSerName val="0"/>
          <c:showPercent val="0"/>
          <c:showBubbleSize val="0"/>
        </c:dLbls>
        <c:gapWidth val="150"/>
        <c:shape val="box"/>
        <c:axId val="77363456"/>
        <c:axId val="77373440"/>
        <c:axId val="0"/>
      </c:bar3DChart>
      <c:catAx>
        <c:axId val="77363456"/>
        <c:scaling>
          <c:orientation val="minMax"/>
        </c:scaling>
        <c:delete val="0"/>
        <c:axPos val="l"/>
        <c:numFmt formatCode="General" sourceLinked="1"/>
        <c:majorTickMark val="out"/>
        <c:minorTickMark val="none"/>
        <c:tickLblPos val="nextTo"/>
        <c:txPr>
          <a:bodyPr/>
          <a:lstStyle/>
          <a:p>
            <a:pPr>
              <a:defRPr lang="en-US"/>
            </a:pPr>
            <a:endParaRPr lang="en-US"/>
          </a:p>
        </c:txPr>
        <c:crossAx val="77373440"/>
        <c:crosses val="autoZero"/>
        <c:auto val="1"/>
        <c:lblAlgn val="ctr"/>
        <c:lblOffset val="100"/>
        <c:noMultiLvlLbl val="0"/>
      </c:catAx>
      <c:valAx>
        <c:axId val="77373440"/>
        <c:scaling>
          <c:orientation val="minMax"/>
        </c:scaling>
        <c:delete val="0"/>
        <c:axPos val="b"/>
        <c:majorGridlines/>
        <c:numFmt formatCode="0.00" sourceLinked="1"/>
        <c:majorTickMark val="out"/>
        <c:minorTickMark val="none"/>
        <c:tickLblPos val="nextTo"/>
        <c:txPr>
          <a:bodyPr/>
          <a:lstStyle/>
          <a:p>
            <a:pPr>
              <a:defRPr lang="en-US"/>
            </a:pPr>
            <a:endParaRPr lang="en-US"/>
          </a:p>
        </c:txPr>
        <c:crossAx val="77363456"/>
        <c:crosses val="autoZero"/>
        <c:crossBetween val="between"/>
      </c:valAx>
    </c:plotArea>
    <c:legend>
      <c:legendPos val="r"/>
      <c:overlay val="0"/>
      <c:txPr>
        <a:bodyPr/>
        <a:lstStyle/>
        <a:p>
          <a:pPr>
            <a:defRPr lang="en-US"/>
          </a:pPr>
          <a:endParaRPr lang="en-US"/>
        </a:p>
      </c:txPr>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GB"/>
              <a:t>Debt</a:t>
            </a:r>
            <a:r>
              <a:rPr lang="en-GB" baseline="0"/>
              <a:t> to Capital Ratio</a:t>
            </a:r>
            <a:endParaRPr lang="en-GB"/>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Sheet1!$T$14</c:f>
              <c:strCache>
                <c:ptCount val="1"/>
                <c:pt idx="0">
                  <c:v>Conventional Bank</c:v>
                </c:pt>
              </c:strCache>
            </c:strRef>
          </c:tx>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atMod val="105000"/>
                </a:schemeClr>
              </a:solidFill>
              <a:prstDash val="solid"/>
            </a:ln>
            <a:effectLst>
              <a:outerShdw blurRad="40000" dist="20000" dir="5400000" rotWithShape="0">
                <a:srgbClr val="000000">
                  <a:alpha val="38000"/>
                </a:srgbClr>
              </a:outerShdw>
            </a:effectLst>
          </c:spPr>
          <c:invertIfNegative val="0"/>
          <c:cat>
            <c:numRef>
              <c:f>Sheet1!$U$13:$Z$13</c:f>
              <c:numCache>
                <c:formatCode>General</c:formatCode>
                <c:ptCount val="6"/>
                <c:pt idx="0">
                  <c:v>2012</c:v>
                </c:pt>
                <c:pt idx="1">
                  <c:v>2013</c:v>
                </c:pt>
                <c:pt idx="2">
                  <c:v>2014</c:v>
                </c:pt>
                <c:pt idx="3">
                  <c:v>2015</c:v>
                </c:pt>
                <c:pt idx="4">
                  <c:v>2016</c:v>
                </c:pt>
                <c:pt idx="5">
                  <c:v>2017</c:v>
                </c:pt>
              </c:numCache>
            </c:numRef>
          </c:cat>
          <c:val>
            <c:numRef>
              <c:f>Sheet1!$U$14:$Z$14</c:f>
              <c:numCache>
                <c:formatCode>0.00</c:formatCode>
                <c:ptCount val="6"/>
                <c:pt idx="0">
                  <c:v>0.91999085508030665</c:v>
                </c:pt>
                <c:pt idx="1">
                  <c:v>0.91552661338298835</c:v>
                </c:pt>
                <c:pt idx="2">
                  <c:v>0.91840461394713868</c:v>
                </c:pt>
                <c:pt idx="3">
                  <c:v>0.91262857570772826</c:v>
                </c:pt>
                <c:pt idx="4">
                  <c:v>0.91522002573973549</c:v>
                </c:pt>
                <c:pt idx="5">
                  <c:v>0.91439560883794657</c:v>
                </c:pt>
              </c:numCache>
            </c:numRef>
          </c:val>
          <c:extLst>
            <c:ext xmlns:c16="http://schemas.microsoft.com/office/drawing/2014/chart" uri="{C3380CC4-5D6E-409C-BE32-E72D297353CC}">
              <c16:uniqueId val="{00000000-B63D-4FA8-9389-B6CDBB28FBA5}"/>
            </c:ext>
          </c:extLst>
        </c:ser>
        <c:ser>
          <c:idx val="1"/>
          <c:order val="1"/>
          <c:tx>
            <c:strRef>
              <c:f>Sheet1!$T$15</c:f>
              <c:strCache>
                <c:ptCount val="1"/>
                <c:pt idx="0">
                  <c:v>Islamic Bank</c:v>
                </c:pt>
              </c:strCache>
            </c:strRef>
          </c:tx>
          <c:spPr>
            <a:gradFill rotWithShape="1">
              <a:gsLst>
                <a:gs pos="0">
                  <a:schemeClr val="dk1">
                    <a:tint val="50000"/>
                    <a:satMod val="300000"/>
                  </a:schemeClr>
                </a:gs>
                <a:gs pos="35000">
                  <a:schemeClr val="dk1">
                    <a:tint val="37000"/>
                    <a:satMod val="300000"/>
                  </a:schemeClr>
                </a:gs>
                <a:gs pos="100000">
                  <a:schemeClr val="dk1">
                    <a:tint val="15000"/>
                    <a:satMod val="350000"/>
                  </a:schemeClr>
                </a:gs>
              </a:gsLst>
              <a:lin ang="16200000" scaled="1"/>
            </a:gradFill>
            <a:ln w="9525" cap="flat" cmpd="sng" algn="ctr">
              <a:solidFill>
                <a:schemeClr val="dk1">
                  <a:shade val="95000"/>
                  <a:satMod val="105000"/>
                </a:schemeClr>
              </a:solidFill>
              <a:prstDash val="solid"/>
            </a:ln>
            <a:effectLst>
              <a:outerShdw blurRad="40000" dist="20000" dir="5400000" rotWithShape="0">
                <a:srgbClr val="000000">
                  <a:alpha val="38000"/>
                </a:srgbClr>
              </a:outerShdw>
            </a:effectLst>
          </c:spPr>
          <c:invertIfNegative val="0"/>
          <c:cat>
            <c:numRef>
              <c:f>Sheet1!$U$13:$Z$13</c:f>
              <c:numCache>
                <c:formatCode>General</c:formatCode>
                <c:ptCount val="6"/>
                <c:pt idx="0">
                  <c:v>2012</c:v>
                </c:pt>
                <c:pt idx="1">
                  <c:v>2013</c:v>
                </c:pt>
                <c:pt idx="2">
                  <c:v>2014</c:v>
                </c:pt>
                <c:pt idx="3">
                  <c:v>2015</c:v>
                </c:pt>
                <c:pt idx="4">
                  <c:v>2016</c:v>
                </c:pt>
                <c:pt idx="5">
                  <c:v>2017</c:v>
                </c:pt>
              </c:numCache>
            </c:numRef>
          </c:cat>
          <c:val>
            <c:numRef>
              <c:f>Sheet1!$U$15:$Z$15</c:f>
              <c:numCache>
                <c:formatCode>0.00</c:formatCode>
                <c:ptCount val="6"/>
                <c:pt idx="0">
                  <c:v>0.72651846949922538</c:v>
                </c:pt>
                <c:pt idx="1">
                  <c:v>0.73092684207496561</c:v>
                </c:pt>
                <c:pt idx="2">
                  <c:v>0.88236472486578221</c:v>
                </c:pt>
                <c:pt idx="3">
                  <c:v>0.87997638459638861</c:v>
                </c:pt>
                <c:pt idx="4">
                  <c:v>0.80256314747297242</c:v>
                </c:pt>
                <c:pt idx="5">
                  <c:v>0.84798094068838725</c:v>
                </c:pt>
              </c:numCache>
            </c:numRef>
          </c:val>
          <c:extLst>
            <c:ext xmlns:c16="http://schemas.microsoft.com/office/drawing/2014/chart" uri="{C3380CC4-5D6E-409C-BE32-E72D297353CC}">
              <c16:uniqueId val="{00000001-B63D-4FA8-9389-B6CDBB28FBA5}"/>
            </c:ext>
          </c:extLst>
        </c:ser>
        <c:dLbls>
          <c:showLegendKey val="0"/>
          <c:showVal val="0"/>
          <c:showCatName val="0"/>
          <c:showSerName val="0"/>
          <c:showPercent val="0"/>
          <c:showBubbleSize val="0"/>
        </c:dLbls>
        <c:gapWidth val="150"/>
        <c:shape val="cylinder"/>
        <c:axId val="85918464"/>
        <c:axId val="85920000"/>
        <c:axId val="0"/>
      </c:bar3DChart>
      <c:catAx>
        <c:axId val="85918464"/>
        <c:scaling>
          <c:orientation val="minMax"/>
        </c:scaling>
        <c:delete val="0"/>
        <c:axPos val="b"/>
        <c:numFmt formatCode="General" sourceLinked="1"/>
        <c:majorTickMark val="out"/>
        <c:minorTickMark val="none"/>
        <c:tickLblPos val="nextTo"/>
        <c:txPr>
          <a:bodyPr/>
          <a:lstStyle/>
          <a:p>
            <a:pPr>
              <a:defRPr lang="en-US"/>
            </a:pPr>
            <a:endParaRPr lang="en-US"/>
          </a:p>
        </c:txPr>
        <c:crossAx val="85920000"/>
        <c:crosses val="autoZero"/>
        <c:auto val="1"/>
        <c:lblAlgn val="ctr"/>
        <c:lblOffset val="100"/>
        <c:noMultiLvlLbl val="0"/>
      </c:catAx>
      <c:valAx>
        <c:axId val="85920000"/>
        <c:scaling>
          <c:orientation val="minMax"/>
        </c:scaling>
        <c:delete val="0"/>
        <c:axPos val="l"/>
        <c:majorGridlines/>
        <c:numFmt formatCode="0.00" sourceLinked="1"/>
        <c:majorTickMark val="out"/>
        <c:minorTickMark val="none"/>
        <c:tickLblPos val="nextTo"/>
        <c:txPr>
          <a:bodyPr/>
          <a:lstStyle/>
          <a:p>
            <a:pPr>
              <a:defRPr lang="en-US"/>
            </a:pPr>
            <a:endParaRPr lang="en-US"/>
          </a:p>
        </c:txPr>
        <c:crossAx val="85918464"/>
        <c:crosses val="autoZero"/>
        <c:crossBetween val="between"/>
      </c:valAx>
    </c:plotArea>
    <c:legend>
      <c:legendPos val="r"/>
      <c:overlay val="0"/>
      <c:txPr>
        <a:bodyPr/>
        <a:lstStyle/>
        <a:p>
          <a:pPr>
            <a:defRPr lang="en-US"/>
          </a:pPr>
          <a:endParaRPr lang="en-US"/>
        </a:p>
      </c:txPr>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4"/>
    </mc:Choice>
    <mc:Fallback>
      <c:style val="34"/>
    </mc:Fallback>
  </mc:AlternateContent>
  <c:chart>
    <c:title>
      <c:tx>
        <c:rich>
          <a:bodyPr/>
          <a:lstStyle/>
          <a:p>
            <a:pPr>
              <a:defRPr lang="en-US"/>
            </a:pPr>
            <a:r>
              <a:rPr lang="en-GB"/>
              <a:t>Debt</a:t>
            </a:r>
            <a:r>
              <a:rPr lang="en-GB" baseline="0"/>
              <a:t> to Equity Ratio</a:t>
            </a:r>
            <a:endParaRPr lang="en-GB"/>
          </a:p>
        </c:rich>
      </c:tx>
      <c:layout>
        <c:manualLayout>
          <c:xMode val="edge"/>
          <c:yMode val="edge"/>
          <c:x val="0.29065748313223538"/>
          <c:y val="0"/>
        </c:manualLayout>
      </c:layout>
      <c:overlay val="0"/>
    </c:title>
    <c:autoTitleDeleted val="0"/>
    <c:view3D>
      <c:rotX val="15"/>
      <c:rotY val="20"/>
      <c:rAngAx val="0"/>
    </c:view3D>
    <c:floor>
      <c:thickness val="0"/>
    </c:floor>
    <c:sideWall>
      <c:thickness val="0"/>
    </c:sideWall>
    <c:backWall>
      <c:thickness val="0"/>
    </c:backWall>
    <c:plotArea>
      <c:layout>
        <c:manualLayout>
          <c:layoutTarget val="inner"/>
          <c:xMode val="edge"/>
          <c:yMode val="edge"/>
          <c:x val="0.12292482111935178"/>
          <c:y val="7.4860876994481532E-2"/>
          <c:w val="0.56098692020343932"/>
          <c:h val="0.81558208449750236"/>
        </c:manualLayout>
      </c:layout>
      <c:bar3DChart>
        <c:barDir val="col"/>
        <c:grouping val="standard"/>
        <c:varyColors val="0"/>
        <c:ser>
          <c:idx val="0"/>
          <c:order val="0"/>
          <c:tx>
            <c:strRef>
              <c:f>Sheet1!$T$19</c:f>
              <c:strCache>
                <c:ptCount val="1"/>
                <c:pt idx="0">
                  <c:v>Conventional Bank</c:v>
                </c:pt>
              </c:strCache>
            </c:strRef>
          </c:tx>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atMod val="105000"/>
                </a:schemeClr>
              </a:solidFill>
              <a:prstDash val="solid"/>
            </a:ln>
            <a:effectLst>
              <a:outerShdw blurRad="40000" dist="20000" dir="5400000" rotWithShape="0">
                <a:srgbClr val="000000">
                  <a:alpha val="38000"/>
                </a:srgbClr>
              </a:outerShdw>
            </a:effectLst>
          </c:spPr>
          <c:invertIfNegative val="0"/>
          <c:cat>
            <c:numRef>
              <c:f>Sheet1!$U$18:$Z$18</c:f>
              <c:numCache>
                <c:formatCode>General</c:formatCode>
                <c:ptCount val="6"/>
                <c:pt idx="0">
                  <c:v>2012</c:v>
                </c:pt>
                <c:pt idx="1">
                  <c:v>2013</c:v>
                </c:pt>
                <c:pt idx="2">
                  <c:v>2014</c:v>
                </c:pt>
                <c:pt idx="3">
                  <c:v>2015</c:v>
                </c:pt>
                <c:pt idx="4">
                  <c:v>2016</c:v>
                </c:pt>
                <c:pt idx="5">
                  <c:v>2017</c:v>
                </c:pt>
              </c:numCache>
            </c:numRef>
          </c:cat>
          <c:val>
            <c:numRef>
              <c:f>Sheet1!$U$19:$Z$19</c:f>
              <c:numCache>
                <c:formatCode>0.00</c:formatCode>
                <c:ptCount val="6"/>
                <c:pt idx="0">
                  <c:v>13.410647186896226</c:v>
                </c:pt>
                <c:pt idx="1">
                  <c:v>12.405605163382956</c:v>
                </c:pt>
                <c:pt idx="2">
                  <c:v>12.338363076565541</c:v>
                </c:pt>
                <c:pt idx="3">
                  <c:v>11.153111731171951</c:v>
                </c:pt>
                <c:pt idx="4">
                  <c:v>11.440877344547317</c:v>
                </c:pt>
                <c:pt idx="5">
                  <c:v>11.352661934543098</c:v>
                </c:pt>
              </c:numCache>
            </c:numRef>
          </c:val>
          <c:extLst>
            <c:ext xmlns:c16="http://schemas.microsoft.com/office/drawing/2014/chart" uri="{C3380CC4-5D6E-409C-BE32-E72D297353CC}">
              <c16:uniqueId val="{00000000-DA30-484E-9165-9A6E37D37CA9}"/>
            </c:ext>
          </c:extLst>
        </c:ser>
        <c:ser>
          <c:idx val="1"/>
          <c:order val="1"/>
          <c:tx>
            <c:strRef>
              <c:f>Sheet1!$T$20</c:f>
              <c:strCache>
                <c:ptCount val="1"/>
                <c:pt idx="0">
                  <c:v>Islamic Bank</c:v>
                </c:pt>
              </c:strCache>
            </c:strRef>
          </c:tx>
          <c:spPr>
            <a:gradFill rotWithShape="1">
              <a:gsLst>
                <a:gs pos="0">
                  <a:schemeClr val="dk1">
                    <a:tint val="50000"/>
                    <a:satMod val="300000"/>
                  </a:schemeClr>
                </a:gs>
                <a:gs pos="35000">
                  <a:schemeClr val="dk1">
                    <a:tint val="37000"/>
                    <a:satMod val="300000"/>
                  </a:schemeClr>
                </a:gs>
                <a:gs pos="100000">
                  <a:schemeClr val="dk1">
                    <a:tint val="15000"/>
                    <a:satMod val="350000"/>
                  </a:schemeClr>
                </a:gs>
              </a:gsLst>
              <a:lin ang="16200000" scaled="1"/>
            </a:gradFill>
            <a:ln w="9525" cap="flat" cmpd="sng" algn="ctr">
              <a:solidFill>
                <a:schemeClr val="dk1">
                  <a:shade val="95000"/>
                  <a:satMod val="105000"/>
                </a:schemeClr>
              </a:solidFill>
              <a:prstDash val="solid"/>
            </a:ln>
            <a:effectLst>
              <a:outerShdw blurRad="40000" dist="20000" dir="5400000" rotWithShape="0">
                <a:srgbClr val="000000">
                  <a:alpha val="38000"/>
                </a:srgbClr>
              </a:outerShdw>
            </a:effectLst>
          </c:spPr>
          <c:invertIfNegative val="0"/>
          <c:cat>
            <c:numRef>
              <c:f>Sheet1!$U$18:$Z$18</c:f>
              <c:numCache>
                <c:formatCode>General</c:formatCode>
                <c:ptCount val="6"/>
                <c:pt idx="0">
                  <c:v>2012</c:v>
                </c:pt>
                <c:pt idx="1">
                  <c:v>2013</c:v>
                </c:pt>
                <c:pt idx="2">
                  <c:v>2014</c:v>
                </c:pt>
                <c:pt idx="3">
                  <c:v>2015</c:v>
                </c:pt>
                <c:pt idx="4">
                  <c:v>2016</c:v>
                </c:pt>
                <c:pt idx="5">
                  <c:v>2017</c:v>
                </c:pt>
              </c:numCache>
            </c:numRef>
          </c:cat>
          <c:val>
            <c:numRef>
              <c:f>Sheet1!$U$20:$Z$20</c:f>
              <c:numCache>
                <c:formatCode>0.00</c:formatCode>
                <c:ptCount val="6"/>
                <c:pt idx="0">
                  <c:v>6.1631040852076975</c:v>
                </c:pt>
                <c:pt idx="1">
                  <c:v>6.9934223670035314</c:v>
                </c:pt>
                <c:pt idx="2">
                  <c:v>8.5026898002063884</c:v>
                </c:pt>
                <c:pt idx="3">
                  <c:v>8.4804464513828179</c:v>
                </c:pt>
                <c:pt idx="4">
                  <c:v>7.1382488171294263</c:v>
                </c:pt>
                <c:pt idx="5">
                  <c:v>7.994580596917265</c:v>
                </c:pt>
              </c:numCache>
            </c:numRef>
          </c:val>
          <c:extLst>
            <c:ext xmlns:c16="http://schemas.microsoft.com/office/drawing/2014/chart" uri="{C3380CC4-5D6E-409C-BE32-E72D297353CC}">
              <c16:uniqueId val="{00000001-DA30-484E-9165-9A6E37D37CA9}"/>
            </c:ext>
          </c:extLst>
        </c:ser>
        <c:dLbls>
          <c:showLegendKey val="0"/>
          <c:showVal val="0"/>
          <c:showCatName val="0"/>
          <c:showSerName val="0"/>
          <c:showPercent val="0"/>
          <c:showBubbleSize val="0"/>
        </c:dLbls>
        <c:gapWidth val="150"/>
        <c:shape val="cone"/>
        <c:axId val="85941248"/>
        <c:axId val="85959424"/>
        <c:axId val="8572416"/>
      </c:bar3DChart>
      <c:catAx>
        <c:axId val="85941248"/>
        <c:scaling>
          <c:orientation val="minMax"/>
        </c:scaling>
        <c:delete val="0"/>
        <c:axPos val="b"/>
        <c:numFmt formatCode="General" sourceLinked="1"/>
        <c:majorTickMark val="out"/>
        <c:minorTickMark val="none"/>
        <c:tickLblPos val="nextTo"/>
        <c:txPr>
          <a:bodyPr/>
          <a:lstStyle/>
          <a:p>
            <a:pPr>
              <a:defRPr lang="en-US"/>
            </a:pPr>
            <a:endParaRPr lang="en-US"/>
          </a:p>
        </c:txPr>
        <c:crossAx val="85959424"/>
        <c:crosses val="autoZero"/>
        <c:auto val="1"/>
        <c:lblAlgn val="ctr"/>
        <c:lblOffset val="100"/>
        <c:noMultiLvlLbl val="0"/>
      </c:catAx>
      <c:valAx>
        <c:axId val="85959424"/>
        <c:scaling>
          <c:orientation val="minMax"/>
        </c:scaling>
        <c:delete val="0"/>
        <c:axPos val="l"/>
        <c:majorGridlines/>
        <c:numFmt formatCode="0.00" sourceLinked="1"/>
        <c:majorTickMark val="out"/>
        <c:minorTickMark val="none"/>
        <c:tickLblPos val="nextTo"/>
        <c:txPr>
          <a:bodyPr/>
          <a:lstStyle/>
          <a:p>
            <a:pPr>
              <a:defRPr lang="en-US"/>
            </a:pPr>
            <a:endParaRPr lang="en-US"/>
          </a:p>
        </c:txPr>
        <c:crossAx val="85941248"/>
        <c:crosses val="autoZero"/>
        <c:crossBetween val="between"/>
      </c:valAx>
      <c:serAx>
        <c:axId val="8572416"/>
        <c:scaling>
          <c:orientation val="minMax"/>
        </c:scaling>
        <c:delete val="1"/>
        <c:axPos val="b"/>
        <c:majorTickMark val="out"/>
        <c:minorTickMark val="none"/>
        <c:tickLblPos val="none"/>
        <c:crossAx val="85959424"/>
        <c:crosses val="autoZero"/>
      </c:serAx>
    </c:plotArea>
    <c:legend>
      <c:legendPos val="r"/>
      <c:overlay val="0"/>
      <c:txPr>
        <a:bodyPr/>
        <a:lstStyle/>
        <a:p>
          <a:pPr>
            <a:defRPr lang="en-US"/>
          </a:pPr>
          <a:endParaRPr lang="en-US"/>
        </a:p>
      </c:txPr>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9"/>
    </mc:Choice>
    <mc:Fallback>
      <c:style val="19"/>
    </mc:Fallback>
  </mc:AlternateContent>
  <c:chart>
    <c:title>
      <c:tx>
        <c:rich>
          <a:bodyPr/>
          <a:lstStyle/>
          <a:p>
            <a:pPr>
              <a:defRPr lang="en-US"/>
            </a:pPr>
            <a:r>
              <a:rPr lang="en-GB"/>
              <a:t>Capital Adequacy</a:t>
            </a:r>
          </a:p>
        </c:rich>
      </c:tx>
      <c:overlay val="0"/>
    </c:title>
    <c:autoTitleDeleted val="0"/>
    <c:plotArea>
      <c:layout/>
      <c:lineChart>
        <c:grouping val="standard"/>
        <c:varyColors val="0"/>
        <c:ser>
          <c:idx val="0"/>
          <c:order val="0"/>
          <c:tx>
            <c:strRef>
              <c:f>Sheet1!$T$24</c:f>
              <c:strCache>
                <c:ptCount val="1"/>
                <c:pt idx="0">
                  <c:v>Conventional Bank</c:v>
                </c:pt>
              </c:strCache>
            </c:strRef>
          </c:tx>
          <c:marker>
            <c:symbol val="none"/>
          </c:marker>
          <c:cat>
            <c:numRef>
              <c:f>Sheet1!$U$23:$Z$23</c:f>
              <c:numCache>
                <c:formatCode>General</c:formatCode>
                <c:ptCount val="6"/>
                <c:pt idx="0">
                  <c:v>2012</c:v>
                </c:pt>
                <c:pt idx="1">
                  <c:v>2013</c:v>
                </c:pt>
                <c:pt idx="2">
                  <c:v>2014</c:v>
                </c:pt>
                <c:pt idx="3">
                  <c:v>2015</c:v>
                </c:pt>
                <c:pt idx="4">
                  <c:v>2016</c:v>
                </c:pt>
                <c:pt idx="5">
                  <c:v>2017</c:v>
                </c:pt>
              </c:numCache>
            </c:numRef>
          </c:cat>
          <c:val>
            <c:numRef>
              <c:f>Sheet1!$U$24:$Z$24</c:f>
              <c:numCache>
                <c:formatCode>0.00</c:formatCode>
                <c:ptCount val="6"/>
                <c:pt idx="0">
                  <c:v>0.14708620923482549</c:v>
                </c:pt>
                <c:pt idx="1">
                  <c:v>0.15803772319536968</c:v>
                </c:pt>
                <c:pt idx="2">
                  <c:v>0.17086064338875487</c:v>
                </c:pt>
                <c:pt idx="3">
                  <c:v>0.17999715372855871</c:v>
                </c:pt>
                <c:pt idx="4">
                  <c:v>0.20664310170781638</c:v>
                </c:pt>
                <c:pt idx="5">
                  <c:v>0.21272572376418197</c:v>
                </c:pt>
              </c:numCache>
            </c:numRef>
          </c:val>
          <c:smooth val="0"/>
          <c:extLst>
            <c:ext xmlns:c16="http://schemas.microsoft.com/office/drawing/2014/chart" uri="{C3380CC4-5D6E-409C-BE32-E72D297353CC}">
              <c16:uniqueId val="{00000000-0E34-4684-98BD-7818598A1A00}"/>
            </c:ext>
          </c:extLst>
        </c:ser>
        <c:ser>
          <c:idx val="1"/>
          <c:order val="1"/>
          <c:tx>
            <c:strRef>
              <c:f>Sheet1!$T$25</c:f>
              <c:strCache>
                <c:ptCount val="1"/>
                <c:pt idx="0">
                  <c:v>Islamic Bank</c:v>
                </c:pt>
              </c:strCache>
            </c:strRef>
          </c:tx>
          <c:marker>
            <c:symbol val="none"/>
          </c:marker>
          <c:cat>
            <c:numRef>
              <c:f>Sheet1!$U$23:$Z$23</c:f>
              <c:numCache>
                <c:formatCode>General</c:formatCode>
                <c:ptCount val="6"/>
                <c:pt idx="0">
                  <c:v>2012</c:v>
                </c:pt>
                <c:pt idx="1">
                  <c:v>2013</c:v>
                </c:pt>
                <c:pt idx="2">
                  <c:v>2014</c:v>
                </c:pt>
                <c:pt idx="3">
                  <c:v>2015</c:v>
                </c:pt>
                <c:pt idx="4">
                  <c:v>2016</c:v>
                </c:pt>
                <c:pt idx="5">
                  <c:v>2017</c:v>
                </c:pt>
              </c:numCache>
            </c:numRef>
          </c:cat>
          <c:val>
            <c:numRef>
              <c:f>Sheet1!$U$25:$Z$25</c:f>
              <c:numCache>
                <c:formatCode>0.00</c:formatCode>
                <c:ptCount val="6"/>
                <c:pt idx="0">
                  <c:v>0.14785940122606056</c:v>
                </c:pt>
                <c:pt idx="1">
                  <c:v>0.16877387307597527</c:v>
                </c:pt>
                <c:pt idx="2">
                  <c:v>0.15817181007487982</c:v>
                </c:pt>
                <c:pt idx="3">
                  <c:v>0.16461311205150753</c:v>
                </c:pt>
                <c:pt idx="4">
                  <c:v>0.16514741754791637</c:v>
                </c:pt>
                <c:pt idx="5">
                  <c:v>0.16602644438451666</c:v>
                </c:pt>
              </c:numCache>
            </c:numRef>
          </c:val>
          <c:smooth val="0"/>
          <c:extLst>
            <c:ext xmlns:c16="http://schemas.microsoft.com/office/drawing/2014/chart" uri="{C3380CC4-5D6E-409C-BE32-E72D297353CC}">
              <c16:uniqueId val="{00000001-0E34-4684-98BD-7818598A1A00}"/>
            </c:ext>
          </c:extLst>
        </c:ser>
        <c:dLbls>
          <c:showLegendKey val="0"/>
          <c:showVal val="0"/>
          <c:showCatName val="0"/>
          <c:showSerName val="0"/>
          <c:showPercent val="0"/>
          <c:showBubbleSize val="0"/>
        </c:dLbls>
        <c:smooth val="0"/>
        <c:axId val="85993728"/>
        <c:axId val="85999616"/>
      </c:lineChart>
      <c:catAx>
        <c:axId val="85993728"/>
        <c:scaling>
          <c:orientation val="minMax"/>
        </c:scaling>
        <c:delete val="0"/>
        <c:axPos val="b"/>
        <c:numFmt formatCode="General" sourceLinked="1"/>
        <c:majorTickMark val="out"/>
        <c:minorTickMark val="none"/>
        <c:tickLblPos val="nextTo"/>
        <c:txPr>
          <a:bodyPr/>
          <a:lstStyle/>
          <a:p>
            <a:pPr>
              <a:defRPr lang="en-US"/>
            </a:pPr>
            <a:endParaRPr lang="en-US"/>
          </a:p>
        </c:txPr>
        <c:crossAx val="85999616"/>
        <c:crosses val="autoZero"/>
        <c:auto val="1"/>
        <c:lblAlgn val="ctr"/>
        <c:lblOffset val="100"/>
        <c:noMultiLvlLbl val="0"/>
      </c:catAx>
      <c:valAx>
        <c:axId val="85999616"/>
        <c:scaling>
          <c:orientation val="minMax"/>
        </c:scaling>
        <c:delete val="0"/>
        <c:axPos val="l"/>
        <c:majorGridlines/>
        <c:numFmt formatCode="0.00" sourceLinked="1"/>
        <c:majorTickMark val="out"/>
        <c:minorTickMark val="none"/>
        <c:tickLblPos val="nextTo"/>
        <c:txPr>
          <a:bodyPr/>
          <a:lstStyle/>
          <a:p>
            <a:pPr>
              <a:defRPr lang="en-US"/>
            </a:pPr>
            <a:endParaRPr lang="en-US"/>
          </a:p>
        </c:txPr>
        <c:crossAx val="85993728"/>
        <c:crosses val="autoZero"/>
        <c:crossBetween val="between"/>
      </c:valAx>
    </c:plotArea>
    <c:legend>
      <c:legendPos val="r"/>
      <c:overlay val="0"/>
      <c:txPr>
        <a:bodyPr/>
        <a:lstStyle/>
        <a:p>
          <a:pPr>
            <a:defRPr lang="en-US"/>
          </a:pPr>
          <a:endParaRPr lang="en-US"/>
        </a:p>
      </c:txPr>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2"/>
    </mc:Choice>
    <mc:Fallback>
      <c:style val="22"/>
    </mc:Fallback>
  </mc:AlternateContent>
  <c:chart>
    <c:title>
      <c:tx>
        <c:rich>
          <a:bodyPr/>
          <a:lstStyle/>
          <a:p>
            <a:pPr>
              <a:defRPr lang="en-US"/>
            </a:pPr>
            <a:r>
              <a:rPr lang="en-GB"/>
              <a:t>Return</a:t>
            </a:r>
            <a:r>
              <a:rPr lang="en-GB" baseline="0"/>
              <a:t> on Equity</a:t>
            </a:r>
            <a:endParaRPr lang="en-GB"/>
          </a:p>
        </c:rich>
      </c:tx>
      <c:overlay val="0"/>
    </c:title>
    <c:autoTitleDeleted val="0"/>
    <c:plotArea>
      <c:layout/>
      <c:lineChart>
        <c:grouping val="standard"/>
        <c:varyColors val="0"/>
        <c:ser>
          <c:idx val="0"/>
          <c:order val="0"/>
          <c:tx>
            <c:strRef>
              <c:f>Sheet1!$T$29</c:f>
              <c:strCache>
                <c:ptCount val="1"/>
                <c:pt idx="0">
                  <c:v>Conventional Bank</c:v>
                </c:pt>
              </c:strCache>
            </c:strRef>
          </c:tx>
          <c:marker>
            <c:symbol val="none"/>
          </c:marker>
          <c:cat>
            <c:numRef>
              <c:f>Sheet1!$U$28:$Z$28</c:f>
              <c:numCache>
                <c:formatCode>General</c:formatCode>
                <c:ptCount val="6"/>
                <c:pt idx="0">
                  <c:v>2012</c:v>
                </c:pt>
                <c:pt idx="1">
                  <c:v>2013</c:v>
                </c:pt>
                <c:pt idx="2">
                  <c:v>2014</c:v>
                </c:pt>
                <c:pt idx="3">
                  <c:v>2015</c:v>
                </c:pt>
                <c:pt idx="4">
                  <c:v>2016</c:v>
                </c:pt>
                <c:pt idx="5">
                  <c:v>2017</c:v>
                </c:pt>
              </c:numCache>
            </c:numRef>
          </c:cat>
          <c:val>
            <c:numRef>
              <c:f>Sheet1!$U$29:$Z$29</c:f>
              <c:numCache>
                <c:formatCode>0.00</c:formatCode>
                <c:ptCount val="6"/>
                <c:pt idx="0">
                  <c:v>0.14256631608344444</c:v>
                </c:pt>
                <c:pt idx="1">
                  <c:v>0.13665865075678252</c:v>
                </c:pt>
                <c:pt idx="2">
                  <c:v>0.13077304813981683</c:v>
                </c:pt>
                <c:pt idx="3">
                  <c:v>0.13786231895411785</c:v>
                </c:pt>
                <c:pt idx="4">
                  <c:v>0.12658310197566983</c:v>
                </c:pt>
                <c:pt idx="5">
                  <c:v>0.10884958060663726</c:v>
                </c:pt>
              </c:numCache>
            </c:numRef>
          </c:val>
          <c:smooth val="0"/>
          <c:extLst>
            <c:ext xmlns:c16="http://schemas.microsoft.com/office/drawing/2014/chart" uri="{C3380CC4-5D6E-409C-BE32-E72D297353CC}">
              <c16:uniqueId val="{00000000-A0E9-468C-982B-97C7801CAA45}"/>
            </c:ext>
          </c:extLst>
        </c:ser>
        <c:ser>
          <c:idx val="1"/>
          <c:order val="1"/>
          <c:tx>
            <c:strRef>
              <c:f>Sheet1!$T$30</c:f>
              <c:strCache>
                <c:ptCount val="1"/>
                <c:pt idx="0">
                  <c:v>Islamic Bank</c:v>
                </c:pt>
              </c:strCache>
            </c:strRef>
          </c:tx>
          <c:marker>
            <c:symbol val="none"/>
          </c:marker>
          <c:cat>
            <c:numRef>
              <c:f>Sheet1!$U$28:$Z$28</c:f>
              <c:numCache>
                <c:formatCode>General</c:formatCode>
                <c:ptCount val="6"/>
                <c:pt idx="0">
                  <c:v>2012</c:v>
                </c:pt>
                <c:pt idx="1">
                  <c:v>2013</c:v>
                </c:pt>
                <c:pt idx="2">
                  <c:v>2014</c:v>
                </c:pt>
                <c:pt idx="3">
                  <c:v>2015</c:v>
                </c:pt>
                <c:pt idx="4">
                  <c:v>2016</c:v>
                </c:pt>
                <c:pt idx="5">
                  <c:v>2017</c:v>
                </c:pt>
              </c:numCache>
            </c:numRef>
          </c:cat>
          <c:val>
            <c:numRef>
              <c:f>Sheet1!$U$30:$Z$30</c:f>
              <c:numCache>
                <c:formatCode>0.00</c:formatCode>
                <c:ptCount val="6"/>
                <c:pt idx="0">
                  <c:v>0.13717884738275687</c:v>
                </c:pt>
                <c:pt idx="1">
                  <c:v>0.13535332208516423</c:v>
                </c:pt>
                <c:pt idx="2">
                  <c:v>0.20493147589285646</c:v>
                </c:pt>
                <c:pt idx="3">
                  <c:v>0.1633450520130077</c:v>
                </c:pt>
                <c:pt idx="4">
                  <c:v>0.2021569820075749</c:v>
                </c:pt>
                <c:pt idx="5">
                  <c:v>0.30742574067999912</c:v>
                </c:pt>
              </c:numCache>
            </c:numRef>
          </c:val>
          <c:smooth val="0"/>
          <c:extLst>
            <c:ext xmlns:c16="http://schemas.microsoft.com/office/drawing/2014/chart" uri="{C3380CC4-5D6E-409C-BE32-E72D297353CC}">
              <c16:uniqueId val="{00000001-A0E9-468C-982B-97C7801CAA45}"/>
            </c:ext>
          </c:extLst>
        </c:ser>
        <c:dLbls>
          <c:showLegendKey val="0"/>
          <c:showVal val="0"/>
          <c:showCatName val="0"/>
          <c:showSerName val="0"/>
          <c:showPercent val="0"/>
          <c:showBubbleSize val="0"/>
        </c:dLbls>
        <c:smooth val="0"/>
        <c:axId val="86032768"/>
        <c:axId val="86034304"/>
      </c:lineChart>
      <c:catAx>
        <c:axId val="86032768"/>
        <c:scaling>
          <c:orientation val="minMax"/>
        </c:scaling>
        <c:delete val="0"/>
        <c:axPos val="b"/>
        <c:numFmt formatCode="General" sourceLinked="1"/>
        <c:majorTickMark val="out"/>
        <c:minorTickMark val="none"/>
        <c:tickLblPos val="nextTo"/>
        <c:txPr>
          <a:bodyPr/>
          <a:lstStyle/>
          <a:p>
            <a:pPr>
              <a:defRPr lang="en-US"/>
            </a:pPr>
            <a:endParaRPr lang="en-US"/>
          </a:p>
        </c:txPr>
        <c:crossAx val="86034304"/>
        <c:crosses val="autoZero"/>
        <c:auto val="1"/>
        <c:lblAlgn val="ctr"/>
        <c:lblOffset val="100"/>
        <c:noMultiLvlLbl val="0"/>
      </c:catAx>
      <c:valAx>
        <c:axId val="86034304"/>
        <c:scaling>
          <c:orientation val="minMax"/>
        </c:scaling>
        <c:delete val="0"/>
        <c:axPos val="l"/>
        <c:majorGridlines/>
        <c:numFmt formatCode="0.00" sourceLinked="1"/>
        <c:majorTickMark val="out"/>
        <c:minorTickMark val="none"/>
        <c:tickLblPos val="nextTo"/>
        <c:txPr>
          <a:bodyPr/>
          <a:lstStyle/>
          <a:p>
            <a:pPr>
              <a:defRPr lang="en-US"/>
            </a:pPr>
            <a:endParaRPr lang="en-US"/>
          </a:p>
        </c:txPr>
        <c:crossAx val="86032768"/>
        <c:crosses val="autoZero"/>
        <c:crossBetween val="between"/>
      </c:valAx>
    </c:plotArea>
    <c:legend>
      <c:legendPos val="r"/>
      <c:overlay val="0"/>
      <c:txPr>
        <a:bodyPr/>
        <a:lstStyle/>
        <a:p>
          <a:pPr>
            <a:defRPr lang="en-US"/>
          </a:pPr>
          <a:endParaRPr lang="en-US"/>
        </a:p>
      </c:txPr>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Wan17</b:Tag>
    <b:SourceType>JournalArticle</b:SourceType>
    <b:Guid>{66DE0B23-3C33-463C-80D3-EC9A0177042C}</b:Guid>
    <b:Title>The Effect of Financial Risk Management on the Financial Performance of Commercial Banks in Kenya </b:Title>
    <b:Year>2017</b:Year>
    <b:Author>
      <b:Author>
        <b:NameList>
          <b:Person>
            <b:Last>Wanjohi</b:Last>
            <b:First>Stephen</b:First>
            <b:Middle>Muthii</b:Middle>
          </b:Person>
          <b:Person>
            <b:Last>Wanjohi</b:Last>
            <b:First>Joel</b:First>
            <b:Middle>Githinji</b:Middle>
          </b:Person>
          <b:Person>
            <b:Last>Ndambiri</b:Last>
            <b:First>James</b:First>
            <b:Middle>Muchiri</b:Middle>
          </b:Person>
        </b:NameList>
      </b:Author>
    </b:Author>
    <b:JournalName>International Journal of Finance and Banking Research </b:JournalName>
    <b:Pages>70-81</b:Pages>
    <b:Volume>3</b:Volume>
    <b:Issue>5</b:Issue>
    <b:RefOrder>1</b:RefOrder>
  </b:Source>
</b:Sources>
</file>

<file path=customXml/itemProps1.xml><?xml version="1.0" encoding="utf-8"?>
<ds:datastoreItem xmlns:ds="http://schemas.openxmlformats.org/officeDocument/2006/customXml" ds:itemID="{068DEEF2-7E64-4AE7-A5BE-7C8845ABF2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106</Pages>
  <Words>25119</Words>
  <Characters>143180</Characters>
  <Application>Microsoft Office Word</Application>
  <DocSecurity>0</DocSecurity>
  <Lines>1193</Lines>
  <Paragraphs>335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Fatima Elabgari (1708382)</cp:lastModifiedBy>
  <cp:revision>2</cp:revision>
  <dcterms:created xsi:type="dcterms:W3CDTF">2019-02-28T12:08:00Z</dcterms:created>
  <dcterms:modified xsi:type="dcterms:W3CDTF">2019-02-28T12:08:00Z</dcterms:modified>
</cp:coreProperties>
</file>