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129D7" w:rsidP="5C218C92" w:rsidRDefault="00A129D7" w14:paraId="411C18B6" w14:textId="27F9BE7F">
      <w:pPr>
        <w:pStyle w:val="Normal"/>
        <w:jc w:val="center"/>
      </w:pPr>
      <w:r w:rsidR="77067036">
        <w:drawing>
          <wp:inline wp14:editId="09470B56" wp14:anchorId="275FA8DC">
            <wp:extent cx="4010025" cy="1323975"/>
            <wp:effectExtent l="0" t="0" r="0" b="0"/>
            <wp:docPr id="579481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9481476" name="Picture 579481476"/>
                    <pic:cNvPicPr/>
                  </pic:nvPicPr>
                  <pic:blipFill>
                    <a:blip xmlns:r="http://schemas.openxmlformats.org/officeDocument/2006/relationships" r:embed="rId1077626821">
                      <a:extLst>
                        <a:ext uri="{28A0092B-C50C-407E-A947-70E740481C1C}">
                          <a14:useLocalDpi xmlns:a14="http://schemas.microsoft.com/office/drawing/2010/main"/>
                        </a:ext>
                      </a:extLst>
                    </a:blip>
                    <a:stretch>
                      <a:fillRect/>
                    </a:stretch>
                  </pic:blipFill>
                  <pic:spPr>
                    <a:xfrm>
                      <a:off x="0" y="0"/>
                      <a:ext cx="4010025" cy="1323975"/>
                    </a:xfrm>
                    <a:prstGeom prst="rect">
                      <a:avLst/>
                    </a:prstGeom>
                  </pic:spPr>
                </pic:pic>
              </a:graphicData>
            </a:graphic>
          </wp:inline>
        </w:drawing>
      </w:r>
    </w:p>
    <w:p w:rsidR="00A129D7" w:rsidP="5C218C92" w:rsidRDefault="00A129D7" w14:paraId="28FDD03C" w14:textId="48D62865">
      <w:pPr>
        <w:pStyle w:val="Normal"/>
        <w:jc w:val="center"/>
      </w:pPr>
    </w:p>
    <w:p w:rsidR="00A129D7" w:rsidP="5C218C92" w:rsidRDefault="00A129D7" w14:paraId="6B637371" w14:textId="31BC442A">
      <w:pPr>
        <w:pStyle w:val="Normal"/>
        <w:jc w:val="center"/>
      </w:pPr>
    </w:p>
    <w:p w:rsidR="00A129D7" w:rsidP="5C218C92" w:rsidRDefault="00A129D7" w14:paraId="523242FD" w14:textId="5F118AE6">
      <w:pPr>
        <w:spacing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Rebecca Travers - 2128316</w:t>
      </w:r>
    </w:p>
    <w:p w:rsidR="00A129D7" w:rsidP="5C218C92" w:rsidRDefault="00A129D7" w14:paraId="0DE6994C" w14:textId="70B87583">
      <w:pPr>
        <w:pStyle w:val="Normal"/>
        <w:suppressLineNumbers w:val="0"/>
        <w:bidi w:val="0"/>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MBA International Business</w:t>
      </w:r>
    </w:p>
    <w:p w:rsidR="00A129D7" w:rsidP="5C218C92" w:rsidRDefault="00A129D7" w14:paraId="0620A1BF" w14:textId="7594F57C">
      <w:pPr>
        <w:spacing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 xml:space="preserve">Strategic Management </w:t>
      </w:r>
    </w:p>
    <w:p w:rsidR="00A129D7" w:rsidP="5C218C92" w:rsidRDefault="00A129D7" w14:paraId="5E6CEEC0" w14:textId="37125A6C">
      <w:pPr>
        <w:spacing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C218C92" w:rsidR="67993460">
        <w:rPr>
          <w:rFonts w:ascii="Arial" w:hAnsi="Arial" w:eastAsia="Arial" w:cs="Arial"/>
          <w:b w:val="0"/>
          <w:bCs w:val="0"/>
          <w:i w:val="0"/>
          <w:iCs w:val="0"/>
          <w:caps w:val="0"/>
          <w:smallCaps w:val="0"/>
          <w:noProof w:val="0"/>
          <w:color w:val="000000" w:themeColor="text1" w:themeTint="FF" w:themeShade="FF"/>
          <w:sz w:val="24"/>
          <w:szCs w:val="24"/>
          <w:lang w:val="en-GB"/>
        </w:rPr>
        <w:t>LCMB7003</w:t>
      </w: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_BIRM</w:t>
      </w:r>
    </w:p>
    <w:p w:rsidR="00A129D7" w:rsidP="5C218C92" w:rsidRDefault="00A129D7" w14:paraId="1064A928" w14:textId="355F2D63">
      <w:pPr>
        <w:spacing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 </w:t>
      </w: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Zulf</w:t>
      </w:r>
      <w:r w:rsidRPr="5C218C92" w:rsidR="77067036">
        <w:rPr>
          <w:rFonts w:ascii="Arial" w:hAnsi="Arial" w:eastAsia="Arial" w:cs="Arial"/>
          <w:b w:val="0"/>
          <w:bCs w:val="0"/>
          <w:i w:val="0"/>
          <w:iCs w:val="0"/>
          <w:caps w:val="0"/>
          <w:smallCaps w:val="0"/>
          <w:noProof w:val="0"/>
          <w:color w:val="000000" w:themeColor="text1" w:themeTint="FF" w:themeShade="FF"/>
          <w:sz w:val="24"/>
          <w:szCs w:val="24"/>
          <w:lang w:val="en-GB"/>
        </w:rPr>
        <w:t xml:space="preserve"> Khan</w:t>
      </w:r>
    </w:p>
    <w:p w:rsidR="00A129D7" w:rsidP="5C218C92" w:rsidRDefault="00A129D7" w14:paraId="5AF0058C" w14:textId="6085BFBE">
      <w:pPr>
        <w:pStyle w:val="Normal"/>
        <w:jc w:val="center"/>
        <w:rPr>
          <w:rFonts w:ascii="Arial" w:hAnsi="Arial" w:eastAsia="Arial" w:cs="Arial"/>
          <w:sz w:val="24"/>
          <w:szCs w:val="24"/>
        </w:rPr>
      </w:pPr>
      <w:r w:rsidRPr="5C218C92" w:rsidR="5D7DF617">
        <w:rPr>
          <w:rFonts w:ascii="Arial" w:hAnsi="Arial" w:eastAsia="Arial" w:cs="Arial"/>
          <w:sz w:val="24"/>
          <w:szCs w:val="24"/>
        </w:rPr>
        <w:t>5000 Word Organisational Expansion P</w:t>
      </w:r>
      <w:r w:rsidRPr="5C218C92" w:rsidR="32A00507">
        <w:rPr>
          <w:rFonts w:ascii="Arial" w:hAnsi="Arial" w:eastAsia="Arial" w:cs="Arial"/>
          <w:sz w:val="24"/>
          <w:szCs w:val="24"/>
        </w:rPr>
        <w:t>lan</w:t>
      </w:r>
    </w:p>
    <w:p w:rsidR="00A129D7" w:rsidP="5C218C92" w:rsidRDefault="00A129D7" w14:paraId="148C2265" w14:textId="59764C2E">
      <w:pPr>
        <w:pStyle w:val="Normal"/>
        <w:jc w:val="center"/>
      </w:pPr>
      <w:r>
        <w:br w:type="page"/>
      </w:r>
    </w:p>
    <w:p w:rsidR="668FEADE" w:rsidP="5C218C92" w:rsidRDefault="668FEADE" w14:paraId="0CAEC32B" w14:textId="6B63A999">
      <w:pPr>
        <w:pStyle w:val="Heading1"/>
        <w:spacing w:line="360" w:lineRule="auto"/>
        <w:jc w:val="both"/>
        <w:rPr>
          <w:rFonts w:ascii="Arial" w:hAnsi="Arial" w:eastAsia="Arial" w:cs="Arial"/>
          <w:b w:val="0"/>
          <w:bCs w:val="0"/>
          <w:color w:val="auto"/>
          <w:sz w:val="36"/>
          <w:szCs w:val="36"/>
        </w:rPr>
      </w:pPr>
      <w:bookmarkStart w:name="_Toc2087971733" w:id="1793054659"/>
      <w:r w:rsidRPr="5C218C92" w:rsidR="668FEADE">
        <w:rPr>
          <w:rFonts w:ascii="Arial" w:hAnsi="Arial" w:eastAsia="Arial" w:cs="Arial"/>
          <w:b w:val="0"/>
          <w:bCs w:val="0"/>
          <w:color w:val="auto"/>
          <w:sz w:val="32"/>
          <w:szCs w:val="32"/>
        </w:rPr>
        <w:t xml:space="preserve">Localising the Global Giant: Strategic Management </w:t>
      </w:r>
      <w:r w:rsidRPr="5C218C92" w:rsidR="79AF0904">
        <w:rPr>
          <w:rFonts w:ascii="Arial" w:hAnsi="Arial" w:eastAsia="Arial" w:cs="Arial"/>
          <w:b w:val="0"/>
          <w:bCs w:val="0"/>
          <w:color w:val="auto"/>
          <w:sz w:val="32"/>
          <w:szCs w:val="32"/>
        </w:rPr>
        <w:t>I</w:t>
      </w:r>
      <w:r w:rsidRPr="5C218C92" w:rsidR="668FEADE">
        <w:rPr>
          <w:rFonts w:ascii="Arial" w:hAnsi="Arial" w:eastAsia="Arial" w:cs="Arial"/>
          <w:b w:val="0"/>
          <w:bCs w:val="0"/>
          <w:color w:val="auto"/>
          <w:sz w:val="32"/>
          <w:szCs w:val="32"/>
        </w:rPr>
        <w:t>nsights for Netflix in China</w:t>
      </w:r>
      <w:r w:rsidRPr="5C218C92" w:rsidR="6A3CF63B">
        <w:rPr>
          <w:rFonts w:ascii="Arial" w:hAnsi="Arial" w:eastAsia="Arial" w:cs="Arial"/>
          <w:b w:val="0"/>
          <w:bCs w:val="0"/>
          <w:color w:val="auto"/>
          <w:sz w:val="32"/>
          <w:szCs w:val="32"/>
        </w:rPr>
        <w:t>.</w:t>
      </w:r>
      <w:bookmarkEnd w:id="1793054659"/>
    </w:p>
    <w:p w:rsidRPr="00A129D7" w:rsidR="00A129D7" w:rsidP="5C218C92" w:rsidRDefault="00A129D7" w14:paraId="3180A8D9" w14:textId="42FEA14E">
      <w:pPr>
        <w:pStyle w:val="Heading1"/>
        <w:spacing w:line="360" w:lineRule="auto"/>
        <w:jc w:val="both"/>
        <w:rPr>
          <w:rFonts w:ascii="Arial" w:hAnsi="Arial" w:eastAsia="Arial" w:cs="Arial"/>
          <w:b w:val="0"/>
          <w:bCs w:val="0"/>
          <w:color w:val="auto"/>
          <w:sz w:val="24"/>
          <w:szCs w:val="24"/>
          <w:lang w:eastAsia="en-GB"/>
        </w:rPr>
      </w:pPr>
      <w:bookmarkStart w:name="_Toc1823851252" w:id="1339232915"/>
      <w:r w:rsidRPr="5C218C92" w:rsidR="6F968453">
        <w:rPr>
          <w:rFonts w:ascii="Arial" w:hAnsi="Arial" w:eastAsia="Arial" w:cs="Arial"/>
          <w:b w:val="0"/>
          <w:bCs w:val="0"/>
          <w:color w:val="auto"/>
          <w:sz w:val="24"/>
          <w:szCs w:val="24"/>
        </w:rPr>
        <w:t>Executive summary</w:t>
      </w:r>
      <w:bookmarkEnd w:id="1339232915"/>
    </w:p>
    <w:p w:rsidR="00A129D7" w:rsidP="5C218C92" w:rsidRDefault="00A129D7" w14:paraId="0D018B8C" w14:textId="6D24742B">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62D498F8">
        <w:rPr>
          <w:rFonts w:ascii="Arial" w:hAnsi="Arial" w:eastAsia="Arial" w:cs="Arial"/>
          <w:b w:val="0"/>
          <w:bCs w:val="0"/>
          <w:noProof w:val="0"/>
          <w:color w:val="auto"/>
          <w:sz w:val="24"/>
          <w:szCs w:val="24"/>
          <w:lang w:val="en-GB"/>
        </w:rPr>
        <w:t xml:space="preserve">China presents both immense opportunities and formidable challenges for streaming platforms like Netflix. With over 1.4 billion people, advanced tech infrastructure, and a growing middle class, the country offers significant potential for subscriber growth. However, strict regulation, </w:t>
      </w:r>
      <w:r w:rsidRPr="5C218C92" w:rsidR="62D498F8">
        <w:rPr>
          <w:rFonts w:ascii="Arial" w:hAnsi="Arial" w:eastAsia="Arial" w:cs="Arial"/>
          <w:b w:val="0"/>
          <w:bCs w:val="0"/>
          <w:noProof w:val="0"/>
          <w:color w:val="auto"/>
          <w:sz w:val="24"/>
          <w:szCs w:val="24"/>
          <w:lang w:val="en-GB"/>
        </w:rPr>
        <w:t>established</w:t>
      </w:r>
      <w:r w:rsidRPr="5C218C92" w:rsidR="62D498F8">
        <w:rPr>
          <w:rFonts w:ascii="Arial" w:hAnsi="Arial" w:eastAsia="Arial" w:cs="Arial"/>
          <w:b w:val="0"/>
          <w:bCs w:val="0"/>
          <w:noProof w:val="0"/>
          <w:color w:val="auto"/>
          <w:sz w:val="24"/>
          <w:szCs w:val="24"/>
          <w:lang w:val="en-GB"/>
        </w:rPr>
        <w:t xml:space="preserve"> local streaming giants, and a unique digital environment create barriers to entry. This report evaluates Netflix’s chances and recommends a focused entry strategy. Using PESTLE, Porter’s Five Forces, and VRIO, it finds that while censorship, licensing, and data laws limit access, rising incomes and digital use drive demand for streaming. To succeed, Netflix must prioritise regulatory compliance, cultural adaptation, and local content. Dominant Chinese services—Tencent Video, </w:t>
      </w:r>
      <w:r w:rsidRPr="5C218C92" w:rsidR="62D498F8">
        <w:rPr>
          <w:rFonts w:ascii="Arial" w:hAnsi="Arial" w:eastAsia="Arial" w:cs="Arial"/>
          <w:b w:val="0"/>
          <w:bCs w:val="0"/>
          <w:noProof w:val="0"/>
          <w:color w:val="auto"/>
          <w:sz w:val="24"/>
          <w:szCs w:val="24"/>
          <w:lang w:val="en-GB"/>
        </w:rPr>
        <w:t>iQIYI</w:t>
      </w:r>
      <w:r w:rsidRPr="5C218C92" w:rsidR="62D498F8">
        <w:rPr>
          <w:rFonts w:ascii="Arial" w:hAnsi="Arial" w:eastAsia="Arial" w:cs="Arial"/>
          <w:b w:val="0"/>
          <w:bCs w:val="0"/>
          <w:noProof w:val="0"/>
          <w:color w:val="auto"/>
          <w:sz w:val="24"/>
          <w:szCs w:val="24"/>
          <w:lang w:val="en-GB"/>
        </w:rPr>
        <w:t xml:space="preserve">, and Youku—have close ties with regulators and local partners. While Netflix’s platform and brand are strong, a market-entry partnership or joint venture is essential to ensure compliance and content relevance. Building a tailored China portfolio and gradually rolling it out are critical steps. Regular performance reviews through a Balanced Scorecard and creating value under a Triple Bottom Line framework are also recommended. </w:t>
      </w:r>
      <w:r w:rsidRPr="5C218C92" w:rsidR="62D498F8">
        <w:rPr>
          <w:rFonts w:ascii="Arial" w:hAnsi="Arial" w:eastAsia="Arial" w:cs="Arial"/>
          <w:b w:val="0"/>
          <w:bCs w:val="0"/>
          <w:noProof w:val="0"/>
          <w:color w:val="auto"/>
          <w:sz w:val="24"/>
          <w:szCs w:val="24"/>
          <w:lang w:val="en-GB"/>
        </w:rPr>
        <w:t>Ultimately, Netflix</w:t>
      </w:r>
      <w:r w:rsidRPr="5C218C92" w:rsidR="62D498F8">
        <w:rPr>
          <w:rFonts w:ascii="Arial" w:hAnsi="Arial" w:eastAsia="Arial" w:cs="Arial"/>
          <w:b w:val="0"/>
          <w:bCs w:val="0"/>
          <w:noProof w:val="0"/>
          <w:color w:val="auto"/>
          <w:sz w:val="24"/>
          <w:szCs w:val="24"/>
          <w:lang w:val="en-GB"/>
        </w:rPr>
        <w:t xml:space="preserve"> can only succeed in China by pursuing disciplined, locally driven strategies, forming robust partnerships, and adapting global strengths to Chinese expectations.</w:t>
      </w:r>
    </w:p>
    <w:p w:rsidR="00A129D7" w:rsidP="5C218C92" w:rsidRDefault="00A129D7" w14:paraId="560AB64F" w14:textId="1BC9F21E">
      <w:pPr>
        <w:spacing w:before="120" w:beforeAutospacing="off" w:after="120" w:afterAutospacing="off" w:line="360" w:lineRule="auto"/>
        <w:jc w:val="both"/>
        <w:rPr>
          <w:rFonts w:ascii="Arial" w:hAnsi="Arial" w:eastAsia="Arial" w:cs="Arial"/>
          <w:b w:val="0"/>
          <w:bCs w:val="0"/>
          <w:noProof w:val="0"/>
          <w:color w:val="auto"/>
          <w:sz w:val="24"/>
          <w:szCs w:val="24"/>
          <w:lang w:val="en-GB"/>
        </w:rPr>
      </w:pPr>
    </w:p>
    <w:p w:rsidR="00A129D7" w:rsidP="5C218C92" w:rsidRDefault="00A129D7" w14:paraId="6F114B7D" w14:textId="1F68688E">
      <w:pPr>
        <w:pStyle w:val="Normal"/>
        <w:spacing w:line="360" w:lineRule="auto"/>
        <w:jc w:val="both"/>
        <w:rPr>
          <w:rFonts w:ascii="Arial" w:hAnsi="Arial" w:eastAsia="Arial" w:cs="Arial"/>
          <w:b w:val="0"/>
          <w:bCs w:val="0"/>
          <w:color w:val="auto"/>
          <w:sz w:val="24"/>
          <w:szCs w:val="24"/>
        </w:rPr>
      </w:pPr>
    </w:p>
    <w:p w:rsidR="5C218C92" w:rsidP="5C218C92" w:rsidRDefault="5C218C92" w14:paraId="3D7D5491" w14:textId="5465693D">
      <w:pPr>
        <w:spacing w:line="360" w:lineRule="auto"/>
        <w:jc w:val="both"/>
        <w:rPr>
          <w:rFonts w:ascii="Arial" w:hAnsi="Arial" w:eastAsia="Arial" w:cs="Arial"/>
          <w:b w:val="0"/>
          <w:bCs w:val="0"/>
          <w:color w:val="auto"/>
          <w:sz w:val="24"/>
          <w:szCs w:val="24"/>
        </w:rPr>
      </w:pPr>
      <w:r w:rsidRPr="5C218C92">
        <w:rPr>
          <w:rFonts w:ascii="Arial" w:hAnsi="Arial" w:eastAsia="Arial" w:cs="Arial"/>
          <w:b w:val="0"/>
          <w:bCs w:val="0"/>
          <w:color w:val="auto"/>
          <w:sz w:val="24"/>
          <w:szCs w:val="24"/>
        </w:rPr>
        <w:br w:type="page"/>
      </w:r>
    </w:p>
    <w:p w:rsidR="5C218C92" w:rsidP="5C218C92" w:rsidRDefault="5C218C92" w14:paraId="0884F01E" w14:textId="7DAA2536">
      <w:pPr>
        <w:pStyle w:val="Normal"/>
        <w:spacing w:line="360" w:lineRule="auto"/>
        <w:jc w:val="both"/>
        <w:rPr>
          <w:rFonts w:ascii="Arial" w:hAnsi="Arial" w:eastAsia="Arial" w:cs="Arial"/>
          <w:b w:val="0"/>
          <w:bCs w:val="0"/>
          <w:color w:val="auto"/>
          <w:sz w:val="24"/>
          <w:szCs w:val="24"/>
        </w:rPr>
      </w:pPr>
    </w:p>
    <w:sdt>
      <w:sdtPr>
        <w:id w:val="2086271920"/>
        <w:docPartObj>
          <w:docPartGallery w:val="Table of Contents"/>
          <w:docPartUnique/>
        </w:docPartObj>
      </w:sdtPr>
      <w:sdtContent>
        <w:p w:rsidR="00A129D7" w:rsidP="5C218C92" w:rsidRDefault="00A129D7" w14:paraId="1D7D0F0F" w14:textId="2F8DD42B">
          <w:pPr>
            <w:pStyle w:val="TOCHeading"/>
            <w:spacing w:line="360" w:lineRule="auto"/>
            <w:jc w:val="both"/>
            <w:rPr>
              <w:rFonts w:ascii="Arial" w:hAnsi="Arial" w:eastAsia="Arial" w:cs="Arial"/>
              <w:b w:val="0"/>
              <w:bCs w:val="0"/>
              <w:color w:val="auto"/>
              <w:sz w:val="24"/>
              <w:szCs w:val="24"/>
            </w:rPr>
          </w:pPr>
          <w:r w:rsidRPr="5C218C92" w:rsidR="20DC2CAB">
            <w:rPr>
              <w:rFonts w:ascii="Arial" w:hAnsi="Arial" w:eastAsia="Arial" w:cs="Arial"/>
              <w:b w:val="0"/>
              <w:bCs w:val="0"/>
              <w:color w:val="auto"/>
              <w:sz w:val="24"/>
              <w:szCs w:val="24"/>
            </w:rPr>
            <w:t>Table of Contents</w:t>
          </w:r>
        </w:p>
        <w:p w:rsidR="00CD5E49" w:rsidP="5C218C92" w:rsidRDefault="4A7425AA" w14:paraId="50DFEE94" w14:textId="1C939F20">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2087971733">
            <w:r w:rsidRPr="5C218C92" w:rsidR="5C218C92">
              <w:rPr>
                <w:rStyle w:val="Hyperlink"/>
              </w:rPr>
              <w:t>Localising the Global Giant: Strategic Management Insights for Netflix in China.</w:t>
            </w:r>
            <w:r>
              <w:tab/>
            </w:r>
            <w:r>
              <w:fldChar w:fldCharType="begin"/>
            </w:r>
            <w:r>
              <w:instrText xml:space="preserve">PAGEREF _Toc2087971733 \h</w:instrText>
            </w:r>
            <w:r>
              <w:fldChar w:fldCharType="separate"/>
            </w:r>
            <w:r w:rsidRPr="5C218C92" w:rsidR="5C218C92">
              <w:rPr>
                <w:rStyle w:val="Hyperlink"/>
              </w:rPr>
              <w:t>1</w:t>
            </w:r>
            <w:r>
              <w:fldChar w:fldCharType="end"/>
            </w:r>
          </w:hyperlink>
        </w:p>
        <w:p w:rsidR="00CD5E49" w:rsidP="5C218C92" w:rsidRDefault="4A7425AA" w14:paraId="39D08DB7" w14:textId="1010101B">
          <w:pPr>
            <w:pStyle w:val="TOC1"/>
            <w:tabs>
              <w:tab w:val="right" w:leader="dot" w:pos="9015"/>
            </w:tabs>
            <w:rPr>
              <w:rStyle w:val="Hyperlink"/>
              <w:noProof/>
            </w:rPr>
          </w:pPr>
          <w:hyperlink w:anchor="_Toc1823851252">
            <w:r w:rsidRPr="5C218C92" w:rsidR="5C218C92">
              <w:rPr>
                <w:rStyle w:val="Hyperlink"/>
              </w:rPr>
              <w:t>Executive summary</w:t>
            </w:r>
            <w:r>
              <w:tab/>
            </w:r>
            <w:r>
              <w:fldChar w:fldCharType="begin"/>
            </w:r>
            <w:r>
              <w:instrText xml:space="preserve">PAGEREF _Toc1823851252 \h</w:instrText>
            </w:r>
            <w:r>
              <w:fldChar w:fldCharType="separate"/>
            </w:r>
            <w:r w:rsidRPr="5C218C92" w:rsidR="5C218C92">
              <w:rPr>
                <w:rStyle w:val="Hyperlink"/>
              </w:rPr>
              <w:t>2</w:t>
            </w:r>
            <w:r>
              <w:fldChar w:fldCharType="end"/>
            </w:r>
          </w:hyperlink>
        </w:p>
        <w:p w:rsidR="00CD5E49" w:rsidP="5C218C92" w:rsidRDefault="4A7425AA" w14:paraId="10D9792E" w14:textId="089A0C7B">
          <w:pPr>
            <w:pStyle w:val="TOC1"/>
            <w:tabs>
              <w:tab w:val="right" w:leader="dot" w:pos="9015"/>
            </w:tabs>
            <w:rPr>
              <w:rStyle w:val="Hyperlink"/>
              <w:noProof/>
              <w:lang w:eastAsia="en-GB"/>
            </w:rPr>
          </w:pPr>
          <w:hyperlink w:anchor="_Toc560898820">
            <w:r w:rsidRPr="5C218C92" w:rsidR="5C218C92">
              <w:rPr>
                <w:rStyle w:val="Hyperlink"/>
              </w:rPr>
              <w:t>Introduction</w:t>
            </w:r>
            <w:r>
              <w:tab/>
            </w:r>
            <w:r>
              <w:fldChar w:fldCharType="begin"/>
            </w:r>
            <w:r>
              <w:instrText xml:space="preserve">PAGEREF _Toc560898820 \h</w:instrText>
            </w:r>
            <w:r>
              <w:fldChar w:fldCharType="separate"/>
            </w:r>
            <w:r w:rsidRPr="5C218C92" w:rsidR="5C218C92">
              <w:rPr>
                <w:rStyle w:val="Hyperlink"/>
              </w:rPr>
              <w:t>3</w:t>
            </w:r>
            <w:r>
              <w:fldChar w:fldCharType="end"/>
            </w:r>
          </w:hyperlink>
        </w:p>
        <w:p w:rsidR="4A7425AA" w:rsidP="4A7425AA" w:rsidRDefault="4A7425AA" w14:paraId="130230D4" w14:textId="3F45C8E7">
          <w:pPr>
            <w:pStyle w:val="TOC1"/>
            <w:tabs>
              <w:tab w:val="right" w:leader="dot" w:pos="9015"/>
            </w:tabs>
            <w:rPr>
              <w:rStyle w:val="Hyperlink"/>
            </w:rPr>
          </w:pPr>
          <w:hyperlink w:anchor="_Toc1787776831">
            <w:r w:rsidRPr="5C218C92" w:rsidR="5C218C92">
              <w:rPr>
                <w:rStyle w:val="Hyperlink"/>
              </w:rPr>
              <w:t>Netflix: Current Situation</w:t>
            </w:r>
            <w:r>
              <w:tab/>
            </w:r>
            <w:r>
              <w:fldChar w:fldCharType="begin"/>
            </w:r>
            <w:r>
              <w:instrText xml:space="preserve">PAGEREF _Toc1787776831 \h</w:instrText>
            </w:r>
            <w:r>
              <w:fldChar w:fldCharType="separate"/>
            </w:r>
            <w:r w:rsidRPr="5C218C92" w:rsidR="5C218C92">
              <w:rPr>
                <w:rStyle w:val="Hyperlink"/>
              </w:rPr>
              <w:t>4</w:t>
            </w:r>
            <w:r>
              <w:fldChar w:fldCharType="end"/>
            </w:r>
          </w:hyperlink>
        </w:p>
        <w:p w:rsidR="5C218C92" w:rsidP="5C218C92" w:rsidRDefault="5C218C92" w14:paraId="6FC0B578" w14:textId="26CA820D">
          <w:pPr>
            <w:pStyle w:val="TOC2"/>
            <w:tabs>
              <w:tab w:val="right" w:leader="dot" w:pos="9015"/>
            </w:tabs>
            <w:rPr>
              <w:rStyle w:val="Hyperlink"/>
            </w:rPr>
          </w:pPr>
          <w:hyperlink w:anchor="_Toc1195429284">
            <w:r w:rsidRPr="5C218C92" w:rsidR="5C218C92">
              <w:rPr>
                <w:rStyle w:val="Hyperlink"/>
              </w:rPr>
              <w:t>Target Market</w:t>
            </w:r>
            <w:r>
              <w:tab/>
            </w:r>
            <w:r>
              <w:fldChar w:fldCharType="begin"/>
            </w:r>
            <w:r>
              <w:instrText xml:space="preserve">PAGEREF _Toc1195429284 \h</w:instrText>
            </w:r>
            <w:r>
              <w:fldChar w:fldCharType="separate"/>
            </w:r>
            <w:r w:rsidRPr="5C218C92" w:rsidR="5C218C92">
              <w:rPr>
                <w:rStyle w:val="Hyperlink"/>
              </w:rPr>
              <w:t>6</w:t>
            </w:r>
            <w:r>
              <w:fldChar w:fldCharType="end"/>
            </w:r>
          </w:hyperlink>
        </w:p>
        <w:p w:rsidR="5C218C92" w:rsidP="5C218C92" w:rsidRDefault="5C218C92" w14:paraId="4F5FEE16" w14:textId="280DB9A4">
          <w:pPr>
            <w:pStyle w:val="TOC1"/>
            <w:tabs>
              <w:tab w:val="right" w:leader="dot" w:pos="9015"/>
            </w:tabs>
            <w:rPr>
              <w:rStyle w:val="Hyperlink"/>
            </w:rPr>
          </w:pPr>
          <w:hyperlink w:anchor="_Toc52467452">
            <w:r w:rsidRPr="5C218C92" w:rsidR="5C218C92">
              <w:rPr>
                <w:rStyle w:val="Hyperlink"/>
              </w:rPr>
              <w:t>Comprehensive Strategic Analysis</w:t>
            </w:r>
            <w:r>
              <w:tab/>
            </w:r>
            <w:r>
              <w:fldChar w:fldCharType="begin"/>
            </w:r>
            <w:r>
              <w:instrText xml:space="preserve">PAGEREF _Toc52467452 \h</w:instrText>
            </w:r>
            <w:r>
              <w:fldChar w:fldCharType="separate"/>
            </w:r>
            <w:r w:rsidRPr="5C218C92" w:rsidR="5C218C92">
              <w:rPr>
                <w:rStyle w:val="Hyperlink"/>
              </w:rPr>
              <w:t>6</w:t>
            </w:r>
            <w:r>
              <w:fldChar w:fldCharType="end"/>
            </w:r>
          </w:hyperlink>
        </w:p>
        <w:p w:rsidR="5C218C92" w:rsidP="5C218C92" w:rsidRDefault="5C218C92" w14:paraId="0358604C" w14:textId="08828E96">
          <w:pPr>
            <w:pStyle w:val="TOC2"/>
            <w:tabs>
              <w:tab w:val="right" w:leader="dot" w:pos="9015"/>
            </w:tabs>
            <w:rPr>
              <w:rStyle w:val="Hyperlink"/>
            </w:rPr>
          </w:pPr>
          <w:hyperlink w:anchor="_Toc1840090115">
            <w:r w:rsidRPr="5C218C92" w:rsidR="5C218C92">
              <w:rPr>
                <w:rStyle w:val="Hyperlink"/>
              </w:rPr>
              <w:t>1. PESTLE Analysis</w:t>
            </w:r>
            <w:r>
              <w:tab/>
            </w:r>
            <w:r>
              <w:fldChar w:fldCharType="begin"/>
            </w:r>
            <w:r>
              <w:instrText xml:space="preserve">PAGEREF _Toc1840090115 \h</w:instrText>
            </w:r>
            <w:r>
              <w:fldChar w:fldCharType="separate"/>
            </w:r>
            <w:r w:rsidRPr="5C218C92" w:rsidR="5C218C92">
              <w:rPr>
                <w:rStyle w:val="Hyperlink"/>
              </w:rPr>
              <w:t>7</w:t>
            </w:r>
            <w:r>
              <w:fldChar w:fldCharType="end"/>
            </w:r>
          </w:hyperlink>
        </w:p>
        <w:p w:rsidR="5C218C92" w:rsidP="5C218C92" w:rsidRDefault="5C218C92" w14:paraId="585D3AFB" w14:textId="1D0CD769">
          <w:pPr>
            <w:pStyle w:val="TOC3"/>
            <w:tabs>
              <w:tab w:val="right" w:leader="dot" w:pos="9015"/>
            </w:tabs>
            <w:rPr>
              <w:rStyle w:val="Hyperlink"/>
            </w:rPr>
          </w:pPr>
          <w:hyperlink w:anchor="_Toc1139461352">
            <w:r w:rsidRPr="5C218C92" w:rsidR="5C218C92">
              <w:rPr>
                <w:rStyle w:val="Hyperlink"/>
              </w:rPr>
              <w:t>Political Factors</w:t>
            </w:r>
            <w:r>
              <w:tab/>
            </w:r>
            <w:r>
              <w:fldChar w:fldCharType="begin"/>
            </w:r>
            <w:r>
              <w:instrText xml:space="preserve">PAGEREF _Toc1139461352 \h</w:instrText>
            </w:r>
            <w:r>
              <w:fldChar w:fldCharType="separate"/>
            </w:r>
            <w:r w:rsidRPr="5C218C92" w:rsidR="5C218C92">
              <w:rPr>
                <w:rStyle w:val="Hyperlink"/>
              </w:rPr>
              <w:t>7</w:t>
            </w:r>
            <w:r>
              <w:fldChar w:fldCharType="end"/>
            </w:r>
          </w:hyperlink>
        </w:p>
        <w:p w:rsidR="5C218C92" w:rsidP="5C218C92" w:rsidRDefault="5C218C92" w14:paraId="6B1C6E39" w14:textId="592750F9">
          <w:pPr>
            <w:pStyle w:val="TOC3"/>
            <w:tabs>
              <w:tab w:val="right" w:leader="dot" w:pos="9015"/>
            </w:tabs>
            <w:rPr>
              <w:rStyle w:val="Hyperlink"/>
            </w:rPr>
          </w:pPr>
          <w:hyperlink w:anchor="_Toc2123476481">
            <w:r w:rsidRPr="5C218C92" w:rsidR="5C218C92">
              <w:rPr>
                <w:rStyle w:val="Hyperlink"/>
              </w:rPr>
              <w:t>Economic Factors</w:t>
            </w:r>
            <w:r>
              <w:tab/>
            </w:r>
            <w:r>
              <w:fldChar w:fldCharType="begin"/>
            </w:r>
            <w:r>
              <w:instrText xml:space="preserve">PAGEREF _Toc2123476481 \h</w:instrText>
            </w:r>
            <w:r>
              <w:fldChar w:fldCharType="separate"/>
            </w:r>
            <w:r w:rsidRPr="5C218C92" w:rsidR="5C218C92">
              <w:rPr>
                <w:rStyle w:val="Hyperlink"/>
              </w:rPr>
              <w:t>7</w:t>
            </w:r>
            <w:r>
              <w:fldChar w:fldCharType="end"/>
            </w:r>
          </w:hyperlink>
        </w:p>
        <w:p w:rsidR="5C218C92" w:rsidP="5C218C92" w:rsidRDefault="5C218C92" w14:paraId="17E5CEA2" w14:textId="3BE092E2">
          <w:pPr>
            <w:pStyle w:val="TOC3"/>
            <w:tabs>
              <w:tab w:val="right" w:leader="dot" w:pos="9015"/>
            </w:tabs>
            <w:rPr>
              <w:rStyle w:val="Hyperlink"/>
            </w:rPr>
          </w:pPr>
          <w:hyperlink w:anchor="_Toc1493579402">
            <w:r w:rsidRPr="5C218C92" w:rsidR="5C218C92">
              <w:rPr>
                <w:rStyle w:val="Hyperlink"/>
              </w:rPr>
              <w:t>Social Factors</w:t>
            </w:r>
            <w:r>
              <w:tab/>
            </w:r>
            <w:r>
              <w:fldChar w:fldCharType="begin"/>
            </w:r>
            <w:r>
              <w:instrText xml:space="preserve">PAGEREF _Toc1493579402 \h</w:instrText>
            </w:r>
            <w:r>
              <w:fldChar w:fldCharType="separate"/>
            </w:r>
            <w:r w:rsidRPr="5C218C92" w:rsidR="5C218C92">
              <w:rPr>
                <w:rStyle w:val="Hyperlink"/>
              </w:rPr>
              <w:t>8</w:t>
            </w:r>
            <w:r>
              <w:fldChar w:fldCharType="end"/>
            </w:r>
          </w:hyperlink>
        </w:p>
        <w:p w:rsidR="5C218C92" w:rsidP="5C218C92" w:rsidRDefault="5C218C92" w14:paraId="70C832CA" w14:textId="350F09A8">
          <w:pPr>
            <w:pStyle w:val="TOC3"/>
            <w:tabs>
              <w:tab w:val="right" w:leader="dot" w:pos="9015"/>
            </w:tabs>
            <w:rPr>
              <w:rStyle w:val="Hyperlink"/>
            </w:rPr>
          </w:pPr>
          <w:hyperlink w:anchor="_Toc1128828898">
            <w:r w:rsidRPr="5C218C92" w:rsidR="5C218C92">
              <w:rPr>
                <w:rStyle w:val="Hyperlink"/>
              </w:rPr>
              <w:t>Technological Factors</w:t>
            </w:r>
            <w:r>
              <w:tab/>
            </w:r>
            <w:r>
              <w:fldChar w:fldCharType="begin"/>
            </w:r>
            <w:r>
              <w:instrText xml:space="preserve">PAGEREF _Toc1128828898 \h</w:instrText>
            </w:r>
            <w:r>
              <w:fldChar w:fldCharType="separate"/>
            </w:r>
            <w:r w:rsidRPr="5C218C92" w:rsidR="5C218C92">
              <w:rPr>
                <w:rStyle w:val="Hyperlink"/>
              </w:rPr>
              <w:t>8</w:t>
            </w:r>
            <w:r>
              <w:fldChar w:fldCharType="end"/>
            </w:r>
          </w:hyperlink>
        </w:p>
        <w:p w:rsidR="5C218C92" w:rsidP="5C218C92" w:rsidRDefault="5C218C92" w14:paraId="2C61D79D" w14:textId="30D72020">
          <w:pPr>
            <w:pStyle w:val="TOC3"/>
            <w:tabs>
              <w:tab w:val="right" w:leader="dot" w:pos="9015"/>
            </w:tabs>
            <w:rPr>
              <w:rStyle w:val="Hyperlink"/>
            </w:rPr>
          </w:pPr>
          <w:hyperlink w:anchor="_Toc1782400991">
            <w:r w:rsidRPr="5C218C92" w:rsidR="5C218C92">
              <w:rPr>
                <w:rStyle w:val="Hyperlink"/>
              </w:rPr>
              <w:t>Legal Factors</w:t>
            </w:r>
            <w:r>
              <w:tab/>
            </w:r>
            <w:r>
              <w:fldChar w:fldCharType="begin"/>
            </w:r>
            <w:r>
              <w:instrText xml:space="preserve">PAGEREF _Toc1782400991 \h</w:instrText>
            </w:r>
            <w:r>
              <w:fldChar w:fldCharType="separate"/>
            </w:r>
            <w:r w:rsidRPr="5C218C92" w:rsidR="5C218C92">
              <w:rPr>
                <w:rStyle w:val="Hyperlink"/>
              </w:rPr>
              <w:t>9</w:t>
            </w:r>
            <w:r>
              <w:fldChar w:fldCharType="end"/>
            </w:r>
          </w:hyperlink>
        </w:p>
        <w:p w:rsidR="5C218C92" w:rsidP="5C218C92" w:rsidRDefault="5C218C92" w14:paraId="2E363F17" w14:textId="13B256FC">
          <w:pPr>
            <w:pStyle w:val="TOC3"/>
            <w:tabs>
              <w:tab w:val="right" w:leader="dot" w:pos="9015"/>
            </w:tabs>
            <w:rPr>
              <w:rStyle w:val="Hyperlink"/>
            </w:rPr>
          </w:pPr>
          <w:hyperlink w:anchor="_Toc1956574779">
            <w:r w:rsidRPr="5C218C92" w:rsidR="5C218C92">
              <w:rPr>
                <w:rStyle w:val="Hyperlink"/>
              </w:rPr>
              <w:t>Environmental Factors</w:t>
            </w:r>
            <w:r>
              <w:tab/>
            </w:r>
            <w:r>
              <w:fldChar w:fldCharType="begin"/>
            </w:r>
            <w:r>
              <w:instrText xml:space="preserve">PAGEREF _Toc1956574779 \h</w:instrText>
            </w:r>
            <w:r>
              <w:fldChar w:fldCharType="separate"/>
            </w:r>
            <w:r w:rsidRPr="5C218C92" w:rsidR="5C218C92">
              <w:rPr>
                <w:rStyle w:val="Hyperlink"/>
              </w:rPr>
              <w:t>9</w:t>
            </w:r>
            <w:r>
              <w:fldChar w:fldCharType="end"/>
            </w:r>
          </w:hyperlink>
        </w:p>
        <w:p w:rsidR="5C218C92" w:rsidP="5C218C92" w:rsidRDefault="5C218C92" w14:paraId="4F8D81F3" w14:textId="5192F05E">
          <w:pPr>
            <w:pStyle w:val="TOC2"/>
            <w:tabs>
              <w:tab w:val="right" w:leader="dot" w:pos="9015"/>
            </w:tabs>
            <w:rPr>
              <w:rStyle w:val="Hyperlink"/>
            </w:rPr>
          </w:pPr>
          <w:hyperlink w:anchor="_Toc1977502023">
            <w:r w:rsidRPr="5C218C92" w:rsidR="5C218C92">
              <w:rPr>
                <w:rStyle w:val="Hyperlink"/>
              </w:rPr>
              <w:t>2. Porter’s Five Forces Analysis</w:t>
            </w:r>
            <w:r>
              <w:tab/>
            </w:r>
            <w:r>
              <w:fldChar w:fldCharType="begin"/>
            </w:r>
            <w:r>
              <w:instrText xml:space="preserve">PAGEREF _Toc1977502023 \h</w:instrText>
            </w:r>
            <w:r>
              <w:fldChar w:fldCharType="separate"/>
            </w:r>
            <w:r w:rsidRPr="5C218C92" w:rsidR="5C218C92">
              <w:rPr>
                <w:rStyle w:val="Hyperlink"/>
              </w:rPr>
              <w:t>9</w:t>
            </w:r>
            <w:r>
              <w:fldChar w:fldCharType="end"/>
            </w:r>
          </w:hyperlink>
        </w:p>
        <w:p w:rsidR="5C218C92" w:rsidP="5C218C92" w:rsidRDefault="5C218C92" w14:paraId="4595142C" w14:textId="2EEA3AB3">
          <w:pPr>
            <w:pStyle w:val="TOC3"/>
            <w:tabs>
              <w:tab w:val="right" w:leader="dot" w:pos="9015"/>
            </w:tabs>
            <w:rPr>
              <w:rStyle w:val="Hyperlink"/>
            </w:rPr>
          </w:pPr>
          <w:hyperlink w:anchor="_Toc315366132">
            <w:r w:rsidRPr="5C218C92" w:rsidR="5C218C92">
              <w:rPr>
                <w:rStyle w:val="Hyperlink"/>
              </w:rPr>
              <w:t>Competitive Rivalry (High)</w:t>
            </w:r>
            <w:r>
              <w:tab/>
            </w:r>
            <w:r>
              <w:fldChar w:fldCharType="begin"/>
            </w:r>
            <w:r>
              <w:instrText xml:space="preserve">PAGEREF _Toc315366132 \h</w:instrText>
            </w:r>
            <w:r>
              <w:fldChar w:fldCharType="separate"/>
            </w:r>
            <w:r w:rsidRPr="5C218C92" w:rsidR="5C218C92">
              <w:rPr>
                <w:rStyle w:val="Hyperlink"/>
              </w:rPr>
              <w:t>9</w:t>
            </w:r>
            <w:r>
              <w:fldChar w:fldCharType="end"/>
            </w:r>
          </w:hyperlink>
        </w:p>
        <w:p w:rsidR="5C218C92" w:rsidP="5C218C92" w:rsidRDefault="5C218C92" w14:paraId="2E8D7E51" w14:textId="6FEF24E6">
          <w:pPr>
            <w:pStyle w:val="TOC3"/>
            <w:tabs>
              <w:tab w:val="right" w:leader="dot" w:pos="9015"/>
            </w:tabs>
            <w:rPr>
              <w:rStyle w:val="Hyperlink"/>
            </w:rPr>
          </w:pPr>
          <w:hyperlink w:anchor="_Toc1031151931">
            <w:r w:rsidRPr="5C218C92" w:rsidR="5C218C92">
              <w:rPr>
                <w:rStyle w:val="Hyperlink"/>
              </w:rPr>
              <w:t>Threat of New Entrants (Low)</w:t>
            </w:r>
            <w:r>
              <w:tab/>
            </w:r>
            <w:r>
              <w:fldChar w:fldCharType="begin"/>
            </w:r>
            <w:r>
              <w:instrText xml:space="preserve">PAGEREF _Toc1031151931 \h</w:instrText>
            </w:r>
            <w:r>
              <w:fldChar w:fldCharType="separate"/>
            </w:r>
            <w:r w:rsidRPr="5C218C92" w:rsidR="5C218C92">
              <w:rPr>
                <w:rStyle w:val="Hyperlink"/>
              </w:rPr>
              <w:t>9</w:t>
            </w:r>
            <w:r>
              <w:fldChar w:fldCharType="end"/>
            </w:r>
          </w:hyperlink>
        </w:p>
        <w:p w:rsidR="5C218C92" w:rsidP="5C218C92" w:rsidRDefault="5C218C92" w14:paraId="504F7C6A" w14:textId="5847662C">
          <w:pPr>
            <w:pStyle w:val="TOC3"/>
            <w:tabs>
              <w:tab w:val="right" w:leader="dot" w:pos="9015"/>
            </w:tabs>
            <w:rPr>
              <w:rStyle w:val="Hyperlink"/>
            </w:rPr>
          </w:pPr>
          <w:hyperlink w:anchor="_Toc1743378972">
            <w:r w:rsidRPr="5C218C92" w:rsidR="5C218C92">
              <w:rPr>
                <w:rStyle w:val="Hyperlink"/>
              </w:rPr>
              <w:t>Bargaining Power of Buyers (Moderate)</w:t>
            </w:r>
            <w:r>
              <w:tab/>
            </w:r>
            <w:r>
              <w:fldChar w:fldCharType="begin"/>
            </w:r>
            <w:r>
              <w:instrText xml:space="preserve">PAGEREF _Toc1743378972 \h</w:instrText>
            </w:r>
            <w:r>
              <w:fldChar w:fldCharType="separate"/>
            </w:r>
            <w:r w:rsidRPr="5C218C92" w:rsidR="5C218C92">
              <w:rPr>
                <w:rStyle w:val="Hyperlink"/>
              </w:rPr>
              <w:t>10</w:t>
            </w:r>
            <w:r>
              <w:fldChar w:fldCharType="end"/>
            </w:r>
          </w:hyperlink>
        </w:p>
        <w:p w:rsidR="5C218C92" w:rsidP="5C218C92" w:rsidRDefault="5C218C92" w14:paraId="42DC7376" w14:textId="5795A6EC">
          <w:pPr>
            <w:pStyle w:val="TOC3"/>
            <w:tabs>
              <w:tab w:val="right" w:leader="dot" w:pos="9015"/>
            </w:tabs>
            <w:rPr>
              <w:rStyle w:val="Hyperlink"/>
            </w:rPr>
          </w:pPr>
          <w:hyperlink w:anchor="_Toc1535550548">
            <w:r w:rsidRPr="5C218C92" w:rsidR="5C218C92">
              <w:rPr>
                <w:rStyle w:val="Hyperlink"/>
              </w:rPr>
              <w:t>Bargaining Power of Suppliers (High)</w:t>
            </w:r>
            <w:r>
              <w:tab/>
            </w:r>
            <w:r>
              <w:fldChar w:fldCharType="begin"/>
            </w:r>
            <w:r>
              <w:instrText xml:space="preserve">PAGEREF _Toc1535550548 \h</w:instrText>
            </w:r>
            <w:r>
              <w:fldChar w:fldCharType="separate"/>
            </w:r>
            <w:r w:rsidRPr="5C218C92" w:rsidR="5C218C92">
              <w:rPr>
                <w:rStyle w:val="Hyperlink"/>
              </w:rPr>
              <w:t>10</w:t>
            </w:r>
            <w:r>
              <w:fldChar w:fldCharType="end"/>
            </w:r>
          </w:hyperlink>
        </w:p>
        <w:p w:rsidR="5C218C92" w:rsidP="5C218C92" w:rsidRDefault="5C218C92" w14:paraId="40962B34" w14:textId="4E3434D2">
          <w:pPr>
            <w:pStyle w:val="TOC1"/>
            <w:tabs>
              <w:tab w:val="right" w:leader="dot" w:pos="9015"/>
            </w:tabs>
            <w:rPr>
              <w:rStyle w:val="Hyperlink"/>
            </w:rPr>
          </w:pPr>
          <w:hyperlink w:anchor="_Toc1731841753">
            <w:r w:rsidRPr="5C218C92" w:rsidR="5C218C92">
              <w:rPr>
                <w:rStyle w:val="Hyperlink"/>
              </w:rPr>
              <w:t>Internal Audit</w:t>
            </w:r>
            <w:r>
              <w:tab/>
            </w:r>
            <w:r>
              <w:fldChar w:fldCharType="begin"/>
            </w:r>
            <w:r>
              <w:instrText xml:space="preserve">PAGEREF _Toc1731841753 \h</w:instrText>
            </w:r>
            <w:r>
              <w:fldChar w:fldCharType="separate"/>
            </w:r>
            <w:r w:rsidRPr="5C218C92" w:rsidR="5C218C92">
              <w:rPr>
                <w:rStyle w:val="Hyperlink"/>
              </w:rPr>
              <w:t>10</w:t>
            </w:r>
            <w:r>
              <w:fldChar w:fldCharType="end"/>
            </w:r>
          </w:hyperlink>
        </w:p>
        <w:p w:rsidR="5C218C92" w:rsidP="5C218C92" w:rsidRDefault="5C218C92" w14:paraId="037B51A3" w14:textId="1272C799">
          <w:pPr>
            <w:pStyle w:val="TOC2"/>
            <w:tabs>
              <w:tab w:val="right" w:leader="dot" w:pos="9015"/>
            </w:tabs>
            <w:rPr>
              <w:rStyle w:val="Hyperlink"/>
            </w:rPr>
          </w:pPr>
          <w:hyperlink w:anchor="_Toc275741536">
            <w:r w:rsidRPr="5C218C92" w:rsidR="5C218C92">
              <w:rPr>
                <w:rStyle w:val="Hyperlink"/>
              </w:rPr>
              <w:t>VRIO</w:t>
            </w:r>
            <w:r>
              <w:tab/>
            </w:r>
            <w:r>
              <w:fldChar w:fldCharType="begin"/>
            </w:r>
            <w:r>
              <w:instrText xml:space="preserve">PAGEREF _Toc275741536 \h</w:instrText>
            </w:r>
            <w:r>
              <w:fldChar w:fldCharType="separate"/>
            </w:r>
            <w:r w:rsidRPr="5C218C92" w:rsidR="5C218C92">
              <w:rPr>
                <w:rStyle w:val="Hyperlink"/>
              </w:rPr>
              <w:t>10</w:t>
            </w:r>
            <w:r>
              <w:fldChar w:fldCharType="end"/>
            </w:r>
          </w:hyperlink>
        </w:p>
        <w:p w:rsidR="5C218C92" w:rsidP="5C218C92" w:rsidRDefault="5C218C92" w14:paraId="1A81CD49" w14:textId="380762E1">
          <w:pPr>
            <w:pStyle w:val="TOC3"/>
            <w:tabs>
              <w:tab w:val="right" w:leader="dot" w:pos="9015"/>
            </w:tabs>
            <w:rPr>
              <w:rStyle w:val="Hyperlink"/>
            </w:rPr>
          </w:pPr>
          <w:hyperlink w:anchor="_Toc1825892257">
            <w:r w:rsidRPr="5C218C92" w:rsidR="5C218C92">
              <w:rPr>
                <w:rStyle w:val="Hyperlink"/>
              </w:rPr>
              <w:t>Brand Reputation and Global Market Position</w:t>
            </w:r>
            <w:r>
              <w:tab/>
            </w:r>
            <w:r>
              <w:fldChar w:fldCharType="begin"/>
            </w:r>
            <w:r>
              <w:instrText xml:space="preserve">PAGEREF _Toc1825892257 \h</w:instrText>
            </w:r>
            <w:r>
              <w:fldChar w:fldCharType="separate"/>
            </w:r>
            <w:r w:rsidRPr="5C218C92" w:rsidR="5C218C92">
              <w:rPr>
                <w:rStyle w:val="Hyperlink"/>
              </w:rPr>
              <w:t>11</w:t>
            </w:r>
            <w:r>
              <w:fldChar w:fldCharType="end"/>
            </w:r>
          </w:hyperlink>
        </w:p>
        <w:p w:rsidR="5C218C92" w:rsidP="5C218C92" w:rsidRDefault="5C218C92" w14:paraId="270C8B94" w14:textId="19389FCA">
          <w:pPr>
            <w:pStyle w:val="TOC3"/>
            <w:tabs>
              <w:tab w:val="right" w:leader="dot" w:pos="9015"/>
            </w:tabs>
            <w:rPr>
              <w:rStyle w:val="Hyperlink"/>
            </w:rPr>
          </w:pPr>
          <w:hyperlink w:anchor="_Toc794565667">
            <w:r w:rsidRPr="5C218C92" w:rsidR="5C218C92">
              <w:rPr>
                <w:rStyle w:val="Hyperlink"/>
              </w:rPr>
              <w:t>Data Analytics and Personalisation Algorithms</w:t>
            </w:r>
            <w:r>
              <w:tab/>
            </w:r>
            <w:r>
              <w:fldChar w:fldCharType="begin"/>
            </w:r>
            <w:r>
              <w:instrText xml:space="preserve">PAGEREF _Toc794565667 \h</w:instrText>
            </w:r>
            <w:r>
              <w:fldChar w:fldCharType="separate"/>
            </w:r>
            <w:r w:rsidRPr="5C218C92" w:rsidR="5C218C92">
              <w:rPr>
                <w:rStyle w:val="Hyperlink"/>
              </w:rPr>
              <w:t>11</w:t>
            </w:r>
            <w:r>
              <w:fldChar w:fldCharType="end"/>
            </w:r>
          </w:hyperlink>
        </w:p>
        <w:p w:rsidR="5C218C92" w:rsidP="5C218C92" w:rsidRDefault="5C218C92" w14:paraId="3D8797D8" w14:textId="1629AEB0">
          <w:pPr>
            <w:pStyle w:val="TOC3"/>
            <w:tabs>
              <w:tab w:val="right" w:leader="dot" w:pos="9015"/>
            </w:tabs>
            <w:rPr>
              <w:rStyle w:val="Hyperlink"/>
            </w:rPr>
          </w:pPr>
          <w:hyperlink w:anchor="_Toc1990343485">
            <w:r w:rsidRPr="5C218C92" w:rsidR="5C218C92">
              <w:rPr>
                <w:rStyle w:val="Hyperlink"/>
              </w:rPr>
              <w:t>Content Library and Original Productions</w:t>
            </w:r>
            <w:r>
              <w:tab/>
            </w:r>
            <w:r>
              <w:fldChar w:fldCharType="begin"/>
            </w:r>
            <w:r>
              <w:instrText xml:space="preserve">PAGEREF _Toc1990343485 \h</w:instrText>
            </w:r>
            <w:r>
              <w:fldChar w:fldCharType="separate"/>
            </w:r>
            <w:r w:rsidRPr="5C218C92" w:rsidR="5C218C92">
              <w:rPr>
                <w:rStyle w:val="Hyperlink"/>
              </w:rPr>
              <w:t>11</w:t>
            </w:r>
            <w:r>
              <w:fldChar w:fldCharType="end"/>
            </w:r>
          </w:hyperlink>
        </w:p>
        <w:p w:rsidR="5C218C92" w:rsidP="5C218C92" w:rsidRDefault="5C218C92" w14:paraId="4A6892E3" w14:textId="7B67A32D">
          <w:pPr>
            <w:pStyle w:val="TOC3"/>
            <w:tabs>
              <w:tab w:val="right" w:leader="dot" w:pos="9015"/>
            </w:tabs>
            <w:rPr>
              <w:rStyle w:val="Hyperlink"/>
            </w:rPr>
          </w:pPr>
          <w:hyperlink w:anchor="_Toc1014981281">
            <w:r w:rsidRPr="5C218C92" w:rsidR="5C218C92">
              <w:rPr>
                <w:rStyle w:val="Hyperlink"/>
              </w:rPr>
              <w:t>Organisational Culture and Leadership</w:t>
            </w:r>
            <w:r>
              <w:tab/>
            </w:r>
            <w:r>
              <w:fldChar w:fldCharType="begin"/>
            </w:r>
            <w:r>
              <w:instrText xml:space="preserve">PAGEREF _Toc1014981281 \h</w:instrText>
            </w:r>
            <w:r>
              <w:fldChar w:fldCharType="separate"/>
            </w:r>
            <w:r w:rsidRPr="5C218C92" w:rsidR="5C218C92">
              <w:rPr>
                <w:rStyle w:val="Hyperlink"/>
              </w:rPr>
              <w:t>12</w:t>
            </w:r>
            <w:r>
              <w:fldChar w:fldCharType="end"/>
            </w:r>
          </w:hyperlink>
        </w:p>
        <w:p w:rsidR="5C218C92" w:rsidP="5C218C92" w:rsidRDefault="5C218C92" w14:paraId="4D300785" w14:textId="4FC30668">
          <w:pPr>
            <w:pStyle w:val="TOC3"/>
            <w:tabs>
              <w:tab w:val="right" w:leader="dot" w:pos="9015"/>
            </w:tabs>
            <w:rPr>
              <w:rStyle w:val="Hyperlink"/>
            </w:rPr>
          </w:pPr>
          <w:hyperlink w:anchor="_Toc1307052799">
            <w:r w:rsidRPr="5C218C92" w:rsidR="5C218C92">
              <w:rPr>
                <w:rStyle w:val="Hyperlink"/>
              </w:rPr>
              <w:t>Financial Resources</w:t>
            </w:r>
            <w:r>
              <w:tab/>
            </w:r>
            <w:r>
              <w:fldChar w:fldCharType="begin"/>
            </w:r>
            <w:r>
              <w:instrText xml:space="preserve">PAGEREF _Toc1307052799 \h</w:instrText>
            </w:r>
            <w:r>
              <w:fldChar w:fldCharType="separate"/>
            </w:r>
            <w:r w:rsidRPr="5C218C92" w:rsidR="5C218C92">
              <w:rPr>
                <w:rStyle w:val="Hyperlink"/>
              </w:rPr>
              <w:t>12</w:t>
            </w:r>
            <w:r>
              <w:fldChar w:fldCharType="end"/>
            </w:r>
          </w:hyperlink>
        </w:p>
        <w:p w:rsidR="5C218C92" w:rsidP="5C218C92" w:rsidRDefault="5C218C92" w14:paraId="19C4FAD5" w14:textId="7AA8526C">
          <w:pPr>
            <w:pStyle w:val="TOC3"/>
            <w:tabs>
              <w:tab w:val="right" w:leader="dot" w:pos="9015"/>
            </w:tabs>
            <w:rPr>
              <w:rStyle w:val="Hyperlink"/>
            </w:rPr>
          </w:pPr>
          <w:hyperlink w:anchor="_Toc981182871">
            <w:r w:rsidRPr="5C218C92" w:rsidR="5C218C92">
              <w:rPr>
                <w:rStyle w:val="Hyperlink"/>
              </w:rPr>
              <w:t>Key Issues Emerging from VRIO</w:t>
            </w:r>
            <w:r>
              <w:tab/>
            </w:r>
            <w:r>
              <w:fldChar w:fldCharType="begin"/>
            </w:r>
            <w:r>
              <w:instrText xml:space="preserve">PAGEREF _Toc981182871 \h</w:instrText>
            </w:r>
            <w:r>
              <w:fldChar w:fldCharType="separate"/>
            </w:r>
            <w:r w:rsidRPr="5C218C92" w:rsidR="5C218C92">
              <w:rPr>
                <w:rStyle w:val="Hyperlink"/>
              </w:rPr>
              <w:t>12</w:t>
            </w:r>
            <w:r>
              <w:fldChar w:fldCharType="end"/>
            </w:r>
          </w:hyperlink>
        </w:p>
        <w:p w:rsidR="5C218C92" w:rsidP="5C218C92" w:rsidRDefault="5C218C92" w14:paraId="61D3CE3D" w14:textId="116509D0">
          <w:pPr>
            <w:pStyle w:val="TOC2"/>
            <w:tabs>
              <w:tab w:val="right" w:leader="dot" w:pos="9015"/>
            </w:tabs>
            <w:rPr>
              <w:rStyle w:val="Hyperlink"/>
            </w:rPr>
          </w:pPr>
          <w:hyperlink w:anchor="_Toc96765103">
            <w:r w:rsidRPr="5C218C92" w:rsidR="5C218C92">
              <w:rPr>
                <w:rStyle w:val="Hyperlink"/>
              </w:rPr>
              <w:t>Value Chain Analysis</w:t>
            </w:r>
            <w:r>
              <w:tab/>
            </w:r>
            <w:r>
              <w:fldChar w:fldCharType="begin"/>
            </w:r>
            <w:r>
              <w:instrText xml:space="preserve">PAGEREF _Toc96765103 \h</w:instrText>
            </w:r>
            <w:r>
              <w:fldChar w:fldCharType="separate"/>
            </w:r>
            <w:r w:rsidRPr="5C218C92" w:rsidR="5C218C92">
              <w:rPr>
                <w:rStyle w:val="Hyperlink"/>
              </w:rPr>
              <w:t>12</w:t>
            </w:r>
            <w:r>
              <w:fldChar w:fldCharType="end"/>
            </w:r>
          </w:hyperlink>
        </w:p>
        <w:p w:rsidR="5C218C92" w:rsidP="5C218C92" w:rsidRDefault="5C218C92" w14:paraId="6494F04D" w14:textId="78E280B8">
          <w:pPr>
            <w:pStyle w:val="TOC3"/>
            <w:tabs>
              <w:tab w:val="right" w:leader="dot" w:pos="9015"/>
            </w:tabs>
            <w:rPr>
              <w:rStyle w:val="Hyperlink"/>
            </w:rPr>
          </w:pPr>
          <w:hyperlink w:anchor="_Toc1789810195">
            <w:r w:rsidRPr="5C218C92" w:rsidR="5C218C92">
              <w:rPr>
                <w:rStyle w:val="Hyperlink"/>
              </w:rPr>
              <w:t>Inbound Logistics: Content Acquisition and Licensing</w:t>
            </w:r>
            <w:r>
              <w:tab/>
            </w:r>
            <w:r>
              <w:fldChar w:fldCharType="begin"/>
            </w:r>
            <w:r>
              <w:instrText xml:space="preserve">PAGEREF _Toc1789810195 \h</w:instrText>
            </w:r>
            <w:r>
              <w:fldChar w:fldCharType="separate"/>
            </w:r>
            <w:r w:rsidRPr="5C218C92" w:rsidR="5C218C92">
              <w:rPr>
                <w:rStyle w:val="Hyperlink"/>
              </w:rPr>
              <w:t>13</w:t>
            </w:r>
            <w:r>
              <w:fldChar w:fldCharType="end"/>
            </w:r>
          </w:hyperlink>
        </w:p>
        <w:p w:rsidR="5C218C92" w:rsidP="5C218C92" w:rsidRDefault="5C218C92" w14:paraId="71606A51" w14:textId="1C12DE29">
          <w:pPr>
            <w:pStyle w:val="TOC3"/>
            <w:tabs>
              <w:tab w:val="right" w:leader="dot" w:pos="9015"/>
            </w:tabs>
            <w:rPr>
              <w:rStyle w:val="Hyperlink"/>
            </w:rPr>
          </w:pPr>
          <w:hyperlink w:anchor="_Toc1140995388">
            <w:r w:rsidRPr="5C218C92" w:rsidR="5C218C92">
              <w:rPr>
                <w:rStyle w:val="Hyperlink"/>
              </w:rPr>
              <w:t>Operations: Streaming Platform and Algorithm Development</w:t>
            </w:r>
            <w:r>
              <w:tab/>
            </w:r>
            <w:r>
              <w:fldChar w:fldCharType="begin"/>
            </w:r>
            <w:r>
              <w:instrText xml:space="preserve">PAGEREF _Toc1140995388 \h</w:instrText>
            </w:r>
            <w:r>
              <w:fldChar w:fldCharType="separate"/>
            </w:r>
            <w:r w:rsidRPr="5C218C92" w:rsidR="5C218C92">
              <w:rPr>
                <w:rStyle w:val="Hyperlink"/>
              </w:rPr>
              <w:t>13</w:t>
            </w:r>
            <w:r>
              <w:fldChar w:fldCharType="end"/>
            </w:r>
          </w:hyperlink>
        </w:p>
        <w:p w:rsidR="5C218C92" w:rsidP="5C218C92" w:rsidRDefault="5C218C92" w14:paraId="51BB4B65" w14:textId="189ADCDC">
          <w:pPr>
            <w:pStyle w:val="TOC3"/>
            <w:tabs>
              <w:tab w:val="right" w:leader="dot" w:pos="9015"/>
            </w:tabs>
            <w:rPr>
              <w:rStyle w:val="Hyperlink"/>
            </w:rPr>
          </w:pPr>
          <w:hyperlink w:anchor="_Toc600961847">
            <w:r w:rsidRPr="5C218C92" w:rsidR="5C218C92">
              <w:rPr>
                <w:rStyle w:val="Hyperlink"/>
              </w:rPr>
              <w:t>Outbound Logistics: Content Delivery</w:t>
            </w:r>
            <w:r>
              <w:tab/>
            </w:r>
            <w:r>
              <w:fldChar w:fldCharType="begin"/>
            </w:r>
            <w:r>
              <w:instrText xml:space="preserve">PAGEREF _Toc600961847 \h</w:instrText>
            </w:r>
            <w:r>
              <w:fldChar w:fldCharType="separate"/>
            </w:r>
            <w:r w:rsidRPr="5C218C92" w:rsidR="5C218C92">
              <w:rPr>
                <w:rStyle w:val="Hyperlink"/>
              </w:rPr>
              <w:t>13</w:t>
            </w:r>
            <w:r>
              <w:fldChar w:fldCharType="end"/>
            </w:r>
          </w:hyperlink>
        </w:p>
        <w:p w:rsidR="5C218C92" w:rsidP="5C218C92" w:rsidRDefault="5C218C92" w14:paraId="26E74785" w14:textId="0565BCBA">
          <w:pPr>
            <w:pStyle w:val="TOC3"/>
            <w:tabs>
              <w:tab w:val="right" w:leader="dot" w:pos="9015"/>
            </w:tabs>
            <w:rPr>
              <w:rStyle w:val="Hyperlink"/>
            </w:rPr>
          </w:pPr>
          <w:hyperlink w:anchor="_Toc1101537323">
            <w:r w:rsidRPr="5C218C92" w:rsidR="5C218C92">
              <w:rPr>
                <w:rStyle w:val="Hyperlink"/>
              </w:rPr>
              <w:t>Marketing and Sales</w:t>
            </w:r>
            <w:r>
              <w:tab/>
            </w:r>
            <w:r>
              <w:fldChar w:fldCharType="begin"/>
            </w:r>
            <w:r>
              <w:instrText xml:space="preserve">PAGEREF _Toc1101537323 \h</w:instrText>
            </w:r>
            <w:r>
              <w:fldChar w:fldCharType="separate"/>
            </w:r>
            <w:r w:rsidRPr="5C218C92" w:rsidR="5C218C92">
              <w:rPr>
                <w:rStyle w:val="Hyperlink"/>
              </w:rPr>
              <w:t>13</w:t>
            </w:r>
            <w:r>
              <w:fldChar w:fldCharType="end"/>
            </w:r>
          </w:hyperlink>
        </w:p>
        <w:p w:rsidR="5C218C92" w:rsidP="5C218C92" w:rsidRDefault="5C218C92" w14:paraId="660D7D08" w14:textId="3348D1B8">
          <w:pPr>
            <w:pStyle w:val="TOC3"/>
            <w:tabs>
              <w:tab w:val="right" w:leader="dot" w:pos="9015"/>
            </w:tabs>
            <w:rPr>
              <w:rStyle w:val="Hyperlink"/>
            </w:rPr>
          </w:pPr>
          <w:hyperlink w:anchor="_Toc1461572859">
            <w:r w:rsidRPr="5C218C92" w:rsidR="5C218C92">
              <w:rPr>
                <w:rStyle w:val="Hyperlink"/>
              </w:rPr>
              <w:t>Service: Customer Experience and Support</w:t>
            </w:r>
            <w:r>
              <w:tab/>
            </w:r>
            <w:r>
              <w:fldChar w:fldCharType="begin"/>
            </w:r>
            <w:r>
              <w:instrText xml:space="preserve">PAGEREF _Toc1461572859 \h</w:instrText>
            </w:r>
            <w:r>
              <w:fldChar w:fldCharType="separate"/>
            </w:r>
            <w:r w:rsidRPr="5C218C92" w:rsidR="5C218C92">
              <w:rPr>
                <w:rStyle w:val="Hyperlink"/>
              </w:rPr>
              <w:t>13</w:t>
            </w:r>
            <w:r>
              <w:fldChar w:fldCharType="end"/>
            </w:r>
          </w:hyperlink>
        </w:p>
        <w:p w:rsidR="5C218C92" w:rsidP="5C218C92" w:rsidRDefault="5C218C92" w14:paraId="11343597" w14:textId="45BAF4B0">
          <w:pPr>
            <w:pStyle w:val="TOC3"/>
            <w:tabs>
              <w:tab w:val="right" w:leader="dot" w:pos="9015"/>
            </w:tabs>
            <w:rPr>
              <w:rStyle w:val="Hyperlink"/>
            </w:rPr>
          </w:pPr>
          <w:hyperlink w:anchor="_Toc1542876209">
            <w:r w:rsidRPr="5C218C92" w:rsidR="5C218C92">
              <w:rPr>
                <w:rStyle w:val="Hyperlink"/>
              </w:rPr>
              <w:t>Support Activities</w:t>
            </w:r>
            <w:r>
              <w:tab/>
            </w:r>
            <w:r>
              <w:fldChar w:fldCharType="begin"/>
            </w:r>
            <w:r>
              <w:instrText xml:space="preserve">PAGEREF _Toc1542876209 \h</w:instrText>
            </w:r>
            <w:r>
              <w:fldChar w:fldCharType="separate"/>
            </w:r>
            <w:r w:rsidRPr="5C218C92" w:rsidR="5C218C92">
              <w:rPr>
                <w:rStyle w:val="Hyperlink"/>
              </w:rPr>
              <w:t>14</w:t>
            </w:r>
            <w:r>
              <w:fldChar w:fldCharType="end"/>
            </w:r>
          </w:hyperlink>
        </w:p>
        <w:p w:rsidR="5C218C92" w:rsidP="5C218C92" w:rsidRDefault="5C218C92" w14:paraId="317E7AEC" w14:textId="141D401F">
          <w:pPr>
            <w:pStyle w:val="TOC1"/>
            <w:tabs>
              <w:tab w:val="right" w:leader="dot" w:pos="9015"/>
            </w:tabs>
            <w:rPr>
              <w:rStyle w:val="Hyperlink"/>
            </w:rPr>
          </w:pPr>
          <w:hyperlink w:anchor="_Toc1303566804">
            <w:r w:rsidRPr="5C218C92" w:rsidR="5C218C92">
              <w:rPr>
                <w:rStyle w:val="Hyperlink"/>
              </w:rPr>
              <w:t>Strategy Formulation</w:t>
            </w:r>
            <w:r>
              <w:tab/>
            </w:r>
            <w:r>
              <w:fldChar w:fldCharType="begin"/>
            </w:r>
            <w:r>
              <w:instrText xml:space="preserve">PAGEREF _Toc1303566804 \h</w:instrText>
            </w:r>
            <w:r>
              <w:fldChar w:fldCharType="separate"/>
            </w:r>
            <w:r w:rsidRPr="5C218C92" w:rsidR="5C218C92">
              <w:rPr>
                <w:rStyle w:val="Hyperlink"/>
              </w:rPr>
              <w:t>14</w:t>
            </w:r>
            <w:r>
              <w:fldChar w:fldCharType="end"/>
            </w:r>
          </w:hyperlink>
        </w:p>
        <w:p w:rsidR="5C218C92" w:rsidP="5C218C92" w:rsidRDefault="5C218C92" w14:paraId="79B6C908" w14:textId="6586E32E">
          <w:pPr>
            <w:pStyle w:val="TOC2"/>
            <w:tabs>
              <w:tab w:val="right" w:leader="dot" w:pos="9015"/>
            </w:tabs>
            <w:rPr>
              <w:rStyle w:val="Hyperlink"/>
            </w:rPr>
          </w:pPr>
          <w:hyperlink w:anchor="_Toc1034530555">
            <w:r w:rsidRPr="5C218C92" w:rsidR="5C218C92">
              <w:rPr>
                <w:rStyle w:val="Hyperlink"/>
              </w:rPr>
              <w:t>Key Strategy Formulation Options</w:t>
            </w:r>
            <w:r>
              <w:tab/>
            </w:r>
            <w:r>
              <w:fldChar w:fldCharType="begin"/>
            </w:r>
            <w:r>
              <w:instrText xml:space="preserve">PAGEREF _Toc1034530555 \h</w:instrText>
            </w:r>
            <w:r>
              <w:fldChar w:fldCharType="separate"/>
            </w:r>
            <w:r w:rsidRPr="5C218C92" w:rsidR="5C218C92">
              <w:rPr>
                <w:rStyle w:val="Hyperlink"/>
              </w:rPr>
              <w:t>14</w:t>
            </w:r>
            <w:r>
              <w:fldChar w:fldCharType="end"/>
            </w:r>
          </w:hyperlink>
        </w:p>
        <w:p w:rsidR="5C218C92" w:rsidP="5C218C92" w:rsidRDefault="5C218C92" w14:paraId="0DDDC759" w14:textId="3DF74B14">
          <w:pPr>
            <w:pStyle w:val="TOC3"/>
            <w:tabs>
              <w:tab w:val="right" w:leader="dot" w:pos="9015"/>
            </w:tabs>
            <w:rPr>
              <w:rStyle w:val="Hyperlink"/>
            </w:rPr>
          </w:pPr>
          <w:hyperlink w:anchor="_Toc1987493308">
            <w:r w:rsidRPr="5C218C92" w:rsidR="5C218C92">
              <w:rPr>
                <w:rStyle w:val="Hyperlink"/>
              </w:rPr>
              <w:t>Ansoff Matrix</w:t>
            </w:r>
            <w:r>
              <w:tab/>
            </w:r>
            <w:r>
              <w:fldChar w:fldCharType="begin"/>
            </w:r>
            <w:r>
              <w:instrText xml:space="preserve">PAGEREF _Toc1987493308 \h</w:instrText>
            </w:r>
            <w:r>
              <w:fldChar w:fldCharType="separate"/>
            </w:r>
            <w:r w:rsidRPr="5C218C92" w:rsidR="5C218C92">
              <w:rPr>
                <w:rStyle w:val="Hyperlink"/>
              </w:rPr>
              <w:t>14</w:t>
            </w:r>
            <w:r>
              <w:fldChar w:fldCharType="end"/>
            </w:r>
          </w:hyperlink>
        </w:p>
        <w:p w:rsidR="5C218C92" w:rsidP="5C218C92" w:rsidRDefault="5C218C92" w14:paraId="2DB6694F" w14:textId="14BDF17B">
          <w:pPr>
            <w:pStyle w:val="TOC2"/>
            <w:tabs>
              <w:tab w:val="right" w:leader="dot" w:pos="9015"/>
            </w:tabs>
            <w:rPr>
              <w:rStyle w:val="Hyperlink"/>
            </w:rPr>
          </w:pPr>
          <w:hyperlink w:anchor="_Toc170898315">
            <w:r w:rsidRPr="5C218C92" w:rsidR="5C218C92">
              <w:rPr>
                <w:rStyle w:val="Hyperlink"/>
              </w:rPr>
              <w:t>Application of the Ansoff Growth Matrix</w:t>
            </w:r>
            <w:r>
              <w:tab/>
            </w:r>
            <w:r>
              <w:fldChar w:fldCharType="begin"/>
            </w:r>
            <w:r>
              <w:instrText xml:space="preserve">PAGEREF _Toc170898315 \h</w:instrText>
            </w:r>
            <w:r>
              <w:fldChar w:fldCharType="separate"/>
            </w:r>
            <w:r w:rsidRPr="5C218C92" w:rsidR="5C218C92">
              <w:rPr>
                <w:rStyle w:val="Hyperlink"/>
              </w:rPr>
              <w:t>15</w:t>
            </w:r>
            <w:r>
              <w:fldChar w:fldCharType="end"/>
            </w:r>
          </w:hyperlink>
        </w:p>
        <w:p w:rsidR="5C218C92" w:rsidP="5C218C92" w:rsidRDefault="5C218C92" w14:paraId="3C81FE37" w14:textId="77D015B9">
          <w:pPr>
            <w:pStyle w:val="TOC1"/>
            <w:tabs>
              <w:tab w:val="right" w:leader="dot" w:pos="9015"/>
            </w:tabs>
            <w:rPr>
              <w:rStyle w:val="Hyperlink"/>
            </w:rPr>
          </w:pPr>
          <w:hyperlink w:anchor="_Toc293407855">
            <w:r w:rsidRPr="5C218C92" w:rsidR="5C218C92">
              <w:rPr>
                <w:rStyle w:val="Hyperlink"/>
              </w:rPr>
              <w:t>Strategy implementation</w:t>
            </w:r>
            <w:r>
              <w:tab/>
            </w:r>
            <w:r>
              <w:fldChar w:fldCharType="begin"/>
            </w:r>
            <w:r>
              <w:instrText xml:space="preserve">PAGEREF _Toc293407855 \h</w:instrText>
            </w:r>
            <w:r>
              <w:fldChar w:fldCharType="separate"/>
            </w:r>
            <w:r w:rsidRPr="5C218C92" w:rsidR="5C218C92">
              <w:rPr>
                <w:rStyle w:val="Hyperlink"/>
              </w:rPr>
              <w:t>17</w:t>
            </w:r>
            <w:r>
              <w:fldChar w:fldCharType="end"/>
            </w:r>
          </w:hyperlink>
        </w:p>
        <w:p w:rsidR="5C218C92" w:rsidP="5C218C92" w:rsidRDefault="5C218C92" w14:paraId="54BF8CCB" w14:textId="2F33A956">
          <w:pPr>
            <w:pStyle w:val="TOC1"/>
            <w:tabs>
              <w:tab w:val="right" w:leader="dot" w:pos="9015"/>
            </w:tabs>
            <w:rPr>
              <w:rStyle w:val="Hyperlink"/>
            </w:rPr>
          </w:pPr>
          <w:hyperlink w:anchor="_Toc1810595694">
            <w:r w:rsidRPr="5C218C92" w:rsidR="5C218C92">
              <w:rPr>
                <w:rStyle w:val="Hyperlink"/>
              </w:rPr>
              <w:t>Financial Plan</w:t>
            </w:r>
            <w:r>
              <w:tab/>
            </w:r>
            <w:r>
              <w:fldChar w:fldCharType="begin"/>
            </w:r>
            <w:r>
              <w:instrText xml:space="preserve">PAGEREF _Toc1810595694 \h</w:instrText>
            </w:r>
            <w:r>
              <w:fldChar w:fldCharType="separate"/>
            </w:r>
            <w:r w:rsidRPr="5C218C92" w:rsidR="5C218C92">
              <w:rPr>
                <w:rStyle w:val="Hyperlink"/>
              </w:rPr>
              <w:t>19</w:t>
            </w:r>
            <w:r>
              <w:fldChar w:fldCharType="end"/>
            </w:r>
          </w:hyperlink>
        </w:p>
        <w:p w:rsidR="5C218C92" w:rsidP="5C218C92" w:rsidRDefault="5C218C92" w14:paraId="26361E5C" w14:textId="3D5DBB31">
          <w:pPr>
            <w:pStyle w:val="TOC1"/>
            <w:tabs>
              <w:tab w:val="right" w:leader="dot" w:pos="9015"/>
            </w:tabs>
            <w:rPr>
              <w:rStyle w:val="Hyperlink"/>
            </w:rPr>
          </w:pPr>
          <w:hyperlink w:anchor="_Toc284925637">
            <w:r w:rsidRPr="5C218C92" w:rsidR="5C218C92">
              <w:rPr>
                <w:rStyle w:val="Hyperlink"/>
              </w:rPr>
              <w:t>Recommendations</w:t>
            </w:r>
            <w:r>
              <w:tab/>
            </w:r>
            <w:r>
              <w:fldChar w:fldCharType="begin"/>
            </w:r>
            <w:r>
              <w:instrText xml:space="preserve">PAGEREF _Toc284925637 \h</w:instrText>
            </w:r>
            <w:r>
              <w:fldChar w:fldCharType="separate"/>
            </w:r>
            <w:r w:rsidRPr="5C218C92" w:rsidR="5C218C92">
              <w:rPr>
                <w:rStyle w:val="Hyperlink"/>
              </w:rPr>
              <w:t>20</w:t>
            </w:r>
            <w:r>
              <w:fldChar w:fldCharType="end"/>
            </w:r>
          </w:hyperlink>
        </w:p>
        <w:p w:rsidR="5C218C92" w:rsidP="5C218C92" w:rsidRDefault="5C218C92" w14:paraId="79930C22" w14:textId="443918C8">
          <w:pPr>
            <w:pStyle w:val="TOC1"/>
            <w:tabs>
              <w:tab w:val="right" w:leader="dot" w:pos="9015"/>
            </w:tabs>
            <w:rPr>
              <w:rStyle w:val="Hyperlink"/>
            </w:rPr>
          </w:pPr>
          <w:hyperlink w:anchor="_Toc448286749">
            <w:r w:rsidRPr="5C218C92" w:rsidR="5C218C92">
              <w:rPr>
                <w:rStyle w:val="Hyperlink"/>
              </w:rPr>
              <w:t>Conclusion</w:t>
            </w:r>
            <w:r>
              <w:tab/>
            </w:r>
            <w:r>
              <w:fldChar w:fldCharType="begin"/>
            </w:r>
            <w:r>
              <w:instrText xml:space="preserve">PAGEREF _Toc448286749 \h</w:instrText>
            </w:r>
            <w:r>
              <w:fldChar w:fldCharType="separate"/>
            </w:r>
            <w:r w:rsidRPr="5C218C92" w:rsidR="5C218C92">
              <w:rPr>
                <w:rStyle w:val="Hyperlink"/>
              </w:rPr>
              <w:t>21</w:t>
            </w:r>
            <w:r>
              <w:fldChar w:fldCharType="end"/>
            </w:r>
          </w:hyperlink>
        </w:p>
        <w:p w:rsidR="5C218C92" w:rsidP="5C218C92" w:rsidRDefault="5C218C92" w14:paraId="084721F2" w14:textId="1AEBA685">
          <w:pPr>
            <w:pStyle w:val="TOC1"/>
            <w:tabs>
              <w:tab w:val="right" w:leader="dot" w:pos="9015"/>
            </w:tabs>
            <w:rPr>
              <w:rStyle w:val="Hyperlink"/>
            </w:rPr>
          </w:pPr>
          <w:hyperlink w:anchor="_Toc523472274">
            <w:r w:rsidRPr="5C218C92" w:rsidR="5C218C92">
              <w:rPr>
                <w:rStyle w:val="Hyperlink"/>
              </w:rPr>
              <w:t>References</w:t>
            </w:r>
            <w:r>
              <w:tab/>
            </w:r>
            <w:r>
              <w:fldChar w:fldCharType="begin"/>
            </w:r>
            <w:r>
              <w:instrText xml:space="preserve">PAGEREF _Toc523472274 \h</w:instrText>
            </w:r>
            <w:r>
              <w:fldChar w:fldCharType="separate"/>
            </w:r>
            <w:r w:rsidRPr="5C218C92" w:rsidR="5C218C92">
              <w:rPr>
                <w:rStyle w:val="Hyperlink"/>
              </w:rPr>
              <w:t>21</w:t>
            </w:r>
            <w:r>
              <w:fldChar w:fldCharType="end"/>
            </w:r>
          </w:hyperlink>
          <w:r>
            <w:fldChar w:fldCharType="end"/>
          </w:r>
        </w:p>
      </w:sdtContent>
    </w:sdt>
    <w:p w:rsidR="00A129D7" w:rsidP="5C218C92" w:rsidRDefault="00A129D7" w14:paraId="61B767CC" w14:textId="020A8912">
      <w:pPr>
        <w:spacing w:line="360" w:lineRule="auto"/>
        <w:jc w:val="both"/>
        <w:rPr>
          <w:rFonts w:ascii="Arial" w:hAnsi="Arial" w:eastAsia="Arial" w:cs="Arial"/>
          <w:b w:val="0"/>
          <w:bCs w:val="0"/>
          <w:color w:val="auto"/>
          <w:sz w:val="24"/>
          <w:szCs w:val="24"/>
        </w:rPr>
      </w:pPr>
    </w:p>
    <w:p w:rsidR="00A129D7" w:rsidP="5C218C92" w:rsidRDefault="00A129D7" w14:paraId="4094BFDC" w14:textId="77777777">
      <w:pPr>
        <w:spacing w:line="360" w:lineRule="auto"/>
        <w:jc w:val="both"/>
        <w:rPr>
          <w:rFonts w:ascii="Arial" w:hAnsi="Arial" w:eastAsia="Arial" w:cs="Arial"/>
          <w:b w:val="0"/>
          <w:bCs w:val="0"/>
          <w:color w:val="auto"/>
          <w:sz w:val="24"/>
          <w:szCs w:val="24"/>
        </w:rPr>
      </w:pPr>
    </w:p>
    <w:p w:rsidR="00A129D7" w:rsidP="5C218C92" w:rsidRDefault="00A129D7" w14:paraId="4C2C6AD5" w14:textId="60E3B1DA">
      <w:pPr>
        <w:spacing w:line="360" w:lineRule="auto"/>
        <w:jc w:val="both"/>
        <w:rPr>
          <w:rFonts w:ascii="Arial" w:hAnsi="Arial" w:eastAsia="Arial" w:cs="Arial"/>
          <w:b w:val="0"/>
          <w:bCs w:val="0"/>
          <w:color w:val="auto"/>
          <w:sz w:val="24"/>
          <w:szCs w:val="24"/>
        </w:rPr>
      </w:pPr>
      <w:r w:rsidRPr="5C218C92">
        <w:rPr>
          <w:rFonts w:ascii="Arial" w:hAnsi="Arial" w:eastAsia="Arial" w:cs="Arial"/>
          <w:b w:val="0"/>
          <w:bCs w:val="0"/>
          <w:color w:val="auto"/>
          <w:sz w:val="24"/>
          <w:szCs w:val="24"/>
        </w:rPr>
        <w:br w:type="page"/>
      </w:r>
    </w:p>
    <w:p w:rsidR="00000399" w:rsidP="5C218C92" w:rsidRDefault="00CD5E49" w14:paraId="266762FC" w14:textId="77D14BC2">
      <w:pPr>
        <w:pStyle w:val="Heading1"/>
        <w:spacing w:line="360" w:lineRule="auto"/>
        <w:jc w:val="both"/>
        <w:rPr>
          <w:rFonts w:ascii="Arial" w:hAnsi="Arial" w:eastAsia="Arial" w:cs="Arial"/>
          <w:b w:val="0"/>
          <w:bCs w:val="0"/>
          <w:color w:val="auto"/>
          <w:sz w:val="24"/>
          <w:szCs w:val="24"/>
        </w:rPr>
      </w:pPr>
      <w:bookmarkStart w:name="_Toc560898820" w:id="820651659"/>
      <w:r w:rsidRPr="5C218C92" w:rsidR="20DC2CAB">
        <w:rPr>
          <w:rFonts w:ascii="Arial" w:hAnsi="Arial" w:eastAsia="Arial" w:cs="Arial"/>
          <w:b w:val="0"/>
          <w:bCs w:val="0"/>
          <w:color w:val="auto"/>
          <w:sz w:val="24"/>
          <w:szCs w:val="24"/>
        </w:rPr>
        <w:t>Introduction</w:t>
      </w:r>
      <w:bookmarkEnd w:id="820651659"/>
      <w:r w:rsidRPr="5C218C92" w:rsidR="20DC2CAB">
        <w:rPr>
          <w:rFonts w:ascii="Arial" w:hAnsi="Arial" w:eastAsia="Arial" w:cs="Arial"/>
          <w:b w:val="0"/>
          <w:bCs w:val="0"/>
          <w:color w:val="auto"/>
          <w:sz w:val="24"/>
          <w:szCs w:val="24"/>
        </w:rPr>
        <w:t xml:space="preserve"> </w:t>
      </w:r>
    </w:p>
    <w:p w:rsidR="00000399" w:rsidP="5C218C92" w:rsidRDefault="00CD5E49" w14:paraId="26387F47" w14:textId="1F35487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24A132">
        <w:rPr>
          <w:rFonts w:ascii="Arial" w:hAnsi="Arial" w:eastAsia="Arial" w:cs="Arial"/>
          <w:b w:val="0"/>
          <w:bCs w:val="0"/>
          <w:noProof w:val="0"/>
          <w:color w:val="auto"/>
          <w:sz w:val="24"/>
          <w:szCs w:val="24"/>
          <w:lang w:val="en-GB"/>
        </w:rPr>
        <w:t xml:space="preserve">What can we learn about strategic agility from Netflix, a leader in the entertainment industry? This report argues that Netflix’s ability to </w:t>
      </w:r>
      <w:r w:rsidRPr="5C218C92" w:rsidR="1324A132">
        <w:rPr>
          <w:rFonts w:ascii="Arial" w:hAnsi="Arial" w:eastAsia="Arial" w:cs="Arial"/>
          <w:b w:val="0"/>
          <w:bCs w:val="0"/>
          <w:noProof w:val="0"/>
          <w:color w:val="auto"/>
          <w:sz w:val="24"/>
          <w:szCs w:val="24"/>
          <w:lang w:val="en-GB"/>
        </w:rPr>
        <w:t>maintain</w:t>
      </w:r>
      <w:r w:rsidRPr="5C218C92" w:rsidR="1324A132">
        <w:rPr>
          <w:rFonts w:ascii="Arial" w:hAnsi="Arial" w:eastAsia="Arial" w:cs="Arial"/>
          <w:b w:val="0"/>
          <w:bCs w:val="0"/>
          <w:noProof w:val="0"/>
          <w:color w:val="auto"/>
          <w:sz w:val="24"/>
          <w:szCs w:val="24"/>
          <w:lang w:val="en-GB"/>
        </w:rPr>
        <w:t xml:space="preserve"> market leadership stems from its disciplined approach to strategic management and adaptive decision-making. By learning from both achievements and setbacks, as Kools and George (2020) </w:t>
      </w:r>
      <w:r w:rsidRPr="5C218C92" w:rsidR="1324A132">
        <w:rPr>
          <w:rFonts w:ascii="Arial" w:hAnsi="Arial" w:eastAsia="Arial" w:cs="Arial"/>
          <w:b w:val="0"/>
          <w:bCs w:val="0"/>
          <w:noProof w:val="0"/>
          <w:color w:val="auto"/>
          <w:sz w:val="24"/>
          <w:szCs w:val="24"/>
          <w:lang w:val="en-GB"/>
        </w:rPr>
        <w:t>observe</w:t>
      </w:r>
      <w:r w:rsidRPr="5C218C92" w:rsidR="1324A132">
        <w:rPr>
          <w:rFonts w:ascii="Arial" w:hAnsi="Arial" w:eastAsia="Arial" w:cs="Arial"/>
          <w:b w:val="0"/>
          <w:bCs w:val="0"/>
          <w:noProof w:val="0"/>
          <w:color w:val="auto"/>
          <w:sz w:val="24"/>
          <w:szCs w:val="24"/>
          <w:lang w:val="en-GB"/>
        </w:rPr>
        <w:t>, Netflix adapts to shifting conditions and secures a sustainable competitive advantage. Since the 1970s, strategic management has focused on how organisations develop and sustain strategies for long-term success (</w:t>
      </w:r>
      <w:r w:rsidRPr="5C218C92" w:rsidR="1324A132">
        <w:rPr>
          <w:rFonts w:ascii="Arial" w:hAnsi="Arial" w:eastAsia="Arial" w:cs="Arial"/>
          <w:b w:val="0"/>
          <w:bCs w:val="0"/>
          <w:noProof w:val="0"/>
          <w:color w:val="auto"/>
          <w:sz w:val="24"/>
          <w:szCs w:val="24"/>
          <w:lang w:val="en-GB"/>
        </w:rPr>
        <w:t>O'Shannassy</w:t>
      </w:r>
      <w:r w:rsidRPr="5C218C92" w:rsidR="1324A132">
        <w:rPr>
          <w:rFonts w:ascii="Arial" w:hAnsi="Arial" w:eastAsia="Arial" w:cs="Arial"/>
          <w:b w:val="0"/>
          <w:bCs w:val="0"/>
          <w:noProof w:val="0"/>
          <w:color w:val="auto"/>
          <w:sz w:val="24"/>
          <w:szCs w:val="24"/>
          <w:lang w:val="en-GB"/>
        </w:rPr>
        <w:t>, 2015).</w:t>
      </w:r>
    </w:p>
    <w:p w:rsidR="00000399" w:rsidP="5C218C92" w:rsidRDefault="00CD5E49" w14:paraId="0352500F" w14:textId="14290AD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24A132">
        <w:rPr>
          <w:rFonts w:ascii="Arial" w:hAnsi="Arial" w:eastAsia="Arial" w:cs="Arial"/>
          <w:b w:val="0"/>
          <w:bCs w:val="0"/>
          <w:noProof w:val="0"/>
          <w:color w:val="auto"/>
          <w:sz w:val="24"/>
          <w:szCs w:val="24"/>
          <w:lang w:val="en-GB"/>
        </w:rPr>
        <w:t xml:space="preserve">Organisational structure and strategic alignment drive firm performance by enabling efficient resource allocation and cohesive strategy implementation (Chatzoglou et al., 2018; </w:t>
      </w:r>
      <w:r w:rsidRPr="5C218C92" w:rsidR="1324A132">
        <w:rPr>
          <w:rFonts w:ascii="Arial" w:hAnsi="Arial" w:eastAsia="Arial" w:cs="Arial"/>
          <w:b w:val="0"/>
          <w:bCs w:val="0"/>
          <w:noProof w:val="0"/>
          <w:color w:val="auto"/>
          <w:sz w:val="24"/>
          <w:szCs w:val="24"/>
          <w:lang w:val="en-GB"/>
        </w:rPr>
        <w:t>Gavurova</w:t>
      </w:r>
      <w:r w:rsidRPr="5C218C92" w:rsidR="1324A132">
        <w:rPr>
          <w:rFonts w:ascii="Arial" w:hAnsi="Arial" w:eastAsia="Arial" w:cs="Arial"/>
          <w:b w:val="0"/>
          <w:bCs w:val="0"/>
          <w:noProof w:val="0"/>
          <w:color w:val="auto"/>
          <w:sz w:val="24"/>
          <w:szCs w:val="24"/>
          <w:lang w:val="en-GB"/>
        </w:rPr>
        <w:t xml:space="preserve"> et al., 2020). In an era of globalisation and digital disruption, strategic agility is essential for competitiveness. This report </w:t>
      </w:r>
      <w:r w:rsidRPr="5C218C92" w:rsidR="1324A132">
        <w:rPr>
          <w:rFonts w:ascii="Arial" w:hAnsi="Arial" w:eastAsia="Arial" w:cs="Arial"/>
          <w:b w:val="0"/>
          <w:bCs w:val="0"/>
          <w:noProof w:val="0"/>
          <w:color w:val="auto"/>
          <w:sz w:val="24"/>
          <w:szCs w:val="24"/>
          <w:lang w:val="en-GB"/>
        </w:rPr>
        <w:t>demonstrates</w:t>
      </w:r>
      <w:r w:rsidRPr="5C218C92" w:rsidR="1324A132">
        <w:rPr>
          <w:rFonts w:ascii="Arial" w:hAnsi="Arial" w:eastAsia="Arial" w:cs="Arial"/>
          <w:b w:val="0"/>
          <w:bCs w:val="0"/>
          <w:noProof w:val="0"/>
          <w:color w:val="auto"/>
          <w:sz w:val="24"/>
          <w:szCs w:val="24"/>
          <w:lang w:val="en-GB"/>
        </w:rPr>
        <w:t>, through the Netflix case, how agility—embodied in a highly adaptive organisational structure—enables rapid response to market shifts and consumer demands, directly supporting sustained market leadership.</w:t>
      </w:r>
    </w:p>
    <w:p w:rsidR="00000399" w:rsidP="5C218C92" w:rsidRDefault="00CD5E49" w14:paraId="4F77C6DE" w14:textId="4D07881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24A132">
        <w:rPr>
          <w:rFonts w:ascii="Arial" w:hAnsi="Arial" w:eastAsia="Arial" w:cs="Arial"/>
          <w:b w:val="0"/>
          <w:bCs w:val="0"/>
          <w:noProof w:val="0"/>
          <w:color w:val="auto"/>
          <w:sz w:val="24"/>
          <w:szCs w:val="24"/>
          <w:lang w:val="en-GB"/>
        </w:rPr>
        <w:t xml:space="preserve">This report uses Netflix to illustrate how strategic management and decision-making sustain market leadership through industry and consumer shifts. Netflix’s agility and responsiveness are central to its global growth, particularly in complex but high-potential markets such as China. Despite strict regulations and local rivals like </w:t>
      </w:r>
      <w:r w:rsidRPr="5C218C92" w:rsidR="1324A132">
        <w:rPr>
          <w:rFonts w:ascii="Arial" w:hAnsi="Arial" w:eastAsia="Arial" w:cs="Arial"/>
          <w:b w:val="0"/>
          <w:bCs w:val="0"/>
          <w:noProof w:val="0"/>
          <w:color w:val="auto"/>
          <w:sz w:val="24"/>
          <w:szCs w:val="24"/>
          <w:lang w:val="en-GB"/>
        </w:rPr>
        <w:t>iQIYI</w:t>
      </w:r>
      <w:r w:rsidRPr="5C218C92" w:rsidR="1324A132">
        <w:rPr>
          <w:rFonts w:ascii="Arial" w:hAnsi="Arial" w:eastAsia="Arial" w:cs="Arial"/>
          <w:b w:val="0"/>
          <w:bCs w:val="0"/>
          <w:noProof w:val="0"/>
          <w:color w:val="auto"/>
          <w:sz w:val="24"/>
          <w:szCs w:val="24"/>
          <w:lang w:val="en-GB"/>
        </w:rPr>
        <w:t xml:space="preserve"> (Kokas, 2020), China </w:t>
      </w:r>
      <w:r w:rsidRPr="5C218C92" w:rsidR="1324A132">
        <w:rPr>
          <w:rFonts w:ascii="Arial" w:hAnsi="Arial" w:eastAsia="Arial" w:cs="Arial"/>
          <w:b w:val="0"/>
          <w:bCs w:val="0"/>
          <w:noProof w:val="0"/>
          <w:color w:val="auto"/>
          <w:sz w:val="24"/>
          <w:szCs w:val="24"/>
          <w:lang w:val="en-GB"/>
        </w:rPr>
        <w:t>remains</w:t>
      </w:r>
      <w:r w:rsidRPr="5C218C92" w:rsidR="1324A132">
        <w:rPr>
          <w:rFonts w:ascii="Arial" w:hAnsi="Arial" w:eastAsia="Arial" w:cs="Arial"/>
          <w:b w:val="0"/>
          <w:bCs w:val="0"/>
          <w:noProof w:val="0"/>
          <w:color w:val="auto"/>
          <w:sz w:val="24"/>
          <w:szCs w:val="24"/>
          <w:lang w:val="en-GB"/>
        </w:rPr>
        <w:t xml:space="preserve"> compelling given its 1.4 billion digitally savvy consumers and significant expansion of its entertainment market (Statista, 2025).</w:t>
      </w:r>
    </w:p>
    <w:p w:rsidR="5F2DE34F" w:rsidP="5C218C92" w:rsidRDefault="5F2DE34F" w14:paraId="58815881" w14:textId="48E58E16">
      <w:pPr>
        <w:pStyle w:val="Heading1"/>
        <w:spacing w:line="360" w:lineRule="auto"/>
        <w:jc w:val="both"/>
        <w:rPr>
          <w:rFonts w:ascii="Arial" w:hAnsi="Arial" w:eastAsia="Arial" w:cs="Arial"/>
          <w:b w:val="0"/>
          <w:bCs w:val="0"/>
          <w:noProof w:val="0"/>
          <w:color w:val="auto"/>
          <w:sz w:val="24"/>
          <w:szCs w:val="24"/>
          <w:lang w:val="en-GB"/>
        </w:rPr>
      </w:pPr>
      <w:bookmarkStart w:name="_Toc1787776831" w:id="2143839563"/>
      <w:r w:rsidRPr="5C218C92" w:rsidR="5F2DE34F">
        <w:rPr>
          <w:rFonts w:ascii="Arial" w:hAnsi="Arial" w:eastAsia="Arial" w:cs="Arial"/>
          <w:b w:val="0"/>
          <w:bCs w:val="0"/>
          <w:noProof w:val="0"/>
          <w:color w:val="auto"/>
          <w:sz w:val="24"/>
          <w:szCs w:val="24"/>
          <w:lang w:val="en-GB"/>
        </w:rPr>
        <w:t>Netflix: Current Situation</w:t>
      </w:r>
      <w:bookmarkEnd w:id="2143839563"/>
    </w:p>
    <w:p w:rsidR="5F2DE34F" w:rsidP="5C218C92" w:rsidRDefault="5F2DE34F" w14:paraId="73986E47" w14:textId="23AD5ED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Netflix was founded in 1997 by Reed Hastings and Marc Randolph in the United States. It started as a DVD rental company and later became a global streaming leader (Challa &amp; Jena, 2024).</w:t>
      </w:r>
    </w:p>
    <w:p w:rsidR="5F2DE34F" w:rsidP="5C218C92" w:rsidRDefault="5F2DE34F" w14:paraId="0C4C26D1" w14:textId="2F9854E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Netflix’s mission is "to entertain the world," with a vision of providing accessible, high-quality, and diverse entertainment for a global audience. Netflix differentiates itself through its broad on-demand library, robust portfolio of original productions exclusive to the platform, and the integration of innovative interactive experiences, all offered via a user-friendly subscription model.</w:t>
      </w:r>
    </w:p>
    <w:p w:rsidR="5F2DE34F" w:rsidP="5C218C92" w:rsidRDefault="5F2DE34F" w14:paraId="08582C31" w14:textId="15F9EEB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In recent years, Netflix has expanded to over 190 countries and now has more than 230 million subscribers (Lotz, Eklund, &amp; Soroka, 2022). Its success stems from offering both licensed content and original shows—such as Stranger Things, The Crown, and Squid Game—that attract viewers and build brand loyalty, thereby securing its status as a digital entertainment leader (Challa &amp; Jena, 2024; Lotz, Eklund, &amp; Soroka, 2022).</w:t>
      </w:r>
    </w:p>
    <w:p w:rsidR="5F2DE34F" w:rsidP="5C218C92" w:rsidRDefault="5F2DE34F" w14:paraId="150658A6" w14:textId="1D28D25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 xml:space="preserve">Several strategic capabilities underpin Netflix’s continued growth and distinguish it from competitors. Its advanced technological infrastructure ensures reliable streaming and scalability across diverse markets. High brand recognition and a strong portfolio of original content reinforce its credibility. The use of advanced analytics enables precise audience targeting and personalised recommendations. Extensive global experience </w:t>
      </w:r>
      <w:r w:rsidRPr="5C218C92" w:rsidR="5F2DE34F">
        <w:rPr>
          <w:rFonts w:ascii="Arial" w:hAnsi="Arial" w:eastAsia="Arial" w:cs="Arial"/>
          <w:b w:val="0"/>
          <w:bCs w:val="0"/>
          <w:noProof w:val="0"/>
          <w:color w:val="auto"/>
          <w:sz w:val="24"/>
          <w:szCs w:val="24"/>
          <w:lang w:val="en-GB"/>
        </w:rPr>
        <w:t>provides</w:t>
      </w:r>
      <w:r w:rsidRPr="5C218C92" w:rsidR="5F2DE34F">
        <w:rPr>
          <w:rFonts w:ascii="Arial" w:hAnsi="Arial" w:eastAsia="Arial" w:cs="Arial"/>
          <w:b w:val="0"/>
          <w:bCs w:val="0"/>
          <w:noProof w:val="0"/>
          <w:color w:val="auto"/>
          <w:sz w:val="24"/>
          <w:szCs w:val="24"/>
          <w:lang w:val="en-GB"/>
        </w:rPr>
        <w:t xml:space="preserve"> critical insight for cultural adaptation and regulatory compliance, further differentiating Netflix within the industry.</w:t>
      </w:r>
    </w:p>
    <w:p w:rsidR="5F2DE34F" w:rsidP="5C218C92" w:rsidRDefault="5F2DE34F" w14:paraId="015C063D" w14:textId="13AF9B9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 xml:space="preserve">As a leading global streaming provider, Netflix aims to deliver engaging content accessible at any time and from any location. Its strategic </w:t>
      </w:r>
      <w:r w:rsidRPr="5C218C92" w:rsidR="5F2DE34F">
        <w:rPr>
          <w:rFonts w:ascii="Arial" w:hAnsi="Arial" w:eastAsia="Arial" w:cs="Arial"/>
          <w:b w:val="0"/>
          <w:bCs w:val="0"/>
          <w:noProof w:val="0"/>
          <w:color w:val="auto"/>
          <w:sz w:val="24"/>
          <w:szCs w:val="24"/>
          <w:lang w:val="en-GB"/>
        </w:rPr>
        <w:t>objectives</w:t>
      </w:r>
      <w:r w:rsidRPr="5C218C92" w:rsidR="5F2DE34F">
        <w:rPr>
          <w:rFonts w:ascii="Arial" w:hAnsi="Arial" w:eastAsia="Arial" w:cs="Arial"/>
          <w:b w:val="0"/>
          <w:bCs w:val="0"/>
          <w:noProof w:val="0"/>
          <w:color w:val="auto"/>
          <w:sz w:val="24"/>
          <w:szCs w:val="24"/>
          <w:lang w:val="en-GB"/>
        </w:rPr>
        <w:t xml:space="preserve"> encompass global expansion, subscriber growth, increased investment in original programming, technological innovation, and sustained long-term profitability.</w:t>
      </w:r>
    </w:p>
    <w:p w:rsidR="5F2DE34F" w:rsidP="5C218C92" w:rsidRDefault="5F2DE34F" w14:paraId="7A93A821" w14:textId="16C81AC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 xml:space="preserve">Established in 1997, Netflix is publicly traded. It trades on NASDAQ (NFLX) and uses standard governance, including a Board, executives, and shareholder oversight (Curry, 2025). Reed Hastings became Executive </w:t>
      </w:r>
      <w:r w:rsidRPr="5C218C92" w:rsidR="5F2DE34F">
        <w:rPr>
          <w:rFonts w:ascii="Arial" w:hAnsi="Arial" w:eastAsia="Arial" w:cs="Arial"/>
          <w:b w:val="0"/>
          <w:bCs w:val="0"/>
          <w:noProof w:val="0"/>
          <w:color w:val="auto"/>
          <w:sz w:val="24"/>
          <w:szCs w:val="24"/>
          <w:lang w:val="en-GB"/>
        </w:rPr>
        <w:t>Chairman</w:t>
      </w:r>
      <w:r w:rsidRPr="5C218C92" w:rsidR="5F2DE34F">
        <w:rPr>
          <w:rFonts w:ascii="Arial" w:hAnsi="Arial" w:eastAsia="Arial" w:cs="Arial"/>
          <w:b w:val="0"/>
          <w:bCs w:val="0"/>
          <w:noProof w:val="0"/>
          <w:color w:val="auto"/>
          <w:sz w:val="24"/>
          <w:szCs w:val="24"/>
          <w:lang w:val="en-GB"/>
        </w:rPr>
        <w:t xml:space="preserve"> after stepping down as CEO in 2023, while Greg Peters and Ted Sarandos now share the CEO role, providing stable leadership. </w:t>
      </w:r>
      <w:r w:rsidRPr="5C218C92" w:rsidR="780A08C3">
        <w:rPr>
          <w:rFonts w:ascii="Arial" w:hAnsi="Arial" w:eastAsia="Arial" w:cs="Arial"/>
          <w:b w:val="0"/>
          <w:bCs w:val="0"/>
          <w:noProof w:val="0"/>
          <w:color w:val="auto"/>
          <w:sz w:val="24"/>
          <w:szCs w:val="24"/>
          <w:lang w:val="en-GB"/>
        </w:rPr>
        <w:t>Organis</w:t>
      </w:r>
      <w:r w:rsidRPr="5C218C92" w:rsidR="5F2DE34F">
        <w:rPr>
          <w:rFonts w:ascii="Arial" w:hAnsi="Arial" w:eastAsia="Arial" w:cs="Arial"/>
          <w:b w:val="0"/>
          <w:bCs w:val="0"/>
          <w:noProof w:val="0"/>
          <w:color w:val="auto"/>
          <w:sz w:val="24"/>
          <w:szCs w:val="24"/>
          <w:lang w:val="en-GB"/>
        </w:rPr>
        <w:t>ational</w:t>
      </w:r>
      <w:r w:rsidRPr="5C218C92" w:rsidR="1620DDEF">
        <w:rPr>
          <w:rFonts w:ascii="Arial" w:hAnsi="Arial" w:eastAsia="Arial" w:cs="Arial"/>
          <w:b w:val="0"/>
          <w:bCs w:val="0"/>
          <w:noProof w:val="0"/>
          <w:color w:val="auto"/>
          <w:sz w:val="24"/>
          <w:szCs w:val="24"/>
          <w:lang w:val="en-GB"/>
        </w:rPr>
        <w:t>ly, Netflix employs a decentralised, function-</w:t>
      </w:r>
      <w:r w:rsidRPr="5C218C92" w:rsidR="5223C31C">
        <w:rPr>
          <w:rFonts w:ascii="Arial" w:hAnsi="Arial" w:eastAsia="Arial" w:cs="Arial"/>
          <w:b w:val="0"/>
          <w:bCs w:val="0"/>
          <w:noProof w:val="0"/>
          <w:color w:val="auto"/>
          <w:sz w:val="24"/>
          <w:szCs w:val="24"/>
          <w:lang w:val="en-GB"/>
        </w:rPr>
        <w:t>based structure</w:t>
      </w:r>
      <w:r w:rsidRPr="5C218C92" w:rsidR="5223C31C">
        <w:rPr>
          <w:rFonts w:ascii="Arial" w:hAnsi="Arial" w:eastAsia="Arial" w:cs="Arial"/>
          <w:b w:val="0"/>
          <w:bCs w:val="0"/>
          <w:noProof w:val="0"/>
          <w:color w:val="auto"/>
          <w:sz w:val="24"/>
          <w:szCs w:val="24"/>
          <w:lang w:val="en-GB"/>
        </w:rPr>
        <w:t>, which</w:t>
      </w:r>
      <w:r w:rsidRPr="5C218C92" w:rsidR="5F2DE34F">
        <w:rPr>
          <w:rFonts w:ascii="Arial" w:hAnsi="Arial" w:eastAsia="Arial" w:cs="Arial"/>
          <w:b w:val="0"/>
          <w:bCs w:val="0"/>
          <w:noProof w:val="0"/>
          <w:color w:val="auto"/>
          <w:sz w:val="24"/>
          <w:szCs w:val="24"/>
          <w:lang w:val="en-GB"/>
        </w:rPr>
        <w:t xml:space="preserve"> enables effective management of content creation, technology, marketing, and operations across diverse local markets. Operating in a rapidly evolving industry, the company must continuously adapt to technological advancements and shifting consumer preferences. Netflix also faces increasing competition from global and regional streaming providers, including Disney+, Amazon Prime Video, and </w:t>
      </w:r>
      <w:r w:rsidRPr="5C218C92" w:rsidR="5F2DE34F">
        <w:rPr>
          <w:rFonts w:ascii="Arial" w:hAnsi="Arial" w:eastAsia="Arial" w:cs="Arial"/>
          <w:b w:val="0"/>
          <w:bCs w:val="0"/>
          <w:noProof w:val="0"/>
          <w:color w:val="auto"/>
          <w:sz w:val="24"/>
          <w:szCs w:val="24"/>
          <w:lang w:val="en-GB"/>
        </w:rPr>
        <w:t>iQIYI</w:t>
      </w:r>
      <w:r w:rsidRPr="5C218C92" w:rsidR="5F2DE34F">
        <w:rPr>
          <w:rFonts w:ascii="Arial" w:hAnsi="Arial" w:eastAsia="Arial" w:cs="Arial"/>
          <w:b w:val="0"/>
          <w:bCs w:val="0"/>
          <w:noProof w:val="0"/>
          <w:color w:val="auto"/>
          <w:sz w:val="24"/>
          <w:szCs w:val="24"/>
          <w:lang w:val="en-GB"/>
        </w:rPr>
        <w:t>.</w:t>
      </w:r>
    </w:p>
    <w:p w:rsidR="5F2DE34F" w:rsidP="5C218C92" w:rsidRDefault="5F2DE34F" w14:paraId="3CA5DB13" w14:textId="13601161">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 xml:space="preserve">Netflix’s core offering centres on the streaming of films, series, documentaries, and original productions—collectively branded as "Netflix Originals." The company provides various subscription tiers, including ad-supported options introduced in 2022. With operations spanning more than 190 countries, Netflix </w:t>
      </w:r>
      <w:r w:rsidRPr="5C218C92" w:rsidR="5F2DE34F">
        <w:rPr>
          <w:rFonts w:ascii="Arial" w:hAnsi="Arial" w:eastAsia="Arial" w:cs="Arial"/>
          <w:b w:val="0"/>
          <w:bCs w:val="0"/>
          <w:noProof w:val="0"/>
          <w:color w:val="auto"/>
          <w:sz w:val="24"/>
          <w:szCs w:val="24"/>
          <w:lang w:val="en-GB"/>
        </w:rPr>
        <w:t>maintains</w:t>
      </w:r>
      <w:r w:rsidRPr="5C218C92" w:rsidR="5F2DE34F">
        <w:rPr>
          <w:rFonts w:ascii="Arial" w:hAnsi="Arial" w:eastAsia="Arial" w:cs="Arial"/>
          <w:b w:val="0"/>
          <w:bCs w:val="0"/>
          <w:noProof w:val="0"/>
          <w:color w:val="auto"/>
          <w:sz w:val="24"/>
          <w:szCs w:val="24"/>
          <w:lang w:val="en-GB"/>
        </w:rPr>
        <w:t xml:space="preserve"> a strong presence in North America, Europe, and Latin America. It is also pursuing selective expansion in parts of Asia.</w:t>
      </w:r>
    </w:p>
    <w:p w:rsidR="5F2DE34F" w:rsidP="5C218C92" w:rsidRDefault="5F2DE34F" w14:paraId="0B3B0B1E" w14:textId="73E2936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2DE34F">
        <w:rPr>
          <w:rFonts w:ascii="Arial" w:hAnsi="Arial" w:eastAsia="Arial" w:cs="Arial"/>
          <w:b w:val="0"/>
          <w:bCs w:val="0"/>
          <w:noProof w:val="0"/>
          <w:color w:val="auto"/>
          <w:sz w:val="24"/>
          <w:szCs w:val="24"/>
          <w:lang w:val="en-GB"/>
        </w:rPr>
        <w:t xml:space="preserve">In 2025, Netflix reported revenues exceeding $ 39 billion (Curry, 2025). This growth came </w:t>
      </w:r>
      <w:r w:rsidRPr="5C218C92" w:rsidR="5F2DE34F">
        <w:rPr>
          <w:rFonts w:ascii="Arial" w:hAnsi="Arial" w:eastAsia="Arial" w:cs="Arial"/>
          <w:b w:val="0"/>
          <w:bCs w:val="0"/>
          <w:noProof w:val="0"/>
          <w:color w:val="auto"/>
          <w:sz w:val="24"/>
          <w:szCs w:val="24"/>
          <w:lang w:val="en-GB"/>
        </w:rPr>
        <w:t>mainly from</w:t>
      </w:r>
      <w:r w:rsidRPr="5C218C92" w:rsidR="5F2DE34F">
        <w:rPr>
          <w:rFonts w:ascii="Arial" w:hAnsi="Arial" w:eastAsia="Arial" w:cs="Arial"/>
          <w:b w:val="0"/>
          <w:bCs w:val="0"/>
          <w:noProof w:val="0"/>
          <w:color w:val="auto"/>
          <w:sz w:val="24"/>
          <w:szCs w:val="24"/>
          <w:lang w:val="en-GB"/>
        </w:rPr>
        <w:t xml:space="preserve"> more subscribers and increased ad income. Strong cash flow lets Netflix keep investing in content, giving it an edge in global streaming.</w:t>
      </w:r>
    </w:p>
    <w:p w:rsidR="144E8088" w:rsidP="5C218C92" w:rsidRDefault="144E8088" w14:paraId="36D1E028" w14:textId="12678148">
      <w:pPr>
        <w:pStyle w:val="Heading2"/>
        <w:spacing w:line="360" w:lineRule="auto"/>
        <w:jc w:val="both"/>
        <w:rPr>
          <w:rFonts w:ascii="Arial" w:hAnsi="Arial" w:eastAsia="Arial" w:cs="Arial"/>
          <w:b w:val="0"/>
          <w:bCs w:val="0"/>
          <w:color w:val="auto"/>
          <w:sz w:val="24"/>
          <w:szCs w:val="24"/>
        </w:rPr>
      </w:pPr>
      <w:bookmarkStart w:name="_Toc1195429284" w:id="972033795"/>
      <w:r w:rsidRPr="5C218C92" w:rsidR="144E8088">
        <w:rPr>
          <w:rFonts w:ascii="Arial" w:hAnsi="Arial" w:eastAsia="Arial" w:cs="Arial"/>
          <w:b w:val="0"/>
          <w:bCs w:val="0"/>
          <w:color w:val="auto"/>
          <w:sz w:val="24"/>
          <w:szCs w:val="24"/>
        </w:rPr>
        <w:t>Target Market</w:t>
      </w:r>
      <w:bookmarkEnd w:id="972033795"/>
    </w:p>
    <w:p w:rsidR="133744A3" w:rsidP="5C218C92" w:rsidRDefault="133744A3" w14:paraId="79394ABC" w14:textId="56B9A8EB">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3744A3">
        <w:rPr>
          <w:rFonts w:ascii="Arial" w:hAnsi="Arial" w:eastAsia="Arial" w:cs="Arial"/>
          <w:b w:val="0"/>
          <w:bCs w:val="0"/>
          <w:noProof w:val="0"/>
          <w:color w:val="auto"/>
          <w:sz w:val="24"/>
          <w:szCs w:val="24"/>
          <w:lang w:val="en-GB"/>
        </w:rPr>
        <w:t xml:space="preserve">China </w:t>
      </w:r>
      <w:r w:rsidRPr="5C218C92" w:rsidR="133744A3">
        <w:rPr>
          <w:rFonts w:ascii="Arial" w:hAnsi="Arial" w:eastAsia="Arial" w:cs="Arial"/>
          <w:b w:val="0"/>
          <w:bCs w:val="0"/>
          <w:noProof w:val="0"/>
          <w:color w:val="auto"/>
          <w:sz w:val="24"/>
          <w:szCs w:val="24"/>
          <w:lang w:val="en-GB"/>
        </w:rPr>
        <w:t>represents</w:t>
      </w:r>
      <w:r w:rsidRPr="5C218C92" w:rsidR="133744A3">
        <w:rPr>
          <w:rFonts w:ascii="Arial" w:hAnsi="Arial" w:eastAsia="Arial" w:cs="Arial"/>
          <w:b w:val="0"/>
          <w:bCs w:val="0"/>
          <w:noProof w:val="0"/>
          <w:color w:val="auto"/>
          <w:sz w:val="24"/>
          <w:szCs w:val="24"/>
          <w:lang w:val="en-GB"/>
        </w:rPr>
        <w:t xml:space="preserve"> a significant international expansion opportunity for Netflix due to its large scale, advanced digital infrastructure, and rapidly evolving demand for online entertainment. With 1.4 billion consumers and a fast-growing middle class, China offers substantial long-term potential for subscriber growth. However, Kokas (2020) </w:t>
      </w:r>
      <w:r w:rsidRPr="5C218C92" w:rsidR="133744A3">
        <w:rPr>
          <w:rFonts w:ascii="Arial" w:hAnsi="Arial" w:eastAsia="Arial" w:cs="Arial"/>
          <w:b w:val="0"/>
          <w:bCs w:val="0"/>
          <w:noProof w:val="0"/>
          <w:color w:val="auto"/>
          <w:sz w:val="24"/>
          <w:szCs w:val="24"/>
          <w:lang w:val="en-GB"/>
        </w:rPr>
        <w:t>identifies</w:t>
      </w:r>
      <w:r w:rsidRPr="5C218C92" w:rsidR="133744A3">
        <w:rPr>
          <w:rFonts w:ascii="Arial" w:hAnsi="Arial" w:eastAsia="Arial" w:cs="Arial"/>
          <w:b w:val="0"/>
          <w:bCs w:val="0"/>
          <w:noProof w:val="0"/>
          <w:color w:val="auto"/>
          <w:sz w:val="24"/>
          <w:szCs w:val="24"/>
          <w:lang w:val="en-GB"/>
        </w:rPr>
        <w:t xml:space="preserve"> considerable challenges for global organisations; for example, Google exited the Chinese market due to regulatory obstacles. China’s market is highly digitalised, with widespread mobile connectivity and strong broadband penetration, and its population </w:t>
      </w:r>
      <w:r w:rsidRPr="5C218C92" w:rsidR="133744A3">
        <w:rPr>
          <w:rFonts w:ascii="Arial" w:hAnsi="Arial" w:eastAsia="Arial" w:cs="Arial"/>
          <w:b w:val="0"/>
          <w:bCs w:val="0"/>
          <w:noProof w:val="0"/>
          <w:color w:val="auto"/>
          <w:sz w:val="24"/>
          <w:szCs w:val="24"/>
          <w:lang w:val="en-GB"/>
        </w:rPr>
        <w:t>demonstrates</w:t>
      </w:r>
      <w:r w:rsidRPr="5C218C92" w:rsidR="133744A3">
        <w:rPr>
          <w:rFonts w:ascii="Arial" w:hAnsi="Arial" w:eastAsia="Arial" w:cs="Arial"/>
          <w:b w:val="0"/>
          <w:bCs w:val="0"/>
          <w:noProof w:val="0"/>
          <w:color w:val="auto"/>
          <w:sz w:val="24"/>
          <w:szCs w:val="24"/>
          <w:lang w:val="en-GB"/>
        </w:rPr>
        <w:t xml:space="preserve"> sophisticated media consumption habits. As a result, demand for premium streaming content, particularly international films, series, and high-quality domestic productions, continues to increase. Tufte, Jin, and Wu (2016) note that these trends are supported by rising disposable incomes in China.</w:t>
      </w:r>
    </w:p>
    <w:p w:rsidR="133744A3" w:rsidP="5C218C92" w:rsidRDefault="133744A3" w14:paraId="64D00B0C" w14:textId="5A6D322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3744A3">
        <w:rPr>
          <w:rFonts w:ascii="Arial" w:hAnsi="Arial" w:eastAsia="Arial" w:cs="Arial"/>
          <w:b w:val="0"/>
          <w:bCs w:val="0"/>
          <w:noProof w:val="0"/>
          <w:color w:val="auto"/>
          <w:sz w:val="24"/>
          <w:szCs w:val="24"/>
          <w:lang w:val="en-GB"/>
        </w:rPr>
        <w:t xml:space="preserve">Jeffreys and Xu (2023) highlight that the Chinese government has invested </w:t>
      </w:r>
      <w:r w:rsidRPr="5C218C92" w:rsidR="65F61F90">
        <w:rPr>
          <w:rFonts w:ascii="Arial" w:hAnsi="Arial" w:eastAsia="Arial" w:cs="Arial"/>
          <w:b w:val="0"/>
          <w:bCs w:val="0"/>
          <w:noProof w:val="0"/>
          <w:color w:val="auto"/>
          <w:sz w:val="24"/>
          <w:szCs w:val="24"/>
          <w:lang w:val="en-GB"/>
        </w:rPr>
        <w:t>in</w:t>
      </w:r>
      <w:r w:rsidRPr="5C218C92" w:rsidR="133744A3">
        <w:rPr>
          <w:rFonts w:ascii="Arial" w:hAnsi="Arial" w:eastAsia="Arial" w:cs="Arial"/>
          <w:b w:val="0"/>
          <w:bCs w:val="0"/>
          <w:noProof w:val="0"/>
          <w:color w:val="auto"/>
          <w:sz w:val="24"/>
          <w:szCs w:val="24"/>
          <w:lang w:val="en-GB"/>
        </w:rPr>
        <w:t xml:space="preserve"> developing the world's largest media and entertainment market, supported by regulatory frameworks intended to promote a “soft power” presence domestically and internationally. China’s entertainment industry is undergoing significant transformation, driven by government investment in digital media and a shift from traditional television to online platforms. While regulatory constraints and strong domestic competitors present challenges, they also create opportunities. Strategic partnerships, content localisation, and co-production ventures may </w:t>
      </w:r>
      <w:r w:rsidRPr="5C218C92" w:rsidR="133744A3">
        <w:rPr>
          <w:rFonts w:ascii="Arial" w:hAnsi="Arial" w:eastAsia="Arial" w:cs="Arial"/>
          <w:b w:val="0"/>
          <w:bCs w:val="0"/>
          <w:noProof w:val="0"/>
          <w:color w:val="auto"/>
          <w:sz w:val="24"/>
          <w:szCs w:val="24"/>
          <w:lang w:val="en-GB"/>
        </w:rPr>
        <w:t>facilitate</w:t>
      </w:r>
      <w:r w:rsidRPr="5C218C92" w:rsidR="133744A3">
        <w:rPr>
          <w:rFonts w:ascii="Arial" w:hAnsi="Arial" w:eastAsia="Arial" w:cs="Arial"/>
          <w:b w:val="0"/>
          <w:bCs w:val="0"/>
          <w:noProof w:val="0"/>
          <w:color w:val="auto"/>
          <w:sz w:val="24"/>
          <w:szCs w:val="24"/>
          <w:lang w:val="en-GB"/>
        </w:rPr>
        <w:t xml:space="preserve"> market entry. Expanding into China enables Netflix to access a large, dynamic, and commercially attractive market, aligning with its global growth </w:t>
      </w:r>
      <w:r w:rsidRPr="5C218C92" w:rsidR="133744A3">
        <w:rPr>
          <w:rFonts w:ascii="Arial" w:hAnsi="Arial" w:eastAsia="Arial" w:cs="Arial"/>
          <w:b w:val="0"/>
          <w:bCs w:val="0"/>
          <w:noProof w:val="0"/>
          <w:color w:val="auto"/>
          <w:sz w:val="24"/>
          <w:szCs w:val="24"/>
          <w:lang w:val="en-GB"/>
        </w:rPr>
        <w:t>objectives</w:t>
      </w:r>
      <w:r w:rsidRPr="5C218C92" w:rsidR="133744A3">
        <w:rPr>
          <w:rFonts w:ascii="Arial" w:hAnsi="Arial" w:eastAsia="Arial" w:cs="Arial"/>
          <w:b w:val="0"/>
          <w:bCs w:val="0"/>
          <w:noProof w:val="0"/>
          <w:color w:val="auto"/>
          <w:sz w:val="24"/>
          <w:szCs w:val="24"/>
          <w:lang w:val="en-GB"/>
        </w:rPr>
        <w:t>.</w:t>
      </w:r>
    </w:p>
    <w:p w:rsidR="133744A3" w:rsidP="5C218C92" w:rsidRDefault="133744A3" w14:paraId="5E8D2C7E" w14:textId="5362F62F">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33744A3">
        <w:rPr>
          <w:rFonts w:ascii="Arial" w:hAnsi="Arial" w:eastAsia="Arial" w:cs="Arial"/>
          <w:b w:val="0"/>
          <w:bCs w:val="0"/>
          <w:noProof w:val="0"/>
          <w:color w:val="auto"/>
          <w:sz w:val="24"/>
          <w:szCs w:val="24"/>
          <w:lang w:val="en-GB"/>
        </w:rPr>
        <w:t>Taken together, these characteristics make China’s entertainment market not only challenging but also highly attractive to international services like Netflix, setting the stage for strategic expansion.</w:t>
      </w:r>
    </w:p>
    <w:p w:rsidR="541E588D" w:rsidP="5C218C92" w:rsidRDefault="541E588D" w14:paraId="2D8472BA" w14:textId="6600A8DB">
      <w:pPr>
        <w:pStyle w:val="Heading1"/>
        <w:spacing w:line="360" w:lineRule="auto"/>
        <w:jc w:val="both"/>
        <w:rPr>
          <w:rFonts w:ascii="Arial" w:hAnsi="Arial" w:eastAsia="Arial" w:cs="Arial"/>
          <w:b w:val="0"/>
          <w:bCs w:val="0"/>
          <w:color w:val="auto"/>
          <w:sz w:val="24"/>
          <w:szCs w:val="24"/>
        </w:rPr>
      </w:pPr>
      <w:bookmarkStart w:name="_Toc52467452" w:id="1867506347"/>
      <w:r w:rsidRPr="5C218C92" w:rsidR="541E588D">
        <w:rPr>
          <w:rFonts w:ascii="Arial" w:hAnsi="Arial" w:eastAsia="Arial" w:cs="Arial"/>
          <w:b w:val="0"/>
          <w:bCs w:val="0"/>
          <w:color w:val="auto"/>
          <w:sz w:val="24"/>
          <w:szCs w:val="24"/>
        </w:rPr>
        <w:t>Comprehensive Strategic Analysis</w:t>
      </w:r>
      <w:bookmarkEnd w:id="1867506347"/>
    </w:p>
    <w:p w:rsidR="5EAB156E" w:rsidP="5C218C92" w:rsidRDefault="5EAB156E" w14:paraId="72F96121" w14:textId="040FC3A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EAB156E">
        <w:rPr>
          <w:rFonts w:ascii="Arial" w:hAnsi="Arial" w:eastAsia="Arial" w:cs="Arial"/>
          <w:b w:val="0"/>
          <w:bCs w:val="0"/>
          <w:noProof w:val="0"/>
          <w:color w:val="auto"/>
          <w:sz w:val="24"/>
          <w:szCs w:val="24"/>
          <w:lang w:val="en-GB"/>
        </w:rPr>
        <w:t xml:space="preserve">Expanding into China </w:t>
      </w:r>
      <w:r w:rsidRPr="5C218C92" w:rsidR="5EAB156E">
        <w:rPr>
          <w:rFonts w:ascii="Arial" w:hAnsi="Arial" w:eastAsia="Arial" w:cs="Arial"/>
          <w:b w:val="0"/>
          <w:bCs w:val="0"/>
          <w:noProof w:val="0"/>
          <w:color w:val="auto"/>
          <w:sz w:val="24"/>
          <w:szCs w:val="24"/>
          <w:lang w:val="en-GB"/>
        </w:rPr>
        <w:t>represents</w:t>
      </w:r>
      <w:r w:rsidRPr="5C218C92" w:rsidR="5EAB156E">
        <w:rPr>
          <w:rFonts w:ascii="Arial" w:hAnsi="Arial" w:eastAsia="Arial" w:cs="Arial"/>
          <w:b w:val="0"/>
          <w:bCs w:val="0"/>
          <w:noProof w:val="0"/>
          <w:color w:val="auto"/>
          <w:sz w:val="24"/>
          <w:szCs w:val="24"/>
          <w:lang w:val="en-GB"/>
        </w:rPr>
        <w:t xml:space="preserve"> a pivotal strategic opportunity for Netflix, offering access to a vast consumer base, a sophisticated digital ecosystem, and a rapidly expanding entertainment sector. However, formidable challenges—including stringent regulations, entrenched local competitors, and pronounced cultural distinctions—demand rigorous executive scrutiny. This analysis equips Netflix’s board with actionable insights for decisive market entry. Leveraging PESTLE and Porter’s Five Forces, we deliver a robust external audit of China, highlighting key forces shaping strategic direction. The </w:t>
      </w:r>
      <w:r w:rsidRPr="5C218C92" w:rsidR="5EAB156E">
        <w:rPr>
          <w:rFonts w:ascii="Arial" w:hAnsi="Arial" w:eastAsia="Arial" w:cs="Arial"/>
          <w:b w:val="0"/>
          <w:bCs w:val="0"/>
          <w:noProof w:val="0"/>
          <w:color w:val="auto"/>
          <w:sz w:val="24"/>
          <w:szCs w:val="24"/>
          <w:lang w:val="en-GB"/>
        </w:rPr>
        <w:t>subsequent</w:t>
      </w:r>
      <w:r w:rsidRPr="5C218C92" w:rsidR="5EAB156E">
        <w:rPr>
          <w:rFonts w:ascii="Arial" w:hAnsi="Arial" w:eastAsia="Arial" w:cs="Arial"/>
          <w:b w:val="0"/>
          <w:bCs w:val="0"/>
          <w:noProof w:val="0"/>
          <w:color w:val="auto"/>
          <w:sz w:val="24"/>
          <w:szCs w:val="24"/>
          <w:lang w:val="en-GB"/>
        </w:rPr>
        <w:t xml:space="preserve"> internal audit evaluates Netflix’s assets, capabilities, and competitive standing using the VRIO model and value chain analysis. This comprehensive assessment informs Netflix’s executive approach to the Chinese market.</w:t>
      </w:r>
    </w:p>
    <w:p w:rsidR="4ADADD8C" w:rsidP="5C218C92" w:rsidRDefault="4ADADD8C" w14:paraId="30E7B02F" w14:textId="258763F4">
      <w:pPr>
        <w:pStyle w:val="Heading2"/>
        <w:spacing w:line="360" w:lineRule="auto"/>
        <w:jc w:val="both"/>
        <w:rPr>
          <w:rFonts w:ascii="Arial" w:hAnsi="Arial" w:eastAsia="Arial" w:cs="Arial"/>
          <w:b w:val="0"/>
          <w:bCs w:val="0"/>
          <w:noProof w:val="0"/>
          <w:color w:val="auto"/>
          <w:sz w:val="24"/>
          <w:szCs w:val="24"/>
          <w:lang w:val="en-GB"/>
        </w:rPr>
      </w:pPr>
      <w:bookmarkStart w:name="_Toc1840090115" w:id="1570088639"/>
      <w:r w:rsidRPr="5C218C92" w:rsidR="4ADADD8C">
        <w:rPr>
          <w:rFonts w:ascii="Arial" w:hAnsi="Arial" w:eastAsia="Arial" w:cs="Arial"/>
          <w:b w:val="0"/>
          <w:bCs w:val="0"/>
          <w:noProof w:val="0"/>
          <w:color w:val="auto"/>
          <w:sz w:val="24"/>
          <w:szCs w:val="24"/>
          <w:lang w:val="en-GB"/>
        </w:rPr>
        <w:t>1. PESTLE Analysis</w:t>
      </w:r>
      <w:bookmarkEnd w:id="1570088639"/>
    </w:p>
    <w:p w:rsidR="4BE0E3B7" w:rsidP="5C218C92" w:rsidRDefault="4BE0E3B7" w14:paraId="5BC7C7B7" w14:textId="303D61F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4BE0E3B7">
        <w:rPr>
          <w:rFonts w:ascii="Arial" w:hAnsi="Arial" w:eastAsia="Arial" w:cs="Arial"/>
          <w:b w:val="0"/>
          <w:bCs w:val="0"/>
          <w:noProof w:val="0"/>
          <w:color w:val="auto"/>
          <w:sz w:val="24"/>
          <w:szCs w:val="24"/>
          <w:lang w:val="en-GB"/>
        </w:rPr>
        <w:t>PESTEL analysis acts as a strategic powerhouse, unlocking insights into the macro-environment’s far-reaching external forces that shape entire industries and businesses. As de Sousa and Castañeda-Ayarza (2022) highlight, these forces drive transformation and define the competitive landscape.</w:t>
      </w:r>
    </w:p>
    <w:p w:rsidR="4ADADD8C" w:rsidP="5C218C92" w:rsidRDefault="4ADADD8C" w14:paraId="641743C8" w14:textId="6C81ECCB">
      <w:pPr>
        <w:pStyle w:val="Heading3"/>
        <w:spacing w:line="360" w:lineRule="auto"/>
        <w:jc w:val="both"/>
        <w:rPr>
          <w:rFonts w:ascii="Arial" w:hAnsi="Arial" w:eastAsia="Arial" w:cs="Arial"/>
          <w:b w:val="0"/>
          <w:bCs w:val="0"/>
          <w:noProof w:val="0"/>
          <w:color w:val="auto"/>
          <w:sz w:val="24"/>
          <w:szCs w:val="24"/>
          <w:lang w:val="en-GB"/>
        </w:rPr>
      </w:pPr>
      <w:bookmarkStart w:name="_Toc1139461352" w:id="1033180744"/>
      <w:r w:rsidRPr="5C218C92" w:rsidR="4ADADD8C">
        <w:rPr>
          <w:rFonts w:ascii="Arial" w:hAnsi="Arial" w:eastAsia="Arial" w:cs="Arial"/>
          <w:b w:val="0"/>
          <w:bCs w:val="0"/>
          <w:noProof w:val="0"/>
          <w:color w:val="auto"/>
          <w:sz w:val="24"/>
          <w:szCs w:val="24"/>
          <w:lang w:val="en-GB"/>
        </w:rPr>
        <w:t>Political Factors</w:t>
      </w:r>
      <w:bookmarkEnd w:id="1033180744"/>
    </w:p>
    <w:p w:rsidR="4ADADD8C" w:rsidP="5C218C92" w:rsidRDefault="4ADADD8C" w14:paraId="259C035D" w14:textId="73BFCB2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4ADADD8C">
        <w:rPr>
          <w:rFonts w:ascii="Arial" w:hAnsi="Arial" w:eastAsia="Arial" w:cs="Arial"/>
          <w:b w:val="0"/>
          <w:bCs w:val="0"/>
          <w:noProof w:val="0"/>
          <w:color w:val="auto"/>
          <w:sz w:val="24"/>
          <w:szCs w:val="24"/>
          <w:lang w:val="en-GB"/>
        </w:rPr>
        <w:t xml:space="preserve">China </w:t>
      </w:r>
      <w:r w:rsidRPr="5C218C92" w:rsidR="4ADADD8C">
        <w:rPr>
          <w:rFonts w:ascii="Arial" w:hAnsi="Arial" w:eastAsia="Arial" w:cs="Arial"/>
          <w:b w:val="0"/>
          <w:bCs w:val="0"/>
          <w:noProof w:val="0"/>
          <w:color w:val="auto"/>
          <w:sz w:val="24"/>
          <w:szCs w:val="24"/>
          <w:lang w:val="en-GB"/>
        </w:rPr>
        <w:t>maintains</w:t>
      </w:r>
      <w:r w:rsidRPr="5C218C92" w:rsidR="4ADADD8C">
        <w:rPr>
          <w:rFonts w:ascii="Arial" w:hAnsi="Arial" w:eastAsia="Arial" w:cs="Arial"/>
          <w:b w:val="0"/>
          <w:bCs w:val="0"/>
          <w:noProof w:val="0"/>
          <w:color w:val="auto"/>
          <w:sz w:val="24"/>
          <w:szCs w:val="24"/>
          <w:lang w:val="en-GB"/>
        </w:rPr>
        <w:t xml:space="preserve"> strong state intervention, especially in the media, digital, and cultural industries. Foreign streaming platforms face licensing, censorship, and data localisation restrictions. Jeffreys and Xu (2023) state that China’s entertainment sectors are tightly regulated to bolster domestic industries and advance national "soft power." These rules create significant entry barriers. Government intervention could mean stricter licensing amid political tensions, further limiting content and platform operations. Heightened data localisation could arise from national security efforts, increasing compliance challenges. A sudden shift in censorship laws may follow changes in government or international relations, resulting in greater controls. Given these risks, partnering with a state-linked company may be the best way to navigate these political complexities.</w:t>
      </w:r>
    </w:p>
    <w:p w:rsidR="4ADADD8C" w:rsidP="5C218C92" w:rsidRDefault="4ADADD8C" w14:paraId="6DFD7D05" w14:textId="2D3C0B14">
      <w:pPr>
        <w:pStyle w:val="Heading3"/>
        <w:spacing w:line="360" w:lineRule="auto"/>
        <w:jc w:val="both"/>
        <w:rPr>
          <w:rFonts w:ascii="Arial" w:hAnsi="Arial" w:eastAsia="Arial" w:cs="Arial"/>
          <w:b w:val="0"/>
          <w:bCs w:val="0"/>
          <w:noProof w:val="0"/>
          <w:color w:val="auto"/>
          <w:sz w:val="24"/>
          <w:szCs w:val="24"/>
          <w:lang w:val="en-GB"/>
        </w:rPr>
      </w:pPr>
      <w:bookmarkStart w:name="_Toc2123476481" w:id="1652654659"/>
      <w:r w:rsidRPr="5C218C92" w:rsidR="4ADADD8C">
        <w:rPr>
          <w:rFonts w:ascii="Arial" w:hAnsi="Arial" w:eastAsia="Arial" w:cs="Arial"/>
          <w:b w:val="0"/>
          <w:bCs w:val="0"/>
          <w:noProof w:val="0"/>
          <w:color w:val="auto"/>
          <w:sz w:val="24"/>
          <w:szCs w:val="24"/>
          <w:lang w:val="en-GB"/>
        </w:rPr>
        <w:t>Economic Factors</w:t>
      </w:r>
      <w:bookmarkEnd w:id="1652654659"/>
    </w:p>
    <w:p w:rsidR="4ADADD8C" w:rsidP="5C218C92" w:rsidRDefault="4ADADD8C" w14:paraId="3CCD0674" w14:textId="6962A67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4ADADD8C">
        <w:rPr>
          <w:rFonts w:ascii="Arial" w:hAnsi="Arial" w:eastAsia="Arial" w:cs="Arial"/>
          <w:b w:val="0"/>
          <w:bCs w:val="0"/>
          <w:noProof w:val="0"/>
          <w:color w:val="auto"/>
          <w:sz w:val="24"/>
          <w:szCs w:val="24"/>
          <w:lang w:val="en-GB"/>
        </w:rPr>
        <w:t>China</w:t>
      </w:r>
      <w:r w:rsidRPr="5C218C92" w:rsidR="4ADADD8C">
        <w:rPr>
          <w:rFonts w:ascii="Arial" w:hAnsi="Arial" w:eastAsia="Arial" w:cs="Arial"/>
          <w:b w:val="0"/>
          <w:bCs w:val="0"/>
          <w:noProof w:val="0"/>
          <w:color w:val="auto"/>
          <w:sz w:val="24"/>
          <w:szCs w:val="24"/>
          <w:lang w:val="en-GB"/>
        </w:rPr>
        <w:t xml:space="preserve"> </w:t>
      </w:r>
      <w:r w:rsidRPr="5C218C92" w:rsidR="4ADADD8C">
        <w:rPr>
          <w:rFonts w:ascii="Arial" w:hAnsi="Arial" w:eastAsia="Arial" w:cs="Arial"/>
          <w:b w:val="0"/>
          <w:bCs w:val="0"/>
          <w:noProof w:val="0"/>
          <w:color w:val="auto"/>
          <w:sz w:val="24"/>
          <w:szCs w:val="24"/>
          <w:lang w:val="en-GB"/>
        </w:rPr>
        <w:t>represents</w:t>
      </w:r>
      <w:r w:rsidRPr="5C218C92" w:rsidR="4ADADD8C">
        <w:rPr>
          <w:rFonts w:ascii="Arial" w:hAnsi="Arial" w:eastAsia="Arial" w:cs="Arial"/>
          <w:b w:val="0"/>
          <w:bCs w:val="0"/>
          <w:noProof w:val="0"/>
          <w:color w:val="auto"/>
          <w:sz w:val="24"/>
          <w:szCs w:val="24"/>
          <w:lang w:val="en-GB"/>
        </w:rPr>
        <w:t xml:space="preserve"> one of the world’s largest and fastest-growing digital economies, with 579 million online users compared to 212 million in the US (Zhuge, 2018). Rising disposable incomes, an expanding urban middle class, and strong consumer appetite for online entertainment create favourable economic conditions. The country’s subscription video-on-demand (SVOD) market has grown rapidly, driven by increasing broadband penetration and widespread adoption of mobile streaming (Zhuge, 2018). Despite economic fluctuations, consumer spending on entertainment </w:t>
      </w:r>
      <w:r w:rsidRPr="5C218C92" w:rsidR="4ADADD8C">
        <w:rPr>
          <w:rFonts w:ascii="Arial" w:hAnsi="Arial" w:eastAsia="Arial" w:cs="Arial"/>
          <w:b w:val="0"/>
          <w:bCs w:val="0"/>
          <w:noProof w:val="0"/>
          <w:color w:val="auto"/>
          <w:sz w:val="24"/>
          <w:szCs w:val="24"/>
          <w:lang w:val="en-GB"/>
        </w:rPr>
        <w:t>remains</w:t>
      </w:r>
      <w:r w:rsidRPr="5C218C92" w:rsidR="4ADADD8C">
        <w:rPr>
          <w:rFonts w:ascii="Arial" w:hAnsi="Arial" w:eastAsia="Arial" w:cs="Arial"/>
          <w:b w:val="0"/>
          <w:bCs w:val="0"/>
          <w:noProof w:val="0"/>
          <w:color w:val="auto"/>
          <w:sz w:val="24"/>
          <w:szCs w:val="24"/>
          <w:lang w:val="en-GB"/>
        </w:rPr>
        <w:t xml:space="preserve"> resilient. For Netflix, this suggests strong long-term revenue potential, although price sensitivity and local competition may shape pricing strategies.</w:t>
      </w:r>
    </w:p>
    <w:p w:rsidR="4ADADD8C" w:rsidP="5C218C92" w:rsidRDefault="4ADADD8C" w14:paraId="21D5721C" w14:textId="737B5C87">
      <w:pPr>
        <w:pStyle w:val="Heading3"/>
        <w:spacing w:line="360" w:lineRule="auto"/>
        <w:jc w:val="both"/>
        <w:rPr>
          <w:rFonts w:ascii="Arial" w:hAnsi="Arial" w:eastAsia="Arial" w:cs="Arial"/>
          <w:b w:val="0"/>
          <w:bCs w:val="0"/>
          <w:noProof w:val="0"/>
          <w:color w:val="auto"/>
          <w:sz w:val="24"/>
          <w:szCs w:val="24"/>
          <w:lang w:val="en-GB"/>
        </w:rPr>
      </w:pPr>
      <w:bookmarkStart w:name="_Toc1493579402" w:id="1800390561"/>
      <w:r w:rsidRPr="5C218C92" w:rsidR="4ADADD8C">
        <w:rPr>
          <w:rFonts w:ascii="Arial" w:hAnsi="Arial" w:eastAsia="Arial" w:cs="Arial"/>
          <w:b w:val="0"/>
          <w:bCs w:val="0"/>
          <w:noProof w:val="0"/>
          <w:color w:val="auto"/>
          <w:sz w:val="24"/>
          <w:szCs w:val="24"/>
          <w:lang w:val="en-GB"/>
        </w:rPr>
        <w:t>Social Factors</w:t>
      </w:r>
      <w:bookmarkEnd w:id="1800390561"/>
    </w:p>
    <w:p w:rsidR="4ADADD8C" w:rsidP="5C218C92" w:rsidRDefault="4ADADD8C" w14:paraId="2FAEF9C9" w14:textId="24FE71BB">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4ADADD8C">
        <w:rPr>
          <w:rFonts w:ascii="Arial" w:hAnsi="Arial" w:eastAsia="Arial" w:cs="Arial"/>
          <w:b w:val="0"/>
          <w:bCs w:val="0"/>
          <w:noProof w:val="0"/>
          <w:color w:val="auto"/>
          <w:sz w:val="24"/>
          <w:szCs w:val="24"/>
          <w:lang w:val="en-GB"/>
        </w:rPr>
        <w:t xml:space="preserve">Chinese consumers are among the most active digital users globally. Their viewing habits reflect mobile-first consumption, interactive features, and strong links between social media and entertainment. Zhuge (2018) shows that video consumption in China is deeply intertwined with social networking. Users engage via comments, reposts, and community recommendations. This “social layer” on video platforms such as </w:t>
      </w:r>
      <w:r w:rsidRPr="5C218C92" w:rsidR="4ADADD8C">
        <w:rPr>
          <w:rFonts w:ascii="Arial" w:hAnsi="Arial" w:eastAsia="Arial" w:cs="Arial"/>
          <w:b w:val="0"/>
          <w:bCs w:val="0"/>
          <w:noProof w:val="0"/>
          <w:color w:val="auto"/>
          <w:sz w:val="24"/>
          <w:szCs w:val="24"/>
          <w:lang w:val="en-GB"/>
        </w:rPr>
        <w:t>Bilibili</w:t>
      </w:r>
      <w:r w:rsidRPr="5C218C92" w:rsidR="4ADADD8C">
        <w:rPr>
          <w:rFonts w:ascii="Arial" w:hAnsi="Arial" w:eastAsia="Arial" w:cs="Arial"/>
          <w:b w:val="0"/>
          <w:bCs w:val="0"/>
          <w:noProof w:val="0"/>
          <w:color w:val="auto"/>
          <w:sz w:val="24"/>
          <w:szCs w:val="24"/>
          <w:lang w:val="en-GB"/>
        </w:rPr>
        <w:t xml:space="preserve"> and Tencent Video creates a participatory culture fundamentally different from that in Western markets. To succeed, Netflix should enhance social interactivity, localisation, and culturally relevant storytelling. Jeffreys and Xu (2023) note the state’s growing regulation of celebrity culture and online fan communities. Netflix must tailor content responsibly. Understanding Hofstede's cultural dimensions, like collectivism and power distance, can clarify these patterns. Collectivism emphasises group-based interaction, making platforms that support shared experiences more appealing. High power distance may shape </w:t>
      </w:r>
      <w:r w:rsidRPr="5C218C92" w:rsidR="4ADADD8C">
        <w:rPr>
          <w:rFonts w:ascii="Arial" w:hAnsi="Arial" w:eastAsia="Arial" w:cs="Arial"/>
          <w:b w:val="0"/>
          <w:bCs w:val="0"/>
          <w:noProof w:val="0"/>
          <w:color w:val="auto"/>
          <w:sz w:val="24"/>
          <w:szCs w:val="24"/>
          <w:lang w:val="en-GB"/>
        </w:rPr>
        <w:t>perceptions</w:t>
      </w:r>
      <w:r w:rsidRPr="5C218C92" w:rsidR="4ADADD8C">
        <w:rPr>
          <w:rFonts w:ascii="Arial" w:hAnsi="Arial" w:eastAsia="Arial" w:cs="Arial"/>
          <w:b w:val="0"/>
          <w:bCs w:val="0"/>
          <w:noProof w:val="0"/>
          <w:color w:val="auto"/>
          <w:sz w:val="24"/>
          <w:szCs w:val="24"/>
          <w:lang w:val="en-GB"/>
        </w:rPr>
        <w:t xml:space="preserve"> of authority and celebrity influence online. Netflix should design content and platforms that respect these nuances.</w:t>
      </w:r>
    </w:p>
    <w:p w:rsidR="4ADADD8C" w:rsidP="5C218C92" w:rsidRDefault="4ADADD8C" w14:paraId="0D313EC7" w14:textId="21EFEA93">
      <w:pPr>
        <w:pStyle w:val="Heading3"/>
        <w:spacing w:line="360" w:lineRule="auto"/>
        <w:jc w:val="both"/>
        <w:rPr>
          <w:rFonts w:ascii="Arial" w:hAnsi="Arial" w:eastAsia="Arial" w:cs="Arial"/>
          <w:b w:val="0"/>
          <w:bCs w:val="0"/>
          <w:noProof w:val="0"/>
          <w:color w:val="auto"/>
          <w:sz w:val="24"/>
          <w:szCs w:val="24"/>
          <w:lang w:val="en-GB"/>
        </w:rPr>
      </w:pPr>
      <w:bookmarkStart w:name="_Toc1128828898" w:id="1187926238"/>
      <w:r w:rsidRPr="5C218C92" w:rsidR="4ADADD8C">
        <w:rPr>
          <w:rFonts w:ascii="Arial" w:hAnsi="Arial" w:eastAsia="Arial" w:cs="Arial"/>
          <w:b w:val="0"/>
          <w:bCs w:val="0"/>
          <w:noProof w:val="0"/>
          <w:color w:val="auto"/>
          <w:sz w:val="24"/>
          <w:szCs w:val="24"/>
          <w:lang w:val="en-GB"/>
        </w:rPr>
        <w:t>Technological Factors</w:t>
      </w:r>
      <w:bookmarkEnd w:id="1187926238"/>
    </w:p>
    <w:p w:rsidR="16C1F48F" w:rsidP="5C218C92" w:rsidRDefault="16C1F48F" w14:paraId="36B144A6" w14:textId="415495C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16C1F48F">
        <w:rPr>
          <w:rFonts w:ascii="Arial" w:hAnsi="Arial" w:eastAsia="Arial" w:cs="Arial"/>
          <w:b w:val="0"/>
          <w:bCs w:val="0"/>
          <w:noProof w:val="0"/>
          <w:color w:val="auto"/>
          <w:sz w:val="24"/>
          <w:szCs w:val="24"/>
          <w:lang w:val="en-GB"/>
        </w:rPr>
        <w:t xml:space="preserve">China has advanced digital infrastructure, extensive 5G networks, and strong AI (Li </w:t>
      </w:r>
      <w:r w:rsidRPr="5C218C92" w:rsidR="16C1F48F">
        <w:rPr>
          <w:rFonts w:ascii="Arial" w:hAnsi="Arial" w:eastAsia="Arial" w:cs="Arial"/>
          <w:b w:val="0"/>
          <w:bCs w:val="0"/>
          <w:i w:val="1"/>
          <w:iCs w:val="1"/>
          <w:noProof w:val="0"/>
          <w:color w:val="auto"/>
          <w:sz w:val="24"/>
          <w:szCs w:val="24"/>
          <w:lang w:val="en-GB"/>
        </w:rPr>
        <w:t>et al.,</w:t>
      </w:r>
      <w:r w:rsidRPr="5C218C92" w:rsidR="16C1F48F">
        <w:rPr>
          <w:rFonts w:ascii="Arial" w:hAnsi="Arial" w:eastAsia="Arial" w:cs="Arial"/>
          <w:b w:val="0"/>
          <w:bCs w:val="0"/>
          <w:noProof w:val="0"/>
          <w:color w:val="auto"/>
          <w:sz w:val="24"/>
          <w:szCs w:val="24"/>
          <w:lang w:val="en-GB"/>
        </w:rPr>
        <w:t xml:space="preserve"> 2022). Domestic platforms feature recommendation algorithms, interactive tools, and mobile integration. Even with Netflix’s technology, Zhuge (2018) notes that Chinese platforms form hybrid ecosystems that blend streaming, social networking, and community interaction. To respond, Netflix should adapt its interface by adding social features, deeper community interaction, and tighter mobile integration to compete with these multifunctional platforms.</w:t>
      </w:r>
    </w:p>
    <w:p w:rsidR="4ADADD8C" w:rsidP="5C218C92" w:rsidRDefault="4ADADD8C" w14:paraId="6FE18074" w14:textId="147499CF">
      <w:pPr>
        <w:pStyle w:val="Heading3"/>
        <w:spacing w:line="360" w:lineRule="auto"/>
        <w:jc w:val="both"/>
        <w:rPr>
          <w:rFonts w:ascii="Arial" w:hAnsi="Arial" w:eastAsia="Arial" w:cs="Arial"/>
          <w:b w:val="0"/>
          <w:bCs w:val="0"/>
          <w:noProof w:val="0"/>
          <w:color w:val="auto"/>
          <w:sz w:val="24"/>
          <w:szCs w:val="24"/>
          <w:lang w:val="en-GB"/>
        </w:rPr>
      </w:pPr>
      <w:bookmarkStart w:name="_Toc1782400991" w:id="51103584"/>
      <w:r w:rsidRPr="5C218C92" w:rsidR="4ADADD8C">
        <w:rPr>
          <w:rFonts w:ascii="Arial" w:hAnsi="Arial" w:eastAsia="Arial" w:cs="Arial"/>
          <w:b w:val="0"/>
          <w:bCs w:val="0"/>
          <w:noProof w:val="0"/>
          <w:color w:val="auto"/>
          <w:sz w:val="24"/>
          <w:szCs w:val="24"/>
          <w:lang w:val="en-GB"/>
        </w:rPr>
        <w:t>Legal Factors</w:t>
      </w:r>
      <w:bookmarkEnd w:id="51103584"/>
    </w:p>
    <w:p w:rsidR="620B32F4" w:rsidP="5C218C92" w:rsidRDefault="620B32F4" w14:paraId="2363A566" w14:textId="6E504B6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620B32F4">
        <w:rPr>
          <w:rFonts w:ascii="Arial" w:hAnsi="Arial" w:eastAsia="Arial" w:cs="Arial"/>
          <w:b w:val="0"/>
          <w:bCs w:val="0"/>
          <w:noProof w:val="0"/>
          <w:color w:val="auto"/>
          <w:sz w:val="24"/>
          <w:szCs w:val="24"/>
          <w:lang w:val="en-GB"/>
        </w:rPr>
        <w:t xml:space="preserve">Beyond content laws and censorship, China mandates that foreign media companies </w:t>
      </w:r>
      <w:r w:rsidRPr="5C218C92" w:rsidR="620B32F4">
        <w:rPr>
          <w:rFonts w:ascii="Arial" w:hAnsi="Arial" w:eastAsia="Arial" w:cs="Arial"/>
          <w:b w:val="0"/>
          <w:bCs w:val="0"/>
          <w:noProof w:val="0"/>
          <w:color w:val="auto"/>
          <w:sz w:val="24"/>
          <w:szCs w:val="24"/>
          <w:lang w:val="en-GB"/>
        </w:rPr>
        <w:t>operate</w:t>
      </w:r>
      <w:r w:rsidRPr="5C218C92" w:rsidR="620B32F4">
        <w:rPr>
          <w:rFonts w:ascii="Arial" w:hAnsi="Arial" w:eastAsia="Arial" w:cs="Arial"/>
          <w:b w:val="0"/>
          <w:bCs w:val="0"/>
          <w:noProof w:val="0"/>
          <w:color w:val="auto"/>
          <w:sz w:val="24"/>
          <w:szCs w:val="24"/>
          <w:lang w:val="en-GB"/>
        </w:rPr>
        <w:t xml:space="preserve"> through domestic partnerships, as noted by Jeffreys and Xu (2023). While intellectual property protections are improving, enforcement inconsistencies persist. Data and cybersecurity statutes impose complex compliance demands (Song, 2024). Netflix leadership must execute a rigorous compliance protocol to address these legal requirements and safeguard operational integrity.</w:t>
      </w:r>
    </w:p>
    <w:p w:rsidR="4ADADD8C" w:rsidP="5C218C92" w:rsidRDefault="4ADADD8C" w14:paraId="6EC625F2" w14:textId="64F673AE">
      <w:pPr>
        <w:pStyle w:val="Heading3"/>
        <w:spacing w:line="360" w:lineRule="auto"/>
        <w:jc w:val="both"/>
        <w:rPr>
          <w:rFonts w:ascii="Arial" w:hAnsi="Arial" w:eastAsia="Arial" w:cs="Arial"/>
          <w:b w:val="0"/>
          <w:bCs w:val="0"/>
          <w:noProof w:val="0"/>
          <w:color w:val="auto"/>
          <w:sz w:val="24"/>
          <w:szCs w:val="24"/>
          <w:lang w:val="en-GB"/>
        </w:rPr>
      </w:pPr>
      <w:bookmarkStart w:name="_Toc1956574779" w:id="586595499"/>
      <w:r w:rsidRPr="5C218C92" w:rsidR="4ADADD8C">
        <w:rPr>
          <w:rFonts w:ascii="Arial" w:hAnsi="Arial" w:eastAsia="Arial" w:cs="Arial"/>
          <w:b w:val="0"/>
          <w:bCs w:val="0"/>
          <w:noProof w:val="0"/>
          <w:color w:val="auto"/>
          <w:sz w:val="24"/>
          <w:szCs w:val="24"/>
          <w:lang w:val="en-GB"/>
        </w:rPr>
        <w:t>Environmental Factors</w:t>
      </w:r>
      <w:bookmarkEnd w:id="586595499"/>
    </w:p>
    <w:p w:rsidR="2E5D3B7E" w:rsidP="5C218C92" w:rsidRDefault="2E5D3B7E" w14:paraId="4CE46E9A" w14:textId="63E890E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E5D3B7E">
        <w:rPr>
          <w:rFonts w:ascii="Arial" w:hAnsi="Arial" w:eastAsia="Arial" w:cs="Arial"/>
          <w:b w:val="0"/>
          <w:bCs w:val="0"/>
          <w:noProof w:val="0"/>
          <w:color w:val="auto"/>
          <w:sz w:val="24"/>
          <w:szCs w:val="24"/>
          <w:lang w:val="en-GB"/>
        </w:rPr>
        <w:t xml:space="preserve">While streaming’s environmental impact is limited, China’s acceleration toward digital efficiency and low-carbon technology may influence infrastructure strategies (Zhao, et al., 2023). Netflix’s cloud-centric model can align strategically with Chinese sustainability </w:t>
      </w:r>
      <w:r w:rsidRPr="5C218C92" w:rsidR="2E5D3B7E">
        <w:rPr>
          <w:rFonts w:ascii="Arial" w:hAnsi="Arial" w:eastAsia="Arial" w:cs="Arial"/>
          <w:b w:val="0"/>
          <w:bCs w:val="0"/>
          <w:noProof w:val="0"/>
          <w:color w:val="auto"/>
          <w:sz w:val="24"/>
          <w:szCs w:val="24"/>
          <w:lang w:val="en-GB"/>
        </w:rPr>
        <w:t xml:space="preserve">mandates, </w:t>
      </w:r>
      <w:r w:rsidRPr="5C218C92" w:rsidR="530E9B13">
        <w:rPr>
          <w:rFonts w:ascii="Arial" w:hAnsi="Arial" w:eastAsia="Arial" w:cs="Arial"/>
          <w:b w:val="0"/>
          <w:bCs w:val="0"/>
          <w:noProof w:val="0"/>
          <w:color w:val="auto"/>
          <w:sz w:val="24"/>
          <w:szCs w:val="24"/>
          <w:lang w:val="en-GB"/>
        </w:rPr>
        <w:t>if</w:t>
      </w:r>
      <w:r w:rsidRPr="5C218C92" w:rsidR="2E5D3B7E">
        <w:rPr>
          <w:rFonts w:ascii="Arial" w:hAnsi="Arial" w:eastAsia="Arial" w:cs="Arial"/>
          <w:b w:val="0"/>
          <w:bCs w:val="0"/>
          <w:noProof w:val="0"/>
          <w:color w:val="auto"/>
          <w:sz w:val="24"/>
          <w:szCs w:val="24"/>
          <w:lang w:val="en-GB"/>
        </w:rPr>
        <w:t xml:space="preserve"> data centre operations meet local environmental standards.</w:t>
      </w:r>
    </w:p>
    <w:p w:rsidR="4ADADD8C" w:rsidP="5C218C92" w:rsidRDefault="4ADADD8C" w14:paraId="20033A09" w14:textId="4A8D55BC">
      <w:pPr>
        <w:pStyle w:val="Heading2"/>
        <w:spacing w:line="360" w:lineRule="auto"/>
        <w:jc w:val="both"/>
        <w:rPr>
          <w:rFonts w:ascii="Arial" w:hAnsi="Arial" w:eastAsia="Arial" w:cs="Arial"/>
          <w:b w:val="0"/>
          <w:bCs w:val="0"/>
          <w:noProof w:val="0"/>
          <w:color w:val="auto"/>
          <w:sz w:val="24"/>
          <w:szCs w:val="24"/>
          <w:lang w:val="en-GB"/>
        </w:rPr>
      </w:pPr>
      <w:bookmarkStart w:name="_Toc1977502023" w:id="514674835"/>
      <w:r w:rsidRPr="5C218C92" w:rsidR="4ADADD8C">
        <w:rPr>
          <w:rFonts w:ascii="Arial" w:hAnsi="Arial" w:eastAsia="Arial" w:cs="Arial"/>
          <w:b w:val="0"/>
          <w:bCs w:val="0"/>
          <w:noProof w:val="0"/>
          <w:color w:val="auto"/>
          <w:sz w:val="24"/>
          <w:szCs w:val="24"/>
          <w:lang w:val="en-GB"/>
        </w:rPr>
        <w:t>2. Porter’s Five Forces Analysis</w:t>
      </w:r>
      <w:bookmarkEnd w:id="514674835"/>
    </w:p>
    <w:p w:rsidR="343946D7" w:rsidP="5C218C92" w:rsidRDefault="343946D7" w14:paraId="575FB15B" w14:textId="503996A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43946D7">
        <w:rPr>
          <w:rFonts w:ascii="Arial" w:hAnsi="Arial" w:eastAsia="Arial" w:cs="Arial"/>
          <w:b w:val="0"/>
          <w:bCs w:val="0"/>
          <w:noProof w:val="0"/>
          <w:color w:val="auto"/>
          <w:sz w:val="24"/>
          <w:szCs w:val="24"/>
          <w:lang w:val="en-GB"/>
        </w:rPr>
        <w:t xml:space="preserve">Porter’s Five Forces framework empowers organisations to </w:t>
      </w:r>
      <w:r w:rsidRPr="5C218C92" w:rsidR="343946D7">
        <w:rPr>
          <w:rFonts w:ascii="Arial" w:hAnsi="Arial" w:eastAsia="Arial" w:cs="Arial"/>
          <w:b w:val="0"/>
          <w:bCs w:val="0"/>
          <w:noProof w:val="0"/>
          <w:color w:val="auto"/>
          <w:sz w:val="24"/>
          <w:szCs w:val="24"/>
          <w:lang w:val="en-GB"/>
        </w:rPr>
        <w:t>outmanoeuvre</w:t>
      </w:r>
      <w:r w:rsidRPr="5C218C92" w:rsidR="343946D7">
        <w:rPr>
          <w:rFonts w:ascii="Arial" w:hAnsi="Arial" w:eastAsia="Arial" w:cs="Arial"/>
          <w:b w:val="0"/>
          <w:bCs w:val="0"/>
          <w:noProof w:val="0"/>
          <w:color w:val="auto"/>
          <w:sz w:val="24"/>
          <w:szCs w:val="24"/>
          <w:lang w:val="en-GB"/>
        </w:rPr>
        <w:t xml:space="preserve"> competitors and master market dynamics by driving strategic reinvention and cultivating a bold, expansive competitive vision (Mahat, 2019).</w:t>
      </w:r>
    </w:p>
    <w:p w:rsidR="4ADADD8C" w:rsidP="5C218C92" w:rsidRDefault="4ADADD8C" w14:paraId="4DB93E3E" w14:textId="79DF6E89">
      <w:pPr>
        <w:pStyle w:val="Heading3"/>
        <w:spacing w:line="360" w:lineRule="auto"/>
        <w:jc w:val="both"/>
        <w:rPr>
          <w:rFonts w:ascii="Arial" w:hAnsi="Arial" w:eastAsia="Arial" w:cs="Arial"/>
          <w:b w:val="0"/>
          <w:bCs w:val="0"/>
          <w:noProof w:val="0"/>
          <w:color w:val="auto"/>
          <w:sz w:val="24"/>
          <w:szCs w:val="24"/>
          <w:lang w:val="en-GB"/>
        </w:rPr>
      </w:pPr>
      <w:bookmarkStart w:name="_Toc315366132" w:id="841179773"/>
      <w:r w:rsidRPr="5C218C92" w:rsidR="4ADADD8C">
        <w:rPr>
          <w:rFonts w:ascii="Arial" w:hAnsi="Arial" w:eastAsia="Arial" w:cs="Arial"/>
          <w:b w:val="0"/>
          <w:bCs w:val="0"/>
          <w:noProof w:val="0"/>
          <w:color w:val="auto"/>
          <w:sz w:val="24"/>
          <w:szCs w:val="24"/>
          <w:lang w:val="en-GB"/>
        </w:rPr>
        <w:t>Competitive Rivalry (High)</w:t>
      </w:r>
      <w:bookmarkEnd w:id="841179773"/>
    </w:p>
    <w:p w:rsidR="4ADADD8C" w:rsidP="5C218C92" w:rsidRDefault="4ADADD8C" w14:paraId="2613BAB5" w14:textId="76DDC3A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4ADADD8C">
        <w:rPr>
          <w:rFonts w:ascii="Arial" w:hAnsi="Arial" w:eastAsia="Arial" w:cs="Arial"/>
          <w:b w:val="0"/>
          <w:bCs w:val="0"/>
          <w:noProof w:val="0"/>
          <w:color w:val="auto"/>
          <w:sz w:val="24"/>
          <w:szCs w:val="24"/>
          <w:lang w:val="en-GB"/>
        </w:rPr>
        <w:t xml:space="preserve">The Chinese SVOD market is led by Tencent Video, </w:t>
      </w:r>
      <w:r w:rsidRPr="5C218C92" w:rsidR="4ADADD8C">
        <w:rPr>
          <w:rFonts w:ascii="Arial" w:hAnsi="Arial" w:eastAsia="Arial" w:cs="Arial"/>
          <w:b w:val="0"/>
          <w:bCs w:val="0"/>
          <w:noProof w:val="0"/>
          <w:color w:val="auto"/>
          <w:sz w:val="24"/>
          <w:szCs w:val="24"/>
          <w:lang w:val="en-GB"/>
        </w:rPr>
        <w:t>iQIYI</w:t>
      </w:r>
      <w:r w:rsidRPr="5C218C92" w:rsidR="4ADADD8C">
        <w:rPr>
          <w:rFonts w:ascii="Arial" w:hAnsi="Arial" w:eastAsia="Arial" w:cs="Arial"/>
          <w:b w:val="0"/>
          <w:bCs w:val="0"/>
          <w:noProof w:val="0"/>
          <w:color w:val="auto"/>
          <w:sz w:val="24"/>
          <w:szCs w:val="24"/>
          <w:lang w:val="en-GB"/>
        </w:rPr>
        <w:t xml:space="preserve">, Youku, and </w:t>
      </w:r>
      <w:r w:rsidRPr="5C218C92" w:rsidR="4ADADD8C">
        <w:rPr>
          <w:rFonts w:ascii="Arial" w:hAnsi="Arial" w:eastAsia="Arial" w:cs="Arial"/>
          <w:b w:val="0"/>
          <w:bCs w:val="0"/>
          <w:noProof w:val="0"/>
          <w:color w:val="auto"/>
          <w:sz w:val="24"/>
          <w:szCs w:val="24"/>
          <w:lang w:val="en-GB"/>
        </w:rPr>
        <w:t>Bilibili</w:t>
      </w:r>
      <w:r w:rsidRPr="5C218C92" w:rsidR="4ADADD8C">
        <w:rPr>
          <w:rFonts w:ascii="Arial" w:hAnsi="Arial" w:eastAsia="Arial" w:cs="Arial"/>
          <w:b w:val="0"/>
          <w:bCs w:val="0"/>
          <w:noProof w:val="0"/>
          <w:color w:val="auto"/>
          <w:sz w:val="24"/>
          <w:szCs w:val="24"/>
          <w:lang w:val="en-GB"/>
        </w:rPr>
        <w:t>—all backed by major gaming, social media, and e-commerce firms</w:t>
      </w:r>
      <w:r w:rsidRPr="5C218C92" w:rsidR="6F5463AA">
        <w:rPr>
          <w:rFonts w:ascii="Arial" w:hAnsi="Arial" w:eastAsia="Arial" w:cs="Arial"/>
          <w:b w:val="0"/>
          <w:bCs w:val="0"/>
          <w:noProof w:val="0"/>
          <w:color w:val="auto"/>
          <w:sz w:val="24"/>
          <w:szCs w:val="24"/>
          <w:lang w:val="en-GB"/>
        </w:rPr>
        <w:t xml:space="preserve"> (Kokas, 2020)</w:t>
      </w:r>
      <w:r w:rsidRPr="5C218C92" w:rsidR="4ADADD8C">
        <w:rPr>
          <w:rFonts w:ascii="Arial" w:hAnsi="Arial" w:eastAsia="Arial" w:cs="Arial"/>
          <w:b w:val="0"/>
          <w:bCs w:val="0"/>
          <w:noProof w:val="0"/>
          <w:color w:val="auto"/>
          <w:sz w:val="24"/>
          <w:szCs w:val="24"/>
          <w:lang w:val="en-GB"/>
        </w:rPr>
        <w:t>. These platforms combine streaming and social features, which drive user engagement in China (Zhuge, 2018). Domestic rivals command loyalty and foster intense competition.</w:t>
      </w:r>
    </w:p>
    <w:p w:rsidR="4ADADD8C" w:rsidP="5C218C92" w:rsidRDefault="4ADADD8C" w14:paraId="619A6AF7" w14:textId="3289B195">
      <w:pPr>
        <w:pStyle w:val="Heading3"/>
        <w:spacing w:line="360" w:lineRule="auto"/>
        <w:jc w:val="both"/>
        <w:rPr>
          <w:rFonts w:ascii="Arial" w:hAnsi="Arial" w:eastAsia="Arial" w:cs="Arial"/>
          <w:b w:val="0"/>
          <w:bCs w:val="0"/>
          <w:noProof w:val="0"/>
          <w:color w:val="auto"/>
          <w:sz w:val="24"/>
          <w:szCs w:val="24"/>
          <w:lang w:val="en-GB"/>
        </w:rPr>
      </w:pPr>
      <w:bookmarkStart w:name="_Toc1031151931" w:id="1466711984"/>
      <w:r w:rsidRPr="5C218C92" w:rsidR="4ADADD8C">
        <w:rPr>
          <w:rFonts w:ascii="Arial" w:hAnsi="Arial" w:eastAsia="Arial" w:cs="Arial"/>
          <w:b w:val="0"/>
          <w:bCs w:val="0"/>
          <w:noProof w:val="0"/>
          <w:color w:val="auto"/>
          <w:sz w:val="24"/>
          <w:szCs w:val="24"/>
          <w:lang w:val="en-GB"/>
        </w:rPr>
        <w:t>Threat of New Entrants (Low)</w:t>
      </w:r>
      <w:bookmarkEnd w:id="1466711984"/>
    </w:p>
    <w:p w:rsidR="50FD6276" w:rsidP="5C218C92" w:rsidRDefault="50FD6276" w14:paraId="28FB9009" w14:textId="37CF5C4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0FD6276">
        <w:rPr>
          <w:rFonts w:ascii="Arial" w:hAnsi="Arial" w:eastAsia="Arial" w:cs="Arial"/>
          <w:b w:val="0"/>
          <w:bCs w:val="0"/>
          <w:noProof w:val="0"/>
          <w:color w:val="auto"/>
          <w:sz w:val="24"/>
          <w:szCs w:val="24"/>
          <w:lang w:val="en-GB"/>
        </w:rPr>
        <w:t xml:space="preserve">Even amid the growing allure of the Chinese market, Netflix faces significant entry barriers, primarily </w:t>
      </w:r>
      <w:r w:rsidRPr="5C218C92" w:rsidR="0B98AD83">
        <w:rPr>
          <w:rFonts w:ascii="Arial" w:hAnsi="Arial" w:eastAsia="Arial" w:cs="Arial"/>
          <w:b w:val="0"/>
          <w:bCs w:val="0"/>
          <w:noProof w:val="0"/>
          <w:color w:val="auto"/>
          <w:sz w:val="24"/>
          <w:szCs w:val="24"/>
          <w:lang w:val="en-GB"/>
        </w:rPr>
        <w:t>regulatory (</w:t>
      </w:r>
      <w:r w:rsidRPr="5C218C92" w:rsidR="50FD6276">
        <w:rPr>
          <w:rFonts w:ascii="Arial" w:hAnsi="Arial" w:eastAsia="Arial" w:cs="Arial"/>
          <w:b w:val="0"/>
          <w:bCs w:val="0"/>
          <w:noProof w:val="0"/>
          <w:color w:val="auto"/>
          <w:sz w:val="24"/>
          <w:szCs w:val="24"/>
          <w:lang w:val="en-GB"/>
        </w:rPr>
        <w:t xml:space="preserve">Jeffreys and Xu, 2023). Restrictions on licensing and content requirements pose significant challenges, making it crucial for Netflix to consider alliances or joint ventures with local firms to mitigate these structural barriers (Zhao, 2018). Besides these regulatory challenges, Netflix must also address the capability hurdles presented by local consumer preferences and content demands. Investing in local content </w:t>
      </w:r>
      <w:r w:rsidRPr="5C218C92" w:rsidR="3C01B3B5">
        <w:rPr>
          <w:rFonts w:ascii="Arial" w:hAnsi="Arial" w:eastAsia="Arial" w:cs="Arial"/>
          <w:b w:val="0"/>
          <w:bCs w:val="0"/>
          <w:noProof w:val="0"/>
          <w:color w:val="auto"/>
          <w:sz w:val="24"/>
          <w:szCs w:val="24"/>
          <w:lang w:val="en-GB"/>
        </w:rPr>
        <w:t>expertise</w:t>
      </w:r>
      <w:r w:rsidRPr="5C218C92" w:rsidR="50FD6276">
        <w:rPr>
          <w:rFonts w:ascii="Arial" w:hAnsi="Arial" w:eastAsia="Arial" w:cs="Arial"/>
          <w:b w:val="0"/>
          <w:bCs w:val="0"/>
          <w:noProof w:val="0"/>
          <w:color w:val="auto"/>
          <w:sz w:val="24"/>
          <w:szCs w:val="24"/>
          <w:lang w:val="en-GB"/>
        </w:rPr>
        <w:t xml:space="preserve"> through partnerships or hiring locally can help bridge this gap. By separating these challenges, Netflix can better navigate the landscape through strategic external alliances and targeted internal investments.</w:t>
      </w:r>
    </w:p>
    <w:p w:rsidR="50FD6276" w:rsidP="5C218C92" w:rsidRDefault="50FD6276" w14:paraId="594479B2" w14:textId="3893E8F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0FD6276">
        <w:rPr>
          <w:rFonts w:ascii="Arial" w:hAnsi="Arial" w:eastAsia="Arial" w:cs="Arial"/>
          <w:b w:val="0"/>
          <w:bCs w:val="0"/>
          <w:noProof w:val="0"/>
          <w:color w:val="auto"/>
          <w:sz w:val="24"/>
          <w:szCs w:val="24"/>
          <w:lang w:val="en-GB"/>
        </w:rPr>
        <w:t>China’s entertainment includes short-video apps like Douyin, social streaming, gaming, live commerce, and user-generated content. Zhuge (2018) notes that blending video and social networking increases substitution risk as users move between formats.</w:t>
      </w:r>
    </w:p>
    <w:p w:rsidR="4ADADD8C" w:rsidP="5C218C92" w:rsidRDefault="4ADADD8C" w14:paraId="5A227534" w14:textId="4F0640DA">
      <w:pPr>
        <w:pStyle w:val="Heading3"/>
        <w:spacing w:line="360" w:lineRule="auto"/>
        <w:jc w:val="both"/>
        <w:rPr>
          <w:rFonts w:ascii="Arial" w:hAnsi="Arial" w:eastAsia="Arial" w:cs="Arial"/>
          <w:b w:val="0"/>
          <w:bCs w:val="0"/>
          <w:noProof w:val="0"/>
          <w:color w:val="auto"/>
          <w:sz w:val="24"/>
          <w:szCs w:val="24"/>
          <w:lang w:val="en-GB"/>
        </w:rPr>
      </w:pPr>
      <w:bookmarkStart w:name="_Toc1743378972" w:id="376008782"/>
      <w:r w:rsidRPr="5C218C92" w:rsidR="4ADADD8C">
        <w:rPr>
          <w:rFonts w:ascii="Arial" w:hAnsi="Arial" w:eastAsia="Arial" w:cs="Arial"/>
          <w:b w:val="0"/>
          <w:bCs w:val="0"/>
          <w:noProof w:val="0"/>
          <w:color w:val="auto"/>
          <w:sz w:val="24"/>
          <w:szCs w:val="24"/>
          <w:lang w:val="en-GB"/>
        </w:rPr>
        <w:t>Bargaining Power of Buyers (Moderate)</w:t>
      </w:r>
      <w:bookmarkEnd w:id="376008782"/>
    </w:p>
    <w:p w:rsidR="6C0BCA23" w:rsidP="5C218C92" w:rsidRDefault="6C0BCA23" w14:paraId="7CFB54F2" w14:textId="10AF67A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6C0BCA23">
        <w:rPr>
          <w:rFonts w:ascii="Arial" w:hAnsi="Arial" w:eastAsia="Arial" w:cs="Arial"/>
          <w:b w:val="0"/>
          <w:bCs w:val="0"/>
          <w:noProof w:val="0"/>
          <w:color w:val="auto"/>
          <w:sz w:val="24"/>
          <w:szCs w:val="24"/>
          <w:lang w:val="en-GB"/>
        </w:rPr>
        <w:t>Netflix’s executive team must rigorously evaluate the feasibility of premium pricing amidst intense local competition (Kokas, 2020). Strategic consideration of ad-supported models or competitive pricing tiers will be essential to secure market share in China’s price-sensitive SVOD environment.</w:t>
      </w:r>
    </w:p>
    <w:p w:rsidR="4ADADD8C" w:rsidP="5C218C92" w:rsidRDefault="4ADADD8C" w14:paraId="0537914D" w14:textId="531DDECA">
      <w:pPr>
        <w:pStyle w:val="Heading3"/>
        <w:spacing w:line="360" w:lineRule="auto"/>
        <w:jc w:val="both"/>
        <w:rPr>
          <w:rFonts w:ascii="Arial" w:hAnsi="Arial" w:eastAsia="Arial" w:cs="Arial"/>
          <w:b w:val="0"/>
          <w:bCs w:val="0"/>
          <w:noProof w:val="0"/>
          <w:color w:val="auto"/>
          <w:sz w:val="24"/>
          <w:szCs w:val="24"/>
          <w:lang w:val="en-GB"/>
        </w:rPr>
      </w:pPr>
      <w:bookmarkStart w:name="_Toc1535550548" w:id="1344865083"/>
      <w:r w:rsidRPr="5C218C92" w:rsidR="4ADADD8C">
        <w:rPr>
          <w:rFonts w:ascii="Arial" w:hAnsi="Arial" w:eastAsia="Arial" w:cs="Arial"/>
          <w:b w:val="0"/>
          <w:bCs w:val="0"/>
          <w:noProof w:val="0"/>
          <w:color w:val="auto"/>
          <w:sz w:val="24"/>
          <w:szCs w:val="24"/>
          <w:lang w:val="en-GB"/>
        </w:rPr>
        <w:t>Bargaining Power of Suppliers (High)</w:t>
      </w:r>
      <w:bookmarkEnd w:id="1344865083"/>
    </w:p>
    <w:p w:rsidR="2466AD22" w:rsidP="5C218C92" w:rsidRDefault="2466AD22" w14:paraId="3DA40AEB" w14:textId="707E9F9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466AD22">
        <w:rPr>
          <w:rFonts w:ascii="Arial" w:hAnsi="Arial" w:eastAsia="Arial" w:cs="Arial"/>
          <w:b w:val="0"/>
          <w:bCs w:val="0"/>
          <w:noProof w:val="0"/>
          <w:color w:val="auto"/>
          <w:sz w:val="24"/>
          <w:szCs w:val="24"/>
          <w:lang w:val="en-GB"/>
        </w:rPr>
        <w:t>Local production entities, talent, and studios wield substantial negotiating power, often favouring exclusive partnerships with dominant players (Jeffreys and Xu, 2023). Regulatory frameworks further limit access to foreign content, compelling Netflix to invest in strategic co-productions and local content (Song, 2024). Executives should reframe these partnerships not solely as compliance, but as catalysts for creative innovation and capability development. By positioning suppliers as collaborative innovation partners, Netflix leadership can shift bargaining dynamics, gain unrivalled market insights, and shape emerging consumer trends.</w:t>
      </w:r>
    </w:p>
    <w:p w:rsidR="02DE12A8" w:rsidP="5C218C92" w:rsidRDefault="02DE12A8" w14:paraId="375F3FB4" w14:textId="03CAEB0B">
      <w:pPr>
        <w:pStyle w:val="Heading1"/>
        <w:spacing w:line="360" w:lineRule="auto"/>
        <w:jc w:val="both"/>
        <w:rPr>
          <w:rFonts w:ascii="Arial" w:hAnsi="Arial" w:eastAsia="Arial" w:cs="Arial"/>
          <w:b w:val="0"/>
          <w:bCs w:val="0"/>
          <w:noProof w:val="0"/>
          <w:color w:val="auto"/>
          <w:sz w:val="24"/>
          <w:szCs w:val="24"/>
          <w:lang w:val="en-GB"/>
        </w:rPr>
      </w:pPr>
      <w:bookmarkStart w:name="_Toc1731841753" w:id="1486163679"/>
      <w:r w:rsidRPr="5C218C92" w:rsidR="02DE12A8">
        <w:rPr>
          <w:rFonts w:ascii="Arial" w:hAnsi="Arial" w:eastAsia="Arial" w:cs="Arial"/>
          <w:b w:val="0"/>
          <w:bCs w:val="0"/>
          <w:noProof w:val="0"/>
          <w:color w:val="auto"/>
          <w:sz w:val="24"/>
          <w:szCs w:val="24"/>
          <w:lang w:val="en-GB"/>
        </w:rPr>
        <w:t>Internal Audit</w:t>
      </w:r>
      <w:bookmarkEnd w:id="1486163679"/>
    </w:p>
    <w:p w:rsidR="02DE12A8" w:rsidP="5C218C92" w:rsidRDefault="02DE12A8" w14:paraId="631295A7" w14:textId="0BE43E17">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A robust internal audit is indispensable for executive understanding of Netflix’s organisational capabilities, strategic strengths, and limitations relevant to entering the Chinese market. This assessment applies the VRIO and Value Chain Analysis frameworks to rigorously evaluate Netflix's resources, core competencies, and value-creation activities, shaping its competitive posture. Key issues surfaced through this audit will be directly aligned to external market demands, enabling data-driven leadership decisions.</w:t>
      </w:r>
    </w:p>
    <w:p w:rsidR="02DE12A8" w:rsidP="5C218C92" w:rsidRDefault="02DE12A8" w14:paraId="550A3A42" w14:textId="1192BCFA">
      <w:pPr>
        <w:pStyle w:val="Heading2"/>
        <w:spacing w:line="360" w:lineRule="auto"/>
        <w:jc w:val="both"/>
        <w:rPr>
          <w:rFonts w:ascii="Arial" w:hAnsi="Arial" w:eastAsia="Arial" w:cs="Arial"/>
          <w:b w:val="0"/>
          <w:bCs w:val="0"/>
          <w:noProof w:val="0"/>
          <w:color w:val="auto"/>
          <w:sz w:val="24"/>
          <w:szCs w:val="24"/>
          <w:lang w:val="en-GB"/>
        </w:rPr>
      </w:pPr>
      <w:bookmarkStart w:name="_Toc275741536" w:id="752106697"/>
      <w:r w:rsidRPr="5C218C92" w:rsidR="02DE12A8">
        <w:rPr>
          <w:rFonts w:ascii="Arial" w:hAnsi="Arial" w:eastAsia="Arial" w:cs="Arial"/>
          <w:b w:val="0"/>
          <w:bCs w:val="0"/>
          <w:noProof w:val="0"/>
          <w:color w:val="auto"/>
          <w:sz w:val="24"/>
          <w:szCs w:val="24"/>
          <w:lang w:val="en-GB"/>
        </w:rPr>
        <w:t>VRIO</w:t>
      </w:r>
      <w:bookmarkEnd w:id="752106697"/>
    </w:p>
    <w:p w:rsidR="57D95D9F" w:rsidP="5C218C92" w:rsidRDefault="57D95D9F" w14:paraId="19F9758C" w14:textId="3F4E81E7">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7D95D9F">
        <w:rPr>
          <w:rFonts w:ascii="Arial" w:hAnsi="Arial" w:eastAsia="Arial" w:cs="Arial"/>
          <w:b w:val="0"/>
          <w:bCs w:val="0"/>
          <w:noProof w:val="0"/>
          <w:color w:val="auto"/>
          <w:sz w:val="24"/>
          <w:szCs w:val="24"/>
          <w:lang w:val="en-GB"/>
        </w:rPr>
        <w:t>VRIO analysis acts as a strategic spotlight, illuminating the unique resources and capabilities that fuel sustained competitive advantage</w:t>
      </w:r>
      <w:r w:rsidRPr="5C218C92" w:rsidR="0DD592CC">
        <w:rPr>
          <w:rFonts w:ascii="Arial" w:hAnsi="Arial" w:eastAsia="Arial" w:cs="Arial"/>
          <w:b w:val="0"/>
          <w:bCs w:val="0"/>
          <w:noProof w:val="0"/>
          <w:color w:val="auto"/>
          <w:sz w:val="24"/>
          <w:szCs w:val="24"/>
          <w:lang w:val="en-GB"/>
        </w:rPr>
        <w:t xml:space="preserve"> (</w:t>
      </w:r>
      <w:r w:rsidRPr="5C218C92" w:rsidR="0DD592CC">
        <w:rPr>
          <w:rFonts w:ascii="Arial" w:hAnsi="Arial" w:eastAsia="Arial" w:cs="Arial"/>
          <w:b w:val="0"/>
          <w:bCs w:val="0"/>
          <w:noProof w:val="0"/>
          <w:color w:val="auto"/>
          <w:sz w:val="24"/>
          <w:szCs w:val="24"/>
          <w:lang w:val="en-GB"/>
        </w:rPr>
        <w:t>Fisher, Wisneski, and Bakker, 2020</w:t>
      </w:r>
      <w:r w:rsidRPr="5C218C92" w:rsidR="0386BA3E">
        <w:rPr>
          <w:rFonts w:ascii="Arial" w:hAnsi="Arial" w:eastAsia="Arial" w:cs="Arial"/>
          <w:b w:val="0"/>
          <w:bCs w:val="0"/>
          <w:noProof w:val="0"/>
          <w:color w:val="auto"/>
          <w:sz w:val="24"/>
          <w:szCs w:val="24"/>
          <w:lang w:val="en-GB"/>
        </w:rPr>
        <w:t xml:space="preserve">; </w:t>
      </w:r>
      <w:r w:rsidRPr="5C218C92" w:rsidR="0386BA3E">
        <w:rPr>
          <w:rFonts w:ascii="Arial" w:hAnsi="Arial" w:eastAsia="Arial" w:cs="Arial"/>
          <w:b w:val="0"/>
          <w:bCs w:val="0"/>
          <w:noProof w:val="0"/>
          <w:color w:val="auto"/>
          <w:sz w:val="24"/>
          <w:szCs w:val="24"/>
          <w:lang w:val="en-GB"/>
        </w:rPr>
        <w:t>Kodono</w:t>
      </w:r>
      <w:r w:rsidRPr="5C218C92" w:rsidR="0386BA3E">
        <w:rPr>
          <w:rFonts w:ascii="Arial" w:hAnsi="Arial" w:eastAsia="Arial" w:cs="Arial"/>
          <w:b w:val="0"/>
          <w:bCs w:val="0"/>
          <w:noProof w:val="0"/>
          <w:color w:val="auto"/>
          <w:sz w:val="24"/>
          <w:szCs w:val="24"/>
          <w:lang w:val="en-GB"/>
        </w:rPr>
        <w:t xml:space="preserve">, Y., Zhang, </w:t>
      </w:r>
      <w:r w:rsidRPr="5C218C92" w:rsidR="0386BA3E">
        <w:rPr>
          <w:rFonts w:ascii="Arial" w:hAnsi="Arial" w:eastAsia="Arial" w:cs="Arial"/>
          <w:b w:val="0"/>
          <w:bCs w:val="0"/>
          <w:noProof w:val="0"/>
          <w:color w:val="auto"/>
          <w:sz w:val="24"/>
          <w:szCs w:val="24"/>
          <w:lang w:val="en-GB"/>
        </w:rPr>
        <w:t>Q.</w:t>
      </w:r>
      <w:r w:rsidRPr="5C218C92" w:rsidR="0386BA3E">
        <w:rPr>
          <w:rFonts w:ascii="Arial" w:hAnsi="Arial" w:eastAsia="Arial" w:cs="Arial"/>
          <w:b w:val="0"/>
          <w:bCs w:val="0"/>
          <w:noProof w:val="0"/>
          <w:color w:val="auto"/>
          <w:sz w:val="24"/>
          <w:szCs w:val="24"/>
          <w:lang w:val="en-GB"/>
        </w:rPr>
        <w:t xml:space="preserve"> and Yan, W. 2020</w:t>
      </w:r>
      <w:r w:rsidRPr="5C218C92" w:rsidR="0DD592CC">
        <w:rPr>
          <w:rFonts w:ascii="Arial" w:hAnsi="Arial" w:eastAsia="Arial" w:cs="Arial"/>
          <w:b w:val="0"/>
          <w:bCs w:val="0"/>
          <w:noProof w:val="0"/>
          <w:color w:val="auto"/>
          <w:sz w:val="24"/>
          <w:szCs w:val="24"/>
          <w:lang w:val="en-GB"/>
        </w:rPr>
        <w:t>)</w:t>
      </w:r>
      <w:r w:rsidRPr="5C218C92" w:rsidR="57D95D9F">
        <w:rPr>
          <w:rFonts w:ascii="Arial" w:hAnsi="Arial" w:eastAsia="Arial" w:cs="Arial"/>
          <w:b w:val="0"/>
          <w:bCs w:val="0"/>
          <w:noProof w:val="0"/>
          <w:color w:val="auto"/>
          <w:sz w:val="24"/>
          <w:szCs w:val="24"/>
          <w:lang w:val="en-GB"/>
        </w:rPr>
        <w:t xml:space="preserve">. </w:t>
      </w:r>
      <w:r w:rsidRPr="5C218C92" w:rsidR="02DE12A8">
        <w:rPr>
          <w:rFonts w:ascii="Arial" w:hAnsi="Arial" w:eastAsia="Arial" w:cs="Arial"/>
          <w:b w:val="0"/>
          <w:bCs w:val="0"/>
          <w:noProof w:val="0"/>
          <w:color w:val="auto"/>
          <w:sz w:val="24"/>
          <w:szCs w:val="24"/>
          <w:lang w:val="en-GB"/>
        </w:rPr>
        <w:t>The VRIO framework enables Netflix leadership to assess whether key resources and capabilities are Valuable, Rare, Inimitable, and Organised to deliver sustained strategic advantage. This diagnostic is essential for executives assess</w:t>
      </w:r>
      <w:r w:rsidRPr="5C218C92" w:rsidR="1BF22CAC">
        <w:rPr>
          <w:rFonts w:ascii="Arial" w:hAnsi="Arial" w:eastAsia="Arial" w:cs="Arial"/>
          <w:b w:val="0"/>
          <w:bCs w:val="0"/>
          <w:noProof w:val="0"/>
          <w:color w:val="auto"/>
          <w:sz w:val="24"/>
          <w:szCs w:val="24"/>
          <w:lang w:val="en-GB"/>
        </w:rPr>
        <w:t>ing</w:t>
      </w:r>
      <w:r w:rsidRPr="5C218C92" w:rsidR="02DE12A8">
        <w:rPr>
          <w:rFonts w:ascii="Arial" w:hAnsi="Arial" w:eastAsia="Arial" w:cs="Arial"/>
          <w:b w:val="0"/>
          <w:bCs w:val="0"/>
          <w:noProof w:val="0"/>
          <w:color w:val="auto"/>
          <w:sz w:val="24"/>
          <w:szCs w:val="24"/>
          <w:lang w:val="en-GB"/>
        </w:rPr>
        <w:t xml:space="preserve"> Netflix’s readiness to enter highly regulated, competitive markets such as China.</w:t>
      </w:r>
    </w:p>
    <w:p w:rsidR="02DE12A8" w:rsidP="5C218C92" w:rsidRDefault="02DE12A8" w14:paraId="7E25E5EB" w14:textId="53FF56C3">
      <w:pPr>
        <w:pStyle w:val="Heading3"/>
        <w:spacing w:line="360" w:lineRule="auto"/>
        <w:jc w:val="both"/>
        <w:rPr>
          <w:rFonts w:ascii="Arial" w:hAnsi="Arial" w:eastAsia="Arial" w:cs="Arial"/>
          <w:b w:val="0"/>
          <w:bCs w:val="0"/>
          <w:noProof w:val="0"/>
          <w:color w:val="auto"/>
          <w:sz w:val="24"/>
          <w:szCs w:val="24"/>
          <w:lang w:val="en-GB"/>
        </w:rPr>
      </w:pPr>
      <w:bookmarkStart w:name="_Toc1825892257" w:id="1387481125"/>
      <w:r w:rsidRPr="5C218C92" w:rsidR="02DE12A8">
        <w:rPr>
          <w:rFonts w:ascii="Arial" w:hAnsi="Arial" w:eastAsia="Arial" w:cs="Arial"/>
          <w:b w:val="0"/>
          <w:bCs w:val="0"/>
          <w:noProof w:val="0"/>
          <w:color w:val="auto"/>
          <w:sz w:val="24"/>
          <w:szCs w:val="24"/>
          <w:lang w:val="en-GB"/>
        </w:rPr>
        <w:t>Brand Reputation and Global Market Position</w:t>
      </w:r>
      <w:bookmarkEnd w:id="1387481125"/>
    </w:p>
    <w:p w:rsidR="02DE12A8" w:rsidP="5C218C92" w:rsidRDefault="02DE12A8" w14:paraId="105D2279" w14:textId="5D912C6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global brand stands as an industry benchmark for original content quality, innovation, and consumer focus (Shah, 2025). While this reputation is invaluable among Western audiences, Chinese platforms such as </w:t>
      </w:r>
      <w:r w:rsidRPr="5C218C92" w:rsidR="02DE12A8">
        <w:rPr>
          <w:rFonts w:ascii="Arial" w:hAnsi="Arial" w:eastAsia="Arial" w:cs="Arial"/>
          <w:b w:val="0"/>
          <w:bCs w:val="0"/>
          <w:noProof w:val="0"/>
          <w:color w:val="auto"/>
          <w:sz w:val="24"/>
          <w:szCs w:val="24"/>
          <w:lang w:val="en-GB"/>
        </w:rPr>
        <w:t>iQIYI</w:t>
      </w:r>
      <w:r w:rsidRPr="5C218C92" w:rsidR="02DE12A8">
        <w:rPr>
          <w:rFonts w:ascii="Arial" w:hAnsi="Arial" w:eastAsia="Arial" w:cs="Arial"/>
          <w:b w:val="0"/>
          <w:bCs w:val="0"/>
          <w:noProof w:val="0"/>
          <w:color w:val="auto"/>
          <w:sz w:val="24"/>
          <w:szCs w:val="24"/>
          <w:lang w:val="en-GB"/>
        </w:rPr>
        <w:t xml:space="preserve">, Youku, and </w:t>
      </w:r>
      <w:r w:rsidRPr="5C218C92" w:rsidR="02DE12A8">
        <w:rPr>
          <w:rFonts w:ascii="Arial" w:hAnsi="Arial" w:eastAsia="Arial" w:cs="Arial"/>
          <w:b w:val="0"/>
          <w:bCs w:val="0"/>
          <w:noProof w:val="0"/>
          <w:color w:val="auto"/>
          <w:sz w:val="24"/>
          <w:szCs w:val="24"/>
          <w:lang w:val="en-GB"/>
        </w:rPr>
        <w:t>Bilibili</w:t>
      </w:r>
      <w:r w:rsidRPr="5C218C92" w:rsidR="02DE12A8">
        <w:rPr>
          <w:rFonts w:ascii="Arial" w:hAnsi="Arial" w:eastAsia="Arial" w:cs="Arial"/>
          <w:b w:val="0"/>
          <w:bCs w:val="0"/>
          <w:noProof w:val="0"/>
          <w:color w:val="auto"/>
          <w:sz w:val="24"/>
          <w:szCs w:val="24"/>
          <w:lang w:val="en-GB"/>
        </w:rPr>
        <w:t xml:space="preserve"> already command strong market loyalty (Zhuge, 2018). Netflix’s brand is globally distinctive, but local recognition </w:t>
      </w:r>
      <w:r w:rsidRPr="5C218C92" w:rsidR="02DE12A8">
        <w:rPr>
          <w:rFonts w:ascii="Arial" w:hAnsi="Arial" w:eastAsia="Arial" w:cs="Arial"/>
          <w:b w:val="0"/>
          <w:bCs w:val="0"/>
          <w:noProof w:val="0"/>
          <w:color w:val="auto"/>
          <w:sz w:val="24"/>
          <w:szCs w:val="24"/>
          <w:lang w:val="en-GB"/>
        </w:rPr>
        <w:t>remains</w:t>
      </w:r>
      <w:r w:rsidRPr="5C218C92" w:rsidR="02DE12A8">
        <w:rPr>
          <w:rFonts w:ascii="Arial" w:hAnsi="Arial" w:eastAsia="Arial" w:cs="Arial"/>
          <w:b w:val="0"/>
          <w:bCs w:val="0"/>
          <w:noProof w:val="0"/>
          <w:color w:val="auto"/>
          <w:sz w:val="24"/>
          <w:szCs w:val="24"/>
          <w:lang w:val="en-GB"/>
        </w:rPr>
        <w:t xml:space="preserve"> underdeveloped due to prior absence. Executives must strengthen brand equity in China through influential partnerships and strategic local branding to enhance competitive advantage.</w:t>
      </w:r>
    </w:p>
    <w:p w:rsidR="02DE12A8" w:rsidP="5C218C92" w:rsidRDefault="02DE12A8" w14:paraId="6672FD3C" w14:textId="13D93585">
      <w:pPr>
        <w:pStyle w:val="Heading3"/>
        <w:spacing w:line="360" w:lineRule="auto"/>
        <w:jc w:val="both"/>
        <w:rPr>
          <w:rFonts w:ascii="Arial" w:hAnsi="Arial" w:eastAsia="Arial" w:cs="Arial"/>
          <w:b w:val="0"/>
          <w:bCs w:val="0"/>
          <w:noProof w:val="0"/>
          <w:color w:val="auto"/>
          <w:sz w:val="24"/>
          <w:szCs w:val="24"/>
          <w:lang w:val="en-GB"/>
        </w:rPr>
      </w:pPr>
      <w:bookmarkStart w:name="_Toc794565667" w:id="1194477686"/>
      <w:r w:rsidRPr="5C218C92" w:rsidR="02DE12A8">
        <w:rPr>
          <w:rFonts w:ascii="Arial" w:hAnsi="Arial" w:eastAsia="Arial" w:cs="Arial"/>
          <w:b w:val="0"/>
          <w:bCs w:val="0"/>
          <w:noProof w:val="0"/>
          <w:color w:val="auto"/>
          <w:sz w:val="24"/>
          <w:szCs w:val="24"/>
          <w:lang w:val="en-GB"/>
        </w:rPr>
        <w:t>Data Analytics and Personalisation Algorithms</w:t>
      </w:r>
      <w:bookmarkEnd w:id="1194477686"/>
    </w:p>
    <w:p w:rsidR="02DE12A8" w:rsidP="5C218C92" w:rsidRDefault="02DE12A8" w14:paraId="2842936E" w14:textId="321E3365">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proprietary recommendation algorithms </w:t>
      </w:r>
      <w:r w:rsidRPr="5C218C92" w:rsidR="02DE12A8">
        <w:rPr>
          <w:rFonts w:ascii="Arial" w:hAnsi="Arial" w:eastAsia="Arial" w:cs="Arial"/>
          <w:b w:val="0"/>
          <w:bCs w:val="0"/>
          <w:noProof w:val="0"/>
          <w:color w:val="auto"/>
          <w:sz w:val="24"/>
          <w:szCs w:val="24"/>
          <w:lang w:val="en-GB"/>
        </w:rPr>
        <w:t>constitute</w:t>
      </w:r>
      <w:r w:rsidRPr="5C218C92" w:rsidR="02DE12A8">
        <w:rPr>
          <w:rFonts w:ascii="Arial" w:hAnsi="Arial" w:eastAsia="Arial" w:cs="Arial"/>
          <w:b w:val="0"/>
          <w:bCs w:val="0"/>
          <w:noProof w:val="0"/>
          <w:color w:val="auto"/>
          <w:sz w:val="24"/>
          <w:szCs w:val="24"/>
          <w:lang w:val="en-GB"/>
        </w:rPr>
        <w:t xml:space="preserve"> a formidable competitive edge—increasing engagement, retention, and content discovery—and are rarely matched by competitors due to the company’s advanced data infrastructure</w:t>
      </w:r>
      <w:r w:rsidRPr="5C218C92" w:rsidR="23B1CD87">
        <w:rPr>
          <w:rFonts w:ascii="Arial" w:hAnsi="Arial" w:eastAsia="Arial" w:cs="Arial"/>
          <w:b w:val="0"/>
          <w:bCs w:val="0"/>
          <w:noProof w:val="0"/>
          <w:color w:val="auto"/>
          <w:sz w:val="24"/>
          <w:szCs w:val="24"/>
          <w:lang w:val="en-GB"/>
        </w:rPr>
        <w:t xml:space="preserve"> (</w:t>
      </w:r>
      <w:r w:rsidRPr="5C218C92" w:rsidR="23B1CD87">
        <w:rPr>
          <w:rFonts w:ascii="Arial" w:hAnsi="Arial" w:eastAsia="Arial" w:cs="Arial"/>
          <w:b w:val="0"/>
          <w:bCs w:val="0"/>
          <w:noProof w:val="0"/>
          <w:color w:val="auto"/>
          <w:sz w:val="24"/>
          <w:szCs w:val="24"/>
          <w:lang w:val="en-GB"/>
        </w:rPr>
        <w:t>Xheni</w:t>
      </w:r>
      <w:r w:rsidRPr="5C218C92" w:rsidR="23B1CD87">
        <w:rPr>
          <w:rFonts w:ascii="Arial" w:hAnsi="Arial" w:eastAsia="Arial" w:cs="Arial"/>
          <w:b w:val="0"/>
          <w:bCs w:val="0"/>
          <w:noProof w:val="0"/>
          <w:color w:val="auto"/>
          <w:sz w:val="24"/>
          <w:szCs w:val="24"/>
          <w:lang w:val="en-GB"/>
        </w:rPr>
        <w:t xml:space="preserve"> Simaku, 2022)</w:t>
      </w:r>
      <w:r w:rsidRPr="5C218C92" w:rsidR="02DE12A8">
        <w:rPr>
          <w:rFonts w:ascii="Arial" w:hAnsi="Arial" w:eastAsia="Arial" w:cs="Arial"/>
          <w:b w:val="0"/>
          <w:bCs w:val="0"/>
          <w:noProof w:val="0"/>
          <w:color w:val="auto"/>
          <w:sz w:val="24"/>
          <w:szCs w:val="24"/>
          <w:lang w:val="en-GB"/>
        </w:rPr>
        <w:t xml:space="preserve">. However, to maximise advantage in China, Netflix executives must mandate significant adaptation of these capabilities to </w:t>
      </w:r>
      <w:r w:rsidRPr="5C218C92" w:rsidR="02DE12A8">
        <w:rPr>
          <w:rFonts w:ascii="Arial" w:hAnsi="Arial" w:eastAsia="Arial" w:cs="Arial"/>
          <w:b w:val="0"/>
          <w:bCs w:val="0"/>
          <w:noProof w:val="0"/>
          <w:color w:val="auto"/>
          <w:sz w:val="24"/>
          <w:szCs w:val="24"/>
          <w:lang w:val="en-GB"/>
        </w:rPr>
        <w:t>comply with</w:t>
      </w:r>
      <w:r w:rsidRPr="5C218C92" w:rsidR="02DE12A8">
        <w:rPr>
          <w:rFonts w:ascii="Arial" w:hAnsi="Arial" w:eastAsia="Arial" w:cs="Arial"/>
          <w:b w:val="0"/>
          <w:bCs w:val="0"/>
          <w:noProof w:val="0"/>
          <w:color w:val="auto"/>
          <w:sz w:val="24"/>
          <w:szCs w:val="24"/>
          <w:lang w:val="en-GB"/>
        </w:rPr>
        <w:t xml:space="preserve"> local data regulations and align with China’s unique viewing behaviours shaped by social influence. Strategic localisation is essential to fully </w:t>
      </w:r>
      <w:r w:rsidRPr="5C218C92" w:rsidR="02DE12A8">
        <w:rPr>
          <w:rFonts w:ascii="Arial" w:hAnsi="Arial" w:eastAsia="Arial" w:cs="Arial"/>
          <w:b w:val="0"/>
          <w:bCs w:val="0"/>
          <w:noProof w:val="0"/>
          <w:color w:val="auto"/>
          <w:sz w:val="24"/>
          <w:szCs w:val="24"/>
          <w:lang w:val="en-GB"/>
        </w:rPr>
        <w:t>leverage</w:t>
      </w:r>
      <w:r w:rsidRPr="5C218C92" w:rsidR="02DE12A8">
        <w:rPr>
          <w:rFonts w:ascii="Arial" w:hAnsi="Arial" w:eastAsia="Arial" w:cs="Arial"/>
          <w:b w:val="0"/>
          <w:bCs w:val="0"/>
          <w:noProof w:val="0"/>
          <w:color w:val="auto"/>
          <w:sz w:val="24"/>
          <w:szCs w:val="24"/>
          <w:lang w:val="en-GB"/>
        </w:rPr>
        <w:t xml:space="preserve"> this differentiator.</w:t>
      </w:r>
    </w:p>
    <w:p w:rsidR="02DE12A8" w:rsidP="5C218C92" w:rsidRDefault="02DE12A8" w14:paraId="5D73C2A7" w14:textId="22AFDCB3">
      <w:pPr>
        <w:pStyle w:val="Heading3"/>
        <w:spacing w:line="360" w:lineRule="auto"/>
        <w:jc w:val="both"/>
        <w:rPr>
          <w:rFonts w:ascii="Arial" w:hAnsi="Arial" w:eastAsia="Arial" w:cs="Arial"/>
          <w:b w:val="0"/>
          <w:bCs w:val="0"/>
          <w:noProof w:val="0"/>
          <w:color w:val="auto"/>
          <w:sz w:val="24"/>
          <w:szCs w:val="24"/>
          <w:lang w:val="en-GB"/>
        </w:rPr>
      </w:pPr>
      <w:bookmarkStart w:name="_Toc1990343485" w:id="441504344"/>
      <w:r w:rsidRPr="5C218C92" w:rsidR="02DE12A8">
        <w:rPr>
          <w:rFonts w:ascii="Arial" w:hAnsi="Arial" w:eastAsia="Arial" w:cs="Arial"/>
          <w:b w:val="0"/>
          <w:bCs w:val="0"/>
          <w:noProof w:val="0"/>
          <w:color w:val="auto"/>
          <w:sz w:val="24"/>
          <w:szCs w:val="24"/>
          <w:lang w:val="en-GB"/>
        </w:rPr>
        <w:t>Content Library and Original Productions</w:t>
      </w:r>
      <w:bookmarkEnd w:id="441504344"/>
    </w:p>
    <w:p w:rsidR="02DE12A8" w:rsidP="5C218C92" w:rsidRDefault="02DE12A8" w14:paraId="18638FA0" w14:textId="32FB0F45">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global library, including acclaimed originals such as </w:t>
      </w:r>
      <w:r w:rsidRPr="5C218C92" w:rsidR="02DE12A8">
        <w:rPr>
          <w:rFonts w:ascii="Arial" w:hAnsi="Arial" w:eastAsia="Arial" w:cs="Arial"/>
          <w:b w:val="0"/>
          <w:bCs w:val="0"/>
          <w:i w:val="1"/>
          <w:iCs w:val="1"/>
          <w:noProof w:val="0"/>
          <w:color w:val="auto"/>
          <w:sz w:val="24"/>
          <w:szCs w:val="24"/>
          <w:lang w:val="en-GB"/>
        </w:rPr>
        <w:t>The Crown</w:t>
      </w:r>
      <w:r w:rsidRPr="5C218C92" w:rsidR="02DE12A8">
        <w:rPr>
          <w:rFonts w:ascii="Arial" w:hAnsi="Arial" w:eastAsia="Arial" w:cs="Arial"/>
          <w:b w:val="0"/>
          <w:bCs w:val="0"/>
          <w:noProof w:val="0"/>
          <w:color w:val="auto"/>
          <w:sz w:val="24"/>
          <w:szCs w:val="24"/>
          <w:lang w:val="en-GB"/>
        </w:rPr>
        <w:t xml:space="preserve"> and </w:t>
      </w:r>
      <w:r w:rsidRPr="5C218C92" w:rsidR="02DE12A8">
        <w:rPr>
          <w:rFonts w:ascii="Arial" w:hAnsi="Arial" w:eastAsia="Arial" w:cs="Arial"/>
          <w:b w:val="0"/>
          <w:bCs w:val="0"/>
          <w:i w:val="1"/>
          <w:iCs w:val="1"/>
          <w:noProof w:val="0"/>
          <w:color w:val="auto"/>
          <w:sz w:val="24"/>
          <w:szCs w:val="24"/>
          <w:lang w:val="en-GB"/>
        </w:rPr>
        <w:t>Stranger Things</w:t>
      </w:r>
      <w:r w:rsidRPr="5C218C92" w:rsidR="02DE12A8">
        <w:rPr>
          <w:rFonts w:ascii="Arial" w:hAnsi="Arial" w:eastAsia="Arial" w:cs="Arial"/>
          <w:b w:val="0"/>
          <w:bCs w:val="0"/>
          <w:noProof w:val="0"/>
          <w:color w:val="auto"/>
          <w:sz w:val="24"/>
          <w:szCs w:val="24"/>
          <w:lang w:val="en-GB"/>
        </w:rPr>
        <w:t>, offers a rich and diverse pool of exclusive content</w:t>
      </w:r>
      <w:r w:rsidRPr="5C218C92" w:rsidR="25D076FF">
        <w:rPr>
          <w:rFonts w:ascii="Arial" w:hAnsi="Arial" w:eastAsia="Arial" w:cs="Arial"/>
          <w:b w:val="0"/>
          <w:bCs w:val="0"/>
          <w:noProof w:val="0"/>
          <w:color w:val="auto"/>
          <w:sz w:val="24"/>
          <w:szCs w:val="24"/>
          <w:lang w:val="en-GB"/>
        </w:rPr>
        <w:t xml:space="preserve"> (</w:t>
      </w:r>
      <w:r w:rsidRPr="5C218C92" w:rsidR="25D076FF">
        <w:rPr>
          <w:rFonts w:ascii="Arial" w:hAnsi="Arial" w:eastAsia="Arial" w:cs="Arial"/>
          <w:b w:val="0"/>
          <w:bCs w:val="0"/>
          <w:noProof w:val="0"/>
          <w:color w:val="auto"/>
          <w:sz w:val="24"/>
          <w:szCs w:val="24"/>
          <w:lang w:val="en-GB"/>
        </w:rPr>
        <w:t>Zhuge, 2018)</w:t>
      </w:r>
      <w:r w:rsidRPr="5C218C92" w:rsidR="02DE12A8">
        <w:rPr>
          <w:rFonts w:ascii="Arial" w:hAnsi="Arial" w:eastAsia="Arial" w:cs="Arial"/>
          <w:b w:val="0"/>
          <w:bCs w:val="0"/>
          <w:noProof w:val="0"/>
          <w:color w:val="auto"/>
          <w:sz w:val="24"/>
          <w:szCs w:val="24"/>
          <w:lang w:val="en-GB"/>
        </w:rPr>
        <w:t>. This resource is valuable internationally and partly rare, but not entirely suitable for China due to strict censorship and regulatory frameworks</w:t>
      </w:r>
      <w:r w:rsidRPr="5C218C92" w:rsidR="06B3EF48">
        <w:rPr>
          <w:rFonts w:ascii="Arial" w:hAnsi="Arial" w:eastAsia="Arial" w:cs="Arial"/>
          <w:b w:val="0"/>
          <w:bCs w:val="0"/>
          <w:noProof w:val="0"/>
          <w:color w:val="auto"/>
          <w:sz w:val="24"/>
          <w:szCs w:val="24"/>
          <w:lang w:val="en-GB"/>
        </w:rPr>
        <w:t xml:space="preserve"> (</w:t>
      </w:r>
      <w:r w:rsidRPr="5C218C92" w:rsidR="06B3EF48">
        <w:rPr>
          <w:rFonts w:ascii="Arial" w:hAnsi="Arial" w:eastAsia="Arial" w:cs="Arial"/>
          <w:b w:val="0"/>
          <w:bCs w:val="0"/>
          <w:noProof w:val="0"/>
          <w:color w:val="auto"/>
          <w:sz w:val="24"/>
          <w:szCs w:val="24"/>
          <w:lang w:val="en-GB"/>
        </w:rPr>
        <w:t>Jeffreys and Xu, 2023)</w:t>
      </w:r>
      <w:r w:rsidRPr="5C218C92" w:rsidR="02DE12A8">
        <w:rPr>
          <w:rFonts w:ascii="Arial" w:hAnsi="Arial" w:eastAsia="Arial" w:cs="Arial"/>
          <w:b w:val="0"/>
          <w:bCs w:val="0"/>
          <w:noProof w:val="0"/>
          <w:color w:val="auto"/>
          <w:sz w:val="24"/>
          <w:szCs w:val="24"/>
          <w:lang w:val="en-GB"/>
        </w:rPr>
        <w:t>. The difficulty of imitation is high, but irrelevant if the content does not pass approval. As a result, Netflix’s original content advantage is constrained by regulatory barriers. To address this, Netflix must invest in Mandarin-language co-productions and collaborations with Chinese studios to build a locally compliant and culturally aligned content portfolio.</w:t>
      </w:r>
    </w:p>
    <w:p w:rsidR="02DE12A8" w:rsidP="5C218C92" w:rsidRDefault="02DE12A8" w14:paraId="43E3803D" w14:textId="5C84DE67">
      <w:pPr>
        <w:pStyle w:val="Heading3"/>
        <w:spacing w:line="360" w:lineRule="auto"/>
        <w:jc w:val="both"/>
        <w:rPr>
          <w:rFonts w:ascii="Arial" w:hAnsi="Arial" w:eastAsia="Arial" w:cs="Arial"/>
          <w:b w:val="0"/>
          <w:bCs w:val="0"/>
          <w:noProof w:val="0"/>
          <w:color w:val="auto"/>
          <w:sz w:val="24"/>
          <w:szCs w:val="24"/>
          <w:lang w:val="en-GB"/>
        </w:rPr>
      </w:pPr>
      <w:bookmarkStart w:name="_Toc1014981281" w:id="250810450"/>
      <w:r w:rsidRPr="5C218C92" w:rsidR="02DE12A8">
        <w:rPr>
          <w:rFonts w:ascii="Arial" w:hAnsi="Arial" w:eastAsia="Arial" w:cs="Arial"/>
          <w:b w:val="0"/>
          <w:bCs w:val="0"/>
          <w:noProof w:val="0"/>
          <w:color w:val="auto"/>
          <w:sz w:val="24"/>
          <w:szCs w:val="24"/>
          <w:lang w:val="en-GB"/>
        </w:rPr>
        <w:t>Organisational Culture and Leadership</w:t>
      </w:r>
      <w:bookmarkEnd w:id="250810450"/>
    </w:p>
    <w:p w:rsidR="02DE12A8" w:rsidP="5C218C92" w:rsidRDefault="02DE12A8" w14:paraId="7A1E994E" w14:textId="6EBC0C31">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Netflix is known for its culture of innovation, autonomy, and agility, encapsulated in its “Freedom and Responsibility” ethos</w:t>
      </w:r>
      <w:r w:rsidRPr="5C218C92" w:rsidR="7288EDA6">
        <w:rPr>
          <w:rFonts w:ascii="Arial" w:hAnsi="Arial" w:eastAsia="Arial" w:cs="Arial"/>
          <w:b w:val="0"/>
          <w:bCs w:val="0"/>
          <w:noProof w:val="0"/>
          <w:color w:val="auto"/>
          <w:sz w:val="24"/>
          <w:szCs w:val="24"/>
          <w:lang w:val="en-GB"/>
        </w:rPr>
        <w:t xml:space="preserve"> (</w:t>
      </w:r>
      <w:r w:rsidRPr="5C218C92" w:rsidR="7288EDA6">
        <w:rPr>
          <w:rFonts w:ascii="Arial" w:hAnsi="Arial" w:eastAsia="Arial" w:cs="Arial"/>
          <w:b w:val="0"/>
          <w:bCs w:val="0"/>
          <w:noProof w:val="0"/>
          <w:color w:val="auto"/>
          <w:sz w:val="24"/>
          <w:szCs w:val="24"/>
          <w:lang w:val="en-GB"/>
        </w:rPr>
        <w:t>Jeffreys and Xu, 2023; Kokas</w:t>
      </w:r>
      <w:r w:rsidRPr="5C218C92" w:rsidR="384129F4">
        <w:rPr>
          <w:rFonts w:ascii="Arial" w:hAnsi="Arial" w:eastAsia="Arial" w:cs="Arial"/>
          <w:b w:val="0"/>
          <w:bCs w:val="0"/>
          <w:noProof w:val="0"/>
          <w:color w:val="auto"/>
          <w:sz w:val="24"/>
          <w:szCs w:val="24"/>
          <w:lang w:val="en-GB"/>
        </w:rPr>
        <w:t xml:space="preserve"> 2020</w:t>
      </w:r>
      <w:r w:rsidRPr="5C218C92" w:rsidR="7288EDA6">
        <w:rPr>
          <w:rFonts w:ascii="Arial" w:hAnsi="Arial" w:eastAsia="Arial" w:cs="Arial"/>
          <w:b w:val="0"/>
          <w:bCs w:val="0"/>
          <w:noProof w:val="0"/>
          <w:color w:val="auto"/>
          <w:sz w:val="24"/>
          <w:szCs w:val="24"/>
          <w:lang w:val="en-GB"/>
        </w:rPr>
        <w:t>)</w:t>
      </w:r>
      <w:r w:rsidRPr="5C218C92" w:rsidR="02DE12A8">
        <w:rPr>
          <w:rFonts w:ascii="Arial" w:hAnsi="Arial" w:eastAsia="Arial" w:cs="Arial"/>
          <w:b w:val="0"/>
          <w:bCs w:val="0"/>
          <w:noProof w:val="0"/>
          <w:color w:val="auto"/>
          <w:sz w:val="24"/>
          <w:szCs w:val="24"/>
          <w:lang w:val="en-GB"/>
        </w:rPr>
        <w:t>. This culture is valuable, enabling rapid decision-making and creative experimentation. However, Chinese markets demand strong regulatory alignment, hierarchical collaboration, and political sensitivity</w:t>
      </w:r>
      <w:r w:rsidRPr="5C218C92" w:rsidR="1DC9C8F0">
        <w:rPr>
          <w:rFonts w:ascii="Arial" w:hAnsi="Arial" w:eastAsia="Arial" w:cs="Arial"/>
          <w:b w:val="0"/>
          <w:bCs w:val="0"/>
          <w:noProof w:val="0"/>
          <w:color w:val="auto"/>
          <w:sz w:val="24"/>
          <w:szCs w:val="24"/>
          <w:lang w:val="en-GB"/>
        </w:rPr>
        <w:t xml:space="preserve"> (Jeffreys and Xu, 2023; Song, 2025)</w:t>
      </w:r>
      <w:r w:rsidRPr="5C218C92" w:rsidR="02DE12A8">
        <w:rPr>
          <w:rFonts w:ascii="Arial" w:hAnsi="Arial" w:eastAsia="Arial" w:cs="Arial"/>
          <w:b w:val="0"/>
          <w:bCs w:val="0"/>
          <w:noProof w:val="0"/>
          <w:color w:val="auto"/>
          <w:sz w:val="24"/>
          <w:szCs w:val="24"/>
          <w:lang w:val="en-GB"/>
        </w:rPr>
        <w:t>. Netflix must therefore adjust its operational style when working with state regulators and domestic partners. Although well-organised for global markets, Netflix’s organisational culture requires adaptation to function effectively within China’s institutional boundaries.</w:t>
      </w:r>
    </w:p>
    <w:p w:rsidR="02DE12A8" w:rsidP="5C218C92" w:rsidRDefault="02DE12A8" w14:paraId="1C7ED034" w14:textId="395F2671">
      <w:pPr>
        <w:pStyle w:val="Heading3"/>
        <w:spacing w:line="360" w:lineRule="auto"/>
        <w:jc w:val="both"/>
        <w:rPr>
          <w:rFonts w:ascii="Arial" w:hAnsi="Arial" w:eastAsia="Arial" w:cs="Arial"/>
          <w:b w:val="0"/>
          <w:bCs w:val="0"/>
          <w:noProof w:val="0"/>
          <w:color w:val="auto"/>
          <w:sz w:val="24"/>
          <w:szCs w:val="24"/>
          <w:lang w:val="en-GB"/>
        </w:rPr>
      </w:pPr>
      <w:bookmarkStart w:name="_Toc1307052799" w:id="1023149312"/>
      <w:r w:rsidRPr="5C218C92" w:rsidR="02DE12A8">
        <w:rPr>
          <w:rFonts w:ascii="Arial" w:hAnsi="Arial" w:eastAsia="Arial" w:cs="Arial"/>
          <w:b w:val="0"/>
          <w:bCs w:val="0"/>
          <w:noProof w:val="0"/>
          <w:color w:val="auto"/>
          <w:sz w:val="24"/>
          <w:szCs w:val="24"/>
          <w:lang w:val="en-GB"/>
        </w:rPr>
        <w:t>Financial Resources</w:t>
      </w:r>
      <w:bookmarkEnd w:id="1023149312"/>
    </w:p>
    <w:p w:rsidR="02DE12A8" w:rsidP="5C218C92" w:rsidRDefault="02DE12A8" w14:paraId="4C9381DC" w14:textId="122792A0">
      <w:pPr>
        <w:pStyle w:val="Normal"/>
        <w:suppressLineNumbers w:val="0"/>
        <w:bidi w:val="0"/>
        <w:spacing w:before="120" w:beforeAutospacing="off" w:after="120" w:afterAutospacing="off" w:line="360" w:lineRule="auto"/>
        <w:ind w:left="0" w:right="0"/>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strong financial capacity—including </w:t>
      </w:r>
      <w:r w:rsidRPr="5C218C92" w:rsidR="5DD25B4E">
        <w:rPr>
          <w:rFonts w:ascii="Arial" w:hAnsi="Arial" w:eastAsia="Arial" w:cs="Arial"/>
          <w:b w:val="0"/>
          <w:bCs w:val="0"/>
          <w:noProof w:val="0"/>
          <w:color w:val="auto"/>
          <w:sz w:val="24"/>
          <w:szCs w:val="24"/>
          <w:lang w:val="en-GB"/>
        </w:rPr>
        <w:t>significant</w:t>
      </w:r>
      <w:r w:rsidRPr="5C218C92" w:rsidR="02DE12A8">
        <w:rPr>
          <w:rFonts w:ascii="Arial" w:hAnsi="Arial" w:eastAsia="Arial" w:cs="Arial"/>
          <w:b w:val="0"/>
          <w:bCs w:val="0"/>
          <w:noProof w:val="0"/>
          <w:color w:val="auto"/>
          <w:sz w:val="24"/>
          <w:szCs w:val="24"/>
          <w:lang w:val="en-GB"/>
        </w:rPr>
        <w:t xml:space="preserve"> investments in content and global expansion—allows it to absorb regulatory costs, negotiate partnerships, and fund substantial localisation initiatives</w:t>
      </w:r>
      <w:r w:rsidRPr="5C218C92" w:rsidR="3A4AAF03">
        <w:rPr>
          <w:rFonts w:ascii="Arial" w:hAnsi="Arial" w:eastAsia="Arial" w:cs="Arial"/>
          <w:b w:val="0"/>
          <w:bCs w:val="0"/>
          <w:noProof w:val="0"/>
          <w:color w:val="auto"/>
          <w:sz w:val="24"/>
          <w:szCs w:val="24"/>
          <w:lang w:val="en-GB"/>
        </w:rPr>
        <w:t xml:space="preserve"> (</w:t>
      </w:r>
      <w:r w:rsidRPr="5C218C92" w:rsidR="5388E870">
        <w:rPr>
          <w:rFonts w:ascii="Arial" w:hAnsi="Arial" w:eastAsia="Arial" w:cs="Arial"/>
          <w:b w:val="0"/>
          <w:bCs w:val="0"/>
          <w:noProof w:val="0"/>
          <w:color w:val="auto"/>
          <w:sz w:val="24"/>
          <w:szCs w:val="24"/>
          <w:lang w:val="en-GB"/>
        </w:rPr>
        <w:t xml:space="preserve">Netflix INC, </w:t>
      </w:r>
      <w:r w:rsidRPr="5C218C92" w:rsidR="3A4AAF03">
        <w:rPr>
          <w:rFonts w:ascii="Arial" w:hAnsi="Arial" w:eastAsia="Arial" w:cs="Arial"/>
          <w:b w:val="0"/>
          <w:bCs w:val="0"/>
          <w:noProof w:val="0"/>
          <w:color w:val="auto"/>
          <w:sz w:val="24"/>
          <w:szCs w:val="24"/>
          <w:lang w:val="en-GB"/>
        </w:rPr>
        <w:t>2025)</w:t>
      </w:r>
      <w:r w:rsidRPr="5C218C92" w:rsidR="02DE12A8">
        <w:rPr>
          <w:rFonts w:ascii="Arial" w:hAnsi="Arial" w:eastAsia="Arial" w:cs="Arial"/>
          <w:b w:val="0"/>
          <w:bCs w:val="0"/>
          <w:noProof w:val="0"/>
          <w:color w:val="auto"/>
          <w:sz w:val="24"/>
          <w:szCs w:val="24"/>
          <w:lang w:val="en-GB"/>
        </w:rPr>
        <w:t xml:space="preserve">. This resource is valuable but not rare, as Chinese competitors backed by Tencent, Baidu, or Alibaba </w:t>
      </w:r>
      <w:r w:rsidRPr="5C218C92" w:rsidR="02DE12A8">
        <w:rPr>
          <w:rFonts w:ascii="Arial" w:hAnsi="Arial" w:eastAsia="Arial" w:cs="Arial"/>
          <w:b w:val="0"/>
          <w:bCs w:val="0"/>
          <w:noProof w:val="0"/>
          <w:color w:val="auto"/>
          <w:sz w:val="24"/>
          <w:szCs w:val="24"/>
          <w:lang w:val="en-GB"/>
        </w:rPr>
        <w:t>possess</w:t>
      </w:r>
      <w:r w:rsidRPr="5C218C92" w:rsidR="02DE12A8">
        <w:rPr>
          <w:rFonts w:ascii="Arial" w:hAnsi="Arial" w:eastAsia="Arial" w:cs="Arial"/>
          <w:b w:val="0"/>
          <w:bCs w:val="0"/>
          <w:noProof w:val="0"/>
          <w:color w:val="auto"/>
          <w:sz w:val="24"/>
          <w:szCs w:val="24"/>
          <w:lang w:val="en-GB"/>
        </w:rPr>
        <w:t xml:space="preserve"> equal or greater financial power</w:t>
      </w:r>
      <w:r w:rsidRPr="5C218C92" w:rsidR="57725F98">
        <w:rPr>
          <w:rFonts w:ascii="Arial" w:hAnsi="Arial" w:eastAsia="Arial" w:cs="Arial"/>
          <w:b w:val="0"/>
          <w:bCs w:val="0"/>
          <w:noProof w:val="0"/>
          <w:color w:val="auto"/>
          <w:sz w:val="24"/>
          <w:szCs w:val="24"/>
          <w:lang w:val="en-GB"/>
        </w:rPr>
        <w:t xml:space="preserve"> (Shen, 2020)</w:t>
      </w:r>
      <w:r w:rsidRPr="5C218C92" w:rsidR="02DE12A8">
        <w:rPr>
          <w:rFonts w:ascii="Arial" w:hAnsi="Arial" w:eastAsia="Arial" w:cs="Arial"/>
          <w:b w:val="0"/>
          <w:bCs w:val="0"/>
          <w:noProof w:val="0"/>
          <w:color w:val="auto"/>
          <w:sz w:val="24"/>
          <w:szCs w:val="24"/>
          <w:lang w:val="en-GB"/>
        </w:rPr>
        <w:t>. Thus, Netflix’s financial capability is a necessary but not differentiating advantage in China.</w:t>
      </w:r>
    </w:p>
    <w:p w:rsidR="02DE12A8" w:rsidP="5C218C92" w:rsidRDefault="02DE12A8" w14:paraId="4AB537D2" w14:textId="3601E94A">
      <w:pPr>
        <w:pStyle w:val="Heading3"/>
        <w:spacing w:line="360" w:lineRule="auto"/>
        <w:jc w:val="both"/>
        <w:rPr>
          <w:rFonts w:ascii="Arial" w:hAnsi="Arial" w:eastAsia="Arial" w:cs="Arial"/>
          <w:b w:val="0"/>
          <w:bCs w:val="0"/>
          <w:noProof w:val="0"/>
          <w:color w:val="auto"/>
          <w:sz w:val="24"/>
          <w:szCs w:val="24"/>
          <w:lang w:val="en-GB"/>
        </w:rPr>
      </w:pPr>
      <w:bookmarkStart w:name="_Toc981182871" w:id="1753477852"/>
      <w:r w:rsidRPr="5C218C92" w:rsidR="02DE12A8">
        <w:rPr>
          <w:rFonts w:ascii="Arial" w:hAnsi="Arial" w:eastAsia="Arial" w:cs="Arial"/>
          <w:b w:val="0"/>
          <w:bCs w:val="0"/>
          <w:noProof w:val="0"/>
          <w:color w:val="auto"/>
          <w:sz w:val="24"/>
          <w:szCs w:val="24"/>
          <w:lang w:val="en-GB"/>
        </w:rPr>
        <w:t>Key Issues Emerging from VRIO</w:t>
      </w:r>
      <w:bookmarkEnd w:id="1753477852"/>
    </w:p>
    <w:p w:rsidR="02DE12A8" w:rsidP="5C218C92" w:rsidRDefault="02DE12A8" w14:paraId="5FE36EE9" w14:textId="37881741">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Netflix’s strongest VRIO advantages—including its algorithms, brand, and content capabilities—are not fully transferable to China without significant localisation. Regulatory barriers weaken the value of its global content library, so Netflix must focus on developing local co-productions, adapting algorithms, and localising its platform to achieve differentiation. Strategic partnerships are also essential to overcome institutional and organisational challenges in the Chinese market.</w:t>
      </w:r>
    </w:p>
    <w:p w:rsidR="02DE12A8" w:rsidP="5C218C92" w:rsidRDefault="02DE12A8" w14:paraId="46497176" w14:textId="2228A542">
      <w:pPr>
        <w:pStyle w:val="Normal"/>
        <w:spacing w:line="360" w:lineRule="auto"/>
        <w:jc w:val="both"/>
        <w:rPr>
          <w:rFonts w:ascii="Arial" w:hAnsi="Arial" w:eastAsia="Arial" w:cs="Arial"/>
          <w:b w:val="0"/>
          <w:bCs w:val="0"/>
          <w:noProof w:val="0"/>
          <w:color w:val="auto"/>
          <w:sz w:val="24"/>
          <w:szCs w:val="24"/>
          <w:lang w:val="en-GB"/>
        </w:rPr>
      </w:pPr>
      <w:bookmarkStart w:name="_Toc96765103" w:id="1719709207"/>
      <w:r w:rsidRPr="5C218C92" w:rsidR="02DE12A8">
        <w:rPr>
          <w:rStyle w:val="Heading2Char"/>
          <w:rFonts w:ascii="Arial" w:hAnsi="Arial" w:eastAsia="Arial" w:cs="Arial"/>
          <w:b w:val="0"/>
          <w:bCs w:val="0"/>
          <w:noProof w:val="0"/>
          <w:color w:val="auto"/>
          <w:sz w:val="24"/>
          <w:szCs w:val="24"/>
          <w:lang w:val="en-GB"/>
        </w:rPr>
        <w:t>Value Chain Analysis</w:t>
      </w:r>
      <w:bookmarkEnd w:id="1719709207"/>
    </w:p>
    <w:p w:rsidR="63A494E3" w:rsidP="5C218C92" w:rsidRDefault="63A494E3" w14:paraId="4D8A4203" w14:textId="15B0F00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63A494E3">
        <w:rPr>
          <w:rFonts w:ascii="Arial" w:hAnsi="Arial" w:eastAsia="Arial" w:cs="Arial"/>
          <w:b w:val="0"/>
          <w:bCs w:val="0"/>
          <w:noProof w:val="0"/>
          <w:color w:val="auto"/>
          <w:sz w:val="24"/>
          <w:szCs w:val="24"/>
          <w:lang w:val="en-GB"/>
        </w:rPr>
        <w:t xml:space="preserve">Value chain analysis is a powerful lens for uncovering how each business activity adds value, transforming raw inputs into competitive advantage. Popularised by Michael Porter, this approach empowers firms to strategically analyse, optimise, and differentiate every stage of their operations (Azalie &amp; Kamarulzaman, 2022; Pratiwi </w:t>
      </w:r>
      <w:r w:rsidRPr="5C218C92" w:rsidR="63A494E3">
        <w:rPr>
          <w:rFonts w:ascii="Arial" w:hAnsi="Arial" w:eastAsia="Arial" w:cs="Arial"/>
          <w:b w:val="0"/>
          <w:bCs w:val="0"/>
          <w:i w:val="1"/>
          <w:iCs w:val="1"/>
          <w:noProof w:val="0"/>
          <w:color w:val="auto"/>
          <w:sz w:val="24"/>
          <w:szCs w:val="24"/>
          <w:lang w:val="en-GB"/>
        </w:rPr>
        <w:t xml:space="preserve">et al., </w:t>
      </w:r>
      <w:r w:rsidRPr="5C218C92" w:rsidR="63A494E3">
        <w:rPr>
          <w:rFonts w:ascii="Arial" w:hAnsi="Arial" w:eastAsia="Arial" w:cs="Arial"/>
          <w:b w:val="0"/>
          <w:bCs w:val="0"/>
          <w:noProof w:val="0"/>
          <w:color w:val="auto"/>
          <w:sz w:val="24"/>
          <w:szCs w:val="24"/>
          <w:lang w:val="en-GB"/>
        </w:rPr>
        <w:t>2024; Ruan, 2020).</w:t>
      </w:r>
      <w:r w:rsidRPr="5C218C92" w:rsidR="63A494E3">
        <w:rPr>
          <w:rFonts w:ascii="Arial" w:hAnsi="Arial" w:eastAsia="Arial" w:cs="Arial"/>
          <w:b w:val="0"/>
          <w:bCs w:val="0"/>
          <w:noProof w:val="0"/>
          <w:color w:val="auto"/>
          <w:sz w:val="24"/>
          <w:szCs w:val="24"/>
          <w:lang w:val="en-GB"/>
        </w:rPr>
        <w:t xml:space="preserve"> </w:t>
      </w:r>
      <w:r w:rsidRPr="5C218C92" w:rsidR="02DE12A8">
        <w:rPr>
          <w:rFonts w:ascii="Arial" w:hAnsi="Arial" w:eastAsia="Arial" w:cs="Arial"/>
          <w:b w:val="0"/>
          <w:bCs w:val="0"/>
          <w:noProof w:val="0"/>
          <w:color w:val="auto"/>
          <w:sz w:val="24"/>
          <w:szCs w:val="24"/>
          <w:lang w:val="en-GB"/>
        </w:rPr>
        <w:t xml:space="preserve">Understanding these processes helps </w:t>
      </w:r>
      <w:r w:rsidRPr="5C218C92" w:rsidR="02DE12A8">
        <w:rPr>
          <w:rFonts w:ascii="Arial" w:hAnsi="Arial" w:eastAsia="Arial" w:cs="Arial"/>
          <w:b w:val="0"/>
          <w:bCs w:val="0"/>
          <w:noProof w:val="0"/>
          <w:color w:val="auto"/>
          <w:sz w:val="24"/>
          <w:szCs w:val="24"/>
          <w:lang w:val="en-GB"/>
        </w:rPr>
        <w:t>determine</w:t>
      </w:r>
      <w:r w:rsidRPr="5C218C92" w:rsidR="02DE12A8">
        <w:rPr>
          <w:rFonts w:ascii="Arial" w:hAnsi="Arial" w:eastAsia="Arial" w:cs="Arial"/>
          <w:b w:val="0"/>
          <w:bCs w:val="0"/>
          <w:noProof w:val="0"/>
          <w:color w:val="auto"/>
          <w:sz w:val="24"/>
          <w:szCs w:val="24"/>
          <w:lang w:val="en-GB"/>
        </w:rPr>
        <w:t xml:space="preserve"> how Netflix must adapt to </w:t>
      </w:r>
      <w:r w:rsidRPr="5C218C92" w:rsidR="02DE12A8">
        <w:rPr>
          <w:rFonts w:ascii="Arial" w:hAnsi="Arial" w:eastAsia="Arial" w:cs="Arial"/>
          <w:b w:val="0"/>
          <w:bCs w:val="0"/>
          <w:noProof w:val="0"/>
          <w:color w:val="auto"/>
          <w:sz w:val="24"/>
          <w:szCs w:val="24"/>
          <w:lang w:val="en-GB"/>
        </w:rPr>
        <w:t>operate</w:t>
      </w:r>
      <w:r w:rsidRPr="5C218C92" w:rsidR="02DE12A8">
        <w:rPr>
          <w:rFonts w:ascii="Arial" w:hAnsi="Arial" w:eastAsia="Arial" w:cs="Arial"/>
          <w:b w:val="0"/>
          <w:bCs w:val="0"/>
          <w:noProof w:val="0"/>
          <w:color w:val="auto"/>
          <w:sz w:val="24"/>
          <w:szCs w:val="24"/>
          <w:lang w:val="en-GB"/>
        </w:rPr>
        <w:t xml:space="preserve"> effectively in China.</w:t>
      </w:r>
    </w:p>
    <w:p w:rsidR="02DE12A8" w:rsidP="5C218C92" w:rsidRDefault="02DE12A8" w14:paraId="23B5D0F0" w14:textId="7D825802">
      <w:pPr>
        <w:pStyle w:val="Heading3"/>
        <w:spacing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 </w:t>
      </w:r>
      <w:bookmarkStart w:name="_Toc1789810195" w:id="863958399"/>
      <w:r w:rsidRPr="5C218C92" w:rsidR="02DE12A8">
        <w:rPr>
          <w:rFonts w:ascii="Arial" w:hAnsi="Arial" w:eastAsia="Arial" w:cs="Arial"/>
          <w:b w:val="0"/>
          <w:bCs w:val="0"/>
          <w:noProof w:val="0"/>
          <w:color w:val="auto"/>
          <w:sz w:val="24"/>
          <w:szCs w:val="24"/>
          <w:lang w:val="en-GB"/>
        </w:rPr>
        <w:t>Inbound Logistics: Content Acquisition and Licensing</w:t>
      </w:r>
      <w:bookmarkEnd w:id="863958399"/>
    </w:p>
    <w:p w:rsidR="02DE12A8" w:rsidP="5C218C92" w:rsidRDefault="02DE12A8" w14:paraId="3DA06B20" w14:textId="214E3DE3">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inbound </w:t>
      </w:r>
      <w:r w:rsidRPr="5C218C92" w:rsidR="78868618">
        <w:rPr>
          <w:rFonts w:ascii="Arial" w:hAnsi="Arial" w:eastAsia="Arial" w:cs="Arial"/>
          <w:b w:val="0"/>
          <w:bCs w:val="0"/>
          <w:noProof w:val="0"/>
          <w:color w:val="auto"/>
          <w:sz w:val="24"/>
          <w:szCs w:val="24"/>
          <w:lang w:val="en-GB"/>
        </w:rPr>
        <w:t>coordination</w:t>
      </w:r>
      <w:r w:rsidRPr="5C218C92" w:rsidR="02DE12A8">
        <w:rPr>
          <w:rFonts w:ascii="Arial" w:hAnsi="Arial" w:eastAsia="Arial" w:cs="Arial"/>
          <w:b w:val="0"/>
          <w:bCs w:val="0"/>
          <w:noProof w:val="0"/>
          <w:color w:val="auto"/>
          <w:sz w:val="24"/>
          <w:szCs w:val="24"/>
          <w:lang w:val="en-GB"/>
        </w:rPr>
        <w:t xml:space="preserve"> </w:t>
      </w:r>
      <w:r w:rsidRPr="5C218C92" w:rsidR="5CE48BB2">
        <w:rPr>
          <w:rFonts w:ascii="Arial" w:hAnsi="Arial" w:eastAsia="Arial" w:cs="Arial"/>
          <w:b w:val="0"/>
          <w:bCs w:val="0"/>
          <w:noProof w:val="0"/>
          <w:color w:val="auto"/>
          <w:sz w:val="24"/>
          <w:szCs w:val="24"/>
          <w:lang w:val="en-GB"/>
        </w:rPr>
        <w:t>relies</w:t>
      </w:r>
      <w:r w:rsidRPr="5C218C92" w:rsidR="02DE12A8">
        <w:rPr>
          <w:rFonts w:ascii="Arial" w:hAnsi="Arial" w:eastAsia="Arial" w:cs="Arial"/>
          <w:b w:val="0"/>
          <w:bCs w:val="0"/>
          <w:noProof w:val="0"/>
          <w:color w:val="auto"/>
          <w:sz w:val="24"/>
          <w:szCs w:val="24"/>
          <w:lang w:val="en-GB"/>
        </w:rPr>
        <w:t xml:space="preserve"> on </w:t>
      </w:r>
      <w:r w:rsidRPr="5C218C92" w:rsidR="02DE12A8">
        <w:rPr>
          <w:rFonts w:ascii="Arial" w:hAnsi="Arial" w:eastAsia="Arial" w:cs="Arial"/>
          <w:b w:val="0"/>
          <w:bCs w:val="0"/>
          <w:noProof w:val="0"/>
          <w:color w:val="auto"/>
          <w:sz w:val="24"/>
          <w:szCs w:val="24"/>
          <w:lang w:val="en-GB"/>
        </w:rPr>
        <w:t>acquiring</w:t>
      </w:r>
      <w:r w:rsidRPr="5C218C92" w:rsidR="02DE12A8">
        <w:rPr>
          <w:rFonts w:ascii="Arial" w:hAnsi="Arial" w:eastAsia="Arial" w:cs="Arial"/>
          <w:b w:val="0"/>
          <w:bCs w:val="0"/>
          <w:noProof w:val="0"/>
          <w:color w:val="auto"/>
          <w:sz w:val="24"/>
          <w:szCs w:val="24"/>
          <w:lang w:val="en-GB"/>
        </w:rPr>
        <w:t xml:space="preserve"> global licensing rights and developing original content</w:t>
      </w:r>
      <w:r w:rsidRPr="5C218C92" w:rsidR="7A30C51B">
        <w:rPr>
          <w:rFonts w:ascii="Arial" w:hAnsi="Arial" w:eastAsia="Arial" w:cs="Arial"/>
          <w:b w:val="0"/>
          <w:bCs w:val="0"/>
          <w:noProof w:val="0"/>
          <w:color w:val="auto"/>
          <w:sz w:val="24"/>
          <w:szCs w:val="24"/>
          <w:lang w:val="en-GB"/>
        </w:rPr>
        <w:t xml:space="preserve"> (</w:t>
      </w:r>
      <w:r w:rsidRPr="5C218C92" w:rsidR="7A30C51B">
        <w:rPr>
          <w:rFonts w:ascii="Arial" w:hAnsi="Arial" w:eastAsia="Arial" w:cs="Arial"/>
          <w:b w:val="0"/>
          <w:bCs w:val="0"/>
          <w:noProof w:val="0"/>
          <w:color w:val="auto"/>
          <w:sz w:val="24"/>
          <w:szCs w:val="24"/>
          <w:lang w:val="en-GB"/>
        </w:rPr>
        <w:t xml:space="preserve">Asmar, </w:t>
      </w:r>
      <w:r w:rsidRPr="5C218C92" w:rsidR="7A30C51B">
        <w:rPr>
          <w:rFonts w:ascii="Arial" w:hAnsi="Arial" w:eastAsia="Arial" w:cs="Arial"/>
          <w:b w:val="0"/>
          <w:bCs w:val="0"/>
          <w:noProof w:val="0"/>
          <w:color w:val="auto"/>
          <w:sz w:val="24"/>
          <w:szCs w:val="24"/>
          <w:lang w:val="en-GB"/>
        </w:rPr>
        <w:t>Raats</w:t>
      </w:r>
      <w:r w:rsidRPr="5C218C92" w:rsidR="7A30C51B">
        <w:rPr>
          <w:rFonts w:ascii="Arial" w:hAnsi="Arial" w:eastAsia="Arial" w:cs="Arial"/>
          <w:b w:val="0"/>
          <w:bCs w:val="0"/>
          <w:noProof w:val="0"/>
          <w:color w:val="auto"/>
          <w:sz w:val="24"/>
          <w:szCs w:val="24"/>
          <w:lang w:val="en-GB"/>
        </w:rPr>
        <w:t xml:space="preserve">, and Van </w:t>
      </w:r>
      <w:r w:rsidRPr="5C218C92" w:rsidR="7A30C51B">
        <w:rPr>
          <w:rFonts w:ascii="Arial" w:hAnsi="Arial" w:eastAsia="Arial" w:cs="Arial"/>
          <w:b w:val="0"/>
          <w:bCs w:val="0"/>
          <w:noProof w:val="0"/>
          <w:color w:val="auto"/>
          <w:sz w:val="24"/>
          <w:szCs w:val="24"/>
          <w:lang w:val="en-GB"/>
        </w:rPr>
        <w:t>Audenhove</w:t>
      </w:r>
      <w:r w:rsidRPr="5C218C92" w:rsidR="7A30C51B">
        <w:rPr>
          <w:rFonts w:ascii="Arial" w:hAnsi="Arial" w:eastAsia="Arial" w:cs="Arial"/>
          <w:b w:val="0"/>
          <w:bCs w:val="0"/>
          <w:noProof w:val="0"/>
          <w:color w:val="auto"/>
          <w:sz w:val="24"/>
          <w:szCs w:val="24"/>
          <w:lang w:val="en-GB"/>
        </w:rPr>
        <w:t>, 2025)</w:t>
      </w:r>
      <w:r w:rsidRPr="5C218C92" w:rsidR="02DE12A8">
        <w:rPr>
          <w:rFonts w:ascii="Arial" w:hAnsi="Arial" w:eastAsia="Arial" w:cs="Arial"/>
          <w:b w:val="0"/>
          <w:bCs w:val="0"/>
          <w:noProof w:val="0"/>
          <w:color w:val="auto"/>
          <w:sz w:val="24"/>
          <w:szCs w:val="24"/>
          <w:lang w:val="en-GB"/>
        </w:rPr>
        <w:t>. In China, foreign content acquisition is heavily restricted, and licensing requires state approval. This stage must shift toward localised acquisition through co-productions and content partnerships with Chinese studios aligned with cultural policy guidelines.</w:t>
      </w:r>
    </w:p>
    <w:p w:rsidR="02DE12A8" w:rsidP="5C218C92" w:rsidRDefault="02DE12A8" w14:paraId="0AF48270" w14:textId="787029B8">
      <w:pPr>
        <w:pStyle w:val="Heading3"/>
        <w:spacing w:line="360" w:lineRule="auto"/>
        <w:jc w:val="both"/>
        <w:rPr>
          <w:rFonts w:ascii="Arial" w:hAnsi="Arial" w:eastAsia="Arial" w:cs="Arial"/>
          <w:b w:val="0"/>
          <w:bCs w:val="0"/>
          <w:noProof w:val="0"/>
          <w:color w:val="auto"/>
          <w:sz w:val="24"/>
          <w:szCs w:val="24"/>
          <w:lang w:val="en-GB"/>
        </w:rPr>
      </w:pPr>
      <w:bookmarkStart w:name="_Toc1140995388" w:id="2085287446"/>
      <w:r w:rsidRPr="5C218C92" w:rsidR="02DE12A8">
        <w:rPr>
          <w:rFonts w:ascii="Arial" w:hAnsi="Arial" w:eastAsia="Arial" w:cs="Arial"/>
          <w:b w:val="0"/>
          <w:bCs w:val="0"/>
          <w:noProof w:val="0"/>
          <w:color w:val="auto"/>
          <w:sz w:val="24"/>
          <w:szCs w:val="24"/>
          <w:lang w:val="en-GB"/>
        </w:rPr>
        <w:t>Operations: Streaming Platform and Algorithm Development</w:t>
      </w:r>
      <w:bookmarkEnd w:id="2085287446"/>
    </w:p>
    <w:p w:rsidR="02DE12A8" w:rsidP="5C218C92" w:rsidRDefault="02DE12A8" w14:paraId="73E6767F" w14:textId="13ABC505">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Netflix’s operations include platform development, encoding, algorithm tuning, and cloud infrastructure (AWS)</w:t>
      </w:r>
      <w:r w:rsidRPr="5C218C92" w:rsidR="062A0CBF">
        <w:rPr>
          <w:rFonts w:ascii="Arial" w:hAnsi="Arial" w:eastAsia="Arial" w:cs="Arial"/>
          <w:b w:val="0"/>
          <w:bCs w:val="0"/>
          <w:noProof w:val="0"/>
          <w:color w:val="auto"/>
          <w:sz w:val="24"/>
          <w:szCs w:val="24"/>
          <w:lang w:val="en-GB"/>
        </w:rPr>
        <w:t xml:space="preserve"> (Asmar, </w:t>
      </w:r>
      <w:r w:rsidRPr="5C218C92" w:rsidR="062A0CBF">
        <w:rPr>
          <w:rFonts w:ascii="Arial" w:hAnsi="Arial" w:eastAsia="Arial" w:cs="Arial"/>
          <w:b w:val="0"/>
          <w:bCs w:val="0"/>
          <w:noProof w:val="0"/>
          <w:color w:val="auto"/>
          <w:sz w:val="24"/>
          <w:szCs w:val="24"/>
          <w:lang w:val="en-GB"/>
        </w:rPr>
        <w:t>Raats</w:t>
      </w:r>
      <w:r w:rsidRPr="5C218C92" w:rsidR="062A0CBF">
        <w:rPr>
          <w:rFonts w:ascii="Arial" w:hAnsi="Arial" w:eastAsia="Arial" w:cs="Arial"/>
          <w:b w:val="0"/>
          <w:bCs w:val="0"/>
          <w:noProof w:val="0"/>
          <w:color w:val="auto"/>
          <w:sz w:val="24"/>
          <w:szCs w:val="24"/>
          <w:lang w:val="en-GB"/>
        </w:rPr>
        <w:t xml:space="preserve">, and Van </w:t>
      </w:r>
      <w:r w:rsidRPr="5C218C92" w:rsidR="062A0CBF">
        <w:rPr>
          <w:rFonts w:ascii="Arial" w:hAnsi="Arial" w:eastAsia="Arial" w:cs="Arial"/>
          <w:b w:val="0"/>
          <w:bCs w:val="0"/>
          <w:noProof w:val="0"/>
          <w:color w:val="auto"/>
          <w:sz w:val="24"/>
          <w:szCs w:val="24"/>
          <w:lang w:val="en-GB"/>
        </w:rPr>
        <w:t>Audenhove</w:t>
      </w:r>
      <w:r w:rsidRPr="5C218C92" w:rsidR="062A0CBF">
        <w:rPr>
          <w:rFonts w:ascii="Arial" w:hAnsi="Arial" w:eastAsia="Arial" w:cs="Arial"/>
          <w:b w:val="0"/>
          <w:bCs w:val="0"/>
          <w:noProof w:val="0"/>
          <w:color w:val="auto"/>
          <w:sz w:val="24"/>
          <w:szCs w:val="24"/>
          <w:lang w:val="en-GB"/>
        </w:rPr>
        <w:t>, 2025)</w:t>
      </w:r>
      <w:r w:rsidRPr="5C218C92" w:rsidR="02DE12A8">
        <w:rPr>
          <w:rFonts w:ascii="Arial" w:hAnsi="Arial" w:eastAsia="Arial" w:cs="Arial"/>
          <w:b w:val="0"/>
          <w:bCs w:val="0"/>
          <w:noProof w:val="0"/>
          <w:color w:val="auto"/>
          <w:sz w:val="24"/>
          <w:szCs w:val="24"/>
          <w:lang w:val="en-GB"/>
        </w:rPr>
        <w:t xml:space="preserve">. These activities are central to its value creation. However, Chinese regulations require data storage within China and ban the use of foreign cloud providers for media content. Netflix would need to migrate operations to local cloud partners (e.g., Alibaba Cloud), adapt data-processing practices, and redesign algorithms to fit </w:t>
      </w:r>
      <w:r w:rsidRPr="5C218C92" w:rsidR="0AE9B25D">
        <w:rPr>
          <w:rFonts w:ascii="Arial" w:hAnsi="Arial" w:eastAsia="Arial" w:cs="Arial"/>
          <w:b w:val="0"/>
          <w:bCs w:val="0"/>
          <w:noProof w:val="0"/>
          <w:color w:val="auto"/>
          <w:sz w:val="24"/>
          <w:szCs w:val="24"/>
          <w:lang w:val="en-GB"/>
        </w:rPr>
        <w:t>China is</w:t>
      </w:r>
      <w:r w:rsidRPr="5C218C92" w:rsidR="02DE12A8">
        <w:rPr>
          <w:rFonts w:ascii="Arial" w:hAnsi="Arial" w:eastAsia="Arial" w:cs="Arial"/>
          <w:b w:val="0"/>
          <w:bCs w:val="0"/>
          <w:noProof w:val="0"/>
          <w:color w:val="auto"/>
          <w:sz w:val="24"/>
          <w:szCs w:val="24"/>
          <w:lang w:val="en-GB"/>
        </w:rPr>
        <w:t xml:space="preserve"> social–video ecosystem.</w:t>
      </w:r>
    </w:p>
    <w:p w:rsidR="02DE12A8" w:rsidP="5C218C92" w:rsidRDefault="02DE12A8" w14:paraId="4A226CC6" w14:textId="2E53121A">
      <w:pPr>
        <w:pStyle w:val="Heading3"/>
        <w:spacing w:line="360" w:lineRule="auto"/>
        <w:jc w:val="both"/>
        <w:rPr>
          <w:rFonts w:ascii="Arial" w:hAnsi="Arial" w:eastAsia="Arial" w:cs="Arial"/>
          <w:b w:val="0"/>
          <w:bCs w:val="0"/>
          <w:noProof w:val="0"/>
          <w:color w:val="auto"/>
          <w:sz w:val="24"/>
          <w:szCs w:val="24"/>
          <w:lang w:val="en-GB"/>
        </w:rPr>
      </w:pPr>
      <w:bookmarkStart w:name="_Toc600961847" w:id="2010582096"/>
      <w:r w:rsidRPr="5C218C92" w:rsidR="02DE12A8">
        <w:rPr>
          <w:rFonts w:ascii="Arial" w:hAnsi="Arial" w:eastAsia="Arial" w:cs="Arial"/>
          <w:b w:val="0"/>
          <w:bCs w:val="0"/>
          <w:noProof w:val="0"/>
          <w:color w:val="auto"/>
          <w:sz w:val="24"/>
          <w:szCs w:val="24"/>
          <w:lang w:val="en-GB"/>
        </w:rPr>
        <w:t>Outbound Logistics: Content Delivery</w:t>
      </w:r>
      <w:bookmarkEnd w:id="2010582096"/>
    </w:p>
    <w:p w:rsidR="02DE12A8" w:rsidP="5C218C92" w:rsidRDefault="02DE12A8" w14:paraId="1CC804FF" w14:textId="664665BA">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 </w:t>
      </w:r>
      <w:r w:rsidRPr="5C218C92" w:rsidR="02DE12A8">
        <w:rPr>
          <w:rFonts w:ascii="Arial" w:hAnsi="Arial" w:eastAsia="Arial" w:cs="Arial"/>
          <w:b w:val="0"/>
          <w:bCs w:val="0"/>
          <w:noProof w:val="0"/>
          <w:color w:val="auto"/>
          <w:sz w:val="24"/>
          <w:szCs w:val="24"/>
          <w:lang w:val="en-GB"/>
        </w:rPr>
        <w:t>leverages</w:t>
      </w:r>
      <w:r w:rsidRPr="5C218C92" w:rsidR="02DE12A8">
        <w:rPr>
          <w:rFonts w:ascii="Arial" w:hAnsi="Arial" w:eastAsia="Arial" w:cs="Arial"/>
          <w:b w:val="0"/>
          <w:bCs w:val="0"/>
          <w:noProof w:val="0"/>
          <w:color w:val="auto"/>
          <w:sz w:val="24"/>
          <w:szCs w:val="24"/>
          <w:lang w:val="en-GB"/>
        </w:rPr>
        <w:t xml:space="preserve"> global Content Delivery Networks (CDNs) to deliver high-quality streaming. In China, content delivery must </w:t>
      </w:r>
      <w:r w:rsidRPr="5C218C92" w:rsidR="02DE12A8">
        <w:rPr>
          <w:rFonts w:ascii="Arial" w:hAnsi="Arial" w:eastAsia="Arial" w:cs="Arial"/>
          <w:b w:val="0"/>
          <w:bCs w:val="0"/>
          <w:noProof w:val="0"/>
          <w:color w:val="auto"/>
          <w:sz w:val="24"/>
          <w:szCs w:val="24"/>
          <w:lang w:val="en-GB"/>
        </w:rPr>
        <w:t>comply with</w:t>
      </w:r>
      <w:r w:rsidRPr="5C218C92" w:rsidR="02DE12A8">
        <w:rPr>
          <w:rFonts w:ascii="Arial" w:hAnsi="Arial" w:eastAsia="Arial" w:cs="Arial"/>
          <w:b w:val="0"/>
          <w:bCs w:val="0"/>
          <w:noProof w:val="0"/>
          <w:color w:val="auto"/>
          <w:sz w:val="24"/>
          <w:szCs w:val="24"/>
          <w:lang w:val="en-GB"/>
        </w:rPr>
        <w:t xml:space="preserve"> the Great </w:t>
      </w:r>
      <w:r w:rsidRPr="5C218C92" w:rsidR="02DE12A8">
        <w:rPr>
          <w:rFonts w:ascii="Arial" w:hAnsi="Arial" w:eastAsia="Arial" w:cs="Arial"/>
          <w:b w:val="0"/>
          <w:bCs w:val="0"/>
          <w:noProof w:val="0"/>
          <w:color w:val="auto"/>
          <w:sz w:val="24"/>
          <w:szCs w:val="24"/>
          <w:lang w:val="en-GB"/>
        </w:rPr>
        <w:t>Firewall</w:t>
      </w:r>
      <w:r w:rsidRPr="5C218C92" w:rsidR="02DE12A8">
        <w:rPr>
          <w:rFonts w:ascii="Arial" w:hAnsi="Arial" w:eastAsia="Arial" w:cs="Arial"/>
          <w:b w:val="0"/>
          <w:bCs w:val="0"/>
          <w:noProof w:val="0"/>
          <w:color w:val="auto"/>
          <w:sz w:val="24"/>
          <w:szCs w:val="24"/>
          <w:lang w:val="en-GB"/>
        </w:rPr>
        <w:t xml:space="preserve"> and local bandwidth regulations</w:t>
      </w:r>
      <w:r w:rsidRPr="5C218C92" w:rsidR="5A0BD0DB">
        <w:rPr>
          <w:rFonts w:ascii="Arial" w:hAnsi="Arial" w:eastAsia="Arial" w:cs="Arial"/>
          <w:b w:val="0"/>
          <w:bCs w:val="0"/>
          <w:noProof w:val="0"/>
          <w:color w:val="auto"/>
          <w:sz w:val="24"/>
          <w:szCs w:val="24"/>
          <w:lang w:val="en-GB"/>
        </w:rPr>
        <w:t xml:space="preserve"> (</w:t>
      </w:r>
      <w:r w:rsidRPr="5C218C92" w:rsidR="5A0BD0DB">
        <w:rPr>
          <w:rFonts w:ascii="Arial" w:hAnsi="Arial" w:eastAsia="Arial" w:cs="Arial"/>
          <w:b w:val="0"/>
          <w:bCs w:val="0"/>
          <w:i w:val="0"/>
          <w:iCs w:val="0"/>
          <w:caps w:val="0"/>
          <w:smallCaps w:val="0"/>
          <w:noProof w:val="0"/>
          <w:color w:val="auto"/>
          <w:sz w:val="24"/>
          <w:szCs w:val="24"/>
          <w:lang w:val="en-GB"/>
        </w:rPr>
        <w:t>Kodono</w:t>
      </w:r>
      <w:r w:rsidRPr="5C218C92" w:rsidR="5A0BD0DB">
        <w:rPr>
          <w:rFonts w:ascii="Arial" w:hAnsi="Arial" w:eastAsia="Arial" w:cs="Arial"/>
          <w:b w:val="0"/>
          <w:bCs w:val="0"/>
          <w:i w:val="0"/>
          <w:iCs w:val="0"/>
          <w:caps w:val="0"/>
          <w:smallCaps w:val="0"/>
          <w:noProof w:val="0"/>
          <w:color w:val="auto"/>
          <w:sz w:val="24"/>
          <w:szCs w:val="24"/>
          <w:lang w:val="en-GB"/>
        </w:rPr>
        <w:t>, Zhang, and Yan, 2020</w:t>
      </w:r>
      <w:r w:rsidRPr="5C218C92" w:rsidR="5A0BD0DB">
        <w:rPr>
          <w:rFonts w:ascii="Arial" w:hAnsi="Arial" w:eastAsia="Arial" w:cs="Arial"/>
          <w:b w:val="0"/>
          <w:bCs w:val="0"/>
          <w:i w:val="0"/>
          <w:iCs w:val="0"/>
          <w:caps w:val="0"/>
          <w:smallCaps w:val="0"/>
          <w:noProof w:val="0"/>
          <w:color w:val="auto"/>
          <w:sz w:val="24"/>
          <w:szCs w:val="24"/>
          <w:lang w:val="en-GB"/>
        </w:rPr>
        <w:t>).</w:t>
      </w:r>
      <w:r w:rsidRPr="5C218C92" w:rsidR="02DE12A8">
        <w:rPr>
          <w:rFonts w:ascii="Arial" w:hAnsi="Arial" w:eastAsia="Arial" w:cs="Arial"/>
          <w:b w:val="0"/>
          <w:bCs w:val="0"/>
          <w:noProof w:val="0"/>
          <w:color w:val="auto"/>
          <w:sz w:val="24"/>
          <w:szCs w:val="24"/>
          <w:lang w:val="en-GB"/>
        </w:rPr>
        <w:t xml:space="preserve"> Partnering with Chinese telecom providers (China Mobile, China Unicom) would be crucial to </w:t>
      </w:r>
      <w:r w:rsidRPr="5C218C92" w:rsidR="02DE12A8">
        <w:rPr>
          <w:rFonts w:ascii="Arial" w:hAnsi="Arial" w:eastAsia="Arial" w:cs="Arial"/>
          <w:b w:val="0"/>
          <w:bCs w:val="0"/>
          <w:noProof w:val="0"/>
          <w:color w:val="auto"/>
          <w:sz w:val="24"/>
          <w:szCs w:val="24"/>
          <w:lang w:val="en-GB"/>
        </w:rPr>
        <w:t>maintain</w:t>
      </w:r>
      <w:r w:rsidRPr="5C218C92" w:rsidR="02DE12A8">
        <w:rPr>
          <w:rFonts w:ascii="Arial" w:hAnsi="Arial" w:eastAsia="Arial" w:cs="Arial"/>
          <w:b w:val="0"/>
          <w:bCs w:val="0"/>
          <w:noProof w:val="0"/>
          <w:color w:val="auto"/>
          <w:sz w:val="24"/>
          <w:szCs w:val="24"/>
          <w:lang w:val="en-GB"/>
        </w:rPr>
        <w:t xml:space="preserve"> streaming quality.</w:t>
      </w:r>
    </w:p>
    <w:p w:rsidR="02DE12A8" w:rsidP="5C218C92" w:rsidRDefault="02DE12A8" w14:paraId="2D34BFC9" w14:textId="04CB9AA8">
      <w:pPr>
        <w:pStyle w:val="Heading3"/>
        <w:spacing w:line="360" w:lineRule="auto"/>
        <w:jc w:val="both"/>
        <w:rPr>
          <w:rFonts w:ascii="Arial" w:hAnsi="Arial" w:eastAsia="Arial" w:cs="Arial"/>
          <w:b w:val="0"/>
          <w:bCs w:val="0"/>
          <w:noProof w:val="0"/>
          <w:color w:val="auto"/>
          <w:sz w:val="24"/>
          <w:szCs w:val="24"/>
          <w:lang w:val="en-GB"/>
        </w:rPr>
      </w:pPr>
      <w:bookmarkStart w:name="_Toc1101537323" w:id="1798804922"/>
      <w:r w:rsidRPr="5C218C92" w:rsidR="02DE12A8">
        <w:rPr>
          <w:rFonts w:ascii="Arial" w:hAnsi="Arial" w:eastAsia="Arial" w:cs="Arial"/>
          <w:b w:val="0"/>
          <w:bCs w:val="0"/>
          <w:noProof w:val="0"/>
          <w:color w:val="auto"/>
          <w:sz w:val="24"/>
          <w:szCs w:val="24"/>
          <w:lang w:val="en-GB"/>
        </w:rPr>
        <w:t>Marketing and Sales</w:t>
      </w:r>
      <w:bookmarkEnd w:id="1798804922"/>
    </w:p>
    <w:p w:rsidR="02DE12A8" w:rsidP="5C218C92" w:rsidRDefault="02DE12A8" w14:paraId="0EE6ABF8" w14:textId="165822D8">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Netflix’s marketing traditionally emphasises digital promotion, trailers, and personalised recommendations. However, Zhuge (2018) highlights that in China, content consumption is embedded within social networking ecosystems. As a result, Netflix must integrate with WeChat, Weibo, and Douyin and adopt fan-driven promotional strategies familiar to Chinese audiences</w:t>
      </w:r>
      <w:r w:rsidRPr="5C218C92" w:rsidR="6FC3FCF9">
        <w:rPr>
          <w:rFonts w:ascii="Arial" w:hAnsi="Arial" w:eastAsia="Arial" w:cs="Arial"/>
          <w:b w:val="0"/>
          <w:bCs w:val="0"/>
          <w:noProof w:val="0"/>
          <w:color w:val="auto"/>
          <w:sz w:val="24"/>
          <w:szCs w:val="24"/>
          <w:lang w:val="en-GB"/>
        </w:rPr>
        <w:t xml:space="preserve"> (</w:t>
      </w:r>
      <w:r w:rsidRPr="5C218C92" w:rsidR="6FC3FCF9">
        <w:rPr>
          <w:rFonts w:ascii="Arial" w:hAnsi="Arial" w:eastAsia="Arial" w:cs="Arial"/>
          <w:b w:val="0"/>
          <w:bCs w:val="0"/>
          <w:noProof w:val="0"/>
          <w:color w:val="auto"/>
          <w:sz w:val="24"/>
          <w:szCs w:val="24"/>
          <w:lang w:val="en-GB"/>
        </w:rPr>
        <w:t xml:space="preserve">Zhang, and </w:t>
      </w:r>
      <w:r w:rsidRPr="5C218C92" w:rsidR="6FC3FCF9">
        <w:rPr>
          <w:rFonts w:ascii="Arial" w:hAnsi="Arial" w:eastAsia="Arial" w:cs="Arial"/>
          <w:b w:val="0"/>
          <w:bCs w:val="0"/>
          <w:noProof w:val="0"/>
          <w:color w:val="auto"/>
          <w:sz w:val="24"/>
          <w:szCs w:val="24"/>
          <w:lang w:val="en-GB"/>
        </w:rPr>
        <w:t>Cassany</w:t>
      </w:r>
      <w:r w:rsidRPr="5C218C92" w:rsidR="6FC3FCF9">
        <w:rPr>
          <w:rFonts w:ascii="Arial" w:hAnsi="Arial" w:eastAsia="Arial" w:cs="Arial"/>
          <w:b w:val="0"/>
          <w:bCs w:val="0"/>
          <w:noProof w:val="0"/>
          <w:color w:val="auto"/>
          <w:sz w:val="24"/>
          <w:szCs w:val="24"/>
          <w:lang w:val="en-GB"/>
        </w:rPr>
        <w:t>, 2020)</w:t>
      </w:r>
      <w:r w:rsidRPr="5C218C92" w:rsidR="02DE12A8">
        <w:rPr>
          <w:rFonts w:ascii="Arial" w:hAnsi="Arial" w:eastAsia="Arial" w:cs="Arial"/>
          <w:b w:val="0"/>
          <w:bCs w:val="0"/>
          <w:noProof w:val="0"/>
          <w:color w:val="auto"/>
          <w:sz w:val="24"/>
          <w:szCs w:val="24"/>
          <w:lang w:val="en-GB"/>
        </w:rPr>
        <w:t>. Joint marketing with partners (e.g., Tencent) is essential.</w:t>
      </w:r>
    </w:p>
    <w:p w:rsidR="02DE12A8" w:rsidP="5C218C92" w:rsidRDefault="02DE12A8" w14:paraId="4DAA7D6C" w14:textId="7A07B2BC">
      <w:pPr>
        <w:spacing w:before="120" w:beforeAutospacing="off" w:after="120" w:afterAutospacing="off" w:line="360" w:lineRule="auto"/>
        <w:jc w:val="both"/>
        <w:rPr>
          <w:rFonts w:ascii="Arial" w:hAnsi="Arial" w:eastAsia="Arial" w:cs="Arial"/>
          <w:b w:val="0"/>
          <w:bCs w:val="0"/>
          <w:noProof w:val="0"/>
          <w:color w:val="auto"/>
          <w:sz w:val="24"/>
          <w:szCs w:val="24"/>
          <w:lang w:val="en-GB"/>
        </w:rPr>
      </w:pPr>
      <w:bookmarkStart w:name="_Toc1461572859" w:id="338944849"/>
      <w:r w:rsidRPr="5C218C92" w:rsidR="02DE12A8">
        <w:rPr>
          <w:rStyle w:val="Heading3Char"/>
          <w:rFonts w:ascii="Arial" w:hAnsi="Arial" w:eastAsia="Arial" w:cs="Arial"/>
          <w:b w:val="0"/>
          <w:bCs w:val="0"/>
          <w:noProof w:val="0"/>
          <w:color w:val="auto"/>
          <w:sz w:val="24"/>
          <w:szCs w:val="24"/>
          <w:lang w:val="en-GB"/>
        </w:rPr>
        <w:t>Service: Customer Experience and Support</w:t>
      </w:r>
      <w:bookmarkEnd w:id="338944849"/>
    </w:p>
    <w:p w:rsidR="02DE12A8" w:rsidP="5C218C92" w:rsidRDefault="02DE12A8" w14:paraId="7BB42F4F" w14:textId="585D109B">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Netflix excels in intuitive UI design and customer support. However, Chinese consumers expect interactive viewing experiences such as real-time comments (</w:t>
      </w:r>
      <w:r w:rsidRPr="5C218C92" w:rsidR="02DE12A8">
        <w:rPr>
          <w:rFonts w:ascii="Arial" w:hAnsi="Arial" w:eastAsia="Arial" w:cs="Arial"/>
          <w:b w:val="0"/>
          <w:bCs w:val="0"/>
          <w:noProof w:val="0"/>
          <w:color w:val="auto"/>
          <w:sz w:val="24"/>
          <w:szCs w:val="24"/>
          <w:lang w:val="en-GB"/>
        </w:rPr>
        <w:t>danmu</w:t>
      </w:r>
      <w:r w:rsidRPr="5C218C92" w:rsidR="02DE12A8">
        <w:rPr>
          <w:rFonts w:ascii="Arial" w:hAnsi="Arial" w:eastAsia="Arial" w:cs="Arial"/>
          <w:b w:val="0"/>
          <w:bCs w:val="0"/>
          <w:noProof w:val="0"/>
          <w:color w:val="auto"/>
          <w:sz w:val="24"/>
          <w:szCs w:val="24"/>
          <w:lang w:val="en-GB"/>
        </w:rPr>
        <w:t>), live chats, and community forums</w:t>
      </w:r>
      <w:r w:rsidRPr="5C218C92" w:rsidR="2FE0A3C0">
        <w:rPr>
          <w:rFonts w:ascii="Arial" w:hAnsi="Arial" w:eastAsia="Arial" w:cs="Arial"/>
          <w:b w:val="0"/>
          <w:bCs w:val="0"/>
          <w:noProof w:val="0"/>
          <w:color w:val="auto"/>
          <w:sz w:val="24"/>
          <w:szCs w:val="24"/>
          <w:lang w:val="en-GB"/>
        </w:rPr>
        <w:t xml:space="preserve"> </w:t>
      </w:r>
      <w:r w:rsidRPr="5C218C92" w:rsidR="3A95740A">
        <w:rPr>
          <w:rFonts w:ascii="Arial" w:hAnsi="Arial" w:eastAsia="Arial" w:cs="Arial"/>
          <w:b w:val="0"/>
          <w:bCs w:val="0"/>
          <w:noProof w:val="0"/>
          <w:color w:val="auto"/>
          <w:sz w:val="24"/>
          <w:szCs w:val="24"/>
          <w:lang w:val="en-GB"/>
        </w:rPr>
        <w:t>(</w:t>
      </w:r>
      <w:r w:rsidRPr="5C218C92" w:rsidR="2FE0A3C0">
        <w:rPr>
          <w:rFonts w:ascii="Arial" w:hAnsi="Arial" w:eastAsia="Arial" w:cs="Arial"/>
          <w:b w:val="0"/>
          <w:bCs w:val="0"/>
          <w:noProof w:val="0"/>
          <w:color w:val="auto"/>
          <w:sz w:val="24"/>
          <w:szCs w:val="24"/>
          <w:lang w:val="en-GB"/>
        </w:rPr>
        <w:t xml:space="preserve">Zhang, and </w:t>
      </w:r>
      <w:r w:rsidRPr="5C218C92" w:rsidR="2FE0A3C0">
        <w:rPr>
          <w:rFonts w:ascii="Arial" w:hAnsi="Arial" w:eastAsia="Arial" w:cs="Arial"/>
          <w:b w:val="0"/>
          <w:bCs w:val="0"/>
          <w:noProof w:val="0"/>
          <w:color w:val="auto"/>
          <w:sz w:val="24"/>
          <w:szCs w:val="24"/>
          <w:lang w:val="en-GB"/>
        </w:rPr>
        <w:t>Cassany</w:t>
      </w:r>
      <w:r w:rsidRPr="5C218C92" w:rsidR="2FE0A3C0">
        <w:rPr>
          <w:rFonts w:ascii="Arial" w:hAnsi="Arial" w:eastAsia="Arial" w:cs="Arial"/>
          <w:b w:val="0"/>
          <w:bCs w:val="0"/>
          <w:noProof w:val="0"/>
          <w:color w:val="auto"/>
          <w:sz w:val="24"/>
          <w:szCs w:val="24"/>
          <w:lang w:val="en-GB"/>
        </w:rPr>
        <w:t>, 2020)</w:t>
      </w:r>
      <w:r w:rsidRPr="5C218C92" w:rsidR="02DE12A8">
        <w:rPr>
          <w:rFonts w:ascii="Arial" w:hAnsi="Arial" w:eastAsia="Arial" w:cs="Arial"/>
          <w:b w:val="0"/>
          <w:bCs w:val="0"/>
          <w:noProof w:val="0"/>
          <w:color w:val="auto"/>
          <w:sz w:val="24"/>
          <w:szCs w:val="24"/>
          <w:lang w:val="en-GB"/>
        </w:rPr>
        <w:t>. These features must be integrated to match domestic platform standards and user expectations.</w:t>
      </w:r>
    </w:p>
    <w:p w:rsidR="02DE12A8" w:rsidP="5C218C92" w:rsidRDefault="02DE12A8" w14:paraId="5435E199" w14:textId="52607051">
      <w:pPr>
        <w:pStyle w:val="Heading3"/>
        <w:spacing w:line="360" w:lineRule="auto"/>
        <w:jc w:val="both"/>
        <w:rPr>
          <w:rFonts w:ascii="Arial" w:hAnsi="Arial" w:eastAsia="Arial" w:cs="Arial"/>
          <w:b w:val="0"/>
          <w:bCs w:val="0"/>
          <w:noProof w:val="0"/>
          <w:color w:val="auto"/>
          <w:sz w:val="24"/>
          <w:szCs w:val="24"/>
          <w:lang w:val="en-GB"/>
        </w:rPr>
      </w:pPr>
      <w:bookmarkStart w:name="_Toc1542876209" w:id="2141677152"/>
      <w:r w:rsidRPr="5C218C92" w:rsidR="02DE12A8">
        <w:rPr>
          <w:rFonts w:ascii="Arial" w:hAnsi="Arial" w:eastAsia="Arial" w:cs="Arial"/>
          <w:b w:val="0"/>
          <w:bCs w:val="0"/>
          <w:noProof w:val="0"/>
          <w:color w:val="auto"/>
          <w:sz w:val="24"/>
          <w:szCs w:val="24"/>
          <w:lang w:val="en-GB"/>
        </w:rPr>
        <w:t>Support Activities</w:t>
      </w:r>
      <w:bookmarkEnd w:id="2141677152"/>
    </w:p>
    <w:p w:rsidR="02DE12A8" w:rsidP="5C218C92" w:rsidRDefault="02DE12A8" w14:paraId="2653DB27" w14:textId="5F8A195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2DE12A8">
        <w:rPr>
          <w:rFonts w:ascii="Arial" w:hAnsi="Arial" w:eastAsia="Arial" w:cs="Arial"/>
          <w:b w:val="0"/>
          <w:bCs w:val="0"/>
          <w:noProof w:val="0"/>
          <w:color w:val="auto"/>
          <w:sz w:val="24"/>
          <w:szCs w:val="24"/>
          <w:lang w:val="en-GB"/>
        </w:rPr>
        <w:t xml:space="preserve">Netflix’s support activities in China must focus on developing mobile-first and social features, building local teams with regulatory </w:t>
      </w:r>
      <w:r w:rsidRPr="5C218C92" w:rsidR="02DE12A8">
        <w:rPr>
          <w:rFonts w:ascii="Arial" w:hAnsi="Arial" w:eastAsia="Arial" w:cs="Arial"/>
          <w:b w:val="0"/>
          <w:bCs w:val="0"/>
          <w:noProof w:val="0"/>
          <w:color w:val="auto"/>
          <w:sz w:val="24"/>
          <w:szCs w:val="24"/>
          <w:lang w:val="en-GB"/>
        </w:rPr>
        <w:t>expertise</w:t>
      </w:r>
      <w:r w:rsidRPr="5C218C92" w:rsidR="02DE12A8">
        <w:rPr>
          <w:rFonts w:ascii="Arial" w:hAnsi="Arial" w:eastAsia="Arial" w:cs="Arial"/>
          <w:b w:val="0"/>
          <w:bCs w:val="0"/>
          <w:noProof w:val="0"/>
          <w:color w:val="auto"/>
          <w:sz w:val="24"/>
          <w:szCs w:val="24"/>
          <w:lang w:val="en-GB"/>
        </w:rPr>
        <w:t xml:space="preserve">, prioritising procurement from local studios and talent, and </w:t>
      </w:r>
      <w:r w:rsidRPr="5C218C92" w:rsidR="02DE12A8">
        <w:rPr>
          <w:rFonts w:ascii="Arial" w:hAnsi="Arial" w:eastAsia="Arial" w:cs="Arial"/>
          <w:b w:val="0"/>
          <w:bCs w:val="0"/>
          <w:noProof w:val="0"/>
          <w:color w:val="auto"/>
          <w:sz w:val="24"/>
          <w:szCs w:val="24"/>
          <w:lang w:val="en-GB"/>
        </w:rPr>
        <w:t>operating</w:t>
      </w:r>
      <w:r w:rsidRPr="5C218C92" w:rsidR="02DE12A8">
        <w:rPr>
          <w:rFonts w:ascii="Arial" w:hAnsi="Arial" w:eastAsia="Arial" w:cs="Arial"/>
          <w:b w:val="0"/>
          <w:bCs w:val="0"/>
          <w:noProof w:val="0"/>
          <w:color w:val="auto"/>
          <w:sz w:val="24"/>
          <w:szCs w:val="24"/>
          <w:lang w:val="en-GB"/>
        </w:rPr>
        <w:t xml:space="preserve"> under joint venture structures that </w:t>
      </w:r>
      <w:r w:rsidRPr="5C218C92" w:rsidR="02DE12A8">
        <w:rPr>
          <w:rFonts w:ascii="Arial" w:hAnsi="Arial" w:eastAsia="Arial" w:cs="Arial"/>
          <w:b w:val="0"/>
          <w:bCs w:val="0"/>
          <w:noProof w:val="0"/>
          <w:color w:val="auto"/>
          <w:sz w:val="24"/>
          <w:szCs w:val="24"/>
          <w:lang w:val="en-GB"/>
        </w:rPr>
        <w:t>comply with</w:t>
      </w:r>
      <w:r w:rsidRPr="5C218C92" w:rsidR="02DE12A8">
        <w:rPr>
          <w:rFonts w:ascii="Arial" w:hAnsi="Arial" w:eastAsia="Arial" w:cs="Arial"/>
          <w:b w:val="0"/>
          <w:bCs w:val="0"/>
          <w:noProof w:val="0"/>
          <w:color w:val="auto"/>
          <w:sz w:val="24"/>
          <w:szCs w:val="24"/>
          <w:lang w:val="en-GB"/>
        </w:rPr>
        <w:t xml:space="preserve"> government requirements.</w:t>
      </w:r>
    </w:p>
    <w:p w:rsidR="52BFA3AB" w:rsidP="5C218C92" w:rsidRDefault="52BFA3AB" w14:paraId="5D8D9B27" w14:textId="1E733635">
      <w:pPr>
        <w:pStyle w:val="Heading1"/>
        <w:spacing w:line="360" w:lineRule="auto"/>
        <w:jc w:val="both"/>
        <w:rPr>
          <w:rFonts w:ascii="Arial" w:hAnsi="Arial" w:eastAsia="Arial" w:cs="Arial"/>
          <w:b w:val="0"/>
          <w:bCs w:val="0"/>
          <w:noProof w:val="0"/>
          <w:color w:val="auto"/>
          <w:sz w:val="24"/>
          <w:szCs w:val="24"/>
          <w:lang w:val="en-GB"/>
        </w:rPr>
      </w:pPr>
      <w:bookmarkStart w:name="_Toc1303566804" w:id="227866751"/>
      <w:r w:rsidRPr="5C218C92" w:rsidR="52BFA3AB">
        <w:rPr>
          <w:rFonts w:ascii="Arial" w:hAnsi="Arial" w:eastAsia="Arial" w:cs="Arial"/>
          <w:b w:val="0"/>
          <w:bCs w:val="0"/>
          <w:noProof w:val="0"/>
          <w:color w:val="auto"/>
          <w:sz w:val="24"/>
          <w:szCs w:val="24"/>
          <w:lang w:val="en-GB"/>
        </w:rPr>
        <w:t>Strategy Formulation</w:t>
      </w:r>
      <w:bookmarkEnd w:id="227866751"/>
    </w:p>
    <w:p w:rsidR="3A48ECAF" w:rsidP="5C218C92" w:rsidRDefault="3A48ECAF" w14:paraId="18D98C12" w14:textId="4F53499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Strategy formulation is the critical process through which an organisation develops strategic choices and action plans that align internal strengths with external opportunities and constraints. This process requires selecting ambitious growth paths, thoroughly assessing competitive dynamics, and effectively deploying resources to achieve long-term </w:t>
      </w:r>
      <w:r w:rsidRPr="5C218C92" w:rsidR="3A48ECAF">
        <w:rPr>
          <w:rFonts w:ascii="Arial" w:hAnsi="Arial" w:eastAsia="Arial" w:cs="Arial"/>
          <w:b w:val="0"/>
          <w:bCs w:val="0"/>
          <w:noProof w:val="0"/>
          <w:color w:val="auto"/>
          <w:sz w:val="24"/>
          <w:szCs w:val="24"/>
          <w:lang w:val="en-GB"/>
        </w:rPr>
        <w:t>objectives</w:t>
      </w:r>
      <w:r w:rsidRPr="5C218C92" w:rsidR="3A48ECAF">
        <w:rPr>
          <w:rFonts w:ascii="Arial" w:hAnsi="Arial" w:eastAsia="Arial" w:cs="Arial"/>
          <w:b w:val="0"/>
          <w:bCs w:val="0"/>
          <w:noProof w:val="0"/>
          <w:color w:val="auto"/>
          <w:sz w:val="24"/>
          <w:szCs w:val="24"/>
          <w:lang w:val="en-GB"/>
        </w:rPr>
        <w:t xml:space="preserve"> (Watts, Cope, and Hulme, 1998). For Netflix, robust strategy formulation is essential following an internal audit that revealed significant challenges, including regulatory restrictions, localisation demands, and partnership requirements in China. Employing a structured strategic framework is necessary to </w:t>
      </w:r>
      <w:r w:rsidRPr="5C218C92" w:rsidR="3A48ECAF">
        <w:rPr>
          <w:rFonts w:ascii="Arial" w:hAnsi="Arial" w:eastAsia="Arial" w:cs="Arial"/>
          <w:b w:val="0"/>
          <w:bCs w:val="0"/>
          <w:noProof w:val="0"/>
          <w:color w:val="auto"/>
          <w:sz w:val="24"/>
          <w:szCs w:val="24"/>
          <w:lang w:val="en-GB"/>
        </w:rPr>
        <w:t>determine</w:t>
      </w:r>
      <w:r w:rsidRPr="5C218C92" w:rsidR="3A48ECAF">
        <w:rPr>
          <w:rFonts w:ascii="Arial" w:hAnsi="Arial" w:eastAsia="Arial" w:cs="Arial"/>
          <w:b w:val="0"/>
          <w:bCs w:val="0"/>
          <w:noProof w:val="0"/>
          <w:color w:val="auto"/>
          <w:sz w:val="24"/>
          <w:szCs w:val="24"/>
          <w:lang w:val="en-GB"/>
        </w:rPr>
        <w:t xml:space="preserve"> the most effective market-entry and growth strategies.</w:t>
      </w:r>
    </w:p>
    <w:p w:rsidR="3A48ECAF" w:rsidP="5C218C92" w:rsidRDefault="3A48ECAF" w14:paraId="18EC6C66" w14:textId="2C81D0D8">
      <w:pPr>
        <w:pStyle w:val="Heading2"/>
        <w:spacing w:line="360" w:lineRule="auto"/>
        <w:jc w:val="both"/>
        <w:rPr>
          <w:rFonts w:ascii="Arial" w:hAnsi="Arial" w:eastAsia="Arial" w:cs="Arial"/>
          <w:b w:val="0"/>
          <w:bCs w:val="0"/>
          <w:noProof w:val="0"/>
          <w:color w:val="auto"/>
          <w:sz w:val="24"/>
          <w:szCs w:val="24"/>
          <w:lang w:val="en-GB"/>
        </w:rPr>
      </w:pPr>
      <w:bookmarkStart w:name="_Toc1034530555" w:id="1875528610"/>
      <w:r w:rsidRPr="5C218C92" w:rsidR="3A48ECAF">
        <w:rPr>
          <w:rFonts w:ascii="Arial" w:hAnsi="Arial" w:eastAsia="Arial" w:cs="Arial"/>
          <w:b w:val="0"/>
          <w:bCs w:val="0"/>
          <w:noProof w:val="0"/>
          <w:color w:val="auto"/>
          <w:sz w:val="24"/>
          <w:szCs w:val="24"/>
          <w:lang w:val="en-GB"/>
        </w:rPr>
        <w:t>Key Strategy Formulation Options</w:t>
      </w:r>
      <w:bookmarkEnd w:id="1875528610"/>
    </w:p>
    <w:p w:rsidR="550B8BBB" w:rsidP="5C218C92" w:rsidRDefault="550B8BBB" w14:paraId="46822DB5" w14:textId="2BA24382">
      <w:pPr>
        <w:pStyle w:val="Heading3"/>
        <w:spacing w:line="360" w:lineRule="auto"/>
        <w:jc w:val="both"/>
        <w:rPr>
          <w:rFonts w:ascii="Arial" w:hAnsi="Arial" w:eastAsia="Arial" w:cs="Arial"/>
          <w:b w:val="0"/>
          <w:bCs w:val="0"/>
          <w:noProof w:val="0"/>
          <w:color w:val="auto"/>
          <w:sz w:val="24"/>
          <w:szCs w:val="24"/>
          <w:lang w:val="en-GB"/>
        </w:rPr>
      </w:pPr>
      <w:bookmarkStart w:name="_Toc1987493308" w:id="962022466"/>
      <w:r w:rsidRPr="5C218C92" w:rsidR="550B8BBB">
        <w:rPr>
          <w:rFonts w:ascii="Arial" w:hAnsi="Arial" w:eastAsia="Arial" w:cs="Arial"/>
          <w:b w:val="0"/>
          <w:bCs w:val="0"/>
          <w:noProof w:val="0"/>
          <w:color w:val="auto"/>
          <w:sz w:val="24"/>
          <w:szCs w:val="24"/>
          <w:lang w:val="en-GB"/>
        </w:rPr>
        <w:t>Ansoff Matrix</w:t>
      </w:r>
      <w:bookmarkEnd w:id="962022466"/>
    </w:p>
    <w:p w:rsidR="3A48ECAF" w:rsidP="5C218C92" w:rsidRDefault="3A48ECAF" w14:paraId="635C8531" w14:textId="0727864F">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Market Penetration</w:t>
      </w:r>
      <w:r w:rsidRPr="5C218C92" w:rsidR="3A48ECAF">
        <w:rPr>
          <w:rFonts w:ascii="Arial" w:hAnsi="Arial" w:eastAsia="Arial" w:cs="Arial"/>
          <w:b w:val="0"/>
          <w:bCs w:val="0"/>
          <w:noProof w:val="0"/>
          <w:color w:val="auto"/>
          <w:sz w:val="24"/>
          <w:szCs w:val="24"/>
          <w:lang w:val="en-GB"/>
        </w:rPr>
        <w:t xml:space="preserve"> – Expanding reach within existing markets through pricing strategies, marketing initiatives, or increased content investment. This approach </w:t>
      </w:r>
      <w:r w:rsidRPr="5C218C92" w:rsidR="3A48ECAF">
        <w:rPr>
          <w:rFonts w:ascii="Arial" w:hAnsi="Arial" w:eastAsia="Arial" w:cs="Arial"/>
          <w:b w:val="0"/>
          <w:bCs w:val="0"/>
          <w:noProof w:val="0"/>
          <w:color w:val="auto"/>
          <w:sz w:val="24"/>
          <w:szCs w:val="24"/>
          <w:lang w:val="en-GB"/>
        </w:rPr>
        <w:t>leverages</w:t>
      </w:r>
      <w:r w:rsidRPr="5C218C92" w:rsidR="3A48ECAF">
        <w:rPr>
          <w:rFonts w:ascii="Arial" w:hAnsi="Arial" w:eastAsia="Arial" w:cs="Arial"/>
          <w:b w:val="0"/>
          <w:bCs w:val="0"/>
          <w:noProof w:val="0"/>
          <w:color w:val="auto"/>
          <w:sz w:val="24"/>
          <w:szCs w:val="24"/>
          <w:lang w:val="en-GB"/>
        </w:rPr>
        <w:t xml:space="preserve"> Netflix’s scale to achieve potential cost advantages and differentiates the service by broadening feature offerings in established markets.</w:t>
      </w:r>
    </w:p>
    <w:p w:rsidR="3A48ECAF" w:rsidP="5C218C92" w:rsidRDefault="3A48ECAF" w14:paraId="0CFF6D2A" w14:textId="169D4A9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2. </w:t>
      </w:r>
      <w:r w:rsidRPr="5C218C92" w:rsidR="3A48ECAF">
        <w:rPr>
          <w:rFonts w:ascii="Arial" w:hAnsi="Arial" w:eastAsia="Arial" w:cs="Arial"/>
          <w:b w:val="0"/>
          <w:bCs w:val="0"/>
          <w:noProof w:val="0"/>
          <w:color w:val="auto"/>
          <w:sz w:val="24"/>
          <w:szCs w:val="24"/>
          <w:lang w:val="en-GB"/>
        </w:rPr>
        <w:t>Product Development</w:t>
      </w:r>
      <w:r w:rsidRPr="5C218C92" w:rsidR="3A48ECAF">
        <w:rPr>
          <w:rFonts w:ascii="Arial" w:hAnsi="Arial" w:eastAsia="Arial" w:cs="Arial"/>
          <w:b w:val="0"/>
          <w:bCs w:val="0"/>
          <w:noProof w:val="0"/>
          <w:color w:val="auto"/>
          <w:sz w:val="24"/>
          <w:szCs w:val="24"/>
          <w:lang w:val="en-GB"/>
        </w:rPr>
        <w:t xml:space="preserve"> – Developing new products or content for existing global subscribers. This strategy supports differentiation by introducing distinctive and innovative content that sets Netflix apart from local competitors.</w:t>
      </w:r>
    </w:p>
    <w:p w:rsidR="3A48ECAF" w:rsidP="5C218C92" w:rsidRDefault="3A48ECAF" w14:paraId="0475E188" w14:textId="13A34AD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3. </w:t>
      </w:r>
      <w:r w:rsidRPr="5C218C92" w:rsidR="3A48ECAF">
        <w:rPr>
          <w:rFonts w:ascii="Arial" w:hAnsi="Arial" w:eastAsia="Arial" w:cs="Arial"/>
          <w:b w:val="0"/>
          <w:bCs w:val="0"/>
          <w:noProof w:val="0"/>
          <w:color w:val="auto"/>
          <w:sz w:val="24"/>
          <w:szCs w:val="24"/>
          <w:lang w:val="en-GB"/>
        </w:rPr>
        <w:t>Market Development</w:t>
      </w:r>
      <w:r w:rsidRPr="5C218C92" w:rsidR="3A48ECAF">
        <w:rPr>
          <w:rFonts w:ascii="Arial" w:hAnsi="Arial" w:eastAsia="Arial" w:cs="Arial"/>
          <w:b w:val="0"/>
          <w:bCs w:val="0"/>
          <w:noProof w:val="0"/>
          <w:color w:val="auto"/>
          <w:sz w:val="24"/>
          <w:szCs w:val="24"/>
          <w:lang w:val="en-GB"/>
        </w:rPr>
        <w:t xml:space="preserve"> – Expanding into new geographic markets, particularly those with significant growth potential, such as China. This strategy utilises a focus advantage by targeting specific regions and customising offerings to meet local demands.</w:t>
      </w:r>
    </w:p>
    <w:p w:rsidR="3A48ECAF" w:rsidP="5C218C92" w:rsidRDefault="3A48ECAF" w14:paraId="3CA109C3" w14:textId="0FD34AF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4. </w:t>
      </w:r>
      <w:r w:rsidRPr="5C218C92" w:rsidR="3A48ECAF">
        <w:rPr>
          <w:rFonts w:ascii="Arial" w:hAnsi="Arial" w:eastAsia="Arial" w:cs="Arial"/>
          <w:b w:val="0"/>
          <w:bCs w:val="0"/>
          <w:noProof w:val="0"/>
          <w:color w:val="auto"/>
          <w:sz w:val="24"/>
          <w:szCs w:val="24"/>
          <w:lang w:val="en-GB"/>
        </w:rPr>
        <w:t>Diversification</w:t>
      </w:r>
      <w:r w:rsidRPr="5C218C92" w:rsidR="3A48ECAF">
        <w:rPr>
          <w:rFonts w:ascii="Arial" w:hAnsi="Arial" w:eastAsia="Arial" w:cs="Arial"/>
          <w:b w:val="0"/>
          <w:bCs w:val="0"/>
          <w:noProof w:val="0"/>
          <w:color w:val="auto"/>
          <w:sz w:val="24"/>
          <w:szCs w:val="24"/>
          <w:lang w:val="en-GB"/>
        </w:rPr>
        <w:t xml:space="preserve"> – Expanding into related or unrelated sectors, including gaming, merchandise, or live entertainment. This approach enables Netflix to achieve differentiation by offering a broader range of entertainment experiences that complement its core streaming services.</w:t>
      </w:r>
    </w:p>
    <w:p w:rsidR="3A48ECAF" w:rsidP="5C218C92" w:rsidRDefault="3A48ECAF" w14:paraId="21F4D844" w14:textId="6CD5C04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 </w:t>
      </w:r>
      <w:r w:rsidRPr="5C218C92" w:rsidR="3A48ECAF">
        <w:rPr>
          <w:rFonts w:ascii="Arial" w:hAnsi="Arial" w:eastAsia="Arial" w:cs="Arial"/>
          <w:b w:val="0"/>
          <w:bCs w:val="0"/>
          <w:noProof w:val="0"/>
          <w:color w:val="auto"/>
          <w:sz w:val="24"/>
          <w:szCs w:val="24"/>
          <w:lang w:val="en-GB"/>
        </w:rPr>
        <w:t xml:space="preserve">Competitive Positioning </w:t>
      </w:r>
      <w:r w:rsidRPr="5C218C92" w:rsidR="3A48ECAF">
        <w:rPr>
          <w:rFonts w:ascii="Arial" w:hAnsi="Arial" w:eastAsia="Arial" w:cs="Arial"/>
          <w:b w:val="0"/>
          <w:bCs w:val="0"/>
          <w:noProof w:val="0"/>
          <w:color w:val="auto"/>
          <w:sz w:val="24"/>
          <w:szCs w:val="24"/>
          <w:lang w:val="en-GB"/>
        </w:rPr>
        <w:t xml:space="preserve">(Porter’s Generic Strategies) </w:t>
      </w:r>
    </w:p>
    <w:p w:rsidR="3A48ECAF" w:rsidP="5C218C92" w:rsidRDefault="3A48ECAF" w14:paraId="791ED6B5" w14:textId="0FF20F1B">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 </w:t>
      </w:r>
      <w:r w:rsidRPr="5C218C92" w:rsidR="32320D4A">
        <w:rPr>
          <w:rFonts w:ascii="Arial" w:hAnsi="Arial" w:eastAsia="Arial" w:cs="Arial"/>
          <w:b w:val="0"/>
          <w:bCs w:val="0"/>
          <w:noProof w:val="0"/>
          <w:color w:val="auto"/>
          <w:sz w:val="24"/>
          <w:szCs w:val="24"/>
          <w:lang w:val="en-GB"/>
        </w:rPr>
        <w:t>Porters'</w:t>
      </w:r>
      <w:r w:rsidRPr="5C218C92" w:rsidR="0432DD73">
        <w:rPr>
          <w:rFonts w:ascii="Arial" w:hAnsi="Arial" w:eastAsia="Arial" w:cs="Arial"/>
          <w:b w:val="0"/>
          <w:bCs w:val="0"/>
          <w:noProof w:val="0"/>
          <w:color w:val="auto"/>
          <w:sz w:val="24"/>
          <w:szCs w:val="24"/>
          <w:lang w:val="en-GB"/>
        </w:rPr>
        <w:t xml:space="preserve"> generic strategies are concerned with e</w:t>
      </w:r>
      <w:r w:rsidRPr="5C218C92" w:rsidR="3A48ECAF">
        <w:rPr>
          <w:rFonts w:ascii="Arial" w:hAnsi="Arial" w:eastAsia="Arial" w:cs="Arial"/>
          <w:b w:val="0"/>
          <w:bCs w:val="0"/>
          <w:noProof w:val="0"/>
          <w:color w:val="auto"/>
          <w:sz w:val="24"/>
          <w:szCs w:val="24"/>
          <w:lang w:val="en-GB"/>
        </w:rPr>
        <w:t>mploying differentiation, cost leadership, or focus strategies</w:t>
      </w:r>
      <w:r w:rsidRPr="5C218C92" w:rsidR="647DB3DB">
        <w:rPr>
          <w:rFonts w:ascii="Arial" w:hAnsi="Arial" w:eastAsia="Arial" w:cs="Arial"/>
          <w:b w:val="0"/>
          <w:bCs w:val="0"/>
          <w:noProof w:val="0"/>
          <w:color w:val="auto"/>
          <w:sz w:val="24"/>
          <w:szCs w:val="24"/>
          <w:lang w:val="en-GB"/>
        </w:rPr>
        <w:t xml:space="preserve"> (</w:t>
      </w:r>
      <w:r w:rsidRPr="5C218C92" w:rsidR="647DB3DB">
        <w:rPr>
          <w:rFonts w:ascii="Arial" w:hAnsi="Arial" w:eastAsia="Arial" w:cs="Arial"/>
          <w:b w:val="0"/>
          <w:bCs w:val="0"/>
          <w:i w:val="0"/>
          <w:iCs w:val="0"/>
          <w:caps w:val="0"/>
          <w:smallCaps w:val="0"/>
          <w:noProof w:val="0"/>
          <w:color w:val="auto"/>
          <w:sz w:val="24"/>
          <w:szCs w:val="24"/>
          <w:lang w:val="en-GB"/>
        </w:rPr>
        <w:t>Dixit, 2024)</w:t>
      </w:r>
      <w:r w:rsidRPr="5C218C92" w:rsidR="3A48ECAF">
        <w:rPr>
          <w:rFonts w:ascii="Arial" w:hAnsi="Arial" w:eastAsia="Arial" w:cs="Arial"/>
          <w:b w:val="0"/>
          <w:bCs w:val="0"/>
          <w:noProof w:val="0"/>
          <w:color w:val="auto"/>
          <w:sz w:val="24"/>
          <w:szCs w:val="24"/>
          <w:lang w:val="en-GB"/>
        </w:rPr>
        <w:t xml:space="preserve">. Each approach </w:t>
      </w:r>
      <w:r w:rsidRPr="5C218C92" w:rsidR="3A48ECAF">
        <w:rPr>
          <w:rFonts w:ascii="Arial" w:hAnsi="Arial" w:eastAsia="Arial" w:cs="Arial"/>
          <w:b w:val="0"/>
          <w:bCs w:val="0"/>
          <w:noProof w:val="0"/>
          <w:color w:val="auto"/>
          <w:sz w:val="24"/>
          <w:szCs w:val="24"/>
          <w:lang w:val="en-GB"/>
        </w:rPr>
        <w:t>seeks</w:t>
      </w:r>
      <w:r w:rsidRPr="5C218C92" w:rsidR="3A48ECAF">
        <w:rPr>
          <w:rFonts w:ascii="Arial" w:hAnsi="Arial" w:eastAsia="Arial" w:cs="Arial"/>
          <w:b w:val="0"/>
          <w:bCs w:val="0"/>
          <w:noProof w:val="0"/>
          <w:color w:val="auto"/>
          <w:sz w:val="24"/>
          <w:szCs w:val="24"/>
          <w:lang w:val="en-GB"/>
        </w:rPr>
        <w:t xml:space="preserve"> to </w:t>
      </w:r>
      <w:r w:rsidRPr="5C218C92" w:rsidR="3A48ECAF">
        <w:rPr>
          <w:rFonts w:ascii="Arial" w:hAnsi="Arial" w:eastAsia="Arial" w:cs="Arial"/>
          <w:b w:val="0"/>
          <w:bCs w:val="0"/>
          <w:noProof w:val="0"/>
          <w:color w:val="auto"/>
          <w:sz w:val="24"/>
          <w:szCs w:val="24"/>
          <w:lang w:val="en-GB"/>
        </w:rPr>
        <w:t>establish</w:t>
      </w:r>
      <w:r w:rsidRPr="5C218C92" w:rsidR="3A48ECAF">
        <w:rPr>
          <w:rFonts w:ascii="Arial" w:hAnsi="Arial" w:eastAsia="Arial" w:cs="Arial"/>
          <w:b w:val="0"/>
          <w:bCs w:val="0"/>
          <w:noProof w:val="0"/>
          <w:color w:val="auto"/>
          <w:sz w:val="24"/>
          <w:szCs w:val="24"/>
          <w:lang w:val="en-GB"/>
        </w:rPr>
        <w:t xml:space="preserve"> a competitive advantage within China’s five-forces environment by addressing specific consumer needs and market gaps.</w:t>
      </w:r>
    </w:p>
    <w:p w:rsidR="3A48ECAF" w:rsidP="5C218C92" w:rsidRDefault="3A48ECAF" w14:paraId="3FF87D29" w14:textId="03C67132">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Portfolio Management </w:t>
      </w:r>
      <w:r w:rsidRPr="5C218C92" w:rsidR="3A48ECAF">
        <w:rPr>
          <w:rFonts w:ascii="Arial" w:hAnsi="Arial" w:eastAsia="Arial" w:cs="Arial"/>
          <w:b w:val="0"/>
          <w:bCs w:val="0"/>
          <w:noProof w:val="0"/>
          <w:color w:val="auto"/>
          <w:sz w:val="24"/>
          <w:szCs w:val="24"/>
          <w:lang w:val="en-GB"/>
        </w:rPr>
        <w:t>(BCG Matrix)</w:t>
      </w:r>
      <w:r w:rsidRPr="5C218C92" w:rsidR="3A48ECAF">
        <w:rPr>
          <w:rFonts w:ascii="Arial" w:hAnsi="Arial" w:eastAsia="Arial" w:cs="Arial"/>
          <w:b w:val="0"/>
          <w:bCs w:val="0"/>
          <w:noProof w:val="0"/>
          <w:color w:val="auto"/>
          <w:sz w:val="24"/>
          <w:szCs w:val="24"/>
          <w:lang w:val="en-GB"/>
        </w:rPr>
        <w:t xml:space="preserve"> </w:t>
      </w:r>
    </w:p>
    <w:p w:rsidR="17ECB84A" w:rsidP="5C218C92" w:rsidRDefault="17ECB84A" w14:paraId="5C80D754" w14:textId="37645186">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17ECB84A">
        <w:rPr>
          <w:rFonts w:ascii="Arial" w:hAnsi="Arial" w:eastAsia="Arial" w:cs="Arial"/>
          <w:b w:val="0"/>
          <w:bCs w:val="0"/>
          <w:noProof w:val="0"/>
          <w:color w:val="auto"/>
          <w:sz w:val="24"/>
          <w:szCs w:val="24"/>
          <w:lang w:val="en-GB"/>
        </w:rPr>
        <w:t>Is</w:t>
      </w:r>
      <w:r w:rsidRPr="5C218C92" w:rsidR="17ECB84A">
        <w:rPr>
          <w:rFonts w:ascii="Arial" w:hAnsi="Arial" w:eastAsia="Arial" w:cs="Arial"/>
          <w:b w:val="0"/>
          <w:bCs w:val="0"/>
          <w:noProof w:val="0"/>
          <w:color w:val="auto"/>
          <w:sz w:val="24"/>
          <w:szCs w:val="24"/>
          <w:lang w:val="en-GB"/>
        </w:rPr>
        <w:t xml:space="preserve"> the allocation of</w:t>
      </w:r>
      <w:r w:rsidRPr="5C218C92" w:rsidR="3A48ECAF">
        <w:rPr>
          <w:rFonts w:ascii="Arial" w:hAnsi="Arial" w:eastAsia="Arial" w:cs="Arial"/>
          <w:b w:val="0"/>
          <w:bCs w:val="0"/>
          <w:noProof w:val="0"/>
          <w:color w:val="auto"/>
          <w:sz w:val="24"/>
          <w:szCs w:val="24"/>
          <w:lang w:val="en-GB"/>
        </w:rPr>
        <w:t xml:space="preserve"> resources to "stars," "</w:t>
      </w:r>
      <w:r w:rsidRPr="5C218C92" w:rsidR="3A48ECAF">
        <w:rPr>
          <w:rFonts w:ascii="Arial" w:hAnsi="Arial" w:eastAsia="Arial" w:cs="Arial"/>
          <w:b w:val="0"/>
          <w:bCs w:val="0"/>
          <w:noProof w:val="0"/>
          <w:color w:val="auto"/>
          <w:sz w:val="24"/>
          <w:szCs w:val="24"/>
          <w:lang w:val="en-GB"/>
        </w:rPr>
        <w:t>cash cows</w:t>
      </w:r>
      <w:r w:rsidRPr="5C218C92" w:rsidR="3A48ECAF">
        <w:rPr>
          <w:rFonts w:ascii="Arial" w:hAnsi="Arial" w:eastAsia="Arial" w:cs="Arial"/>
          <w:b w:val="0"/>
          <w:bCs w:val="0"/>
          <w:noProof w:val="0"/>
          <w:color w:val="auto"/>
          <w:sz w:val="24"/>
          <w:szCs w:val="24"/>
          <w:lang w:val="en-GB"/>
        </w:rPr>
        <w:t xml:space="preserve">," or "question marks." This method can improve cost efficiency and resource allocation, supporting </w:t>
      </w:r>
      <w:r w:rsidRPr="5C218C92" w:rsidR="3A48ECAF">
        <w:rPr>
          <w:rFonts w:ascii="Arial" w:hAnsi="Arial" w:eastAsia="Arial" w:cs="Arial"/>
          <w:b w:val="0"/>
          <w:bCs w:val="0"/>
          <w:noProof w:val="0"/>
          <w:color w:val="auto"/>
          <w:sz w:val="24"/>
          <w:szCs w:val="24"/>
          <w:lang w:val="en-GB"/>
        </w:rPr>
        <w:t>optimal</w:t>
      </w:r>
      <w:r w:rsidRPr="5C218C92" w:rsidR="3A48ECAF">
        <w:rPr>
          <w:rFonts w:ascii="Arial" w:hAnsi="Arial" w:eastAsia="Arial" w:cs="Arial"/>
          <w:b w:val="0"/>
          <w:bCs w:val="0"/>
          <w:noProof w:val="0"/>
          <w:color w:val="auto"/>
          <w:sz w:val="24"/>
          <w:szCs w:val="24"/>
          <w:lang w:val="en-GB"/>
        </w:rPr>
        <w:t xml:space="preserve"> strategic positioning across business segments</w:t>
      </w:r>
      <w:r w:rsidRPr="5C218C92" w:rsidR="4D049B10">
        <w:rPr>
          <w:rFonts w:ascii="Arial" w:hAnsi="Arial" w:eastAsia="Arial" w:cs="Arial"/>
          <w:b w:val="0"/>
          <w:bCs w:val="0"/>
          <w:noProof w:val="0"/>
          <w:color w:val="auto"/>
          <w:sz w:val="24"/>
          <w:szCs w:val="24"/>
          <w:lang w:val="en-GB"/>
        </w:rPr>
        <w:t xml:space="preserve"> (Hung, and Wang, 2024).</w:t>
      </w:r>
    </w:p>
    <w:p w:rsidR="3A48ECAF" w:rsidP="5C218C92" w:rsidRDefault="3A48ECAF" w14:paraId="7B3834B1" w14:textId="3361475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A48ECAF">
        <w:rPr>
          <w:rFonts w:ascii="Arial" w:hAnsi="Arial" w:eastAsia="Arial" w:cs="Arial"/>
          <w:b w:val="0"/>
          <w:bCs w:val="0"/>
          <w:noProof w:val="0"/>
          <w:color w:val="auto"/>
          <w:sz w:val="24"/>
          <w:szCs w:val="24"/>
          <w:lang w:val="en-GB"/>
        </w:rPr>
        <w:t xml:space="preserve">Among various frameworks, the Ansoff Growth Matrix is the most </w:t>
      </w:r>
      <w:r w:rsidRPr="5C218C92" w:rsidR="3A48ECAF">
        <w:rPr>
          <w:rFonts w:ascii="Arial" w:hAnsi="Arial" w:eastAsia="Arial" w:cs="Arial"/>
          <w:b w:val="0"/>
          <w:bCs w:val="0"/>
          <w:noProof w:val="0"/>
          <w:color w:val="auto"/>
          <w:sz w:val="24"/>
          <w:szCs w:val="24"/>
          <w:lang w:val="en-GB"/>
        </w:rPr>
        <w:t>appropriate for</w:t>
      </w:r>
      <w:r w:rsidRPr="5C218C92" w:rsidR="3A48ECAF">
        <w:rPr>
          <w:rFonts w:ascii="Arial" w:hAnsi="Arial" w:eastAsia="Arial" w:cs="Arial"/>
          <w:b w:val="0"/>
          <w:bCs w:val="0"/>
          <w:noProof w:val="0"/>
          <w:color w:val="auto"/>
          <w:sz w:val="24"/>
          <w:szCs w:val="24"/>
          <w:lang w:val="en-GB"/>
        </w:rPr>
        <w:t xml:space="preserve"> addressing Netflix’s strategic challenge. The primary requirement is market development and localisation, rather than cost competition or portfolio management. The Ansoff model specifically addresses market entry through product adaptation, which aligns with Netflix’s situation in China. In contrast, frameworks such as Porter’s Generic Strategies and the BCG Matrix do not prioritise market entry and adaptation to the same extent. Porter’s strategies focus on competitive advantage in established markets, while the BCG Matrix emphasises resource allocation among existing segments. The Ansoff Matrix, introduced by Igor Ansoff in 1965, </w:t>
      </w:r>
      <w:bookmarkStart w:name="_Int_0jp7ElUq" w:id="1564174914"/>
      <w:r w:rsidRPr="5C218C92" w:rsidR="3A48ECAF">
        <w:rPr>
          <w:rFonts w:ascii="Arial" w:hAnsi="Arial" w:eastAsia="Arial" w:cs="Arial"/>
          <w:b w:val="0"/>
          <w:bCs w:val="0"/>
          <w:noProof w:val="0"/>
          <w:color w:val="auto"/>
          <w:sz w:val="24"/>
          <w:szCs w:val="24"/>
          <w:lang w:val="en-GB"/>
        </w:rPr>
        <w:t>facilitates</w:t>
      </w:r>
      <w:bookmarkEnd w:id="1564174914"/>
      <w:r w:rsidRPr="5C218C92" w:rsidR="3A48ECAF">
        <w:rPr>
          <w:rFonts w:ascii="Arial" w:hAnsi="Arial" w:eastAsia="Arial" w:cs="Arial"/>
          <w:b w:val="0"/>
          <w:bCs w:val="0"/>
          <w:noProof w:val="0"/>
          <w:color w:val="auto"/>
          <w:sz w:val="24"/>
          <w:szCs w:val="24"/>
          <w:lang w:val="en-GB"/>
        </w:rPr>
        <w:t xml:space="preserve"> market expansion by enabling firms to analyse and pursue high-impact opportunities (Watts, Cope, and Hulme, 1998).</w:t>
      </w:r>
    </w:p>
    <w:p w:rsidR="2869CCEC" w:rsidP="5C218C92" w:rsidRDefault="2869CCEC" w14:paraId="40FA74D2" w14:textId="3890E980">
      <w:pPr>
        <w:pStyle w:val="Heading2"/>
        <w:rPr>
          <w:rFonts w:ascii="Arial" w:hAnsi="Arial" w:eastAsia="Arial" w:cs="Arial"/>
          <w:b w:val="0"/>
          <w:bCs w:val="0"/>
          <w:noProof w:val="0"/>
          <w:color w:val="auto"/>
          <w:sz w:val="24"/>
          <w:szCs w:val="24"/>
          <w:lang w:val="en-GB"/>
        </w:rPr>
      </w:pPr>
      <w:bookmarkStart w:name="_Toc170898315" w:id="745889342"/>
      <w:r w:rsidRPr="5C218C92" w:rsidR="2869CCEC">
        <w:rPr>
          <w:noProof w:val="0"/>
          <w:lang w:val="en-GB"/>
        </w:rPr>
        <w:t>Application of the Ansoff Growth Matrix</w:t>
      </w:r>
      <w:bookmarkEnd w:id="745889342"/>
    </w:p>
    <w:p w:rsidR="2869CCEC" w:rsidP="5C218C92" w:rsidRDefault="2869CCEC" w14:paraId="144C82A9" w14:textId="149D22D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1. Market Penetration (Not Suitable for China)</w:t>
      </w:r>
    </w:p>
    <w:p w:rsidR="2869CCEC" w:rsidP="5C218C92" w:rsidRDefault="2869CCEC" w14:paraId="40C3DFEC" w14:textId="792E380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Market penetration enhances Netflix’s existing subscriber base; however, this approach is not applicable in China, as Netflix currently lacks a direct market presence there (Jeffreys and Xu, 2023). While global penetration is important, it does not address the specific opportunities or constraints in China, such as regulatory barriers, censorship, or domestic competition. Therefore, this strategy does not resolve the internal and external challenges previously </w:t>
      </w:r>
      <w:r w:rsidRPr="5C218C92" w:rsidR="2869CCEC">
        <w:rPr>
          <w:rFonts w:ascii="Arial" w:hAnsi="Arial" w:eastAsia="Arial" w:cs="Arial"/>
          <w:b w:val="0"/>
          <w:bCs w:val="0"/>
          <w:noProof w:val="0"/>
          <w:color w:val="auto"/>
          <w:sz w:val="24"/>
          <w:szCs w:val="24"/>
          <w:lang w:val="en-GB"/>
        </w:rPr>
        <w:t>identified</w:t>
      </w:r>
      <w:r w:rsidRPr="5C218C92" w:rsidR="2869CCEC">
        <w:rPr>
          <w:rFonts w:ascii="Arial" w:hAnsi="Arial" w:eastAsia="Arial" w:cs="Arial"/>
          <w:b w:val="0"/>
          <w:bCs w:val="0"/>
          <w:noProof w:val="0"/>
          <w:color w:val="auto"/>
          <w:sz w:val="24"/>
          <w:szCs w:val="24"/>
          <w:lang w:val="en-GB"/>
        </w:rPr>
        <w:t>.</w:t>
      </w:r>
    </w:p>
    <w:p w:rsidR="2869CCEC" w:rsidP="5C218C92" w:rsidRDefault="2869CCEC" w14:paraId="3097F846" w14:textId="6D5B8777">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2. Product Development (Partially Relevant)</w:t>
      </w:r>
    </w:p>
    <w:p w:rsidR="2869CCEC" w:rsidP="5C218C92" w:rsidRDefault="2869CCEC" w14:paraId="3CCBDEC9" w14:textId="1D35D2F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Product development introduces new offerings for Netflix’s existing markets, including interactive content, gaming, or social-video features. Although this enhances Netflix’s overall competitiveness, it cannot serve as the primary strategy for China on its own. Nevertheless, it highlights the necessity for platform features such as </w:t>
      </w:r>
      <w:r w:rsidRPr="5C218C92" w:rsidR="2869CCEC">
        <w:rPr>
          <w:rFonts w:ascii="Arial" w:hAnsi="Arial" w:eastAsia="Arial" w:cs="Arial"/>
          <w:b w:val="0"/>
          <w:bCs w:val="0"/>
          <w:noProof w:val="0"/>
          <w:color w:val="auto"/>
          <w:sz w:val="24"/>
          <w:szCs w:val="24"/>
          <w:lang w:val="en-GB"/>
        </w:rPr>
        <w:t>danmu</w:t>
      </w:r>
      <w:r w:rsidRPr="5C218C92" w:rsidR="2869CCEC">
        <w:rPr>
          <w:rFonts w:ascii="Arial" w:hAnsi="Arial" w:eastAsia="Arial" w:cs="Arial"/>
          <w:b w:val="0"/>
          <w:bCs w:val="0"/>
          <w:noProof w:val="0"/>
          <w:color w:val="auto"/>
          <w:sz w:val="24"/>
          <w:szCs w:val="24"/>
          <w:lang w:val="en-GB"/>
        </w:rPr>
        <w:t xml:space="preserve"> (real-time comments) (Zhang and </w:t>
      </w:r>
      <w:r w:rsidRPr="5C218C92" w:rsidR="2869CCEC">
        <w:rPr>
          <w:rFonts w:ascii="Arial" w:hAnsi="Arial" w:eastAsia="Arial" w:cs="Arial"/>
          <w:b w:val="0"/>
          <w:bCs w:val="0"/>
          <w:noProof w:val="0"/>
          <w:color w:val="auto"/>
          <w:sz w:val="24"/>
          <w:szCs w:val="24"/>
          <w:lang w:val="en-GB"/>
        </w:rPr>
        <w:t>Cassany</w:t>
      </w:r>
      <w:r w:rsidRPr="5C218C92" w:rsidR="2869CCEC">
        <w:rPr>
          <w:rFonts w:ascii="Arial" w:hAnsi="Arial" w:eastAsia="Arial" w:cs="Arial"/>
          <w:b w:val="0"/>
          <w:bCs w:val="0"/>
          <w:noProof w:val="0"/>
          <w:color w:val="auto"/>
          <w:sz w:val="24"/>
          <w:szCs w:val="24"/>
          <w:lang w:val="en-GB"/>
        </w:rPr>
        <w:t>, 2020) and improved social networking integration, which are essential to Chinese video consumption patterns (Zhuge, 2018). Product development is, therefore, a critical supporting strategy for market success.</w:t>
      </w:r>
    </w:p>
    <w:p w:rsidR="5C218C92" w:rsidP="5C218C92" w:rsidRDefault="5C218C92" w14:paraId="4252CC9C" w14:textId="20EDC5FF">
      <w:pPr>
        <w:spacing w:before="120" w:beforeAutospacing="off" w:after="120" w:afterAutospacing="off" w:line="360" w:lineRule="auto"/>
        <w:jc w:val="both"/>
        <w:rPr>
          <w:rFonts w:ascii="Arial" w:hAnsi="Arial" w:eastAsia="Arial" w:cs="Arial"/>
          <w:b w:val="0"/>
          <w:bCs w:val="0"/>
          <w:color w:val="auto"/>
          <w:sz w:val="24"/>
          <w:szCs w:val="24"/>
        </w:rPr>
      </w:pPr>
    </w:p>
    <w:p w:rsidR="2869CCEC" w:rsidP="5C218C92" w:rsidRDefault="2869CCEC" w14:paraId="2565EAAB" w14:textId="4457D40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3. Market Development (Primary Recommended Strategy)</w:t>
      </w:r>
    </w:p>
    <w:p w:rsidR="2869CCEC" w:rsidP="5C218C92" w:rsidRDefault="2869CCEC" w14:paraId="74AB5544" w14:textId="0723400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Market Development, which involves delivering tailored services in a new region, </w:t>
      </w:r>
      <w:r w:rsidRPr="5C218C92" w:rsidR="2869CCEC">
        <w:rPr>
          <w:rFonts w:ascii="Arial" w:hAnsi="Arial" w:eastAsia="Arial" w:cs="Arial"/>
          <w:b w:val="0"/>
          <w:bCs w:val="0"/>
          <w:noProof w:val="0"/>
          <w:color w:val="auto"/>
          <w:sz w:val="24"/>
          <w:szCs w:val="24"/>
          <w:lang w:val="en-GB"/>
        </w:rPr>
        <w:t>represents</w:t>
      </w:r>
      <w:r w:rsidRPr="5C218C92" w:rsidR="2869CCEC">
        <w:rPr>
          <w:rFonts w:ascii="Arial" w:hAnsi="Arial" w:eastAsia="Arial" w:cs="Arial"/>
          <w:b w:val="0"/>
          <w:bCs w:val="0"/>
          <w:noProof w:val="0"/>
          <w:color w:val="auto"/>
          <w:sz w:val="24"/>
          <w:szCs w:val="24"/>
          <w:lang w:val="en-GB"/>
        </w:rPr>
        <w:t xml:space="preserve"> the most suitable approach for Netflix’s expansion into China. The internal audit </w:t>
      </w:r>
      <w:r w:rsidRPr="5C218C92" w:rsidR="2869CCEC">
        <w:rPr>
          <w:rFonts w:ascii="Arial" w:hAnsi="Arial" w:eastAsia="Arial" w:cs="Arial"/>
          <w:b w:val="0"/>
          <w:bCs w:val="0"/>
          <w:noProof w:val="0"/>
          <w:color w:val="auto"/>
          <w:sz w:val="24"/>
          <w:szCs w:val="24"/>
          <w:lang w:val="en-GB"/>
        </w:rPr>
        <w:t>indicates</w:t>
      </w:r>
      <w:r w:rsidRPr="5C218C92" w:rsidR="2869CCEC">
        <w:rPr>
          <w:rFonts w:ascii="Arial" w:hAnsi="Arial" w:eastAsia="Arial" w:cs="Arial"/>
          <w:b w:val="0"/>
          <w:bCs w:val="0"/>
          <w:noProof w:val="0"/>
          <w:color w:val="auto"/>
          <w:sz w:val="24"/>
          <w:szCs w:val="24"/>
          <w:lang w:val="en-GB"/>
        </w:rPr>
        <w:t xml:space="preserve"> that Netflix’s brand, personalisation, and content will be effective only if adapted to China’s regulatory and cultural context. Market Development is essential because it emphasises </w:t>
      </w:r>
      <w:r w:rsidRPr="5C218C92" w:rsidR="2869CCEC">
        <w:rPr>
          <w:rFonts w:ascii="Arial" w:hAnsi="Arial" w:eastAsia="Arial" w:cs="Arial"/>
          <w:b w:val="0"/>
          <w:bCs w:val="0"/>
          <w:noProof w:val="0"/>
          <w:color w:val="auto"/>
          <w:sz w:val="24"/>
          <w:szCs w:val="24"/>
          <w:lang w:val="en-GB"/>
        </w:rPr>
        <w:t>modifying</w:t>
      </w:r>
      <w:r w:rsidRPr="5C218C92" w:rsidR="2869CCEC">
        <w:rPr>
          <w:rFonts w:ascii="Arial" w:hAnsi="Arial" w:eastAsia="Arial" w:cs="Arial"/>
          <w:b w:val="0"/>
          <w:bCs w:val="0"/>
          <w:noProof w:val="0"/>
          <w:color w:val="auto"/>
          <w:sz w:val="24"/>
          <w:szCs w:val="24"/>
          <w:lang w:val="en-GB"/>
        </w:rPr>
        <w:t xml:space="preserve"> the existing platform and content model, entering a dynamic new market, and implementing strategic adaptation through local partnerships.</w:t>
      </w:r>
    </w:p>
    <w:p w:rsidR="2869CCEC" w:rsidP="5C218C92" w:rsidRDefault="2869CCEC" w14:paraId="398A36C6" w14:textId="07B2C57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To operationalise Market Development in China, Netflix’s strategy must include:</w:t>
      </w:r>
    </w:p>
    <w:p w:rsidR="2869CCEC" w:rsidP="5C218C92" w:rsidRDefault="2869CCEC" w14:paraId="0DADFB4A" w14:textId="7E013632">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a) Joint Ventures or Partnerships</w:t>
      </w:r>
    </w:p>
    <w:p w:rsidR="2869CCEC" w:rsidP="5C218C92" w:rsidRDefault="2869CCEC" w14:paraId="61688A97" w14:textId="24DC40D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Due to regulatory restrictions on foreign media ownership, forming partnerships with established Chinese firms such as Tencent, Alibaba, or Baidu is essential</w:t>
      </w:r>
      <w:r w:rsidRPr="5C218C92" w:rsidR="1159C233">
        <w:rPr>
          <w:rFonts w:ascii="Arial" w:hAnsi="Arial" w:eastAsia="Arial" w:cs="Arial"/>
          <w:b w:val="0"/>
          <w:bCs w:val="0"/>
          <w:noProof w:val="0"/>
          <w:color w:val="auto"/>
          <w:sz w:val="24"/>
          <w:szCs w:val="24"/>
          <w:lang w:val="en-GB"/>
        </w:rPr>
        <w:t xml:space="preserve"> (Jia and </w:t>
      </w:r>
      <w:r w:rsidRPr="5C218C92" w:rsidR="1159C233">
        <w:rPr>
          <w:rFonts w:ascii="Arial" w:hAnsi="Arial" w:eastAsia="Arial" w:cs="Arial"/>
          <w:b w:val="0"/>
          <w:bCs w:val="0"/>
          <w:noProof w:val="0"/>
          <w:color w:val="auto"/>
          <w:sz w:val="24"/>
          <w:szCs w:val="24"/>
          <w:lang w:val="en-GB"/>
        </w:rPr>
        <w:t>Winseck</w:t>
      </w:r>
      <w:r w:rsidRPr="5C218C92" w:rsidR="1159C233">
        <w:rPr>
          <w:rFonts w:ascii="Arial" w:hAnsi="Arial" w:eastAsia="Arial" w:cs="Arial"/>
          <w:b w:val="0"/>
          <w:bCs w:val="0"/>
          <w:noProof w:val="0"/>
          <w:color w:val="auto"/>
          <w:sz w:val="24"/>
          <w:szCs w:val="24"/>
          <w:lang w:val="en-GB"/>
        </w:rPr>
        <w:t>,</w:t>
      </w:r>
      <w:r w:rsidRPr="5C218C92" w:rsidR="1159C233">
        <w:rPr>
          <w:rFonts w:ascii="Arial" w:hAnsi="Arial" w:eastAsia="Arial" w:cs="Arial"/>
          <w:b w:val="0"/>
          <w:bCs w:val="0"/>
          <w:noProof w:val="0"/>
          <w:color w:val="auto"/>
          <w:sz w:val="24"/>
          <w:szCs w:val="24"/>
          <w:lang w:val="en-GB"/>
        </w:rPr>
        <w:t xml:space="preserve"> 2018)</w:t>
      </w:r>
      <w:r w:rsidRPr="5C218C92" w:rsidR="2869CCEC">
        <w:rPr>
          <w:rFonts w:ascii="Arial" w:hAnsi="Arial" w:eastAsia="Arial" w:cs="Arial"/>
          <w:b w:val="0"/>
          <w:bCs w:val="0"/>
          <w:noProof w:val="0"/>
          <w:color w:val="auto"/>
          <w:sz w:val="24"/>
          <w:szCs w:val="24"/>
          <w:lang w:val="en-GB"/>
        </w:rPr>
        <w:t xml:space="preserve">. Such collaborations </w:t>
      </w:r>
      <w:r w:rsidRPr="5C218C92" w:rsidR="2869CCEC">
        <w:rPr>
          <w:rFonts w:ascii="Arial" w:hAnsi="Arial" w:eastAsia="Arial" w:cs="Arial"/>
          <w:b w:val="0"/>
          <w:bCs w:val="0"/>
          <w:noProof w:val="0"/>
          <w:color w:val="auto"/>
          <w:sz w:val="24"/>
          <w:szCs w:val="24"/>
          <w:lang w:val="en-GB"/>
        </w:rPr>
        <w:t>facilitate</w:t>
      </w:r>
      <w:r w:rsidRPr="5C218C92" w:rsidR="2869CCEC">
        <w:rPr>
          <w:rFonts w:ascii="Arial" w:hAnsi="Arial" w:eastAsia="Arial" w:cs="Arial"/>
          <w:b w:val="0"/>
          <w:bCs w:val="0"/>
          <w:noProof w:val="0"/>
          <w:color w:val="auto"/>
          <w:sz w:val="24"/>
          <w:szCs w:val="24"/>
          <w:lang w:val="en-GB"/>
        </w:rPr>
        <w:t xml:space="preserve"> licensing approvals, data localisation, and the integration of social networking features.</w:t>
      </w:r>
    </w:p>
    <w:p w:rsidR="2869CCEC" w:rsidP="5C218C92" w:rsidRDefault="2869CCEC" w14:paraId="1CD722DA" w14:textId="106EF7B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b) Local Content Production</w:t>
      </w:r>
    </w:p>
    <w:p w:rsidR="2869CCEC" w:rsidP="5C218C92" w:rsidRDefault="2869CCEC" w14:paraId="7A022276" w14:textId="5D29F309">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China’s entertainment sector is shaped by state priorities that emphasise “cultural confidence” and the promotion of socialist values</w:t>
      </w:r>
      <w:r w:rsidRPr="5C218C92" w:rsidR="5C9F2251">
        <w:rPr>
          <w:rFonts w:ascii="Arial" w:hAnsi="Arial" w:eastAsia="Arial" w:cs="Arial"/>
          <w:b w:val="0"/>
          <w:bCs w:val="0"/>
          <w:noProof w:val="0"/>
          <w:color w:val="auto"/>
          <w:sz w:val="24"/>
          <w:szCs w:val="24"/>
          <w:lang w:val="en-GB"/>
        </w:rPr>
        <w:t xml:space="preserve"> </w:t>
      </w:r>
      <w:r w:rsidRPr="5C218C92" w:rsidR="5C9F2251">
        <w:rPr>
          <w:rFonts w:ascii="Arial" w:hAnsi="Arial" w:eastAsia="Arial" w:cs="Arial"/>
          <w:b w:val="0"/>
          <w:bCs w:val="0"/>
          <w:noProof w:val="0"/>
          <w:color w:val="auto"/>
          <w:sz w:val="24"/>
          <w:szCs w:val="24"/>
          <w:lang w:val="en-GB"/>
        </w:rPr>
        <w:t>(</w:t>
      </w:r>
      <w:r w:rsidRPr="5C218C92" w:rsidR="5C9F2251">
        <w:rPr>
          <w:rFonts w:ascii="Arial" w:hAnsi="Arial" w:eastAsia="Arial" w:cs="Arial"/>
          <w:b w:val="0"/>
          <w:bCs w:val="0"/>
          <w:noProof w:val="0"/>
          <w:color w:val="auto"/>
          <w:sz w:val="24"/>
          <w:szCs w:val="24"/>
          <w:lang w:val="en-GB"/>
        </w:rPr>
        <w:t>Komisarof</w:t>
      </w:r>
      <w:r w:rsidRPr="5C218C92" w:rsidR="5C9F2251">
        <w:rPr>
          <w:rFonts w:ascii="Arial" w:hAnsi="Arial" w:eastAsia="Arial" w:cs="Arial"/>
          <w:b w:val="0"/>
          <w:bCs w:val="0"/>
          <w:noProof w:val="0"/>
          <w:color w:val="auto"/>
          <w:sz w:val="24"/>
          <w:szCs w:val="24"/>
          <w:lang w:val="en-GB"/>
        </w:rPr>
        <w:t xml:space="preserve"> and </w:t>
      </w:r>
      <w:r w:rsidRPr="5C218C92" w:rsidR="5C9F2251">
        <w:rPr>
          <w:rFonts w:ascii="Arial" w:hAnsi="Arial" w:eastAsia="Arial" w:cs="Arial"/>
          <w:b w:val="0"/>
          <w:bCs w:val="0"/>
          <w:noProof w:val="0"/>
          <w:color w:val="auto"/>
          <w:sz w:val="24"/>
          <w:szCs w:val="24"/>
          <w:lang w:val="en-GB"/>
        </w:rPr>
        <w:t>Akaliyski</w:t>
      </w:r>
      <w:r w:rsidRPr="5C218C92" w:rsidR="5C9F2251">
        <w:rPr>
          <w:rFonts w:ascii="Arial" w:hAnsi="Arial" w:eastAsia="Arial" w:cs="Arial"/>
          <w:b w:val="0"/>
          <w:bCs w:val="0"/>
          <w:noProof w:val="0"/>
          <w:color w:val="auto"/>
          <w:sz w:val="24"/>
          <w:szCs w:val="24"/>
          <w:lang w:val="en-GB"/>
        </w:rPr>
        <w:t xml:space="preserve"> , 2018)</w:t>
      </w:r>
      <w:r w:rsidRPr="5C218C92" w:rsidR="2869CCEC">
        <w:rPr>
          <w:rFonts w:ascii="Arial" w:hAnsi="Arial" w:eastAsia="Arial" w:cs="Arial"/>
          <w:b w:val="0"/>
          <w:bCs w:val="0"/>
          <w:noProof w:val="0"/>
          <w:color w:val="auto"/>
          <w:sz w:val="24"/>
          <w:szCs w:val="24"/>
          <w:lang w:val="en-GB"/>
        </w:rPr>
        <w:t xml:space="preserve">. Netflix should intentionally develop a Mandarin-language content portfolio through co-productions that align with these policy </w:t>
      </w:r>
      <w:r w:rsidRPr="5C218C92" w:rsidR="2869CCEC">
        <w:rPr>
          <w:rFonts w:ascii="Arial" w:hAnsi="Arial" w:eastAsia="Arial" w:cs="Arial"/>
          <w:b w:val="0"/>
          <w:bCs w:val="0"/>
          <w:noProof w:val="0"/>
          <w:color w:val="auto"/>
          <w:sz w:val="24"/>
          <w:szCs w:val="24"/>
          <w:lang w:val="en-GB"/>
        </w:rPr>
        <w:t>objectives</w:t>
      </w:r>
      <w:r w:rsidRPr="5C218C92" w:rsidR="2869CCEC">
        <w:rPr>
          <w:rFonts w:ascii="Arial" w:hAnsi="Arial" w:eastAsia="Arial" w:cs="Arial"/>
          <w:b w:val="0"/>
          <w:bCs w:val="0"/>
          <w:noProof w:val="0"/>
          <w:color w:val="auto"/>
          <w:sz w:val="24"/>
          <w:szCs w:val="24"/>
          <w:lang w:val="en-GB"/>
        </w:rPr>
        <w:t>.</w:t>
      </w:r>
    </w:p>
    <w:p w:rsidR="2869CCEC" w:rsidP="5C218C92" w:rsidRDefault="2869CCEC" w14:paraId="413B8B79" w14:textId="363C44C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c) Platform Adaptation</w:t>
      </w:r>
    </w:p>
    <w:p w:rsidR="2869CCEC" w:rsidP="5C218C92" w:rsidRDefault="2869CCEC" w14:paraId="6AE37E69" w14:textId="17C3EF1A">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The internal audit </w:t>
      </w:r>
      <w:r w:rsidRPr="5C218C92" w:rsidR="2869CCEC">
        <w:rPr>
          <w:rFonts w:ascii="Arial" w:hAnsi="Arial" w:eastAsia="Arial" w:cs="Arial"/>
          <w:b w:val="0"/>
          <w:bCs w:val="0"/>
          <w:noProof w:val="0"/>
          <w:color w:val="auto"/>
          <w:sz w:val="24"/>
          <w:szCs w:val="24"/>
          <w:lang w:val="en-GB"/>
        </w:rPr>
        <w:t>identified</w:t>
      </w:r>
      <w:r w:rsidRPr="5C218C92" w:rsidR="2869CCEC">
        <w:rPr>
          <w:rFonts w:ascii="Arial" w:hAnsi="Arial" w:eastAsia="Arial" w:cs="Arial"/>
          <w:b w:val="0"/>
          <w:bCs w:val="0"/>
          <w:noProof w:val="0"/>
          <w:color w:val="auto"/>
          <w:sz w:val="24"/>
          <w:szCs w:val="24"/>
          <w:lang w:val="en-GB"/>
        </w:rPr>
        <w:t xml:space="preserve"> a gap between Netflix’s platform and prevailing Chinese digital habits. The service should incorporate real-time comments (</w:t>
      </w:r>
      <w:r w:rsidRPr="5C218C92" w:rsidR="2869CCEC">
        <w:rPr>
          <w:rFonts w:ascii="Arial" w:hAnsi="Arial" w:eastAsia="Arial" w:cs="Arial"/>
          <w:b w:val="0"/>
          <w:bCs w:val="0"/>
          <w:noProof w:val="0"/>
          <w:color w:val="auto"/>
          <w:sz w:val="24"/>
          <w:szCs w:val="24"/>
          <w:lang w:val="en-GB"/>
        </w:rPr>
        <w:t>danmu</w:t>
      </w:r>
      <w:r w:rsidRPr="5C218C92" w:rsidR="2869CCEC">
        <w:rPr>
          <w:rFonts w:ascii="Arial" w:hAnsi="Arial" w:eastAsia="Arial" w:cs="Arial"/>
          <w:b w:val="0"/>
          <w:bCs w:val="0"/>
          <w:noProof w:val="0"/>
          <w:color w:val="auto"/>
          <w:sz w:val="24"/>
          <w:szCs w:val="24"/>
          <w:lang w:val="en-GB"/>
        </w:rPr>
        <w:t>), mobile-centric design, and integration with platforms such as WeChat and Douyin to ensure user adoption.</w:t>
      </w:r>
    </w:p>
    <w:p w:rsidR="2869CCEC" w:rsidP="5C218C92" w:rsidRDefault="2869CCEC" w14:paraId="574C599C" w14:textId="35F654B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4. Diversification (Limited Relevance but Supporting Strategy)</w:t>
      </w:r>
    </w:p>
    <w:p w:rsidR="2869CCEC" w:rsidP="5C218C92" w:rsidRDefault="2869CCEC" w14:paraId="788861E0" w14:textId="01EAF9A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Diversification into gaming or live entertainment, although not a primary strategy, is important for enhancing long-term competitiveness within China’s cross-platform ecosystem. These initiatives should be implemented after market development has been </w:t>
      </w:r>
      <w:r w:rsidRPr="5C218C92" w:rsidR="2869CCEC">
        <w:rPr>
          <w:rFonts w:ascii="Arial" w:hAnsi="Arial" w:eastAsia="Arial" w:cs="Arial"/>
          <w:b w:val="0"/>
          <w:bCs w:val="0"/>
          <w:noProof w:val="0"/>
          <w:color w:val="auto"/>
          <w:sz w:val="24"/>
          <w:szCs w:val="24"/>
          <w:lang w:val="en-GB"/>
        </w:rPr>
        <w:t>established</w:t>
      </w:r>
      <w:r w:rsidRPr="5C218C92" w:rsidR="2869CCEC">
        <w:rPr>
          <w:rFonts w:ascii="Arial" w:hAnsi="Arial" w:eastAsia="Arial" w:cs="Arial"/>
          <w:b w:val="0"/>
          <w:bCs w:val="0"/>
          <w:noProof w:val="0"/>
          <w:color w:val="auto"/>
          <w:sz w:val="24"/>
          <w:szCs w:val="24"/>
          <w:lang w:val="en-GB"/>
        </w:rPr>
        <w:t>.</w:t>
      </w:r>
    </w:p>
    <w:p w:rsidR="2869CCEC" w:rsidP="5C218C92" w:rsidRDefault="2869CCEC" w14:paraId="53AEBF62" w14:textId="500639D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Recommended Strategy: Market Development with Localised Product Adaptation</w:t>
      </w:r>
    </w:p>
    <w:p w:rsidR="2869CCEC" w:rsidP="5C218C92" w:rsidRDefault="2869CCEC" w14:paraId="345D6C11" w14:textId="598AFE6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 xml:space="preserve">The internal audit and Ansoff framework </w:t>
      </w:r>
      <w:r w:rsidRPr="5C218C92" w:rsidR="2869CCEC">
        <w:rPr>
          <w:rFonts w:ascii="Arial" w:hAnsi="Arial" w:eastAsia="Arial" w:cs="Arial"/>
          <w:b w:val="0"/>
          <w:bCs w:val="0"/>
          <w:noProof w:val="0"/>
          <w:color w:val="auto"/>
          <w:sz w:val="24"/>
          <w:szCs w:val="24"/>
          <w:lang w:val="en-GB"/>
        </w:rPr>
        <w:t>indicate</w:t>
      </w:r>
      <w:r w:rsidRPr="5C218C92" w:rsidR="2869CCEC">
        <w:rPr>
          <w:rFonts w:ascii="Arial" w:hAnsi="Arial" w:eastAsia="Arial" w:cs="Arial"/>
          <w:b w:val="0"/>
          <w:bCs w:val="0"/>
          <w:noProof w:val="0"/>
          <w:color w:val="auto"/>
          <w:sz w:val="24"/>
          <w:szCs w:val="24"/>
          <w:lang w:val="en-GB"/>
        </w:rPr>
        <w:t xml:space="preserve"> that Market Development, supported by targeted local product adaptation, is the recommended strategy. This approach directly addresses key challenges, including regulatory barriers, the need for content and algorithm localisation, forming alliances with domestic platforms, accommodating social-driven consumption patterns, and adapting Netflix’s platform for Chinese users.</w:t>
      </w:r>
    </w:p>
    <w:p w:rsidR="2869CCEC" w:rsidP="5C218C92" w:rsidRDefault="2869CCEC" w14:paraId="36B346B3" w14:textId="7B909C2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The recommended approach is therefore:</w:t>
      </w:r>
    </w:p>
    <w:p w:rsidR="2869CCEC" w:rsidP="5C218C92" w:rsidRDefault="2869CCEC" w14:paraId="1F617840" w14:textId="09C059BB">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69CCEC">
        <w:rPr>
          <w:rFonts w:ascii="Arial" w:hAnsi="Arial" w:eastAsia="Arial" w:cs="Arial"/>
          <w:b w:val="0"/>
          <w:bCs w:val="0"/>
          <w:noProof w:val="0"/>
          <w:color w:val="auto"/>
          <w:sz w:val="24"/>
          <w:szCs w:val="24"/>
          <w:lang w:val="en-GB"/>
        </w:rPr>
        <w:t>First, Netflix should enter China through a joint venture as part of a Market Development strategy</w:t>
      </w:r>
      <w:r w:rsidRPr="5C218C92" w:rsidR="661E0A73">
        <w:rPr>
          <w:rFonts w:ascii="Arial" w:hAnsi="Arial" w:eastAsia="Arial" w:cs="Arial"/>
          <w:b w:val="0"/>
          <w:bCs w:val="0"/>
          <w:noProof w:val="0"/>
          <w:color w:val="auto"/>
          <w:sz w:val="24"/>
          <w:szCs w:val="24"/>
          <w:lang w:val="en-GB"/>
        </w:rPr>
        <w:t xml:space="preserve"> (Kokas, 2020)</w:t>
      </w:r>
      <w:r w:rsidRPr="5C218C92" w:rsidR="2869CCEC">
        <w:rPr>
          <w:rFonts w:ascii="Arial" w:hAnsi="Arial" w:eastAsia="Arial" w:cs="Arial"/>
          <w:b w:val="0"/>
          <w:bCs w:val="0"/>
          <w:noProof w:val="0"/>
          <w:color w:val="auto"/>
          <w:sz w:val="24"/>
          <w:szCs w:val="24"/>
          <w:lang w:val="en-GB"/>
        </w:rPr>
        <w:t xml:space="preserve">. Second, this entry should be supported by localised product adaptation, ensuring that both platform and content offerings meet China’s cultural, regulatory, and technological requirements. These two steps directly address Netflix’s strategic challenges in the Chinese market. This approach </w:t>
      </w:r>
      <w:r w:rsidRPr="5C218C92" w:rsidR="2869CCEC">
        <w:rPr>
          <w:rFonts w:ascii="Arial" w:hAnsi="Arial" w:eastAsia="Arial" w:cs="Arial"/>
          <w:b w:val="0"/>
          <w:bCs w:val="0"/>
          <w:noProof w:val="0"/>
          <w:color w:val="auto"/>
          <w:sz w:val="24"/>
          <w:szCs w:val="24"/>
          <w:lang w:val="en-GB"/>
        </w:rPr>
        <w:t>leverages</w:t>
      </w:r>
      <w:r w:rsidRPr="5C218C92" w:rsidR="2869CCEC">
        <w:rPr>
          <w:rFonts w:ascii="Arial" w:hAnsi="Arial" w:eastAsia="Arial" w:cs="Arial"/>
          <w:b w:val="0"/>
          <w:bCs w:val="0"/>
          <w:noProof w:val="0"/>
          <w:color w:val="auto"/>
          <w:sz w:val="24"/>
          <w:szCs w:val="24"/>
          <w:lang w:val="en-GB"/>
        </w:rPr>
        <w:t xml:space="preserve"> Netflix’s internal strengths while recognising the realities of China’s external environment, positioning the company for sustainable long-term growth.</w:t>
      </w:r>
    </w:p>
    <w:p w:rsidR="65BDDD82" w:rsidP="5C218C92" w:rsidRDefault="65BDDD82" w14:paraId="21697423" w14:textId="6541CDF4">
      <w:pPr>
        <w:pStyle w:val="Heading1"/>
        <w:rPr>
          <w:rFonts w:ascii="Arial" w:hAnsi="Arial" w:eastAsia="Arial" w:cs="Arial"/>
          <w:b w:val="0"/>
          <w:bCs w:val="0"/>
          <w:noProof w:val="0"/>
          <w:color w:val="auto"/>
          <w:sz w:val="24"/>
          <w:szCs w:val="24"/>
          <w:lang w:val="en-GB"/>
        </w:rPr>
      </w:pPr>
      <w:bookmarkStart w:name="_Toc293407855" w:id="1305252833"/>
      <w:r w:rsidRPr="5C218C92" w:rsidR="65BDDD82">
        <w:rPr>
          <w:noProof w:val="0"/>
          <w:lang w:val="en-GB"/>
        </w:rPr>
        <w:t>Strategy implementation</w:t>
      </w:r>
      <w:bookmarkEnd w:id="1305252833"/>
    </w:p>
    <w:p w:rsidR="5F0D2841" w:rsidP="5C218C92" w:rsidRDefault="5F0D2841" w14:paraId="71275F04" w14:textId="6ACB75D0">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 xml:space="preserve">To </w:t>
      </w:r>
      <w:r w:rsidRPr="5C218C92" w:rsidR="5F0D2841">
        <w:rPr>
          <w:rFonts w:ascii="Arial" w:hAnsi="Arial" w:eastAsia="Arial" w:cs="Arial"/>
          <w:b w:val="0"/>
          <w:bCs w:val="0"/>
          <w:noProof w:val="0"/>
          <w:color w:val="auto"/>
          <w:sz w:val="24"/>
          <w:szCs w:val="24"/>
          <w:lang w:val="en-GB"/>
        </w:rPr>
        <w:t>establish</w:t>
      </w:r>
      <w:r w:rsidRPr="5C218C92" w:rsidR="5F0D2841">
        <w:rPr>
          <w:rFonts w:ascii="Arial" w:hAnsi="Arial" w:eastAsia="Arial" w:cs="Arial"/>
          <w:b w:val="0"/>
          <w:bCs w:val="0"/>
          <w:noProof w:val="0"/>
          <w:color w:val="auto"/>
          <w:sz w:val="24"/>
          <w:szCs w:val="24"/>
          <w:lang w:val="en-GB"/>
        </w:rPr>
        <w:t xml:space="preserve"> strategic partnerships and joint ventures, Netflix must assess potential partners for regulatory access, content assets, and platform strength</w:t>
      </w:r>
      <w:r w:rsidRPr="5C218C92" w:rsidR="3FB519F1">
        <w:rPr>
          <w:rFonts w:ascii="Arial" w:hAnsi="Arial" w:eastAsia="Arial" w:cs="Arial"/>
          <w:b w:val="0"/>
          <w:bCs w:val="0"/>
          <w:noProof w:val="0"/>
          <w:color w:val="auto"/>
          <w:sz w:val="24"/>
          <w:szCs w:val="24"/>
          <w:lang w:val="en-GB"/>
        </w:rPr>
        <w:t>.</w:t>
      </w:r>
      <w:r w:rsidRPr="5C218C92" w:rsidR="5F0D2841">
        <w:rPr>
          <w:rFonts w:ascii="Arial" w:hAnsi="Arial" w:eastAsia="Arial" w:cs="Arial"/>
          <w:b w:val="0"/>
          <w:bCs w:val="0"/>
          <w:noProof w:val="0"/>
          <w:color w:val="auto"/>
          <w:sz w:val="24"/>
          <w:szCs w:val="24"/>
          <w:lang w:val="en-GB"/>
        </w:rPr>
        <w:t xml:space="preserve"> </w:t>
      </w:r>
      <w:r w:rsidRPr="5C218C92" w:rsidR="5F0D2841">
        <w:rPr>
          <w:rFonts w:ascii="Arial" w:hAnsi="Arial" w:eastAsia="Arial" w:cs="Arial"/>
          <w:b w:val="0"/>
          <w:bCs w:val="0"/>
          <w:noProof w:val="0"/>
          <w:color w:val="auto"/>
          <w:sz w:val="24"/>
          <w:szCs w:val="24"/>
          <w:lang w:val="en-GB"/>
        </w:rPr>
        <w:t xml:space="preserve">After </w:t>
      </w:r>
      <w:r w:rsidRPr="5C218C92" w:rsidR="5F0D2841">
        <w:rPr>
          <w:rFonts w:ascii="Arial" w:hAnsi="Arial" w:eastAsia="Arial" w:cs="Arial"/>
          <w:b w:val="0"/>
          <w:bCs w:val="0"/>
          <w:noProof w:val="0"/>
          <w:color w:val="auto"/>
          <w:sz w:val="24"/>
          <w:szCs w:val="24"/>
          <w:lang w:val="en-GB"/>
        </w:rPr>
        <w:t>identifying</w:t>
      </w:r>
      <w:r w:rsidRPr="5C218C92" w:rsidR="5F0D2841">
        <w:rPr>
          <w:rFonts w:ascii="Arial" w:hAnsi="Arial" w:eastAsia="Arial" w:cs="Arial"/>
          <w:b w:val="0"/>
          <w:bCs w:val="0"/>
          <w:noProof w:val="0"/>
          <w:color w:val="auto"/>
          <w:sz w:val="24"/>
          <w:szCs w:val="24"/>
          <w:lang w:val="en-GB"/>
        </w:rPr>
        <w:t xml:space="preserve"> suitable partners, negotiations</w:t>
      </w:r>
      <w:r w:rsidRPr="5C218C92" w:rsidR="5F0D2841">
        <w:rPr>
          <w:rFonts w:ascii="Arial" w:hAnsi="Arial" w:eastAsia="Arial" w:cs="Arial"/>
          <w:b w:val="0"/>
          <w:bCs w:val="0"/>
          <w:noProof w:val="0"/>
          <w:color w:val="auto"/>
          <w:sz w:val="24"/>
          <w:szCs w:val="24"/>
          <w:lang w:val="en-GB"/>
        </w:rPr>
        <w:t xml:space="preserve"> should address ownership, data control, content rights, and profit-sharing</w:t>
      </w:r>
      <w:r w:rsidRPr="5C218C92" w:rsidR="51C5DDCD">
        <w:rPr>
          <w:rFonts w:ascii="Arial" w:hAnsi="Arial" w:eastAsia="Arial" w:cs="Arial"/>
          <w:b w:val="0"/>
          <w:bCs w:val="0"/>
          <w:noProof w:val="0"/>
          <w:color w:val="auto"/>
          <w:sz w:val="24"/>
          <w:szCs w:val="24"/>
          <w:lang w:val="en-GB"/>
        </w:rPr>
        <w:t xml:space="preserve"> (Kokas, 2020)</w:t>
      </w:r>
      <w:r w:rsidRPr="5C218C92" w:rsidR="5F0D2841">
        <w:rPr>
          <w:rFonts w:ascii="Arial" w:hAnsi="Arial" w:eastAsia="Arial" w:cs="Arial"/>
          <w:b w:val="0"/>
          <w:bCs w:val="0"/>
          <w:noProof w:val="0"/>
          <w:color w:val="auto"/>
          <w:sz w:val="24"/>
          <w:szCs w:val="24"/>
          <w:lang w:val="en-GB"/>
        </w:rPr>
        <w:t xml:space="preserve">. A joint governance structure combining Netflix leadership with a local board will ensure informed, collaborative decisions that respect local insights. </w:t>
      </w:r>
    </w:p>
    <w:p w:rsidR="5F0D2841" w:rsidP="5C218C92" w:rsidRDefault="5F0D2841" w14:paraId="70F55B7F" w14:textId="21236773">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 xml:space="preserve">Moving forward, Netflix needs to prioritise regulatory alignment and compliance. It is essential to </w:t>
      </w:r>
      <w:r w:rsidRPr="5C218C92" w:rsidR="5F0D2841">
        <w:rPr>
          <w:rFonts w:ascii="Arial" w:hAnsi="Arial" w:eastAsia="Arial" w:cs="Arial"/>
          <w:b w:val="0"/>
          <w:bCs w:val="0"/>
          <w:noProof w:val="0"/>
          <w:color w:val="auto"/>
          <w:sz w:val="24"/>
          <w:szCs w:val="24"/>
          <w:lang w:val="en-GB"/>
        </w:rPr>
        <w:t>establish</w:t>
      </w:r>
      <w:r w:rsidRPr="5C218C92" w:rsidR="5F0D2841">
        <w:rPr>
          <w:rFonts w:ascii="Arial" w:hAnsi="Arial" w:eastAsia="Arial" w:cs="Arial"/>
          <w:b w:val="0"/>
          <w:bCs w:val="0"/>
          <w:noProof w:val="0"/>
          <w:color w:val="auto"/>
          <w:sz w:val="24"/>
          <w:szCs w:val="24"/>
          <w:lang w:val="en-GB"/>
        </w:rPr>
        <w:t xml:space="preserve"> a Regulatory Compliance Office within the China joint venture to ensure compliance with stringent regulations issued by authorities such as the National Radio and Television Administration (NRTA) and the Cyberspace Administration of China (CAC)</w:t>
      </w:r>
      <w:r w:rsidRPr="5C218C92" w:rsidR="776564D2">
        <w:rPr>
          <w:rFonts w:ascii="Arial" w:hAnsi="Arial" w:eastAsia="Arial" w:cs="Arial"/>
          <w:b w:val="0"/>
          <w:bCs w:val="0"/>
          <w:noProof w:val="0"/>
          <w:color w:val="auto"/>
          <w:sz w:val="24"/>
          <w:szCs w:val="24"/>
          <w:lang w:val="en-GB"/>
        </w:rPr>
        <w:t xml:space="preserve"> (Kokas, 2020)</w:t>
      </w:r>
      <w:r w:rsidRPr="5C218C92" w:rsidR="5F0D2841">
        <w:rPr>
          <w:rFonts w:ascii="Arial" w:hAnsi="Arial" w:eastAsia="Arial" w:cs="Arial"/>
          <w:b w:val="0"/>
          <w:bCs w:val="0"/>
          <w:noProof w:val="0"/>
          <w:color w:val="auto"/>
          <w:sz w:val="24"/>
          <w:szCs w:val="24"/>
          <w:lang w:val="en-GB"/>
        </w:rPr>
        <w:t xml:space="preserve">. A dedicated content review team will be formed to screen productions in line with NRTA requirements. Additionally, it is vital to ensure that user data is stored on local servers and processed </w:t>
      </w:r>
      <w:r w:rsidRPr="5C218C92" w:rsidR="5F0D2841">
        <w:rPr>
          <w:rFonts w:ascii="Arial" w:hAnsi="Arial" w:eastAsia="Arial" w:cs="Arial"/>
          <w:b w:val="0"/>
          <w:bCs w:val="0"/>
          <w:noProof w:val="0"/>
          <w:color w:val="auto"/>
          <w:sz w:val="24"/>
          <w:szCs w:val="24"/>
          <w:lang w:val="en-GB"/>
        </w:rPr>
        <w:t>in accordance with</w:t>
      </w:r>
      <w:r w:rsidRPr="5C218C92" w:rsidR="5F0D2841">
        <w:rPr>
          <w:rFonts w:ascii="Arial" w:hAnsi="Arial" w:eastAsia="Arial" w:cs="Arial"/>
          <w:b w:val="0"/>
          <w:bCs w:val="0"/>
          <w:noProof w:val="0"/>
          <w:color w:val="auto"/>
          <w:sz w:val="24"/>
          <w:szCs w:val="24"/>
          <w:lang w:val="en-GB"/>
        </w:rPr>
        <w:t xml:space="preserve"> China's data sovereignty laws, while algorithms must be adapted to align with cultural and political norms, avoiding themes that could be </w:t>
      </w:r>
      <w:r w:rsidRPr="5C218C92" w:rsidR="5F0D2841">
        <w:rPr>
          <w:rFonts w:ascii="Arial" w:hAnsi="Arial" w:eastAsia="Arial" w:cs="Arial"/>
          <w:b w:val="0"/>
          <w:bCs w:val="0"/>
          <w:noProof w:val="0"/>
          <w:color w:val="auto"/>
          <w:sz w:val="24"/>
          <w:szCs w:val="24"/>
          <w:lang w:val="en-GB"/>
        </w:rPr>
        <w:t>deemed</w:t>
      </w:r>
      <w:r w:rsidRPr="5C218C92" w:rsidR="5F0D2841">
        <w:rPr>
          <w:rFonts w:ascii="Arial" w:hAnsi="Arial" w:eastAsia="Arial" w:cs="Arial"/>
          <w:b w:val="0"/>
          <w:bCs w:val="0"/>
          <w:noProof w:val="0"/>
          <w:color w:val="auto"/>
          <w:sz w:val="24"/>
          <w:szCs w:val="24"/>
          <w:lang w:val="en-GB"/>
        </w:rPr>
        <w:t xml:space="preserve"> unacceptable</w:t>
      </w:r>
      <w:r w:rsidRPr="5C218C92" w:rsidR="1800B297">
        <w:rPr>
          <w:rFonts w:ascii="Arial" w:hAnsi="Arial" w:eastAsia="Arial" w:cs="Arial"/>
          <w:b w:val="0"/>
          <w:bCs w:val="0"/>
          <w:noProof w:val="0"/>
          <w:color w:val="auto"/>
          <w:sz w:val="24"/>
          <w:szCs w:val="24"/>
          <w:lang w:val="en-GB"/>
        </w:rPr>
        <w:t xml:space="preserve"> (</w:t>
      </w:r>
      <w:r w:rsidRPr="5C218C92" w:rsidR="1800B297">
        <w:rPr>
          <w:rFonts w:ascii="Arial" w:hAnsi="Arial" w:eastAsia="Arial" w:cs="Arial"/>
          <w:b w:val="0"/>
          <w:bCs w:val="0"/>
          <w:noProof w:val="0"/>
          <w:color w:val="auto"/>
          <w:sz w:val="24"/>
          <w:szCs w:val="24"/>
          <w:lang w:val="en-GB"/>
        </w:rPr>
        <w:t xml:space="preserve">Lin, </w:t>
      </w:r>
      <w:r w:rsidRPr="5C218C92" w:rsidR="1800B297">
        <w:rPr>
          <w:rFonts w:ascii="Arial" w:hAnsi="Arial" w:eastAsia="Arial" w:cs="Arial"/>
          <w:b w:val="0"/>
          <w:bCs w:val="0"/>
          <w:i w:val="1"/>
          <w:iCs w:val="1"/>
          <w:noProof w:val="0"/>
          <w:color w:val="auto"/>
          <w:sz w:val="24"/>
          <w:szCs w:val="24"/>
          <w:lang w:val="en-GB"/>
        </w:rPr>
        <w:t>et al.</w:t>
      </w:r>
      <w:r w:rsidRPr="5C218C92" w:rsidR="1800B297">
        <w:rPr>
          <w:rFonts w:ascii="Arial" w:hAnsi="Arial" w:eastAsia="Arial" w:cs="Arial"/>
          <w:b w:val="0"/>
          <w:bCs w:val="0"/>
          <w:noProof w:val="0"/>
          <w:color w:val="auto"/>
          <w:sz w:val="24"/>
          <w:szCs w:val="24"/>
          <w:lang w:val="en-GB"/>
        </w:rPr>
        <w:t xml:space="preserve"> 2020)</w:t>
      </w:r>
      <w:r w:rsidRPr="5C218C92" w:rsidR="5F0D2841">
        <w:rPr>
          <w:rFonts w:ascii="Arial" w:hAnsi="Arial" w:eastAsia="Arial" w:cs="Arial"/>
          <w:b w:val="0"/>
          <w:bCs w:val="0"/>
          <w:noProof w:val="0"/>
          <w:color w:val="auto"/>
          <w:sz w:val="24"/>
          <w:szCs w:val="24"/>
          <w:lang w:val="en-GB"/>
        </w:rPr>
        <w:t>.</w:t>
      </w:r>
    </w:p>
    <w:p w:rsidR="5F0D2841" w:rsidP="5C218C92" w:rsidRDefault="5F0D2841" w14:paraId="6BB3EBD6" w14:textId="0A261B11">
      <w:pPr>
        <w:pStyle w:val="Normal"/>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To effectively meet the demands of the Chinese market, Netflix must foster a local content production and co-creation ecosystem</w:t>
      </w:r>
      <w:r w:rsidRPr="5C218C92" w:rsidR="4694FBD3">
        <w:rPr>
          <w:rFonts w:ascii="Arial" w:hAnsi="Arial" w:eastAsia="Arial" w:cs="Arial"/>
          <w:b w:val="0"/>
          <w:bCs w:val="0"/>
          <w:noProof w:val="0"/>
          <w:color w:val="auto"/>
          <w:sz w:val="24"/>
          <w:szCs w:val="24"/>
          <w:lang w:val="en-GB"/>
        </w:rPr>
        <w:t xml:space="preserve"> (</w:t>
      </w:r>
      <w:r w:rsidRPr="5C218C92" w:rsidR="4694FBD3">
        <w:rPr>
          <w:rFonts w:ascii="Arial" w:hAnsi="Arial" w:eastAsia="Arial" w:cs="Arial"/>
          <w:b w:val="0"/>
          <w:bCs w:val="0"/>
          <w:i w:val="0"/>
          <w:iCs w:val="0"/>
          <w:caps w:val="0"/>
          <w:smallCaps w:val="0"/>
          <w:noProof w:val="0"/>
          <w:color w:val="auto"/>
          <w:sz w:val="24"/>
          <w:szCs w:val="24"/>
          <w:lang w:val="en-GB"/>
        </w:rPr>
        <w:t>Frater, and Ramachandran, 2018)</w:t>
      </w:r>
      <w:r w:rsidRPr="5C218C92" w:rsidR="5F0D2841">
        <w:rPr>
          <w:rFonts w:ascii="Arial" w:hAnsi="Arial" w:eastAsia="Arial" w:cs="Arial"/>
          <w:b w:val="0"/>
          <w:bCs w:val="0"/>
          <w:noProof w:val="0"/>
          <w:color w:val="auto"/>
          <w:sz w:val="24"/>
          <w:szCs w:val="24"/>
          <w:lang w:val="en-GB"/>
        </w:rPr>
        <w:t xml:space="preserve">. This involves partnering with Chinese studios, screenwriters, and production houses to develop original Mandarin series and films, thereby creating a “Netflix Originals China” label under joint venture oversight. Investing in talent development initiatives, script incubators, and regional production hubs will further enhance content creation. Utilising localised, regulated data analytics will help </w:t>
      </w:r>
      <w:r w:rsidRPr="5C218C92" w:rsidR="5F0D2841">
        <w:rPr>
          <w:rFonts w:ascii="Arial" w:hAnsi="Arial" w:eastAsia="Arial" w:cs="Arial"/>
          <w:b w:val="0"/>
          <w:bCs w:val="0"/>
          <w:noProof w:val="0"/>
          <w:color w:val="auto"/>
          <w:sz w:val="24"/>
          <w:szCs w:val="24"/>
          <w:lang w:val="en-GB"/>
        </w:rPr>
        <w:t>identify</w:t>
      </w:r>
      <w:r w:rsidRPr="5C218C92" w:rsidR="5F0D2841">
        <w:rPr>
          <w:rFonts w:ascii="Arial" w:hAnsi="Arial" w:eastAsia="Arial" w:cs="Arial"/>
          <w:b w:val="0"/>
          <w:bCs w:val="0"/>
          <w:noProof w:val="0"/>
          <w:color w:val="auto"/>
          <w:sz w:val="24"/>
          <w:szCs w:val="24"/>
          <w:lang w:val="en-GB"/>
        </w:rPr>
        <w:t xml:space="preserve"> genre preferences, such as historical dramas, youth romance, and variety shows, ensuring the content is culturally resonant.</w:t>
      </w:r>
    </w:p>
    <w:p w:rsidR="5F0D2841" w:rsidP="5C218C92" w:rsidRDefault="5F0D2841" w14:paraId="3B295708" w14:textId="3EDD084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 xml:space="preserve">Netflix’s internal audit shows its global platform lacks features essential for China’s digital ecosystem. The interface should be re-engineered to include </w:t>
      </w:r>
      <w:r w:rsidRPr="5C218C92" w:rsidR="5F0D2841">
        <w:rPr>
          <w:rFonts w:ascii="Arial" w:hAnsi="Arial" w:eastAsia="Arial" w:cs="Arial"/>
          <w:b w:val="0"/>
          <w:bCs w:val="0"/>
          <w:noProof w:val="0"/>
          <w:color w:val="auto"/>
          <w:sz w:val="24"/>
          <w:szCs w:val="24"/>
          <w:lang w:val="en-GB"/>
        </w:rPr>
        <w:t>danmu</w:t>
      </w:r>
      <w:r w:rsidRPr="5C218C92" w:rsidR="5F0D2841">
        <w:rPr>
          <w:rFonts w:ascii="Arial" w:hAnsi="Arial" w:eastAsia="Arial" w:cs="Arial"/>
          <w:b w:val="0"/>
          <w:bCs w:val="0"/>
          <w:noProof w:val="0"/>
          <w:color w:val="auto"/>
          <w:sz w:val="24"/>
          <w:szCs w:val="24"/>
          <w:lang w:val="en-GB"/>
        </w:rPr>
        <w:t xml:space="preserve"> commentary, discussion spaces, and personalised homepages for Chinese users. Integrating WeChat Pay, Alipay, and a mobile-first interface is necessary. A localisation engineering team in Shanghai or Shenzhen will support ongoing adaptation.</w:t>
      </w:r>
    </w:p>
    <w:p w:rsidR="5F0D2841" w:rsidP="5C218C92" w:rsidRDefault="5F0D2841" w14:paraId="01D42569" w14:textId="5A631F37">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 xml:space="preserve">For effective implementation, Netflix should reorganise by creating a China Strategy and Operations Unit within the Asia-Pacific segment, appointing bilingual managers with experience in the Chinese digital industry, adapting HR practices to </w:t>
      </w:r>
      <w:r w:rsidRPr="5C218C92" w:rsidR="5F0D2841">
        <w:rPr>
          <w:rFonts w:ascii="Arial" w:hAnsi="Arial" w:eastAsia="Arial" w:cs="Arial"/>
          <w:b w:val="0"/>
          <w:bCs w:val="0"/>
          <w:noProof w:val="0"/>
          <w:color w:val="auto"/>
          <w:sz w:val="24"/>
          <w:szCs w:val="24"/>
          <w:lang w:val="en-GB"/>
        </w:rPr>
        <w:t>comply with</w:t>
      </w:r>
      <w:r w:rsidRPr="5C218C92" w:rsidR="5F0D2841">
        <w:rPr>
          <w:rFonts w:ascii="Arial" w:hAnsi="Arial" w:eastAsia="Arial" w:cs="Arial"/>
          <w:b w:val="0"/>
          <w:bCs w:val="0"/>
          <w:noProof w:val="0"/>
          <w:color w:val="auto"/>
          <w:sz w:val="24"/>
          <w:szCs w:val="24"/>
          <w:lang w:val="en-GB"/>
        </w:rPr>
        <w:t xml:space="preserve"> Chinese regulations, and developing cross-cultural training for global teams collaborating with Chinese partners. </w:t>
      </w:r>
    </w:p>
    <w:p w:rsidR="5F0D2841" w:rsidP="5C218C92" w:rsidRDefault="5F0D2841" w14:paraId="65FC5F81" w14:textId="3E83766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5F0D2841">
        <w:rPr>
          <w:rFonts w:ascii="Arial" w:hAnsi="Arial" w:eastAsia="Arial" w:cs="Arial"/>
          <w:b w:val="0"/>
          <w:bCs w:val="0"/>
          <w:noProof w:val="0"/>
          <w:color w:val="auto"/>
          <w:sz w:val="24"/>
          <w:szCs w:val="24"/>
          <w:lang w:val="en-GB"/>
        </w:rPr>
        <w:t xml:space="preserve">Netflix's marketing approach in China must be culturally nuanced and platform-specific, including campaigns on Weibo, Douyin, and </w:t>
      </w:r>
      <w:r w:rsidRPr="5C218C92" w:rsidR="5F0D2841">
        <w:rPr>
          <w:rFonts w:ascii="Arial" w:hAnsi="Arial" w:eastAsia="Arial" w:cs="Arial"/>
          <w:b w:val="0"/>
          <w:bCs w:val="0"/>
          <w:noProof w:val="0"/>
          <w:color w:val="auto"/>
          <w:sz w:val="24"/>
          <w:szCs w:val="24"/>
          <w:lang w:val="en-GB"/>
        </w:rPr>
        <w:t>Bilibili</w:t>
      </w:r>
      <w:r w:rsidRPr="5C218C92" w:rsidR="5F0D2841">
        <w:rPr>
          <w:rFonts w:ascii="Arial" w:hAnsi="Arial" w:eastAsia="Arial" w:cs="Arial"/>
          <w:b w:val="0"/>
          <w:bCs w:val="0"/>
          <w:noProof w:val="0"/>
          <w:color w:val="auto"/>
          <w:sz w:val="24"/>
          <w:szCs w:val="24"/>
          <w:lang w:val="en-GB"/>
        </w:rPr>
        <w:t xml:space="preserve">, as well as influencer collaborations. These efforts </w:t>
      </w:r>
      <w:r w:rsidRPr="5C218C92" w:rsidR="5F0D2841">
        <w:rPr>
          <w:rFonts w:ascii="Arial" w:hAnsi="Arial" w:eastAsia="Arial" w:cs="Arial"/>
          <w:b w:val="0"/>
          <w:bCs w:val="0"/>
          <w:noProof w:val="0"/>
          <w:color w:val="auto"/>
          <w:sz w:val="24"/>
          <w:szCs w:val="24"/>
          <w:lang w:val="en-GB"/>
        </w:rPr>
        <w:t>demonstrate</w:t>
      </w:r>
      <w:r w:rsidRPr="5C218C92" w:rsidR="5F0D2841">
        <w:rPr>
          <w:rFonts w:ascii="Arial" w:hAnsi="Arial" w:eastAsia="Arial" w:cs="Arial"/>
          <w:b w:val="0"/>
          <w:bCs w:val="0"/>
          <w:noProof w:val="0"/>
          <w:color w:val="auto"/>
          <w:sz w:val="24"/>
          <w:szCs w:val="24"/>
          <w:lang w:val="en-GB"/>
        </w:rPr>
        <w:t xml:space="preserve"> Netflix’s commitment to local engagement and support its success in China.</w:t>
      </w:r>
    </w:p>
    <w:p w:rsidR="3107EA52" w:rsidP="5C218C92" w:rsidRDefault="3107EA52" w14:paraId="68E87420" w14:textId="6AD77A90">
      <w:pPr>
        <w:pStyle w:val="Heading1"/>
        <w:rPr>
          <w:rFonts w:ascii="Arial" w:hAnsi="Arial" w:eastAsia="Arial" w:cs="Arial"/>
          <w:b w:val="0"/>
          <w:bCs w:val="0"/>
          <w:noProof w:val="0"/>
          <w:color w:val="auto"/>
          <w:sz w:val="24"/>
          <w:szCs w:val="24"/>
          <w:lang w:val="en-GB"/>
        </w:rPr>
      </w:pPr>
      <w:bookmarkStart w:name="_Toc1810595694" w:id="424263807"/>
      <w:r w:rsidRPr="5C218C92" w:rsidR="3107EA52">
        <w:rPr>
          <w:noProof w:val="0"/>
          <w:lang w:val="en-GB"/>
        </w:rPr>
        <w:t>Financial Plan</w:t>
      </w:r>
      <w:bookmarkEnd w:id="424263807"/>
      <w:r w:rsidRPr="5C218C92" w:rsidR="3107EA52">
        <w:rPr>
          <w:noProof w:val="0"/>
          <w:lang w:val="en-GB"/>
        </w:rPr>
        <w:t xml:space="preserve"> </w:t>
      </w:r>
    </w:p>
    <w:p w:rsidR="3107EA52" w:rsidP="5C218C92" w:rsidRDefault="3107EA52" w14:paraId="067B9319" w14:textId="12CB02A0">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A robust financial plan is essential to ensure that Netflix’s entry into the Chinese market is both strategically </w:t>
      </w:r>
      <w:r w:rsidRPr="5C218C92" w:rsidR="3107EA52">
        <w:rPr>
          <w:rFonts w:ascii="Arial" w:hAnsi="Arial" w:eastAsia="Arial" w:cs="Arial"/>
          <w:b w:val="0"/>
          <w:bCs w:val="0"/>
          <w:noProof w:val="0"/>
          <w:color w:val="auto"/>
          <w:sz w:val="24"/>
          <w:szCs w:val="24"/>
          <w:lang w:val="en-GB"/>
        </w:rPr>
        <w:t>feasible</w:t>
      </w:r>
      <w:r w:rsidRPr="5C218C92" w:rsidR="3107EA52">
        <w:rPr>
          <w:rFonts w:ascii="Arial" w:hAnsi="Arial" w:eastAsia="Arial" w:cs="Arial"/>
          <w:b w:val="0"/>
          <w:bCs w:val="0"/>
          <w:noProof w:val="0"/>
          <w:color w:val="auto"/>
          <w:sz w:val="24"/>
          <w:szCs w:val="24"/>
          <w:lang w:val="en-GB"/>
        </w:rPr>
        <w:t xml:space="preserve"> and economically sustainable. The plan should outline projected costs, expected revenue streams, investment priorities, and the financial implications of forming a joint venture (JV) with a licensed Chinese streaming partner.</w:t>
      </w:r>
    </w:p>
    <w:p w:rsidR="0A2DF36F" w:rsidP="5C218C92" w:rsidRDefault="0A2DF36F" w14:paraId="455A160D" w14:textId="25AF13B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 xml:space="preserve">The initial investment should focus on three main areas: regulatory compliance costs, such as data localisation infrastructure, cybersecurity upgrades, and content approval processes; local content development, including securing Chinese production partnerships, talent contracts, studio rentals, and post-production capacity; and technology optimisation, which involves adapting Netflix’s platform to local consumer expectations, such as mobile-first streaming and </w:t>
      </w:r>
      <w:r w:rsidRPr="5C218C92" w:rsidR="0A2DF36F">
        <w:rPr>
          <w:rFonts w:ascii="Arial" w:hAnsi="Arial" w:eastAsia="Arial" w:cs="Arial"/>
          <w:b w:val="0"/>
          <w:bCs w:val="0"/>
          <w:noProof w:val="0"/>
          <w:color w:val="auto"/>
          <w:sz w:val="24"/>
          <w:szCs w:val="24"/>
          <w:lang w:val="en-GB"/>
        </w:rPr>
        <w:t>danmu</w:t>
      </w:r>
      <w:r w:rsidRPr="5C218C92" w:rsidR="0A2DF36F">
        <w:rPr>
          <w:rFonts w:ascii="Arial" w:hAnsi="Arial" w:eastAsia="Arial" w:cs="Arial"/>
          <w:b w:val="0"/>
          <w:bCs w:val="0"/>
          <w:noProof w:val="0"/>
          <w:color w:val="auto"/>
          <w:sz w:val="24"/>
          <w:szCs w:val="24"/>
          <w:lang w:val="en-GB"/>
        </w:rPr>
        <w:t xml:space="preserve">-style interactive features (Zhuge, 2018). The estimated </w:t>
      </w:r>
      <w:r w:rsidRPr="5C218C92" w:rsidR="0A2DF36F">
        <w:rPr>
          <w:rFonts w:ascii="Arial" w:hAnsi="Arial" w:eastAsia="Arial" w:cs="Arial"/>
          <w:b w:val="0"/>
          <w:bCs w:val="0"/>
          <w:noProof w:val="0"/>
          <w:color w:val="auto"/>
          <w:sz w:val="24"/>
          <w:szCs w:val="24"/>
          <w:lang w:val="en-GB"/>
        </w:rPr>
        <w:t>initial</w:t>
      </w:r>
      <w:r w:rsidRPr="5C218C92" w:rsidR="0A2DF36F">
        <w:rPr>
          <w:rFonts w:ascii="Arial" w:hAnsi="Arial" w:eastAsia="Arial" w:cs="Arial"/>
          <w:b w:val="0"/>
          <w:bCs w:val="0"/>
          <w:noProof w:val="0"/>
          <w:color w:val="auto"/>
          <w:sz w:val="24"/>
          <w:szCs w:val="24"/>
          <w:lang w:val="en-GB"/>
        </w:rPr>
        <w:t xml:space="preserve"> investment for market entry is likely to range from $300 to $500 million over three years, consistent with the scale of other global market launches.</w:t>
      </w:r>
    </w:p>
    <w:p w:rsidR="0A2DF36F" w:rsidP="5C218C92" w:rsidRDefault="0A2DF36F" w14:paraId="4C85CDF8" w14:textId="16962AFF">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 xml:space="preserve">Given the regulatory environment, Netflix cannot </w:t>
      </w:r>
      <w:r w:rsidRPr="5C218C92" w:rsidR="0A2DF36F">
        <w:rPr>
          <w:rFonts w:ascii="Arial" w:hAnsi="Arial" w:eastAsia="Arial" w:cs="Arial"/>
          <w:b w:val="0"/>
          <w:bCs w:val="0"/>
          <w:noProof w:val="0"/>
          <w:color w:val="auto"/>
          <w:sz w:val="24"/>
          <w:szCs w:val="24"/>
          <w:lang w:val="en-GB"/>
        </w:rPr>
        <w:t>operate</w:t>
      </w:r>
      <w:r w:rsidRPr="5C218C92" w:rsidR="0A2DF36F">
        <w:rPr>
          <w:rFonts w:ascii="Arial" w:hAnsi="Arial" w:eastAsia="Arial" w:cs="Arial"/>
          <w:b w:val="0"/>
          <w:bCs w:val="0"/>
          <w:noProof w:val="0"/>
          <w:color w:val="auto"/>
          <w:sz w:val="24"/>
          <w:szCs w:val="24"/>
          <w:lang w:val="en-GB"/>
        </w:rPr>
        <w:t xml:space="preserve"> independently and must share revenues with its joint venture (JV) partner (Kokas, 2020; Frater and Ramachandran, 2018). Expected revenue sources include subscription revenue from a tiered pricing model targeting mass-market mobile consumers, licensing revenue by selling selected Netflix Originals to Chinese platforms, local production revenue from co-produced films and series distributed in both China and international markets, and advertising revenue if the JV adopts an ad-supported tier, which is significant in China’s AVOD-dominant streaming market.</w:t>
      </w:r>
    </w:p>
    <w:p w:rsidR="0A2DF36F" w:rsidP="5C218C92" w:rsidRDefault="0A2DF36F" w14:paraId="2E45E9B0" w14:textId="1052A626">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Based on market benchmarks, Netflix could aim to reach 15–20 million subscribers within five years, generating annual revenues of $800 million to $1.2 billion, depending on pricing and JV revenue splits.</w:t>
      </w:r>
    </w:p>
    <w:p w:rsidR="0A2DF36F" w:rsidP="5C218C92" w:rsidRDefault="0A2DF36F" w14:paraId="327680AF" w14:textId="04E794DE">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To address power-distance dynamics, the governance structure should be clarified to specify the allocation of decision rights that respect hierarchical expectations while protecting creative freedom (The Culture Factor Group, 2025). A balanced board composition with equal representation from both Netflix and the JV partner can assure strategic control and cultural fit.</w:t>
      </w:r>
    </w:p>
    <w:p w:rsidR="0A2DF36F" w:rsidP="5C218C92" w:rsidRDefault="0A2DF36F" w14:paraId="0987F391" w14:textId="6705EE5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Regarding</w:t>
      </w:r>
      <w:r w:rsidRPr="5C218C92" w:rsidR="0A2DF36F">
        <w:rPr>
          <w:rFonts w:ascii="Arial" w:hAnsi="Arial" w:eastAsia="Arial" w:cs="Arial"/>
          <w:b w:val="0"/>
          <w:bCs w:val="0"/>
          <w:noProof w:val="0"/>
          <w:color w:val="auto"/>
          <w:sz w:val="24"/>
          <w:szCs w:val="24"/>
          <w:lang w:val="en-GB"/>
        </w:rPr>
        <w:t xml:space="preserve"> costs and financial structure, key cost drivers include content expenditure, royalty payments, platform maintenance, and talent acquisition. A staged cost structure is recommended: in Years 1–2, high investment and negative cash flow are expected; in Years 3–4, revenue acceleration is </w:t>
      </w:r>
      <w:r w:rsidRPr="5C218C92" w:rsidR="0A2DF36F">
        <w:rPr>
          <w:rFonts w:ascii="Arial" w:hAnsi="Arial" w:eastAsia="Arial" w:cs="Arial"/>
          <w:b w:val="0"/>
          <w:bCs w:val="0"/>
          <w:noProof w:val="0"/>
          <w:color w:val="auto"/>
          <w:sz w:val="24"/>
          <w:szCs w:val="24"/>
          <w:lang w:val="en-GB"/>
        </w:rPr>
        <w:t>anticipated</w:t>
      </w:r>
      <w:r w:rsidRPr="5C218C92" w:rsidR="0A2DF36F">
        <w:rPr>
          <w:rFonts w:ascii="Arial" w:hAnsi="Arial" w:eastAsia="Arial" w:cs="Arial"/>
          <w:b w:val="0"/>
          <w:bCs w:val="0"/>
          <w:noProof w:val="0"/>
          <w:color w:val="auto"/>
          <w:sz w:val="24"/>
          <w:szCs w:val="24"/>
          <w:lang w:val="en-GB"/>
        </w:rPr>
        <w:t xml:space="preserve"> through local hits and IP monetisation; and in Year 5, the JV should target break-even and begin generating a positive net contribution.</w:t>
      </w:r>
    </w:p>
    <w:p w:rsidR="0A2DF36F" w:rsidP="5C218C92" w:rsidRDefault="0A2DF36F" w14:paraId="55939862" w14:textId="71EF844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0A2DF36F">
        <w:rPr>
          <w:rFonts w:ascii="Arial" w:hAnsi="Arial" w:eastAsia="Arial" w:cs="Arial"/>
          <w:b w:val="0"/>
          <w:bCs w:val="0"/>
          <w:noProof w:val="0"/>
          <w:color w:val="auto"/>
          <w:sz w:val="24"/>
          <w:szCs w:val="24"/>
          <w:lang w:val="en-GB"/>
        </w:rPr>
        <w:t xml:space="preserve">To ensure financial stability and the viability of strategic </w:t>
      </w:r>
      <w:r w:rsidRPr="5C218C92" w:rsidR="0A2DF36F">
        <w:rPr>
          <w:rFonts w:ascii="Arial" w:hAnsi="Arial" w:eastAsia="Arial" w:cs="Arial"/>
          <w:b w:val="0"/>
          <w:bCs w:val="0"/>
          <w:noProof w:val="0"/>
          <w:color w:val="auto"/>
          <w:sz w:val="24"/>
          <w:szCs w:val="24"/>
          <w:lang w:val="en-GB"/>
        </w:rPr>
        <w:t>objectives</w:t>
      </w:r>
      <w:r w:rsidRPr="5C218C92" w:rsidR="0A2DF36F">
        <w:rPr>
          <w:rFonts w:ascii="Arial" w:hAnsi="Arial" w:eastAsia="Arial" w:cs="Arial"/>
          <w:b w:val="0"/>
          <w:bCs w:val="0"/>
          <w:noProof w:val="0"/>
          <w:color w:val="auto"/>
          <w:sz w:val="24"/>
          <w:szCs w:val="24"/>
          <w:lang w:val="en-GB"/>
        </w:rPr>
        <w:t>, Netflix should implement quarterly financial audits, sensitivity analysis for regulatory or demand fluctuations, cash flow monitoring dashboards, and scenario planning for best-case, expected-case, and regulatory-tightening scenarios.</w:t>
      </w:r>
    </w:p>
    <w:p w:rsidR="3107EA52" w:rsidP="5C218C92" w:rsidRDefault="3107EA52" w14:paraId="6EE076C8" w14:textId="64424D43">
      <w:pPr>
        <w:pStyle w:val="Heading1"/>
        <w:spacing w:line="360" w:lineRule="auto"/>
        <w:jc w:val="both"/>
        <w:rPr>
          <w:rFonts w:ascii="Arial" w:hAnsi="Arial" w:eastAsia="Arial" w:cs="Arial"/>
          <w:b w:val="0"/>
          <w:bCs w:val="0"/>
          <w:noProof w:val="0"/>
          <w:color w:val="auto"/>
          <w:sz w:val="24"/>
          <w:szCs w:val="24"/>
          <w:lang w:val="en-GB"/>
        </w:rPr>
      </w:pPr>
      <w:bookmarkStart w:name="_Toc284925637" w:id="73602844"/>
      <w:r w:rsidRPr="5C218C92" w:rsidR="3107EA52">
        <w:rPr>
          <w:rFonts w:ascii="Arial" w:hAnsi="Arial" w:eastAsia="Arial" w:cs="Arial"/>
          <w:b w:val="0"/>
          <w:bCs w:val="0"/>
          <w:noProof w:val="0"/>
          <w:color w:val="auto"/>
          <w:sz w:val="24"/>
          <w:szCs w:val="24"/>
          <w:lang w:val="en-GB"/>
        </w:rPr>
        <w:t>Recommendations</w:t>
      </w:r>
      <w:bookmarkEnd w:id="73602844"/>
      <w:r w:rsidRPr="5C218C92" w:rsidR="3107EA52">
        <w:rPr>
          <w:rFonts w:ascii="Arial" w:hAnsi="Arial" w:eastAsia="Arial" w:cs="Arial"/>
          <w:b w:val="0"/>
          <w:bCs w:val="0"/>
          <w:noProof w:val="0"/>
          <w:color w:val="auto"/>
          <w:sz w:val="24"/>
          <w:szCs w:val="24"/>
          <w:lang w:val="en-GB"/>
        </w:rPr>
        <w:t xml:space="preserve"> </w:t>
      </w:r>
    </w:p>
    <w:p w:rsidR="3107EA52" w:rsidP="5C218C92" w:rsidRDefault="3107EA52" w14:paraId="45F1615B" w14:textId="734874D1">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Based on the strategic analysis, several clear recommendations </w:t>
      </w:r>
      <w:r w:rsidRPr="5C218C92" w:rsidR="3107EA52">
        <w:rPr>
          <w:rFonts w:ascii="Arial" w:hAnsi="Arial" w:eastAsia="Arial" w:cs="Arial"/>
          <w:b w:val="0"/>
          <w:bCs w:val="0"/>
          <w:noProof w:val="0"/>
          <w:color w:val="auto"/>
          <w:sz w:val="24"/>
          <w:szCs w:val="24"/>
          <w:lang w:val="en-GB"/>
        </w:rPr>
        <w:t>emerge</w:t>
      </w:r>
      <w:r w:rsidRPr="5C218C92" w:rsidR="3107EA52">
        <w:rPr>
          <w:rFonts w:ascii="Arial" w:hAnsi="Arial" w:eastAsia="Arial" w:cs="Arial"/>
          <w:b w:val="0"/>
          <w:bCs w:val="0"/>
          <w:noProof w:val="0"/>
          <w:color w:val="auto"/>
          <w:sz w:val="24"/>
          <w:szCs w:val="24"/>
          <w:lang w:val="en-GB"/>
        </w:rPr>
        <w:t xml:space="preserve"> for Netflix's China entry: (1) Enter exclusively via a </w:t>
      </w:r>
      <w:r w:rsidRPr="5C218C92" w:rsidR="3107EA52">
        <w:rPr>
          <w:rFonts w:ascii="Arial" w:hAnsi="Arial" w:eastAsia="Arial" w:cs="Arial"/>
          <w:b w:val="0"/>
          <w:bCs w:val="0"/>
          <w:noProof w:val="0"/>
          <w:color w:val="auto"/>
          <w:sz w:val="24"/>
          <w:szCs w:val="24"/>
          <w:lang w:val="en-GB"/>
        </w:rPr>
        <w:t>joint venture</w:t>
      </w:r>
      <w:r w:rsidRPr="5C218C92" w:rsidR="3107EA52">
        <w:rPr>
          <w:rFonts w:ascii="Arial" w:hAnsi="Arial" w:eastAsia="Arial" w:cs="Arial"/>
          <w:b w:val="0"/>
          <w:bCs w:val="0"/>
          <w:noProof w:val="0"/>
          <w:color w:val="auto"/>
          <w:sz w:val="24"/>
          <w:szCs w:val="24"/>
          <w:lang w:val="en-GB"/>
        </w:rPr>
        <w:t xml:space="preserve"> with a licensed domestic streaming platform to </w:t>
      </w:r>
      <w:r w:rsidRPr="5C218C92" w:rsidR="3107EA52">
        <w:rPr>
          <w:rFonts w:ascii="Arial" w:hAnsi="Arial" w:eastAsia="Arial" w:cs="Arial"/>
          <w:b w:val="0"/>
          <w:bCs w:val="0"/>
          <w:noProof w:val="0"/>
          <w:color w:val="auto"/>
          <w:sz w:val="24"/>
          <w:szCs w:val="24"/>
          <w:lang w:val="en-GB"/>
        </w:rPr>
        <w:t>comply with</w:t>
      </w:r>
      <w:r w:rsidRPr="5C218C92" w:rsidR="3107EA52">
        <w:rPr>
          <w:rFonts w:ascii="Arial" w:hAnsi="Arial" w:eastAsia="Arial" w:cs="Arial"/>
          <w:b w:val="0"/>
          <w:bCs w:val="0"/>
          <w:noProof w:val="0"/>
          <w:color w:val="auto"/>
          <w:sz w:val="24"/>
          <w:szCs w:val="24"/>
          <w:lang w:val="en-GB"/>
        </w:rPr>
        <w:t xml:space="preserve"> regulations and access distribution infrastructure and local </w:t>
      </w:r>
      <w:r w:rsidRPr="5C218C92" w:rsidR="3107EA52">
        <w:rPr>
          <w:rFonts w:ascii="Arial" w:hAnsi="Arial" w:eastAsia="Arial" w:cs="Arial"/>
          <w:b w:val="0"/>
          <w:bCs w:val="0"/>
          <w:noProof w:val="0"/>
          <w:color w:val="auto"/>
          <w:sz w:val="24"/>
          <w:szCs w:val="24"/>
          <w:lang w:val="en-GB"/>
        </w:rPr>
        <w:t>expertise</w:t>
      </w:r>
      <w:r w:rsidRPr="5C218C92" w:rsidR="3107EA52">
        <w:rPr>
          <w:rFonts w:ascii="Arial" w:hAnsi="Arial" w:eastAsia="Arial" w:cs="Arial"/>
          <w:b w:val="0"/>
          <w:bCs w:val="0"/>
          <w:noProof w:val="0"/>
          <w:color w:val="auto"/>
          <w:sz w:val="24"/>
          <w:szCs w:val="24"/>
          <w:lang w:val="en-GB"/>
        </w:rPr>
        <w:t>. (2) Pursue focused differentiation, emphasising premium local content, technology excellence, and international co-productions for competitive advantage. (3) Ensure flexibility in strategy execution to respond to regulatory or market shifts.</w:t>
      </w:r>
      <w:r>
        <w:br/>
      </w:r>
    </w:p>
    <w:p w:rsidR="3107EA52" w:rsidP="5C218C92" w:rsidRDefault="3107EA52" w14:paraId="0A65D2C3" w14:textId="1372494D">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Significant investment should be prioritised in three areas: (1) </w:t>
      </w:r>
      <w:r w:rsidRPr="5C218C92" w:rsidR="3107EA52">
        <w:rPr>
          <w:rFonts w:ascii="Arial" w:hAnsi="Arial" w:eastAsia="Arial" w:cs="Arial"/>
          <w:b w:val="0"/>
          <w:bCs w:val="0"/>
          <w:noProof w:val="0"/>
          <w:color w:val="auto"/>
          <w:sz w:val="24"/>
          <w:szCs w:val="24"/>
          <w:lang w:val="en-GB"/>
        </w:rPr>
        <w:t>local content creation; (2)</w:t>
      </w:r>
      <w:r w:rsidRPr="5C218C92" w:rsidR="3107EA52">
        <w:rPr>
          <w:rFonts w:ascii="Arial" w:hAnsi="Arial" w:eastAsia="Arial" w:cs="Arial"/>
          <w:b w:val="0"/>
          <w:bCs w:val="0"/>
          <w:noProof w:val="0"/>
          <w:color w:val="auto"/>
          <w:sz w:val="24"/>
          <w:szCs w:val="24"/>
          <w:lang w:val="en-GB"/>
        </w:rPr>
        <w:t xml:space="preserve"> user-experience localisation; and (3) mobile-first features, to align with China's interactive viewing culture as highlighted by Zhuge (2018). Platform optimisation and compliance systems must be implemented from the beginning to lower regulatory risk.</w:t>
      </w:r>
    </w:p>
    <w:p w:rsidR="3107EA52" w:rsidP="5C218C92" w:rsidRDefault="3107EA52" w14:paraId="1BFD609F" w14:textId="5399ED59">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The financial approach should be phased and conservative, with break-even expected by Year 5. Netflix should </w:t>
      </w:r>
      <w:r w:rsidRPr="5C218C92" w:rsidR="3107EA52">
        <w:rPr>
          <w:rFonts w:ascii="Arial" w:hAnsi="Arial" w:eastAsia="Arial" w:cs="Arial"/>
          <w:b w:val="0"/>
          <w:bCs w:val="0"/>
          <w:noProof w:val="0"/>
          <w:color w:val="auto"/>
          <w:sz w:val="24"/>
          <w:szCs w:val="24"/>
          <w:lang w:val="en-GB"/>
        </w:rPr>
        <w:t>monitor</w:t>
      </w:r>
      <w:r w:rsidRPr="5C218C92" w:rsidR="3107EA52">
        <w:rPr>
          <w:rFonts w:ascii="Arial" w:hAnsi="Arial" w:eastAsia="Arial" w:cs="Arial"/>
          <w:b w:val="0"/>
          <w:bCs w:val="0"/>
          <w:noProof w:val="0"/>
          <w:color w:val="auto"/>
          <w:sz w:val="24"/>
          <w:szCs w:val="24"/>
          <w:lang w:val="en-GB"/>
        </w:rPr>
        <w:t xml:space="preserve"> performance using the Balanced Scorecard, with emphasis on customer engagement and regulatory compliance. To succeed, Netflix must prioritise deep localisation, strong partnerships, and disciplined financial and strategic management.</w:t>
      </w:r>
    </w:p>
    <w:p w:rsidR="3107EA52" w:rsidP="5C218C92" w:rsidRDefault="3107EA52" w14:paraId="3934BC0C" w14:textId="72DEE2F6">
      <w:pPr>
        <w:pStyle w:val="Heading1"/>
        <w:spacing w:line="360" w:lineRule="auto"/>
        <w:jc w:val="both"/>
        <w:rPr>
          <w:rFonts w:ascii="Arial" w:hAnsi="Arial" w:eastAsia="Arial" w:cs="Arial"/>
          <w:b w:val="0"/>
          <w:bCs w:val="0"/>
          <w:noProof w:val="0"/>
          <w:color w:val="auto"/>
          <w:sz w:val="24"/>
          <w:szCs w:val="24"/>
          <w:lang w:val="en-GB"/>
        </w:rPr>
      </w:pPr>
      <w:bookmarkStart w:name="_Toc448286749" w:id="1294182312"/>
      <w:r w:rsidRPr="5C218C92" w:rsidR="3107EA52">
        <w:rPr>
          <w:rFonts w:ascii="Arial" w:hAnsi="Arial" w:eastAsia="Arial" w:cs="Arial"/>
          <w:b w:val="0"/>
          <w:bCs w:val="0"/>
          <w:noProof w:val="0"/>
          <w:color w:val="auto"/>
          <w:sz w:val="24"/>
          <w:szCs w:val="24"/>
          <w:lang w:val="en-GB"/>
        </w:rPr>
        <w:t>Conclusion</w:t>
      </w:r>
      <w:bookmarkEnd w:id="1294182312"/>
      <w:r w:rsidRPr="5C218C92" w:rsidR="3107EA52">
        <w:rPr>
          <w:rFonts w:ascii="Arial" w:hAnsi="Arial" w:eastAsia="Arial" w:cs="Arial"/>
          <w:b w:val="0"/>
          <w:bCs w:val="0"/>
          <w:noProof w:val="0"/>
          <w:color w:val="auto"/>
          <w:sz w:val="24"/>
          <w:szCs w:val="24"/>
          <w:lang w:val="en-GB"/>
        </w:rPr>
        <w:t xml:space="preserve"> </w:t>
      </w:r>
    </w:p>
    <w:p w:rsidR="3107EA52" w:rsidP="5C218C92" w:rsidRDefault="3107EA52" w14:paraId="747B7C7B" w14:textId="418BD563">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China is one of the world’s largest and most dynamic streaming markets, but it is also among the most challenging due to regulatory barriers, entrenched domestic competitors, and unique consumer behaviours. Through the external and internal audits, </w:t>
      </w:r>
      <w:r w:rsidRPr="5C218C92" w:rsidR="0EAEFA51">
        <w:rPr>
          <w:rFonts w:ascii="Arial" w:hAnsi="Arial" w:eastAsia="Arial" w:cs="Arial"/>
          <w:b w:val="0"/>
          <w:bCs w:val="0"/>
          <w:noProof w:val="0"/>
          <w:color w:val="auto"/>
          <w:sz w:val="24"/>
          <w:szCs w:val="24"/>
          <w:lang w:val="en-GB"/>
        </w:rPr>
        <w:t>Netflix’s</w:t>
      </w:r>
      <w:r w:rsidRPr="5C218C92" w:rsidR="3107EA52">
        <w:rPr>
          <w:rFonts w:ascii="Arial" w:hAnsi="Arial" w:eastAsia="Arial" w:cs="Arial"/>
          <w:b w:val="0"/>
          <w:bCs w:val="0"/>
          <w:noProof w:val="0"/>
          <w:color w:val="auto"/>
          <w:sz w:val="24"/>
          <w:szCs w:val="24"/>
          <w:lang w:val="en-GB"/>
        </w:rPr>
        <w:t xml:space="preserve"> strengths in global content production, technological innovation, and brand reputation provide a solid foundation, yet they must be carefully adapted to China’s political, cultural, and digital landscape.</w:t>
      </w:r>
    </w:p>
    <w:p w:rsidR="3107EA52" w:rsidP="5C218C92" w:rsidRDefault="3107EA52" w14:paraId="254DF239" w14:textId="407A32C4">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 xml:space="preserve">The recommended joint venture entry model, supported by a focused differentiation strategy, allows Netflix to </w:t>
      </w:r>
      <w:r w:rsidRPr="5C218C92" w:rsidR="3107EA52">
        <w:rPr>
          <w:rFonts w:ascii="Arial" w:hAnsi="Arial" w:eastAsia="Arial" w:cs="Arial"/>
          <w:b w:val="0"/>
          <w:bCs w:val="0"/>
          <w:noProof w:val="0"/>
          <w:color w:val="auto"/>
          <w:sz w:val="24"/>
          <w:szCs w:val="24"/>
          <w:lang w:val="en-GB"/>
        </w:rPr>
        <w:t>leverage</w:t>
      </w:r>
      <w:r w:rsidRPr="5C218C92" w:rsidR="3107EA52">
        <w:rPr>
          <w:rFonts w:ascii="Arial" w:hAnsi="Arial" w:eastAsia="Arial" w:cs="Arial"/>
          <w:b w:val="0"/>
          <w:bCs w:val="0"/>
          <w:noProof w:val="0"/>
          <w:color w:val="auto"/>
          <w:sz w:val="24"/>
          <w:szCs w:val="24"/>
          <w:lang w:val="en-GB"/>
        </w:rPr>
        <w:t xml:space="preserve"> its competitive capabilities while mitigating risk. The financial plan </w:t>
      </w:r>
      <w:r w:rsidRPr="5C218C92" w:rsidR="3107EA52">
        <w:rPr>
          <w:rFonts w:ascii="Arial" w:hAnsi="Arial" w:eastAsia="Arial" w:cs="Arial"/>
          <w:b w:val="0"/>
          <w:bCs w:val="0"/>
          <w:noProof w:val="0"/>
          <w:color w:val="auto"/>
          <w:sz w:val="24"/>
          <w:szCs w:val="24"/>
          <w:lang w:val="en-GB"/>
        </w:rPr>
        <w:t>demonstrates</w:t>
      </w:r>
      <w:r w:rsidRPr="5C218C92" w:rsidR="3107EA52">
        <w:rPr>
          <w:rFonts w:ascii="Arial" w:hAnsi="Arial" w:eastAsia="Arial" w:cs="Arial"/>
          <w:b w:val="0"/>
          <w:bCs w:val="0"/>
          <w:noProof w:val="0"/>
          <w:color w:val="auto"/>
          <w:sz w:val="24"/>
          <w:szCs w:val="24"/>
          <w:lang w:val="en-GB"/>
        </w:rPr>
        <w:t xml:space="preserve"> that while short-term costs are high, long-term profitability is achievable with disciplined investment and strong localisation execution.</w:t>
      </w:r>
    </w:p>
    <w:p w:rsidR="3107EA52" w:rsidP="5C218C92" w:rsidRDefault="3107EA52" w14:paraId="054A5160" w14:textId="1B8F0D28">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3107EA52">
        <w:rPr>
          <w:rFonts w:ascii="Arial" w:hAnsi="Arial" w:eastAsia="Arial" w:cs="Arial"/>
          <w:b w:val="0"/>
          <w:bCs w:val="0"/>
          <w:noProof w:val="0"/>
          <w:color w:val="auto"/>
          <w:sz w:val="24"/>
          <w:szCs w:val="24"/>
          <w:lang w:val="en-GB"/>
        </w:rPr>
        <w:t>With a robust evaluation and control system in place, Netflix can position itself for sustainable success in China by delivering premium, culturally resonant content and a superior digital experience tailored to local preferences.</w:t>
      </w:r>
    </w:p>
    <w:p w:rsidR="5C218C92" w:rsidP="5C218C92" w:rsidRDefault="5C218C92" w14:paraId="13213930" w14:textId="1D8D30A3">
      <w:pPr>
        <w:pStyle w:val="Normal"/>
        <w:spacing w:line="360" w:lineRule="auto"/>
        <w:jc w:val="both"/>
        <w:rPr>
          <w:rFonts w:ascii="Arial" w:hAnsi="Arial" w:eastAsia="Arial" w:cs="Arial"/>
          <w:b w:val="0"/>
          <w:bCs w:val="0"/>
          <w:noProof w:val="0"/>
          <w:color w:val="auto"/>
          <w:sz w:val="24"/>
          <w:szCs w:val="24"/>
          <w:lang w:val="en-GB"/>
        </w:rPr>
      </w:pPr>
    </w:p>
    <w:p w:rsidR="00A129D7" w:rsidP="5C218C92" w:rsidRDefault="00A129D7" w14:paraId="488D8781" w14:textId="0FBC3E11">
      <w:pPr>
        <w:pStyle w:val="Normal"/>
        <w:spacing w:line="360" w:lineRule="auto"/>
        <w:jc w:val="both"/>
        <w:rPr>
          <w:rFonts w:ascii="Arial" w:hAnsi="Arial" w:eastAsia="Arial" w:cs="Arial"/>
          <w:b w:val="0"/>
          <w:bCs w:val="0"/>
          <w:color w:val="auto"/>
          <w:sz w:val="24"/>
          <w:szCs w:val="24"/>
        </w:rPr>
      </w:pPr>
    </w:p>
    <w:p w:rsidR="5C218C92" w:rsidP="5C218C92" w:rsidRDefault="5C218C92" w14:paraId="113ECA7D" w14:textId="119D0F26">
      <w:pPr>
        <w:pStyle w:val="Normal"/>
      </w:pPr>
    </w:p>
    <w:p w:rsidR="20DC2CAB" w:rsidP="5C218C92" w:rsidRDefault="20DC2CAB" w14:paraId="40AF5415" w14:textId="02426BF0">
      <w:pPr>
        <w:pStyle w:val="Heading1"/>
        <w:spacing w:line="360" w:lineRule="auto"/>
        <w:jc w:val="both"/>
        <w:rPr>
          <w:rFonts w:ascii="Arial" w:hAnsi="Arial" w:eastAsia="Arial" w:cs="Arial"/>
          <w:b w:val="0"/>
          <w:bCs w:val="0"/>
          <w:color w:val="auto"/>
          <w:sz w:val="24"/>
          <w:szCs w:val="24"/>
        </w:rPr>
      </w:pPr>
      <w:bookmarkStart w:name="_Toc523472274" w:id="630981359"/>
      <w:r w:rsidRPr="5C218C92" w:rsidR="20DC2CAB">
        <w:rPr>
          <w:rFonts w:ascii="Arial" w:hAnsi="Arial" w:eastAsia="Arial" w:cs="Arial"/>
          <w:b w:val="0"/>
          <w:bCs w:val="0"/>
          <w:color w:val="auto"/>
          <w:sz w:val="24"/>
          <w:szCs w:val="24"/>
        </w:rPr>
        <w:t>References</w:t>
      </w:r>
      <w:bookmarkEnd w:id="630981359"/>
    </w:p>
    <w:p w:rsidR="68F8EE92" w:rsidP="5C218C92" w:rsidRDefault="68F8EE92" w14:paraId="0FDBFAA5" w14:textId="78341DB0">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68F8EE92">
        <w:rPr>
          <w:rFonts w:ascii="Arial" w:hAnsi="Arial" w:eastAsia="Arial" w:cs="Arial"/>
          <w:b w:val="0"/>
          <w:bCs w:val="0"/>
          <w:noProof w:val="0"/>
          <w:color w:val="auto"/>
          <w:sz w:val="24"/>
          <w:szCs w:val="24"/>
          <w:lang w:val="en-GB"/>
        </w:rPr>
        <w:t xml:space="preserve">Asmar, A., </w:t>
      </w:r>
      <w:r w:rsidRPr="5C218C92" w:rsidR="68F8EE92">
        <w:rPr>
          <w:rFonts w:ascii="Arial" w:hAnsi="Arial" w:eastAsia="Arial" w:cs="Arial"/>
          <w:b w:val="0"/>
          <w:bCs w:val="0"/>
          <w:noProof w:val="0"/>
          <w:color w:val="auto"/>
          <w:sz w:val="24"/>
          <w:szCs w:val="24"/>
          <w:lang w:val="en-GB"/>
        </w:rPr>
        <w:t>Raats</w:t>
      </w:r>
      <w:r w:rsidRPr="5C218C92" w:rsidR="68F8EE92">
        <w:rPr>
          <w:rFonts w:ascii="Arial" w:hAnsi="Arial" w:eastAsia="Arial" w:cs="Arial"/>
          <w:b w:val="0"/>
          <w:bCs w:val="0"/>
          <w:noProof w:val="0"/>
          <w:color w:val="auto"/>
          <w:sz w:val="24"/>
          <w:szCs w:val="24"/>
          <w:lang w:val="en-GB"/>
        </w:rPr>
        <w:t xml:space="preserve">, T. and Van </w:t>
      </w:r>
      <w:r w:rsidRPr="5C218C92" w:rsidR="68F8EE92">
        <w:rPr>
          <w:rFonts w:ascii="Arial" w:hAnsi="Arial" w:eastAsia="Arial" w:cs="Arial"/>
          <w:b w:val="0"/>
          <w:bCs w:val="0"/>
          <w:noProof w:val="0"/>
          <w:color w:val="auto"/>
          <w:sz w:val="24"/>
          <w:szCs w:val="24"/>
          <w:lang w:val="en-GB"/>
        </w:rPr>
        <w:t>Audenhove</w:t>
      </w:r>
      <w:r w:rsidRPr="5C218C92" w:rsidR="68F8EE92">
        <w:rPr>
          <w:rFonts w:ascii="Arial" w:hAnsi="Arial" w:eastAsia="Arial" w:cs="Arial"/>
          <w:b w:val="0"/>
          <w:bCs w:val="0"/>
          <w:noProof w:val="0"/>
          <w:color w:val="auto"/>
          <w:sz w:val="24"/>
          <w:szCs w:val="24"/>
          <w:lang w:val="en-GB"/>
        </w:rPr>
        <w:t xml:space="preserve">, L. (2025) ‘Netflix and the </w:t>
      </w:r>
      <w:r w:rsidRPr="5C218C92" w:rsidR="68F8EE92">
        <w:rPr>
          <w:rFonts w:ascii="Arial" w:hAnsi="Arial" w:eastAsia="Arial" w:cs="Arial"/>
          <w:b w:val="0"/>
          <w:bCs w:val="0"/>
          <w:noProof w:val="0"/>
          <w:color w:val="auto"/>
          <w:sz w:val="24"/>
          <w:szCs w:val="24"/>
          <w:lang w:val="en-GB"/>
        </w:rPr>
        <w:t>Transnationalisation</w:t>
      </w:r>
      <w:r w:rsidRPr="5C218C92" w:rsidR="68F8EE92">
        <w:rPr>
          <w:rFonts w:ascii="Arial" w:hAnsi="Arial" w:eastAsia="Arial" w:cs="Arial"/>
          <w:b w:val="0"/>
          <w:bCs w:val="0"/>
          <w:noProof w:val="0"/>
          <w:color w:val="auto"/>
          <w:sz w:val="24"/>
          <w:szCs w:val="24"/>
          <w:lang w:val="en-GB"/>
        </w:rPr>
        <w:t xml:space="preserve"> of Teen Television’, </w:t>
      </w:r>
      <w:r w:rsidRPr="5C218C92" w:rsidR="68F8EE92">
        <w:rPr>
          <w:rFonts w:ascii="Arial" w:hAnsi="Arial" w:eastAsia="Arial" w:cs="Arial"/>
          <w:b w:val="0"/>
          <w:bCs w:val="0"/>
          <w:i w:val="1"/>
          <w:iCs w:val="1"/>
          <w:noProof w:val="0"/>
          <w:color w:val="auto"/>
          <w:sz w:val="24"/>
          <w:szCs w:val="24"/>
          <w:lang w:val="en-GB"/>
        </w:rPr>
        <w:t>Television &amp; new media</w:t>
      </w:r>
      <w:r w:rsidRPr="5C218C92" w:rsidR="68F8EE92">
        <w:rPr>
          <w:rFonts w:ascii="Arial" w:hAnsi="Arial" w:eastAsia="Arial" w:cs="Arial"/>
          <w:b w:val="0"/>
          <w:bCs w:val="0"/>
          <w:noProof w:val="0"/>
          <w:color w:val="auto"/>
          <w:sz w:val="24"/>
          <w:szCs w:val="24"/>
          <w:lang w:val="en-GB"/>
        </w:rPr>
        <w:t xml:space="preserve">, 26(5), pp. 552–569. Available at: </w:t>
      </w:r>
      <w:hyperlink r:id="R8fd3673a6e7b47ea">
        <w:r w:rsidRPr="5C218C92" w:rsidR="68F8EE92">
          <w:rPr>
            <w:rStyle w:val="Hyperlink"/>
            <w:rFonts w:ascii="Arial" w:hAnsi="Arial" w:eastAsia="Arial" w:cs="Arial"/>
            <w:b w:val="0"/>
            <w:bCs w:val="0"/>
            <w:noProof w:val="0"/>
            <w:color w:val="auto"/>
            <w:sz w:val="24"/>
            <w:szCs w:val="24"/>
            <w:lang w:val="en-GB"/>
          </w:rPr>
          <w:t>https://doi.org/10.1177/15274764241292334</w:t>
        </w:r>
      </w:hyperlink>
      <w:r w:rsidRPr="5C218C92" w:rsidR="68F8EE92">
        <w:rPr>
          <w:rFonts w:ascii="Arial" w:hAnsi="Arial" w:eastAsia="Arial" w:cs="Arial"/>
          <w:b w:val="0"/>
          <w:bCs w:val="0"/>
          <w:noProof w:val="0"/>
          <w:color w:val="auto"/>
          <w:sz w:val="24"/>
          <w:szCs w:val="24"/>
          <w:lang w:val="en-GB"/>
        </w:rPr>
        <w:t>.</w:t>
      </w:r>
    </w:p>
    <w:p w:rsidR="5C218C92" w:rsidP="5C218C92" w:rsidRDefault="5C218C92" w14:paraId="235EBADD" w14:textId="1D9D1EA1">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6B8F2139" w:rsidP="5C218C92" w:rsidRDefault="6B8F2139" w14:paraId="46E3D73F" w14:textId="054BF709">
      <w:pPr>
        <w:spacing w:after="0" w:line="360" w:lineRule="auto"/>
        <w:jc w:val="both"/>
        <w:rPr>
          <w:rFonts w:ascii="Arial" w:hAnsi="Arial" w:eastAsia="Arial" w:cs="Arial"/>
          <w:noProof w:val="0"/>
          <w:color w:val="auto"/>
          <w:sz w:val="24"/>
          <w:szCs w:val="24"/>
          <w:lang w:val="en-GB"/>
        </w:rPr>
      </w:pPr>
      <w:r w:rsidRPr="5C218C92" w:rsidR="6B8F2139">
        <w:rPr>
          <w:rFonts w:ascii="Arial" w:hAnsi="Arial" w:eastAsia="Arial" w:cs="Arial"/>
          <w:b w:val="0"/>
          <w:bCs w:val="0"/>
          <w:i w:val="0"/>
          <w:iCs w:val="0"/>
          <w:caps w:val="0"/>
          <w:smallCaps w:val="0"/>
          <w:noProof w:val="0"/>
          <w:color w:val="auto"/>
          <w:sz w:val="24"/>
          <w:szCs w:val="24"/>
          <w:lang w:val="en-GB"/>
        </w:rPr>
        <w:t xml:space="preserve">AZALIE, I.A.N. and KAMARULZAMAN, N.H. (2022) ‘DEVELOPMENT LINKAGES OF BRUNEI DARUSSALAM’S COFFEE AND TEA SECTOR: GLOBAL AND REGIONAL VALUE CHAIN PERSPECTIVES’, </w:t>
      </w:r>
      <w:r w:rsidRPr="5C218C92" w:rsidR="6B8F2139">
        <w:rPr>
          <w:rFonts w:ascii="Arial" w:hAnsi="Arial" w:eastAsia="Arial" w:cs="Arial"/>
          <w:b w:val="0"/>
          <w:bCs w:val="0"/>
          <w:i w:val="1"/>
          <w:iCs w:val="1"/>
          <w:caps w:val="0"/>
          <w:smallCaps w:val="0"/>
          <w:noProof w:val="0"/>
          <w:color w:val="auto"/>
          <w:sz w:val="24"/>
          <w:szCs w:val="24"/>
          <w:lang w:val="en-GB"/>
        </w:rPr>
        <w:t>Journal of Business &amp; Economic Analysis</w:t>
      </w:r>
      <w:r w:rsidRPr="5C218C92" w:rsidR="6B8F2139">
        <w:rPr>
          <w:rFonts w:ascii="Arial" w:hAnsi="Arial" w:eastAsia="Arial" w:cs="Arial"/>
          <w:b w:val="0"/>
          <w:bCs w:val="0"/>
          <w:i w:val="0"/>
          <w:iCs w:val="0"/>
          <w:caps w:val="0"/>
          <w:smallCaps w:val="0"/>
          <w:noProof w:val="0"/>
          <w:color w:val="auto"/>
          <w:sz w:val="24"/>
          <w:szCs w:val="24"/>
          <w:lang w:val="en-GB"/>
        </w:rPr>
        <w:t xml:space="preserve">, 5(3), pp. 255–279. Available at: </w:t>
      </w:r>
      <w:hyperlink r:id="R90f600d356f24413">
        <w:r w:rsidRPr="5C218C92" w:rsidR="6B8F2139">
          <w:rPr>
            <w:rStyle w:val="Hyperlink"/>
            <w:rFonts w:ascii="Arial" w:hAnsi="Arial" w:eastAsia="Arial" w:cs="Arial"/>
            <w:b w:val="0"/>
            <w:bCs w:val="0"/>
            <w:i w:val="0"/>
            <w:iCs w:val="0"/>
            <w:caps w:val="0"/>
            <w:smallCaps w:val="0"/>
            <w:strike w:val="0"/>
            <w:dstrike w:val="0"/>
            <w:noProof w:val="0"/>
            <w:color w:val="auto"/>
            <w:sz w:val="24"/>
            <w:szCs w:val="24"/>
            <w:lang w:val="en-GB"/>
          </w:rPr>
          <w:t>https://doi.org/10.1142/S2737566822500074</w:t>
        </w:r>
      </w:hyperlink>
      <w:r w:rsidRPr="5C218C92" w:rsidR="6B8F2139">
        <w:rPr>
          <w:rFonts w:ascii="Arial" w:hAnsi="Arial" w:eastAsia="Arial" w:cs="Arial"/>
          <w:b w:val="0"/>
          <w:bCs w:val="0"/>
          <w:i w:val="0"/>
          <w:iCs w:val="0"/>
          <w:caps w:val="0"/>
          <w:smallCaps w:val="0"/>
          <w:noProof w:val="0"/>
          <w:color w:val="auto"/>
          <w:sz w:val="24"/>
          <w:szCs w:val="24"/>
          <w:lang w:val="en-GB"/>
        </w:rPr>
        <w:t xml:space="preserve">. </w:t>
      </w:r>
      <w:r w:rsidRPr="5C218C92" w:rsidR="6B8F2139">
        <w:rPr>
          <w:rFonts w:ascii="Arial" w:hAnsi="Arial" w:eastAsia="Arial" w:cs="Arial"/>
          <w:noProof w:val="0"/>
          <w:color w:val="auto"/>
          <w:sz w:val="24"/>
          <w:szCs w:val="24"/>
          <w:lang w:val="en-GB"/>
        </w:rPr>
        <w:t xml:space="preserve"> </w:t>
      </w:r>
    </w:p>
    <w:p w:rsidR="5C218C92" w:rsidP="5C218C92" w:rsidRDefault="5C218C92" w14:paraId="6EF49747" w14:textId="3CD7C516">
      <w:pPr>
        <w:spacing w:after="0" w:line="360" w:lineRule="auto"/>
        <w:jc w:val="both"/>
        <w:rPr>
          <w:rFonts w:ascii="Arial" w:hAnsi="Arial" w:eastAsia="Arial" w:cs="Arial"/>
          <w:noProof w:val="0"/>
          <w:color w:val="auto"/>
          <w:sz w:val="24"/>
          <w:szCs w:val="24"/>
          <w:lang w:val="en-GB"/>
        </w:rPr>
      </w:pPr>
    </w:p>
    <w:p w:rsidR="00A129D7" w:rsidP="5C218C92" w:rsidRDefault="005B5479" w14:paraId="6EDCD498" w14:textId="30E4AFBB">
      <w:pPr>
        <w:spacing w:line="360" w:lineRule="auto"/>
        <w:jc w:val="both"/>
        <w:rPr>
          <w:rFonts w:ascii="Arial" w:hAnsi="Arial" w:eastAsia="Arial" w:cs="Arial"/>
          <w:b w:val="0"/>
          <w:bCs w:val="0"/>
          <w:color w:val="auto"/>
          <w:sz w:val="24"/>
          <w:szCs w:val="24"/>
        </w:rPr>
      </w:pPr>
      <w:r w:rsidRPr="5C218C92" w:rsidR="351F7BF9">
        <w:rPr>
          <w:rFonts w:ascii="Arial" w:hAnsi="Arial" w:eastAsia="Arial" w:cs="Arial"/>
          <w:b w:val="0"/>
          <w:bCs w:val="0"/>
          <w:color w:val="auto"/>
          <w:sz w:val="24"/>
          <w:szCs w:val="24"/>
        </w:rPr>
        <w:t xml:space="preserve">Challa, S.D. and Jena, L.K. (2024) ‘Navigating Change and Adversity: A Case Study of Netflix’s Journey’, </w:t>
      </w:r>
      <w:r w:rsidRPr="5C218C92" w:rsidR="351F7BF9">
        <w:rPr>
          <w:rFonts w:ascii="Arial" w:hAnsi="Arial" w:eastAsia="Arial" w:cs="Arial"/>
          <w:b w:val="0"/>
          <w:bCs w:val="0"/>
          <w:i w:val="1"/>
          <w:iCs w:val="1"/>
          <w:color w:val="auto"/>
          <w:sz w:val="24"/>
          <w:szCs w:val="24"/>
        </w:rPr>
        <w:t>Business perspectives and research</w:t>
      </w:r>
      <w:r w:rsidRPr="5C218C92" w:rsidR="351F7BF9">
        <w:rPr>
          <w:rFonts w:ascii="Arial" w:hAnsi="Arial" w:eastAsia="Arial" w:cs="Arial"/>
          <w:b w:val="0"/>
          <w:bCs w:val="0"/>
          <w:color w:val="auto"/>
          <w:sz w:val="24"/>
          <w:szCs w:val="24"/>
        </w:rPr>
        <w:t xml:space="preserve"> [Preprint]. Available at: https://doi.org/10.1177/22785337241233035.</w:t>
      </w:r>
    </w:p>
    <w:p w:rsidRPr="00A129D7" w:rsidR="00A129D7" w:rsidP="5C218C92" w:rsidRDefault="00A129D7" w14:paraId="03188ECC" w14:textId="14BE86A3">
      <w:pPr>
        <w:spacing w:line="360" w:lineRule="auto"/>
        <w:jc w:val="both"/>
        <w:rPr>
          <w:rFonts w:ascii="Arial" w:hAnsi="Arial" w:eastAsia="Arial" w:cs="Arial"/>
          <w:b w:val="0"/>
          <w:bCs w:val="0"/>
          <w:color w:val="auto"/>
          <w:sz w:val="24"/>
          <w:szCs w:val="24"/>
        </w:rPr>
      </w:pPr>
      <w:r w:rsidRPr="5C218C92" w:rsidR="20DC2CAB">
        <w:rPr>
          <w:rFonts w:ascii="Arial" w:hAnsi="Arial" w:eastAsia="Arial" w:cs="Arial"/>
          <w:b w:val="0"/>
          <w:bCs w:val="0"/>
          <w:color w:val="auto"/>
          <w:sz w:val="24"/>
          <w:szCs w:val="24"/>
        </w:rPr>
        <w:t xml:space="preserve">Chatzoglou, P. </w:t>
      </w:r>
      <w:r w:rsidRPr="5C218C92" w:rsidR="20DC2CAB">
        <w:rPr>
          <w:rFonts w:ascii="Arial" w:hAnsi="Arial" w:eastAsia="Arial" w:cs="Arial"/>
          <w:b w:val="0"/>
          <w:bCs w:val="0"/>
          <w:i w:val="1"/>
          <w:iCs w:val="1"/>
          <w:color w:val="auto"/>
          <w:sz w:val="24"/>
          <w:szCs w:val="24"/>
        </w:rPr>
        <w:t>et al.</w:t>
      </w:r>
      <w:r w:rsidRPr="5C218C92" w:rsidR="20DC2CAB">
        <w:rPr>
          <w:rFonts w:ascii="Arial" w:hAnsi="Arial" w:eastAsia="Arial" w:cs="Arial"/>
          <w:b w:val="0"/>
          <w:bCs w:val="0"/>
          <w:color w:val="auto"/>
          <w:sz w:val="24"/>
          <w:szCs w:val="24"/>
        </w:rPr>
        <w:t xml:space="preserve"> (2018) ‘The role of firm-specific factors in the strategy-performance relationship: Revisiting the resource-based view of the firm and the VRIO framework’, </w:t>
      </w:r>
      <w:r w:rsidRPr="5C218C92" w:rsidR="20DC2CAB">
        <w:rPr>
          <w:rFonts w:ascii="Arial" w:hAnsi="Arial" w:eastAsia="Arial" w:cs="Arial"/>
          <w:b w:val="0"/>
          <w:bCs w:val="0"/>
          <w:i w:val="1"/>
          <w:iCs w:val="1"/>
          <w:color w:val="auto"/>
          <w:sz w:val="24"/>
          <w:szCs w:val="24"/>
        </w:rPr>
        <w:t>Management research review</w:t>
      </w:r>
      <w:r w:rsidRPr="5C218C92" w:rsidR="20DC2CAB">
        <w:rPr>
          <w:rFonts w:ascii="Arial" w:hAnsi="Arial" w:eastAsia="Arial" w:cs="Arial"/>
          <w:b w:val="0"/>
          <w:bCs w:val="0"/>
          <w:color w:val="auto"/>
          <w:sz w:val="24"/>
          <w:szCs w:val="24"/>
        </w:rPr>
        <w:t xml:space="preserve">, 41(1), pp. 46–73. Available at: </w:t>
      </w:r>
      <w:hyperlink r:id="Rd9e082096a4945a8">
        <w:r w:rsidRPr="5C218C92" w:rsidR="20DC2CAB">
          <w:rPr>
            <w:rStyle w:val="Hyperlink"/>
            <w:rFonts w:ascii="Arial" w:hAnsi="Arial" w:eastAsia="Arial" w:cs="Arial"/>
            <w:b w:val="0"/>
            <w:bCs w:val="0"/>
            <w:color w:val="auto"/>
            <w:sz w:val="24"/>
            <w:szCs w:val="24"/>
          </w:rPr>
          <w:t>https://doi.org/10.1108/MRR-10-2016-0243</w:t>
        </w:r>
      </w:hyperlink>
      <w:r w:rsidRPr="5C218C92" w:rsidR="20DC2CAB">
        <w:rPr>
          <w:rFonts w:ascii="Arial" w:hAnsi="Arial" w:eastAsia="Arial" w:cs="Arial"/>
          <w:b w:val="0"/>
          <w:bCs w:val="0"/>
          <w:color w:val="auto"/>
          <w:sz w:val="24"/>
          <w:szCs w:val="24"/>
        </w:rPr>
        <w:t>.</w:t>
      </w:r>
    </w:p>
    <w:p w:rsidR="2C8884A0" w:rsidP="5C218C92" w:rsidRDefault="2C8884A0" w14:paraId="7789207E" w14:textId="3AE4C09A">
      <w:pPr>
        <w:spacing w:before="0" w:beforeAutospacing="off" w:after="240" w:afterAutospacing="off" w:line="360" w:lineRule="auto"/>
        <w:jc w:val="both"/>
        <w:rPr>
          <w:rFonts w:ascii="Arial" w:hAnsi="Arial" w:eastAsia="Arial" w:cs="Arial"/>
          <w:b w:val="0"/>
          <w:bCs w:val="0"/>
          <w:noProof w:val="0"/>
          <w:color w:val="auto"/>
          <w:sz w:val="24"/>
          <w:szCs w:val="24"/>
          <w:lang w:val="en-GB"/>
        </w:rPr>
      </w:pPr>
      <w:r w:rsidRPr="5C218C92" w:rsidR="2C8884A0">
        <w:rPr>
          <w:rFonts w:ascii="Arial" w:hAnsi="Arial" w:eastAsia="Arial" w:cs="Arial"/>
          <w:b w:val="0"/>
          <w:bCs w:val="0"/>
          <w:noProof w:val="0"/>
          <w:color w:val="auto"/>
          <w:sz w:val="24"/>
          <w:szCs w:val="24"/>
          <w:lang w:val="en-GB"/>
        </w:rPr>
        <w:t xml:space="preserve">Curry, D. (2025) </w:t>
      </w:r>
      <w:r w:rsidRPr="5C218C92" w:rsidR="2C8884A0">
        <w:rPr>
          <w:rFonts w:ascii="Arial" w:hAnsi="Arial" w:eastAsia="Arial" w:cs="Arial"/>
          <w:b w:val="0"/>
          <w:bCs w:val="0"/>
          <w:i w:val="1"/>
          <w:iCs w:val="1"/>
          <w:noProof w:val="0"/>
          <w:color w:val="auto"/>
          <w:sz w:val="24"/>
          <w:szCs w:val="24"/>
          <w:lang w:val="en-GB"/>
        </w:rPr>
        <w:t>Netflix Revenue and Usage Statistics (2025)</w:t>
      </w:r>
      <w:r w:rsidRPr="5C218C92" w:rsidR="2C8884A0">
        <w:rPr>
          <w:rFonts w:ascii="Arial" w:hAnsi="Arial" w:eastAsia="Arial" w:cs="Arial"/>
          <w:b w:val="0"/>
          <w:bCs w:val="0"/>
          <w:noProof w:val="0"/>
          <w:color w:val="auto"/>
          <w:sz w:val="24"/>
          <w:szCs w:val="24"/>
          <w:lang w:val="en-GB"/>
        </w:rPr>
        <w:t xml:space="preserve">. Available at: </w:t>
      </w:r>
      <w:hyperlink r:id="R7e1aed894db04fd7">
        <w:r w:rsidRPr="5C218C92" w:rsidR="2C8884A0">
          <w:rPr>
            <w:rStyle w:val="Hyperlink"/>
            <w:rFonts w:ascii="Arial" w:hAnsi="Arial" w:eastAsia="Arial" w:cs="Arial"/>
            <w:b w:val="0"/>
            <w:bCs w:val="0"/>
            <w:noProof w:val="0"/>
            <w:color w:val="auto"/>
            <w:sz w:val="24"/>
            <w:szCs w:val="24"/>
            <w:lang w:val="en-GB"/>
          </w:rPr>
          <w:t>https://www.businessofapps.com/data/netflix-statistics/</w:t>
        </w:r>
      </w:hyperlink>
      <w:r w:rsidRPr="5C218C92" w:rsidR="2C8884A0">
        <w:rPr>
          <w:rFonts w:ascii="Arial" w:hAnsi="Arial" w:eastAsia="Arial" w:cs="Arial"/>
          <w:b w:val="0"/>
          <w:bCs w:val="0"/>
          <w:noProof w:val="0"/>
          <w:color w:val="auto"/>
          <w:sz w:val="24"/>
          <w:szCs w:val="24"/>
          <w:lang w:val="en-GB"/>
        </w:rPr>
        <w:t xml:space="preserve"> (Accessed: 25 November 2025).</w:t>
      </w:r>
    </w:p>
    <w:p w:rsidR="560C253B" w:rsidP="5C218C92" w:rsidRDefault="560C253B" w14:paraId="26B66288" w14:textId="7D1B3C8D">
      <w:pPr>
        <w:spacing w:after="0" w:line="360" w:lineRule="auto"/>
        <w:jc w:val="both"/>
        <w:rPr>
          <w:rFonts w:ascii="Arial" w:hAnsi="Arial" w:eastAsia="Arial" w:cs="Arial"/>
          <w:b w:val="0"/>
          <w:bCs w:val="0"/>
          <w:i w:val="0"/>
          <w:iCs w:val="0"/>
          <w:caps w:val="0"/>
          <w:smallCaps w:val="0"/>
          <w:noProof w:val="0"/>
          <w:color w:val="auto"/>
          <w:sz w:val="24"/>
          <w:szCs w:val="24"/>
          <w:lang w:val="en-GB"/>
        </w:rPr>
      </w:pPr>
      <w:r w:rsidRPr="5C218C92" w:rsidR="560C253B">
        <w:rPr>
          <w:rFonts w:ascii="Arial" w:hAnsi="Arial" w:eastAsia="Arial" w:cs="Arial"/>
          <w:b w:val="0"/>
          <w:bCs w:val="0"/>
          <w:i w:val="0"/>
          <w:iCs w:val="0"/>
          <w:caps w:val="0"/>
          <w:smallCaps w:val="0"/>
          <w:noProof w:val="0"/>
          <w:color w:val="auto"/>
          <w:sz w:val="24"/>
          <w:szCs w:val="24"/>
          <w:lang w:val="en-GB"/>
        </w:rPr>
        <w:t xml:space="preserve">de Sousa, G.C. and Castañeda-Ayarza, J.A. (2022) ‘PESTEL analysis and the macro-environmental factors that influence the development of the electric and hybrid vehicles industry in Brazil’, </w:t>
      </w:r>
      <w:r w:rsidRPr="5C218C92" w:rsidR="560C253B">
        <w:rPr>
          <w:rFonts w:ascii="Arial" w:hAnsi="Arial" w:eastAsia="Arial" w:cs="Arial"/>
          <w:b w:val="0"/>
          <w:bCs w:val="0"/>
          <w:i w:val="1"/>
          <w:iCs w:val="1"/>
          <w:caps w:val="0"/>
          <w:smallCaps w:val="0"/>
          <w:noProof w:val="0"/>
          <w:color w:val="auto"/>
          <w:sz w:val="24"/>
          <w:szCs w:val="24"/>
          <w:lang w:val="en-GB"/>
        </w:rPr>
        <w:t>Case studies on transport policy</w:t>
      </w:r>
      <w:r w:rsidRPr="5C218C92" w:rsidR="560C253B">
        <w:rPr>
          <w:rFonts w:ascii="Arial" w:hAnsi="Arial" w:eastAsia="Arial" w:cs="Arial"/>
          <w:b w:val="0"/>
          <w:bCs w:val="0"/>
          <w:i w:val="0"/>
          <w:iCs w:val="0"/>
          <w:caps w:val="0"/>
          <w:smallCaps w:val="0"/>
          <w:noProof w:val="0"/>
          <w:color w:val="auto"/>
          <w:sz w:val="24"/>
          <w:szCs w:val="24"/>
          <w:lang w:val="en-GB"/>
        </w:rPr>
        <w:t xml:space="preserve">, 10(1), pp. 686–699. Available at: </w:t>
      </w:r>
      <w:hyperlink r:id="Rb5026c6523304d57">
        <w:r w:rsidRPr="5C218C92" w:rsidR="560C253B">
          <w:rPr>
            <w:rStyle w:val="Hyperlink"/>
            <w:rFonts w:ascii="Arial" w:hAnsi="Arial" w:eastAsia="Arial" w:cs="Arial"/>
            <w:b w:val="0"/>
            <w:bCs w:val="0"/>
            <w:i w:val="0"/>
            <w:iCs w:val="0"/>
            <w:caps w:val="0"/>
            <w:smallCaps w:val="0"/>
            <w:strike w:val="0"/>
            <w:dstrike w:val="0"/>
            <w:noProof w:val="0"/>
            <w:color w:val="auto"/>
            <w:sz w:val="24"/>
            <w:szCs w:val="24"/>
            <w:lang w:val="en-GB"/>
          </w:rPr>
          <w:t>https://doi.org/10.1016/j.cstp.2022.01.030</w:t>
        </w:r>
      </w:hyperlink>
      <w:r w:rsidRPr="5C218C92" w:rsidR="560C253B">
        <w:rPr>
          <w:rFonts w:ascii="Arial" w:hAnsi="Arial" w:eastAsia="Arial" w:cs="Arial"/>
          <w:b w:val="0"/>
          <w:bCs w:val="0"/>
          <w:i w:val="0"/>
          <w:iCs w:val="0"/>
          <w:caps w:val="0"/>
          <w:smallCaps w:val="0"/>
          <w:noProof w:val="0"/>
          <w:color w:val="auto"/>
          <w:sz w:val="24"/>
          <w:szCs w:val="24"/>
          <w:lang w:val="en-GB"/>
        </w:rPr>
        <w:t>.</w:t>
      </w:r>
    </w:p>
    <w:p w:rsidR="5C218C92" w:rsidP="5C218C92" w:rsidRDefault="5C218C92" w14:paraId="469AC260" w14:textId="59417B91">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54FECB6D" w:rsidP="5C218C92" w:rsidRDefault="54FECB6D" w14:paraId="4FB145A0" w14:textId="13129B6B">
      <w:pPr>
        <w:spacing w:before="0" w:beforeAutospacing="off" w:after="0" w:afterAutospacing="off" w:line="360" w:lineRule="auto"/>
        <w:jc w:val="both"/>
        <w:rPr>
          <w:rFonts w:ascii="Arial" w:hAnsi="Arial" w:eastAsia="Arial" w:cs="Arial"/>
          <w:noProof w:val="0"/>
          <w:color w:val="auto"/>
          <w:sz w:val="24"/>
          <w:szCs w:val="24"/>
          <w:lang w:val="en-GB"/>
        </w:rPr>
      </w:pPr>
      <w:r w:rsidRPr="5C218C92" w:rsidR="54FECB6D">
        <w:rPr>
          <w:rFonts w:ascii="Arial" w:hAnsi="Arial" w:eastAsia="Arial" w:cs="Arial"/>
          <w:noProof w:val="0"/>
          <w:color w:val="auto"/>
          <w:sz w:val="24"/>
          <w:szCs w:val="24"/>
          <w:lang w:val="en-GB"/>
        </w:rPr>
        <w:t xml:space="preserve">Dixit, A.S. (2024) ‘Exploring HR practitioner’s perspective on linking of employer branding and porter’s generic strategies: an alignment of business and HR strategy’, </w:t>
      </w:r>
      <w:r w:rsidRPr="5C218C92" w:rsidR="54FECB6D">
        <w:rPr>
          <w:rFonts w:ascii="Arial" w:hAnsi="Arial" w:eastAsia="Arial" w:cs="Arial"/>
          <w:i w:val="1"/>
          <w:iCs w:val="1"/>
          <w:noProof w:val="0"/>
          <w:color w:val="auto"/>
          <w:sz w:val="24"/>
          <w:szCs w:val="24"/>
          <w:lang w:val="en-GB"/>
        </w:rPr>
        <w:t>International journal of organizational analysis (2005)</w:t>
      </w:r>
      <w:r w:rsidRPr="5C218C92" w:rsidR="54FECB6D">
        <w:rPr>
          <w:rFonts w:ascii="Arial" w:hAnsi="Arial" w:eastAsia="Arial" w:cs="Arial"/>
          <w:noProof w:val="0"/>
          <w:color w:val="auto"/>
          <w:sz w:val="24"/>
          <w:szCs w:val="24"/>
          <w:lang w:val="en-GB"/>
        </w:rPr>
        <w:t xml:space="preserve">, 32(6), pp. 1060–1072. Available at: </w:t>
      </w:r>
      <w:hyperlink r:id="R9750bda01cf2431c">
        <w:r w:rsidRPr="5C218C92" w:rsidR="54FECB6D">
          <w:rPr>
            <w:rStyle w:val="Hyperlink"/>
            <w:rFonts w:ascii="Arial" w:hAnsi="Arial" w:eastAsia="Arial" w:cs="Arial"/>
            <w:noProof w:val="0"/>
            <w:color w:val="auto"/>
            <w:sz w:val="24"/>
            <w:szCs w:val="24"/>
            <w:lang w:val="en-GB"/>
          </w:rPr>
          <w:t>https://doi.org/10.1108/IJOA-02-2023-3635</w:t>
        </w:r>
      </w:hyperlink>
      <w:r w:rsidRPr="5C218C92" w:rsidR="54FECB6D">
        <w:rPr>
          <w:rFonts w:ascii="Arial" w:hAnsi="Arial" w:eastAsia="Arial" w:cs="Arial"/>
          <w:noProof w:val="0"/>
          <w:color w:val="auto"/>
          <w:sz w:val="24"/>
          <w:szCs w:val="24"/>
          <w:lang w:val="en-GB"/>
        </w:rPr>
        <w:t>.</w:t>
      </w:r>
    </w:p>
    <w:p w:rsidR="5C218C92" w:rsidP="5C218C92" w:rsidRDefault="5C218C92" w14:paraId="31E7229F" w14:textId="5D46B9B4">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5C218C92" w:rsidP="5C218C92" w:rsidRDefault="5C218C92" w14:paraId="4F7CBCB2" w14:textId="1147E7AD">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2B8ACDEB" w:rsidP="5C218C92" w:rsidRDefault="2B8ACDEB" w14:paraId="38BB305F" w14:textId="332DAB39">
      <w:pPr>
        <w:spacing w:before="0" w:beforeAutospacing="off" w:after="0" w:afterAutospacing="off" w:line="360" w:lineRule="auto"/>
        <w:jc w:val="both"/>
        <w:rPr>
          <w:rFonts w:ascii="Arial" w:hAnsi="Arial" w:eastAsia="Arial" w:cs="Arial"/>
          <w:noProof w:val="0"/>
          <w:color w:val="auto"/>
          <w:sz w:val="24"/>
          <w:szCs w:val="24"/>
          <w:lang w:val="en-GB"/>
        </w:rPr>
      </w:pPr>
      <w:r w:rsidRPr="5C218C92" w:rsidR="2B8ACDEB">
        <w:rPr>
          <w:rFonts w:ascii="Arial" w:hAnsi="Arial" w:eastAsia="Arial" w:cs="Arial"/>
          <w:noProof w:val="0"/>
          <w:color w:val="auto"/>
          <w:sz w:val="24"/>
          <w:szCs w:val="24"/>
          <w:lang w:val="en-GB"/>
        </w:rPr>
        <w:t xml:space="preserve">Fisher, G., Wisneski, J.E. and Bakker, R.M. (2020) ‘VRIO’, in </w:t>
      </w:r>
      <w:r w:rsidRPr="5C218C92" w:rsidR="2B8ACDEB">
        <w:rPr>
          <w:rFonts w:ascii="Arial" w:hAnsi="Arial" w:eastAsia="Arial" w:cs="Arial"/>
          <w:i w:val="1"/>
          <w:iCs w:val="1"/>
          <w:noProof w:val="0"/>
          <w:color w:val="auto"/>
          <w:sz w:val="24"/>
          <w:szCs w:val="24"/>
          <w:lang w:val="en-GB"/>
        </w:rPr>
        <w:t>Strategy in 3D</w:t>
      </w:r>
      <w:r w:rsidRPr="5C218C92" w:rsidR="2B8ACDEB">
        <w:rPr>
          <w:rFonts w:ascii="Arial" w:hAnsi="Arial" w:eastAsia="Arial" w:cs="Arial"/>
          <w:noProof w:val="0"/>
          <w:color w:val="auto"/>
          <w:sz w:val="24"/>
          <w:szCs w:val="24"/>
          <w:lang w:val="en-GB"/>
        </w:rPr>
        <w:t xml:space="preserve">. New York: Oxford University Press. Available at: </w:t>
      </w:r>
      <w:hyperlink r:id="R8db1e3ae50204f20">
        <w:r w:rsidRPr="5C218C92" w:rsidR="2B8ACDEB">
          <w:rPr>
            <w:rStyle w:val="Hyperlink"/>
            <w:rFonts w:ascii="Arial" w:hAnsi="Arial" w:eastAsia="Arial" w:cs="Arial"/>
            <w:noProof w:val="0"/>
            <w:color w:val="auto"/>
            <w:sz w:val="24"/>
            <w:szCs w:val="24"/>
            <w:lang w:val="en-GB"/>
          </w:rPr>
          <w:t>https://doi.org/10.1093/oso/9780190081478.003.0009</w:t>
        </w:r>
      </w:hyperlink>
      <w:r w:rsidRPr="5C218C92" w:rsidR="2B8ACDEB">
        <w:rPr>
          <w:rFonts w:ascii="Arial" w:hAnsi="Arial" w:eastAsia="Arial" w:cs="Arial"/>
          <w:noProof w:val="0"/>
          <w:color w:val="auto"/>
          <w:sz w:val="24"/>
          <w:szCs w:val="24"/>
          <w:lang w:val="en-GB"/>
        </w:rPr>
        <w:t>.</w:t>
      </w:r>
    </w:p>
    <w:p w:rsidR="5C218C92" w:rsidP="5C218C92" w:rsidRDefault="5C218C92" w14:paraId="3582DF02" w14:textId="3DBC8FB1">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0B7A9FDA" w:rsidP="5C218C92" w:rsidRDefault="0B7A9FDA" w14:paraId="68BD751A" w14:textId="7FF7340E">
      <w:pPr>
        <w:spacing w:before="0" w:beforeAutospacing="off" w:after="0" w:afterAutospacing="off" w:line="360" w:lineRule="auto"/>
        <w:jc w:val="both"/>
        <w:rPr>
          <w:rFonts w:ascii="Arial" w:hAnsi="Arial" w:eastAsia="Arial" w:cs="Arial"/>
          <w:noProof w:val="0"/>
          <w:color w:val="auto"/>
          <w:sz w:val="24"/>
          <w:szCs w:val="24"/>
          <w:lang w:val="en-GB"/>
        </w:rPr>
      </w:pPr>
      <w:r w:rsidRPr="5C218C92" w:rsidR="0B7A9FDA">
        <w:rPr>
          <w:rFonts w:ascii="Arial" w:hAnsi="Arial" w:eastAsia="Arial" w:cs="Arial"/>
          <w:noProof w:val="0"/>
          <w:color w:val="auto"/>
          <w:sz w:val="24"/>
          <w:szCs w:val="24"/>
          <w:lang w:val="en-GB"/>
        </w:rPr>
        <w:t xml:space="preserve">Frater, </w:t>
      </w:r>
      <w:r w:rsidRPr="5C218C92" w:rsidR="0B7A9FDA">
        <w:rPr>
          <w:rFonts w:ascii="Arial" w:hAnsi="Arial" w:eastAsia="Arial" w:cs="Arial"/>
          <w:noProof w:val="0"/>
          <w:color w:val="auto"/>
          <w:sz w:val="24"/>
          <w:szCs w:val="24"/>
          <w:lang w:val="en-GB"/>
        </w:rPr>
        <w:t>P.</w:t>
      </w:r>
      <w:r w:rsidRPr="5C218C92" w:rsidR="0B7A9FDA">
        <w:rPr>
          <w:rFonts w:ascii="Arial" w:hAnsi="Arial" w:eastAsia="Arial" w:cs="Arial"/>
          <w:noProof w:val="0"/>
          <w:color w:val="auto"/>
          <w:sz w:val="24"/>
          <w:szCs w:val="24"/>
          <w:lang w:val="en-GB"/>
        </w:rPr>
        <w:t xml:space="preserve"> and Ramachandran, N. (2018) ‘Asian Originals Take Market Pole Position’, </w:t>
      </w:r>
      <w:r w:rsidRPr="5C218C92" w:rsidR="0B7A9FDA">
        <w:rPr>
          <w:rFonts w:ascii="Arial" w:hAnsi="Arial" w:eastAsia="Arial" w:cs="Arial"/>
          <w:i w:val="1"/>
          <w:iCs w:val="1"/>
          <w:noProof w:val="0"/>
          <w:color w:val="auto"/>
          <w:sz w:val="24"/>
          <w:szCs w:val="24"/>
          <w:lang w:val="en-GB"/>
        </w:rPr>
        <w:t>Variety</w:t>
      </w:r>
      <w:r w:rsidRPr="5C218C92" w:rsidR="0B7A9FDA">
        <w:rPr>
          <w:rFonts w:ascii="Arial" w:hAnsi="Arial" w:eastAsia="Arial" w:cs="Arial"/>
          <w:noProof w:val="0"/>
          <w:color w:val="auto"/>
          <w:sz w:val="24"/>
          <w:szCs w:val="24"/>
          <w:lang w:val="en-GB"/>
        </w:rPr>
        <w:t>, pp. 146–148.</w:t>
      </w:r>
    </w:p>
    <w:p w:rsidR="5C218C92" w:rsidP="5C218C92" w:rsidRDefault="5C218C92" w14:paraId="55B2CC40" w14:textId="1B6FBD07">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0F9A7CDF" w:rsidP="5C218C92" w:rsidRDefault="0F9A7CDF" w14:paraId="31722D6A" w14:textId="0F5D0851">
      <w:pPr>
        <w:spacing w:after="0" w:line="360" w:lineRule="auto"/>
        <w:jc w:val="both"/>
        <w:rPr>
          <w:rFonts w:ascii="Arial" w:hAnsi="Arial" w:eastAsia="Arial" w:cs="Arial"/>
          <w:b w:val="0"/>
          <w:bCs w:val="0"/>
          <w:color w:val="auto" w:themeColor="text1"/>
          <w:sz w:val="24"/>
          <w:szCs w:val="24"/>
        </w:rPr>
      </w:pPr>
      <w:r w:rsidRPr="5C218C92" w:rsidR="57F1A0FE">
        <w:rPr>
          <w:rFonts w:ascii="Arial" w:hAnsi="Arial" w:eastAsia="Arial" w:cs="Arial"/>
          <w:b w:val="0"/>
          <w:bCs w:val="0"/>
          <w:color w:val="auto"/>
          <w:sz w:val="24"/>
          <w:szCs w:val="24"/>
        </w:rPr>
        <w:t>Gavurova</w:t>
      </w:r>
      <w:r w:rsidRPr="5C218C92" w:rsidR="57F1A0FE">
        <w:rPr>
          <w:rFonts w:ascii="Arial" w:hAnsi="Arial" w:eastAsia="Arial" w:cs="Arial"/>
          <w:b w:val="0"/>
          <w:bCs w:val="0"/>
          <w:color w:val="auto"/>
          <w:sz w:val="24"/>
          <w:szCs w:val="24"/>
        </w:rPr>
        <w:t xml:space="preserve">, B. </w:t>
      </w:r>
      <w:r w:rsidRPr="5C218C92" w:rsidR="57F1A0FE">
        <w:rPr>
          <w:rFonts w:ascii="Arial" w:hAnsi="Arial" w:eastAsia="Arial" w:cs="Arial"/>
          <w:b w:val="0"/>
          <w:bCs w:val="0"/>
          <w:i w:val="1"/>
          <w:iCs w:val="1"/>
          <w:color w:val="auto"/>
          <w:sz w:val="24"/>
          <w:szCs w:val="24"/>
        </w:rPr>
        <w:t>et al.</w:t>
      </w:r>
      <w:r w:rsidRPr="5C218C92" w:rsidR="57F1A0FE">
        <w:rPr>
          <w:rFonts w:ascii="Arial" w:hAnsi="Arial" w:eastAsia="Arial" w:cs="Arial"/>
          <w:b w:val="0"/>
          <w:bCs w:val="0"/>
          <w:color w:val="auto"/>
          <w:sz w:val="24"/>
          <w:szCs w:val="24"/>
        </w:rPr>
        <w:t xml:space="preserve"> (2020) ‘Strategic Management in SMEs and Its Significance for Enhancing the Competitiveness in the V4 Countries - A Comparative Analysis’, </w:t>
      </w:r>
      <w:r w:rsidRPr="5C218C92" w:rsidR="57F1A0FE">
        <w:rPr>
          <w:rFonts w:ascii="Arial" w:hAnsi="Arial" w:eastAsia="Arial" w:cs="Arial"/>
          <w:b w:val="0"/>
          <w:bCs w:val="0"/>
          <w:i w:val="1"/>
          <w:iCs w:val="1"/>
          <w:color w:val="auto"/>
          <w:sz w:val="24"/>
          <w:szCs w:val="24"/>
        </w:rPr>
        <w:t>Management &amp; marketing (Bucharest, Romania)</w:t>
      </w:r>
      <w:r w:rsidRPr="5C218C92" w:rsidR="57F1A0FE">
        <w:rPr>
          <w:rFonts w:ascii="Arial" w:hAnsi="Arial" w:eastAsia="Arial" w:cs="Arial"/>
          <w:b w:val="0"/>
          <w:bCs w:val="0"/>
          <w:color w:val="auto"/>
          <w:sz w:val="24"/>
          <w:szCs w:val="24"/>
        </w:rPr>
        <w:t xml:space="preserve">, 15(4), pp. 557–569. Available at: </w:t>
      </w:r>
      <w:hyperlink r:id="Rf47e6c842ada46d9">
        <w:r w:rsidRPr="5C218C92" w:rsidR="57F1A0FE">
          <w:rPr>
            <w:rStyle w:val="Hyperlink"/>
            <w:rFonts w:ascii="Arial" w:hAnsi="Arial" w:eastAsia="Arial" w:cs="Arial"/>
            <w:b w:val="0"/>
            <w:bCs w:val="0"/>
            <w:color w:val="auto"/>
            <w:sz w:val="24"/>
            <w:szCs w:val="24"/>
          </w:rPr>
          <w:t>https://doi.org/10.2478/mmcks-2020-0032</w:t>
        </w:r>
      </w:hyperlink>
      <w:r w:rsidRPr="5C218C92" w:rsidR="57F1A0FE">
        <w:rPr>
          <w:rFonts w:ascii="Arial" w:hAnsi="Arial" w:eastAsia="Arial" w:cs="Arial"/>
          <w:b w:val="0"/>
          <w:bCs w:val="0"/>
          <w:color w:val="auto"/>
          <w:sz w:val="24"/>
          <w:szCs w:val="24"/>
        </w:rPr>
        <w:t>.</w:t>
      </w:r>
    </w:p>
    <w:p w:rsidR="42748C50" w:rsidP="5C218C92" w:rsidRDefault="42748C50" w14:paraId="65AE7E90" w14:textId="06B18989">
      <w:pPr>
        <w:spacing w:after="0" w:line="360" w:lineRule="auto"/>
        <w:jc w:val="both"/>
        <w:rPr>
          <w:rFonts w:ascii="Arial" w:hAnsi="Arial" w:eastAsia="Arial" w:cs="Arial"/>
          <w:b w:val="0"/>
          <w:bCs w:val="0"/>
          <w:color w:val="auto" w:themeColor="text1"/>
          <w:sz w:val="24"/>
          <w:szCs w:val="24"/>
        </w:rPr>
      </w:pPr>
    </w:p>
    <w:p w:rsidR="2AB82229" w:rsidP="5C218C92" w:rsidRDefault="2AB82229" w14:paraId="67117FDD" w14:textId="67F03EDC">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2AB82229">
        <w:rPr>
          <w:rFonts w:ascii="Arial" w:hAnsi="Arial" w:eastAsia="Arial" w:cs="Arial"/>
          <w:b w:val="0"/>
          <w:bCs w:val="0"/>
          <w:noProof w:val="0"/>
          <w:color w:val="auto"/>
          <w:sz w:val="24"/>
          <w:szCs w:val="24"/>
          <w:lang w:val="en-GB"/>
        </w:rPr>
        <w:t xml:space="preserve">Jeffreys, </w:t>
      </w:r>
      <w:r w:rsidRPr="5C218C92" w:rsidR="2AB82229">
        <w:rPr>
          <w:rFonts w:ascii="Arial" w:hAnsi="Arial" w:eastAsia="Arial" w:cs="Arial"/>
          <w:b w:val="0"/>
          <w:bCs w:val="0"/>
          <w:noProof w:val="0"/>
          <w:color w:val="auto"/>
          <w:sz w:val="24"/>
          <w:szCs w:val="24"/>
          <w:lang w:val="en-GB"/>
        </w:rPr>
        <w:t>E.</w:t>
      </w:r>
      <w:r w:rsidRPr="5C218C92" w:rsidR="2AB82229">
        <w:rPr>
          <w:rFonts w:ascii="Arial" w:hAnsi="Arial" w:eastAsia="Arial" w:cs="Arial"/>
          <w:b w:val="0"/>
          <w:bCs w:val="0"/>
          <w:noProof w:val="0"/>
          <w:color w:val="auto"/>
          <w:sz w:val="24"/>
          <w:szCs w:val="24"/>
          <w:lang w:val="en-GB"/>
        </w:rPr>
        <w:t xml:space="preserve"> and Xu, J. (2023) ‘Indenturing Celebrity: Governing China’s Entertainment Industries’, </w:t>
      </w:r>
      <w:r w:rsidRPr="5C218C92" w:rsidR="2AB82229">
        <w:rPr>
          <w:rFonts w:ascii="Arial" w:hAnsi="Arial" w:eastAsia="Arial" w:cs="Arial"/>
          <w:b w:val="0"/>
          <w:bCs w:val="0"/>
          <w:i w:val="1"/>
          <w:iCs w:val="1"/>
          <w:noProof w:val="0"/>
          <w:color w:val="auto"/>
          <w:sz w:val="24"/>
          <w:szCs w:val="24"/>
          <w:lang w:val="en-GB"/>
        </w:rPr>
        <w:t>Modern China</w:t>
      </w:r>
      <w:r w:rsidRPr="5C218C92" w:rsidR="2AB82229">
        <w:rPr>
          <w:rFonts w:ascii="Arial" w:hAnsi="Arial" w:eastAsia="Arial" w:cs="Arial"/>
          <w:b w:val="0"/>
          <w:bCs w:val="0"/>
          <w:noProof w:val="0"/>
          <w:color w:val="auto"/>
          <w:sz w:val="24"/>
          <w:szCs w:val="24"/>
          <w:lang w:val="en-GB"/>
        </w:rPr>
        <w:t xml:space="preserve">, 49(5), pp. 564–588. Available at: </w:t>
      </w:r>
      <w:hyperlink r:id="Rc09b8a6c02354e91">
        <w:r w:rsidRPr="5C218C92" w:rsidR="2AB82229">
          <w:rPr>
            <w:rStyle w:val="Hyperlink"/>
            <w:rFonts w:ascii="Arial" w:hAnsi="Arial" w:eastAsia="Arial" w:cs="Arial"/>
            <w:b w:val="0"/>
            <w:bCs w:val="0"/>
            <w:noProof w:val="0"/>
            <w:color w:val="auto"/>
            <w:sz w:val="24"/>
            <w:szCs w:val="24"/>
            <w:lang w:val="en-GB"/>
          </w:rPr>
          <w:t>https://doi.org/10.1177/00977004221133533</w:t>
        </w:r>
      </w:hyperlink>
      <w:r w:rsidRPr="5C218C92" w:rsidR="2AB82229">
        <w:rPr>
          <w:rFonts w:ascii="Arial" w:hAnsi="Arial" w:eastAsia="Arial" w:cs="Arial"/>
          <w:b w:val="0"/>
          <w:bCs w:val="0"/>
          <w:noProof w:val="0"/>
          <w:color w:val="auto"/>
          <w:sz w:val="24"/>
          <w:szCs w:val="24"/>
          <w:lang w:val="en-GB"/>
        </w:rPr>
        <w:t>.</w:t>
      </w:r>
    </w:p>
    <w:p w:rsidR="5C218C92" w:rsidP="5C218C92" w:rsidRDefault="5C218C92" w14:paraId="28919E63" w14:textId="51B851C6">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328ED4E4" w:rsidP="5C218C92" w:rsidRDefault="328ED4E4" w14:paraId="6D36DDD8" w14:textId="342DCB8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5C218C92" w:rsidR="328ED4E4">
        <w:rPr>
          <w:rFonts w:ascii="Arial" w:hAnsi="Arial" w:eastAsia="Arial" w:cs="Arial"/>
          <w:b w:val="0"/>
          <w:bCs w:val="0"/>
          <w:i w:val="0"/>
          <w:iCs w:val="0"/>
          <w:caps w:val="0"/>
          <w:smallCaps w:val="0"/>
          <w:noProof w:val="0"/>
          <w:color w:val="auto"/>
          <w:sz w:val="24"/>
          <w:szCs w:val="24"/>
          <w:lang w:val="en-GB"/>
        </w:rPr>
        <w:t xml:space="preserve">Jia, L. and </w:t>
      </w:r>
      <w:r w:rsidRPr="5C218C92" w:rsidR="328ED4E4">
        <w:rPr>
          <w:rFonts w:ascii="Arial" w:hAnsi="Arial" w:eastAsia="Arial" w:cs="Arial"/>
          <w:b w:val="0"/>
          <w:bCs w:val="0"/>
          <w:i w:val="0"/>
          <w:iCs w:val="0"/>
          <w:caps w:val="0"/>
          <w:smallCaps w:val="0"/>
          <w:noProof w:val="0"/>
          <w:color w:val="auto"/>
          <w:sz w:val="24"/>
          <w:szCs w:val="24"/>
          <w:lang w:val="en-GB"/>
        </w:rPr>
        <w:t>Winseck</w:t>
      </w:r>
      <w:r w:rsidRPr="5C218C92" w:rsidR="328ED4E4">
        <w:rPr>
          <w:rFonts w:ascii="Arial" w:hAnsi="Arial" w:eastAsia="Arial" w:cs="Arial"/>
          <w:b w:val="0"/>
          <w:bCs w:val="0"/>
          <w:i w:val="0"/>
          <w:iCs w:val="0"/>
          <w:caps w:val="0"/>
          <w:smallCaps w:val="0"/>
          <w:noProof w:val="0"/>
          <w:color w:val="auto"/>
          <w:sz w:val="24"/>
          <w:szCs w:val="24"/>
          <w:lang w:val="en-GB"/>
        </w:rPr>
        <w:t xml:space="preserve">, D., 2018. The political economy of Chinese internet companies: Financialization, concentration, and capitalization. </w:t>
      </w:r>
      <w:r w:rsidRPr="5C218C92" w:rsidR="328ED4E4">
        <w:rPr>
          <w:rFonts w:ascii="Arial" w:hAnsi="Arial" w:eastAsia="Arial" w:cs="Arial"/>
          <w:b w:val="0"/>
          <w:bCs w:val="0"/>
          <w:i w:val="1"/>
          <w:iCs w:val="1"/>
          <w:caps w:val="0"/>
          <w:smallCaps w:val="0"/>
          <w:noProof w:val="0"/>
          <w:color w:val="auto"/>
          <w:sz w:val="24"/>
          <w:szCs w:val="24"/>
          <w:lang w:val="en-GB"/>
        </w:rPr>
        <w:t>International Communication Gazette</w:t>
      </w:r>
      <w:r w:rsidRPr="5C218C92" w:rsidR="328ED4E4">
        <w:rPr>
          <w:rFonts w:ascii="Arial" w:hAnsi="Arial" w:eastAsia="Arial" w:cs="Arial"/>
          <w:b w:val="0"/>
          <w:bCs w:val="0"/>
          <w:i w:val="0"/>
          <w:iCs w:val="0"/>
          <w:caps w:val="0"/>
          <w:smallCaps w:val="0"/>
          <w:noProof w:val="0"/>
          <w:color w:val="auto"/>
          <w:sz w:val="24"/>
          <w:szCs w:val="24"/>
          <w:lang w:val="en-GB"/>
        </w:rPr>
        <w:t xml:space="preserve">, </w:t>
      </w:r>
      <w:r w:rsidRPr="5C218C92" w:rsidR="328ED4E4">
        <w:rPr>
          <w:rFonts w:ascii="Arial" w:hAnsi="Arial" w:eastAsia="Arial" w:cs="Arial"/>
          <w:b w:val="0"/>
          <w:bCs w:val="0"/>
          <w:i w:val="1"/>
          <w:iCs w:val="1"/>
          <w:caps w:val="0"/>
          <w:smallCaps w:val="0"/>
          <w:noProof w:val="0"/>
          <w:color w:val="auto"/>
          <w:sz w:val="24"/>
          <w:szCs w:val="24"/>
          <w:lang w:val="en-GB"/>
        </w:rPr>
        <w:t>80</w:t>
      </w:r>
      <w:r w:rsidRPr="5C218C92" w:rsidR="328ED4E4">
        <w:rPr>
          <w:rFonts w:ascii="Arial" w:hAnsi="Arial" w:eastAsia="Arial" w:cs="Arial"/>
          <w:b w:val="0"/>
          <w:bCs w:val="0"/>
          <w:i w:val="0"/>
          <w:iCs w:val="0"/>
          <w:caps w:val="0"/>
          <w:smallCaps w:val="0"/>
          <w:noProof w:val="0"/>
          <w:color w:val="auto"/>
          <w:sz w:val="24"/>
          <w:szCs w:val="24"/>
          <w:lang w:val="en-GB"/>
        </w:rPr>
        <w:t>(1), pp.30-59.</w:t>
      </w:r>
    </w:p>
    <w:p w:rsidR="5C218C92" w:rsidP="5C218C92" w:rsidRDefault="5C218C92" w14:paraId="14B3AC95" w14:textId="4FAF9B3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BAC8A2C" w:rsidP="5C218C92" w:rsidRDefault="6BAC8A2C" w14:paraId="3720FB0A" w14:textId="2EBE622D">
      <w:pPr>
        <w:spacing w:before="0" w:beforeAutospacing="off" w:after="240" w:afterAutospacing="off" w:line="360" w:lineRule="auto"/>
        <w:jc w:val="both"/>
        <w:rPr>
          <w:rFonts w:ascii="Arial" w:hAnsi="Arial" w:eastAsia="Arial" w:cs="Arial"/>
          <w:noProof w:val="0"/>
          <w:color w:val="auto"/>
          <w:sz w:val="24"/>
          <w:szCs w:val="24"/>
          <w:lang w:val="en-GB"/>
        </w:rPr>
      </w:pPr>
      <w:r w:rsidRPr="5C218C92" w:rsidR="6BAC8A2C">
        <w:rPr>
          <w:rFonts w:ascii="Arial" w:hAnsi="Arial" w:eastAsia="Arial" w:cs="Arial"/>
          <w:noProof w:val="0"/>
          <w:color w:val="auto"/>
          <w:sz w:val="24"/>
          <w:szCs w:val="24"/>
          <w:lang w:val="en-GB"/>
        </w:rPr>
        <w:t>Komisarof</w:t>
      </w:r>
      <w:r w:rsidRPr="5C218C92" w:rsidR="6BAC8A2C">
        <w:rPr>
          <w:rFonts w:ascii="Arial" w:hAnsi="Arial" w:eastAsia="Arial" w:cs="Arial"/>
          <w:noProof w:val="0"/>
          <w:color w:val="auto"/>
          <w:sz w:val="24"/>
          <w:szCs w:val="24"/>
          <w:lang w:val="en-GB"/>
        </w:rPr>
        <w:t xml:space="preserve">, A. and </w:t>
      </w:r>
      <w:r w:rsidRPr="5C218C92" w:rsidR="6BAC8A2C">
        <w:rPr>
          <w:rFonts w:ascii="Arial" w:hAnsi="Arial" w:eastAsia="Arial" w:cs="Arial"/>
          <w:noProof w:val="0"/>
          <w:color w:val="auto"/>
          <w:sz w:val="24"/>
          <w:szCs w:val="24"/>
          <w:lang w:val="en-GB"/>
        </w:rPr>
        <w:t>Akaliyski</w:t>
      </w:r>
      <w:r w:rsidRPr="5C218C92" w:rsidR="6BAC8A2C">
        <w:rPr>
          <w:rFonts w:ascii="Arial" w:hAnsi="Arial" w:eastAsia="Arial" w:cs="Arial"/>
          <w:noProof w:val="0"/>
          <w:color w:val="auto"/>
          <w:sz w:val="24"/>
          <w:szCs w:val="24"/>
          <w:lang w:val="en-GB"/>
        </w:rPr>
        <w:t xml:space="preserve"> , P. (2018) </w:t>
      </w:r>
      <w:r w:rsidRPr="5C218C92" w:rsidR="6BAC8A2C">
        <w:rPr>
          <w:rFonts w:ascii="Arial" w:hAnsi="Arial" w:eastAsia="Arial" w:cs="Arial"/>
          <w:i w:val="1"/>
          <w:iCs w:val="1"/>
          <w:noProof w:val="0"/>
          <w:color w:val="auto"/>
          <w:sz w:val="24"/>
          <w:szCs w:val="24"/>
          <w:lang w:val="en-GB"/>
        </w:rPr>
        <w:t xml:space="preserve">New developments in Hofstede’s Individualism-Collectivism: A guide for scholars, educators, trainers, and </w:t>
      </w:r>
      <w:bookmarkStart w:name="_Int_n0AIzV0y" w:id="1489922178"/>
      <w:r w:rsidRPr="5C218C92" w:rsidR="6BAC8A2C">
        <w:rPr>
          <w:rFonts w:ascii="Arial" w:hAnsi="Arial" w:eastAsia="Arial" w:cs="Arial"/>
          <w:i w:val="1"/>
          <w:iCs w:val="1"/>
          <w:noProof w:val="0"/>
          <w:color w:val="auto"/>
          <w:sz w:val="24"/>
          <w:szCs w:val="24"/>
          <w:lang w:val="en-GB"/>
        </w:rPr>
        <w:t>other</w:t>
      </w:r>
      <w:bookmarkEnd w:id="1489922178"/>
      <w:r w:rsidRPr="5C218C92" w:rsidR="6BAC8A2C">
        <w:rPr>
          <w:rFonts w:ascii="Arial" w:hAnsi="Arial" w:eastAsia="Arial" w:cs="Arial"/>
          <w:i w:val="1"/>
          <w:iCs w:val="1"/>
          <w:noProof w:val="0"/>
          <w:color w:val="auto"/>
          <w:sz w:val="24"/>
          <w:szCs w:val="24"/>
          <w:lang w:val="en-GB"/>
        </w:rPr>
        <w:t xml:space="preserve"> practitioner</w:t>
      </w:r>
      <w:r w:rsidRPr="5C218C92" w:rsidR="6BAC8A2C">
        <w:rPr>
          <w:rFonts w:ascii="Arial" w:hAnsi="Arial" w:eastAsia="Arial" w:cs="Arial"/>
          <w:noProof w:val="0"/>
          <w:color w:val="auto"/>
          <w:sz w:val="24"/>
          <w:szCs w:val="24"/>
          <w:lang w:val="en-GB"/>
        </w:rPr>
        <w:t xml:space="preserve">, </w:t>
      </w:r>
      <w:r w:rsidRPr="5C218C92" w:rsidR="6BAC8A2C">
        <w:rPr>
          <w:rFonts w:ascii="Arial" w:hAnsi="Arial" w:eastAsia="Arial" w:cs="Arial"/>
          <w:i w:val="1"/>
          <w:iCs w:val="1"/>
          <w:noProof w:val="0"/>
          <w:color w:val="auto"/>
          <w:sz w:val="24"/>
          <w:szCs w:val="24"/>
          <w:lang w:val="en-GB"/>
        </w:rPr>
        <w:t>Theculturefactor.com</w:t>
      </w:r>
      <w:r w:rsidRPr="5C218C92" w:rsidR="6BAC8A2C">
        <w:rPr>
          <w:rFonts w:ascii="Arial" w:hAnsi="Arial" w:eastAsia="Arial" w:cs="Arial"/>
          <w:noProof w:val="0"/>
          <w:color w:val="auto"/>
          <w:sz w:val="24"/>
          <w:szCs w:val="24"/>
          <w:lang w:val="en-GB"/>
        </w:rPr>
        <w:t xml:space="preserve">. Available at: </w:t>
      </w:r>
      <w:hyperlink r:id="R33d2e7c1e9634c97">
        <w:r w:rsidRPr="5C218C92" w:rsidR="6BAC8A2C">
          <w:rPr>
            <w:rStyle w:val="Hyperlink"/>
            <w:rFonts w:ascii="Arial" w:hAnsi="Arial" w:eastAsia="Arial" w:cs="Arial"/>
            <w:noProof w:val="0"/>
            <w:color w:val="auto"/>
            <w:sz w:val="24"/>
            <w:szCs w:val="24"/>
            <w:lang w:val="en-GB"/>
          </w:rPr>
          <w:t>https://www.theculturefactor.com/resources/peer-reviewed-research/new-developments-in-hofstedes-individualism-collectivism-a-guide-for-scholars-educators-trainers-and-other-practitioner</w:t>
        </w:r>
      </w:hyperlink>
      <w:r w:rsidRPr="5C218C92" w:rsidR="6BAC8A2C">
        <w:rPr>
          <w:rFonts w:ascii="Arial" w:hAnsi="Arial" w:eastAsia="Arial" w:cs="Arial"/>
          <w:noProof w:val="0"/>
          <w:color w:val="auto"/>
          <w:sz w:val="24"/>
          <w:szCs w:val="24"/>
          <w:lang w:val="en-GB"/>
        </w:rPr>
        <w:t>.</w:t>
      </w:r>
    </w:p>
    <w:p w:rsidR="5C218C92" w:rsidP="5C218C92" w:rsidRDefault="5C218C92" w14:paraId="269CE47A" w14:textId="3F94B90D">
      <w:pPr>
        <w:spacing w:after="0" w:line="360" w:lineRule="auto"/>
        <w:jc w:val="both"/>
        <w:rPr>
          <w:rFonts w:ascii="Arial" w:hAnsi="Arial" w:eastAsia="Arial" w:cs="Arial"/>
          <w:b w:val="0"/>
          <w:bCs w:val="0"/>
          <w:color w:val="auto"/>
          <w:sz w:val="24"/>
          <w:szCs w:val="24"/>
        </w:rPr>
      </w:pPr>
    </w:p>
    <w:p w:rsidR="24C5A962" w:rsidP="5C218C92" w:rsidRDefault="24C5A962" w14:paraId="22E428B9" w14:textId="440C8D2B">
      <w:pPr>
        <w:spacing w:before="0" w:beforeAutospacing="off" w:after="0" w:afterAutospacing="off" w:line="360" w:lineRule="auto"/>
        <w:jc w:val="both"/>
        <w:rPr>
          <w:rFonts w:ascii="Arial" w:hAnsi="Arial" w:eastAsia="Arial" w:cs="Arial"/>
          <w:noProof w:val="0"/>
          <w:color w:val="auto"/>
          <w:sz w:val="24"/>
          <w:szCs w:val="24"/>
          <w:lang w:val="en-GB"/>
        </w:rPr>
      </w:pPr>
      <w:r w:rsidRPr="5C218C92" w:rsidR="24C5A962">
        <w:rPr>
          <w:rFonts w:ascii="Arial" w:hAnsi="Arial" w:eastAsia="Arial" w:cs="Arial"/>
          <w:noProof w:val="0"/>
          <w:color w:val="auto"/>
          <w:sz w:val="24"/>
          <w:szCs w:val="24"/>
          <w:lang w:val="en-GB"/>
        </w:rPr>
        <w:t>Kodono</w:t>
      </w:r>
      <w:r w:rsidRPr="5C218C92" w:rsidR="24C5A962">
        <w:rPr>
          <w:rFonts w:ascii="Arial" w:hAnsi="Arial" w:eastAsia="Arial" w:cs="Arial"/>
          <w:noProof w:val="0"/>
          <w:color w:val="auto"/>
          <w:sz w:val="24"/>
          <w:szCs w:val="24"/>
          <w:lang w:val="en-GB"/>
        </w:rPr>
        <w:t xml:space="preserve">, Y., Zhang, Q. and Yan, W. (2020) ‘Olympus Management Strategy Analysis in Chinese Medical Device Market by Fuzzy VRIO Analysis’, </w:t>
      </w:r>
      <w:r w:rsidRPr="5C218C92" w:rsidR="24C5A962">
        <w:rPr>
          <w:rFonts w:ascii="Arial" w:hAnsi="Arial" w:eastAsia="Arial" w:cs="Arial"/>
          <w:i w:val="1"/>
          <w:iCs w:val="1"/>
          <w:noProof w:val="0"/>
          <w:color w:val="auto"/>
          <w:sz w:val="24"/>
          <w:szCs w:val="24"/>
          <w:lang w:val="en-GB"/>
        </w:rPr>
        <w:t>Journal of combinatorics, information &amp; system sciences</w:t>
      </w:r>
      <w:r w:rsidRPr="5C218C92" w:rsidR="24C5A962">
        <w:rPr>
          <w:rFonts w:ascii="Arial" w:hAnsi="Arial" w:eastAsia="Arial" w:cs="Arial"/>
          <w:noProof w:val="0"/>
          <w:color w:val="auto"/>
          <w:sz w:val="24"/>
          <w:szCs w:val="24"/>
          <w:lang w:val="en-GB"/>
        </w:rPr>
        <w:t xml:space="preserve">, 45(1–4), pp. 387–403. Available at: </w:t>
      </w:r>
      <w:hyperlink r:id="R90026581096c4cd1">
        <w:r w:rsidRPr="5C218C92" w:rsidR="24C5A962">
          <w:rPr>
            <w:rStyle w:val="Hyperlink"/>
            <w:rFonts w:ascii="Arial" w:hAnsi="Arial" w:eastAsia="Arial" w:cs="Arial"/>
            <w:noProof w:val="0"/>
            <w:color w:val="auto"/>
            <w:sz w:val="24"/>
            <w:szCs w:val="24"/>
            <w:lang w:val="en-GB"/>
          </w:rPr>
          <w:t>https://doi.org/10.32381/JCISS.2020.45.1-4.14</w:t>
        </w:r>
      </w:hyperlink>
      <w:r w:rsidRPr="5C218C92" w:rsidR="24C5A962">
        <w:rPr>
          <w:rFonts w:ascii="Arial" w:hAnsi="Arial" w:eastAsia="Arial" w:cs="Arial"/>
          <w:noProof w:val="0"/>
          <w:color w:val="auto"/>
          <w:sz w:val="24"/>
          <w:szCs w:val="24"/>
          <w:lang w:val="en-GB"/>
        </w:rPr>
        <w:t>.</w:t>
      </w:r>
    </w:p>
    <w:p w:rsidR="5C218C92" w:rsidP="5C218C92" w:rsidRDefault="5C218C92" w14:paraId="6EE89E35" w14:textId="1AF4C1E3">
      <w:pPr>
        <w:spacing w:after="0" w:line="360" w:lineRule="auto"/>
        <w:jc w:val="both"/>
        <w:rPr>
          <w:rFonts w:ascii="Arial" w:hAnsi="Arial" w:eastAsia="Arial" w:cs="Arial"/>
          <w:b w:val="0"/>
          <w:bCs w:val="0"/>
          <w:color w:val="auto"/>
          <w:sz w:val="24"/>
          <w:szCs w:val="24"/>
        </w:rPr>
      </w:pPr>
    </w:p>
    <w:p w:rsidR="5CE9F8C3" w:rsidP="5C218C92" w:rsidRDefault="5CE9F8C3" w14:paraId="34292C37" w14:textId="12526724">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5CE9F8C3">
        <w:rPr>
          <w:rFonts w:ascii="Arial" w:hAnsi="Arial" w:eastAsia="Arial" w:cs="Arial"/>
          <w:b w:val="0"/>
          <w:bCs w:val="0"/>
          <w:noProof w:val="0"/>
          <w:color w:val="auto"/>
          <w:sz w:val="24"/>
          <w:szCs w:val="24"/>
          <w:lang w:val="en-GB"/>
        </w:rPr>
        <w:t xml:space="preserve">Kokas, A. (2020) ‘Chilling Netflix: financialization, and the influence of the Chinese market on the American entertainment industry’, </w:t>
      </w:r>
      <w:r w:rsidRPr="5C218C92" w:rsidR="5CE9F8C3">
        <w:rPr>
          <w:rFonts w:ascii="Arial" w:hAnsi="Arial" w:eastAsia="Arial" w:cs="Arial"/>
          <w:b w:val="0"/>
          <w:bCs w:val="0"/>
          <w:i w:val="1"/>
          <w:iCs w:val="1"/>
          <w:noProof w:val="0"/>
          <w:color w:val="auto"/>
          <w:sz w:val="24"/>
          <w:szCs w:val="24"/>
          <w:lang w:val="en-GB"/>
        </w:rPr>
        <w:t>Information, communication &amp; society</w:t>
      </w:r>
      <w:r w:rsidRPr="5C218C92" w:rsidR="5CE9F8C3">
        <w:rPr>
          <w:rFonts w:ascii="Arial" w:hAnsi="Arial" w:eastAsia="Arial" w:cs="Arial"/>
          <w:b w:val="0"/>
          <w:bCs w:val="0"/>
          <w:noProof w:val="0"/>
          <w:color w:val="auto"/>
          <w:sz w:val="24"/>
          <w:szCs w:val="24"/>
          <w:lang w:val="en-GB"/>
        </w:rPr>
        <w:t xml:space="preserve">, 23(3), pp. 407–419. Available at: </w:t>
      </w:r>
      <w:hyperlink r:id="Rf32223c639b24a46">
        <w:r w:rsidRPr="5C218C92" w:rsidR="5CE9F8C3">
          <w:rPr>
            <w:rStyle w:val="Hyperlink"/>
            <w:rFonts w:ascii="Arial" w:hAnsi="Arial" w:eastAsia="Arial" w:cs="Arial"/>
            <w:b w:val="0"/>
            <w:bCs w:val="0"/>
            <w:noProof w:val="0"/>
            <w:color w:val="auto"/>
            <w:sz w:val="24"/>
            <w:szCs w:val="24"/>
            <w:lang w:val="en-GB"/>
          </w:rPr>
          <w:t>https://doi.org/10.1080/1369118X.2018.1510534</w:t>
        </w:r>
      </w:hyperlink>
      <w:r w:rsidRPr="5C218C92" w:rsidR="5CE9F8C3">
        <w:rPr>
          <w:rFonts w:ascii="Arial" w:hAnsi="Arial" w:eastAsia="Arial" w:cs="Arial"/>
          <w:b w:val="0"/>
          <w:bCs w:val="0"/>
          <w:noProof w:val="0"/>
          <w:color w:val="auto"/>
          <w:sz w:val="24"/>
          <w:szCs w:val="24"/>
          <w:lang w:val="en-GB"/>
        </w:rPr>
        <w:t>.</w:t>
      </w:r>
    </w:p>
    <w:p w:rsidR="5C218C92" w:rsidP="5C218C92" w:rsidRDefault="5C218C92" w14:paraId="457ED167" w14:textId="228DBAF3">
      <w:pPr>
        <w:spacing w:after="0" w:line="360" w:lineRule="auto"/>
        <w:jc w:val="both"/>
        <w:rPr>
          <w:rFonts w:ascii="Arial" w:hAnsi="Arial" w:eastAsia="Arial" w:cs="Arial"/>
          <w:b w:val="0"/>
          <w:bCs w:val="0"/>
          <w:color w:val="auto"/>
          <w:sz w:val="24"/>
          <w:szCs w:val="24"/>
        </w:rPr>
      </w:pPr>
    </w:p>
    <w:p w:rsidRPr="00A129D7" w:rsidR="00A129D7" w:rsidP="5C218C92" w:rsidRDefault="00A129D7" w14:paraId="602ADE48" w14:textId="77777777">
      <w:pPr>
        <w:spacing w:line="360" w:lineRule="auto"/>
        <w:jc w:val="both"/>
        <w:rPr>
          <w:rFonts w:ascii="Arial" w:hAnsi="Arial" w:eastAsia="Arial" w:cs="Arial"/>
          <w:b w:val="0"/>
          <w:bCs w:val="0"/>
          <w:color w:val="auto"/>
          <w:sz w:val="24"/>
          <w:szCs w:val="24"/>
        </w:rPr>
      </w:pPr>
      <w:r w:rsidRPr="5C218C92" w:rsidR="20DC2CAB">
        <w:rPr>
          <w:rFonts w:ascii="Arial" w:hAnsi="Arial" w:eastAsia="Arial" w:cs="Arial"/>
          <w:b w:val="0"/>
          <w:bCs w:val="0"/>
          <w:color w:val="auto"/>
          <w:sz w:val="24"/>
          <w:szCs w:val="24"/>
        </w:rPr>
        <w:t xml:space="preserve">Kools, M. and George, B. (2020) ‘Debate: The learning organization-a key construct linking strategic planning and strategic management’, </w:t>
      </w:r>
      <w:r w:rsidRPr="5C218C92" w:rsidR="20DC2CAB">
        <w:rPr>
          <w:rFonts w:ascii="Arial" w:hAnsi="Arial" w:eastAsia="Arial" w:cs="Arial"/>
          <w:b w:val="0"/>
          <w:bCs w:val="0"/>
          <w:i w:val="1"/>
          <w:iCs w:val="1"/>
          <w:color w:val="auto"/>
          <w:sz w:val="24"/>
          <w:szCs w:val="24"/>
        </w:rPr>
        <w:t>Public money &amp; management</w:t>
      </w:r>
      <w:r w:rsidRPr="5C218C92" w:rsidR="20DC2CAB">
        <w:rPr>
          <w:rFonts w:ascii="Arial" w:hAnsi="Arial" w:eastAsia="Arial" w:cs="Arial"/>
          <w:b w:val="0"/>
          <w:bCs w:val="0"/>
          <w:color w:val="auto"/>
          <w:sz w:val="24"/>
          <w:szCs w:val="24"/>
        </w:rPr>
        <w:t xml:space="preserve">, 40(4), pp. 262–264. Available at: </w:t>
      </w:r>
      <w:hyperlink r:id="R6518d18efe2743f7">
        <w:r w:rsidRPr="5C218C92" w:rsidR="20DC2CAB">
          <w:rPr>
            <w:rStyle w:val="Hyperlink"/>
            <w:rFonts w:ascii="Arial" w:hAnsi="Arial" w:eastAsia="Arial" w:cs="Arial"/>
            <w:b w:val="0"/>
            <w:bCs w:val="0"/>
            <w:color w:val="auto"/>
            <w:sz w:val="24"/>
            <w:szCs w:val="24"/>
          </w:rPr>
          <w:t>https://doi.org/10.1080/09540962.2020.1727112</w:t>
        </w:r>
      </w:hyperlink>
      <w:r w:rsidRPr="5C218C92" w:rsidR="20DC2CAB">
        <w:rPr>
          <w:rFonts w:ascii="Arial" w:hAnsi="Arial" w:eastAsia="Arial" w:cs="Arial"/>
          <w:b w:val="0"/>
          <w:bCs w:val="0"/>
          <w:color w:val="auto"/>
          <w:sz w:val="24"/>
          <w:szCs w:val="24"/>
        </w:rPr>
        <w:t>.</w:t>
      </w:r>
    </w:p>
    <w:p w:rsidR="52DFA0F3" w:rsidP="5C218C92" w:rsidRDefault="52DFA0F3" w14:paraId="531D1DCF" w14:textId="66977956">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52DFA0F3">
        <w:rPr>
          <w:rFonts w:ascii="Arial" w:hAnsi="Arial" w:eastAsia="Arial" w:cs="Arial"/>
          <w:b w:val="0"/>
          <w:bCs w:val="0"/>
          <w:noProof w:val="0"/>
          <w:color w:val="auto"/>
          <w:sz w:val="24"/>
          <w:szCs w:val="24"/>
          <w:lang w:val="en-GB"/>
        </w:rPr>
        <w:t xml:space="preserve">Li, H. </w:t>
      </w:r>
      <w:r w:rsidRPr="5C218C92" w:rsidR="52DFA0F3">
        <w:rPr>
          <w:rFonts w:ascii="Arial" w:hAnsi="Arial" w:eastAsia="Arial" w:cs="Arial"/>
          <w:b w:val="0"/>
          <w:bCs w:val="0"/>
          <w:i w:val="1"/>
          <w:iCs w:val="1"/>
          <w:noProof w:val="0"/>
          <w:color w:val="auto"/>
          <w:sz w:val="24"/>
          <w:szCs w:val="24"/>
          <w:lang w:val="en-GB"/>
        </w:rPr>
        <w:t>et al.</w:t>
      </w:r>
      <w:r w:rsidRPr="5C218C92" w:rsidR="52DFA0F3">
        <w:rPr>
          <w:rFonts w:ascii="Arial" w:hAnsi="Arial" w:eastAsia="Arial" w:cs="Arial"/>
          <w:b w:val="0"/>
          <w:bCs w:val="0"/>
          <w:noProof w:val="0"/>
          <w:color w:val="auto"/>
          <w:sz w:val="24"/>
          <w:szCs w:val="24"/>
          <w:lang w:val="en-GB"/>
        </w:rPr>
        <w:t xml:space="preserve"> (2022) ‘Blockchain technology empowers telecom network operation’, </w:t>
      </w:r>
      <w:r w:rsidRPr="5C218C92" w:rsidR="52DFA0F3">
        <w:rPr>
          <w:rFonts w:ascii="Arial" w:hAnsi="Arial" w:eastAsia="Arial" w:cs="Arial"/>
          <w:b w:val="0"/>
          <w:bCs w:val="0"/>
          <w:i w:val="1"/>
          <w:iCs w:val="1"/>
          <w:noProof w:val="0"/>
          <w:color w:val="auto"/>
          <w:sz w:val="24"/>
          <w:szCs w:val="24"/>
          <w:lang w:val="en-GB"/>
        </w:rPr>
        <w:t>China communications</w:t>
      </w:r>
      <w:r w:rsidRPr="5C218C92" w:rsidR="52DFA0F3">
        <w:rPr>
          <w:rFonts w:ascii="Arial" w:hAnsi="Arial" w:eastAsia="Arial" w:cs="Arial"/>
          <w:b w:val="0"/>
          <w:bCs w:val="0"/>
          <w:noProof w:val="0"/>
          <w:color w:val="auto"/>
          <w:sz w:val="24"/>
          <w:szCs w:val="24"/>
          <w:lang w:val="en-GB"/>
        </w:rPr>
        <w:t xml:space="preserve">, 19(1), pp. 274–283. Available at: </w:t>
      </w:r>
      <w:hyperlink r:id="Rf6019967e35b490c">
        <w:r w:rsidRPr="5C218C92" w:rsidR="52DFA0F3">
          <w:rPr>
            <w:rStyle w:val="Hyperlink"/>
            <w:rFonts w:ascii="Arial" w:hAnsi="Arial" w:eastAsia="Arial" w:cs="Arial"/>
            <w:b w:val="0"/>
            <w:bCs w:val="0"/>
            <w:noProof w:val="0"/>
            <w:color w:val="auto"/>
            <w:sz w:val="24"/>
            <w:szCs w:val="24"/>
            <w:lang w:val="en-GB"/>
          </w:rPr>
          <w:t>https://doi.org/10.23919/JCC.2022.01.020</w:t>
        </w:r>
      </w:hyperlink>
      <w:r w:rsidRPr="5C218C92" w:rsidR="52DFA0F3">
        <w:rPr>
          <w:rFonts w:ascii="Arial" w:hAnsi="Arial" w:eastAsia="Arial" w:cs="Arial"/>
          <w:b w:val="0"/>
          <w:bCs w:val="0"/>
          <w:noProof w:val="0"/>
          <w:color w:val="auto"/>
          <w:sz w:val="24"/>
          <w:szCs w:val="24"/>
          <w:lang w:val="en-GB"/>
        </w:rPr>
        <w:t>.</w:t>
      </w:r>
    </w:p>
    <w:p w:rsidR="5C218C92" w:rsidP="5C218C92" w:rsidRDefault="5C218C92" w14:paraId="2D4B2826" w14:textId="36D777DA">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22253AF8" w:rsidP="5C218C92" w:rsidRDefault="22253AF8" w14:paraId="58D7C4D9" w14:textId="0B13BA9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5C218C92" w:rsidR="22253AF8">
        <w:rPr>
          <w:rFonts w:ascii="Arial" w:hAnsi="Arial" w:eastAsia="Arial" w:cs="Arial"/>
          <w:b w:val="0"/>
          <w:bCs w:val="0"/>
          <w:i w:val="0"/>
          <w:iCs w:val="0"/>
          <w:caps w:val="0"/>
          <w:smallCaps w:val="0"/>
          <w:noProof w:val="0"/>
          <w:color w:val="auto"/>
          <w:sz w:val="24"/>
          <w:szCs w:val="24"/>
          <w:lang w:val="en-GB"/>
        </w:rPr>
        <w:t>Li, H., (</w:t>
      </w:r>
      <w:r w:rsidRPr="5C218C92" w:rsidR="22253AF8">
        <w:rPr>
          <w:rFonts w:ascii="Arial" w:hAnsi="Arial" w:eastAsia="Arial" w:cs="Arial"/>
          <w:b w:val="0"/>
          <w:bCs w:val="0"/>
          <w:i w:val="0"/>
          <w:iCs w:val="0"/>
          <w:caps w:val="0"/>
          <w:smallCaps w:val="0"/>
          <w:noProof w:val="0"/>
          <w:color w:val="auto"/>
          <w:sz w:val="24"/>
          <w:szCs w:val="24"/>
          <w:lang w:val="en-GB"/>
        </w:rPr>
        <w:t xml:space="preserve">2025) </w:t>
      </w:r>
      <w:r w:rsidRPr="5C218C92" w:rsidR="22253AF8">
        <w:rPr>
          <w:rFonts w:ascii="Arial" w:hAnsi="Arial" w:eastAsia="Arial" w:cs="Arial"/>
          <w:b w:val="0"/>
          <w:bCs w:val="0"/>
          <w:i w:val="1"/>
          <w:iCs w:val="1"/>
          <w:caps w:val="0"/>
          <w:smallCaps w:val="0"/>
          <w:noProof w:val="0"/>
          <w:color w:val="auto"/>
          <w:sz w:val="24"/>
          <w:szCs w:val="24"/>
          <w:lang w:val="en-GB"/>
        </w:rPr>
        <w:t>A Detailed Analysis of the Great Fire Wall in China</w:t>
      </w:r>
      <w:r w:rsidRPr="5C218C92" w:rsidR="22253AF8">
        <w:rPr>
          <w:rFonts w:ascii="Arial" w:hAnsi="Arial" w:eastAsia="Arial" w:cs="Arial"/>
          <w:b w:val="0"/>
          <w:bCs w:val="0"/>
          <w:i w:val="0"/>
          <w:iCs w:val="0"/>
          <w:caps w:val="0"/>
          <w:smallCaps w:val="0"/>
          <w:noProof w:val="0"/>
          <w:color w:val="auto"/>
          <w:sz w:val="24"/>
          <w:szCs w:val="24"/>
          <w:lang w:val="en-GB"/>
        </w:rPr>
        <w:t xml:space="preserve"> (</w:t>
      </w:r>
      <w:r w:rsidRPr="5C218C92" w:rsidR="22253AF8">
        <w:rPr>
          <w:rFonts w:ascii="Arial" w:hAnsi="Arial" w:eastAsia="Arial" w:cs="Arial"/>
          <w:b w:val="0"/>
          <w:bCs w:val="0"/>
          <w:i w:val="0"/>
          <w:iCs w:val="0"/>
          <w:caps w:val="0"/>
          <w:smallCaps w:val="0"/>
          <w:noProof w:val="0"/>
          <w:color w:val="auto"/>
          <w:sz w:val="24"/>
          <w:szCs w:val="24"/>
          <w:lang w:val="en-GB"/>
        </w:rPr>
        <w:t>Master's</w:t>
      </w:r>
      <w:r w:rsidRPr="5C218C92" w:rsidR="22253AF8">
        <w:rPr>
          <w:rFonts w:ascii="Arial" w:hAnsi="Arial" w:eastAsia="Arial" w:cs="Arial"/>
          <w:b w:val="0"/>
          <w:bCs w:val="0"/>
          <w:i w:val="0"/>
          <w:iCs w:val="0"/>
          <w:caps w:val="0"/>
          <w:smallCaps w:val="0"/>
          <w:noProof w:val="0"/>
          <w:color w:val="auto"/>
          <w:sz w:val="24"/>
          <w:szCs w:val="24"/>
          <w:lang w:val="en-GB"/>
        </w:rPr>
        <w:t xml:space="preserve"> thesis, University of California, Davis).</w:t>
      </w:r>
    </w:p>
    <w:p w:rsidR="5C218C92" w:rsidP="5C218C92" w:rsidRDefault="5C218C92" w14:paraId="6E9707C8" w14:textId="38E2CE0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3E45120B" w:rsidP="5C218C92" w:rsidRDefault="3E45120B" w14:paraId="4FBC935A" w14:textId="168BC7BE">
      <w:pPr>
        <w:spacing w:before="0" w:beforeAutospacing="off" w:after="0" w:afterAutospacing="off" w:line="360" w:lineRule="auto"/>
        <w:jc w:val="both"/>
        <w:rPr>
          <w:rFonts w:ascii="Arial" w:hAnsi="Arial" w:eastAsia="Arial" w:cs="Arial"/>
          <w:noProof w:val="0"/>
          <w:color w:val="auto"/>
          <w:sz w:val="24"/>
          <w:szCs w:val="24"/>
          <w:lang w:val="en-GB"/>
        </w:rPr>
      </w:pPr>
      <w:r w:rsidRPr="5C218C92" w:rsidR="3E45120B">
        <w:rPr>
          <w:rFonts w:ascii="Arial" w:hAnsi="Arial" w:eastAsia="Arial" w:cs="Arial"/>
          <w:noProof w:val="0"/>
          <w:color w:val="auto"/>
          <w:sz w:val="24"/>
          <w:szCs w:val="24"/>
          <w:lang w:val="en-GB"/>
        </w:rPr>
        <w:t xml:space="preserve">Lin, K.J. </w:t>
      </w:r>
      <w:r w:rsidRPr="5C218C92" w:rsidR="3E45120B">
        <w:rPr>
          <w:rFonts w:ascii="Arial" w:hAnsi="Arial" w:eastAsia="Arial" w:cs="Arial"/>
          <w:i w:val="1"/>
          <w:iCs w:val="1"/>
          <w:noProof w:val="0"/>
          <w:color w:val="auto"/>
          <w:sz w:val="24"/>
          <w:szCs w:val="24"/>
          <w:lang w:val="en-GB"/>
        </w:rPr>
        <w:t>et al.</w:t>
      </w:r>
      <w:r w:rsidRPr="5C218C92" w:rsidR="3E45120B">
        <w:rPr>
          <w:rFonts w:ascii="Arial" w:hAnsi="Arial" w:eastAsia="Arial" w:cs="Arial"/>
          <w:noProof w:val="0"/>
          <w:color w:val="auto"/>
          <w:sz w:val="24"/>
          <w:szCs w:val="24"/>
          <w:lang w:val="en-GB"/>
        </w:rPr>
        <w:t xml:space="preserve"> (2020) ‘State-owned enterprises in China: A review of 40 years of research and practice’, </w:t>
      </w:r>
      <w:r w:rsidRPr="5C218C92" w:rsidR="3E45120B">
        <w:rPr>
          <w:rFonts w:ascii="Arial" w:hAnsi="Arial" w:eastAsia="Arial" w:cs="Arial"/>
          <w:i w:val="1"/>
          <w:iCs w:val="1"/>
          <w:noProof w:val="0"/>
          <w:color w:val="auto"/>
          <w:sz w:val="24"/>
          <w:szCs w:val="24"/>
          <w:lang w:val="en-GB"/>
        </w:rPr>
        <w:t>China journal of accounting research</w:t>
      </w:r>
      <w:r w:rsidRPr="5C218C92" w:rsidR="3E45120B">
        <w:rPr>
          <w:rFonts w:ascii="Arial" w:hAnsi="Arial" w:eastAsia="Arial" w:cs="Arial"/>
          <w:noProof w:val="0"/>
          <w:color w:val="auto"/>
          <w:sz w:val="24"/>
          <w:szCs w:val="24"/>
          <w:lang w:val="en-GB"/>
        </w:rPr>
        <w:t xml:space="preserve">, 13(1), pp. 31–55. Available at: </w:t>
      </w:r>
      <w:hyperlink r:id="R9f9c82fabb434a2b">
        <w:r w:rsidRPr="5C218C92" w:rsidR="3E45120B">
          <w:rPr>
            <w:rStyle w:val="Hyperlink"/>
            <w:rFonts w:ascii="Arial" w:hAnsi="Arial" w:eastAsia="Arial" w:cs="Arial"/>
            <w:noProof w:val="0"/>
            <w:color w:val="auto"/>
            <w:sz w:val="24"/>
            <w:szCs w:val="24"/>
            <w:lang w:val="en-GB"/>
          </w:rPr>
          <w:t>https://doi.org/10.1016/j.cjar.2019.12.001</w:t>
        </w:r>
      </w:hyperlink>
      <w:r w:rsidRPr="5C218C92" w:rsidR="3E45120B">
        <w:rPr>
          <w:rFonts w:ascii="Arial" w:hAnsi="Arial" w:eastAsia="Arial" w:cs="Arial"/>
          <w:noProof w:val="0"/>
          <w:color w:val="auto"/>
          <w:sz w:val="24"/>
          <w:szCs w:val="24"/>
          <w:lang w:val="en-GB"/>
        </w:rPr>
        <w:t>.</w:t>
      </w:r>
    </w:p>
    <w:p w:rsidR="5C218C92" w:rsidP="5C218C92" w:rsidRDefault="5C218C92" w14:paraId="7F6B7A5A" w14:textId="03F85E1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Pr="00A129D7" w:rsidR="00A129D7" w:rsidP="5C218C92" w:rsidRDefault="00A129D7" w14:paraId="679E5682" w14:textId="77777777">
      <w:pPr>
        <w:spacing w:line="360" w:lineRule="auto"/>
        <w:jc w:val="both"/>
        <w:rPr>
          <w:rFonts w:ascii="Arial" w:hAnsi="Arial" w:eastAsia="Arial" w:cs="Arial"/>
          <w:b w:val="0"/>
          <w:bCs w:val="0"/>
          <w:color w:val="auto"/>
          <w:sz w:val="24"/>
          <w:szCs w:val="24"/>
        </w:rPr>
      </w:pPr>
      <w:r w:rsidRPr="5C218C92" w:rsidR="20DC2CAB">
        <w:rPr>
          <w:rFonts w:ascii="Arial" w:hAnsi="Arial" w:eastAsia="Arial" w:cs="Arial"/>
          <w:b w:val="0"/>
          <w:bCs w:val="0"/>
          <w:color w:val="auto"/>
          <w:sz w:val="24"/>
          <w:szCs w:val="24"/>
        </w:rPr>
        <w:t xml:space="preserve">Lotz, A.D., Eklund, O. and Soroka, S. (2022) ‘Netflix, library analysis, and globalization: rethinking mass media flows’, </w:t>
      </w:r>
      <w:r w:rsidRPr="5C218C92" w:rsidR="20DC2CAB">
        <w:rPr>
          <w:rFonts w:ascii="Arial" w:hAnsi="Arial" w:eastAsia="Arial" w:cs="Arial"/>
          <w:b w:val="0"/>
          <w:bCs w:val="0"/>
          <w:i w:val="1"/>
          <w:iCs w:val="1"/>
          <w:color w:val="auto"/>
          <w:sz w:val="24"/>
          <w:szCs w:val="24"/>
        </w:rPr>
        <w:t>Journal of communication</w:t>
      </w:r>
      <w:r w:rsidRPr="5C218C92" w:rsidR="20DC2CAB">
        <w:rPr>
          <w:rFonts w:ascii="Arial" w:hAnsi="Arial" w:eastAsia="Arial" w:cs="Arial"/>
          <w:b w:val="0"/>
          <w:bCs w:val="0"/>
          <w:color w:val="auto"/>
          <w:sz w:val="24"/>
          <w:szCs w:val="24"/>
        </w:rPr>
        <w:t xml:space="preserve">, 72(4), pp. 511–521. Available at: </w:t>
      </w:r>
      <w:hyperlink r:id="Rdec63d13d56f49b5">
        <w:r w:rsidRPr="5C218C92" w:rsidR="20DC2CAB">
          <w:rPr>
            <w:rStyle w:val="Hyperlink"/>
            <w:rFonts w:ascii="Arial" w:hAnsi="Arial" w:eastAsia="Arial" w:cs="Arial"/>
            <w:b w:val="0"/>
            <w:bCs w:val="0"/>
            <w:color w:val="auto"/>
            <w:sz w:val="24"/>
            <w:szCs w:val="24"/>
          </w:rPr>
          <w:t>https://doi.org/10.1093/joc/jqac020</w:t>
        </w:r>
      </w:hyperlink>
      <w:r w:rsidRPr="5C218C92" w:rsidR="20DC2CAB">
        <w:rPr>
          <w:rFonts w:ascii="Arial" w:hAnsi="Arial" w:eastAsia="Arial" w:cs="Arial"/>
          <w:b w:val="0"/>
          <w:bCs w:val="0"/>
          <w:color w:val="auto"/>
          <w:sz w:val="24"/>
          <w:szCs w:val="24"/>
        </w:rPr>
        <w:t>.</w:t>
      </w:r>
    </w:p>
    <w:p w:rsidR="2EF31783" w:rsidP="5C218C92" w:rsidRDefault="2EF31783" w14:paraId="7E5965BC" w14:textId="1346FCDF">
      <w:pPr>
        <w:spacing w:after="0" w:line="360" w:lineRule="auto"/>
        <w:jc w:val="both"/>
        <w:rPr>
          <w:rFonts w:ascii="Arial" w:hAnsi="Arial" w:eastAsia="Arial" w:cs="Arial"/>
          <w:b w:val="0"/>
          <w:bCs w:val="0"/>
          <w:i w:val="0"/>
          <w:iCs w:val="0"/>
          <w:caps w:val="0"/>
          <w:smallCaps w:val="0"/>
          <w:noProof w:val="0"/>
          <w:color w:val="auto"/>
          <w:sz w:val="24"/>
          <w:szCs w:val="24"/>
          <w:lang w:val="en-GB"/>
        </w:rPr>
      </w:pPr>
      <w:r w:rsidRPr="5C218C92" w:rsidR="2EF31783">
        <w:rPr>
          <w:rFonts w:ascii="Arial" w:hAnsi="Arial" w:eastAsia="Arial" w:cs="Arial"/>
          <w:b w:val="0"/>
          <w:bCs w:val="0"/>
          <w:i w:val="0"/>
          <w:iCs w:val="0"/>
          <w:caps w:val="0"/>
          <w:smallCaps w:val="0"/>
          <w:noProof w:val="0"/>
          <w:color w:val="auto"/>
          <w:sz w:val="24"/>
          <w:szCs w:val="24"/>
          <w:lang w:val="en-GB"/>
        </w:rPr>
        <w:t xml:space="preserve">Mahat, M. (2019) ‘The Competitive Forces That Shape Australian Medical Education: An Industry Analysis Using Porter’s Five Forces Framework’, </w:t>
      </w:r>
      <w:r w:rsidRPr="5C218C92" w:rsidR="2EF31783">
        <w:rPr>
          <w:rFonts w:ascii="Arial" w:hAnsi="Arial" w:eastAsia="Arial" w:cs="Arial"/>
          <w:b w:val="0"/>
          <w:bCs w:val="0"/>
          <w:i w:val="1"/>
          <w:iCs w:val="1"/>
          <w:caps w:val="0"/>
          <w:smallCaps w:val="0"/>
          <w:noProof w:val="0"/>
          <w:color w:val="auto"/>
          <w:sz w:val="24"/>
          <w:szCs w:val="24"/>
          <w:lang w:val="en-GB"/>
        </w:rPr>
        <w:t>International journal of educational management</w:t>
      </w:r>
      <w:r w:rsidRPr="5C218C92" w:rsidR="2EF31783">
        <w:rPr>
          <w:rFonts w:ascii="Arial" w:hAnsi="Arial" w:eastAsia="Arial" w:cs="Arial"/>
          <w:b w:val="0"/>
          <w:bCs w:val="0"/>
          <w:i w:val="0"/>
          <w:iCs w:val="0"/>
          <w:caps w:val="0"/>
          <w:smallCaps w:val="0"/>
          <w:noProof w:val="0"/>
          <w:color w:val="auto"/>
          <w:sz w:val="24"/>
          <w:szCs w:val="24"/>
          <w:lang w:val="en-GB"/>
        </w:rPr>
        <w:t xml:space="preserve">, 33(5), pp. 1082–1093. Available at: </w:t>
      </w:r>
      <w:hyperlink r:id="R8a287889d7164518">
        <w:r w:rsidRPr="5C218C92" w:rsidR="2EF31783">
          <w:rPr>
            <w:rStyle w:val="Hyperlink"/>
            <w:rFonts w:ascii="Arial" w:hAnsi="Arial" w:eastAsia="Arial" w:cs="Arial"/>
            <w:b w:val="0"/>
            <w:bCs w:val="0"/>
            <w:i w:val="0"/>
            <w:iCs w:val="0"/>
            <w:caps w:val="0"/>
            <w:smallCaps w:val="0"/>
            <w:strike w:val="0"/>
            <w:dstrike w:val="0"/>
            <w:noProof w:val="0"/>
            <w:color w:val="auto"/>
            <w:sz w:val="24"/>
            <w:szCs w:val="24"/>
            <w:lang w:val="en-GB"/>
          </w:rPr>
          <w:t>https://doi.org/10.1108/IJEM-01-2018-0015</w:t>
        </w:r>
      </w:hyperlink>
      <w:r w:rsidRPr="5C218C92" w:rsidR="2EF31783">
        <w:rPr>
          <w:rFonts w:ascii="Arial" w:hAnsi="Arial" w:eastAsia="Arial" w:cs="Arial"/>
          <w:b w:val="0"/>
          <w:bCs w:val="0"/>
          <w:i w:val="0"/>
          <w:iCs w:val="0"/>
          <w:caps w:val="0"/>
          <w:smallCaps w:val="0"/>
          <w:noProof w:val="0"/>
          <w:color w:val="auto"/>
          <w:sz w:val="24"/>
          <w:szCs w:val="24"/>
          <w:lang w:val="en-GB"/>
        </w:rPr>
        <w:t>.</w:t>
      </w:r>
    </w:p>
    <w:p w:rsidR="5C218C92" w:rsidP="5C218C92" w:rsidRDefault="5C218C92" w14:paraId="4570795C" w14:textId="4F8E986F">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70724892" w:rsidP="5C218C92" w:rsidRDefault="70724892" w14:paraId="31A19241" w14:textId="06508254">
      <w:pPr>
        <w:spacing w:before="0" w:beforeAutospacing="off" w:after="240" w:afterAutospacing="off" w:line="360" w:lineRule="auto"/>
        <w:jc w:val="both"/>
        <w:rPr>
          <w:rFonts w:ascii="Arial" w:hAnsi="Arial" w:eastAsia="Arial" w:cs="Arial"/>
          <w:noProof w:val="0"/>
          <w:color w:val="auto"/>
          <w:sz w:val="24"/>
          <w:szCs w:val="24"/>
          <w:lang w:val="en-GB"/>
        </w:rPr>
      </w:pPr>
      <w:r w:rsidRPr="5C218C92" w:rsidR="70724892">
        <w:rPr>
          <w:rFonts w:ascii="Arial" w:hAnsi="Arial" w:eastAsia="Arial" w:cs="Arial"/>
          <w:i w:val="1"/>
          <w:iCs w:val="1"/>
          <w:noProof w:val="0"/>
          <w:color w:val="auto"/>
          <w:sz w:val="24"/>
          <w:szCs w:val="24"/>
          <w:lang w:val="en-GB"/>
        </w:rPr>
        <w:t>Netflix Inc</w:t>
      </w:r>
      <w:r w:rsidRPr="5C218C92" w:rsidR="70724892">
        <w:rPr>
          <w:rFonts w:ascii="Arial" w:hAnsi="Arial" w:eastAsia="Arial" w:cs="Arial"/>
          <w:noProof w:val="0"/>
          <w:color w:val="auto"/>
          <w:sz w:val="24"/>
          <w:szCs w:val="24"/>
          <w:lang w:val="en-GB"/>
        </w:rPr>
        <w:t xml:space="preserve"> (2025) </w:t>
      </w:r>
      <w:r w:rsidRPr="5C218C92" w:rsidR="70724892">
        <w:rPr>
          <w:rFonts w:ascii="Arial" w:hAnsi="Arial" w:eastAsia="Arial" w:cs="Arial"/>
          <w:i w:val="1"/>
          <w:iCs w:val="1"/>
          <w:noProof w:val="0"/>
          <w:color w:val="auto"/>
          <w:sz w:val="24"/>
          <w:szCs w:val="24"/>
          <w:lang w:val="en-GB"/>
        </w:rPr>
        <w:t>MarketLine Advantage</w:t>
      </w:r>
      <w:r w:rsidRPr="5C218C92" w:rsidR="70724892">
        <w:rPr>
          <w:rFonts w:ascii="Arial" w:hAnsi="Arial" w:eastAsia="Arial" w:cs="Arial"/>
          <w:noProof w:val="0"/>
          <w:color w:val="auto"/>
          <w:sz w:val="24"/>
          <w:szCs w:val="24"/>
          <w:lang w:val="en-GB"/>
        </w:rPr>
        <w:t xml:space="preserve">. Available at: </w:t>
      </w:r>
      <w:hyperlink w:anchor="history" r:id="R5f010fd067654380">
        <w:r w:rsidRPr="5C218C92" w:rsidR="70724892">
          <w:rPr>
            <w:rStyle w:val="Hyperlink"/>
            <w:rFonts w:ascii="Arial" w:hAnsi="Arial" w:eastAsia="Arial" w:cs="Arial"/>
            <w:noProof w:val="0"/>
            <w:color w:val="auto"/>
            <w:sz w:val="24"/>
            <w:szCs w:val="24"/>
            <w:lang w:val="en-GB"/>
          </w:rPr>
          <w:t>https://advantage-marketline-com.ezproxy.uwtsd.ac.uk/Company/Profile/netflix-inc?companyprofile#history</w:t>
        </w:r>
      </w:hyperlink>
      <w:r w:rsidRPr="5C218C92" w:rsidR="70724892">
        <w:rPr>
          <w:rFonts w:ascii="Arial" w:hAnsi="Arial" w:eastAsia="Arial" w:cs="Arial"/>
          <w:noProof w:val="0"/>
          <w:color w:val="auto"/>
          <w:sz w:val="24"/>
          <w:szCs w:val="24"/>
          <w:lang w:val="en-GB"/>
        </w:rPr>
        <w:t>.</w:t>
      </w:r>
    </w:p>
    <w:p w:rsidR="5C218C92" w:rsidP="5C218C92" w:rsidRDefault="5C218C92" w14:paraId="11CE1AB5" w14:textId="162E5D1B">
      <w:pPr>
        <w:spacing w:after="0" w:line="360" w:lineRule="auto"/>
        <w:jc w:val="both"/>
        <w:rPr>
          <w:rFonts w:ascii="Arial" w:hAnsi="Arial" w:eastAsia="Arial" w:cs="Arial"/>
          <w:b w:val="0"/>
          <w:bCs w:val="0"/>
          <w:i w:val="0"/>
          <w:iCs w:val="0"/>
          <w:caps w:val="0"/>
          <w:smallCaps w:val="0"/>
          <w:noProof w:val="0"/>
          <w:color w:val="auto"/>
          <w:sz w:val="24"/>
          <w:szCs w:val="24"/>
          <w:lang w:val="en-GB"/>
        </w:rPr>
      </w:pPr>
    </w:p>
    <w:p w:rsidRPr="00A129D7" w:rsidR="00A129D7" w:rsidP="5C218C92" w:rsidRDefault="00A129D7" w14:paraId="4069AEB7" w14:textId="3D76F92A">
      <w:pPr>
        <w:spacing w:line="360" w:lineRule="auto"/>
        <w:jc w:val="both"/>
        <w:rPr>
          <w:rFonts w:ascii="Arial" w:hAnsi="Arial" w:eastAsia="Arial" w:cs="Arial"/>
          <w:b w:val="0"/>
          <w:bCs w:val="0"/>
          <w:color w:val="auto"/>
          <w:sz w:val="24"/>
          <w:szCs w:val="24"/>
        </w:rPr>
      </w:pPr>
      <w:r w:rsidRPr="5C218C92" w:rsidR="20DC2CAB">
        <w:rPr>
          <w:rFonts w:ascii="Arial" w:hAnsi="Arial" w:eastAsia="Arial" w:cs="Arial"/>
          <w:b w:val="0"/>
          <w:bCs w:val="0"/>
          <w:color w:val="auto"/>
          <w:sz w:val="24"/>
          <w:szCs w:val="24"/>
        </w:rPr>
        <w:t>O’Shannassy</w:t>
      </w:r>
      <w:r w:rsidRPr="5C218C92" w:rsidR="20DC2CAB">
        <w:rPr>
          <w:rFonts w:ascii="Arial" w:hAnsi="Arial" w:eastAsia="Arial" w:cs="Arial"/>
          <w:b w:val="0"/>
          <w:bCs w:val="0"/>
          <w:color w:val="auto"/>
          <w:sz w:val="24"/>
          <w:szCs w:val="24"/>
        </w:rPr>
        <w:t xml:space="preserve">, T. (2015) ‘Strategic management research in the Journal of Management &amp; Organization: International in orientation with an Australasian edge’, </w:t>
      </w:r>
      <w:r w:rsidRPr="5C218C92" w:rsidR="20DC2CAB">
        <w:rPr>
          <w:rFonts w:ascii="Arial" w:hAnsi="Arial" w:eastAsia="Arial" w:cs="Arial"/>
          <w:b w:val="0"/>
          <w:bCs w:val="0"/>
          <w:i w:val="1"/>
          <w:iCs w:val="1"/>
          <w:color w:val="auto"/>
          <w:sz w:val="24"/>
          <w:szCs w:val="24"/>
        </w:rPr>
        <w:t>Journal of management &amp; organization</w:t>
      </w:r>
      <w:r w:rsidRPr="5C218C92" w:rsidR="20DC2CAB">
        <w:rPr>
          <w:rFonts w:ascii="Arial" w:hAnsi="Arial" w:eastAsia="Arial" w:cs="Arial"/>
          <w:b w:val="0"/>
          <w:bCs w:val="0"/>
          <w:color w:val="auto"/>
          <w:sz w:val="24"/>
          <w:szCs w:val="24"/>
        </w:rPr>
        <w:t xml:space="preserve">, 21(5), pp. 551–557. Available at: </w:t>
      </w:r>
      <w:hyperlink r:id="R7895d91c216e4aba">
        <w:r w:rsidRPr="5C218C92" w:rsidR="20DC2CAB">
          <w:rPr>
            <w:rStyle w:val="Hyperlink"/>
            <w:rFonts w:ascii="Arial" w:hAnsi="Arial" w:eastAsia="Arial" w:cs="Arial"/>
            <w:b w:val="0"/>
            <w:bCs w:val="0"/>
            <w:color w:val="auto"/>
            <w:sz w:val="24"/>
            <w:szCs w:val="24"/>
          </w:rPr>
          <w:t>https://doi.org/10.1017/jmo.2015.44</w:t>
        </w:r>
      </w:hyperlink>
      <w:r w:rsidRPr="5C218C92" w:rsidR="20DC2CAB">
        <w:rPr>
          <w:rFonts w:ascii="Arial" w:hAnsi="Arial" w:eastAsia="Arial" w:cs="Arial"/>
          <w:b w:val="0"/>
          <w:bCs w:val="0"/>
          <w:color w:val="auto"/>
          <w:sz w:val="24"/>
          <w:szCs w:val="24"/>
        </w:rPr>
        <w:t>.</w:t>
      </w:r>
    </w:p>
    <w:p w:rsidR="5B07D25D" w:rsidP="5C218C92" w:rsidRDefault="5B07D25D" w14:paraId="4679ADA9" w14:textId="24291875">
      <w:pPr>
        <w:spacing w:after="0" w:line="360" w:lineRule="auto"/>
        <w:jc w:val="both"/>
        <w:rPr>
          <w:rFonts w:ascii="Arial" w:hAnsi="Arial" w:eastAsia="Arial" w:cs="Arial"/>
          <w:noProof w:val="0"/>
          <w:color w:val="auto"/>
          <w:sz w:val="24"/>
          <w:szCs w:val="24"/>
          <w:lang w:val="en-GB"/>
        </w:rPr>
      </w:pPr>
      <w:r w:rsidRPr="5C218C92" w:rsidR="5B07D25D">
        <w:rPr>
          <w:rFonts w:ascii="Arial" w:hAnsi="Arial" w:eastAsia="Arial" w:cs="Arial"/>
          <w:b w:val="0"/>
          <w:bCs w:val="0"/>
          <w:i w:val="0"/>
          <w:iCs w:val="0"/>
          <w:caps w:val="0"/>
          <w:smallCaps w:val="0"/>
          <w:noProof w:val="0"/>
          <w:color w:val="auto"/>
          <w:sz w:val="24"/>
          <w:szCs w:val="24"/>
          <w:lang w:val="en-GB"/>
        </w:rPr>
        <w:t xml:space="preserve">Pratiwi, A.A. </w:t>
      </w:r>
      <w:r w:rsidRPr="5C218C92" w:rsidR="5B07D25D">
        <w:rPr>
          <w:rFonts w:ascii="Arial" w:hAnsi="Arial" w:eastAsia="Arial" w:cs="Arial"/>
          <w:b w:val="0"/>
          <w:bCs w:val="0"/>
          <w:i w:val="1"/>
          <w:iCs w:val="1"/>
          <w:caps w:val="0"/>
          <w:smallCaps w:val="0"/>
          <w:noProof w:val="0"/>
          <w:color w:val="auto"/>
          <w:sz w:val="24"/>
          <w:szCs w:val="24"/>
          <w:lang w:val="en-GB"/>
        </w:rPr>
        <w:t>et al.</w:t>
      </w:r>
      <w:r w:rsidRPr="5C218C92" w:rsidR="5B07D25D">
        <w:rPr>
          <w:rFonts w:ascii="Arial" w:hAnsi="Arial" w:eastAsia="Arial" w:cs="Arial"/>
          <w:b w:val="0"/>
          <w:bCs w:val="0"/>
          <w:i w:val="0"/>
          <w:iCs w:val="0"/>
          <w:caps w:val="0"/>
          <w:smallCaps w:val="0"/>
          <w:noProof w:val="0"/>
          <w:color w:val="auto"/>
          <w:sz w:val="24"/>
          <w:szCs w:val="24"/>
          <w:lang w:val="en-GB"/>
        </w:rPr>
        <w:t xml:space="preserve"> (2024) ‘Industrial Cluster Design using Value Chain Analysis and Diamond Porter’s Model (Case Study in Batik Trusmi Cirebon Centre)’, </w:t>
      </w:r>
      <w:r w:rsidRPr="5C218C92" w:rsidR="5B07D25D">
        <w:rPr>
          <w:rFonts w:ascii="Arial" w:hAnsi="Arial" w:eastAsia="Arial" w:cs="Arial"/>
          <w:b w:val="0"/>
          <w:bCs w:val="0"/>
          <w:i w:val="1"/>
          <w:iCs w:val="1"/>
          <w:caps w:val="0"/>
          <w:smallCaps w:val="0"/>
          <w:noProof w:val="0"/>
          <w:color w:val="auto"/>
          <w:sz w:val="24"/>
          <w:szCs w:val="24"/>
          <w:lang w:val="en-GB"/>
        </w:rPr>
        <w:t>E3S web of conferences</w:t>
      </w:r>
      <w:r w:rsidRPr="5C218C92" w:rsidR="5B07D25D">
        <w:rPr>
          <w:rFonts w:ascii="Arial" w:hAnsi="Arial" w:eastAsia="Arial" w:cs="Arial"/>
          <w:b w:val="0"/>
          <w:bCs w:val="0"/>
          <w:i w:val="0"/>
          <w:iCs w:val="0"/>
          <w:caps w:val="0"/>
          <w:smallCaps w:val="0"/>
          <w:noProof w:val="0"/>
          <w:color w:val="auto"/>
          <w:sz w:val="24"/>
          <w:szCs w:val="24"/>
          <w:lang w:val="en-GB"/>
        </w:rPr>
        <w:t xml:space="preserve">, 517, p. 5005. Available at: </w:t>
      </w:r>
      <w:hyperlink r:id="Rb3f2d3e846c74e64">
        <w:r w:rsidRPr="5C218C92" w:rsidR="5B07D25D">
          <w:rPr>
            <w:rStyle w:val="Hyperlink"/>
            <w:rFonts w:ascii="Arial" w:hAnsi="Arial" w:eastAsia="Arial" w:cs="Arial"/>
            <w:b w:val="0"/>
            <w:bCs w:val="0"/>
            <w:i w:val="0"/>
            <w:iCs w:val="0"/>
            <w:caps w:val="0"/>
            <w:smallCaps w:val="0"/>
            <w:strike w:val="0"/>
            <w:dstrike w:val="0"/>
            <w:noProof w:val="0"/>
            <w:color w:val="auto"/>
            <w:sz w:val="24"/>
            <w:szCs w:val="24"/>
            <w:lang w:val="en-GB"/>
          </w:rPr>
          <w:t>https://doi.org/10.1051/e3sconf/202451705005</w:t>
        </w:r>
      </w:hyperlink>
      <w:r w:rsidRPr="5C218C92" w:rsidR="5B07D25D">
        <w:rPr>
          <w:rFonts w:ascii="Arial" w:hAnsi="Arial" w:eastAsia="Arial" w:cs="Arial"/>
          <w:b w:val="0"/>
          <w:bCs w:val="0"/>
          <w:i w:val="0"/>
          <w:iCs w:val="0"/>
          <w:caps w:val="0"/>
          <w:smallCaps w:val="0"/>
          <w:noProof w:val="0"/>
          <w:color w:val="auto"/>
          <w:sz w:val="24"/>
          <w:szCs w:val="24"/>
          <w:lang w:val="en-GB"/>
        </w:rPr>
        <w:t>.</w:t>
      </w:r>
      <w:r w:rsidRPr="5C218C92" w:rsidR="5B07D25D">
        <w:rPr>
          <w:rFonts w:ascii="Arial" w:hAnsi="Arial" w:eastAsia="Arial" w:cs="Arial"/>
          <w:noProof w:val="0"/>
          <w:color w:val="auto"/>
          <w:sz w:val="24"/>
          <w:szCs w:val="24"/>
          <w:lang w:val="en-GB"/>
        </w:rPr>
        <w:t xml:space="preserve"> </w:t>
      </w:r>
    </w:p>
    <w:p w:rsidR="5C218C92" w:rsidP="5C218C92" w:rsidRDefault="5C218C92" w14:paraId="5C45C01D" w14:textId="097EBD11">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5B07D25D" w:rsidP="5C218C92" w:rsidRDefault="5B07D25D" w14:paraId="3737E451" w14:textId="3F0DBD11">
      <w:pPr>
        <w:spacing w:after="0" w:line="360" w:lineRule="auto"/>
        <w:jc w:val="both"/>
        <w:rPr>
          <w:rFonts w:ascii="Arial" w:hAnsi="Arial" w:eastAsia="Arial" w:cs="Arial"/>
          <w:noProof w:val="0"/>
          <w:color w:val="auto"/>
          <w:sz w:val="24"/>
          <w:szCs w:val="24"/>
          <w:lang w:val="en-GB"/>
        </w:rPr>
      </w:pPr>
      <w:r w:rsidRPr="5C218C92" w:rsidR="5B07D25D">
        <w:rPr>
          <w:rFonts w:ascii="Arial" w:hAnsi="Arial" w:eastAsia="Arial" w:cs="Arial"/>
          <w:b w:val="0"/>
          <w:bCs w:val="0"/>
          <w:i w:val="0"/>
          <w:iCs w:val="0"/>
          <w:caps w:val="0"/>
          <w:smallCaps w:val="0"/>
          <w:noProof w:val="0"/>
          <w:color w:val="auto"/>
          <w:sz w:val="24"/>
          <w:szCs w:val="24"/>
          <w:lang w:val="en-GB"/>
        </w:rPr>
        <w:t xml:space="preserve">Ruan, S. (2020) ‘Research on Strategic Cost Management of Enterprises Based on Porter’s Value Chain Model’, </w:t>
      </w:r>
      <w:r w:rsidRPr="5C218C92" w:rsidR="5B07D25D">
        <w:rPr>
          <w:rFonts w:ascii="Arial" w:hAnsi="Arial" w:eastAsia="Arial" w:cs="Arial"/>
          <w:b w:val="0"/>
          <w:bCs w:val="0"/>
          <w:i w:val="1"/>
          <w:iCs w:val="1"/>
          <w:caps w:val="0"/>
          <w:smallCaps w:val="0"/>
          <w:noProof w:val="0"/>
          <w:color w:val="auto"/>
          <w:sz w:val="24"/>
          <w:szCs w:val="24"/>
          <w:lang w:val="en-GB"/>
        </w:rPr>
        <w:t>Journal of Physics. Conference series</w:t>
      </w:r>
      <w:r w:rsidRPr="5C218C92" w:rsidR="5B07D25D">
        <w:rPr>
          <w:rFonts w:ascii="Arial" w:hAnsi="Arial" w:eastAsia="Arial" w:cs="Arial"/>
          <w:b w:val="0"/>
          <w:bCs w:val="0"/>
          <w:i w:val="0"/>
          <w:iCs w:val="0"/>
          <w:caps w:val="0"/>
          <w:smallCaps w:val="0"/>
          <w:noProof w:val="0"/>
          <w:color w:val="auto"/>
          <w:sz w:val="24"/>
          <w:szCs w:val="24"/>
          <w:lang w:val="en-GB"/>
        </w:rPr>
        <w:t xml:space="preserve">, 1533(2), p. 22056. Available at: </w:t>
      </w:r>
      <w:hyperlink r:id="R519f3fdb17c94587">
        <w:r w:rsidRPr="5C218C92" w:rsidR="5B07D25D">
          <w:rPr>
            <w:rStyle w:val="Hyperlink"/>
            <w:rFonts w:ascii="Arial" w:hAnsi="Arial" w:eastAsia="Arial" w:cs="Arial"/>
            <w:b w:val="0"/>
            <w:bCs w:val="0"/>
            <w:i w:val="0"/>
            <w:iCs w:val="0"/>
            <w:caps w:val="0"/>
            <w:smallCaps w:val="0"/>
            <w:strike w:val="0"/>
            <w:dstrike w:val="0"/>
            <w:noProof w:val="0"/>
            <w:color w:val="auto"/>
            <w:sz w:val="24"/>
            <w:szCs w:val="24"/>
            <w:lang w:val="en-GB"/>
          </w:rPr>
          <w:t>https://doi.org/10.1088/1742-6596/1533/2/022056</w:t>
        </w:r>
      </w:hyperlink>
      <w:r w:rsidRPr="5C218C92" w:rsidR="5B07D25D">
        <w:rPr>
          <w:rFonts w:ascii="Arial" w:hAnsi="Arial" w:eastAsia="Arial" w:cs="Arial"/>
          <w:b w:val="0"/>
          <w:bCs w:val="0"/>
          <w:i w:val="0"/>
          <w:iCs w:val="0"/>
          <w:caps w:val="0"/>
          <w:smallCaps w:val="0"/>
          <w:noProof w:val="0"/>
          <w:color w:val="auto"/>
          <w:sz w:val="24"/>
          <w:szCs w:val="24"/>
          <w:lang w:val="en-GB"/>
        </w:rPr>
        <w:t>.</w:t>
      </w:r>
    </w:p>
    <w:p w:rsidR="5C218C92" w:rsidP="5C218C92" w:rsidRDefault="5C218C92" w14:paraId="0331019A" w14:textId="728255CF">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71708176" w:rsidP="5C218C92" w:rsidRDefault="71708176" w14:paraId="786852C0" w14:textId="5CF6660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5C218C92" w:rsidR="71708176">
        <w:rPr>
          <w:rFonts w:ascii="Arial" w:hAnsi="Arial" w:eastAsia="Arial" w:cs="Arial"/>
          <w:b w:val="0"/>
          <w:bCs w:val="0"/>
          <w:i w:val="0"/>
          <w:iCs w:val="0"/>
          <w:caps w:val="0"/>
          <w:smallCaps w:val="0"/>
          <w:noProof w:val="0"/>
          <w:color w:val="auto"/>
          <w:sz w:val="24"/>
          <w:szCs w:val="24"/>
          <w:lang w:val="en-GB"/>
        </w:rPr>
        <w:t>Shen, H., (2020) China’s Tech Giants: Baidu, Alibaba, Tencent</w:t>
      </w:r>
      <w:r w:rsidRPr="5C218C92" w:rsidR="71708176">
        <w:rPr>
          <w:rFonts w:ascii="Arial" w:hAnsi="Arial" w:eastAsia="Arial" w:cs="Arial"/>
          <w:b w:val="0"/>
          <w:bCs w:val="0"/>
          <w:i w:val="0"/>
          <w:iCs w:val="0"/>
          <w:caps w:val="0"/>
          <w:smallCaps w:val="0"/>
          <w:noProof w:val="0"/>
          <w:color w:val="auto"/>
          <w:sz w:val="24"/>
          <w:szCs w:val="24"/>
          <w:lang w:val="en-GB"/>
        </w:rPr>
        <w:t>’.</w:t>
      </w:r>
      <w:r w:rsidRPr="5C218C92" w:rsidR="71708176">
        <w:rPr>
          <w:rFonts w:ascii="Arial" w:hAnsi="Arial" w:eastAsia="Arial" w:cs="Arial"/>
          <w:b w:val="0"/>
          <w:bCs w:val="0"/>
          <w:i w:val="0"/>
          <w:iCs w:val="0"/>
          <w:caps w:val="0"/>
          <w:smallCaps w:val="0"/>
          <w:noProof w:val="0"/>
          <w:color w:val="auto"/>
          <w:sz w:val="24"/>
          <w:szCs w:val="24"/>
          <w:lang w:val="en-GB"/>
        </w:rPr>
        <w:t xml:space="preserve"> </w:t>
      </w:r>
      <w:r w:rsidRPr="5C218C92" w:rsidR="71708176">
        <w:rPr>
          <w:rFonts w:ascii="Arial" w:hAnsi="Arial" w:eastAsia="Arial" w:cs="Arial"/>
          <w:b w:val="0"/>
          <w:bCs w:val="0"/>
          <w:i w:val="1"/>
          <w:iCs w:val="1"/>
          <w:caps w:val="0"/>
          <w:smallCaps w:val="0"/>
          <w:noProof w:val="0"/>
          <w:color w:val="auto"/>
          <w:sz w:val="24"/>
          <w:szCs w:val="24"/>
          <w:lang w:val="en-GB"/>
        </w:rPr>
        <w:t xml:space="preserve">Konrad Adenauer Stiftung. Retrieved </w:t>
      </w:r>
      <w:r w:rsidRPr="5C218C92" w:rsidR="71708176">
        <w:rPr>
          <w:rFonts w:ascii="Arial" w:hAnsi="Arial" w:eastAsia="Arial" w:cs="Arial"/>
          <w:b w:val="0"/>
          <w:bCs w:val="0"/>
          <w:i w:val="1"/>
          <w:iCs w:val="1"/>
          <w:caps w:val="0"/>
          <w:smallCaps w:val="0"/>
          <w:noProof w:val="0"/>
          <w:color w:val="auto"/>
          <w:sz w:val="24"/>
          <w:szCs w:val="24"/>
          <w:lang w:val="en-GB"/>
        </w:rPr>
        <w:t>July</w:t>
      </w:r>
      <w:r w:rsidRPr="5C218C92" w:rsidR="71708176">
        <w:rPr>
          <w:rFonts w:ascii="Arial" w:hAnsi="Arial" w:eastAsia="Arial" w:cs="Arial"/>
          <w:b w:val="0"/>
          <w:bCs w:val="0"/>
          <w:i w:val="0"/>
          <w:iCs w:val="0"/>
          <w:caps w:val="0"/>
          <w:smallCaps w:val="0"/>
          <w:noProof w:val="0"/>
          <w:color w:val="auto"/>
          <w:sz w:val="24"/>
          <w:szCs w:val="24"/>
          <w:lang w:val="en-GB"/>
        </w:rPr>
        <w:t>,</w:t>
      </w:r>
      <w:r w:rsidRPr="5C218C92" w:rsidR="71708176">
        <w:rPr>
          <w:rFonts w:ascii="Arial" w:hAnsi="Arial" w:eastAsia="Arial" w:cs="Arial"/>
          <w:b w:val="0"/>
          <w:bCs w:val="0"/>
          <w:i w:val="0"/>
          <w:iCs w:val="0"/>
          <w:caps w:val="0"/>
          <w:smallCaps w:val="0"/>
          <w:noProof w:val="0"/>
          <w:color w:val="auto"/>
          <w:sz w:val="24"/>
          <w:szCs w:val="24"/>
          <w:lang w:val="en-GB"/>
        </w:rPr>
        <w:t xml:space="preserve"> </w:t>
      </w:r>
      <w:r w:rsidRPr="5C218C92" w:rsidR="71708176">
        <w:rPr>
          <w:rFonts w:ascii="Arial" w:hAnsi="Arial" w:eastAsia="Arial" w:cs="Arial"/>
          <w:b w:val="0"/>
          <w:bCs w:val="0"/>
          <w:i w:val="1"/>
          <w:iCs w:val="1"/>
          <w:caps w:val="0"/>
          <w:smallCaps w:val="0"/>
          <w:noProof w:val="0"/>
          <w:color w:val="auto"/>
          <w:sz w:val="24"/>
          <w:szCs w:val="24"/>
          <w:lang w:val="en-GB"/>
        </w:rPr>
        <w:t>6</w:t>
      </w:r>
      <w:r w:rsidRPr="5C218C92" w:rsidR="71708176">
        <w:rPr>
          <w:rFonts w:ascii="Arial" w:hAnsi="Arial" w:eastAsia="Arial" w:cs="Arial"/>
          <w:b w:val="0"/>
          <w:bCs w:val="0"/>
          <w:i w:val="0"/>
          <w:iCs w:val="0"/>
          <w:caps w:val="0"/>
          <w:smallCaps w:val="0"/>
          <w:noProof w:val="0"/>
          <w:color w:val="auto"/>
          <w:sz w:val="24"/>
          <w:szCs w:val="24"/>
          <w:lang w:val="en-GB"/>
        </w:rPr>
        <w:t>, p.2022.</w:t>
      </w:r>
    </w:p>
    <w:p w:rsidR="5C218C92" w:rsidP="5C218C92" w:rsidRDefault="5C218C92" w14:paraId="626137A6" w14:textId="114CA3A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2954F2B6" w:rsidP="5C218C92" w:rsidRDefault="2954F2B6" w14:paraId="2F91AABC" w14:textId="4A05DCEE">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2954F2B6">
        <w:rPr>
          <w:rFonts w:ascii="Arial" w:hAnsi="Arial" w:eastAsia="Arial" w:cs="Arial"/>
          <w:b w:val="0"/>
          <w:bCs w:val="0"/>
          <w:noProof w:val="0"/>
          <w:color w:val="auto"/>
          <w:sz w:val="24"/>
          <w:szCs w:val="24"/>
          <w:lang w:val="en-GB"/>
        </w:rPr>
        <w:t xml:space="preserve">Song, Z. (2024) ‘Personal data security and stock crash risk: Evidence from China’s Cybersecurity Law’, </w:t>
      </w:r>
      <w:r w:rsidRPr="5C218C92" w:rsidR="2954F2B6">
        <w:rPr>
          <w:rFonts w:ascii="Arial" w:hAnsi="Arial" w:eastAsia="Arial" w:cs="Arial"/>
          <w:b w:val="0"/>
          <w:bCs w:val="0"/>
          <w:i w:val="1"/>
          <w:iCs w:val="1"/>
          <w:noProof w:val="0"/>
          <w:color w:val="auto"/>
          <w:sz w:val="24"/>
          <w:szCs w:val="24"/>
          <w:lang w:val="en-GB"/>
        </w:rPr>
        <w:t>China journal of accounting research</w:t>
      </w:r>
      <w:r w:rsidRPr="5C218C92" w:rsidR="2954F2B6">
        <w:rPr>
          <w:rFonts w:ascii="Arial" w:hAnsi="Arial" w:eastAsia="Arial" w:cs="Arial"/>
          <w:b w:val="0"/>
          <w:bCs w:val="0"/>
          <w:noProof w:val="0"/>
          <w:color w:val="auto"/>
          <w:sz w:val="24"/>
          <w:szCs w:val="24"/>
          <w:lang w:val="en-GB"/>
        </w:rPr>
        <w:t xml:space="preserve">, 17(4). Available at: </w:t>
      </w:r>
      <w:hyperlink r:id="R5c36d069676f401d">
        <w:r w:rsidRPr="5C218C92" w:rsidR="2954F2B6">
          <w:rPr>
            <w:rStyle w:val="Hyperlink"/>
            <w:rFonts w:ascii="Arial" w:hAnsi="Arial" w:eastAsia="Arial" w:cs="Arial"/>
            <w:b w:val="0"/>
            <w:bCs w:val="0"/>
            <w:noProof w:val="0"/>
            <w:color w:val="auto"/>
            <w:sz w:val="24"/>
            <w:szCs w:val="24"/>
            <w:lang w:val="en-GB"/>
          </w:rPr>
          <w:t>https://doi.org/10.1016/j.cjar.2024.100393</w:t>
        </w:r>
      </w:hyperlink>
      <w:r w:rsidRPr="5C218C92" w:rsidR="2954F2B6">
        <w:rPr>
          <w:rFonts w:ascii="Arial" w:hAnsi="Arial" w:eastAsia="Arial" w:cs="Arial"/>
          <w:b w:val="0"/>
          <w:bCs w:val="0"/>
          <w:noProof w:val="0"/>
          <w:color w:val="auto"/>
          <w:sz w:val="24"/>
          <w:szCs w:val="24"/>
          <w:lang w:val="en-GB"/>
        </w:rPr>
        <w:t>.</w:t>
      </w:r>
    </w:p>
    <w:p w:rsidR="5C218C92" w:rsidP="5C218C92" w:rsidRDefault="5C218C92" w14:paraId="12EC4E6F" w14:textId="6CE8281C">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722F79DE" w:rsidP="5C218C92" w:rsidRDefault="722F79DE" w14:paraId="41F4EB73" w14:textId="5E72A1DD">
      <w:pPr>
        <w:spacing w:before="0" w:beforeAutospacing="off" w:after="240" w:afterAutospacing="off" w:line="360" w:lineRule="auto"/>
        <w:jc w:val="both"/>
        <w:rPr>
          <w:rFonts w:ascii="Arial" w:hAnsi="Arial" w:eastAsia="Arial" w:cs="Arial"/>
          <w:noProof w:val="0"/>
          <w:color w:val="auto"/>
          <w:sz w:val="24"/>
          <w:szCs w:val="24"/>
          <w:lang w:val="en-GB"/>
        </w:rPr>
      </w:pPr>
      <w:r w:rsidRPr="5C218C92" w:rsidR="722F79DE">
        <w:rPr>
          <w:rFonts w:ascii="Arial" w:hAnsi="Arial" w:eastAsia="Arial" w:cs="Arial"/>
          <w:noProof w:val="0"/>
          <w:color w:val="auto"/>
          <w:sz w:val="24"/>
          <w:szCs w:val="24"/>
          <w:lang w:val="en-GB"/>
        </w:rPr>
        <w:t xml:space="preserve">The Culture Factor Group (2025) </w:t>
      </w:r>
      <w:r w:rsidRPr="5C218C92" w:rsidR="722F79DE">
        <w:rPr>
          <w:rFonts w:ascii="Arial" w:hAnsi="Arial" w:eastAsia="Arial" w:cs="Arial"/>
          <w:i w:val="1"/>
          <w:iCs w:val="1"/>
          <w:noProof w:val="0"/>
          <w:color w:val="auto"/>
          <w:sz w:val="24"/>
          <w:szCs w:val="24"/>
          <w:lang w:val="en-GB"/>
        </w:rPr>
        <w:t>Country Comparison Tool</w:t>
      </w:r>
      <w:r w:rsidRPr="5C218C92" w:rsidR="722F79DE">
        <w:rPr>
          <w:rFonts w:ascii="Arial" w:hAnsi="Arial" w:eastAsia="Arial" w:cs="Arial"/>
          <w:noProof w:val="0"/>
          <w:color w:val="auto"/>
          <w:sz w:val="24"/>
          <w:szCs w:val="24"/>
          <w:lang w:val="en-GB"/>
        </w:rPr>
        <w:t xml:space="preserve">, </w:t>
      </w:r>
      <w:r w:rsidRPr="5C218C92" w:rsidR="722F79DE">
        <w:rPr>
          <w:rFonts w:ascii="Arial" w:hAnsi="Arial" w:eastAsia="Arial" w:cs="Arial"/>
          <w:i w:val="1"/>
          <w:iCs w:val="1"/>
          <w:noProof w:val="0"/>
          <w:color w:val="auto"/>
          <w:sz w:val="24"/>
          <w:szCs w:val="24"/>
          <w:lang w:val="en-GB"/>
        </w:rPr>
        <w:t>Hofstede Culture Factor Group</w:t>
      </w:r>
      <w:r w:rsidRPr="5C218C92" w:rsidR="722F79DE">
        <w:rPr>
          <w:rFonts w:ascii="Arial" w:hAnsi="Arial" w:eastAsia="Arial" w:cs="Arial"/>
          <w:noProof w:val="0"/>
          <w:color w:val="auto"/>
          <w:sz w:val="24"/>
          <w:szCs w:val="24"/>
          <w:lang w:val="en-GB"/>
        </w:rPr>
        <w:t xml:space="preserve">. Available at: </w:t>
      </w:r>
      <w:hyperlink r:id="R64ce4cbc151043b2">
        <w:r w:rsidRPr="5C218C92" w:rsidR="722F79DE">
          <w:rPr>
            <w:rStyle w:val="Hyperlink"/>
            <w:rFonts w:ascii="Arial" w:hAnsi="Arial" w:eastAsia="Arial" w:cs="Arial"/>
            <w:noProof w:val="0"/>
            <w:color w:val="auto"/>
            <w:sz w:val="24"/>
            <w:szCs w:val="24"/>
            <w:lang w:val="en-GB"/>
          </w:rPr>
          <w:t>https://www.theculturefactor.com/country-comparison-tool?countries=china</w:t>
        </w:r>
      </w:hyperlink>
      <w:r w:rsidRPr="5C218C92" w:rsidR="722F79DE">
        <w:rPr>
          <w:rFonts w:ascii="Arial" w:hAnsi="Arial" w:eastAsia="Arial" w:cs="Arial"/>
          <w:noProof w:val="0"/>
          <w:color w:val="auto"/>
          <w:sz w:val="24"/>
          <w:szCs w:val="24"/>
          <w:lang w:val="en-GB"/>
        </w:rPr>
        <w:t>.</w:t>
      </w:r>
    </w:p>
    <w:p w:rsidR="2F23ED22" w:rsidP="5C218C92" w:rsidRDefault="2F23ED22" w14:paraId="00D50814" w14:textId="3F47AB06">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2F23ED22">
        <w:rPr>
          <w:rFonts w:ascii="Arial" w:hAnsi="Arial" w:eastAsia="Arial" w:cs="Arial"/>
          <w:b w:val="0"/>
          <w:bCs w:val="0"/>
          <w:noProof w:val="0"/>
          <w:color w:val="auto"/>
          <w:sz w:val="24"/>
          <w:szCs w:val="24"/>
          <w:lang w:val="en-GB"/>
        </w:rPr>
        <w:t xml:space="preserve">Tufte, G.C., Jin, </w:t>
      </w:r>
      <w:r w:rsidRPr="5C218C92" w:rsidR="2F23ED22">
        <w:rPr>
          <w:rFonts w:ascii="Arial" w:hAnsi="Arial" w:eastAsia="Arial" w:cs="Arial"/>
          <w:b w:val="0"/>
          <w:bCs w:val="0"/>
          <w:noProof w:val="0"/>
          <w:color w:val="auto"/>
          <w:sz w:val="24"/>
          <w:szCs w:val="24"/>
          <w:lang w:val="en-GB"/>
        </w:rPr>
        <w:t>H.</w:t>
      </w:r>
      <w:r w:rsidRPr="5C218C92" w:rsidR="2F23ED22">
        <w:rPr>
          <w:rFonts w:ascii="Arial" w:hAnsi="Arial" w:eastAsia="Arial" w:cs="Arial"/>
          <w:b w:val="0"/>
          <w:bCs w:val="0"/>
          <w:noProof w:val="0"/>
          <w:color w:val="auto"/>
          <w:sz w:val="24"/>
          <w:szCs w:val="24"/>
          <w:lang w:val="en-GB"/>
        </w:rPr>
        <w:t xml:space="preserve"> and Wu, H. (2016) ‘Risk of a “revolution of rising expectations” in China?’, </w:t>
      </w:r>
      <w:r w:rsidRPr="5C218C92" w:rsidR="2F23ED22">
        <w:rPr>
          <w:rFonts w:ascii="Arial" w:hAnsi="Arial" w:eastAsia="Arial" w:cs="Arial"/>
          <w:b w:val="0"/>
          <w:bCs w:val="0"/>
          <w:i w:val="1"/>
          <w:iCs w:val="1"/>
          <w:noProof w:val="0"/>
          <w:color w:val="auto"/>
          <w:sz w:val="24"/>
          <w:szCs w:val="24"/>
          <w:lang w:val="en-GB"/>
        </w:rPr>
        <w:t>China journal of social work</w:t>
      </w:r>
      <w:r w:rsidRPr="5C218C92" w:rsidR="2F23ED22">
        <w:rPr>
          <w:rFonts w:ascii="Arial" w:hAnsi="Arial" w:eastAsia="Arial" w:cs="Arial"/>
          <w:b w:val="0"/>
          <w:bCs w:val="0"/>
          <w:noProof w:val="0"/>
          <w:color w:val="auto"/>
          <w:sz w:val="24"/>
          <w:szCs w:val="24"/>
          <w:lang w:val="en-GB"/>
        </w:rPr>
        <w:t xml:space="preserve">, 9(2), pp. 141–154. Available at: </w:t>
      </w:r>
      <w:hyperlink r:id="R27941f3b8629480f">
        <w:r w:rsidRPr="5C218C92" w:rsidR="2F23ED22">
          <w:rPr>
            <w:rStyle w:val="Hyperlink"/>
            <w:rFonts w:ascii="Arial" w:hAnsi="Arial" w:eastAsia="Arial" w:cs="Arial"/>
            <w:b w:val="0"/>
            <w:bCs w:val="0"/>
            <w:noProof w:val="0"/>
            <w:color w:val="auto"/>
            <w:sz w:val="24"/>
            <w:szCs w:val="24"/>
            <w:lang w:val="en-GB"/>
          </w:rPr>
          <w:t>https://doi.org/10.1080/17525098.2016.1231253</w:t>
        </w:r>
      </w:hyperlink>
      <w:r w:rsidRPr="5C218C92" w:rsidR="2F23ED22">
        <w:rPr>
          <w:rFonts w:ascii="Arial" w:hAnsi="Arial" w:eastAsia="Arial" w:cs="Arial"/>
          <w:b w:val="0"/>
          <w:bCs w:val="0"/>
          <w:noProof w:val="0"/>
          <w:color w:val="auto"/>
          <w:sz w:val="24"/>
          <w:szCs w:val="24"/>
          <w:lang w:val="en-GB"/>
        </w:rPr>
        <w:t>.</w:t>
      </w:r>
    </w:p>
    <w:p w:rsidR="5C218C92" w:rsidP="5C218C92" w:rsidRDefault="5C218C92" w14:paraId="39AFE91F" w14:textId="3E0B43B5">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06990181" w:rsidP="5C218C92" w:rsidRDefault="06990181" w14:paraId="0AB5DBAD" w14:textId="7636F738">
      <w:pPr>
        <w:spacing w:after="0" w:line="360" w:lineRule="auto"/>
        <w:jc w:val="both"/>
        <w:rPr>
          <w:rFonts w:ascii="Arial" w:hAnsi="Arial" w:eastAsia="Arial" w:cs="Arial"/>
          <w:noProof w:val="0"/>
          <w:color w:val="auto"/>
          <w:sz w:val="24"/>
          <w:szCs w:val="24"/>
          <w:lang w:val="en-GB"/>
        </w:rPr>
      </w:pPr>
      <w:r w:rsidRPr="5C218C92" w:rsidR="06990181">
        <w:rPr>
          <w:rFonts w:ascii="Arial" w:hAnsi="Arial" w:eastAsia="Arial" w:cs="Arial"/>
          <w:b w:val="0"/>
          <w:bCs w:val="0"/>
          <w:i w:val="0"/>
          <w:iCs w:val="0"/>
          <w:caps w:val="0"/>
          <w:smallCaps w:val="0"/>
          <w:noProof w:val="0"/>
          <w:color w:val="auto"/>
          <w:sz w:val="24"/>
          <w:szCs w:val="24"/>
          <w:lang w:val="en-GB"/>
        </w:rPr>
        <w:t xml:space="preserve">Watts, G., Cope, </w:t>
      </w:r>
      <w:r w:rsidRPr="5C218C92" w:rsidR="06990181">
        <w:rPr>
          <w:rFonts w:ascii="Arial" w:hAnsi="Arial" w:eastAsia="Arial" w:cs="Arial"/>
          <w:b w:val="0"/>
          <w:bCs w:val="0"/>
          <w:i w:val="0"/>
          <w:iCs w:val="0"/>
          <w:caps w:val="0"/>
          <w:smallCaps w:val="0"/>
          <w:noProof w:val="0"/>
          <w:color w:val="auto"/>
          <w:sz w:val="24"/>
          <w:szCs w:val="24"/>
          <w:lang w:val="en-GB"/>
        </w:rPr>
        <w:t>J.</w:t>
      </w:r>
      <w:r w:rsidRPr="5C218C92" w:rsidR="06990181">
        <w:rPr>
          <w:rFonts w:ascii="Arial" w:hAnsi="Arial" w:eastAsia="Arial" w:cs="Arial"/>
          <w:b w:val="0"/>
          <w:bCs w:val="0"/>
          <w:i w:val="0"/>
          <w:iCs w:val="0"/>
          <w:caps w:val="0"/>
          <w:smallCaps w:val="0"/>
          <w:noProof w:val="0"/>
          <w:color w:val="auto"/>
          <w:sz w:val="24"/>
          <w:szCs w:val="24"/>
          <w:lang w:val="en-GB"/>
        </w:rPr>
        <w:t xml:space="preserve"> and Hulme, M. (1998) ‘Ansoff’s Matrix, </w:t>
      </w:r>
      <w:r w:rsidRPr="5C218C92" w:rsidR="06990181">
        <w:rPr>
          <w:rFonts w:ascii="Arial" w:hAnsi="Arial" w:eastAsia="Arial" w:cs="Arial"/>
          <w:b w:val="0"/>
          <w:bCs w:val="0"/>
          <w:i w:val="0"/>
          <w:iCs w:val="0"/>
          <w:caps w:val="0"/>
          <w:smallCaps w:val="0"/>
          <w:noProof w:val="0"/>
          <w:color w:val="auto"/>
          <w:sz w:val="24"/>
          <w:szCs w:val="24"/>
          <w:lang w:val="en-GB"/>
        </w:rPr>
        <w:t>pain</w:t>
      </w:r>
      <w:r w:rsidRPr="5C218C92" w:rsidR="06990181">
        <w:rPr>
          <w:rFonts w:ascii="Arial" w:hAnsi="Arial" w:eastAsia="Arial" w:cs="Arial"/>
          <w:b w:val="0"/>
          <w:bCs w:val="0"/>
          <w:i w:val="0"/>
          <w:iCs w:val="0"/>
          <w:caps w:val="0"/>
          <w:smallCaps w:val="0"/>
          <w:noProof w:val="0"/>
          <w:color w:val="auto"/>
          <w:sz w:val="24"/>
          <w:szCs w:val="24"/>
          <w:lang w:val="en-GB"/>
        </w:rPr>
        <w:t xml:space="preserve"> and gain: Growth strategies and adaptive learning among small food producers’, </w:t>
      </w:r>
      <w:r w:rsidRPr="5C218C92" w:rsidR="06990181">
        <w:rPr>
          <w:rFonts w:ascii="Arial" w:hAnsi="Arial" w:eastAsia="Arial" w:cs="Arial"/>
          <w:b w:val="0"/>
          <w:bCs w:val="0"/>
          <w:i w:val="1"/>
          <w:iCs w:val="1"/>
          <w:caps w:val="0"/>
          <w:smallCaps w:val="0"/>
          <w:noProof w:val="0"/>
          <w:color w:val="auto"/>
          <w:sz w:val="24"/>
          <w:szCs w:val="24"/>
          <w:lang w:val="en-GB"/>
        </w:rPr>
        <w:t>International</w:t>
      </w:r>
      <w:r w:rsidRPr="5C218C92" w:rsidR="06990181">
        <w:rPr>
          <w:rFonts w:ascii="Arial" w:hAnsi="Arial" w:eastAsia="Arial" w:cs="Arial"/>
          <w:b w:val="0"/>
          <w:bCs w:val="0"/>
          <w:i w:val="1"/>
          <w:iCs w:val="1"/>
          <w:caps w:val="0"/>
          <w:smallCaps w:val="0"/>
          <w:noProof w:val="0"/>
          <w:color w:val="auto"/>
          <w:sz w:val="24"/>
          <w:szCs w:val="24"/>
          <w:lang w:val="en-GB"/>
        </w:rPr>
        <w:t xml:space="preserve"> journal of entrepreneurial behaviour &amp; research</w:t>
      </w:r>
      <w:r w:rsidRPr="5C218C92" w:rsidR="06990181">
        <w:rPr>
          <w:rFonts w:ascii="Arial" w:hAnsi="Arial" w:eastAsia="Arial" w:cs="Arial"/>
          <w:b w:val="0"/>
          <w:bCs w:val="0"/>
          <w:i w:val="0"/>
          <w:iCs w:val="0"/>
          <w:caps w:val="0"/>
          <w:smallCaps w:val="0"/>
          <w:noProof w:val="0"/>
          <w:color w:val="auto"/>
          <w:sz w:val="24"/>
          <w:szCs w:val="24"/>
          <w:lang w:val="en-GB"/>
        </w:rPr>
        <w:t xml:space="preserve">, 4(2), pp. 101–111. Available at: </w:t>
      </w:r>
      <w:hyperlink r:id="Rb1371dcaa57240e8">
        <w:r w:rsidRPr="5C218C92" w:rsidR="06990181">
          <w:rPr>
            <w:rStyle w:val="Hyperlink"/>
            <w:rFonts w:ascii="Arial" w:hAnsi="Arial" w:eastAsia="Arial" w:cs="Arial"/>
            <w:b w:val="0"/>
            <w:bCs w:val="0"/>
            <w:i w:val="0"/>
            <w:iCs w:val="0"/>
            <w:caps w:val="0"/>
            <w:smallCaps w:val="0"/>
            <w:strike w:val="0"/>
            <w:dstrike w:val="0"/>
            <w:noProof w:val="0"/>
            <w:color w:val="auto"/>
            <w:sz w:val="24"/>
            <w:szCs w:val="24"/>
            <w:lang w:val="en-GB"/>
          </w:rPr>
          <w:t>https://doi.org/10.1108/13552559810224567</w:t>
        </w:r>
      </w:hyperlink>
      <w:r w:rsidRPr="5C218C92" w:rsidR="06990181">
        <w:rPr>
          <w:rFonts w:ascii="Arial" w:hAnsi="Arial" w:eastAsia="Arial" w:cs="Arial"/>
          <w:b w:val="0"/>
          <w:bCs w:val="0"/>
          <w:i w:val="0"/>
          <w:iCs w:val="0"/>
          <w:caps w:val="0"/>
          <w:smallCaps w:val="0"/>
          <w:noProof w:val="0"/>
          <w:color w:val="auto"/>
          <w:sz w:val="24"/>
          <w:szCs w:val="24"/>
          <w:lang w:val="en-GB"/>
        </w:rPr>
        <w:t>.</w:t>
      </w:r>
    </w:p>
    <w:p w:rsidR="5C218C92" w:rsidP="5C218C92" w:rsidRDefault="5C218C92" w14:paraId="6FB311F2" w14:textId="36342595">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72C724B9" w:rsidP="5C218C92" w:rsidRDefault="72C724B9" w14:paraId="4257FAF1" w14:textId="08228A02">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72C724B9">
        <w:rPr>
          <w:rFonts w:ascii="Arial" w:hAnsi="Arial" w:eastAsia="Arial" w:cs="Arial"/>
          <w:b w:val="0"/>
          <w:bCs w:val="0"/>
          <w:noProof w:val="0"/>
          <w:color w:val="auto"/>
          <w:sz w:val="24"/>
          <w:szCs w:val="24"/>
          <w:lang w:val="en-GB"/>
        </w:rPr>
        <w:t>Xheni</w:t>
      </w:r>
      <w:r w:rsidRPr="5C218C92" w:rsidR="72C724B9">
        <w:rPr>
          <w:rFonts w:ascii="Arial" w:hAnsi="Arial" w:eastAsia="Arial" w:cs="Arial"/>
          <w:b w:val="0"/>
          <w:bCs w:val="0"/>
          <w:noProof w:val="0"/>
          <w:color w:val="auto"/>
          <w:sz w:val="24"/>
          <w:szCs w:val="24"/>
          <w:lang w:val="en-GB"/>
        </w:rPr>
        <w:t xml:space="preserve"> Simaku (2022) ‘Netflix and Chill: An analysis of Turkish Generation Z viewers on The New Hedonistic Product’, </w:t>
      </w:r>
      <w:r w:rsidRPr="5C218C92" w:rsidR="72C724B9">
        <w:rPr>
          <w:rFonts w:ascii="Arial" w:hAnsi="Arial" w:eastAsia="Arial" w:cs="Arial"/>
          <w:b w:val="0"/>
          <w:bCs w:val="0"/>
          <w:i w:val="1"/>
          <w:iCs w:val="1"/>
          <w:noProof w:val="0"/>
          <w:color w:val="auto"/>
          <w:sz w:val="24"/>
          <w:szCs w:val="24"/>
          <w:lang w:val="en-GB"/>
        </w:rPr>
        <w:t>İletişim</w:t>
      </w:r>
      <w:r w:rsidRPr="5C218C92" w:rsidR="72C724B9">
        <w:rPr>
          <w:rFonts w:ascii="Arial" w:hAnsi="Arial" w:eastAsia="Arial" w:cs="Arial"/>
          <w:b w:val="0"/>
          <w:bCs w:val="0"/>
          <w:i w:val="1"/>
          <w:iCs w:val="1"/>
          <w:noProof w:val="0"/>
          <w:color w:val="auto"/>
          <w:sz w:val="24"/>
          <w:szCs w:val="24"/>
          <w:lang w:val="en-GB"/>
        </w:rPr>
        <w:t xml:space="preserve"> </w:t>
      </w:r>
      <w:r w:rsidRPr="5C218C92" w:rsidR="72C724B9">
        <w:rPr>
          <w:rFonts w:ascii="Arial" w:hAnsi="Arial" w:eastAsia="Arial" w:cs="Arial"/>
          <w:b w:val="0"/>
          <w:bCs w:val="0"/>
          <w:i w:val="1"/>
          <w:iCs w:val="1"/>
          <w:noProof w:val="0"/>
          <w:color w:val="auto"/>
          <w:sz w:val="24"/>
          <w:szCs w:val="24"/>
          <w:lang w:val="en-GB"/>
        </w:rPr>
        <w:t>kuram</w:t>
      </w:r>
      <w:r w:rsidRPr="5C218C92" w:rsidR="72C724B9">
        <w:rPr>
          <w:rFonts w:ascii="Arial" w:hAnsi="Arial" w:eastAsia="Arial" w:cs="Arial"/>
          <w:b w:val="0"/>
          <w:bCs w:val="0"/>
          <w:i w:val="1"/>
          <w:iCs w:val="1"/>
          <w:noProof w:val="0"/>
          <w:color w:val="auto"/>
          <w:sz w:val="24"/>
          <w:szCs w:val="24"/>
          <w:lang w:val="en-GB"/>
        </w:rPr>
        <w:t xml:space="preserve"> </w:t>
      </w:r>
      <w:r w:rsidRPr="5C218C92" w:rsidR="72C724B9">
        <w:rPr>
          <w:rFonts w:ascii="Arial" w:hAnsi="Arial" w:eastAsia="Arial" w:cs="Arial"/>
          <w:b w:val="0"/>
          <w:bCs w:val="0"/>
          <w:i w:val="1"/>
          <w:iCs w:val="1"/>
          <w:noProof w:val="0"/>
          <w:color w:val="auto"/>
          <w:sz w:val="24"/>
          <w:szCs w:val="24"/>
          <w:lang w:val="en-GB"/>
        </w:rPr>
        <w:t>ve</w:t>
      </w:r>
      <w:r w:rsidRPr="5C218C92" w:rsidR="72C724B9">
        <w:rPr>
          <w:rFonts w:ascii="Arial" w:hAnsi="Arial" w:eastAsia="Arial" w:cs="Arial"/>
          <w:b w:val="0"/>
          <w:bCs w:val="0"/>
          <w:i w:val="1"/>
          <w:iCs w:val="1"/>
          <w:noProof w:val="0"/>
          <w:color w:val="auto"/>
          <w:sz w:val="24"/>
          <w:szCs w:val="24"/>
          <w:lang w:val="en-GB"/>
        </w:rPr>
        <w:t xml:space="preserve"> </w:t>
      </w:r>
      <w:r w:rsidRPr="5C218C92" w:rsidR="72C724B9">
        <w:rPr>
          <w:rFonts w:ascii="Arial" w:hAnsi="Arial" w:eastAsia="Arial" w:cs="Arial"/>
          <w:b w:val="0"/>
          <w:bCs w:val="0"/>
          <w:i w:val="1"/>
          <w:iCs w:val="1"/>
          <w:noProof w:val="0"/>
          <w:color w:val="auto"/>
          <w:sz w:val="24"/>
          <w:szCs w:val="24"/>
          <w:lang w:val="en-GB"/>
        </w:rPr>
        <w:t>araştırma</w:t>
      </w:r>
      <w:r w:rsidRPr="5C218C92" w:rsidR="72C724B9">
        <w:rPr>
          <w:rFonts w:ascii="Arial" w:hAnsi="Arial" w:eastAsia="Arial" w:cs="Arial"/>
          <w:b w:val="0"/>
          <w:bCs w:val="0"/>
          <w:i w:val="1"/>
          <w:iCs w:val="1"/>
          <w:noProof w:val="0"/>
          <w:color w:val="auto"/>
          <w:sz w:val="24"/>
          <w:szCs w:val="24"/>
          <w:lang w:val="en-GB"/>
        </w:rPr>
        <w:t xml:space="preserve"> </w:t>
      </w:r>
      <w:r w:rsidRPr="5C218C92" w:rsidR="72C724B9">
        <w:rPr>
          <w:rFonts w:ascii="Arial" w:hAnsi="Arial" w:eastAsia="Arial" w:cs="Arial"/>
          <w:b w:val="0"/>
          <w:bCs w:val="0"/>
          <w:i w:val="1"/>
          <w:iCs w:val="1"/>
          <w:noProof w:val="0"/>
          <w:color w:val="auto"/>
          <w:sz w:val="24"/>
          <w:szCs w:val="24"/>
          <w:lang w:val="en-GB"/>
        </w:rPr>
        <w:t>dergisi</w:t>
      </w:r>
      <w:r w:rsidRPr="5C218C92" w:rsidR="72C724B9">
        <w:rPr>
          <w:rFonts w:ascii="Arial" w:hAnsi="Arial" w:eastAsia="Arial" w:cs="Arial"/>
          <w:b w:val="0"/>
          <w:bCs w:val="0"/>
          <w:noProof w:val="0"/>
          <w:color w:val="auto"/>
          <w:sz w:val="24"/>
          <w:szCs w:val="24"/>
          <w:lang w:val="en-GB"/>
        </w:rPr>
        <w:t xml:space="preserve">, 2022(58), pp. 170–184. Available at: </w:t>
      </w:r>
      <w:hyperlink r:id="R8a87cd0be38348b7">
        <w:r w:rsidRPr="5C218C92" w:rsidR="72C724B9">
          <w:rPr>
            <w:rStyle w:val="Hyperlink"/>
            <w:rFonts w:ascii="Arial" w:hAnsi="Arial" w:eastAsia="Arial" w:cs="Arial"/>
            <w:b w:val="0"/>
            <w:bCs w:val="0"/>
            <w:noProof w:val="0"/>
            <w:color w:val="auto"/>
            <w:sz w:val="24"/>
            <w:szCs w:val="24"/>
            <w:lang w:val="en-GB"/>
          </w:rPr>
          <w:t>https://doi.org/10.47998/ikad.1004162</w:t>
        </w:r>
      </w:hyperlink>
      <w:r w:rsidRPr="5C218C92" w:rsidR="72C724B9">
        <w:rPr>
          <w:rFonts w:ascii="Arial" w:hAnsi="Arial" w:eastAsia="Arial" w:cs="Arial"/>
          <w:b w:val="0"/>
          <w:bCs w:val="0"/>
          <w:noProof w:val="0"/>
          <w:color w:val="auto"/>
          <w:sz w:val="24"/>
          <w:szCs w:val="24"/>
          <w:lang w:val="en-GB"/>
        </w:rPr>
        <w:t>.</w:t>
      </w:r>
    </w:p>
    <w:p w:rsidR="5C218C92" w:rsidP="5C218C92" w:rsidRDefault="5C218C92" w14:paraId="0DDFC4F0" w14:textId="4C6C4F90">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5AC1309C" w:rsidP="5C218C92" w:rsidRDefault="5AC1309C" w14:paraId="16386E0C" w14:textId="3EB2B79A">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5AC1309C">
        <w:rPr>
          <w:rFonts w:ascii="Arial" w:hAnsi="Arial" w:eastAsia="Arial" w:cs="Arial"/>
          <w:b w:val="0"/>
          <w:bCs w:val="0"/>
          <w:noProof w:val="0"/>
          <w:color w:val="auto"/>
          <w:sz w:val="24"/>
          <w:szCs w:val="24"/>
          <w:lang w:val="en-GB"/>
        </w:rPr>
        <w:t xml:space="preserve">Zhang, L.-T. and </w:t>
      </w:r>
      <w:r w:rsidRPr="5C218C92" w:rsidR="5AC1309C">
        <w:rPr>
          <w:rFonts w:ascii="Arial" w:hAnsi="Arial" w:eastAsia="Arial" w:cs="Arial"/>
          <w:b w:val="0"/>
          <w:bCs w:val="0"/>
          <w:noProof w:val="0"/>
          <w:color w:val="auto"/>
          <w:sz w:val="24"/>
          <w:szCs w:val="24"/>
          <w:lang w:val="en-GB"/>
        </w:rPr>
        <w:t>Cassany</w:t>
      </w:r>
      <w:r w:rsidRPr="5C218C92" w:rsidR="5AC1309C">
        <w:rPr>
          <w:rFonts w:ascii="Arial" w:hAnsi="Arial" w:eastAsia="Arial" w:cs="Arial"/>
          <w:b w:val="0"/>
          <w:bCs w:val="0"/>
          <w:noProof w:val="0"/>
          <w:color w:val="auto"/>
          <w:sz w:val="24"/>
          <w:szCs w:val="24"/>
          <w:lang w:val="en-GB"/>
        </w:rPr>
        <w:t xml:space="preserve">, D. (2020) ‘Making sense of </w:t>
      </w:r>
      <w:r w:rsidRPr="5C218C92" w:rsidR="5AC1309C">
        <w:rPr>
          <w:rFonts w:ascii="Arial" w:hAnsi="Arial" w:eastAsia="Arial" w:cs="Arial"/>
          <w:b w:val="0"/>
          <w:bCs w:val="0"/>
          <w:noProof w:val="0"/>
          <w:color w:val="auto"/>
          <w:sz w:val="24"/>
          <w:szCs w:val="24"/>
          <w:lang w:val="en-GB"/>
        </w:rPr>
        <w:t>danmu</w:t>
      </w:r>
      <w:r w:rsidRPr="5C218C92" w:rsidR="5AC1309C">
        <w:rPr>
          <w:rFonts w:ascii="Arial" w:hAnsi="Arial" w:eastAsia="Arial" w:cs="Arial"/>
          <w:b w:val="0"/>
          <w:bCs w:val="0"/>
          <w:noProof w:val="0"/>
          <w:color w:val="auto"/>
          <w:sz w:val="24"/>
          <w:szCs w:val="24"/>
          <w:lang w:val="en-GB"/>
        </w:rPr>
        <w:t xml:space="preserve">: Coherence in massive anonymous chats on Bilibili.com’, </w:t>
      </w:r>
      <w:r w:rsidRPr="5C218C92" w:rsidR="5AC1309C">
        <w:rPr>
          <w:rFonts w:ascii="Arial" w:hAnsi="Arial" w:eastAsia="Arial" w:cs="Arial"/>
          <w:b w:val="0"/>
          <w:bCs w:val="0"/>
          <w:i w:val="1"/>
          <w:iCs w:val="1"/>
          <w:noProof w:val="0"/>
          <w:color w:val="auto"/>
          <w:sz w:val="24"/>
          <w:szCs w:val="24"/>
          <w:lang w:val="en-GB"/>
        </w:rPr>
        <w:t>Discourse studies</w:t>
      </w:r>
      <w:r w:rsidRPr="5C218C92" w:rsidR="5AC1309C">
        <w:rPr>
          <w:rFonts w:ascii="Arial" w:hAnsi="Arial" w:eastAsia="Arial" w:cs="Arial"/>
          <w:b w:val="0"/>
          <w:bCs w:val="0"/>
          <w:noProof w:val="0"/>
          <w:color w:val="auto"/>
          <w:sz w:val="24"/>
          <w:szCs w:val="24"/>
          <w:lang w:val="en-GB"/>
        </w:rPr>
        <w:t xml:space="preserve">, 22(4), pp. 483–502. Available at: </w:t>
      </w:r>
      <w:hyperlink r:id="R7c0ae16f47dc4283">
        <w:r w:rsidRPr="5C218C92" w:rsidR="5AC1309C">
          <w:rPr>
            <w:rStyle w:val="Hyperlink"/>
            <w:rFonts w:ascii="Arial" w:hAnsi="Arial" w:eastAsia="Arial" w:cs="Arial"/>
            <w:b w:val="0"/>
            <w:bCs w:val="0"/>
            <w:noProof w:val="0"/>
            <w:color w:val="auto"/>
            <w:sz w:val="24"/>
            <w:szCs w:val="24"/>
            <w:lang w:val="en-GB"/>
          </w:rPr>
          <w:t>https://doi.org/10.1177/1461445620940051</w:t>
        </w:r>
      </w:hyperlink>
      <w:r w:rsidRPr="5C218C92" w:rsidR="5AC1309C">
        <w:rPr>
          <w:rFonts w:ascii="Arial" w:hAnsi="Arial" w:eastAsia="Arial" w:cs="Arial"/>
          <w:b w:val="0"/>
          <w:bCs w:val="0"/>
          <w:noProof w:val="0"/>
          <w:color w:val="auto"/>
          <w:sz w:val="24"/>
          <w:szCs w:val="24"/>
          <w:lang w:val="en-GB"/>
        </w:rPr>
        <w:t>.</w:t>
      </w:r>
    </w:p>
    <w:p w:rsidR="5C218C92" w:rsidP="5C218C92" w:rsidRDefault="5C218C92" w14:paraId="462AE251" w14:textId="41866941">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446375BD" w:rsidP="5C218C92" w:rsidRDefault="446375BD" w14:paraId="3304D398" w14:textId="1913CFC5">
      <w:pPr>
        <w:pStyle w:val="Normal"/>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446375BD">
        <w:rPr>
          <w:rFonts w:ascii="Arial" w:hAnsi="Arial" w:eastAsia="Arial" w:cs="Arial"/>
          <w:b w:val="0"/>
          <w:bCs w:val="0"/>
          <w:i w:val="0"/>
          <w:iCs w:val="0"/>
          <w:caps w:val="0"/>
          <w:smallCaps w:val="0"/>
          <w:noProof w:val="0"/>
          <w:color w:val="auto"/>
          <w:sz w:val="24"/>
          <w:szCs w:val="24"/>
          <w:lang w:val="en-GB"/>
        </w:rPr>
        <w:t xml:space="preserve">Zhao, E.J., (2018) Negotiating state and copyright territorialities in overseas expansion: The case of China’s online video streaming platforms. </w:t>
      </w:r>
      <w:r w:rsidRPr="5C218C92" w:rsidR="446375BD">
        <w:rPr>
          <w:rFonts w:ascii="Arial" w:hAnsi="Arial" w:eastAsia="Arial" w:cs="Arial"/>
          <w:b w:val="0"/>
          <w:bCs w:val="0"/>
          <w:i w:val="1"/>
          <w:iCs w:val="1"/>
          <w:caps w:val="0"/>
          <w:smallCaps w:val="0"/>
          <w:noProof w:val="0"/>
          <w:color w:val="auto"/>
          <w:sz w:val="24"/>
          <w:szCs w:val="24"/>
          <w:lang w:val="en-GB"/>
        </w:rPr>
        <w:t>Media Industries Journal</w:t>
      </w:r>
      <w:r w:rsidRPr="5C218C92" w:rsidR="446375BD">
        <w:rPr>
          <w:rFonts w:ascii="Arial" w:hAnsi="Arial" w:eastAsia="Arial" w:cs="Arial"/>
          <w:b w:val="0"/>
          <w:bCs w:val="0"/>
          <w:i w:val="0"/>
          <w:iCs w:val="0"/>
          <w:caps w:val="0"/>
          <w:smallCaps w:val="0"/>
          <w:noProof w:val="0"/>
          <w:color w:val="auto"/>
          <w:sz w:val="24"/>
          <w:szCs w:val="24"/>
          <w:lang w:val="en-GB"/>
        </w:rPr>
        <w:t xml:space="preserve">, </w:t>
      </w:r>
      <w:r w:rsidRPr="5C218C92" w:rsidR="446375BD">
        <w:rPr>
          <w:rFonts w:ascii="Arial" w:hAnsi="Arial" w:eastAsia="Arial" w:cs="Arial"/>
          <w:b w:val="0"/>
          <w:bCs w:val="0"/>
          <w:i w:val="1"/>
          <w:iCs w:val="1"/>
          <w:caps w:val="0"/>
          <w:smallCaps w:val="0"/>
          <w:noProof w:val="0"/>
          <w:color w:val="auto"/>
          <w:sz w:val="24"/>
          <w:szCs w:val="24"/>
          <w:lang w:val="en-GB"/>
        </w:rPr>
        <w:t>5</w:t>
      </w:r>
      <w:r w:rsidRPr="5C218C92" w:rsidR="446375BD">
        <w:rPr>
          <w:rFonts w:ascii="Arial" w:hAnsi="Arial" w:eastAsia="Arial" w:cs="Arial"/>
          <w:b w:val="0"/>
          <w:bCs w:val="0"/>
          <w:i w:val="0"/>
          <w:iCs w:val="0"/>
          <w:caps w:val="0"/>
          <w:smallCaps w:val="0"/>
          <w:noProof w:val="0"/>
          <w:color w:val="auto"/>
          <w:sz w:val="24"/>
          <w:szCs w:val="24"/>
          <w:lang w:val="en-GB"/>
        </w:rPr>
        <w:t>(1).</w:t>
      </w:r>
    </w:p>
    <w:p w:rsidR="5C218C92" w:rsidP="5C218C92" w:rsidRDefault="5C218C92" w14:paraId="2AB140FB" w14:textId="4E42C9C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2A27D219" w:rsidP="5C218C92" w:rsidRDefault="2A27D219" w14:paraId="39AE4E56" w14:textId="02DEE04D">
      <w:pPr>
        <w:spacing w:before="0" w:beforeAutospacing="off" w:after="0" w:afterAutospacing="off" w:line="360" w:lineRule="auto"/>
        <w:jc w:val="both"/>
        <w:rPr>
          <w:rFonts w:ascii="Arial" w:hAnsi="Arial" w:eastAsia="Arial" w:cs="Arial"/>
          <w:b w:val="0"/>
          <w:bCs w:val="0"/>
          <w:noProof w:val="0"/>
          <w:color w:val="auto"/>
          <w:sz w:val="24"/>
          <w:szCs w:val="24"/>
          <w:lang w:val="en-GB"/>
        </w:rPr>
      </w:pPr>
      <w:r w:rsidRPr="5C218C92" w:rsidR="2A27D219">
        <w:rPr>
          <w:rFonts w:ascii="Arial" w:hAnsi="Arial" w:eastAsia="Arial" w:cs="Arial"/>
          <w:b w:val="0"/>
          <w:bCs w:val="0"/>
          <w:noProof w:val="0"/>
          <w:color w:val="auto"/>
          <w:sz w:val="24"/>
          <w:szCs w:val="24"/>
          <w:lang w:val="en-GB"/>
        </w:rPr>
        <w:t xml:space="preserve">Zhao, S. </w:t>
      </w:r>
      <w:r w:rsidRPr="5C218C92" w:rsidR="2A27D219">
        <w:rPr>
          <w:rFonts w:ascii="Arial" w:hAnsi="Arial" w:eastAsia="Arial" w:cs="Arial"/>
          <w:b w:val="0"/>
          <w:bCs w:val="0"/>
          <w:i w:val="1"/>
          <w:iCs w:val="1"/>
          <w:noProof w:val="0"/>
          <w:color w:val="auto"/>
          <w:sz w:val="24"/>
          <w:szCs w:val="24"/>
          <w:lang w:val="en-GB"/>
        </w:rPr>
        <w:t>et al.</w:t>
      </w:r>
      <w:r w:rsidRPr="5C218C92" w:rsidR="2A27D219">
        <w:rPr>
          <w:rFonts w:ascii="Arial" w:hAnsi="Arial" w:eastAsia="Arial" w:cs="Arial"/>
          <w:b w:val="0"/>
          <w:bCs w:val="0"/>
          <w:noProof w:val="0"/>
          <w:color w:val="auto"/>
          <w:sz w:val="24"/>
          <w:szCs w:val="24"/>
          <w:lang w:val="en-GB"/>
        </w:rPr>
        <w:t xml:space="preserve"> (2023) ‘Has China’s low-carbon strategy pushed forward the digital transformation of manufacturing enterprises? Evidence from the low-carbon city pilot policy</w:t>
      </w:r>
      <w:r w:rsidRPr="5C218C92" w:rsidR="2A27D219">
        <w:rPr>
          <w:rFonts w:ascii="Arial" w:hAnsi="Arial" w:eastAsia="Arial" w:cs="Arial"/>
          <w:b w:val="0"/>
          <w:bCs w:val="0"/>
          <w:noProof w:val="0"/>
          <w:color w:val="auto"/>
          <w:sz w:val="24"/>
          <w:szCs w:val="24"/>
          <w:lang w:val="en-GB"/>
        </w:rPr>
        <w:t>’,</w:t>
      </w:r>
      <w:r w:rsidRPr="5C218C92" w:rsidR="2A27D219">
        <w:rPr>
          <w:rFonts w:ascii="Arial" w:hAnsi="Arial" w:eastAsia="Arial" w:cs="Arial"/>
          <w:b w:val="0"/>
          <w:bCs w:val="0"/>
          <w:noProof w:val="0"/>
          <w:color w:val="auto"/>
          <w:sz w:val="24"/>
          <w:szCs w:val="24"/>
          <w:lang w:val="en-GB"/>
        </w:rPr>
        <w:t xml:space="preserve"> </w:t>
      </w:r>
      <w:r w:rsidRPr="5C218C92" w:rsidR="2A27D219">
        <w:rPr>
          <w:rFonts w:ascii="Arial" w:hAnsi="Arial" w:eastAsia="Arial" w:cs="Arial"/>
          <w:b w:val="0"/>
          <w:bCs w:val="0"/>
          <w:i w:val="1"/>
          <w:iCs w:val="1"/>
          <w:noProof w:val="0"/>
          <w:color w:val="auto"/>
          <w:sz w:val="24"/>
          <w:szCs w:val="24"/>
          <w:lang w:val="en-GB"/>
        </w:rPr>
        <w:t>Environmental impact assessment review</w:t>
      </w:r>
      <w:r w:rsidRPr="5C218C92" w:rsidR="2A27D219">
        <w:rPr>
          <w:rFonts w:ascii="Arial" w:hAnsi="Arial" w:eastAsia="Arial" w:cs="Arial"/>
          <w:b w:val="0"/>
          <w:bCs w:val="0"/>
          <w:noProof w:val="0"/>
          <w:color w:val="auto"/>
          <w:sz w:val="24"/>
          <w:szCs w:val="24"/>
          <w:lang w:val="en-GB"/>
        </w:rPr>
        <w:t xml:space="preserve">, 102. Available at: </w:t>
      </w:r>
      <w:hyperlink r:id="R17dd287869de4429">
        <w:r w:rsidRPr="5C218C92" w:rsidR="2A27D219">
          <w:rPr>
            <w:rStyle w:val="Hyperlink"/>
            <w:rFonts w:ascii="Arial" w:hAnsi="Arial" w:eastAsia="Arial" w:cs="Arial"/>
            <w:b w:val="0"/>
            <w:bCs w:val="0"/>
            <w:noProof w:val="0"/>
            <w:color w:val="auto"/>
            <w:sz w:val="24"/>
            <w:szCs w:val="24"/>
            <w:lang w:val="en-GB"/>
          </w:rPr>
          <w:t>https://doi.org/10.1016/j.eiar.2023.107184</w:t>
        </w:r>
      </w:hyperlink>
      <w:r w:rsidRPr="5C218C92" w:rsidR="2A27D219">
        <w:rPr>
          <w:rFonts w:ascii="Arial" w:hAnsi="Arial" w:eastAsia="Arial" w:cs="Arial"/>
          <w:b w:val="0"/>
          <w:bCs w:val="0"/>
          <w:noProof w:val="0"/>
          <w:color w:val="auto"/>
          <w:sz w:val="24"/>
          <w:szCs w:val="24"/>
          <w:lang w:val="en-GB"/>
        </w:rPr>
        <w:t>.</w:t>
      </w:r>
    </w:p>
    <w:p w:rsidR="5C218C92" w:rsidP="5C218C92" w:rsidRDefault="5C218C92" w14:paraId="68141B02" w14:textId="5888C902">
      <w:pPr>
        <w:spacing w:before="0" w:beforeAutospacing="off" w:after="0" w:afterAutospacing="off" w:line="360" w:lineRule="auto"/>
        <w:jc w:val="both"/>
        <w:rPr>
          <w:rFonts w:ascii="Arial" w:hAnsi="Arial" w:eastAsia="Arial" w:cs="Arial"/>
          <w:b w:val="0"/>
          <w:bCs w:val="0"/>
          <w:noProof w:val="0"/>
          <w:color w:val="auto"/>
          <w:sz w:val="24"/>
          <w:szCs w:val="24"/>
          <w:lang w:val="en-GB"/>
        </w:rPr>
      </w:pPr>
    </w:p>
    <w:p w:rsidR="28E51230" w:rsidP="5C218C92" w:rsidRDefault="28E51230" w14:paraId="39E27E46" w14:textId="71D3FECC">
      <w:pPr>
        <w:spacing w:before="120" w:beforeAutospacing="off" w:after="120" w:afterAutospacing="off" w:line="360" w:lineRule="auto"/>
        <w:jc w:val="both"/>
        <w:rPr>
          <w:rFonts w:ascii="Arial" w:hAnsi="Arial" w:eastAsia="Arial" w:cs="Arial"/>
          <w:b w:val="0"/>
          <w:bCs w:val="0"/>
          <w:noProof w:val="0"/>
          <w:color w:val="auto"/>
          <w:sz w:val="24"/>
          <w:szCs w:val="24"/>
          <w:lang w:val="en-GB"/>
        </w:rPr>
      </w:pPr>
      <w:r w:rsidRPr="5C218C92" w:rsidR="28E51230">
        <w:rPr>
          <w:rFonts w:ascii="Arial" w:hAnsi="Arial" w:eastAsia="Arial" w:cs="Arial"/>
          <w:b w:val="0"/>
          <w:bCs w:val="0"/>
          <w:noProof w:val="0"/>
          <w:color w:val="auto"/>
          <w:sz w:val="24"/>
          <w:szCs w:val="24"/>
          <w:lang w:val="en-GB"/>
        </w:rPr>
        <w:t xml:space="preserve">Zhuge, Y., (2018) Video consumption, social networking, and influence. </w:t>
      </w:r>
      <w:r w:rsidRPr="5C218C92" w:rsidR="28E51230">
        <w:rPr>
          <w:rFonts w:ascii="Arial" w:hAnsi="Arial" w:eastAsia="Arial" w:cs="Arial"/>
          <w:b w:val="0"/>
          <w:bCs w:val="0"/>
          <w:i w:val="1"/>
          <w:iCs w:val="1"/>
          <w:noProof w:val="0"/>
          <w:color w:val="auto"/>
          <w:sz w:val="24"/>
          <w:szCs w:val="24"/>
          <w:lang w:val="en-GB"/>
        </w:rPr>
        <w:t>Communications of the ACM</w:t>
      </w:r>
      <w:r w:rsidRPr="5C218C92" w:rsidR="28E51230">
        <w:rPr>
          <w:rFonts w:ascii="Arial" w:hAnsi="Arial" w:eastAsia="Arial" w:cs="Arial"/>
          <w:b w:val="0"/>
          <w:bCs w:val="0"/>
          <w:noProof w:val="0"/>
          <w:color w:val="auto"/>
          <w:sz w:val="24"/>
          <w:szCs w:val="24"/>
          <w:lang w:val="en-GB"/>
        </w:rPr>
        <w:t xml:space="preserve">, </w:t>
      </w:r>
      <w:r w:rsidRPr="5C218C92" w:rsidR="28E51230">
        <w:rPr>
          <w:rFonts w:ascii="Arial" w:hAnsi="Arial" w:eastAsia="Arial" w:cs="Arial"/>
          <w:b w:val="0"/>
          <w:bCs w:val="0"/>
          <w:i w:val="1"/>
          <w:iCs w:val="1"/>
          <w:noProof w:val="0"/>
          <w:color w:val="auto"/>
          <w:sz w:val="24"/>
          <w:szCs w:val="24"/>
          <w:lang w:val="en-GB"/>
        </w:rPr>
        <w:t>61</w:t>
      </w:r>
      <w:r w:rsidRPr="5C218C92" w:rsidR="28E51230">
        <w:rPr>
          <w:rFonts w:ascii="Arial" w:hAnsi="Arial" w:eastAsia="Arial" w:cs="Arial"/>
          <w:b w:val="0"/>
          <w:bCs w:val="0"/>
          <w:noProof w:val="0"/>
          <w:color w:val="auto"/>
          <w:sz w:val="24"/>
          <w:szCs w:val="24"/>
          <w:lang w:val="en-GB"/>
        </w:rPr>
        <w:t>(11), pp.76-81.</w:t>
      </w:r>
    </w:p>
    <w:p w:rsidR="5C218C92" w:rsidP="5C218C92" w:rsidRDefault="5C218C92" w14:paraId="6EDDC735" w14:textId="53DC4C52">
      <w:pPr>
        <w:spacing w:before="0" w:beforeAutospacing="off" w:after="0" w:afterAutospacing="off"/>
        <w:rPr>
          <w:rFonts w:ascii="Arial" w:hAnsi="Arial" w:eastAsia="Arial" w:cs="Arial"/>
          <w:noProof w:val="0"/>
          <w:sz w:val="22"/>
          <w:szCs w:val="22"/>
          <w:lang w:val="en-GB"/>
        </w:rPr>
      </w:pPr>
    </w:p>
    <w:p w:rsidR="5C218C92" w:rsidP="5C218C92" w:rsidRDefault="5C218C92" w14:paraId="787DF50F" w14:textId="4AC09BA7">
      <w:pPr>
        <w:pStyle w:val="Normal"/>
        <w:rPr>
          <w:rFonts w:ascii="Arial" w:hAnsi="Arial" w:eastAsia="Arial" w:cs="Arial"/>
        </w:rPr>
      </w:pPr>
    </w:p>
    <w:p w:rsidR="001D7176" w:rsidRDefault="001D7176" w14:paraId="61E9B00D" w14:textId="77777777"/>
    <w:sectPr w:rsidR="001D7176">
      <w:headerReference w:type="default" r:id="rId11"/>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29D7" w:rsidP="00A129D7" w:rsidRDefault="00A129D7" w14:paraId="1B899FC1" w14:textId="77777777">
      <w:pPr>
        <w:spacing w:after="0" w:line="240" w:lineRule="auto"/>
      </w:pPr>
      <w:r>
        <w:separator/>
      </w:r>
    </w:p>
  </w:endnote>
  <w:endnote w:type="continuationSeparator" w:id="0">
    <w:p w:rsidR="00A129D7" w:rsidP="00A129D7" w:rsidRDefault="00A129D7" w14:paraId="023BA1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8586470"/>
      <w:docPartObj>
        <w:docPartGallery w:val="Page Numbers (Bottom of Page)"/>
        <w:docPartUnique/>
      </w:docPartObj>
    </w:sdtPr>
    <w:sdtContent>
      <w:p w:rsidR="00A129D7" w:rsidRDefault="00A129D7" w14:paraId="07AF682D" w14:textId="72BA19E2">
        <w:pPr>
          <w:pStyle w:val="Footer"/>
          <w:jc w:val="center"/>
        </w:pPr>
        <w:r>
          <w:fldChar w:fldCharType="begin"/>
        </w:r>
        <w:r>
          <w:instrText xml:space="preserve">PAGE   \* MERGEFORMAT</w:instrText>
        </w:r>
        <w:r>
          <w:fldChar w:fldCharType="separate"/>
        </w:r>
        <w:r w:rsidRPr="5C218C92" w:rsidR="5C218C92">
          <w:rPr>
            <w:rFonts w:ascii="Arial" w:hAnsi="Arial" w:eastAsia="Arial" w:cs="Arial"/>
            <w:b w:val="0"/>
            <w:bCs w:val="0"/>
            <w:color w:val="auto"/>
            <w:sz w:val="24"/>
            <w:szCs w:val="24"/>
          </w:rPr>
          <w:t>2</w:t>
        </w:r>
        <w:r>
          <w:fldChar w:fldCharType="end"/>
        </w:r>
      </w:p>
    </w:sdtContent>
  </w:sdt>
  <w:p w:rsidR="00A129D7" w:rsidRDefault="00A129D7" w14:paraId="58FD4F4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29D7" w:rsidP="00A129D7" w:rsidRDefault="00A129D7" w14:paraId="494894CB" w14:textId="77777777">
      <w:pPr>
        <w:spacing w:after="0" w:line="240" w:lineRule="auto"/>
      </w:pPr>
      <w:r>
        <w:separator/>
      </w:r>
    </w:p>
  </w:footnote>
  <w:footnote w:type="continuationSeparator" w:id="0">
    <w:p w:rsidR="00A129D7" w:rsidP="00A129D7" w:rsidRDefault="00A129D7" w14:paraId="700F000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129D7" w:rsidRDefault="00A129D7" w14:paraId="5C3D7B8A" w14:textId="77777777">
    <w:pPr>
      <w:pStyle w:val="Header"/>
    </w:pPr>
  </w:p>
  <w:p w:rsidR="00A129D7" w:rsidRDefault="00A129D7" w14:paraId="1BE0C2EF" w14:textId="77777777">
    <w:pPr>
      <w:pStyle w:val="Header"/>
    </w:pPr>
  </w:p>
</w:hdr>
</file>

<file path=word/intelligence2.xml><?xml version="1.0" encoding="utf-8"?>
<int2:intelligence xmlns:int2="http://schemas.microsoft.com/office/intelligence/2020/intelligence">
  <int2:observations>
    <int2:bookmark int2:bookmarkName="_Int_n0AIzV0y" int2:invalidationBookmarkName="" int2:hashCode="0JQeaNqPOBUf+G" int2:id="nK2RTITc">
      <int2:state int2:type="gram" int2:value="Rejected"/>
    </int2:bookmark>
    <int2:bookmark int2:bookmarkName="_Int_0jp7ElUq" int2:invalidationBookmarkName="" int2:hashCode="C6SzXJxOM6ab1b" int2:id="aMaSXI5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fe2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9D7"/>
    <w:rsid w:val="00000399"/>
    <w:rsid w:val="0005CFCA"/>
    <w:rsid w:val="001D7176"/>
    <w:rsid w:val="00206429"/>
    <w:rsid w:val="00527246"/>
    <w:rsid w:val="005B5479"/>
    <w:rsid w:val="00671166"/>
    <w:rsid w:val="00731D09"/>
    <w:rsid w:val="008012EE"/>
    <w:rsid w:val="008F6906"/>
    <w:rsid w:val="009D7745"/>
    <w:rsid w:val="00A129D7"/>
    <w:rsid w:val="00A7EAD3"/>
    <w:rsid w:val="00AF64C1"/>
    <w:rsid w:val="00B51E2E"/>
    <w:rsid w:val="00B930E0"/>
    <w:rsid w:val="00C50DFF"/>
    <w:rsid w:val="00C9A62E"/>
    <w:rsid w:val="00CD5E49"/>
    <w:rsid w:val="00D862EF"/>
    <w:rsid w:val="00E42B42"/>
    <w:rsid w:val="00F47EAB"/>
    <w:rsid w:val="02DE12A8"/>
    <w:rsid w:val="0386BA3E"/>
    <w:rsid w:val="0432DD73"/>
    <w:rsid w:val="043E6E0B"/>
    <w:rsid w:val="04CCFD0D"/>
    <w:rsid w:val="05E5925A"/>
    <w:rsid w:val="062A0CBF"/>
    <w:rsid w:val="06990181"/>
    <w:rsid w:val="06B3EF48"/>
    <w:rsid w:val="075C60DF"/>
    <w:rsid w:val="07703003"/>
    <w:rsid w:val="07F0D7C1"/>
    <w:rsid w:val="082F7614"/>
    <w:rsid w:val="085C2A77"/>
    <w:rsid w:val="08715171"/>
    <w:rsid w:val="0949F697"/>
    <w:rsid w:val="098ABD9A"/>
    <w:rsid w:val="09F965DD"/>
    <w:rsid w:val="0A2DF36F"/>
    <w:rsid w:val="0AB16FD4"/>
    <w:rsid w:val="0AB42CF5"/>
    <w:rsid w:val="0AD65F1A"/>
    <w:rsid w:val="0AE9B25D"/>
    <w:rsid w:val="0B7A9FDA"/>
    <w:rsid w:val="0B98AD83"/>
    <w:rsid w:val="0BB79C0D"/>
    <w:rsid w:val="0C195DB9"/>
    <w:rsid w:val="0C3243F4"/>
    <w:rsid w:val="0C38E4F2"/>
    <w:rsid w:val="0C40CF5D"/>
    <w:rsid w:val="0DD592CC"/>
    <w:rsid w:val="0EA0491C"/>
    <w:rsid w:val="0EAEFA51"/>
    <w:rsid w:val="0EB06D8E"/>
    <w:rsid w:val="0F9A7CDF"/>
    <w:rsid w:val="0FCB3771"/>
    <w:rsid w:val="1087B957"/>
    <w:rsid w:val="10A843E2"/>
    <w:rsid w:val="1159C233"/>
    <w:rsid w:val="115B2348"/>
    <w:rsid w:val="1274828F"/>
    <w:rsid w:val="12CE94EF"/>
    <w:rsid w:val="1324A132"/>
    <w:rsid w:val="133744A3"/>
    <w:rsid w:val="144E8088"/>
    <w:rsid w:val="160A5998"/>
    <w:rsid w:val="1620DDEF"/>
    <w:rsid w:val="16C1F48F"/>
    <w:rsid w:val="17805ED3"/>
    <w:rsid w:val="17ECB84A"/>
    <w:rsid w:val="17FF8957"/>
    <w:rsid w:val="1800B297"/>
    <w:rsid w:val="18AEAFFC"/>
    <w:rsid w:val="18BDD076"/>
    <w:rsid w:val="18DAF36F"/>
    <w:rsid w:val="19008009"/>
    <w:rsid w:val="198E51AC"/>
    <w:rsid w:val="1BF22CAC"/>
    <w:rsid w:val="1C163F1E"/>
    <w:rsid w:val="1C25210C"/>
    <w:rsid w:val="1C81382A"/>
    <w:rsid w:val="1C9D84E6"/>
    <w:rsid w:val="1DBC3B4A"/>
    <w:rsid w:val="1DC9C8F0"/>
    <w:rsid w:val="1DEBFCF9"/>
    <w:rsid w:val="1E00A4F8"/>
    <w:rsid w:val="1ED9045D"/>
    <w:rsid w:val="1EEF1E25"/>
    <w:rsid w:val="1F70EA75"/>
    <w:rsid w:val="20BA84A7"/>
    <w:rsid w:val="20D43FC0"/>
    <w:rsid w:val="20DC2CAB"/>
    <w:rsid w:val="2111CFA3"/>
    <w:rsid w:val="213211F8"/>
    <w:rsid w:val="21F2C440"/>
    <w:rsid w:val="21FC9CED"/>
    <w:rsid w:val="22253AF8"/>
    <w:rsid w:val="222E5240"/>
    <w:rsid w:val="229826E8"/>
    <w:rsid w:val="22EB84D0"/>
    <w:rsid w:val="23B1CD87"/>
    <w:rsid w:val="24241F6A"/>
    <w:rsid w:val="2466AD22"/>
    <w:rsid w:val="24B9E6AA"/>
    <w:rsid w:val="24C5A962"/>
    <w:rsid w:val="24E8F788"/>
    <w:rsid w:val="2508DB08"/>
    <w:rsid w:val="2512FD48"/>
    <w:rsid w:val="25699AC2"/>
    <w:rsid w:val="25D076FF"/>
    <w:rsid w:val="26A61411"/>
    <w:rsid w:val="28508AB2"/>
    <w:rsid w:val="2869CCEC"/>
    <w:rsid w:val="28E51230"/>
    <w:rsid w:val="29191978"/>
    <w:rsid w:val="2954F2B6"/>
    <w:rsid w:val="29E58CB4"/>
    <w:rsid w:val="2A27D219"/>
    <w:rsid w:val="2A7E4C5D"/>
    <w:rsid w:val="2AAAFD91"/>
    <w:rsid w:val="2AB82229"/>
    <w:rsid w:val="2B8ACDEB"/>
    <w:rsid w:val="2BC51667"/>
    <w:rsid w:val="2C8884A0"/>
    <w:rsid w:val="2CB0F99B"/>
    <w:rsid w:val="2D0B180C"/>
    <w:rsid w:val="2D0B92FF"/>
    <w:rsid w:val="2D83394F"/>
    <w:rsid w:val="2E5D3B7E"/>
    <w:rsid w:val="2E8BBFD0"/>
    <w:rsid w:val="2E9C8CB0"/>
    <w:rsid w:val="2EB8D3CC"/>
    <w:rsid w:val="2EF31783"/>
    <w:rsid w:val="2F23ED22"/>
    <w:rsid w:val="2F621503"/>
    <w:rsid w:val="2FB1CCC8"/>
    <w:rsid w:val="2FE0A3C0"/>
    <w:rsid w:val="305EED5D"/>
    <w:rsid w:val="308F227A"/>
    <w:rsid w:val="30E2E5A0"/>
    <w:rsid w:val="3107EA52"/>
    <w:rsid w:val="313F5A2D"/>
    <w:rsid w:val="32320D4A"/>
    <w:rsid w:val="32366057"/>
    <w:rsid w:val="328ED4E4"/>
    <w:rsid w:val="32A00507"/>
    <w:rsid w:val="343946D7"/>
    <w:rsid w:val="34E0AB38"/>
    <w:rsid w:val="34F94741"/>
    <w:rsid w:val="351F7BF9"/>
    <w:rsid w:val="354D2D1E"/>
    <w:rsid w:val="3558914F"/>
    <w:rsid w:val="3589A8D5"/>
    <w:rsid w:val="363BC4AB"/>
    <w:rsid w:val="36B0CFC9"/>
    <w:rsid w:val="37E74674"/>
    <w:rsid w:val="384129F4"/>
    <w:rsid w:val="3873911D"/>
    <w:rsid w:val="3A48ECAF"/>
    <w:rsid w:val="3A4AAF03"/>
    <w:rsid w:val="3A4DF93A"/>
    <w:rsid w:val="3A95740A"/>
    <w:rsid w:val="3B110B34"/>
    <w:rsid w:val="3C01B3B5"/>
    <w:rsid w:val="3C098D32"/>
    <w:rsid w:val="3C72CD0A"/>
    <w:rsid w:val="3E45120B"/>
    <w:rsid w:val="3E4AD852"/>
    <w:rsid w:val="3E9D1CC5"/>
    <w:rsid w:val="3EDEC32C"/>
    <w:rsid w:val="3F359E0F"/>
    <w:rsid w:val="3FA209BC"/>
    <w:rsid w:val="3FB519F1"/>
    <w:rsid w:val="404F027E"/>
    <w:rsid w:val="422FE849"/>
    <w:rsid w:val="42748C50"/>
    <w:rsid w:val="427E77C3"/>
    <w:rsid w:val="42EDC3E0"/>
    <w:rsid w:val="433A3F6F"/>
    <w:rsid w:val="446375BD"/>
    <w:rsid w:val="44D6F4CF"/>
    <w:rsid w:val="44F3A9E8"/>
    <w:rsid w:val="453E3056"/>
    <w:rsid w:val="4694FBD3"/>
    <w:rsid w:val="46F876D4"/>
    <w:rsid w:val="47E786AC"/>
    <w:rsid w:val="489A91CA"/>
    <w:rsid w:val="48C67FFF"/>
    <w:rsid w:val="4934EAE8"/>
    <w:rsid w:val="49ABD4DA"/>
    <w:rsid w:val="49BE0052"/>
    <w:rsid w:val="4A263DAE"/>
    <w:rsid w:val="4A7425AA"/>
    <w:rsid w:val="4ADADD8C"/>
    <w:rsid w:val="4AEB2FAD"/>
    <w:rsid w:val="4B158E31"/>
    <w:rsid w:val="4BE0E3B7"/>
    <w:rsid w:val="4D049B10"/>
    <w:rsid w:val="4D1A30C0"/>
    <w:rsid w:val="4DE398E8"/>
    <w:rsid w:val="4E33AFC0"/>
    <w:rsid w:val="4E90C6FE"/>
    <w:rsid w:val="4EBA0A8A"/>
    <w:rsid w:val="4EE169D2"/>
    <w:rsid w:val="4F3C66AD"/>
    <w:rsid w:val="50491C59"/>
    <w:rsid w:val="50FD6276"/>
    <w:rsid w:val="51C5DDCD"/>
    <w:rsid w:val="5223C31C"/>
    <w:rsid w:val="52BFA3AB"/>
    <w:rsid w:val="52DFA0F3"/>
    <w:rsid w:val="530E9B13"/>
    <w:rsid w:val="5388E870"/>
    <w:rsid w:val="53F36FC0"/>
    <w:rsid w:val="541E588D"/>
    <w:rsid w:val="54FECB6D"/>
    <w:rsid w:val="550B8BBB"/>
    <w:rsid w:val="557BA14D"/>
    <w:rsid w:val="55D21ADF"/>
    <w:rsid w:val="560C253B"/>
    <w:rsid w:val="569EA7E0"/>
    <w:rsid w:val="56D64463"/>
    <w:rsid w:val="56E4CB57"/>
    <w:rsid w:val="5732D6DF"/>
    <w:rsid w:val="57725F98"/>
    <w:rsid w:val="57AF27CB"/>
    <w:rsid w:val="57C08E71"/>
    <w:rsid w:val="57D95D9F"/>
    <w:rsid w:val="57E184D0"/>
    <w:rsid w:val="57F1A0FE"/>
    <w:rsid w:val="58B4555B"/>
    <w:rsid w:val="59604C9A"/>
    <w:rsid w:val="596B7C6B"/>
    <w:rsid w:val="5A0BD0DB"/>
    <w:rsid w:val="5A280ED0"/>
    <w:rsid w:val="5A883687"/>
    <w:rsid w:val="5AC1309C"/>
    <w:rsid w:val="5ADBF94A"/>
    <w:rsid w:val="5AFDC5D7"/>
    <w:rsid w:val="5B07D25D"/>
    <w:rsid w:val="5B1E989D"/>
    <w:rsid w:val="5C1622DD"/>
    <w:rsid w:val="5C218C92"/>
    <w:rsid w:val="5C9F2251"/>
    <w:rsid w:val="5CC340B5"/>
    <w:rsid w:val="5CE48BB2"/>
    <w:rsid w:val="5CE9F8C3"/>
    <w:rsid w:val="5D5AA171"/>
    <w:rsid w:val="5D7DF617"/>
    <w:rsid w:val="5DD25B4E"/>
    <w:rsid w:val="5E672C02"/>
    <w:rsid w:val="5EAB156E"/>
    <w:rsid w:val="5EF5B18A"/>
    <w:rsid w:val="5F0D2841"/>
    <w:rsid w:val="5F1A9E52"/>
    <w:rsid w:val="5F2DE34F"/>
    <w:rsid w:val="620B32F4"/>
    <w:rsid w:val="6217CEF3"/>
    <w:rsid w:val="626C159D"/>
    <w:rsid w:val="626CD303"/>
    <w:rsid w:val="62D498F8"/>
    <w:rsid w:val="63A494E3"/>
    <w:rsid w:val="63FB1955"/>
    <w:rsid w:val="6426180D"/>
    <w:rsid w:val="647DB3DB"/>
    <w:rsid w:val="65BDDD82"/>
    <w:rsid w:val="65F61F90"/>
    <w:rsid w:val="661E0A73"/>
    <w:rsid w:val="6657B1DF"/>
    <w:rsid w:val="668FEADE"/>
    <w:rsid w:val="67409704"/>
    <w:rsid w:val="67872620"/>
    <w:rsid w:val="67909C3E"/>
    <w:rsid w:val="67993460"/>
    <w:rsid w:val="67AB96E3"/>
    <w:rsid w:val="67DACA30"/>
    <w:rsid w:val="67E474C9"/>
    <w:rsid w:val="68F8EE92"/>
    <w:rsid w:val="69B13EA4"/>
    <w:rsid w:val="6A3CF63B"/>
    <w:rsid w:val="6A68A6CE"/>
    <w:rsid w:val="6B8F2139"/>
    <w:rsid w:val="6BA70C61"/>
    <w:rsid w:val="6BAC8A2C"/>
    <w:rsid w:val="6BDF238B"/>
    <w:rsid w:val="6BFA042D"/>
    <w:rsid w:val="6C0BCA23"/>
    <w:rsid w:val="6C883C7C"/>
    <w:rsid w:val="6CE730A1"/>
    <w:rsid w:val="6D09C881"/>
    <w:rsid w:val="6D09DAFB"/>
    <w:rsid w:val="6E697076"/>
    <w:rsid w:val="6F163174"/>
    <w:rsid w:val="6F261633"/>
    <w:rsid w:val="6F5463AA"/>
    <w:rsid w:val="6F6A51BE"/>
    <w:rsid w:val="6F968453"/>
    <w:rsid w:val="6FC10E63"/>
    <w:rsid w:val="6FC3FCF9"/>
    <w:rsid w:val="70724892"/>
    <w:rsid w:val="70B943A8"/>
    <w:rsid w:val="71708176"/>
    <w:rsid w:val="717E57D0"/>
    <w:rsid w:val="722F79DE"/>
    <w:rsid w:val="7275DE47"/>
    <w:rsid w:val="7288EDA6"/>
    <w:rsid w:val="728F1D6D"/>
    <w:rsid w:val="72C724B9"/>
    <w:rsid w:val="72FB2C99"/>
    <w:rsid w:val="734DCCE4"/>
    <w:rsid w:val="77067036"/>
    <w:rsid w:val="776564D2"/>
    <w:rsid w:val="78003F16"/>
    <w:rsid w:val="780A08C3"/>
    <w:rsid w:val="78868618"/>
    <w:rsid w:val="78BE8FC2"/>
    <w:rsid w:val="79AF0904"/>
    <w:rsid w:val="7A30C51B"/>
    <w:rsid w:val="7BC56991"/>
    <w:rsid w:val="7C63F233"/>
    <w:rsid w:val="7D77CA41"/>
    <w:rsid w:val="7E457A62"/>
    <w:rsid w:val="7E6EE32D"/>
    <w:rsid w:val="7F56C7D0"/>
    <w:rsid w:val="7F7987F1"/>
    <w:rsid w:val="7FDEE8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7FAC0D"/>
  <w15:chartTrackingRefBased/>
  <w15:docId w15:val="{0DB8109B-AFC5-4549-BB1F-CE21076CF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129D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9D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9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9D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129D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A129D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129D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129D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129D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129D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129D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129D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129D7"/>
    <w:rPr>
      <w:rFonts w:eastAsiaTheme="majorEastAsia" w:cstheme="majorBidi"/>
      <w:color w:val="272727" w:themeColor="text1" w:themeTint="D8"/>
    </w:rPr>
  </w:style>
  <w:style w:type="paragraph" w:styleId="Title">
    <w:name w:val="Title"/>
    <w:basedOn w:val="Normal"/>
    <w:next w:val="Normal"/>
    <w:link w:val="TitleChar"/>
    <w:uiPriority w:val="10"/>
    <w:qFormat/>
    <w:rsid w:val="00A129D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29D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129D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12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9D7"/>
    <w:pPr>
      <w:spacing w:before="160"/>
      <w:jc w:val="center"/>
    </w:pPr>
    <w:rPr>
      <w:i/>
      <w:iCs/>
      <w:color w:val="404040" w:themeColor="text1" w:themeTint="BF"/>
    </w:rPr>
  </w:style>
  <w:style w:type="character" w:styleId="QuoteChar" w:customStyle="1">
    <w:name w:val="Quote Char"/>
    <w:basedOn w:val="DefaultParagraphFont"/>
    <w:link w:val="Quote"/>
    <w:uiPriority w:val="29"/>
    <w:rsid w:val="00A129D7"/>
    <w:rPr>
      <w:i/>
      <w:iCs/>
      <w:color w:val="404040" w:themeColor="text1" w:themeTint="BF"/>
    </w:rPr>
  </w:style>
  <w:style w:type="paragraph" w:styleId="ListParagraph">
    <w:name w:val="List Paragraph"/>
    <w:basedOn w:val="Normal"/>
    <w:uiPriority w:val="34"/>
    <w:qFormat/>
    <w:rsid w:val="00A129D7"/>
    <w:pPr>
      <w:ind w:left="720"/>
      <w:contextualSpacing/>
    </w:pPr>
  </w:style>
  <w:style w:type="character" w:styleId="IntenseEmphasis">
    <w:name w:val="Intense Emphasis"/>
    <w:basedOn w:val="DefaultParagraphFont"/>
    <w:uiPriority w:val="21"/>
    <w:qFormat/>
    <w:rsid w:val="00A129D7"/>
    <w:rPr>
      <w:i/>
      <w:iCs/>
      <w:color w:val="0F4761" w:themeColor="accent1" w:themeShade="BF"/>
    </w:rPr>
  </w:style>
  <w:style w:type="paragraph" w:styleId="IntenseQuote">
    <w:name w:val="Intense Quote"/>
    <w:basedOn w:val="Normal"/>
    <w:next w:val="Normal"/>
    <w:link w:val="IntenseQuoteChar"/>
    <w:uiPriority w:val="30"/>
    <w:qFormat/>
    <w:rsid w:val="00A129D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129D7"/>
    <w:rPr>
      <w:i/>
      <w:iCs/>
      <w:color w:val="0F4761" w:themeColor="accent1" w:themeShade="BF"/>
    </w:rPr>
  </w:style>
  <w:style w:type="character" w:styleId="IntenseReference">
    <w:name w:val="Intense Reference"/>
    <w:basedOn w:val="DefaultParagraphFont"/>
    <w:uiPriority w:val="32"/>
    <w:qFormat/>
    <w:rsid w:val="00A129D7"/>
    <w:rPr>
      <w:b/>
      <w:bCs/>
      <w:smallCaps/>
      <w:color w:val="0F4761" w:themeColor="accent1" w:themeShade="BF"/>
      <w:spacing w:val="5"/>
    </w:rPr>
  </w:style>
  <w:style w:type="paragraph" w:styleId="TOCHeading">
    <w:name w:val="TOC Heading"/>
    <w:basedOn w:val="Heading1"/>
    <w:next w:val="Normal"/>
    <w:uiPriority w:val="39"/>
    <w:unhideWhenUsed/>
    <w:qFormat/>
    <w:rsid w:val="00A129D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29D7"/>
    <w:pPr>
      <w:spacing w:after="100"/>
    </w:pPr>
  </w:style>
  <w:style w:type="character" w:styleId="Hyperlink">
    <w:name w:val="Hyperlink"/>
    <w:basedOn w:val="DefaultParagraphFont"/>
    <w:uiPriority w:val="99"/>
    <w:unhideWhenUsed/>
    <w:rsid w:val="00A129D7"/>
    <w:rPr>
      <w:color w:val="467886" w:themeColor="hyperlink"/>
      <w:u w:val="single"/>
    </w:rPr>
  </w:style>
  <w:style w:type="paragraph" w:styleId="Header">
    <w:name w:val="header"/>
    <w:basedOn w:val="Normal"/>
    <w:link w:val="HeaderChar"/>
    <w:uiPriority w:val="99"/>
    <w:unhideWhenUsed/>
    <w:rsid w:val="00A129D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129D7"/>
  </w:style>
  <w:style w:type="paragraph" w:styleId="Footer">
    <w:name w:val="footer"/>
    <w:basedOn w:val="Normal"/>
    <w:link w:val="FooterChar"/>
    <w:uiPriority w:val="99"/>
    <w:unhideWhenUsed/>
    <w:rsid w:val="00A129D7"/>
    <w:pPr>
      <w:tabs>
        <w:tab w:val="center" w:pos="4513"/>
        <w:tab w:val="right" w:pos="9026"/>
      </w:tabs>
      <w:spacing w:after="0" w:line="240" w:lineRule="auto"/>
    </w:pPr>
  </w:style>
  <w:style w:type="character" w:styleId="FooterChar" w:customStyle="1">
    <w:name w:val="Footer Char"/>
    <w:basedOn w:val="DefaultParagraphFont"/>
    <w:link w:val="Footer"/>
    <w:uiPriority w:val="99"/>
    <w:rsid w:val="00A129D7"/>
  </w:style>
  <w:style w:type="paragraph" w:styleId="TOC2">
    <w:name w:val="toc 2"/>
    <w:basedOn w:val="Normal"/>
    <w:next w:val="Normal"/>
    <w:autoRedefine/>
    <w:uiPriority w:val="39"/>
    <w:unhideWhenUsed/>
    <w:rsid w:val="00CD5E49"/>
    <w:pPr>
      <w:spacing w:after="100"/>
      <w:ind w:left="220"/>
    </w:pPr>
  </w:style>
  <w:style w:type="paragraph" w:styleId="TOC3">
    <w:uiPriority w:val="39"/>
    <w:name w:val="toc 3"/>
    <w:basedOn w:val="Normal"/>
    <w:next w:val="Normal"/>
    <w:unhideWhenUsed/>
    <w:rsid w:val="5C218C9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14" /><Relationship Type="http://schemas.openxmlformats.org/officeDocument/2006/relationships/image" Target="/media/image.png" Id="rId1077626821" /><Relationship Type="http://schemas.openxmlformats.org/officeDocument/2006/relationships/hyperlink" Target="https://doi.org/10.1177/15274764241292334" TargetMode="External" Id="R8fd3673a6e7b47ea" /><Relationship Type="http://schemas.openxmlformats.org/officeDocument/2006/relationships/hyperlink" Target="https://doi.org/10.1142/S2737566822500074" TargetMode="External" Id="R90f600d356f24413" /><Relationship Type="http://schemas.openxmlformats.org/officeDocument/2006/relationships/hyperlink" Target="https://doi.org/10.1108/MRR-10-2016-0243" TargetMode="External" Id="Rd9e082096a4945a8" /><Relationship Type="http://schemas.openxmlformats.org/officeDocument/2006/relationships/hyperlink" Target="https://www.businessofapps.com/data/netflix-statistics/" TargetMode="External" Id="R7e1aed894db04fd7" /><Relationship Type="http://schemas.openxmlformats.org/officeDocument/2006/relationships/hyperlink" Target="https://doi.org/10.1016/j.cstp.2022.01.030" TargetMode="External" Id="Rb5026c6523304d57" /><Relationship Type="http://schemas.openxmlformats.org/officeDocument/2006/relationships/hyperlink" Target="https://doi.org/10.1108/IJOA-02-2023-3635" TargetMode="External" Id="R9750bda01cf2431c" /><Relationship Type="http://schemas.openxmlformats.org/officeDocument/2006/relationships/hyperlink" Target="https://doi.org/10.1093/oso/9780190081478.003.0009" TargetMode="External" Id="R8db1e3ae50204f20" /><Relationship Type="http://schemas.openxmlformats.org/officeDocument/2006/relationships/hyperlink" Target="https://doi.org/10.2478/mmcks-2020-0032" TargetMode="External" Id="Rf47e6c842ada46d9" /><Relationship Type="http://schemas.openxmlformats.org/officeDocument/2006/relationships/hyperlink" Target="https://doi.org/10.1177/00977004221133533" TargetMode="External" Id="Rc09b8a6c02354e91" /><Relationship Type="http://schemas.openxmlformats.org/officeDocument/2006/relationships/hyperlink" Target="https://www.theculturefactor.com/resources/peer-reviewed-research/new-developments-in-hofstedes-individualism-collectivism-a-guide-for-scholars-educators-trainers-and-other-practitioner" TargetMode="External" Id="R33d2e7c1e9634c97" /><Relationship Type="http://schemas.openxmlformats.org/officeDocument/2006/relationships/hyperlink" Target="https://doi.org/10.32381/JCISS.2020.45.1-4.14" TargetMode="External" Id="R90026581096c4cd1" /><Relationship Type="http://schemas.openxmlformats.org/officeDocument/2006/relationships/hyperlink" Target="https://doi.org/10.1080/1369118X.2018.1510534" TargetMode="External" Id="Rf32223c639b24a46" /><Relationship Type="http://schemas.openxmlformats.org/officeDocument/2006/relationships/hyperlink" Target="https://doi.org/10.1080/09540962.2020.1727112" TargetMode="External" Id="R6518d18efe2743f7" /><Relationship Type="http://schemas.openxmlformats.org/officeDocument/2006/relationships/hyperlink" Target="https://doi.org/10.23919/JCC.2022.01.020" TargetMode="External" Id="Rf6019967e35b490c" /><Relationship Type="http://schemas.openxmlformats.org/officeDocument/2006/relationships/hyperlink" Target="https://doi.org/10.1016/j.cjar.2019.12.001" TargetMode="External" Id="R9f9c82fabb434a2b" /><Relationship Type="http://schemas.openxmlformats.org/officeDocument/2006/relationships/hyperlink" Target="https://doi.org/10.1093/joc/jqac020" TargetMode="External" Id="Rdec63d13d56f49b5" /><Relationship Type="http://schemas.openxmlformats.org/officeDocument/2006/relationships/hyperlink" Target="https://doi.org/10.1108/IJEM-01-2018-0015" TargetMode="External" Id="R8a287889d7164518" /><Relationship Type="http://schemas.openxmlformats.org/officeDocument/2006/relationships/hyperlink" Target="https://advantage-marketline-com.ezproxy.uwtsd.ac.uk/Company/Profile/netflix-inc?companyprofile" TargetMode="External" Id="R5f010fd067654380" /><Relationship Type="http://schemas.openxmlformats.org/officeDocument/2006/relationships/hyperlink" Target="https://doi.org/10.1017/jmo.2015.44" TargetMode="External" Id="R7895d91c216e4aba" /><Relationship Type="http://schemas.openxmlformats.org/officeDocument/2006/relationships/hyperlink" Target="https://doi.org/10.1051/e3sconf/202451705005" TargetMode="External" Id="Rb3f2d3e846c74e64" /><Relationship Type="http://schemas.openxmlformats.org/officeDocument/2006/relationships/hyperlink" Target="https://doi.org/10.1088/1742-6596/1533/2/022056" TargetMode="External" Id="R519f3fdb17c94587" /><Relationship Type="http://schemas.openxmlformats.org/officeDocument/2006/relationships/hyperlink" Target="https://doi.org/10.1016/j.cjar.2024.100393" TargetMode="External" Id="R5c36d069676f401d" /><Relationship Type="http://schemas.openxmlformats.org/officeDocument/2006/relationships/hyperlink" Target="https://www.theculturefactor.com/country-comparison-tool?countries=china" TargetMode="External" Id="R64ce4cbc151043b2" /><Relationship Type="http://schemas.openxmlformats.org/officeDocument/2006/relationships/hyperlink" Target="https://doi.org/10.1080/17525098.2016.1231253" TargetMode="External" Id="R27941f3b8629480f" /><Relationship Type="http://schemas.openxmlformats.org/officeDocument/2006/relationships/hyperlink" Target="https://doi.org/10.1108/13552559810224567" TargetMode="External" Id="Rb1371dcaa57240e8" /><Relationship Type="http://schemas.openxmlformats.org/officeDocument/2006/relationships/hyperlink" Target="https://doi.org/10.47998/ikad.1004162" TargetMode="External" Id="R8a87cd0be38348b7" /><Relationship Type="http://schemas.openxmlformats.org/officeDocument/2006/relationships/hyperlink" Target="https://doi.org/10.1177/1461445620940051" TargetMode="External" Id="R7c0ae16f47dc4283" /><Relationship Type="http://schemas.openxmlformats.org/officeDocument/2006/relationships/hyperlink" Target="https://doi.org/10.1016/j.eiar.2023.107184" TargetMode="External" Id="R17dd287869de4429" /><Relationship Type="http://schemas.microsoft.com/office/2020/10/relationships/intelligence" Target="intelligence2.xml" Id="Reb5b91117d5c44ab" /><Relationship Type="http://schemas.openxmlformats.org/officeDocument/2006/relationships/numbering" Target="numbering.xml" Id="R14f022809a3a4dc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5" ma:contentTypeDescription="Create a new document." ma:contentTypeScope="" ma:versionID="ec613991c73dc976ca69e9e048cdb621">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c5c4af311e6c14aa698258d8f0e091f8"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9FEF0E-1CED-4B21-A44A-618AD476B158}">
  <ds:schemaRefs>
    <ds:schemaRef ds:uri="http://schemas.microsoft.com/office/infopath/2007/PartnerControls"/>
    <ds:schemaRef ds:uri="http://schemas.microsoft.com/office/2006/metadata/properties"/>
    <ds:schemaRef ds:uri="http://purl.org/dc/elements/1.1/"/>
    <ds:schemaRef ds:uri="http://schemas.microsoft.com/office/2006/documentManagement/types"/>
    <ds:schemaRef ds:uri="http://schemas.openxmlformats.org/package/2006/metadata/core-properties"/>
    <ds:schemaRef ds:uri="http://purl.org/dc/dcmitype/"/>
    <ds:schemaRef ds:uri="5c225c8a-d58b-4f92-9659-fc93657787ef"/>
    <ds:schemaRef ds:uri="01059ada-d055-41df-ae87-635bd8b92658"/>
    <ds:schemaRef ds:uri="http://www.w3.org/XML/1998/namespace"/>
    <ds:schemaRef ds:uri="http://purl.org/dc/terms/"/>
  </ds:schemaRefs>
</ds:datastoreItem>
</file>

<file path=customXml/itemProps2.xml><?xml version="1.0" encoding="utf-8"?>
<ds:datastoreItem xmlns:ds="http://schemas.openxmlformats.org/officeDocument/2006/customXml" ds:itemID="{66FCB257-DDBB-4429-B46B-464A31452D82}">
  <ds:schemaRefs>
    <ds:schemaRef ds:uri="http://schemas.microsoft.com/sharepoint/v3/contenttype/forms"/>
  </ds:schemaRefs>
</ds:datastoreItem>
</file>

<file path=customXml/itemProps3.xml><?xml version="1.0" encoding="utf-8"?>
<ds:datastoreItem xmlns:ds="http://schemas.openxmlformats.org/officeDocument/2006/customXml" ds:itemID="{A4FC4487-F5B7-4EA8-BC54-E60E95D25B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4</revision>
  <dcterms:created xsi:type="dcterms:W3CDTF">2025-10-14T13:01:00.0000000Z</dcterms:created>
  <dcterms:modified xsi:type="dcterms:W3CDTF">2025-12-05T10:59:44.5507673Z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1b336f97-552a-4ef7-8cd8-6a45ebac4095</vt:lpwstr>
  </property>
  <property fmtid="{D5CDD505-2E9C-101B-9397-08002B2CF9AE}" pid="3" name="ContentTypeId">
    <vt:lpwstr>0x010100448A7A53ED0F6C4BAC9BB320F40B3DEF</vt:lpwstr>
  </property>
</Properties>
</file>