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DD39A" w14:textId="0E9E8402" w:rsidR="004A1263" w:rsidRPr="00A95F30" w:rsidRDefault="004A1263" w:rsidP="004A126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</w:pPr>
      <w:bookmarkStart w:id="0" w:name="_Hlk155165116"/>
      <w:r w:rsidRPr="00A95F30"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  <w:t>HARMONY: THEORY AND PRACTICE</w:t>
      </w:r>
    </w:p>
    <w:bookmarkEnd w:id="0"/>
    <w:p w14:paraId="041B7060" w14:textId="77777777" w:rsidR="004A1263" w:rsidRPr="00A95F30" w:rsidRDefault="004A1263" w:rsidP="004A126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</w:pPr>
    </w:p>
    <w:p w14:paraId="2BB2B38C" w14:textId="404C125E" w:rsidR="004A1263" w:rsidRPr="00A95F30" w:rsidRDefault="004A1263" w:rsidP="004A126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  <w:t xml:space="preserve">WEEK 2 </w:t>
      </w:r>
      <w:r w:rsidR="0052456A" w:rsidRPr="00A95F30"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  <w:t>READING</w:t>
      </w:r>
    </w:p>
    <w:p w14:paraId="019EBCD5" w14:textId="77777777" w:rsidR="004A1263" w:rsidRPr="00A95F30" w:rsidRDefault="004A1263" w:rsidP="004A126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</w:pPr>
    </w:p>
    <w:p w14:paraId="41BEE8FB" w14:textId="77777777" w:rsidR="004A1263" w:rsidRPr="00A95F30" w:rsidRDefault="004A1263" w:rsidP="004A126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  <w:t>NICK CAMPION</w:t>
      </w:r>
    </w:p>
    <w:p w14:paraId="53FCC877" w14:textId="77777777" w:rsidR="004A1263" w:rsidRPr="00A95F30" w:rsidRDefault="004A1263" w:rsidP="004A126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14:paraId="67625D13" w14:textId="77777777" w:rsidR="00B52E7A" w:rsidRPr="00A95F30" w:rsidRDefault="0050414F" w:rsidP="004435F5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 xml:space="preserve">REQUIRED </w:t>
      </w:r>
      <w:r w:rsidR="00B52E7A" w:rsidRPr="00A95F30">
        <w:rPr>
          <w:rFonts w:ascii="Arial" w:hAnsi="Arial" w:cs="Arial"/>
          <w:b/>
          <w:bCs/>
          <w:kern w:val="0"/>
          <w14:ligatures w14:val="none"/>
        </w:rPr>
        <w:t>READING</w:t>
      </w:r>
    </w:p>
    <w:p w14:paraId="019C1883" w14:textId="69B10464" w:rsidR="00516D9E" w:rsidRPr="00A95F30" w:rsidRDefault="00516D9E" w:rsidP="004435F5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>For Discussion on the Forum</w:t>
      </w:r>
    </w:p>
    <w:p w14:paraId="5E1239F1" w14:textId="77777777" w:rsidR="00516D9E" w:rsidRPr="00A95F30" w:rsidRDefault="00516D9E" w:rsidP="00516D9E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Slater, Angus, ‘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>Difference, Beauty, and the Divine: Harmony in Religious Plurality’,</w:t>
      </w:r>
      <w:r w:rsidRPr="00A95F30">
        <w:rPr>
          <w:rFonts w:ascii="Arial" w:hAnsi="Arial" w:cs="Arial"/>
          <w:kern w:val="0"/>
          <w14:ligatures w14:val="none"/>
        </w:rPr>
        <w:t xml:space="preserve">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 (Lampeter: Sophia Centre Press, 2020),</w:t>
      </w:r>
      <w:r w:rsidRPr="00A95F30">
        <w:rPr>
          <w:rFonts w:ascii="Arial" w:hAnsi="Arial" w:cs="Arial"/>
          <w:kern w:val="0"/>
          <w14:ligatures w14:val="none"/>
        </w:rPr>
        <w:t xml:space="preserve"> pp. 97–114.</w:t>
      </w:r>
    </w:p>
    <w:p w14:paraId="67BB15A2" w14:textId="11C82C9E" w:rsidR="004435F5" w:rsidRPr="00A95F30" w:rsidRDefault="004435F5" w:rsidP="004435F5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 xml:space="preserve">Greek </w:t>
      </w:r>
      <w:r w:rsidR="0069103E" w:rsidRPr="00A95F30">
        <w:rPr>
          <w:rFonts w:ascii="Arial" w:hAnsi="Arial" w:cs="Arial"/>
          <w:b/>
          <w:bCs/>
          <w:kern w:val="0"/>
          <w14:ligatures w14:val="none"/>
        </w:rPr>
        <w:t>P</w:t>
      </w:r>
      <w:r w:rsidRPr="00A95F30">
        <w:rPr>
          <w:rFonts w:ascii="Arial" w:hAnsi="Arial" w:cs="Arial"/>
          <w:b/>
          <w:bCs/>
          <w:kern w:val="0"/>
          <w14:ligatures w14:val="none"/>
        </w:rPr>
        <w:t>hilosophy</w:t>
      </w:r>
    </w:p>
    <w:p w14:paraId="0F39E8C5" w14:textId="77777777" w:rsidR="004435F5" w:rsidRPr="00A95F30" w:rsidRDefault="004435F5" w:rsidP="004435F5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Addey, Crystal, ‘The Connected Cosmos: Harmony, Cosmology and Theurgy in Neoplatonism’.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 xml:space="preserve">The Harmony Debates: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hAnsi="Arial" w:cs="Arial"/>
          <w:kern w:val="0"/>
          <w14:ligatures w14:val="none"/>
        </w:rPr>
        <w:t xml:space="preserve">pp. 135–152. </w:t>
      </w:r>
    </w:p>
    <w:p w14:paraId="47678A34" w14:textId="77777777" w:rsidR="0050414F" w:rsidRPr="00A95F30" w:rsidRDefault="0050414F" w:rsidP="0050414F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Milne, Joseph, ‘The Harmony of the Cosmos, the Soul, and Society in Plato’,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>Lampeter: Sophia Centre Press, 2020),</w:t>
      </w:r>
      <w:r w:rsidRPr="00A95F30">
        <w:rPr>
          <w:rFonts w:ascii="Arial" w:hAnsi="Arial" w:cs="Arial"/>
          <w:kern w:val="0"/>
          <w14:ligatures w14:val="none"/>
        </w:rPr>
        <w:t xml:space="preserve"> pp. 115–33. 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</w:p>
    <w:p w14:paraId="6A2DB57E" w14:textId="77777777" w:rsidR="0050414F" w:rsidRPr="00A95F30" w:rsidRDefault="0050414F" w:rsidP="0050414F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>Naydler, Jeremy. ‘</w:t>
      </w:r>
      <w:r w:rsidRPr="00A95F30">
        <w:rPr>
          <w:rFonts w:ascii="Arial" w:hAnsi="Arial" w:cs="Arial"/>
          <w:kern w:val="0"/>
          <w14:ligatures w14:val="none"/>
        </w:rPr>
        <w:t>The Perennial Philosophy and the Recovery of a Theophanic View of Nature’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in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hAnsi="Arial" w:cs="Arial"/>
          <w:kern w:val="0"/>
          <w14:ligatures w14:val="none"/>
        </w:rPr>
        <w:t>pp. 193–208.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</w:p>
    <w:p w14:paraId="5858FA54" w14:textId="77777777" w:rsidR="00A77EC4" w:rsidRPr="00A95F30" w:rsidRDefault="00A77EC4" w:rsidP="00A77EC4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>Judaism, Christianity and Islam</w:t>
      </w:r>
    </w:p>
    <w:p w14:paraId="11B0CBF2" w14:textId="5793B378" w:rsidR="00A77EC4" w:rsidRPr="00A95F30" w:rsidRDefault="00A77EC4" w:rsidP="00A77EC4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 xml:space="preserve">Rashed, M.A. ‘Harmony in Islamic Cosmology: Subjugation, Sujūd &amp; Oneness in Islamic Philosophical Thought’, 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in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hAnsi="Arial" w:cs="Arial"/>
          <w:kern w:val="0"/>
          <w14:ligatures w14:val="none"/>
        </w:rPr>
        <w:t xml:space="preserve">pp. 181–92. </w:t>
      </w:r>
    </w:p>
    <w:p w14:paraId="247BDCE6" w14:textId="77777777" w:rsidR="00A77EC4" w:rsidRPr="00A95F30" w:rsidRDefault="00A77EC4" w:rsidP="00A77EC4">
      <w:pPr>
        <w:shd w:val="clear" w:color="auto" w:fill="FFFFFF"/>
        <w:spacing w:line="240" w:lineRule="auto"/>
        <w:textAlignment w:val="baseline"/>
        <w:rPr>
          <w:rFonts w:ascii="Arial" w:eastAsia="SimSun" w:hAnsi="Arial" w:cs="Arial"/>
          <w:kern w:val="0"/>
          <w:lang w:eastAsia="zh-CN"/>
          <w14:ligatures w14:val="none"/>
        </w:rPr>
      </w:pPr>
      <w:r w:rsidRPr="00A95F30">
        <w:rPr>
          <w:rFonts w:ascii="Arial" w:eastAsia="SimSun" w:hAnsi="Arial" w:cs="Arial"/>
          <w:kern w:val="0"/>
          <w:lang w:eastAsia="zh-CN"/>
          <w14:ligatures w14:val="none"/>
        </w:rPr>
        <w:t>Rubin, David, ‘The Concept of Harmony in Judaism’</w:t>
      </w:r>
      <w:r w:rsidRPr="00A95F30">
        <w:rPr>
          <w:rFonts w:ascii="Arial" w:eastAsia="SimSun" w:hAnsi="Arial" w:cs="Arial"/>
          <w:kern w:val="36"/>
          <w:lang w:eastAsia="en-GB"/>
          <w14:ligatures w14:val="none"/>
        </w:rPr>
        <w:t xml:space="preserve">, in </w:t>
      </w:r>
      <w:r w:rsidRPr="00A95F30">
        <w:rPr>
          <w:rFonts w:ascii="Arial" w:eastAsia="SimSun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eastAsia="SimSun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eastAsia="SimSun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eastAsia="SimSun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eastAsia="SimSun" w:hAnsi="Arial" w:cs="Arial"/>
          <w:kern w:val="0"/>
          <w:lang w:eastAsia="zh-CN"/>
          <w14:ligatures w14:val="none"/>
        </w:rPr>
        <w:t>(</w:t>
      </w:r>
      <w:r w:rsidRPr="00A95F30">
        <w:rPr>
          <w:rFonts w:ascii="Arial" w:eastAsia="SimSun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eastAsia="SimSun" w:hAnsi="Arial" w:cs="Arial"/>
          <w:kern w:val="0"/>
          <w:lang w:eastAsia="zh-CN"/>
          <w14:ligatures w14:val="none"/>
        </w:rPr>
        <w:t xml:space="preserve">pp. 153–74. </w:t>
      </w:r>
    </w:p>
    <w:p w14:paraId="0926273E" w14:textId="77777777" w:rsidR="00A77EC4" w:rsidRPr="00A95F30" w:rsidRDefault="00A77EC4" w:rsidP="00A77EC4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Slater, Angus, ‘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>Difference, Beauty, and the Divine: Harmony in Religious Plurality’,</w:t>
      </w:r>
      <w:r w:rsidRPr="00A95F30">
        <w:rPr>
          <w:rFonts w:ascii="Arial" w:hAnsi="Arial" w:cs="Arial"/>
          <w:kern w:val="0"/>
          <w14:ligatures w14:val="none"/>
        </w:rPr>
        <w:t xml:space="preserve">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 (Lampeter: Sophia Centre Press, 2020),</w:t>
      </w:r>
      <w:r w:rsidRPr="00A95F30">
        <w:rPr>
          <w:rFonts w:ascii="Arial" w:hAnsi="Arial" w:cs="Arial"/>
          <w:kern w:val="0"/>
          <w14:ligatures w14:val="none"/>
        </w:rPr>
        <w:t xml:space="preserve"> pp. 97–114.</w:t>
      </w:r>
    </w:p>
    <w:p w14:paraId="6D4D2C7E" w14:textId="77777777" w:rsidR="00A77EC4" w:rsidRPr="00A95F30" w:rsidRDefault="00A77EC4" w:rsidP="00A77EC4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Thomas, Rhodri. ‘The Bible: A Guidebook for Harmony?’.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 xml:space="preserve">The Harmony Debates: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Campion, </w:t>
      </w:r>
      <w:r w:rsidRPr="00A95F30">
        <w:rPr>
          <w:rFonts w:ascii="Arial" w:hAnsi="Arial" w:cs="Arial"/>
          <w:kern w:val="0"/>
          <w14:ligatures w14:val="none"/>
        </w:rPr>
        <w:t xml:space="preserve"> 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 </w:t>
      </w:r>
      <w:r w:rsidRPr="00A95F30">
        <w:rPr>
          <w:rFonts w:ascii="Arial" w:hAnsi="Arial" w:cs="Arial"/>
          <w:kern w:val="0"/>
          <w14:ligatures w14:val="none"/>
        </w:rPr>
        <w:t>pp. 175–80</w:t>
      </w:r>
      <w:r w:rsidRPr="00A95F30">
        <w:rPr>
          <w:rFonts w:ascii="Arial" w:hAnsi="Arial" w:cs="Arial"/>
          <w:kern w:val="36"/>
          <w:lang w:eastAsia="en-GB"/>
          <w14:ligatures w14:val="none"/>
        </w:rPr>
        <w:t>.</w:t>
      </w:r>
    </w:p>
    <w:p w14:paraId="536DAC0E" w14:textId="044C3792" w:rsidR="0050414F" w:rsidRPr="00A95F30" w:rsidRDefault="00A77EC4" w:rsidP="004435F5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>The Arts</w:t>
      </w:r>
    </w:p>
    <w:p w14:paraId="331BD3AA" w14:textId="55BE3872" w:rsidR="00FE5292" w:rsidRPr="00A95F30" w:rsidRDefault="00FE5292" w:rsidP="00FE5292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 xml:space="preserve">Buonaventura, Wendy, ‘Dance and Harmony‘, </w:t>
      </w:r>
      <w:r w:rsidR="00892C49">
        <w:rPr>
          <w:rFonts w:ascii="Arial" w:hAnsi="Arial" w:cs="Arial"/>
          <w:kern w:val="0"/>
          <w14:ligatures w14:val="none"/>
        </w:rPr>
        <w:t>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</w:t>
      </w:r>
      <w:r w:rsidRPr="00A95F30">
        <w:rPr>
          <w:rFonts w:ascii="Arial" w:hAnsi="Arial" w:cs="Arial"/>
          <w:kern w:val="0"/>
          <w14:ligatures w14:val="none"/>
        </w:rPr>
        <w:t xml:space="preserve"> </w:t>
      </w:r>
      <w:r w:rsidR="002866F6"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>Lampeter: Sophia Centre Press, 2020),</w:t>
      </w:r>
      <w:r w:rsidRPr="00A95F30">
        <w:rPr>
          <w:rFonts w:ascii="Arial" w:hAnsi="Arial" w:cs="Arial"/>
          <w:kern w:val="0"/>
          <w14:ligatures w14:val="none"/>
        </w:rPr>
        <w:t xml:space="preserve"> pp. 47–60.</w:t>
      </w:r>
    </w:p>
    <w:p w14:paraId="02516D9F" w14:textId="77777777" w:rsidR="00FE5292" w:rsidRPr="00A95F30" w:rsidRDefault="00FE5292" w:rsidP="00FE5292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Gardiner, John Eliot, ‘</w:t>
      </w:r>
      <w:r w:rsidRPr="00A95F30">
        <w:rPr>
          <w:rFonts w:ascii="Arial" w:eastAsia="Palatino" w:hAnsi="Arial" w:cs="Arial"/>
          <w:kern w:val="0"/>
          <w14:ligatures w14:val="none"/>
        </w:rPr>
        <w:t xml:space="preserve">Towards a Definition of Harmony in Music and Agriculture: An Open Letter to HRH The Prince of Wales’. </w:t>
      </w:r>
      <w:r w:rsidRPr="00A95F30">
        <w:rPr>
          <w:rFonts w:ascii="Arial" w:hAnsi="Arial" w:cs="Arial"/>
          <w:kern w:val="0"/>
          <w14:ligatures w14:val="none"/>
        </w:rPr>
        <w:t>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 (Lampeter: Sophia Centre Press, 2020), pp. 31-45.</w:t>
      </w:r>
    </w:p>
    <w:p w14:paraId="6AC28EAB" w14:textId="77777777" w:rsidR="00C43228" w:rsidRPr="00A95F30" w:rsidRDefault="00C43228" w:rsidP="00C43228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lastRenderedPageBreak/>
        <w:t>Howard, Sophie, ‘What is the Meaning and Role of Harmony in Sculpture?’,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Campion,</w:t>
      </w:r>
      <w:r w:rsidRPr="00A95F30">
        <w:rPr>
          <w:rFonts w:ascii="Arial" w:hAnsi="Arial" w:cs="Arial"/>
          <w:kern w:val="0"/>
          <w14:ligatures w14:val="none"/>
        </w:rPr>
        <w:t xml:space="preserve"> 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(Lampeter: Sophia Centre Press, 2020), </w:t>
      </w:r>
      <w:r w:rsidRPr="00A95F30">
        <w:rPr>
          <w:rFonts w:ascii="Arial" w:hAnsi="Arial" w:cs="Arial"/>
          <w:kern w:val="0"/>
          <w14:ligatures w14:val="none"/>
        </w:rPr>
        <w:t>pp. 61–72.</w:t>
      </w:r>
    </w:p>
    <w:p w14:paraId="0DAD315F" w14:textId="77777777" w:rsidR="00FE5292" w:rsidRPr="00A95F30" w:rsidRDefault="00FE5292" w:rsidP="00FE5292">
      <w:pPr>
        <w:spacing w:line="240" w:lineRule="auto"/>
        <w:rPr>
          <w:rFonts w:ascii="Arial" w:hAnsi="Arial" w:cs="Arial"/>
          <w:kern w:val="0"/>
          <w:lang w:eastAsia="zh-CN"/>
          <w14:ligatures w14:val="none"/>
        </w:rPr>
      </w:pPr>
      <w:r w:rsidRPr="00A95F30">
        <w:rPr>
          <w:rFonts w:ascii="Arial" w:hAnsi="Arial" w:cs="Arial"/>
          <w:kern w:val="0"/>
          <w:shd w:val="clear" w:color="auto" w:fill="FFFFFF"/>
          <w14:ligatures w14:val="none"/>
        </w:rPr>
        <w:t>Moore, Jared S. ‘Beauty as Harmony’. </w:t>
      </w:r>
      <w:r w:rsidRPr="00A95F30">
        <w:rPr>
          <w:rFonts w:ascii="Arial" w:hAnsi="Arial" w:cs="Arial"/>
          <w:i/>
          <w:iCs/>
          <w:kern w:val="0"/>
          <w:shd w:val="clear" w:color="auto" w:fill="FFFFFF"/>
          <w14:ligatures w14:val="none"/>
        </w:rPr>
        <w:t xml:space="preserve">The Journal of Aesthetics and Art Criticism </w:t>
      </w:r>
      <w:r w:rsidRPr="00A95F30">
        <w:rPr>
          <w:rFonts w:ascii="Arial" w:hAnsi="Arial" w:cs="Arial"/>
          <w:kern w:val="0"/>
          <w:shd w:val="clear" w:color="auto" w:fill="FFFFFF"/>
          <w14:ligatures w14:val="none"/>
        </w:rPr>
        <w:t>2, no. 7 (1942):  pp. 2, 40–50.</w:t>
      </w:r>
    </w:p>
    <w:p w14:paraId="34979595" w14:textId="77777777" w:rsidR="00FE5292" w:rsidRPr="00A95F30" w:rsidRDefault="00FE5292" w:rsidP="004435F5">
      <w:pPr>
        <w:spacing w:line="240" w:lineRule="auto"/>
        <w:rPr>
          <w:rFonts w:ascii="Arial" w:hAnsi="Arial" w:cs="Arial"/>
          <w:b/>
          <w:bCs/>
          <w:iCs/>
          <w:kern w:val="36"/>
          <w:lang w:eastAsia="en-GB"/>
          <w14:ligatures w14:val="none"/>
        </w:rPr>
      </w:pPr>
    </w:p>
    <w:p w14:paraId="46F5310D" w14:textId="59127822" w:rsidR="0050414F" w:rsidRPr="00A95F30" w:rsidRDefault="00B52E7A" w:rsidP="004435F5">
      <w:pPr>
        <w:spacing w:line="240" w:lineRule="auto"/>
        <w:rPr>
          <w:rFonts w:ascii="Arial" w:hAnsi="Arial" w:cs="Arial"/>
          <w:b/>
          <w:bCs/>
          <w:iCs/>
          <w:kern w:val="36"/>
          <w:lang w:eastAsia="en-GB"/>
          <w14:ligatures w14:val="none"/>
        </w:rPr>
      </w:pPr>
      <w:r w:rsidRPr="00A95F30">
        <w:rPr>
          <w:rFonts w:ascii="Arial" w:hAnsi="Arial" w:cs="Arial"/>
          <w:b/>
          <w:bCs/>
          <w:iCs/>
          <w:kern w:val="36"/>
          <w:lang w:eastAsia="en-GB"/>
          <w14:ligatures w14:val="none"/>
        </w:rPr>
        <w:t>OPTIONAL READING</w:t>
      </w:r>
    </w:p>
    <w:p w14:paraId="2922A55C" w14:textId="161B614F" w:rsidR="0069103E" w:rsidRPr="00A95F30" w:rsidRDefault="0069103E" w:rsidP="0069103E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 xml:space="preserve">Greek </w:t>
      </w:r>
      <w:r w:rsidR="00B2387F" w:rsidRPr="00A95F30">
        <w:rPr>
          <w:rFonts w:ascii="Arial" w:hAnsi="Arial" w:cs="Arial"/>
          <w:b/>
          <w:bCs/>
          <w:kern w:val="0"/>
          <w14:ligatures w14:val="none"/>
        </w:rPr>
        <w:t xml:space="preserve">and European </w:t>
      </w:r>
      <w:r w:rsidRPr="00A95F30">
        <w:rPr>
          <w:rFonts w:ascii="Arial" w:hAnsi="Arial" w:cs="Arial"/>
          <w:b/>
          <w:bCs/>
          <w:kern w:val="0"/>
          <w14:ligatures w14:val="none"/>
        </w:rPr>
        <w:t>Philosophy</w:t>
      </w:r>
    </w:p>
    <w:p w14:paraId="1359E6DB" w14:textId="77777777" w:rsidR="00FA7C3E" w:rsidRPr="00A95F30" w:rsidRDefault="00FA7C3E" w:rsidP="00FA7C3E">
      <w:pPr>
        <w:shd w:val="clear" w:color="auto" w:fill="FFFFFF"/>
        <w:rPr>
          <w:rFonts w:ascii="Arial" w:hAnsi="Arial" w:cs="Arial"/>
          <w:color w:val="3A3A3A"/>
        </w:rPr>
      </w:pPr>
      <w:r w:rsidRPr="00A95F30">
        <w:rPr>
          <w:rFonts w:ascii="Arial" w:hAnsi="Arial" w:cs="Arial"/>
          <w:color w:val="3A3A3A"/>
        </w:rPr>
        <w:t xml:space="preserve">Adler, Donna M. Altimari, </w:t>
      </w:r>
      <w:r w:rsidRPr="00A95F30">
        <w:rPr>
          <w:rFonts w:ascii="Arial" w:hAnsi="Arial" w:cs="Arial"/>
          <w:i/>
          <w:iCs/>
          <w:color w:val="3A3A3A"/>
        </w:rPr>
        <w:t xml:space="preserve">Plato's: Finding the Harmony of the Spheres </w:t>
      </w:r>
      <w:r w:rsidRPr="00A95F30">
        <w:rPr>
          <w:rFonts w:ascii="Arial" w:hAnsi="Arial" w:cs="Arial"/>
          <w:color w:val="3A3A3A"/>
        </w:rPr>
        <w:t>(Leiden: Brill, 2019).</w:t>
      </w:r>
    </w:p>
    <w:p w14:paraId="3BA38191" w14:textId="77777777" w:rsidR="004435F5" w:rsidRPr="00A95F30" w:rsidRDefault="004435F5" w:rsidP="004435F5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Asbo, Kayleen, ‘Learning By Heart: My Journey as a Pythagorean’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in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hAnsi="Arial" w:cs="Arial"/>
          <w:kern w:val="0"/>
          <w14:ligatures w14:val="none"/>
        </w:rPr>
        <w:t xml:space="preserve">pp. 335–50. </w:t>
      </w:r>
    </w:p>
    <w:p w14:paraId="619BE2BE" w14:textId="77777777" w:rsidR="004435F5" w:rsidRPr="00A95F30" w:rsidRDefault="004435F5" w:rsidP="004435F5">
      <w:pPr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color w:val="000000"/>
          <w:spacing w:val="-5"/>
          <w:kern w:val="0"/>
          <w:shd w:val="clear" w:color="auto" w:fill="FFFFFF"/>
          <w14:ligatures w14:val="none"/>
        </w:rPr>
        <w:t>Cai, Zong-Qi. ‘Poetics of Harmony: Plato and Confucius on Poetry’, </w:t>
      </w:r>
      <w:r w:rsidRPr="00A95F30">
        <w:rPr>
          <w:rFonts w:ascii="Arial" w:hAnsi="Arial" w:cs="Arial"/>
          <w:i/>
          <w:iCs/>
          <w:kern w:val="0"/>
          <w14:ligatures w14:val="none"/>
        </w:rPr>
        <w:t>Configurations of Comparative Poetics: Three Perspectives on Western and Chinese Literary Criticism</w:t>
      </w:r>
      <w:r w:rsidRPr="00A95F30">
        <w:rPr>
          <w:rFonts w:ascii="Arial" w:hAnsi="Arial" w:cs="Arial"/>
          <w:kern w:val="0"/>
          <w14:ligatures w14:val="none"/>
        </w:rPr>
        <w:t>, (Honolulu: University of Hawai’i Press, 2002), pp. 113–41. </w:t>
      </w:r>
      <w:r w:rsidRPr="00A95F30">
        <w:rPr>
          <w:rFonts w:ascii="Arial" w:hAnsi="Arial" w:cs="Arial"/>
          <w:i/>
          <w:iCs/>
          <w:kern w:val="0"/>
          <w14:ligatures w14:val="none"/>
        </w:rPr>
        <w:t>JSTOR</w:t>
      </w:r>
      <w:r w:rsidRPr="00A95F30">
        <w:rPr>
          <w:rFonts w:ascii="Arial" w:hAnsi="Arial" w:cs="Arial"/>
          <w:kern w:val="0"/>
          <w14:ligatures w14:val="none"/>
        </w:rPr>
        <w:t>,</w:t>
      </w:r>
    </w:p>
    <w:p w14:paraId="7701F942" w14:textId="77777777" w:rsidR="004435F5" w:rsidRPr="00A95F30" w:rsidRDefault="004435F5" w:rsidP="004435F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A2A2A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color w:val="2A2A2A"/>
          <w:kern w:val="0"/>
          <w:bdr w:val="none" w:sz="0" w:space="0" w:color="auto" w:frame="1"/>
          <w:lang w:eastAsia="en-GB"/>
          <w14:ligatures w14:val="none"/>
        </w:rPr>
        <w:t>Hicks Andrew</w:t>
      </w:r>
      <w:r w:rsidRPr="00A95F30">
        <w:rPr>
          <w:rFonts w:ascii="Arial" w:eastAsia="Times New Roman" w:hAnsi="Arial" w:cs="Arial"/>
          <w:i/>
          <w:iCs/>
          <w:color w:val="2A2A2A"/>
          <w:kern w:val="0"/>
          <w:bdr w:val="none" w:sz="0" w:space="0" w:color="auto" w:frame="1"/>
          <w:lang w:eastAsia="en-GB"/>
          <w14:ligatures w14:val="none"/>
        </w:rPr>
        <w:t xml:space="preserve">, Composing the World: Harmony in the Medieval Platonic Cosmos </w:t>
      </w:r>
      <w:r w:rsidRPr="00A95F30">
        <w:rPr>
          <w:rFonts w:ascii="Arial" w:eastAsia="Times New Roman" w:hAnsi="Arial" w:cs="Arial"/>
          <w:color w:val="2A2A2A"/>
          <w:kern w:val="0"/>
          <w:bdr w:val="none" w:sz="0" w:space="0" w:color="auto" w:frame="1"/>
          <w:lang w:eastAsia="en-GB"/>
          <w14:ligatures w14:val="none"/>
        </w:rPr>
        <w:t>(Oxford: Oxford University Press, 2021).</w:t>
      </w:r>
    </w:p>
    <w:p w14:paraId="21C45489" w14:textId="77777777" w:rsidR="004435F5" w:rsidRPr="00A95F30" w:rsidRDefault="004435F5" w:rsidP="004435F5">
      <w:pPr>
        <w:spacing w:after="0" w:line="240" w:lineRule="auto"/>
        <w:rPr>
          <w:rFonts w:ascii="Arial" w:hAnsi="Arial" w:cs="Arial"/>
          <w:spacing w:val="-5"/>
          <w:kern w:val="0"/>
          <w:shd w:val="clear" w:color="auto" w:fill="FFFFFF"/>
          <w14:ligatures w14:val="none"/>
        </w:rPr>
      </w:pPr>
    </w:p>
    <w:p w14:paraId="03EBD37B" w14:textId="77777777" w:rsidR="004435F5" w:rsidRPr="00A95F30" w:rsidRDefault="004435F5" w:rsidP="004435F5">
      <w:pPr>
        <w:spacing w:after="0" w:line="240" w:lineRule="auto"/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</w:pP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Lippman, Edward A., ‘Hellenic Conceptions of Harmony’, 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Journal of the American Musicological Society</w:t>
      </w: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 xml:space="preserve"> 16, no. 1 (1963): pp. 3–35. 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JSTOR</w:t>
      </w:r>
    </w:p>
    <w:p w14:paraId="091CC2A5" w14:textId="77777777" w:rsidR="004435F5" w:rsidRPr="00A95F30" w:rsidRDefault="004435F5" w:rsidP="004435F5">
      <w:pPr>
        <w:spacing w:after="0" w:line="240" w:lineRule="auto"/>
        <w:rPr>
          <w:rFonts w:ascii="Arial" w:hAnsi="Arial" w:cs="Arial"/>
          <w:spacing w:val="-5"/>
          <w:kern w:val="0"/>
          <w:shd w:val="clear" w:color="auto" w:fill="FFFFFF"/>
          <w14:ligatures w14:val="none"/>
        </w:rPr>
      </w:pPr>
    </w:p>
    <w:p w14:paraId="69FE5865" w14:textId="77777777" w:rsidR="00C82720" w:rsidRPr="00A95F30" w:rsidRDefault="00C82720" w:rsidP="00C82720">
      <w:pPr>
        <w:shd w:val="clear" w:color="auto" w:fill="FFFFFF"/>
        <w:spacing w:after="240" w:line="240" w:lineRule="auto"/>
        <w:outlineLvl w:val="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color w:val="000000"/>
          <w:kern w:val="36"/>
          <w:lang w:eastAsia="en-GB"/>
          <w14:ligatures w14:val="none"/>
        </w:rPr>
        <w:t xml:space="preserve">Martijn, Marije, </w:t>
      </w:r>
      <w:r w:rsidRPr="00A95F30">
        <w:rPr>
          <w:rFonts w:ascii="Arial" w:eastAsia="Times New Roman" w:hAnsi="Arial" w:cs="Arial"/>
          <w:i/>
          <w:iCs/>
          <w:color w:val="000000"/>
          <w:kern w:val="36"/>
          <w:lang w:eastAsia="en-GB"/>
          <w14:ligatures w14:val="none"/>
        </w:rPr>
        <w:t xml:space="preserve">Proclus on Nature, </w:t>
      </w:r>
      <w:r w:rsidRPr="00A95F3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Philosophy of Nature and Its Methods in Proclus’ Commentary on Plato’s </w:t>
      </w:r>
      <w:r w:rsidRPr="00A95F3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Timaeus</w:t>
      </w:r>
      <w:r w:rsidRPr="00A95F3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r w:rsidRPr="00A95F3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(Leiden: Brill, 2010).</w:t>
      </w:r>
    </w:p>
    <w:p w14:paraId="1DA5734B" w14:textId="77777777" w:rsidR="002408F5" w:rsidRPr="00A95F30" w:rsidRDefault="002408F5" w:rsidP="002408F5">
      <w:pPr>
        <w:spacing w:line="336" w:lineRule="atLeast"/>
        <w:rPr>
          <w:rFonts w:ascii="Arial" w:hAnsi="Arial" w:cs="Arial"/>
          <w:lang w:eastAsia="en-GB"/>
        </w:rPr>
      </w:pPr>
      <w:r w:rsidRPr="00A95F30">
        <w:rPr>
          <w:rFonts w:ascii="Arial" w:hAnsi="Arial" w:cs="Arial"/>
        </w:rPr>
        <w:t xml:space="preserve">Stamatellos, Giannis, </w:t>
      </w:r>
      <w:r w:rsidRPr="00A95F30">
        <w:rPr>
          <w:rFonts w:ascii="Arial" w:hAnsi="Arial" w:cs="Arial"/>
          <w:lang w:eastAsia="en-GB"/>
        </w:rPr>
        <w:t xml:space="preserve">‘Plotinus on Virtue as Harmony’, in </w:t>
      </w:r>
      <w:r w:rsidRPr="00A95F30">
        <w:rPr>
          <w:rFonts w:ascii="Arial" w:hAnsi="Arial" w:cs="Arial"/>
        </w:rPr>
        <w:t xml:space="preserve">Li, </w:t>
      </w:r>
      <w:r w:rsidRPr="00A95F30">
        <w:rPr>
          <w:rFonts w:ascii="Arial" w:hAnsi="Arial" w:cs="Arial"/>
          <w:lang w:eastAsia="en-GB"/>
        </w:rPr>
        <w:t xml:space="preserve">Chenyang and Dascha Düring, </w:t>
      </w:r>
      <w:r w:rsidRPr="00A95F30">
        <w:rPr>
          <w:rFonts w:ascii="Arial" w:hAnsi="Arial" w:cs="Arial"/>
          <w:i/>
          <w:iCs/>
          <w:lang w:eastAsia="en-GB"/>
        </w:rPr>
        <w:t>The Virtue of Harmony</w:t>
      </w:r>
      <w:r w:rsidRPr="00A95F30">
        <w:rPr>
          <w:rFonts w:ascii="Arial" w:hAnsi="Arial" w:cs="Arial"/>
          <w:lang w:eastAsia="en-GB"/>
        </w:rPr>
        <w:t xml:space="preserve"> (Oxford: Oxford University Press, 2022), pp. 116-137. </w:t>
      </w:r>
    </w:p>
    <w:p w14:paraId="78D98F19" w14:textId="77777777" w:rsidR="004435F5" w:rsidRPr="00A95F30" w:rsidRDefault="004435F5" w:rsidP="004435F5">
      <w:pPr>
        <w:shd w:val="clear" w:color="auto" w:fill="FFFFFF"/>
        <w:spacing w:line="240" w:lineRule="auto"/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</w:pP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Vlastos, Gregory, ‘Justice and Psychic Harmony in the Republic’,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The Journal of Philosophy</w:t>
      </w: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 xml:space="preserve"> 66, no. 16 (1969): pp. 505–21,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 xml:space="preserve">JSTOR. </w:t>
      </w:r>
    </w:p>
    <w:p w14:paraId="3B71C4DA" w14:textId="77777777" w:rsidR="006045BC" w:rsidRPr="00A95F30" w:rsidRDefault="006045BC" w:rsidP="006045BC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Voss, Angela. ‘The Music of the Spheres: Marsilio Ficino and Renaissance Harmonia’.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 xml:space="preserve">The Harmony Debates: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 (Lampeter: Sophia Centre Press, 2020),</w:t>
      </w:r>
      <w:r w:rsidRPr="00A95F30">
        <w:rPr>
          <w:rFonts w:ascii="Arial" w:hAnsi="Arial" w:cs="Arial"/>
          <w:kern w:val="0"/>
          <w14:ligatures w14:val="none"/>
        </w:rPr>
        <w:t xml:space="preserve"> pp. 247–67.</w:t>
      </w:r>
    </w:p>
    <w:p w14:paraId="0BA82F1B" w14:textId="720B8F64" w:rsidR="0025689C" w:rsidRPr="00A95F30" w:rsidRDefault="00EC41EC" w:rsidP="006045BC">
      <w:pPr>
        <w:spacing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A95F30">
        <w:rPr>
          <w:rFonts w:ascii="Arial" w:hAnsi="Arial" w:cs="Arial"/>
          <w:b/>
          <w:bCs/>
          <w:kern w:val="0"/>
          <w14:ligatures w14:val="none"/>
        </w:rPr>
        <w:t>Renaissance Cosmology</w:t>
      </w:r>
    </w:p>
    <w:p w14:paraId="345F5AF0" w14:textId="77777777" w:rsidR="0001281E" w:rsidRPr="00A95F30" w:rsidRDefault="0001281E" w:rsidP="0001281E">
      <w:pPr>
        <w:rPr>
          <w:rFonts w:ascii="Arial" w:hAnsi="Arial" w:cs="Arial"/>
        </w:rPr>
      </w:pPr>
      <w:r w:rsidRPr="00A95F30">
        <w:rPr>
          <w:rFonts w:ascii="Arial" w:hAnsi="Arial" w:cs="Arial"/>
        </w:rPr>
        <w:t xml:space="preserve">Nicholas Campion, ‘Harmony, Politics and Utopia in the Cosmology of Jean Bodin and Johannes Kepler’, </w:t>
      </w:r>
      <w:r w:rsidRPr="00A95F30">
        <w:rPr>
          <w:rFonts w:ascii="Arial" w:hAnsi="Arial" w:cs="Arial"/>
          <w:i/>
          <w:iCs/>
          <w:color w:val="000000"/>
        </w:rPr>
        <w:t>Culture and Cosmos</w:t>
      </w:r>
      <w:r w:rsidRPr="00A95F30">
        <w:rPr>
          <w:rFonts w:ascii="Arial" w:hAnsi="Arial" w:cs="Arial"/>
          <w:color w:val="000000"/>
        </w:rPr>
        <w:t xml:space="preserve">, Vol. 25 no 1 and 2, Spring/Summer and Autumn/Winter 2021, </w:t>
      </w:r>
      <w:r w:rsidRPr="00A95F30">
        <w:rPr>
          <w:rFonts w:ascii="Arial" w:hAnsi="Arial" w:cs="Arial"/>
        </w:rPr>
        <w:t>pp. 125-165</w:t>
      </w:r>
    </w:p>
    <w:p w14:paraId="4DC34EE2" w14:textId="77777777" w:rsidR="0051761F" w:rsidRPr="00A95F30" w:rsidRDefault="0051761F" w:rsidP="0051761F">
      <w:pPr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  <w:r w:rsidRPr="00A95F30">
        <w:rPr>
          <w:rFonts w:ascii="Arial" w:hAnsi="Arial" w:cs="Arial"/>
        </w:rPr>
        <w:t xml:space="preserve">Giora Hon, ‘Harmony vs Symmetry: Kepler’s view and the role of </w:t>
      </w:r>
      <w:r w:rsidRPr="00A95F30">
        <w:rPr>
          <w:rFonts w:ascii="Arial" w:hAnsi="Arial" w:cs="Arial"/>
          <w:i/>
          <w:iCs/>
        </w:rPr>
        <w:t>Spielraum</w:t>
      </w:r>
      <w:r w:rsidRPr="00A95F30">
        <w:rPr>
          <w:rFonts w:ascii="Arial" w:hAnsi="Arial" w:cs="Arial"/>
        </w:rPr>
        <w:t xml:space="preserve">’, </w:t>
      </w:r>
      <w:r w:rsidRPr="00A95F30">
        <w:rPr>
          <w:rFonts w:ascii="Arial" w:hAnsi="Arial" w:cs="Arial"/>
          <w:i/>
          <w:iCs/>
          <w:color w:val="000000"/>
        </w:rPr>
        <w:t>Culture and Cosmos</w:t>
      </w:r>
      <w:r w:rsidRPr="00A95F30">
        <w:rPr>
          <w:rFonts w:ascii="Arial" w:hAnsi="Arial" w:cs="Arial"/>
          <w:color w:val="000000"/>
        </w:rPr>
        <w:t xml:space="preserve">, Vol. 25 no 1 and 2, Spring/Summer and Autumn/Winter 2021, </w:t>
      </w:r>
      <w:r w:rsidRPr="00A95F30">
        <w:rPr>
          <w:rFonts w:ascii="Arial" w:hAnsi="Arial" w:cs="Arial"/>
        </w:rPr>
        <w:t>pp. 57-70.</w:t>
      </w:r>
    </w:p>
    <w:p w14:paraId="359982CF" w14:textId="46BB88B9" w:rsidR="0051761F" w:rsidRPr="00A95F30" w:rsidRDefault="0051761F" w:rsidP="0051761F">
      <w:pPr>
        <w:rPr>
          <w:rFonts w:ascii="Arial" w:hAnsi="Arial" w:cs="Arial"/>
          <w:iCs/>
        </w:rPr>
      </w:pPr>
      <w:r w:rsidRPr="00A95F30">
        <w:rPr>
          <w:rFonts w:ascii="Arial" w:hAnsi="Arial" w:cs="Arial"/>
        </w:rPr>
        <w:t xml:space="preserve">Günther Oestmann,‘Resonances and Repercussions of Kepler’s </w:t>
      </w:r>
      <w:r w:rsidRPr="00A95F30">
        <w:rPr>
          <w:rFonts w:ascii="Arial" w:hAnsi="Arial" w:cs="Arial"/>
          <w:i/>
        </w:rPr>
        <w:t>Harmony of the World</w:t>
      </w:r>
      <w:r w:rsidRPr="00A95F30">
        <w:rPr>
          <w:rFonts w:ascii="Arial" w:hAnsi="Arial" w:cs="Arial"/>
          <w:iCs/>
        </w:rPr>
        <w:t xml:space="preserve">’, </w:t>
      </w:r>
      <w:r w:rsidRPr="00A95F30">
        <w:rPr>
          <w:rFonts w:ascii="Arial" w:hAnsi="Arial" w:cs="Arial"/>
          <w:i/>
          <w:iCs/>
          <w:color w:val="000000"/>
        </w:rPr>
        <w:t>Culture and Cosmos</w:t>
      </w:r>
      <w:r w:rsidRPr="00A95F30">
        <w:rPr>
          <w:rFonts w:ascii="Arial" w:hAnsi="Arial" w:cs="Arial"/>
          <w:color w:val="000000"/>
        </w:rPr>
        <w:t xml:space="preserve">, Vol. 25 no 1 and 2, Spring/Summer and Autumn/Winter 2021, </w:t>
      </w:r>
      <w:r w:rsidRPr="00A95F30">
        <w:rPr>
          <w:rFonts w:ascii="Arial" w:hAnsi="Arial" w:cs="Arial"/>
          <w:iCs/>
        </w:rPr>
        <w:t>pp. 167-195.</w:t>
      </w:r>
    </w:p>
    <w:p w14:paraId="277C45E7" w14:textId="77777777" w:rsidR="0051761F" w:rsidRPr="00A95F30" w:rsidRDefault="0051761F" w:rsidP="0051761F">
      <w:pPr>
        <w:pStyle w:val="NormalWeb"/>
        <w:spacing w:before="0" w:beforeAutospacing="0" w:after="0" w:afterAutospacing="0"/>
        <w:contextualSpacing/>
        <w:rPr>
          <w:rFonts w:ascii="Arial" w:hAnsi="Arial" w:cs="Arial"/>
          <w:sz w:val="22"/>
          <w:szCs w:val="22"/>
        </w:rPr>
      </w:pPr>
      <w:r w:rsidRPr="00A95F30">
        <w:rPr>
          <w:rFonts w:ascii="Arial" w:hAnsi="Arial" w:cs="Arial"/>
          <w:sz w:val="22"/>
          <w:szCs w:val="22"/>
        </w:rPr>
        <w:t xml:space="preserve">Aviva Rothman, ‘Kepler’s Harmony of the World and the Politics of Harmony’, </w:t>
      </w:r>
      <w:r w:rsidRPr="00A95F30">
        <w:rPr>
          <w:rFonts w:ascii="Arial" w:hAnsi="Arial" w:cs="Arial"/>
          <w:i/>
          <w:iCs/>
          <w:color w:val="000000"/>
          <w:sz w:val="22"/>
          <w:szCs w:val="22"/>
        </w:rPr>
        <w:t>Culture and Cosmos</w:t>
      </w:r>
      <w:r w:rsidRPr="00A95F30">
        <w:rPr>
          <w:rFonts w:ascii="Arial" w:hAnsi="Arial" w:cs="Arial"/>
          <w:color w:val="000000"/>
          <w:sz w:val="22"/>
          <w:szCs w:val="22"/>
        </w:rPr>
        <w:t xml:space="preserve">, Vol. 25 no 1 and 2, Spring/Summer and Autumn/Winter 2021, </w:t>
      </w:r>
      <w:r w:rsidRPr="00A95F30">
        <w:rPr>
          <w:rFonts w:ascii="Arial" w:hAnsi="Arial" w:cs="Arial"/>
          <w:sz w:val="22"/>
          <w:szCs w:val="22"/>
        </w:rPr>
        <w:t>pp. 71-92</w:t>
      </w:r>
    </w:p>
    <w:p w14:paraId="1E8F7068" w14:textId="77777777" w:rsidR="004435F5" w:rsidRPr="00A95F30" w:rsidRDefault="004435F5" w:rsidP="004435F5">
      <w:pPr>
        <w:shd w:val="clear" w:color="auto" w:fill="FFFFFF"/>
        <w:spacing w:after="0" w:line="240" w:lineRule="auto"/>
        <w:rPr>
          <w:rFonts w:ascii="Arial" w:hAnsi="Arial" w:cs="Arial"/>
          <w:spacing w:val="-5"/>
          <w:kern w:val="0"/>
          <w:shd w:val="clear" w:color="auto" w:fill="FFFFFF"/>
          <w14:ligatures w14:val="none"/>
        </w:rPr>
      </w:pPr>
    </w:p>
    <w:p w14:paraId="17DA64D6" w14:textId="77777777" w:rsidR="00545489" w:rsidRPr="00A95F30" w:rsidRDefault="00545489" w:rsidP="00545489">
      <w:pPr>
        <w:spacing w:line="240" w:lineRule="auto"/>
        <w:rPr>
          <w:rFonts w:ascii="Arial" w:hAnsi="Arial" w:cs="Arial"/>
          <w:b/>
          <w:bCs/>
        </w:rPr>
      </w:pPr>
      <w:r w:rsidRPr="00A95F30">
        <w:rPr>
          <w:rFonts w:ascii="Arial" w:hAnsi="Arial" w:cs="Arial"/>
          <w:b/>
          <w:bCs/>
        </w:rPr>
        <w:t>Later European Philosophy</w:t>
      </w:r>
    </w:p>
    <w:p w14:paraId="10B66346" w14:textId="77777777" w:rsidR="00545489" w:rsidRPr="00A95F30" w:rsidRDefault="00545489" w:rsidP="00545489">
      <w:pPr>
        <w:spacing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Brown, Gregory, ‘Compossibility, Harmony, and Perfection in Leibniz’. </w:t>
      </w:r>
      <w:r w:rsidRPr="00A95F30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Philosophical Review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 96, no. 2 (1987): pp. 173–203. </w:t>
      </w:r>
      <w:r w:rsidRPr="00A95F30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JSTOR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hyperlink r:id="rId4" w:history="1">
        <w:r w:rsidRPr="00A95F30">
          <w:rPr>
            <w:rStyle w:val="Hyperlink"/>
            <w:rFonts w:ascii="Arial" w:eastAsia="Times New Roman" w:hAnsi="Arial" w:cs="Arial"/>
            <w:color w:val="0000FF"/>
            <w:kern w:val="0"/>
            <w:lang w:eastAsia="en-GB"/>
            <w14:ligatures w14:val="none"/>
          </w:rPr>
          <w:t>https://doi.org/10.2307/2185157</w:t>
        </w:r>
      </w:hyperlink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5 Oct. 2023].</w:t>
      </w:r>
    </w:p>
    <w:p w14:paraId="4D084325" w14:textId="77777777" w:rsidR="00545489" w:rsidRPr="00A95F30" w:rsidRDefault="00545489" w:rsidP="00545489">
      <w:pPr>
        <w:spacing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Carlin, Laurence, ‘On the Very Concept of Harmony in Leibniz’, </w:t>
      </w:r>
      <w:r w:rsidRPr="00A95F30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Review of Metaphysics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, 54, no. 1 (2000): pp. 99–125. </w:t>
      </w:r>
      <w:r w:rsidRPr="00A95F30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JSTOR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hyperlink r:id="rId5" w:history="1">
        <w:r w:rsidRPr="00A95F30">
          <w:rPr>
            <w:rStyle w:val="Hyperlink"/>
            <w:rFonts w:ascii="Arial" w:hAnsi="Arial" w:cs="Arial"/>
            <w:color w:val="0000FF"/>
            <w:kern w:val="0"/>
            <w14:ligatures w14:val="none"/>
          </w:rPr>
          <w:t>https://www.jstor.org/stable/20131488</w:t>
        </w:r>
      </w:hyperlink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5 Oct. 2023].</w:t>
      </w:r>
    </w:p>
    <w:p w14:paraId="67897FC0" w14:textId="4E0686B1" w:rsidR="00545489" w:rsidRPr="00A95F30" w:rsidRDefault="00545489" w:rsidP="00545489">
      <w:pPr>
        <w:spacing w:line="240" w:lineRule="auto"/>
        <w:contextualSpacing/>
        <w:rPr>
          <w:rFonts w:ascii="Arial" w:hAnsi="Arial" w:cs="Arial"/>
        </w:rPr>
      </w:pPr>
      <w:r w:rsidRPr="00A95F30">
        <w:rPr>
          <w:rFonts w:ascii="Arial" w:hAnsi="Arial" w:cs="Arial"/>
        </w:rPr>
        <w:t xml:space="preserve">Malherbe, Olivier, ‘Gestalt, Harmony, and Human Action in Roman Ingarden’s Thought’, </w:t>
      </w:r>
      <w:r w:rsidRPr="00A95F30">
        <w:rPr>
          <w:rFonts w:ascii="Arial" w:hAnsi="Arial" w:cs="Arial"/>
          <w:i/>
          <w:iCs/>
          <w:color w:val="131314"/>
          <w:shd w:val="clear" w:color="auto" w:fill="FFFFFF"/>
        </w:rPr>
        <w:t>The Journal of East-West Thought</w:t>
      </w:r>
      <w:r w:rsidRPr="00A95F30">
        <w:rPr>
          <w:rFonts w:ascii="Arial" w:hAnsi="Arial" w:cs="Arial"/>
          <w:color w:val="131314"/>
          <w:shd w:val="clear" w:color="auto" w:fill="FFFFFF"/>
        </w:rPr>
        <w:t xml:space="preserve">, Vol 10, no 2, June 2020, </w:t>
      </w:r>
      <w:r w:rsidRPr="00A95F30">
        <w:rPr>
          <w:rFonts w:ascii="Arial" w:hAnsi="Arial" w:cs="Arial"/>
        </w:rPr>
        <w:t>pp. 119-135.</w:t>
      </w:r>
    </w:p>
    <w:p w14:paraId="20F6D8FF" w14:textId="77777777" w:rsidR="00545489" w:rsidRPr="00A95F30" w:rsidRDefault="00545489" w:rsidP="00545489">
      <w:pPr>
        <w:spacing w:line="240" w:lineRule="auto"/>
        <w:contextualSpacing/>
        <w:rPr>
          <w:rStyle w:val="Hyperlink"/>
          <w:rFonts w:ascii="Arial" w:hAnsi="Arial" w:cs="Arial"/>
        </w:rPr>
      </w:pPr>
      <w:r w:rsidRPr="00A95F30">
        <w:rPr>
          <w:rFonts w:ascii="Arial" w:hAnsi="Arial" w:cs="Arial"/>
        </w:rPr>
        <w:t xml:space="preserve">Download PDF of whole journal from  </w:t>
      </w:r>
      <w:hyperlink r:id="rId6" w:history="1">
        <w:r w:rsidRPr="00A95F30">
          <w:rPr>
            <w:rStyle w:val="Hyperlink"/>
            <w:rFonts w:ascii="Arial" w:hAnsi="Arial" w:cs="Arial"/>
          </w:rPr>
          <w:t>https://www.researchgate.net/publication/342626552_Harmony_East_and_West</w:t>
        </w:r>
      </w:hyperlink>
    </w:p>
    <w:p w14:paraId="0FB6272D" w14:textId="77777777" w:rsidR="00545489" w:rsidRPr="00A95F30" w:rsidRDefault="00545489" w:rsidP="00545489">
      <w:pPr>
        <w:shd w:val="clear" w:color="auto" w:fill="FFFFFF"/>
        <w:spacing w:line="240" w:lineRule="auto"/>
        <w:contextualSpacing/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</w:pPr>
    </w:p>
    <w:p w14:paraId="6385A447" w14:textId="77777777" w:rsidR="00545489" w:rsidRPr="00A95F30" w:rsidRDefault="00545489" w:rsidP="00545489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color w:val="1C1D1E"/>
          <w:kern w:val="0"/>
          <w:shd w:val="clear" w:color="auto" w:fill="FFFFFF"/>
          <w14:ligatures w14:val="none"/>
        </w:rPr>
        <w:t>Newlands, Samuel, ‘The Harmony of Spinoza and Leibniz’,</w:t>
      </w:r>
      <w:r w:rsidRPr="00A95F30">
        <w:rPr>
          <w:rFonts w:ascii="Arial" w:hAnsi="Arial" w:cs="Arial"/>
          <w:i/>
          <w:iCs/>
          <w:color w:val="1C1D1E"/>
          <w:kern w:val="0"/>
          <w:shd w:val="clear" w:color="auto" w:fill="FFFFFF"/>
          <w14:ligatures w14:val="none"/>
        </w:rPr>
        <w:t xml:space="preserve"> Philosophy and Phenomenological Research,</w:t>
      </w:r>
      <w:r w:rsidRPr="00A95F30">
        <w:rPr>
          <w:rFonts w:ascii="Arial" w:hAnsi="Arial" w:cs="Arial"/>
          <w:color w:val="1C1D1E"/>
          <w:kern w:val="0"/>
          <w:shd w:val="clear" w:color="auto" w:fill="FFFFFF"/>
          <w14:ligatures w14:val="none"/>
        </w:rPr>
        <w:t xml:space="preserve"> 81 (2010), pp, 64-104. </w:t>
      </w:r>
      <w:hyperlink r:id="rId7" w:history="1">
        <w:r w:rsidRPr="00A95F30">
          <w:rPr>
            <w:rStyle w:val="Hyperlink"/>
            <w:rFonts w:ascii="Arial" w:hAnsi="Arial" w:cs="Arial"/>
            <w:color w:val="0000FF"/>
            <w:kern w:val="0"/>
            <w:shd w:val="clear" w:color="auto" w:fill="FFFFFF"/>
            <w14:ligatures w14:val="none"/>
          </w:rPr>
          <w:t>https://doi-org.ezproxy.uwtsd.ac.uk/10.1111/j.1933-1592.2010.00354.x</w:t>
        </w:r>
      </w:hyperlink>
    </w:p>
    <w:p w14:paraId="3F1FE0F0" w14:textId="77777777" w:rsidR="00C57ABD" w:rsidRPr="0038014B" w:rsidRDefault="00C57ABD" w:rsidP="00C57ABD">
      <w:pPr>
        <w:spacing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8014B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Otterspeer, Willem, and Beverley Jackson, ‘Harmony’, </w:t>
      </w:r>
      <w:r w:rsidRPr="0038014B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Reading Huizinga</w:t>
      </w:r>
      <w:r w:rsidRPr="0038014B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 xml:space="preserve"> (Amsterdam University Press, 2010), pp. 113–28. </w:t>
      </w:r>
      <w:r w:rsidRPr="0038014B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JSTOR</w:t>
      </w:r>
      <w:r w:rsidRPr="0038014B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 xml:space="preserve">, </w:t>
      </w:r>
      <w:hyperlink r:id="rId8" w:history="1">
        <w:r w:rsidRPr="0038014B">
          <w:rPr>
            <w:rStyle w:val="Hyperlink"/>
            <w:rFonts w:ascii="Arial" w:hAnsi="Arial" w:cs="Arial"/>
            <w:color w:val="0000FF"/>
            <w:kern w:val="0"/>
            <w14:ligatures w14:val="none"/>
          </w:rPr>
          <w:t>https://doi.org/10.2307/j.ctt45kfrp</w:t>
        </w:r>
      </w:hyperlink>
      <w:r w:rsidRPr="0038014B">
        <w:rPr>
          <w:rFonts w:ascii="Arial" w:hAnsi="Arial" w:cs="Arial"/>
          <w:kern w:val="0"/>
          <w14:ligatures w14:val="none"/>
        </w:rPr>
        <w:t xml:space="preserve"> </w:t>
      </w:r>
      <w:r w:rsidRPr="0038014B">
        <w:rPr>
          <w:rFonts w:ascii="Arial" w:eastAsia="Times New Roman" w:hAnsi="Arial" w:cs="Arial"/>
          <w:kern w:val="0"/>
          <w:lang w:eastAsia="en-GB"/>
          <w14:ligatures w14:val="none"/>
        </w:rPr>
        <w:t>[accessed 5 Oct. 2023].</w:t>
      </w:r>
    </w:p>
    <w:p w14:paraId="44EDA6D5" w14:textId="77777777" w:rsidR="00EC05A8" w:rsidRPr="0038014B" w:rsidRDefault="00EC05A8" w:rsidP="00EC05A8">
      <w:pPr>
        <w:rPr>
          <w:rFonts w:ascii="Arial" w:hAnsi="Arial" w:cs="Arial"/>
        </w:rPr>
      </w:pPr>
      <w:r w:rsidRPr="0038014B">
        <w:rPr>
          <w:rFonts w:ascii="Arial" w:hAnsi="Arial" w:cs="Arial"/>
          <w:shd w:val="clear" w:color="auto" w:fill="FFFFFF"/>
        </w:rPr>
        <w:t>Shuan Han, Book review, Chenyang Li, Fan He, and Lili Zhang,</w:t>
      </w:r>
      <w:r w:rsidRPr="0038014B">
        <w:rPr>
          <w:rFonts w:ascii="Arial" w:hAnsi="Arial" w:cs="Arial"/>
        </w:rPr>
        <w:t xml:space="preserve"> </w:t>
      </w:r>
      <w:r w:rsidRPr="0038014B">
        <w:rPr>
          <w:rFonts w:ascii="Arial" w:hAnsi="Arial" w:cs="Arial"/>
          <w:i/>
          <w:iCs/>
        </w:rPr>
        <w:t>Comprehensive Harmony - Thomé H. Fang’s Philosophy</w:t>
      </w:r>
      <w:r w:rsidRPr="0038014B">
        <w:rPr>
          <w:rFonts w:ascii="Arial" w:hAnsi="Arial" w:cs="Arial"/>
        </w:rPr>
        <w:t xml:space="preserve">, </w:t>
      </w:r>
      <w:r w:rsidRPr="0038014B">
        <w:rPr>
          <w:rFonts w:ascii="Arial" w:hAnsi="Arial" w:cs="Arial"/>
          <w:i/>
          <w:iCs/>
          <w:color w:val="131314"/>
          <w:sz w:val="21"/>
          <w:szCs w:val="21"/>
          <w:shd w:val="clear" w:color="auto" w:fill="FFFFFF"/>
        </w:rPr>
        <w:t>The Journal of East-West Thought</w:t>
      </w:r>
      <w:r w:rsidRPr="0038014B">
        <w:rPr>
          <w:rFonts w:ascii="Arial" w:hAnsi="Arial" w:cs="Arial"/>
          <w:color w:val="131314"/>
          <w:sz w:val="21"/>
          <w:szCs w:val="21"/>
          <w:shd w:val="clear" w:color="auto" w:fill="FFFFFF"/>
        </w:rPr>
        <w:t>, Vol 10, no 2, June 2020,</w:t>
      </w:r>
      <w:r w:rsidRPr="0038014B">
        <w:rPr>
          <w:rFonts w:ascii="Arial" w:hAnsi="Arial" w:cs="Arial"/>
        </w:rPr>
        <w:t xml:space="preserve"> pp. 137-141</w:t>
      </w:r>
    </w:p>
    <w:p w14:paraId="085E450F" w14:textId="77777777" w:rsidR="00C57ABD" w:rsidRPr="00A95F30" w:rsidRDefault="00C57ABD" w:rsidP="00C57ABD">
      <w:pPr>
        <w:spacing w:after="120" w:line="240" w:lineRule="auto"/>
        <w:outlineLvl w:val="0"/>
        <w:rPr>
          <w:rFonts w:ascii="Arial" w:eastAsia="Times New Roman" w:hAnsi="Arial" w:cs="Arial"/>
          <w:color w:val="000000"/>
          <w:spacing w:val="-5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spacing w:val="-5"/>
          <w:kern w:val="0"/>
          <w:lang w:eastAsia="en-GB"/>
          <w14:ligatures w14:val="none"/>
        </w:rPr>
        <w:t xml:space="preserve">Yenter, Timothy, ‘Harmony in Spinoza and his Critics’ in Beth Lord (ed.) </w:t>
      </w:r>
      <w:r w:rsidRPr="00A95F30">
        <w:rPr>
          <w:rFonts w:ascii="Arial" w:eastAsia="Times New Roman" w:hAnsi="Arial" w:cs="Arial"/>
          <w:i/>
          <w:iCs/>
          <w:kern w:val="36"/>
          <w:lang w:eastAsia="en-GB"/>
          <w14:ligatures w14:val="none"/>
        </w:rPr>
        <w:t>Spinoza's Philosophy of Ratio</w:t>
      </w:r>
      <w:r w:rsidRPr="00A95F30">
        <w:rPr>
          <w:rFonts w:ascii="Arial" w:eastAsia="Times New Roman" w:hAnsi="Arial" w:cs="Arial"/>
          <w:kern w:val="36"/>
          <w:lang w:eastAsia="en-GB"/>
          <w14:ligatures w14:val="none"/>
        </w:rPr>
        <w:t xml:space="preserve"> (Edinburgh: Edinburgh University Press, 2018), pp.  </w:t>
      </w:r>
      <w:r w:rsidRPr="00A95F30">
        <w:rPr>
          <w:rFonts w:ascii="Arial" w:eastAsia="Times New Roman" w:hAnsi="Arial" w:cs="Arial"/>
          <w:color w:val="000000"/>
          <w:spacing w:val="-5"/>
          <w:kern w:val="0"/>
          <w:lang w:eastAsia="en-GB"/>
          <w14:ligatures w14:val="none"/>
        </w:rPr>
        <w:t>46-60.</w:t>
      </w:r>
    </w:p>
    <w:p w14:paraId="7FD8108E" w14:textId="41C723D3" w:rsidR="004435F5" w:rsidRPr="00A95F30" w:rsidRDefault="000425F5" w:rsidP="004435F5">
      <w:pPr>
        <w:shd w:val="clear" w:color="auto" w:fill="FFFFFF"/>
        <w:spacing w:line="240" w:lineRule="auto"/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</w:pPr>
      <w:r w:rsidRPr="00A95F30"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  <w:t>Judaism, Christianity and Islam</w:t>
      </w:r>
    </w:p>
    <w:p w14:paraId="1F00226E" w14:textId="77777777" w:rsidR="004435F5" w:rsidRPr="00A95F30" w:rsidRDefault="004435F5" w:rsidP="004435F5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Andrus, Marc, ‘Harmony, Science and Spirituality’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in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hAnsi="Arial" w:cs="Arial"/>
          <w:kern w:val="0"/>
          <w14:ligatures w14:val="none"/>
        </w:rPr>
        <w:t xml:space="preserve">pp. 243–46. </w:t>
      </w:r>
    </w:p>
    <w:p w14:paraId="1FEF0A1F" w14:textId="77777777" w:rsidR="0069103E" w:rsidRPr="00A95F30" w:rsidRDefault="0069103E" w:rsidP="0069103E">
      <w:pPr>
        <w:spacing w:line="240" w:lineRule="auto"/>
        <w:rPr>
          <w:rFonts w:ascii="Arial" w:hAnsi="Arial" w:cs="Arial"/>
        </w:rPr>
      </w:pPr>
      <w:r w:rsidRPr="00A95F30">
        <w:rPr>
          <w:rFonts w:ascii="Arial" w:hAnsi="Arial" w:cs="Arial"/>
          <w:lang w:eastAsia="en-GB"/>
        </w:rPr>
        <w:t xml:space="preserve">Asfaruddin, Asma, ‘The Concept of Harmony in Islamic Thought and Practice’, in </w:t>
      </w:r>
      <w:r w:rsidRPr="00A95F30">
        <w:rPr>
          <w:rFonts w:ascii="Arial" w:hAnsi="Arial" w:cs="Arial"/>
        </w:rPr>
        <w:t xml:space="preserve"> Li, </w:t>
      </w:r>
      <w:r w:rsidRPr="00A95F30">
        <w:rPr>
          <w:rFonts w:ascii="Arial" w:hAnsi="Arial" w:cs="Arial"/>
          <w:lang w:eastAsia="en-GB"/>
        </w:rPr>
        <w:t xml:space="preserve">Chenyang and Dascha Düring, </w:t>
      </w:r>
      <w:r w:rsidRPr="00A95F30">
        <w:rPr>
          <w:rFonts w:ascii="Arial" w:hAnsi="Arial" w:cs="Arial"/>
          <w:i/>
          <w:iCs/>
          <w:lang w:eastAsia="en-GB"/>
        </w:rPr>
        <w:t>The Virtue of Harmony</w:t>
      </w:r>
      <w:r w:rsidRPr="00A95F30">
        <w:rPr>
          <w:rFonts w:ascii="Arial" w:hAnsi="Arial" w:cs="Arial"/>
          <w:lang w:eastAsia="en-GB"/>
        </w:rPr>
        <w:t xml:space="preserve"> (Oxford: Oxford University Press, 2022) pp. 155-181.</w:t>
      </w:r>
    </w:p>
    <w:p w14:paraId="7CCCDCE3" w14:textId="77777777" w:rsidR="0069103E" w:rsidRPr="00A95F30" w:rsidRDefault="0069103E" w:rsidP="0069103E">
      <w:pPr>
        <w:spacing w:line="240" w:lineRule="auto"/>
        <w:rPr>
          <w:rFonts w:ascii="Arial" w:hAnsi="Arial" w:cs="Arial"/>
        </w:rPr>
      </w:pPr>
      <w:r w:rsidRPr="00A95F30">
        <w:rPr>
          <w:rFonts w:ascii="Arial" w:hAnsi="Arial" w:cs="Arial"/>
        </w:rPr>
        <w:t xml:space="preserve">Neville, Richard Cummings, ‘Harmony as a Virtue n Christianity’, in Li, </w:t>
      </w:r>
      <w:r w:rsidRPr="00A95F30">
        <w:rPr>
          <w:rFonts w:ascii="Arial" w:hAnsi="Arial" w:cs="Arial"/>
          <w:lang w:eastAsia="en-GB"/>
        </w:rPr>
        <w:t xml:space="preserve">Chenyang and Dascha Düring, </w:t>
      </w:r>
      <w:r w:rsidRPr="00A95F30">
        <w:rPr>
          <w:rFonts w:ascii="Arial" w:hAnsi="Arial" w:cs="Arial"/>
          <w:i/>
          <w:iCs/>
          <w:lang w:eastAsia="en-GB"/>
        </w:rPr>
        <w:t>The Virtue of Harmony</w:t>
      </w:r>
      <w:r w:rsidRPr="00A95F30">
        <w:rPr>
          <w:rFonts w:ascii="Arial" w:hAnsi="Arial" w:cs="Arial"/>
          <w:lang w:eastAsia="en-GB"/>
        </w:rPr>
        <w:t xml:space="preserve"> (Oxford: Oxford University Press, 2022), pp. 229-252.</w:t>
      </w:r>
    </w:p>
    <w:p w14:paraId="4C32BAB0" w14:textId="77777777" w:rsidR="009B416A" w:rsidRPr="00A95F30" w:rsidRDefault="009B416A" w:rsidP="009B416A">
      <w:pPr>
        <w:spacing w:line="336" w:lineRule="atLeast"/>
        <w:rPr>
          <w:rFonts w:ascii="Arial" w:hAnsi="Arial" w:cs="Arial"/>
          <w:lang w:eastAsia="en-GB"/>
        </w:rPr>
      </w:pPr>
      <w:r w:rsidRPr="00A95F30">
        <w:rPr>
          <w:rFonts w:ascii="Arial" w:hAnsi="Arial" w:cs="Arial"/>
          <w:lang w:eastAsia="en-GB"/>
        </w:rPr>
        <w:t xml:space="preserve">Niehoff, Maren R., ‘Harmony as Virtue in Judaism: The Changing Perspectives of Philo of Alexandria’ in </w:t>
      </w:r>
      <w:r w:rsidRPr="00A95F30">
        <w:rPr>
          <w:rFonts w:ascii="Arial" w:hAnsi="Arial" w:cs="Arial"/>
        </w:rPr>
        <w:t xml:space="preserve">Li, </w:t>
      </w:r>
      <w:r w:rsidRPr="00A95F30">
        <w:rPr>
          <w:rFonts w:ascii="Arial" w:hAnsi="Arial" w:cs="Arial"/>
          <w:lang w:eastAsia="en-GB"/>
        </w:rPr>
        <w:t xml:space="preserve">Chenyang and Dascha Düring, </w:t>
      </w:r>
      <w:r w:rsidRPr="00A95F30">
        <w:rPr>
          <w:rFonts w:ascii="Arial" w:hAnsi="Arial" w:cs="Arial"/>
          <w:i/>
          <w:iCs/>
          <w:lang w:eastAsia="en-GB"/>
        </w:rPr>
        <w:t>The Virtue of Harmony</w:t>
      </w:r>
      <w:r w:rsidRPr="00A95F30">
        <w:rPr>
          <w:rFonts w:ascii="Arial" w:hAnsi="Arial" w:cs="Arial"/>
          <w:lang w:eastAsia="en-GB"/>
        </w:rPr>
        <w:t xml:space="preserve"> (Oxford: Oxford University Press, 2022), pp. 138-154.</w:t>
      </w:r>
    </w:p>
    <w:p w14:paraId="59DC693A" w14:textId="77777777" w:rsidR="004435F5" w:rsidRPr="00A95F30" w:rsidRDefault="004435F5" w:rsidP="004435F5">
      <w:pPr>
        <w:spacing w:line="240" w:lineRule="auto"/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 xml:space="preserve">Sheldrake, Rupert, ’Harmony, Science and Spirituality’, 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in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, edited by Nicholas Campion </w:t>
      </w:r>
      <w:r w:rsidRPr="00A95F30">
        <w:rPr>
          <w:rFonts w:ascii="Arial" w:hAnsi="Arial" w:cs="Arial"/>
          <w:kern w:val="0"/>
          <w14:ligatures w14:val="none"/>
        </w:rPr>
        <w:t>(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Lampeter: Sophia Centre Press, 2020), </w:t>
      </w:r>
      <w:r w:rsidRPr="00A95F30">
        <w:rPr>
          <w:rFonts w:ascii="Arial" w:hAnsi="Arial" w:cs="Arial"/>
          <w:kern w:val="0"/>
          <w14:ligatures w14:val="none"/>
        </w:rPr>
        <w:t xml:space="preserve">pp. 237–42. </w:t>
      </w:r>
    </w:p>
    <w:p w14:paraId="280453E3" w14:textId="77777777" w:rsidR="004435F5" w:rsidRPr="00A95F30" w:rsidRDefault="004435F5" w:rsidP="004435F5">
      <w:pPr>
        <w:shd w:val="clear" w:color="auto" w:fill="FFFFFF"/>
        <w:spacing w:after="0" w:line="240" w:lineRule="auto"/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</w:pPr>
    </w:p>
    <w:p w14:paraId="7943B891" w14:textId="008900B2" w:rsidR="004435F5" w:rsidRPr="00A95F30" w:rsidRDefault="00A77EC4" w:rsidP="004435F5">
      <w:pPr>
        <w:shd w:val="clear" w:color="auto" w:fill="FFFFFF"/>
        <w:spacing w:line="240" w:lineRule="auto"/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</w:pPr>
      <w:r w:rsidRPr="00A95F30"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  <w:t>T</w:t>
      </w:r>
      <w:r w:rsidR="004435F5" w:rsidRPr="00A95F30">
        <w:rPr>
          <w:rFonts w:ascii="Arial" w:hAnsi="Arial" w:cs="Arial"/>
          <w:b/>
          <w:bCs/>
          <w:spacing w:val="-5"/>
          <w:kern w:val="0"/>
          <w:shd w:val="clear" w:color="auto" w:fill="FFFFFF"/>
          <w14:ligatures w14:val="none"/>
        </w:rPr>
        <w:t>he Arts</w:t>
      </w:r>
    </w:p>
    <w:p w14:paraId="73BF9840" w14:textId="77777777" w:rsidR="004435F5" w:rsidRPr="00A95F30" w:rsidRDefault="004435F5" w:rsidP="004435F5">
      <w:pPr>
        <w:spacing w:line="240" w:lineRule="auto"/>
        <w:rPr>
          <w:rFonts w:ascii="Arial" w:hAnsi="Arial" w:cs="Arial"/>
          <w:kern w:val="36"/>
          <w:lang w:eastAsia="en-GB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t>Howard, Sophie, ‘What is the Meaning and Role of Harmony in Sculpture?’, i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n </w:t>
      </w:r>
      <w:r w:rsidRPr="00A95F30">
        <w:rPr>
          <w:rFonts w:ascii="Arial" w:hAnsi="Arial" w:cs="Arial"/>
          <w:i/>
          <w:kern w:val="36"/>
          <w:lang w:eastAsia="en-GB"/>
          <w14:ligatures w14:val="none"/>
        </w:rPr>
        <w:t>The Harmony Debates: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 </w:t>
      </w:r>
      <w:r w:rsidRPr="00A95F30">
        <w:rPr>
          <w:rFonts w:ascii="Arial" w:hAnsi="Arial" w:cs="Arial"/>
          <w:i/>
          <w:kern w:val="36"/>
          <w:shd w:val="clear" w:color="auto" w:fill="FFFFFF"/>
          <w:lang w:eastAsia="en-GB"/>
          <w14:ligatures w14:val="none"/>
        </w:rPr>
        <w:t>Exploring a practical philosophy for a sustainable future</w:t>
      </w:r>
      <w:r w:rsidRPr="00A95F30">
        <w:rPr>
          <w:rFonts w:ascii="Arial" w:hAnsi="Arial" w:cs="Arial"/>
          <w:kern w:val="36"/>
          <w:lang w:eastAsia="en-GB"/>
          <w14:ligatures w14:val="none"/>
        </w:rPr>
        <w:t>, edited by Nicholas Campion,</w:t>
      </w:r>
      <w:r w:rsidRPr="00A95F30">
        <w:rPr>
          <w:rFonts w:ascii="Arial" w:hAnsi="Arial" w:cs="Arial"/>
          <w:kern w:val="0"/>
          <w14:ligatures w14:val="none"/>
        </w:rPr>
        <w:t xml:space="preserve"> </w:t>
      </w:r>
      <w:r w:rsidRPr="00A95F30">
        <w:rPr>
          <w:rFonts w:ascii="Arial" w:hAnsi="Arial" w:cs="Arial"/>
          <w:kern w:val="36"/>
          <w:lang w:eastAsia="en-GB"/>
          <w14:ligatures w14:val="none"/>
        </w:rPr>
        <w:t xml:space="preserve">(Lampeter: Sophia Centre Press, 2020), </w:t>
      </w:r>
      <w:r w:rsidRPr="00A95F30">
        <w:rPr>
          <w:rFonts w:ascii="Arial" w:hAnsi="Arial" w:cs="Arial"/>
          <w:kern w:val="0"/>
          <w14:ligatures w14:val="none"/>
        </w:rPr>
        <w:t>pp. 61–72.</w:t>
      </w:r>
    </w:p>
    <w:p w14:paraId="1840BD06" w14:textId="77777777" w:rsidR="004435F5" w:rsidRPr="00A95F30" w:rsidRDefault="004435F5" w:rsidP="004435F5">
      <w:pPr>
        <w:shd w:val="clear" w:color="auto" w:fill="FFFFFF"/>
        <w:spacing w:line="240" w:lineRule="auto"/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</w:pP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Kallberg, Jeffrey, ‘The Harmony of the Tea Table: Gender and Ideology in the Piano Nocturne’,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Representations</w:t>
      </w: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, no. 39, 1992, pp. 102–33.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JSTOR</w:t>
      </w:r>
    </w:p>
    <w:p w14:paraId="06A046B5" w14:textId="77777777" w:rsidR="004435F5" w:rsidRPr="00A95F30" w:rsidRDefault="004435F5" w:rsidP="004435F5">
      <w:pPr>
        <w:rPr>
          <w:rFonts w:ascii="Arial" w:hAnsi="Arial" w:cs="Arial"/>
          <w:kern w:val="0"/>
          <w14:ligatures w14:val="none"/>
        </w:rPr>
      </w:pPr>
      <w:r w:rsidRPr="00A95F30">
        <w:rPr>
          <w:rFonts w:ascii="Arial" w:hAnsi="Arial" w:cs="Arial"/>
          <w:kern w:val="0"/>
          <w14:ligatures w14:val="none"/>
        </w:rPr>
        <w:lastRenderedPageBreak/>
        <w:t xml:space="preserve">Montiglio, Slvia, ‘The (Cultural) Harmony of Nature: Music, Love, and Order in “Daphnis and Chloe”, </w:t>
      </w:r>
      <w:r w:rsidRPr="00A95F30">
        <w:rPr>
          <w:rFonts w:ascii="Arial" w:hAnsi="Arial" w:cs="Arial"/>
          <w:i/>
          <w:iCs/>
          <w:color w:val="000000"/>
          <w:spacing w:val="-5"/>
          <w:kern w:val="0"/>
          <w:shd w:val="clear" w:color="auto" w:fill="FFFFFF"/>
          <w14:ligatures w14:val="none"/>
        </w:rPr>
        <w:t>Transactions of the American Philological Association (1974-)</w:t>
      </w:r>
      <w:r w:rsidRPr="00A95F30">
        <w:rPr>
          <w:rFonts w:ascii="Arial" w:hAnsi="Arial" w:cs="Arial"/>
          <w:color w:val="000000"/>
          <w:spacing w:val="-5"/>
          <w:kern w:val="0"/>
          <w:shd w:val="clear" w:color="auto" w:fill="FFFFFF"/>
          <w14:ligatures w14:val="none"/>
        </w:rPr>
        <w:t>, vol. 142, no. 1, 2012, pp. 133–56. </w:t>
      </w:r>
      <w:r w:rsidRPr="00A95F30">
        <w:rPr>
          <w:rFonts w:ascii="Arial" w:hAnsi="Arial" w:cs="Arial"/>
          <w:i/>
          <w:iCs/>
          <w:color w:val="000000"/>
          <w:spacing w:val="-5"/>
          <w:kern w:val="0"/>
          <w:shd w:val="clear" w:color="auto" w:fill="FFFFFF"/>
          <w14:ligatures w14:val="none"/>
        </w:rPr>
        <w:t>JSTOR</w:t>
      </w:r>
      <w:r w:rsidRPr="00A95F30">
        <w:rPr>
          <w:rFonts w:ascii="Arial" w:hAnsi="Arial" w:cs="Arial"/>
          <w:color w:val="000000"/>
          <w:spacing w:val="-5"/>
          <w:kern w:val="0"/>
          <w:shd w:val="clear" w:color="auto" w:fill="FFFFFF"/>
          <w14:ligatures w14:val="none"/>
        </w:rPr>
        <w:t>,</w:t>
      </w:r>
    </w:p>
    <w:p w14:paraId="211140E1" w14:textId="77777777" w:rsidR="004435F5" w:rsidRPr="00A95F30" w:rsidRDefault="004435F5" w:rsidP="004435F5">
      <w:pPr>
        <w:shd w:val="clear" w:color="auto" w:fill="FFFFFF"/>
        <w:spacing w:line="240" w:lineRule="auto"/>
        <w:rPr>
          <w:rFonts w:ascii="Arial" w:hAnsi="Arial" w:cs="Arial"/>
          <w:spacing w:val="-5"/>
          <w:kern w:val="0"/>
          <w:shd w:val="clear" w:color="auto" w:fill="FFFFFF"/>
          <w14:ligatures w14:val="none"/>
        </w:rPr>
      </w:pP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Scott, John T. “The Harmony between Rousseau’s Musical Theory and His Philosophy.”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Journal of the History of Ideas</w:t>
      </w: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, vol. 59, no. 2, 1998, pp. 287–308. </w:t>
      </w:r>
      <w:r w:rsidRPr="00A95F30">
        <w:rPr>
          <w:rFonts w:ascii="Arial" w:hAnsi="Arial" w:cs="Arial"/>
          <w:i/>
          <w:iCs/>
          <w:spacing w:val="-5"/>
          <w:kern w:val="0"/>
          <w:shd w:val="clear" w:color="auto" w:fill="FFFFFF"/>
          <w14:ligatures w14:val="none"/>
        </w:rPr>
        <w:t>JSTOR</w:t>
      </w:r>
      <w:r w:rsidRPr="00A95F30">
        <w:rPr>
          <w:rFonts w:ascii="Arial" w:hAnsi="Arial" w:cs="Arial"/>
          <w:spacing w:val="-5"/>
          <w:kern w:val="0"/>
          <w:shd w:val="clear" w:color="auto" w:fill="FFFFFF"/>
          <w14:ligatures w14:val="none"/>
        </w:rPr>
        <w:t>,</w:t>
      </w:r>
    </w:p>
    <w:p w14:paraId="2DF2B3D5" w14:textId="77777777" w:rsidR="004435F5" w:rsidRPr="002636F2" w:rsidRDefault="004435F5" w:rsidP="004435F5">
      <w:pPr>
        <w:spacing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von Erhardt-Siebold, Erika. ‘Harmony of the Senses in English, German, and French Romanticism’. </w:t>
      </w:r>
      <w:r w:rsidRPr="00A95F30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PMLA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 47, no. 2 (1932): pp. 577–92. </w:t>
      </w:r>
      <w:r w:rsidRPr="00A95F30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JSTOR</w:t>
      </w:r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hyperlink r:id="rId9" w:history="1">
        <w:r w:rsidRPr="00A95F30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https://doi.org/10.2307/457897</w:t>
        </w:r>
      </w:hyperlink>
      <w:r w:rsidRPr="00A95F30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 5 Oct. 2023]</w:t>
      </w:r>
      <w:r w:rsidRPr="002636F2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5622BCD" w14:textId="77777777" w:rsidR="00CB6FE2" w:rsidRPr="002636F2" w:rsidRDefault="00CB6FE2" w:rsidP="004435F5">
      <w:pPr>
        <w:shd w:val="clear" w:color="auto" w:fill="FFFFFF"/>
        <w:spacing w:after="0" w:line="240" w:lineRule="auto"/>
        <w:contextualSpacing/>
        <w:rPr>
          <w:rFonts w:ascii="Arial" w:hAnsi="Arial" w:cs="Arial"/>
        </w:rPr>
      </w:pPr>
    </w:p>
    <w:sectPr w:rsidR="00CB6FE2" w:rsidRPr="00263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5CE"/>
    <w:rsid w:val="0001281E"/>
    <w:rsid w:val="000425F5"/>
    <w:rsid w:val="002408F5"/>
    <w:rsid w:val="0025689C"/>
    <w:rsid w:val="002636F2"/>
    <w:rsid w:val="002866F6"/>
    <w:rsid w:val="002C2974"/>
    <w:rsid w:val="002F5DB5"/>
    <w:rsid w:val="0038014B"/>
    <w:rsid w:val="003A7B89"/>
    <w:rsid w:val="004435F5"/>
    <w:rsid w:val="004A1263"/>
    <w:rsid w:val="0050414F"/>
    <w:rsid w:val="00516D9E"/>
    <w:rsid w:val="0051761F"/>
    <w:rsid w:val="0052456A"/>
    <w:rsid w:val="00545489"/>
    <w:rsid w:val="00590C67"/>
    <w:rsid w:val="006045BC"/>
    <w:rsid w:val="0061038E"/>
    <w:rsid w:val="006164F5"/>
    <w:rsid w:val="006622D0"/>
    <w:rsid w:val="0069103E"/>
    <w:rsid w:val="00850678"/>
    <w:rsid w:val="00892C49"/>
    <w:rsid w:val="009367F7"/>
    <w:rsid w:val="009635CE"/>
    <w:rsid w:val="009B416A"/>
    <w:rsid w:val="00A77EC4"/>
    <w:rsid w:val="00A95F30"/>
    <w:rsid w:val="00AC199F"/>
    <w:rsid w:val="00AC6050"/>
    <w:rsid w:val="00AE3039"/>
    <w:rsid w:val="00B231BA"/>
    <w:rsid w:val="00B2387F"/>
    <w:rsid w:val="00B46481"/>
    <w:rsid w:val="00B52E7A"/>
    <w:rsid w:val="00C43228"/>
    <w:rsid w:val="00C57ABD"/>
    <w:rsid w:val="00C82720"/>
    <w:rsid w:val="00CA7C6A"/>
    <w:rsid w:val="00CB6FE2"/>
    <w:rsid w:val="00CD6EBF"/>
    <w:rsid w:val="00DC374A"/>
    <w:rsid w:val="00EC05A8"/>
    <w:rsid w:val="00EC41EC"/>
    <w:rsid w:val="00FA7C3E"/>
    <w:rsid w:val="00FE5292"/>
    <w:rsid w:val="00FF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2C9B"/>
  <w15:chartTrackingRefBased/>
  <w15:docId w15:val="{9EFFE0ED-799D-4F38-8449-67784171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2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7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E30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-org.ezproxy.uwtsd.ac.uk/10.1111/j.1933-1592.2010.00354.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searchgate.net/publication/342626552_Harmony_East_and_West" TargetMode="External"/><Relationship Id="rId11" Type="http://schemas.openxmlformats.org/officeDocument/2006/relationships/theme" Target="theme/theme1.xml"/><Relationship Id="rId5" Type="http://schemas.openxmlformats.org/officeDocument/2006/relationships/hyperlink" Target="about:blank" TargetMode="External"/><Relationship Id="rId10" Type="http://schemas.openxmlformats.org/officeDocument/2006/relationships/fontTable" Target="fontTable.xml"/><Relationship Id="rId4" Type="http://schemas.openxmlformats.org/officeDocument/2006/relationships/hyperlink" Target="about:blank" TargetMode="Externa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1332</Words>
  <Characters>7513</Characters>
  <Application>Microsoft Office Word</Application>
  <DocSecurity>0</DocSecurity>
  <Lines>147</Lines>
  <Paragraphs>52</Paragraphs>
  <ScaleCrop>false</ScaleCrop>
  <Company/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Campion</dc:creator>
  <cp:keywords/>
  <dc:description/>
  <cp:lastModifiedBy>Nicholas Campion</cp:lastModifiedBy>
  <cp:revision>6</cp:revision>
  <dcterms:created xsi:type="dcterms:W3CDTF">2024-01-31T11:55:00Z</dcterms:created>
  <dcterms:modified xsi:type="dcterms:W3CDTF">2024-02-02T10:41:00Z</dcterms:modified>
</cp:coreProperties>
</file>