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67C93" w:rsidRPr="00D67C93" w:rsidRDefault="00D67C93" w:rsidP="00D67C93">
      <w:pPr>
        <w:spacing w:after="0" w:line="240" w:lineRule="auto"/>
        <w:ind w:left="-180" w:right="-334"/>
        <w:rPr>
          <w:rFonts w:ascii="Georgia" w:eastAsia="SimSun" w:hAnsi="Georgia" w:cs="Times New Roman"/>
          <w:color w:val="000000"/>
          <w:sz w:val="21"/>
          <w:szCs w:val="21"/>
          <w:lang w:eastAsia="zh-CN"/>
        </w:rPr>
      </w:pPr>
      <w:r w:rsidRPr="00D67C93">
        <w:rPr>
          <w:rFonts w:ascii="Georgia" w:eastAsia="SimSun" w:hAnsi="Georgia" w:cs="Times New Roman"/>
          <w:noProof/>
          <w:color w:val="000000"/>
          <w:sz w:val="21"/>
          <w:szCs w:val="21"/>
          <w:lang w:eastAsia="en-GB"/>
        </w:rPr>
        <w:drawing>
          <wp:inline distT="0" distB="0" distL="0" distR="0">
            <wp:extent cx="1905000" cy="638175"/>
            <wp:effectExtent l="19050" t="19050" r="19050" b="28575"/>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rsidR="00D67C93" w:rsidRPr="00D67C93" w:rsidRDefault="00D67C93" w:rsidP="00D67C93">
      <w:pPr>
        <w:spacing w:after="0" w:line="240" w:lineRule="auto"/>
        <w:ind w:left="-180" w:right="-334"/>
        <w:rPr>
          <w:rFonts w:ascii="Georgia" w:eastAsia="SimSun" w:hAnsi="Georgia" w:cs="Times New Roman"/>
          <w:color w:val="000000"/>
          <w:sz w:val="21"/>
          <w:szCs w:val="21"/>
          <w:lang w:eastAsia="zh-CN"/>
        </w:rPr>
      </w:pPr>
    </w:p>
    <w:p w:rsidR="00D67C93" w:rsidRPr="00D67C93" w:rsidRDefault="00D67C93" w:rsidP="00D67C93">
      <w:pPr>
        <w:spacing w:after="0" w:line="240" w:lineRule="auto"/>
        <w:ind w:left="-180" w:right="-334"/>
        <w:rPr>
          <w:rFonts w:ascii="Georgia" w:eastAsia="SimSun" w:hAnsi="Georgia" w:cs="Times New Roman"/>
          <w:color w:val="000000"/>
          <w:sz w:val="21"/>
          <w:szCs w:val="21"/>
          <w:lang w:eastAsia="zh-CN"/>
        </w:rPr>
      </w:pPr>
    </w:p>
    <w:p w:rsidR="00D67C93" w:rsidRPr="00D67C93" w:rsidRDefault="00D67C93" w:rsidP="00D67C93">
      <w:pPr>
        <w:spacing w:after="0" w:line="240" w:lineRule="auto"/>
        <w:ind w:left="-180" w:right="-334"/>
        <w:jc w:val="center"/>
        <w:rPr>
          <w:rFonts w:ascii="Arial" w:eastAsia="SimSun" w:hAnsi="Arial" w:cs="Arial"/>
          <w:b/>
          <w:color w:val="000000"/>
          <w:sz w:val="28"/>
          <w:szCs w:val="28"/>
          <w:lang w:val="cy-GB" w:eastAsia="zh-CN"/>
        </w:rPr>
      </w:pPr>
      <w:r w:rsidRPr="00D67C93">
        <w:rPr>
          <w:rFonts w:ascii="Arial" w:eastAsia="SimSun" w:hAnsi="Arial" w:cs="Arial"/>
          <w:b/>
          <w:color w:val="000000"/>
          <w:sz w:val="28"/>
          <w:szCs w:val="28"/>
          <w:lang w:val="cy-GB" w:eastAsia="zh-CN"/>
        </w:rPr>
        <w:t xml:space="preserve">Postgraduate/Distance Learning </w:t>
      </w:r>
    </w:p>
    <w:p w:rsidR="00D67C93" w:rsidRPr="00D67C93" w:rsidRDefault="00D67C93" w:rsidP="00D67C93">
      <w:pPr>
        <w:spacing w:after="0" w:line="240" w:lineRule="auto"/>
        <w:ind w:left="-180" w:right="-334"/>
        <w:jc w:val="center"/>
        <w:rPr>
          <w:rFonts w:ascii="Arial" w:eastAsia="SimSun" w:hAnsi="Arial" w:cs="Arial"/>
          <w:b/>
          <w:color w:val="000000"/>
          <w:sz w:val="28"/>
          <w:szCs w:val="28"/>
          <w:lang w:eastAsia="zh-CN"/>
        </w:rPr>
      </w:pPr>
      <w:r w:rsidRPr="00D67C93">
        <w:rPr>
          <w:rFonts w:ascii="Arial" w:eastAsia="SimSun" w:hAnsi="Arial" w:cs="Arial"/>
          <w:b/>
          <w:color w:val="000000"/>
          <w:sz w:val="28"/>
          <w:szCs w:val="28"/>
          <w:lang w:val="cy-GB" w:eastAsia="zh-CN"/>
        </w:rPr>
        <w:t>Assignment coversheet &amp; feedback form</w:t>
      </w:r>
    </w:p>
    <w:p w:rsidR="00D67C93" w:rsidRPr="00D67C93" w:rsidRDefault="00D67C93" w:rsidP="00D67C93">
      <w:pPr>
        <w:spacing w:after="0" w:line="240" w:lineRule="auto"/>
        <w:rPr>
          <w:rFonts w:ascii="Arial" w:eastAsia="SimSun" w:hAnsi="Arial" w:cs="Arial"/>
          <w:sz w:val="28"/>
          <w:szCs w:val="28"/>
          <w:lang w:val="cy-GB" w:eastAsia="zh-CN"/>
        </w:rPr>
      </w:pPr>
    </w:p>
    <w:p w:rsidR="00D67C93" w:rsidRPr="00D67C93" w:rsidRDefault="00D67C93" w:rsidP="00D67C93">
      <w:pPr>
        <w:keepNext/>
        <w:spacing w:after="0" w:line="240" w:lineRule="auto"/>
        <w:ind w:left="720"/>
        <w:jc w:val="center"/>
        <w:outlineLvl w:val="2"/>
        <w:rPr>
          <w:rFonts w:ascii="Tahoma" w:eastAsia="SimSun" w:hAnsi="Tahoma" w:cs="Tahoma"/>
          <w:b/>
          <w:bCs/>
          <w:sz w:val="20"/>
          <w:szCs w:val="20"/>
          <w:lang w:val="cy-GB" w:eastAsia="zh-CN"/>
        </w:rPr>
      </w:pPr>
      <w:r w:rsidRPr="00D67C93">
        <w:rPr>
          <w:rFonts w:ascii="Tahoma" w:eastAsia="SimSun" w:hAnsi="Tahoma" w:cs="Tahoma"/>
          <w:b/>
          <w:bCs/>
          <w:sz w:val="20"/>
          <w:szCs w:val="20"/>
          <w:lang w:val="cy-GB" w:eastAsia="zh-CN"/>
        </w:rPr>
        <w:t>THIS SHEET MUST BE THE FIRST PAGE OF THE ASSIGNMENT YOU ARE SUBMITTING  (DO NOT SEND AS A SEPARATE FILE)</w:t>
      </w:r>
    </w:p>
    <w:p w:rsidR="00D67C93" w:rsidRPr="00D67C93" w:rsidRDefault="00D67C93" w:rsidP="00D67C93">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D67C93" w:rsidRPr="00D67C93" w:rsidTr="003A6065">
        <w:trPr>
          <w:trHeight w:val="614"/>
        </w:trPr>
        <w:tc>
          <w:tcPr>
            <w:tcW w:w="8856" w:type="dxa"/>
            <w:gridSpan w:val="5"/>
          </w:tcPr>
          <w:p w:rsidR="00D67C93" w:rsidRPr="00D67C93" w:rsidRDefault="00D67C93" w:rsidP="00D67C93">
            <w:pPr>
              <w:spacing w:after="0" w:line="240" w:lineRule="auto"/>
              <w:ind w:right="34"/>
              <w:rPr>
                <w:rFonts w:ascii="Arial" w:eastAsia="SimSun" w:hAnsi="Arial" w:cs="Arial"/>
                <w:color w:val="000000"/>
                <w:lang w:eastAsia="zh-CN"/>
              </w:rPr>
            </w:pPr>
            <w:r w:rsidRPr="00D67C93">
              <w:rPr>
                <w:rFonts w:ascii="Arial" w:eastAsia="SimSun" w:hAnsi="Arial" w:cs="Arial"/>
                <w:b/>
                <w:color w:val="000000"/>
                <w:lang w:eastAsia="zh-CN"/>
              </w:rPr>
              <w:t>For completion by the student</w:t>
            </w:r>
            <w:r w:rsidRPr="00D67C93">
              <w:rPr>
                <w:rFonts w:ascii="Arial" w:eastAsia="SimSun" w:hAnsi="Arial" w:cs="Arial"/>
                <w:color w:val="000000"/>
                <w:lang w:eastAsia="zh-CN"/>
              </w:rPr>
              <w:t>:</w:t>
            </w:r>
          </w:p>
        </w:tc>
      </w:tr>
      <w:tr w:rsidR="00D67C93" w:rsidRPr="00D67C93" w:rsidTr="003A6065">
        <w:trPr>
          <w:trHeight w:val="718"/>
        </w:trPr>
        <w:tc>
          <w:tcPr>
            <w:tcW w:w="8856" w:type="dxa"/>
            <w:gridSpan w:val="5"/>
          </w:tcPr>
          <w:p w:rsidR="00D67C93" w:rsidRPr="00D67C93" w:rsidRDefault="00D67C93" w:rsidP="00D67C93">
            <w:pPr>
              <w:spacing w:after="0" w:line="240" w:lineRule="auto"/>
              <w:ind w:right="34"/>
              <w:rPr>
                <w:rFonts w:ascii="Arial" w:eastAsia="SimSun" w:hAnsi="Arial" w:cs="Arial"/>
                <w:color w:val="000000"/>
                <w:lang w:eastAsia="zh-CN"/>
              </w:rPr>
            </w:pPr>
            <w:r w:rsidRPr="00D67C93">
              <w:rPr>
                <w:rFonts w:ascii="Arial" w:eastAsia="SimSun" w:hAnsi="Arial" w:cs="Arial"/>
                <w:color w:val="000000"/>
                <w:lang w:eastAsia="zh-CN"/>
              </w:rPr>
              <w:t>Student Name:</w:t>
            </w:r>
          </w:p>
          <w:p w:rsidR="00D67C93" w:rsidRPr="00D67C93" w:rsidRDefault="00D67C93" w:rsidP="00D67C93">
            <w:pPr>
              <w:spacing w:after="0" w:line="240" w:lineRule="auto"/>
              <w:ind w:right="34"/>
              <w:rPr>
                <w:rFonts w:ascii="Arial" w:eastAsia="SimSun" w:hAnsi="Arial" w:cs="Arial"/>
                <w:color w:val="000000"/>
                <w:lang w:eastAsia="zh-CN"/>
              </w:rPr>
            </w:pPr>
            <w:r>
              <w:rPr>
                <w:rFonts w:ascii="Arial" w:eastAsia="SimSun" w:hAnsi="Arial" w:cs="Arial"/>
                <w:color w:val="000000"/>
                <w:lang w:eastAsia="zh-CN"/>
              </w:rPr>
              <w:t xml:space="preserve">Suzanne </w:t>
            </w:r>
            <w:proofErr w:type="spellStart"/>
            <w:r>
              <w:rPr>
                <w:rFonts w:ascii="Arial" w:eastAsia="SimSun" w:hAnsi="Arial" w:cs="Arial"/>
                <w:color w:val="000000"/>
                <w:lang w:eastAsia="zh-CN"/>
              </w:rPr>
              <w:t>Caisey</w:t>
            </w:r>
            <w:proofErr w:type="spellEnd"/>
          </w:p>
        </w:tc>
      </w:tr>
      <w:tr w:rsidR="00D67C93" w:rsidRPr="00D67C93" w:rsidTr="003A6065">
        <w:trPr>
          <w:trHeight w:val="849"/>
        </w:trPr>
        <w:tc>
          <w:tcPr>
            <w:tcW w:w="4788" w:type="dxa"/>
          </w:tcPr>
          <w:p w:rsidR="00D67C93" w:rsidRPr="00D67C93" w:rsidRDefault="00D67C93" w:rsidP="00D67C93">
            <w:pPr>
              <w:spacing w:after="0" w:line="240" w:lineRule="auto"/>
              <w:ind w:right="34"/>
              <w:rPr>
                <w:rFonts w:ascii="Arial" w:eastAsia="SimSun" w:hAnsi="Arial" w:cs="Arial"/>
                <w:color w:val="000000"/>
                <w:lang w:eastAsia="zh-CN"/>
              </w:rPr>
            </w:pPr>
            <w:r w:rsidRPr="00D67C93">
              <w:rPr>
                <w:rFonts w:ascii="Arial" w:eastAsia="SimSun" w:hAnsi="Arial" w:cs="Arial"/>
                <w:color w:val="000000"/>
                <w:lang w:eastAsia="zh-CN"/>
              </w:rPr>
              <w:t>Module code:</w:t>
            </w:r>
            <w:r>
              <w:rPr>
                <w:rFonts w:ascii="Arial" w:eastAsia="SimSun" w:hAnsi="Arial" w:cs="Arial"/>
                <w:color w:val="000000"/>
                <w:lang w:eastAsia="zh-CN"/>
              </w:rPr>
              <w:t xml:space="preserve"> CYCS7015</w:t>
            </w:r>
          </w:p>
          <w:p w:rsidR="00D67C93" w:rsidRPr="00D67C93" w:rsidRDefault="00D67C93" w:rsidP="00D67C93">
            <w:pPr>
              <w:spacing w:after="0" w:line="240" w:lineRule="auto"/>
              <w:ind w:right="34"/>
              <w:rPr>
                <w:rFonts w:ascii="Arial" w:eastAsia="SimSun" w:hAnsi="Arial" w:cs="Arial"/>
                <w:color w:val="000000"/>
                <w:lang w:eastAsia="zh-CN"/>
              </w:rPr>
            </w:pPr>
          </w:p>
          <w:p w:rsidR="00D67C93" w:rsidRPr="00D67C93" w:rsidRDefault="00D67C93" w:rsidP="00D67C93">
            <w:pPr>
              <w:spacing w:after="0" w:line="240" w:lineRule="auto"/>
              <w:ind w:right="34"/>
              <w:rPr>
                <w:rFonts w:ascii="Arial" w:eastAsia="SimSun" w:hAnsi="Arial" w:cs="Arial"/>
                <w:color w:val="000000"/>
                <w:lang w:eastAsia="zh-CN"/>
              </w:rPr>
            </w:pPr>
            <w:r w:rsidRPr="00D67C93">
              <w:rPr>
                <w:rFonts w:ascii="Arial" w:eastAsia="SimSun" w:hAnsi="Arial" w:cs="Arial"/>
                <w:color w:val="000000"/>
                <w:lang w:eastAsia="zh-CN"/>
              </w:rPr>
              <w:t>Module title:</w:t>
            </w:r>
            <w:r>
              <w:rPr>
                <w:rFonts w:ascii="Arial" w:eastAsia="SimSun" w:hAnsi="Arial" w:cs="Arial"/>
                <w:color w:val="000000"/>
                <w:lang w:eastAsia="zh-CN"/>
              </w:rPr>
              <w:t xml:space="preserve"> Y </w:t>
            </w:r>
            <w:proofErr w:type="spellStart"/>
            <w:r>
              <w:rPr>
                <w:rFonts w:ascii="Arial" w:eastAsia="SimSun" w:hAnsi="Arial" w:cs="Arial"/>
                <w:color w:val="000000"/>
                <w:lang w:eastAsia="zh-CN"/>
              </w:rPr>
              <w:t>Mabinogi</w:t>
            </w:r>
            <w:proofErr w:type="spellEnd"/>
          </w:p>
          <w:p w:rsidR="00D67C93" w:rsidRPr="00D67C93" w:rsidRDefault="00D67C93" w:rsidP="00D67C93">
            <w:pPr>
              <w:spacing w:after="0" w:line="240" w:lineRule="auto"/>
              <w:ind w:right="34"/>
              <w:rPr>
                <w:rFonts w:ascii="Arial" w:eastAsia="SimSun" w:hAnsi="Arial" w:cs="Arial"/>
                <w:color w:val="000000"/>
                <w:lang w:eastAsia="zh-CN"/>
              </w:rPr>
            </w:pPr>
          </w:p>
          <w:p w:rsidR="00D67C93" w:rsidRPr="00D67C93" w:rsidRDefault="00D67C93" w:rsidP="00D67C93">
            <w:pPr>
              <w:spacing w:after="0" w:line="240" w:lineRule="auto"/>
              <w:ind w:right="34"/>
              <w:rPr>
                <w:rFonts w:ascii="Arial" w:eastAsia="SimSun" w:hAnsi="Arial" w:cs="Arial"/>
                <w:color w:val="000000"/>
                <w:lang w:eastAsia="zh-CN"/>
              </w:rPr>
            </w:pPr>
          </w:p>
        </w:tc>
        <w:tc>
          <w:tcPr>
            <w:tcW w:w="2266" w:type="dxa"/>
            <w:gridSpan w:val="3"/>
          </w:tcPr>
          <w:p w:rsidR="00D67C93" w:rsidRPr="00D67C93" w:rsidRDefault="00D67C93" w:rsidP="00D67C93">
            <w:pPr>
              <w:spacing w:after="0" w:line="240" w:lineRule="auto"/>
              <w:ind w:right="34"/>
              <w:rPr>
                <w:rFonts w:ascii="Arial" w:eastAsia="SimSun" w:hAnsi="Arial" w:cs="Arial"/>
                <w:color w:val="000000"/>
                <w:lang w:eastAsia="zh-CN"/>
              </w:rPr>
            </w:pPr>
            <w:r w:rsidRPr="00D67C93">
              <w:rPr>
                <w:rFonts w:ascii="Arial" w:eastAsia="SimSun" w:hAnsi="Arial" w:cs="Arial"/>
                <w:color w:val="000000"/>
                <w:lang w:eastAsia="zh-CN"/>
              </w:rPr>
              <w:t>Student ID number:</w:t>
            </w:r>
            <w:r>
              <w:rPr>
                <w:rFonts w:ascii="Arial" w:eastAsia="SimSun" w:hAnsi="Arial" w:cs="Arial"/>
                <w:color w:val="000000"/>
                <w:lang w:eastAsia="zh-CN"/>
              </w:rPr>
              <w:t xml:space="preserve"> 1708467</w:t>
            </w:r>
          </w:p>
        </w:tc>
        <w:tc>
          <w:tcPr>
            <w:tcW w:w="1802" w:type="dxa"/>
          </w:tcPr>
          <w:p w:rsidR="00D67C93" w:rsidRPr="00D67C93" w:rsidRDefault="00D67C93" w:rsidP="00D67C93">
            <w:pPr>
              <w:spacing w:after="0" w:line="240" w:lineRule="auto"/>
              <w:ind w:right="34"/>
              <w:rPr>
                <w:rFonts w:ascii="Arial" w:eastAsia="SimSun" w:hAnsi="Arial" w:cs="Arial"/>
                <w:color w:val="000000"/>
                <w:lang w:eastAsia="zh-CN"/>
              </w:rPr>
            </w:pPr>
            <w:r w:rsidRPr="00D67C93">
              <w:rPr>
                <w:rFonts w:ascii="Arial" w:eastAsia="SimSun" w:hAnsi="Arial" w:cs="Arial"/>
                <w:color w:val="000000"/>
                <w:lang w:eastAsia="zh-CN"/>
              </w:rPr>
              <w:t>Educational support needs:</w:t>
            </w:r>
          </w:p>
          <w:p w:rsidR="00D67C93" w:rsidRPr="00D67C93" w:rsidRDefault="00D67C93" w:rsidP="00D67C93">
            <w:pPr>
              <w:spacing w:after="0" w:line="240" w:lineRule="auto"/>
              <w:ind w:right="34"/>
              <w:rPr>
                <w:rFonts w:ascii="Arial" w:eastAsia="SimSun" w:hAnsi="Arial" w:cs="Arial"/>
                <w:color w:val="000000"/>
                <w:lang w:eastAsia="zh-CN"/>
              </w:rPr>
            </w:pPr>
            <w:r w:rsidRPr="00D67C93">
              <w:rPr>
                <w:rFonts w:ascii="Arial" w:eastAsia="SimSun" w:hAnsi="Arial" w:cs="Arial"/>
                <w:color w:val="000000"/>
                <w:lang w:eastAsia="zh-CN"/>
              </w:rPr>
              <w:t>No</w:t>
            </w:r>
          </w:p>
        </w:tc>
      </w:tr>
      <w:tr w:rsidR="00D67C93" w:rsidRPr="00D67C93" w:rsidTr="003A6065">
        <w:trPr>
          <w:trHeight w:val="1139"/>
        </w:trPr>
        <w:tc>
          <w:tcPr>
            <w:tcW w:w="8856" w:type="dxa"/>
            <w:gridSpan w:val="5"/>
          </w:tcPr>
          <w:p w:rsidR="00D67C93" w:rsidRPr="00D67C93" w:rsidRDefault="00D67C93" w:rsidP="00D67C93">
            <w:pPr>
              <w:spacing w:after="0" w:line="240" w:lineRule="auto"/>
              <w:ind w:right="34"/>
              <w:rPr>
                <w:rFonts w:ascii="Arial" w:eastAsia="SimSun" w:hAnsi="Arial" w:cs="Arial"/>
                <w:color w:val="000000"/>
                <w:lang w:eastAsia="zh-CN"/>
              </w:rPr>
            </w:pPr>
            <w:r w:rsidRPr="00D67C93">
              <w:rPr>
                <w:rFonts w:ascii="Arial" w:eastAsia="SimSun" w:hAnsi="Arial" w:cs="Arial"/>
                <w:color w:val="000000"/>
                <w:lang w:eastAsia="zh-CN"/>
              </w:rPr>
              <w:t>Module tutor:</w:t>
            </w:r>
            <w:r>
              <w:rPr>
                <w:rFonts w:ascii="Arial" w:eastAsia="SimSun" w:hAnsi="Arial" w:cs="Arial"/>
                <w:color w:val="000000"/>
                <w:lang w:eastAsia="zh-CN"/>
              </w:rPr>
              <w:t xml:space="preserve"> Professor Jane Cartwright</w:t>
            </w:r>
          </w:p>
          <w:p w:rsidR="00D67C93" w:rsidRPr="00D67C93" w:rsidRDefault="00D67C93" w:rsidP="00D67C93">
            <w:pPr>
              <w:spacing w:after="0" w:line="240" w:lineRule="auto"/>
              <w:ind w:right="34"/>
              <w:rPr>
                <w:rFonts w:ascii="Arial" w:eastAsia="SimSun" w:hAnsi="Arial" w:cs="Arial"/>
                <w:color w:val="000000"/>
                <w:lang w:eastAsia="zh-CN"/>
              </w:rPr>
            </w:pPr>
          </w:p>
          <w:p w:rsidR="00D67C93" w:rsidRPr="00D67C93" w:rsidRDefault="00D67C93" w:rsidP="00D67C93">
            <w:pPr>
              <w:spacing w:after="0" w:line="240" w:lineRule="auto"/>
              <w:ind w:right="34"/>
              <w:rPr>
                <w:rFonts w:ascii="Arial" w:eastAsia="SimSun" w:hAnsi="Arial" w:cs="Arial"/>
                <w:color w:val="000000"/>
                <w:lang w:eastAsia="zh-CN"/>
              </w:rPr>
            </w:pPr>
          </w:p>
          <w:p w:rsidR="00D67C93" w:rsidRPr="00D67C93" w:rsidRDefault="00D67C93" w:rsidP="00D67C93">
            <w:pPr>
              <w:spacing w:after="0" w:line="240" w:lineRule="auto"/>
              <w:ind w:right="34"/>
              <w:rPr>
                <w:rFonts w:ascii="Arial" w:eastAsia="SimSun" w:hAnsi="Arial" w:cs="Arial"/>
                <w:color w:val="000000"/>
                <w:lang w:eastAsia="zh-CN"/>
              </w:rPr>
            </w:pPr>
            <w:r w:rsidRPr="00D67C93">
              <w:rPr>
                <w:rFonts w:ascii="Arial" w:eastAsia="SimSun" w:hAnsi="Arial" w:cs="Arial"/>
                <w:color w:val="000000"/>
                <w:lang w:eastAsia="zh-CN"/>
              </w:rPr>
              <w:t>Assignment due date:</w:t>
            </w:r>
            <w:r>
              <w:rPr>
                <w:rFonts w:ascii="Arial" w:eastAsia="SimSun" w:hAnsi="Arial" w:cs="Arial"/>
                <w:color w:val="000000"/>
                <w:lang w:eastAsia="zh-CN"/>
              </w:rPr>
              <w:t xml:space="preserve"> 28</w:t>
            </w:r>
            <w:r w:rsidRPr="00D67C93">
              <w:rPr>
                <w:rFonts w:ascii="Arial" w:eastAsia="SimSun" w:hAnsi="Arial" w:cs="Arial"/>
                <w:color w:val="000000"/>
                <w:vertAlign w:val="superscript"/>
                <w:lang w:eastAsia="zh-CN"/>
              </w:rPr>
              <w:t>th</w:t>
            </w:r>
            <w:r>
              <w:rPr>
                <w:rFonts w:ascii="Arial" w:eastAsia="SimSun" w:hAnsi="Arial" w:cs="Arial"/>
                <w:color w:val="000000"/>
                <w:lang w:eastAsia="zh-CN"/>
              </w:rPr>
              <w:t xml:space="preserve"> November 2018</w:t>
            </w:r>
          </w:p>
        </w:tc>
      </w:tr>
      <w:tr w:rsidR="00D67C93" w:rsidRPr="00D67C93" w:rsidTr="003A6065">
        <w:trPr>
          <w:trHeight w:val="978"/>
        </w:trPr>
        <w:tc>
          <w:tcPr>
            <w:tcW w:w="8856" w:type="dxa"/>
            <w:gridSpan w:val="5"/>
            <w:tcBorders>
              <w:bottom w:val="single" w:sz="4" w:space="0" w:color="000000"/>
            </w:tcBorders>
          </w:tcPr>
          <w:p w:rsidR="00D67C93" w:rsidRPr="00D67C93" w:rsidRDefault="00D67C93" w:rsidP="00D67C93">
            <w:pPr>
              <w:spacing w:after="0" w:line="240" w:lineRule="auto"/>
              <w:rPr>
                <w:rFonts w:ascii="Arial" w:eastAsia="SimSun" w:hAnsi="Arial" w:cs="Arial"/>
                <w:lang w:eastAsia="zh-CN"/>
              </w:rPr>
            </w:pPr>
            <w:r w:rsidRPr="00D67C93">
              <w:rPr>
                <w:rFonts w:ascii="Arial" w:eastAsia="SimSun" w:hAnsi="Arial" w:cs="Arial"/>
                <w:lang w:eastAsia="zh-CN"/>
              </w:rPr>
              <w:t>If your module has multiple submissions please indicate which piece of work this is.</w:t>
            </w:r>
          </w:p>
          <w:p w:rsidR="00D67C93" w:rsidRPr="00D67C93" w:rsidRDefault="00D67C93" w:rsidP="00D67C93">
            <w:pPr>
              <w:spacing w:after="0" w:line="240" w:lineRule="auto"/>
              <w:rPr>
                <w:rFonts w:ascii="Arial" w:eastAsia="SimSun" w:hAnsi="Arial" w:cs="Arial"/>
                <w:lang w:eastAsia="zh-CN"/>
              </w:rPr>
            </w:pPr>
          </w:p>
          <w:p w:rsidR="00D67C93" w:rsidRPr="00D67C93" w:rsidRDefault="00D67C93" w:rsidP="00D67C93">
            <w:pPr>
              <w:spacing w:after="0" w:line="240" w:lineRule="auto"/>
              <w:rPr>
                <w:rFonts w:ascii="Arial" w:eastAsia="SimSun" w:hAnsi="Arial" w:cs="Arial"/>
                <w:lang w:eastAsia="zh-CN"/>
              </w:rPr>
            </w:pPr>
            <w:r w:rsidRPr="00D67C93">
              <w:rPr>
                <w:rFonts w:ascii="Arial" w:eastAsia="SimSun" w:hAnsi="Arial" w:cs="Arial"/>
                <w:lang w:eastAsia="zh-CN"/>
              </w:rPr>
              <w:t>1</w:t>
            </w:r>
            <w:r w:rsidRPr="00D67C93">
              <w:rPr>
                <w:rFonts w:ascii="Arial" w:eastAsia="SimSun" w:hAnsi="Arial" w:cs="Arial"/>
                <w:vertAlign w:val="superscript"/>
                <w:lang w:eastAsia="zh-CN"/>
              </w:rPr>
              <w:t xml:space="preserve">st </w:t>
            </w:r>
            <w:r>
              <w:rPr>
                <w:rFonts w:ascii="Arial" w:eastAsia="SimSun" w:hAnsi="Arial" w:cs="Arial"/>
                <w:lang w:eastAsia="zh-CN"/>
              </w:rPr>
              <w:t>√</w:t>
            </w:r>
            <w:r w:rsidRPr="00D67C93">
              <w:rPr>
                <w:rFonts w:ascii="Arial" w:eastAsia="SimSun" w:hAnsi="Arial" w:cs="Arial"/>
                <w:lang w:eastAsia="zh-CN"/>
              </w:rPr>
              <w:t xml:space="preserve">   2</w:t>
            </w:r>
            <w:r w:rsidRPr="00D67C93">
              <w:rPr>
                <w:rFonts w:ascii="Arial" w:eastAsia="SimSun" w:hAnsi="Arial" w:cs="Arial"/>
                <w:vertAlign w:val="superscript"/>
                <w:lang w:eastAsia="zh-CN"/>
              </w:rPr>
              <w:t>nd</w:t>
            </w:r>
            <w:r w:rsidRPr="00D67C93">
              <w:rPr>
                <w:rFonts w:ascii="Arial" w:eastAsia="SimSun" w:hAnsi="Arial" w:cs="Arial"/>
                <w:lang w:eastAsia="zh-CN"/>
              </w:rPr>
              <w:t xml:space="preserve">  </w:t>
            </w:r>
            <w:r w:rsidRPr="00D67C93">
              <w:rPr>
                <w:rFonts w:ascii="Arial" w:eastAsia="SimSun" w:hAnsi="Arial" w:cs="Arial"/>
                <w:lang w:eastAsia="zh-CN"/>
              </w:rPr>
              <w:fldChar w:fldCharType="begin">
                <w:ffData>
                  <w:name w:val="Check14"/>
                  <w:enabled/>
                  <w:calcOnExit w:val="0"/>
                  <w:checkBox>
                    <w:sizeAuto/>
                    <w:default w:val="0"/>
                  </w:checkBox>
                </w:ffData>
              </w:fldChar>
            </w:r>
            <w:bookmarkStart w:id="0" w:name="Check14"/>
            <w:r w:rsidRPr="00D67C93">
              <w:rPr>
                <w:rFonts w:ascii="Arial" w:eastAsia="SimSun" w:hAnsi="Arial" w:cs="Arial"/>
                <w:lang w:eastAsia="zh-CN"/>
              </w:rPr>
              <w:instrText xml:space="preserve"> FORMCHECKBOX </w:instrText>
            </w:r>
            <w:r w:rsidRPr="00D67C93">
              <w:rPr>
                <w:rFonts w:ascii="Arial" w:eastAsia="SimSun" w:hAnsi="Arial" w:cs="Arial"/>
                <w:lang w:eastAsia="zh-CN"/>
              </w:rPr>
            </w:r>
            <w:r w:rsidRPr="00D67C93">
              <w:rPr>
                <w:rFonts w:ascii="Arial" w:eastAsia="SimSun" w:hAnsi="Arial" w:cs="Arial"/>
                <w:lang w:eastAsia="zh-CN"/>
              </w:rPr>
              <w:fldChar w:fldCharType="end"/>
            </w:r>
            <w:bookmarkEnd w:id="0"/>
            <w:r w:rsidRPr="00D67C93">
              <w:rPr>
                <w:rFonts w:ascii="Arial" w:eastAsia="SimSun" w:hAnsi="Arial" w:cs="Arial"/>
                <w:lang w:eastAsia="zh-CN"/>
              </w:rPr>
              <w:t xml:space="preserve">     3</w:t>
            </w:r>
            <w:r w:rsidRPr="00D67C93">
              <w:rPr>
                <w:rFonts w:ascii="Arial" w:eastAsia="SimSun" w:hAnsi="Arial" w:cs="Arial"/>
                <w:vertAlign w:val="superscript"/>
                <w:lang w:eastAsia="zh-CN"/>
              </w:rPr>
              <w:t>rd</w:t>
            </w:r>
            <w:r w:rsidRPr="00D67C93">
              <w:rPr>
                <w:rFonts w:ascii="Arial" w:eastAsia="SimSun" w:hAnsi="Arial" w:cs="Arial"/>
                <w:lang w:eastAsia="zh-CN"/>
              </w:rPr>
              <w:t xml:space="preserve">  </w:t>
            </w:r>
            <w:r w:rsidRPr="00D67C93">
              <w:rPr>
                <w:rFonts w:ascii="Arial" w:eastAsia="SimSun" w:hAnsi="Arial" w:cs="Arial"/>
                <w:lang w:eastAsia="zh-CN"/>
              </w:rPr>
              <w:fldChar w:fldCharType="begin">
                <w:ffData>
                  <w:name w:val="Check15"/>
                  <w:enabled/>
                  <w:calcOnExit w:val="0"/>
                  <w:checkBox>
                    <w:sizeAuto/>
                    <w:default w:val="0"/>
                  </w:checkBox>
                </w:ffData>
              </w:fldChar>
            </w:r>
            <w:bookmarkStart w:id="1" w:name="Check15"/>
            <w:r w:rsidRPr="00D67C93">
              <w:rPr>
                <w:rFonts w:ascii="Arial" w:eastAsia="SimSun" w:hAnsi="Arial" w:cs="Arial"/>
                <w:lang w:eastAsia="zh-CN"/>
              </w:rPr>
              <w:instrText xml:space="preserve"> FORMCHECKBOX </w:instrText>
            </w:r>
            <w:r w:rsidRPr="00D67C93">
              <w:rPr>
                <w:rFonts w:ascii="Arial" w:eastAsia="SimSun" w:hAnsi="Arial" w:cs="Arial"/>
                <w:lang w:eastAsia="zh-CN"/>
              </w:rPr>
            </w:r>
            <w:r w:rsidRPr="00D67C93">
              <w:rPr>
                <w:rFonts w:ascii="Arial" w:eastAsia="SimSun" w:hAnsi="Arial" w:cs="Arial"/>
                <w:lang w:eastAsia="zh-CN"/>
              </w:rPr>
              <w:fldChar w:fldCharType="end"/>
            </w:r>
            <w:bookmarkEnd w:id="1"/>
            <w:r w:rsidRPr="00D67C93">
              <w:rPr>
                <w:rFonts w:ascii="Arial" w:eastAsia="SimSun" w:hAnsi="Arial" w:cs="Arial"/>
                <w:lang w:eastAsia="zh-CN"/>
              </w:rPr>
              <w:t xml:space="preserve">      4</w:t>
            </w:r>
            <w:r w:rsidRPr="00D67C93">
              <w:rPr>
                <w:rFonts w:ascii="Arial" w:eastAsia="SimSun" w:hAnsi="Arial" w:cs="Arial"/>
                <w:vertAlign w:val="superscript"/>
                <w:lang w:eastAsia="zh-CN"/>
              </w:rPr>
              <w:t>th</w:t>
            </w:r>
            <w:r w:rsidRPr="00D67C93">
              <w:rPr>
                <w:rFonts w:ascii="Arial" w:eastAsia="SimSun" w:hAnsi="Arial" w:cs="Arial"/>
                <w:lang w:eastAsia="zh-CN"/>
              </w:rPr>
              <w:t xml:space="preserve"> </w:t>
            </w:r>
            <w:r w:rsidRPr="00D67C93">
              <w:rPr>
                <w:rFonts w:ascii="Arial" w:eastAsia="SimSun" w:hAnsi="Arial" w:cs="Arial"/>
                <w:lang w:eastAsia="zh-CN"/>
              </w:rPr>
              <w:fldChar w:fldCharType="begin">
                <w:ffData>
                  <w:name w:val="Check16"/>
                  <w:enabled/>
                  <w:calcOnExit w:val="0"/>
                  <w:checkBox>
                    <w:sizeAuto/>
                    <w:default w:val="0"/>
                  </w:checkBox>
                </w:ffData>
              </w:fldChar>
            </w:r>
            <w:bookmarkStart w:id="2" w:name="Check16"/>
            <w:r w:rsidRPr="00D67C93">
              <w:rPr>
                <w:rFonts w:ascii="Arial" w:eastAsia="SimSun" w:hAnsi="Arial" w:cs="Arial"/>
                <w:lang w:eastAsia="zh-CN"/>
              </w:rPr>
              <w:instrText xml:space="preserve"> FORMCHECKBOX </w:instrText>
            </w:r>
            <w:r w:rsidRPr="00D67C93">
              <w:rPr>
                <w:rFonts w:ascii="Arial" w:eastAsia="SimSun" w:hAnsi="Arial" w:cs="Arial"/>
                <w:lang w:eastAsia="zh-CN"/>
              </w:rPr>
            </w:r>
            <w:r w:rsidRPr="00D67C93">
              <w:rPr>
                <w:rFonts w:ascii="Arial" w:eastAsia="SimSun" w:hAnsi="Arial" w:cs="Arial"/>
                <w:lang w:eastAsia="zh-CN"/>
              </w:rPr>
              <w:fldChar w:fldCharType="end"/>
            </w:r>
            <w:bookmarkEnd w:id="2"/>
            <w:r w:rsidRPr="00D67C93">
              <w:rPr>
                <w:rFonts w:ascii="Arial" w:eastAsia="SimSun" w:hAnsi="Arial" w:cs="Arial"/>
                <w:lang w:eastAsia="zh-CN"/>
              </w:rPr>
              <w:t xml:space="preserve">      5</w:t>
            </w:r>
            <w:r w:rsidRPr="00D67C93">
              <w:rPr>
                <w:rFonts w:ascii="Arial" w:eastAsia="SimSun" w:hAnsi="Arial" w:cs="Arial"/>
                <w:vertAlign w:val="superscript"/>
                <w:lang w:eastAsia="zh-CN"/>
              </w:rPr>
              <w:t>th</w:t>
            </w:r>
            <w:r w:rsidRPr="00D67C93">
              <w:rPr>
                <w:rFonts w:ascii="Arial" w:eastAsia="SimSun" w:hAnsi="Arial" w:cs="Arial"/>
                <w:lang w:eastAsia="zh-CN"/>
              </w:rPr>
              <w:t xml:space="preserve"> </w:t>
            </w:r>
            <w:r w:rsidRPr="00D67C93">
              <w:rPr>
                <w:rFonts w:ascii="Arial" w:eastAsia="SimSun" w:hAnsi="Arial" w:cs="Arial"/>
                <w:lang w:eastAsia="zh-CN"/>
              </w:rPr>
              <w:fldChar w:fldCharType="begin">
                <w:ffData>
                  <w:name w:val="Check17"/>
                  <w:enabled/>
                  <w:calcOnExit w:val="0"/>
                  <w:checkBox>
                    <w:sizeAuto/>
                    <w:default w:val="0"/>
                  </w:checkBox>
                </w:ffData>
              </w:fldChar>
            </w:r>
            <w:bookmarkStart w:id="3" w:name="Check17"/>
            <w:r w:rsidRPr="00D67C93">
              <w:rPr>
                <w:rFonts w:ascii="Arial" w:eastAsia="SimSun" w:hAnsi="Arial" w:cs="Arial"/>
                <w:lang w:eastAsia="zh-CN"/>
              </w:rPr>
              <w:instrText xml:space="preserve"> FORMCHECKBOX </w:instrText>
            </w:r>
            <w:r w:rsidRPr="00D67C93">
              <w:rPr>
                <w:rFonts w:ascii="Arial" w:eastAsia="SimSun" w:hAnsi="Arial" w:cs="Arial"/>
                <w:lang w:eastAsia="zh-CN"/>
              </w:rPr>
            </w:r>
            <w:r w:rsidRPr="00D67C93">
              <w:rPr>
                <w:rFonts w:ascii="Arial" w:eastAsia="SimSun" w:hAnsi="Arial" w:cs="Arial"/>
                <w:lang w:eastAsia="zh-CN"/>
              </w:rPr>
              <w:fldChar w:fldCharType="end"/>
            </w:r>
            <w:bookmarkEnd w:id="3"/>
            <w:r w:rsidRPr="00D67C93">
              <w:rPr>
                <w:rFonts w:ascii="Arial" w:eastAsia="SimSun" w:hAnsi="Arial" w:cs="Arial"/>
                <w:lang w:eastAsia="zh-CN"/>
              </w:rPr>
              <w:t xml:space="preserve">      6</w:t>
            </w:r>
            <w:r w:rsidRPr="00D67C93">
              <w:rPr>
                <w:rFonts w:ascii="Arial" w:eastAsia="SimSun" w:hAnsi="Arial" w:cs="Arial"/>
                <w:vertAlign w:val="superscript"/>
                <w:lang w:eastAsia="zh-CN"/>
              </w:rPr>
              <w:t>th</w:t>
            </w:r>
            <w:r w:rsidRPr="00D67C93">
              <w:rPr>
                <w:rFonts w:ascii="Arial" w:eastAsia="SimSun" w:hAnsi="Arial" w:cs="Arial"/>
                <w:lang w:eastAsia="zh-CN"/>
              </w:rPr>
              <w:t xml:space="preserve"> </w:t>
            </w:r>
            <w:r w:rsidRPr="00D67C93">
              <w:rPr>
                <w:rFonts w:ascii="Arial" w:eastAsia="SimSun" w:hAnsi="Arial" w:cs="Arial"/>
                <w:lang w:eastAsia="zh-CN"/>
              </w:rPr>
              <w:fldChar w:fldCharType="begin">
                <w:ffData>
                  <w:name w:val="Check18"/>
                  <w:enabled/>
                  <w:calcOnExit w:val="0"/>
                  <w:checkBox>
                    <w:sizeAuto/>
                    <w:default w:val="0"/>
                  </w:checkBox>
                </w:ffData>
              </w:fldChar>
            </w:r>
            <w:bookmarkStart w:id="4" w:name="Check18"/>
            <w:r w:rsidRPr="00D67C93">
              <w:rPr>
                <w:rFonts w:ascii="Arial" w:eastAsia="SimSun" w:hAnsi="Arial" w:cs="Arial"/>
                <w:lang w:eastAsia="zh-CN"/>
              </w:rPr>
              <w:instrText xml:space="preserve"> FORMCHECKBOX </w:instrText>
            </w:r>
            <w:r w:rsidRPr="00D67C93">
              <w:rPr>
                <w:rFonts w:ascii="Arial" w:eastAsia="SimSun" w:hAnsi="Arial" w:cs="Arial"/>
                <w:lang w:eastAsia="zh-CN"/>
              </w:rPr>
            </w:r>
            <w:r w:rsidRPr="00D67C93">
              <w:rPr>
                <w:rFonts w:ascii="Arial" w:eastAsia="SimSun" w:hAnsi="Arial" w:cs="Arial"/>
                <w:lang w:eastAsia="zh-CN"/>
              </w:rPr>
              <w:fldChar w:fldCharType="end"/>
            </w:r>
            <w:bookmarkEnd w:id="4"/>
          </w:p>
        </w:tc>
      </w:tr>
      <w:tr w:rsidR="00D67C93" w:rsidRPr="00D67C93" w:rsidTr="003A6065">
        <w:trPr>
          <w:trHeight w:val="978"/>
        </w:trPr>
        <w:tc>
          <w:tcPr>
            <w:tcW w:w="8856" w:type="dxa"/>
            <w:gridSpan w:val="5"/>
            <w:shd w:val="clear" w:color="auto" w:fill="D9D9D9"/>
          </w:tcPr>
          <w:p w:rsidR="00D67C93" w:rsidRPr="00D67C93" w:rsidRDefault="00D67C93" w:rsidP="00D67C93">
            <w:pPr>
              <w:spacing w:after="0" w:line="240" w:lineRule="auto"/>
              <w:ind w:right="34"/>
              <w:rPr>
                <w:rFonts w:ascii="Arial" w:eastAsia="SimSun" w:hAnsi="Arial" w:cs="Arial"/>
                <w:color w:val="000000"/>
                <w:lang w:eastAsia="zh-CN"/>
              </w:rPr>
            </w:pPr>
            <w:r w:rsidRPr="00D67C93">
              <w:rPr>
                <w:rFonts w:ascii="Arial" w:eastAsia="SimSun" w:hAnsi="Arial" w:cs="Arial"/>
                <w:color w:val="000000"/>
                <w:lang w:eastAsia="zh-CN"/>
              </w:rPr>
              <w:t>I confirm that this is my original work and that I have adhered to the University policy on plagiarism.</w:t>
            </w:r>
          </w:p>
          <w:p w:rsidR="00D67C93" w:rsidRPr="00D67C93" w:rsidRDefault="00D67C93" w:rsidP="00D67C93">
            <w:pPr>
              <w:spacing w:after="0" w:line="240" w:lineRule="auto"/>
              <w:ind w:right="34"/>
              <w:rPr>
                <w:rFonts w:ascii="Arial" w:eastAsia="SimSun" w:hAnsi="Arial" w:cs="Arial"/>
                <w:color w:val="000000"/>
                <w:lang w:eastAsia="zh-CN"/>
              </w:rPr>
            </w:pPr>
            <w:r w:rsidRPr="00D67C93">
              <w:rPr>
                <w:rFonts w:ascii="Arial" w:eastAsia="SimSun" w:hAnsi="Arial" w:cs="Arial"/>
                <w:color w:val="000000"/>
                <w:lang w:eastAsia="zh-CN"/>
              </w:rPr>
              <w:t>Signed ……………………………………………………………</w:t>
            </w:r>
          </w:p>
          <w:p w:rsidR="00D67C93" w:rsidRPr="00D67C93" w:rsidRDefault="00D67C93" w:rsidP="00D67C93">
            <w:pPr>
              <w:spacing w:after="0" w:line="240" w:lineRule="auto"/>
              <w:ind w:right="34"/>
              <w:rPr>
                <w:rFonts w:ascii="Calibri" w:eastAsia="SimSun" w:hAnsi="Calibri" w:cs="Calibri"/>
                <w:b/>
                <w:color w:val="000000"/>
                <w:sz w:val="44"/>
                <w:szCs w:val="44"/>
                <w:lang w:eastAsia="zh-CN"/>
              </w:rPr>
            </w:pPr>
            <w:r w:rsidRPr="00D67C93">
              <w:rPr>
                <w:rFonts w:ascii="Calibri" w:eastAsia="SimSun" w:hAnsi="Calibri" w:cs="Tahoma"/>
                <w:b/>
                <w:color w:val="000000"/>
                <w:sz w:val="24"/>
                <w:szCs w:val="24"/>
                <w:lang w:eastAsia="zh-CN"/>
              </w:rPr>
              <w:t xml:space="preserve">Email submission: if you are submitting this form via email, please tick this box </w:t>
            </w:r>
            <w:r>
              <w:rPr>
                <w:rFonts w:ascii="Calibri" w:eastAsia="SimSun" w:hAnsi="Calibri" w:cs="Calibri"/>
                <w:b/>
                <w:color w:val="000000"/>
                <w:sz w:val="44"/>
                <w:szCs w:val="44"/>
                <w:lang w:eastAsia="zh-CN"/>
              </w:rPr>
              <w:t>√</w:t>
            </w:r>
            <w:bookmarkStart w:id="5" w:name="_GoBack"/>
            <w:bookmarkEnd w:id="5"/>
          </w:p>
          <w:p w:rsidR="00D67C93" w:rsidRPr="00D67C93" w:rsidRDefault="00D67C93" w:rsidP="00D67C93">
            <w:pPr>
              <w:spacing w:after="0" w:line="240" w:lineRule="auto"/>
              <w:ind w:right="34"/>
              <w:rPr>
                <w:rFonts w:ascii="Arial" w:eastAsia="SimSun" w:hAnsi="Arial" w:cs="Arial"/>
                <w:color w:val="000000"/>
                <w:lang w:eastAsia="zh-CN"/>
              </w:rPr>
            </w:pPr>
            <w:r w:rsidRPr="00D67C93">
              <w:rPr>
                <w:rFonts w:ascii="Calibri" w:eastAsia="SimSun" w:hAnsi="Calibri" w:cs="Tahoma"/>
                <w:b/>
                <w:color w:val="000000"/>
                <w:sz w:val="24"/>
                <w:szCs w:val="24"/>
                <w:lang w:eastAsia="zh-CN"/>
              </w:rPr>
              <w:t>(</w:t>
            </w:r>
            <w:proofErr w:type="gramStart"/>
            <w:r w:rsidRPr="00D67C93">
              <w:rPr>
                <w:rFonts w:ascii="Calibri" w:eastAsia="SimSun" w:hAnsi="Calibri" w:cs="Tahoma"/>
                <w:b/>
                <w:color w:val="000000"/>
                <w:sz w:val="24"/>
                <w:szCs w:val="24"/>
                <w:lang w:eastAsia="zh-CN"/>
              </w:rPr>
              <w:t>as</w:t>
            </w:r>
            <w:proofErr w:type="gramEnd"/>
            <w:r w:rsidRPr="00D67C93">
              <w:rPr>
                <w:rFonts w:ascii="Calibri" w:eastAsia="SimSun" w:hAnsi="Calibri" w:cs="Tahoma"/>
                <w:b/>
                <w:color w:val="000000"/>
                <w:sz w:val="24"/>
                <w:szCs w:val="24"/>
                <w:lang w:eastAsia="zh-CN"/>
              </w:rPr>
              <w:t xml:space="preserve"> a substitute for your signature) to confirm that you agree to the above declaration.</w:t>
            </w:r>
          </w:p>
        </w:tc>
      </w:tr>
      <w:tr w:rsidR="00D67C93" w:rsidRPr="00D67C93" w:rsidTr="003A6065">
        <w:trPr>
          <w:trHeight w:val="3972"/>
        </w:trPr>
        <w:tc>
          <w:tcPr>
            <w:tcW w:w="8856" w:type="dxa"/>
            <w:gridSpan w:val="5"/>
          </w:tcPr>
          <w:p w:rsidR="00D67C93" w:rsidRPr="00D67C93" w:rsidRDefault="00D67C93" w:rsidP="00D67C93">
            <w:pPr>
              <w:spacing w:after="0" w:line="240" w:lineRule="auto"/>
              <w:rPr>
                <w:rFonts w:ascii="Arial" w:eastAsia="SimSun" w:hAnsi="Arial" w:cs="Times New Roman"/>
                <w:b/>
                <w:sz w:val="24"/>
                <w:szCs w:val="24"/>
                <w:lang w:eastAsia="zh-CN"/>
              </w:rPr>
            </w:pPr>
          </w:p>
          <w:p w:rsidR="00D67C93" w:rsidRPr="00D67C93" w:rsidRDefault="00D67C93" w:rsidP="00D67C93">
            <w:pPr>
              <w:spacing w:after="0" w:line="240" w:lineRule="auto"/>
              <w:rPr>
                <w:rFonts w:ascii="Arial" w:eastAsia="SimSun" w:hAnsi="Arial" w:cs="Times New Roman"/>
                <w:sz w:val="24"/>
                <w:szCs w:val="24"/>
                <w:lang w:eastAsia="zh-CN"/>
              </w:rPr>
            </w:pPr>
            <w:r w:rsidRPr="00D67C93">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D67C93" w:rsidRPr="00D67C93" w:rsidTr="003A6065">
              <w:tc>
                <w:tcPr>
                  <w:tcW w:w="6970" w:type="dxa"/>
                </w:tcPr>
                <w:p w:rsidR="00D67C93" w:rsidRPr="00D67C93" w:rsidRDefault="00D67C93" w:rsidP="00D67C93">
                  <w:pPr>
                    <w:spacing w:after="0" w:line="240" w:lineRule="auto"/>
                    <w:rPr>
                      <w:rFonts w:ascii="Arial" w:eastAsia="SimSun" w:hAnsi="Arial" w:cs="Times New Roman"/>
                      <w:sz w:val="20"/>
                      <w:szCs w:val="20"/>
                      <w:lang w:eastAsia="zh-CN"/>
                    </w:rPr>
                  </w:pPr>
                </w:p>
                <w:p w:rsidR="00D67C93" w:rsidRPr="00D67C93" w:rsidRDefault="00D67C93" w:rsidP="00D67C93">
                  <w:pPr>
                    <w:spacing w:after="0" w:line="240" w:lineRule="auto"/>
                    <w:rPr>
                      <w:rFonts w:ascii="Arial" w:eastAsia="SimSun" w:hAnsi="Arial" w:cs="Times New Roman"/>
                      <w:sz w:val="20"/>
                      <w:szCs w:val="20"/>
                      <w:lang w:eastAsia="zh-CN"/>
                    </w:rPr>
                  </w:pPr>
                  <w:r w:rsidRPr="00D67C93">
                    <w:rPr>
                      <w:rFonts w:ascii="Arial" w:eastAsia="SimSun" w:hAnsi="Arial" w:cs="Times New Roman"/>
                      <w:sz w:val="20"/>
                      <w:szCs w:val="20"/>
                      <w:lang w:eastAsia="zh-CN"/>
                    </w:rPr>
                    <w:t>1</w:t>
                  </w:r>
                  <w:r w:rsidRPr="00D67C93">
                    <w:rPr>
                      <w:rFonts w:ascii="Arial" w:eastAsia="SimSun" w:hAnsi="Arial" w:cs="Times New Roman"/>
                      <w:sz w:val="20"/>
                      <w:szCs w:val="20"/>
                      <w:vertAlign w:val="superscript"/>
                      <w:lang w:eastAsia="zh-CN"/>
                    </w:rPr>
                    <w:t>st</w:t>
                  </w:r>
                  <w:r w:rsidRPr="00D67C93">
                    <w:rPr>
                      <w:rFonts w:ascii="Arial" w:eastAsia="SimSun" w:hAnsi="Arial" w:cs="Times New Roman"/>
                      <w:sz w:val="20"/>
                      <w:szCs w:val="20"/>
                      <w:lang w:eastAsia="zh-CN"/>
                    </w:rPr>
                    <w:t xml:space="preserve"> Marker’s Provisional mark</w:t>
                  </w:r>
                </w:p>
              </w:tc>
              <w:tc>
                <w:tcPr>
                  <w:tcW w:w="1660" w:type="dxa"/>
                </w:tcPr>
                <w:p w:rsidR="00D67C93" w:rsidRPr="00D67C93" w:rsidRDefault="00D67C93" w:rsidP="00D67C93">
                  <w:pPr>
                    <w:spacing w:after="0" w:line="240" w:lineRule="auto"/>
                    <w:rPr>
                      <w:rFonts w:ascii="Arial" w:eastAsia="SimSun" w:hAnsi="Arial" w:cs="Times New Roman"/>
                      <w:sz w:val="20"/>
                      <w:szCs w:val="20"/>
                      <w:lang w:eastAsia="zh-CN"/>
                    </w:rPr>
                  </w:pPr>
                </w:p>
              </w:tc>
            </w:tr>
            <w:tr w:rsidR="00D67C93" w:rsidRPr="00D67C93" w:rsidTr="003A6065">
              <w:tc>
                <w:tcPr>
                  <w:tcW w:w="6970" w:type="dxa"/>
                </w:tcPr>
                <w:p w:rsidR="00D67C93" w:rsidRPr="00D67C93" w:rsidRDefault="00D67C93" w:rsidP="00D67C93">
                  <w:pPr>
                    <w:spacing w:after="0" w:line="240" w:lineRule="auto"/>
                    <w:rPr>
                      <w:rFonts w:ascii="Arial" w:eastAsia="SimSun" w:hAnsi="Arial" w:cs="Times New Roman"/>
                      <w:sz w:val="20"/>
                      <w:szCs w:val="20"/>
                      <w:lang w:eastAsia="zh-CN"/>
                    </w:rPr>
                  </w:pPr>
                </w:p>
                <w:p w:rsidR="00D67C93" w:rsidRPr="00D67C93" w:rsidRDefault="00D67C93" w:rsidP="00D67C93">
                  <w:pPr>
                    <w:spacing w:after="0" w:line="240" w:lineRule="auto"/>
                    <w:rPr>
                      <w:rFonts w:ascii="Arial" w:eastAsia="SimSun" w:hAnsi="Arial" w:cs="Times New Roman"/>
                      <w:sz w:val="20"/>
                      <w:szCs w:val="20"/>
                      <w:lang w:eastAsia="zh-CN"/>
                    </w:rPr>
                  </w:pPr>
                  <w:r w:rsidRPr="00D67C93">
                    <w:rPr>
                      <w:rFonts w:ascii="Arial" w:eastAsia="SimSun" w:hAnsi="Arial" w:cs="Times New Roman"/>
                      <w:sz w:val="20"/>
                      <w:szCs w:val="20"/>
                      <w:lang w:eastAsia="zh-CN"/>
                    </w:rPr>
                    <w:t>2</w:t>
                  </w:r>
                  <w:r w:rsidRPr="00D67C93">
                    <w:rPr>
                      <w:rFonts w:ascii="Arial" w:eastAsia="SimSun" w:hAnsi="Arial" w:cs="Times New Roman"/>
                      <w:sz w:val="20"/>
                      <w:szCs w:val="20"/>
                      <w:vertAlign w:val="superscript"/>
                      <w:lang w:eastAsia="zh-CN"/>
                    </w:rPr>
                    <w:t>nd</w:t>
                  </w:r>
                  <w:r w:rsidRPr="00D67C93">
                    <w:rPr>
                      <w:rFonts w:ascii="Arial" w:eastAsia="SimSun" w:hAnsi="Arial" w:cs="Times New Roman"/>
                      <w:sz w:val="20"/>
                      <w:szCs w:val="20"/>
                      <w:lang w:eastAsia="zh-CN"/>
                    </w:rPr>
                    <w:t xml:space="preserve"> Marker’s/Moderator’s provisional mark</w:t>
                  </w:r>
                </w:p>
              </w:tc>
              <w:tc>
                <w:tcPr>
                  <w:tcW w:w="1660" w:type="dxa"/>
                </w:tcPr>
                <w:p w:rsidR="00D67C93" w:rsidRPr="00D67C93" w:rsidRDefault="00D67C93" w:rsidP="00D67C93">
                  <w:pPr>
                    <w:spacing w:after="0" w:line="240" w:lineRule="auto"/>
                    <w:rPr>
                      <w:rFonts w:ascii="Arial" w:eastAsia="SimSun" w:hAnsi="Arial" w:cs="Times New Roman"/>
                      <w:sz w:val="20"/>
                      <w:szCs w:val="20"/>
                      <w:lang w:eastAsia="zh-CN"/>
                    </w:rPr>
                  </w:pPr>
                </w:p>
              </w:tc>
            </w:tr>
            <w:tr w:rsidR="00D67C93" w:rsidRPr="00D67C93" w:rsidTr="003A6065">
              <w:tc>
                <w:tcPr>
                  <w:tcW w:w="6970" w:type="dxa"/>
                </w:tcPr>
                <w:p w:rsidR="00D67C93" w:rsidRPr="00D67C93" w:rsidRDefault="00D67C93" w:rsidP="00D67C93">
                  <w:pPr>
                    <w:spacing w:after="0" w:line="240" w:lineRule="auto"/>
                    <w:rPr>
                      <w:rFonts w:ascii="Arial" w:eastAsia="SimSun" w:hAnsi="Arial" w:cs="Times New Roman"/>
                      <w:sz w:val="20"/>
                      <w:szCs w:val="20"/>
                      <w:lang w:eastAsia="zh-CN"/>
                    </w:rPr>
                  </w:pPr>
                </w:p>
                <w:p w:rsidR="00D67C93" w:rsidRPr="00D67C93" w:rsidRDefault="00D67C93" w:rsidP="00D67C93">
                  <w:pPr>
                    <w:spacing w:after="0" w:line="240" w:lineRule="auto"/>
                    <w:rPr>
                      <w:rFonts w:ascii="Arial" w:eastAsia="SimSun" w:hAnsi="Arial" w:cs="Times New Roman"/>
                      <w:sz w:val="20"/>
                      <w:szCs w:val="20"/>
                      <w:lang w:eastAsia="zh-CN"/>
                    </w:rPr>
                  </w:pPr>
                  <w:r w:rsidRPr="00D67C93">
                    <w:rPr>
                      <w:rFonts w:ascii="Arial" w:eastAsia="SimSun" w:hAnsi="Arial" w:cs="Times New Roman"/>
                      <w:sz w:val="20"/>
                      <w:szCs w:val="20"/>
                      <w:lang w:eastAsia="zh-CN"/>
                    </w:rPr>
                    <w:t>External Examiner’s mark (if relevant)</w:t>
                  </w:r>
                </w:p>
              </w:tc>
              <w:tc>
                <w:tcPr>
                  <w:tcW w:w="1660" w:type="dxa"/>
                </w:tcPr>
                <w:p w:rsidR="00D67C93" w:rsidRPr="00D67C93" w:rsidRDefault="00D67C93" w:rsidP="00D67C93">
                  <w:pPr>
                    <w:spacing w:after="0" w:line="240" w:lineRule="auto"/>
                    <w:rPr>
                      <w:rFonts w:ascii="Arial" w:eastAsia="SimSun" w:hAnsi="Arial" w:cs="Times New Roman"/>
                      <w:sz w:val="20"/>
                      <w:szCs w:val="20"/>
                      <w:lang w:eastAsia="zh-CN"/>
                    </w:rPr>
                  </w:pPr>
                </w:p>
              </w:tc>
            </w:tr>
            <w:tr w:rsidR="00D67C93" w:rsidRPr="00D67C93" w:rsidTr="003A6065">
              <w:tc>
                <w:tcPr>
                  <w:tcW w:w="6970" w:type="dxa"/>
                </w:tcPr>
                <w:p w:rsidR="00D67C93" w:rsidRPr="00D67C93" w:rsidRDefault="00D67C93" w:rsidP="00D67C93">
                  <w:pPr>
                    <w:spacing w:after="0" w:line="240" w:lineRule="auto"/>
                    <w:rPr>
                      <w:rFonts w:ascii="Arial" w:eastAsia="SimSun" w:hAnsi="Arial" w:cs="Times New Roman"/>
                      <w:sz w:val="20"/>
                      <w:szCs w:val="20"/>
                      <w:lang w:eastAsia="zh-CN"/>
                    </w:rPr>
                  </w:pPr>
                </w:p>
                <w:p w:rsidR="00D67C93" w:rsidRPr="00D67C93" w:rsidRDefault="00D67C93" w:rsidP="00D67C93">
                  <w:pPr>
                    <w:spacing w:after="0" w:line="240" w:lineRule="auto"/>
                    <w:rPr>
                      <w:rFonts w:ascii="Arial" w:eastAsia="SimSun" w:hAnsi="Arial" w:cs="Times New Roman"/>
                      <w:b/>
                      <w:sz w:val="20"/>
                      <w:szCs w:val="20"/>
                      <w:lang w:eastAsia="zh-CN"/>
                    </w:rPr>
                  </w:pPr>
                  <w:r w:rsidRPr="00D67C93">
                    <w:rPr>
                      <w:rFonts w:ascii="Arial" w:eastAsia="SimSun" w:hAnsi="Arial" w:cs="Times New Roman"/>
                      <w:b/>
                      <w:sz w:val="20"/>
                      <w:szCs w:val="20"/>
                      <w:lang w:eastAsia="zh-CN"/>
                    </w:rPr>
                    <w:t>Final Mark</w:t>
                  </w:r>
                </w:p>
                <w:p w:rsidR="00D67C93" w:rsidRPr="00D67C93" w:rsidRDefault="00D67C93" w:rsidP="00D67C93">
                  <w:pPr>
                    <w:spacing w:after="0" w:line="240" w:lineRule="auto"/>
                    <w:rPr>
                      <w:rFonts w:ascii="Arial" w:eastAsia="SimSun" w:hAnsi="Arial" w:cs="Times New Roman"/>
                      <w:sz w:val="20"/>
                      <w:szCs w:val="20"/>
                      <w:lang w:eastAsia="zh-CN"/>
                    </w:rPr>
                  </w:pPr>
                </w:p>
              </w:tc>
              <w:tc>
                <w:tcPr>
                  <w:tcW w:w="1660" w:type="dxa"/>
                </w:tcPr>
                <w:p w:rsidR="00D67C93" w:rsidRPr="00D67C93" w:rsidRDefault="00D67C93" w:rsidP="00D67C93">
                  <w:pPr>
                    <w:spacing w:after="0" w:line="240" w:lineRule="auto"/>
                    <w:rPr>
                      <w:rFonts w:ascii="Arial" w:eastAsia="SimSun" w:hAnsi="Arial" w:cs="Times New Roman"/>
                      <w:sz w:val="20"/>
                      <w:szCs w:val="20"/>
                      <w:lang w:eastAsia="zh-CN"/>
                    </w:rPr>
                  </w:pPr>
                </w:p>
              </w:tc>
            </w:tr>
          </w:tbl>
          <w:p w:rsidR="00D67C93" w:rsidRPr="00D67C93" w:rsidRDefault="00D67C93" w:rsidP="00D67C93">
            <w:pPr>
              <w:spacing w:after="0" w:line="240" w:lineRule="auto"/>
              <w:ind w:left="142" w:right="34"/>
              <w:rPr>
                <w:rFonts w:ascii="Arial" w:eastAsia="SimSun" w:hAnsi="Arial" w:cs="Arial"/>
                <w:b/>
                <w:color w:val="000000"/>
                <w:lang w:eastAsia="zh-CN"/>
              </w:rPr>
            </w:pPr>
          </w:p>
          <w:p w:rsidR="00D67C93" w:rsidRPr="00D67C93" w:rsidRDefault="00D67C93" w:rsidP="00D67C93">
            <w:pPr>
              <w:spacing w:after="0" w:line="240" w:lineRule="auto"/>
              <w:ind w:left="142" w:right="34"/>
              <w:rPr>
                <w:rFonts w:ascii="Arial" w:eastAsia="SimSun" w:hAnsi="Arial" w:cs="Arial"/>
                <w:color w:val="000000"/>
                <w:lang w:eastAsia="zh-CN"/>
              </w:rPr>
            </w:pPr>
            <w:r w:rsidRPr="00D67C93">
              <w:rPr>
                <w:rFonts w:ascii="Arial" w:eastAsia="SimSun" w:hAnsi="Arial" w:cs="Arial"/>
                <w:b/>
                <w:color w:val="000000"/>
                <w:lang w:eastAsia="zh-CN"/>
              </w:rPr>
              <w:t>NB.</w:t>
            </w:r>
            <w:r w:rsidRPr="00D67C93">
              <w:rPr>
                <w:rFonts w:ascii="Arial" w:eastAsia="SimSun" w:hAnsi="Arial" w:cs="Arial"/>
                <w:color w:val="000000"/>
                <w:lang w:eastAsia="zh-CN"/>
              </w:rPr>
              <w:t xml:space="preserve">  All marks are provisional until confirmed by the Final Examination Board.</w:t>
            </w:r>
          </w:p>
          <w:p w:rsidR="00D67C93" w:rsidRPr="00D67C93" w:rsidRDefault="00D67C93" w:rsidP="00D67C93">
            <w:pPr>
              <w:spacing w:after="0" w:line="240" w:lineRule="auto"/>
              <w:rPr>
                <w:rFonts w:ascii="Arial" w:eastAsia="SimSun" w:hAnsi="Arial" w:cs="Arial"/>
                <w:b/>
                <w:color w:val="000000"/>
                <w:lang w:eastAsia="zh-CN"/>
              </w:rPr>
            </w:pPr>
          </w:p>
          <w:p w:rsidR="00D67C93" w:rsidRPr="00D67C93" w:rsidRDefault="00D67C93" w:rsidP="00D67C93">
            <w:pPr>
              <w:spacing w:after="0" w:line="240" w:lineRule="auto"/>
              <w:rPr>
                <w:rFonts w:ascii="Arial" w:eastAsia="SimSun" w:hAnsi="Arial" w:cs="Arial"/>
                <w:b/>
                <w:color w:val="000000"/>
                <w:lang w:eastAsia="zh-CN"/>
              </w:rPr>
            </w:pPr>
          </w:p>
          <w:p w:rsidR="00D67C93" w:rsidRPr="00D67C93" w:rsidRDefault="00D67C93" w:rsidP="00D67C93">
            <w:pPr>
              <w:spacing w:after="0" w:line="240" w:lineRule="auto"/>
              <w:rPr>
                <w:rFonts w:ascii="Arial" w:eastAsia="SimSun" w:hAnsi="Arial" w:cs="Arial"/>
                <w:b/>
                <w:color w:val="000000"/>
                <w:lang w:eastAsia="zh-CN"/>
              </w:rPr>
            </w:pPr>
          </w:p>
          <w:p w:rsidR="00D67C93" w:rsidRPr="00D67C93" w:rsidRDefault="00D67C93" w:rsidP="00D67C93">
            <w:pPr>
              <w:spacing w:after="0" w:line="240" w:lineRule="auto"/>
              <w:rPr>
                <w:rFonts w:ascii="Arial" w:eastAsia="SimSun" w:hAnsi="Arial" w:cs="Arial"/>
                <w:b/>
                <w:color w:val="000000"/>
                <w:lang w:eastAsia="zh-CN"/>
              </w:rPr>
            </w:pPr>
          </w:p>
          <w:p w:rsidR="00D67C93" w:rsidRPr="00D67C93" w:rsidRDefault="00D67C93" w:rsidP="00D67C93">
            <w:pPr>
              <w:spacing w:after="0" w:line="240" w:lineRule="auto"/>
              <w:rPr>
                <w:rFonts w:ascii="Arial" w:eastAsia="SimSun" w:hAnsi="Arial" w:cs="Arial"/>
                <w:b/>
                <w:color w:val="000000"/>
                <w:lang w:eastAsia="zh-CN"/>
              </w:rPr>
            </w:pPr>
          </w:p>
          <w:p w:rsidR="00D67C93" w:rsidRPr="00D67C93" w:rsidRDefault="00D67C93" w:rsidP="00D67C93">
            <w:pPr>
              <w:spacing w:after="0" w:line="240" w:lineRule="auto"/>
              <w:rPr>
                <w:rFonts w:ascii="Arial" w:eastAsia="SimSun" w:hAnsi="Arial" w:cs="Arial"/>
                <w:b/>
                <w:color w:val="000000"/>
                <w:lang w:eastAsia="zh-CN"/>
              </w:rPr>
            </w:pPr>
            <w:r w:rsidRPr="00D67C93">
              <w:rPr>
                <w:rFonts w:ascii="Arial" w:eastAsia="SimSun" w:hAnsi="Arial" w:cs="Arial"/>
                <w:b/>
                <w:color w:val="000000"/>
                <w:lang w:eastAsia="zh-CN"/>
              </w:rPr>
              <w:t>For completion by Marker 1 :</w:t>
            </w:r>
          </w:p>
          <w:p w:rsidR="00D67C93" w:rsidRPr="00D67C93" w:rsidRDefault="00D67C93" w:rsidP="00D67C93">
            <w:pPr>
              <w:spacing w:before="100" w:beforeAutospacing="1" w:after="100" w:afterAutospacing="1" w:line="240" w:lineRule="auto"/>
              <w:rPr>
                <w:rFonts w:ascii="Arial" w:eastAsia="SimSun" w:hAnsi="Arial" w:cs="Arial"/>
                <w:color w:val="000000"/>
                <w:lang w:eastAsia="zh-CN"/>
              </w:rPr>
            </w:pPr>
            <w:r w:rsidRPr="00D67C93">
              <w:rPr>
                <w:rFonts w:ascii="Arial" w:eastAsia="SimSun" w:hAnsi="Arial" w:cs="Arial"/>
                <w:color w:val="000000"/>
                <w:lang w:eastAsia="zh-CN"/>
              </w:rPr>
              <w:t>Comments:</w:t>
            </w:r>
          </w:p>
          <w:p w:rsidR="00D67C93" w:rsidRPr="00D67C93" w:rsidRDefault="00D67C93" w:rsidP="00D67C93">
            <w:pPr>
              <w:spacing w:before="100" w:beforeAutospacing="1" w:after="100" w:afterAutospacing="1" w:line="240" w:lineRule="auto"/>
              <w:rPr>
                <w:rFonts w:ascii="Arial" w:eastAsia="SimSun" w:hAnsi="Arial" w:cs="Arial"/>
                <w:color w:val="000000"/>
                <w:lang w:eastAsia="zh-CN"/>
              </w:rPr>
            </w:pPr>
          </w:p>
        </w:tc>
      </w:tr>
      <w:tr w:rsidR="00D67C93" w:rsidRPr="00D67C93" w:rsidTr="003A6065">
        <w:trPr>
          <w:trHeight w:val="492"/>
        </w:trPr>
        <w:tc>
          <w:tcPr>
            <w:tcW w:w="6768" w:type="dxa"/>
            <w:gridSpan w:val="3"/>
          </w:tcPr>
          <w:p w:rsidR="00D67C93" w:rsidRPr="00D67C93" w:rsidRDefault="00D67C93" w:rsidP="00D67C93">
            <w:pPr>
              <w:spacing w:before="100" w:beforeAutospacing="1" w:after="100" w:afterAutospacing="1" w:line="240" w:lineRule="auto"/>
              <w:ind w:left="142" w:right="34"/>
              <w:rPr>
                <w:rFonts w:ascii="Arial" w:eastAsia="SimSun" w:hAnsi="Arial" w:cs="Arial"/>
                <w:color w:val="000000"/>
                <w:lang w:eastAsia="zh-CN"/>
              </w:rPr>
            </w:pPr>
            <w:r w:rsidRPr="00D67C93">
              <w:rPr>
                <w:rFonts w:ascii="Arial" w:eastAsia="SimSun" w:hAnsi="Arial" w:cs="Arial"/>
                <w:color w:val="000000"/>
                <w:lang w:eastAsia="zh-CN"/>
              </w:rPr>
              <w:lastRenderedPageBreak/>
              <w:t>Marker’s signature:</w:t>
            </w:r>
          </w:p>
        </w:tc>
        <w:tc>
          <w:tcPr>
            <w:tcW w:w="2088" w:type="dxa"/>
            <w:gridSpan w:val="2"/>
          </w:tcPr>
          <w:p w:rsidR="00D67C93" w:rsidRPr="00D67C93" w:rsidRDefault="00D67C93" w:rsidP="00D67C93">
            <w:pPr>
              <w:spacing w:before="100" w:beforeAutospacing="1" w:after="0" w:afterAutospacing="1" w:line="240" w:lineRule="auto"/>
              <w:ind w:left="142" w:right="34"/>
              <w:rPr>
                <w:rFonts w:ascii="Arial" w:eastAsia="SimSun" w:hAnsi="Arial" w:cs="Arial"/>
                <w:color w:val="000000"/>
                <w:lang w:eastAsia="zh-CN"/>
              </w:rPr>
            </w:pPr>
            <w:r w:rsidRPr="00D67C93">
              <w:rPr>
                <w:rFonts w:ascii="Arial" w:eastAsia="SimSun" w:hAnsi="Arial" w:cs="Arial"/>
                <w:color w:val="000000"/>
                <w:lang w:eastAsia="zh-CN"/>
              </w:rPr>
              <w:t>Date:</w:t>
            </w:r>
          </w:p>
        </w:tc>
      </w:tr>
      <w:tr w:rsidR="00D67C93" w:rsidRPr="00D67C93" w:rsidTr="003A6065">
        <w:tc>
          <w:tcPr>
            <w:tcW w:w="8856" w:type="dxa"/>
            <w:gridSpan w:val="5"/>
          </w:tcPr>
          <w:p w:rsidR="00D67C93" w:rsidRPr="00D67C93" w:rsidRDefault="00D67C93" w:rsidP="00D67C93">
            <w:pPr>
              <w:spacing w:after="0" w:line="240" w:lineRule="auto"/>
              <w:ind w:right="-334"/>
              <w:rPr>
                <w:rFonts w:ascii="Arial" w:eastAsia="SimSun" w:hAnsi="Arial" w:cs="Arial"/>
                <w:bCs/>
                <w:i/>
                <w:color w:val="000000"/>
                <w:lang w:eastAsia="zh-CN"/>
              </w:rPr>
            </w:pPr>
          </w:p>
          <w:p w:rsidR="00D67C93" w:rsidRPr="00D67C93" w:rsidRDefault="00D67C93" w:rsidP="00D67C93">
            <w:pPr>
              <w:spacing w:after="0" w:line="240" w:lineRule="auto"/>
              <w:ind w:right="-334"/>
              <w:rPr>
                <w:rFonts w:ascii="Arial" w:eastAsia="SimSun" w:hAnsi="Arial" w:cs="Arial"/>
                <w:b/>
                <w:bCs/>
                <w:color w:val="000000"/>
                <w:lang w:eastAsia="zh-CN"/>
              </w:rPr>
            </w:pPr>
            <w:r w:rsidRPr="00D67C93">
              <w:rPr>
                <w:rFonts w:ascii="Arial" w:eastAsia="SimSun" w:hAnsi="Arial" w:cs="Arial"/>
                <w:b/>
                <w:bCs/>
                <w:color w:val="000000"/>
                <w:lang w:eastAsia="zh-CN"/>
              </w:rPr>
              <w:t>For completion by Marker 2/Moderator:</w:t>
            </w:r>
          </w:p>
          <w:p w:rsidR="00D67C93" w:rsidRPr="00D67C93" w:rsidRDefault="00D67C93" w:rsidP="00D67C93">
            <w:pPr>
              <w:spacing w:after="0" w:line="240" w:lineRule="auto"/>
              <w:ind w:right="-334"/>
              <w:rPr>
                <w:rFonts w:ascii="Arial" w:eastAsia="SimSun" w:hAnsi="Arial" w:cs="Arial"/>
                <w:b/>
                <w:bCs/>
                <w:color w:val="000000"/>
                <w:lang w:eastAsia="zh-CN"/>
              </w:rPr>
            </w:pPr>
          </w:p>
          <w:p w:rsidR="00D67C93" w:rsidRPr="00D67C93" w:rsidRDefault="00D67C93" w:rsidP="00D67C93">
            <w:pPr>
              <w:spacing w:after="0" w:line="240" w:lineRule="auto"/>
              <w:ind w:right="-334"/>
              <w:rPr>
                <w:rFonts w:ascii="Arial" w:eastAsia="SimSun" w:hAnsi="Arial" w:cs="Arial"/>
                <w:bCs/>
                <w:color w:val="000000"/>
                <w:lang w:eastAsia="zh-CN"/>
              </w:rPr>
            </w:pPr>
            <w:r w:rsidRPr="00D67C93">
              <w:rPr>
                <w:rFonts w:ascii="Arial" w:eastAsia="SimSun" w:hAnsi="Arial" w:cs="Arial"/>
                <w:bCs/>
                <w:color w:val="000000"/>
                <w:lang w:eastAsia="zh-CN"/>
              </w:rPr>
              <w:t>Comments:</w:t>
            </w:r>
          </w:p>
          <w:p w:rsidR="00D67C93" w:rsidRPr="00D67C93" w:rsidRDefault="00D67C93" w:rsidP="00D67C93">
            <w:pPr>
              <w:spacing w:after="0" w:line="240" w:lineRule="auto"/>
              <w:ind w:right="-334"/>
              <w:rPr>
                <w:rFonts w:ascii="Arial" w:eastAsia="SimSun" w:hAnsi="Arial" w:cs="Arial"/>
                <w:bCs/>
                <w:color w:val="000000"/>
                <w:lang w:eastAsia="zh-CN"/>
              </w:rPr>
            </w:pPr>
          </w:p>
          <w:p w:rsidR="00D67C93" w:rsidRPr="00D67C93" w:rsidRDefault="00D67C93" w:rsidP="00D67C93">
            <w:pPr>
              <w:spacing w:after="0" w:line="240" w:lineRule="auto"/>
              <w:ind w:right="-334"/>
              <w:rPr>
                <w:rFonts w:ascii="Arial" w:eastAsia="SimSun" w:hAnsi="Arial" w:cs="Arial"/>
                <w:bCs/>
                <w:color w:val="000000"/>
                <w:lang w:eastAsia="zh-CN"/>
              </w:rPr>
            </w:pPr>
          </w:p>
          <w:p w:rsidR="00D67C93" w:rsidRPr="00D67C93" w:rsidRDefault="00D67C93" w:rsidP="00D67C93">
            <w:pPr>
              <w:spacing w:after="0" w:line="240" w:lineRule="auto"/>
              <w:ind w:right="-334"/>
              <w:rPr>
                <w:rFonts w:ascii="Arial" w:eastAsia="SimSun" w:hAnsi="Arial" w:cs="Arial"/>
                <w:bCs/>
                <w:color w:val="000000"/>
                <w:lang w:eastAsia="zh-CN"/>
              </w:rPr>
            </w:pPr>
          </w:p>
        </w:tc>
      </w:tr>
      <w:tr w:rsidR="00D67C93" w:rsidRPr="00D67C93" w:rsidTr="003A6065">
        <w:trPr>
          <w:trHeight w:val="720"/>
        </w:trPr>
        <w:tc>
          <w:tcPr>
            <w:tcW w:w="5211" w:type="dxa"/>
            <w:gridSpan w:val="2"/>
          </w:tcPr>
          <w:p w:rsidR="00D67C93" w:rsidRPr="00D67C93" w:rsidRDefault="00D67C93" w:rsidP="00D67C93">
            <w:pPr>
              <w:spacing w:after="0" w:line="240" w:lineRule="auto"/>
              <w:ind w:right="-334"/>
              <w:rPr>
                <w:rFonts w:ascii="Arial" w:eastAsia="SimSun" w:hAnsi="Arial" w:cs="Arial"/>
                <w:bCs/>
                <w:color w:val="000000"/>
                <w:lang w:eastAsia="zh-CN"/>
              </w:rPr>
            </w:pPr>
            <w:r w:rsidRPr="00D67C93">
              <w:rPr>
                <w:rFonts w:ascii="Arial" w:eastAsia="SimSun" w:hAnsi="Arial" w:cs="Arial"/>
                <w:bCs/>
                <w:color w:val="000000"/>
                <w:lang w:eastAsia="zh-CN"/>
              </w:rPr>
              <w:t>Marker’s Signature:</w:t>
            </w:r>
          </w:p>
        </w:tc>
        <w:tc>
          <w:tcPr>
            <w:tcW w:w="3645" w:type="dxa"/>
            <w:gridSpan w:val="3"/>
          </w:tcPr>
          <w:p w:rsidR="00D67C93" w:rsidRPr="00D67C93" w:rsidRDefault="00D67C93" w:rsidP="00D67C93">
            <w:pPr>
              <w:spacing w:after="0" w:line="240" w:lineRule="auto"/>
              <w:ind w:right="-334"/>
              <w:rPr>
                <w:rFonts w:ascii="Arial" w:eastAsia="SimSun" w:hAnsi="Arial" w:cs="Arial"/>
                <w:bCs/>
                <w:color w:val="000000"/>
                <w:lang w:eastAsia="zh-CN"/>
              </w:rPr>
            </w:pPr>
            <w:r w:rsidRPr="00D67C93">
              <w:rPr>
                <w:rFonts w:ascii="Arial" w:eastAsia="SimSun" w:hAnsi="Arial" w:cs="Arial"/>
                <w:bCs/>
                <w:color w:val="000000"/>
                <w:lang w:eastAsia="zh-CN"/>
              </w:rPr>
              <w:t>Date:</w:t>
            </w:r>
          </w:p>
        </w:tc>
      </w:tr>
      <w:tr w:rsidR="00D67C93" w:rsidRPr="00D67C93" w:rsidTr="003A6065">
        <w:trPr>
          <w:trHeight w:val="720"/>
        </w:trPr>
        <w:tc>
          <w:tcPr>
            <w:tcW w:w="8856" w:type="dxa"/>
            <w:gridSpan w:val="5"/>
          </w:tcPr>
          <w:p w:rsidR="00D67C93" w:rsidRPr="00D67C93" w:rsidRDefault="00D67C93" w:rsidP="00D67C93">
            <w:pPr>
              <w:spacing w:after="0" w:line="240" w:lineRule="auto"/>
              <w:rPr>
                <w:rFonts w:ascii="Arial" w:eastAsia="SimSun" w:hAnsi="Arial" w:cs="Arial"/>
                <w:b/>
                <w:lang w:eastAsia="zh-CN"/>
              </w:rPr>
            </w:pPr>
            <w:r w:rsidRPr="00D67C93">
              <w:rPr>
                <w:rFonts w:ascii="Arial" w:eastAsia="SimSun" w:hAnsi="Arial" w:cs="Arial"/>
                <w:b/>
                <w:lang w:eastAsia="zh-CN"/>
              </w:rPr>
              <w:t>External Examiner’s comments (if relevant)</w:t>
            </w:r>
          </w:p>
          <w:p w:rsidR="00D67C93" w:rsidRPr="00D67C93" w:rsidRDefault="00D67C93" w:rsidP="00D67C93">
            <w:pPr>
              <w:spacing w:after="0" w:line="240" w:lineRule="auto"/>
              <w:ind w:right="-334"/>
              <w:rPr>
                <w:rFonts w:ascii="Arial" w:eastAsia="SimSun" w:hAnsi="Arial" w:cs="Arial"/>
                <w:bCs/>
                <w:color w:val="000000"/>
                <w:lang w:eastAsia="zh-CN"/>
              </w:rPr>
            </w:pPr>
          </w:p>
          <w:p w:rsidR="00D67C93" w:rsidRPr="00D67C93" w:rsidRDefault="00D67C93" w:rsidP="00D67C93">
            <w:pPr>
              <w:spacing w:after="0" w:line="240" w:lineRule="auto"/>
              <w:ind w:right="-334"/>
              <w:rPr>
                <w:rFonts w:ascii="Arial" w:eastAsia="SimSun" w:hAnsi="Arial" w:cs="Arial"/>
                <w:bCs/>
                <w:color w:val="000000"/>
                <w:lang w:eastAsia="zh-CN"/>
              </w:rPr>
            </w:pPr>
          </w:p>
          <w:p w:rsidR="00D67C93" w:rsidRPr="00D67C93" w:rsidRDefault="00D67C93" w:rsidP="00D67C93">
            <w:pPr>
              <w:spacing w:after="0" w:line="240" w:lineRule="auto"/>
              <w:ind w:right="-334"/>
              <w:rPr>
                <w:rFonts w:ascii="Arial" w:eastAsia="SimSun" w:hAnsi="Arial" w:cs="Arial"/>
                <w:bCs/>
                <w:color w:val="000000"/>
                <w:lang w:eastAsia="zh-CN"/>
              </w:rPr>
            </w:pPr>
          </w:p>
        </w:tc>
      </w:tr>
      <w:tr w:rsidR="00D67C93" w:rsidRPr="00D67C93" w:rsidTr="003A6065">
        <w:trPr>
          <w:trHeight w:val="720"/>
        </w:trPr>
        <w:tc>
          <w:tcPr>
            <w:tcW w:w="5211" w:type="dxa"/>
            <w:gridSpan w:val="2"/>
          </w:tcPr>
          <w:p w:rsidR="00D67C93" w:rsidRPr="00D67C93" w:rsidRDefault="00D67C93" w:rsidP="00D67C93">
            <w:pPr>
              <w:spacing w:after="0" w:line="240" w:lineRule="auto"/>
              <w:rPr>
                <w:rFonts w:ascii="Arial" w:eastAsia="SimSun" w:hAnsi="Arial" w:cs="Arial"/>
                <w:lang w:eastAsia="zh-CN"/>
              </w:rPr>
            </w:pPr>
            <w:r w:rsidRPr="00D67C93">
              <w:rPr>
                <w:rFonts w:ascii="Arial" w:eastAsia="SimSun" w:hAnsi="Arial" w:cs="Arial"/>
                <w:lang w:eastAsia="zh-CN"/>
              </w:rPr>
              <w:t>External Examiner’s Signature:</w:t>
            </w:r>
          </w:p>
        </w:tc>
        <w:tc>
          <w:tcPr>
            <w:tcW w:w="3645" w:type="dxa"/>
            <w:gridSpan w:val="3"/>
          </w:tcPr>
          <w:p w:rsidR="00D67C93" w:rsidRPr="00D67C93" w:rsidRDefault="00D67C93" w:rsidP="00D67C93">
            <w:pPr>
              <w:spacing w:after="0" w:line="240" w:lineRule="auto"/>
              <w:rPr>
                <w:rFonts w:ascii="Arial" w:eastAsia="SimSun" w:hAnsi="Arial" w:cs="Arial"/>
                <w:lang w:eastAsia="zh-CN"/>
              </w:rPr>
            </w:pPr>
            <w:r w:rsidRPr="00D67C93">
              <w:rPr>
                <w:rFonts w:ascii="Arial" w:eastAsia="SimSun" w:hAnsi="Arial" w:cs="Arial"/>
                <w:lang w:eastAsia="zh-CN"/>
              </w:rPr>
              <w:t>Date:</w:t>
            </w:r>
          </w:p>
        </w:tc>
      </w:tr>
    </w:tbl>
    <w:p w:rsidR="00D67C93" w:rsidRPr="00D67C93" w:rsidRDefault="00D67C93" w:rsidP="00D67C93">
      <w:pPr>
        <w:spacing w:after="0" w:line="240" w:lineRule="auto"/>
        <w:ind w:right="-334"/>
        <w:rPr>
          <w:rFonts w:ascii="Trebuchet MS" w:eastAsia="SimSun" w:hAnsi="Trebuchet MS" w:cs="Tahoma"/>
          <w:bCs/>
          <w:color w:val="000000"/>
          <w:sz w:val="24"/>
          <w:szCs w:val="24"/>
          <w:lang w:eastAsia="zh-CN"/>
        </w:rPr>
      </w:pPr>
    </w:p>
    <w:p w:rsidR="00D67C93" w:rsidRDefault="00D67C93">
      <w:pPr>
        <w:rPr>
          <w:rFonts w:ascii="Times New Roman" w:hAnsi="Times New Roman" w:cs="Times New Roman"/>
          <w:b/>
          <w:sz w:val="24"/>
          <w:szCs w:val="24"/>
        </w:rPr>
      </w:pPr>
      <w:r>
        <w:rPr>
          <w:rFonts w:ascii="Times New Roman" w:hAnsi="Times New Roman" w:cs="Times New Roman"/>
          <w:b/>
          <w:sz w:val="24"/>
          <w:szCs w:val="24"/>
        </w:rPr>
        <w:br w:type="page"/>
      </w:r>
    </w:p>
    <w:p w:rsidR="00295055" w:rsidRPr="00295055" w:rsidRDefault="00295055" w:rsidP="00295055">
      <w:pPr>
        <w:spacing w:line="48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Section A: Passage Appreciation</w:t>
      </w:r>
    </w:p>
    <w:p w:rsidR="0099449E" w:rsidRDefault="00666650" w:rsidP="00AB1253">
      <w:pPr>
        <w:spacing w:line="480" w:lineRule="auto"/>
        <w:rPr>
          <w:rFonts w:ascii="Times New Roman" w:hAnsi="Times New Roman" w:cs="Times New Roman"/>
          <w:sz w:val="24"/>
          <w:szCs w:val="24"/>
        </w:rPr>
      </w:pPr>
      <w:r>
        <w:rPr>
          <w:rFonts w:ascii="Times New Roman" w:hAnsi="Times New Roman" w:cs="Times New Roman"/>
          <w:sz w:val="24"/>
          <w:szCs w:val="24"/>
        </w:rPr>
        <w:t>The passage analysed here is taken from the second or middle part of the First Branch of the Mabinogion, sometimes referred to as the Pwyll branch.</w:t>
      </w:r>
      <w:r w:rsidR="00AB1253">
        <w:rPr>
          <w:rFonts w:ascii="Times New Roman" w:hAnsi="Times New Roman" w:cs="Times New Roman"/>
          <w:sz w:val="24"/>
          <w:szCs w:val="24"/>
        </w:rPr>
        <w:t xml:space="preserve"> It describes the meeting of Pwyll and Rhiannon, arguably the two most central characters in all of the First Branch, and as such is a highly significant passage.</w:t>
      </w:r>
    </w:p>
    <w:p w:rsidR="000C1BE0" w:rsidRDefault="00AB1253" w:rsidP="00AB1253">
      <w:pPr>
        <w:spacing w:line="480" w:lineRule="auto"/>
        <w:rPr>
          <w:rFonts w:ascii="Times New Roman" w:hAnsi="Times New Roman" w:cs="Times New Roman"/>
          <w:sz w:val="24"/>
          <w:szCs w:val="24"/>
        </w:rPr>
      </w:pPr>
      <w:r>
        <w:rPr>
          <w:rFonts w:ascii="Times New Roman" w:hAnsi="Times New Roman" w:cs="Times New Roman"/>
          <w:sz w:val="24"/>
          <w:szCs w:val="24"/>
        </w:rPr>
        <w:t xml:space="preserve">The character of Rhiannon is first introduced to us as a </w:t>
      </w:r>
      <w:r w:rsidR="00483B2B">
        <w:rPr>
          <w:rFonts w:ascii="Times New Roman" w:hAnsi="Times New Roman" w:cs="Times New Roman"/>
          <w:sz w:val="24"/>
          <w:szCs w:val="24"/>
        </w:rPr>
        <w:t xml:space="preserve">mysterious, distant character with strong connections to the Otherworld. This </w:t>
      </w:r>
      <w:r w:rsidR="007F1BFE">
        <w:rPr>
          <w:rFonts w:ascii="Times New Roman" w:hAnsi="Times New Roman" w:cs="Times New Roman"/>
          <w:sz w:val="24"/>
          <w:szCs w:val="24"/>
        </w:rPr>
        <w:t>is clear for a number of reasons, one of which is her name itself which derives from the name of the Celtic goddess Rigantona, which itself translates as Divine Queen.</w:t>
      </w:r>
      <w:r w:rsidR="00E804DF">
        <w:rPr>
          <w:rStyle w:val="FootnoteReference"/>
          <w:rFonts w:ascii="Times New Roman" w:hAnsi="Times New Roman" w:cs="Times New Roman"/>
          <w:sz w:val="24"/>
          <w:szCs w:val="24"/>
        </w:rPr>
        <w:footnoteReference w:id="1"/>
      </w:r>
      <w:r w:rsidR="007F1BFE">
        <w:rPr>
          <w:rFonts w:ascii="Times New Roman" w:hAnsi="Times New Roman" w:cs="Times New Roman"/>
          <w:sz w:val="24"/>
          <w:szCs w:val="24"/>
        </w:rPr>
        <w:t xml:space="preserve"> She is also commonly depicted with horses, as she is in the passage, which has led to her becoming associated with the Celtic horse goddess Epona.</w:t>
      </w:r>
      <w:r w:rsidR="00E804DF">
        <w:rPr>
          <w:rStyle w:val="FootnoteReference"/>
          <w:rFonts w:ascii="Times New Roman" w:hAnsi="Times New Roman" w:cs="Times New Roman"/>
          <w:sz w:val="24"/>
          <w:szCs w:val="24"/>
        </w:rPr>
        <w:footnoteReference w:id="2"/>
      </w:r>
      <w:r w:rsidR="007F1BFE">
        <w:rPr>
          <w:rFonts w:ascii="Times New Roman" w:hAnsi="Times New Roman" w:cs="Times New Roman"/>
          <w:sz w:val="24"/>
          <w:szCs w:val="24"/>
        </w:rPr>
        <w:t xml:space="preserve"> </w:t>
      </w:r>
    </w:p>
    <w:p w:rsidR="00AB1253" w:rsidRDefault="005942BC" w:rsidP="00AB1253">
      <w:pPr>
        <w:spacing w:line="480" w:lineRule="auto"/>
        <w:rPr>
          <w:rFonts w:ascii="Times New Roman" w:hAnsi="Times New Roman" w:cs="Times New Roman"/>
          <w:sz w:val="24"/>
          <w:szCs w:val="24"/>
        </w:rPr>
      </w:pPr>
      <w:r>
        <w:rPr>
          <w:rFonts w:ascii="Times New Roman" w:hAnsi="Times New Roman" w:cs="Times New Roman"/>
          <w:sz w:val="24"/>
          <w:szCs w:val="24"/>
        </w:rPr>
        <w:t xml:space="preserve">There is also the context in which Rhiannon is introduced to consider, for example the fact that Pwyll first sees her when he is sat atop </w:t>
      </w:r>
      <w:r>
        <w:rPr>
          <w:rFonts w:ascii="Times New Roman" w:hAnsi="Times New Roman" w:cs="Times New Roman"/>
          <w:i/>
          <w:sz w:val="24"/>
          <w:szCs w:val="24"/>
        </w:rPr>
        <w:t>Gorsedd Arberth</w:t>
      </w:r>
      <w:r>
        <w:rPr>
          <w:rFonts w:ascii="Times New Roman" w:hAnsi="Times New Roman" w:cs="Times New Roman"/>
          <w:sz w:val="24"/>
          <w:szCs w:val="24"/>
        </w:rPr>
        <w:t>, a mound which one of Pwyll’s men explains has a peculiar property</w:t>
      </w:r>
      <w:r w:rsidR="008C3230">
        <w:rPr>
          <w:rFonts w:ascii="Times New Roman" w:hAnsi="Times New Roman" w:cs="Times New Roman"/>
          <w:sz w:val="24"/>
          <w:szCs w:val="24"/>
        </w:rPr>
        <w:t>, subjecting</w:t>
      </w:r>
      <w:r>
        <w:rPr>
          <w:rFonts w:ascii="Times New Roman" w:hAnsi="Times New Roman" w:cs="Times New Roman"/>
          <w:sz w:val="24"/>
          <w:szCs w:val="24"/>
        </w:rPr>
        <w:t xml:space="preserve"> whatever nobleman sits upon it</w:t>
      </w:r>
      <w:r w:rsidR="008C3230">
        <w:rPr>
          <w:rFonts w:ascii="Times New Roman" w:hAnsi="Times New Roman" w:cs="Times New Roman"/>
          <w:sz w:val="24"/>
          <w:szCs w:val="24"/>
        </w:rPr>
        <w:t xml:space="preserve"> to either injury or a wondrous sight</w:t>
      </w:r>
      <w:r w:rsidR="000C1BE0">
        <w:rPr>
          <w:rFonts w:ascii="Times New Roman" w:hAnsi="Times New Roman" w:cs="Times New Roman"/>
          <w:sz w:val="24"/>
          <w:szCs w:val="24"/>
        </w:rPr>
        <w:t>. Even without this explanation, the audience would likely expect something magical to occur due to the widespread motif of the mound as a traditional gateway to the Otherworld.</w:t>
      </w:r>
      <w:r w:rsidR="00E804DF">
        <w:rPr>
          <w:rStyle w:val="FootnoteReference"/>
          <w:rFonts w:ascii="Times New Roman" w:hAnsi="Times New Roman" w:cs="Times New Roman"/>
          <w:sz w:val="24"/>
          <w:szCs w:val="24"/>
        </w:rPr>
        <w:footnoteReference w:id="3"/>
      </w:r>
      <w:r w:rsidR="000C1BE0">
        <w:rPr>
          <w:rFonts w:ascii="Times New Roman" w:hAnsi="Times New Roman" w:cs="Times New Roman"/>
          <w:sz w:val="24"/>
          <w:szCs w:val="24"/>
        </w:rPr>
        <w:t xml:space="preserve"> In Irish mythology and folklore, the fae are even referred to as the daoine sidhe, which roughly translated means the people of the mounds.</w:t>
      </w:r>
      <w:r w:rsidR="00E804DF">
        <w:rPr>
          <w:rStyle w:val="FootnoteReference"/>
          <w:rFonts w:ascii="Times New Roman" w:hAnsi="Times New Roman" w:cs="Times New Roman"/>
          <w:sz w:val="24"/>
          <w:szCs w:val="24"/>
        </w:rPr>
        <w:footnoteReference w:id="4"/>
      </w:r>
      <w:r w:rsidR="000C1BE0">
        <w:rPr>
          <w:rFonts w:ascii="Times New Roman" w:hAnsi="Times New Roman" w:cs="Times New Roman"/>
          <w:sz w:val="24"/>
          <w:szCs w:val="24"/>
        </w:rPr>
        <w:t xml:space="preserve"> </w:t>
      </w:r>
      <w:r w:rsidR="00C6571B">
        <w:rPr>
          <w:rFonts w:ascii="Times New Roman" w:hAnsi="Times New Roman" w:cs="Times New Roman"/>
          <w:sz w:val="24"/>
          <w:szCs w:val="24"/>
        </w:rPr>
        <w:t>Rhiannon’s horse’s ability to move faster than her pursuers while never changing pace is another classic feature of medieval literature, which Hemming argues utilises the motif of a horse moving at unnatural speeds to demonstrate the deceptiveness of enchanted realms.</w:t>
      </w:r>
      <w:r w:rsidR="00E804DF">
        <w:rPr>
          <w:rStyle w:val="FootnoteReference"/>
          <w:rFonts w:ascii="Times New Roman" w:hAnsi="Times New Roman" w:cs="Times New Roman"/>
          <w:sz w:val="24"/>
          <w:szCs w:val="24"/>
        </w:rPr>
        <w:footnoteReference w:id="5"/>
      </w:r>
    </w:p>
    <w:p w:rsidR="00D12F2D" w:rsidRDefault="00C6571B" w:rsidP="004A5EB2">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Byfield on the other hand has suggested that Pwyll’s inability to keep up with Rhiannon on horseback is foreshadowing of their relationship where Rhiannon is consistently able to surpass him in regards to wit, intelligence, and forthrightness.</w:t>
      </w:r>
      <w:r w:rsidR="00E804DF">
        <w:rPr>
          <w:rStyle w:val="FootnoteReference"/>
          <w:rFonts w:ascii="Times New Roman" w:hAnsi="Times New Roman" w:cs="Times New Roman"/>
          <w:sz w:val="24"/>
          <w:szCs w:val="24"/>
        </w:rPr>
        <w:footnoteReference w:id="6"/>
      </w:r>
      <w:r w:rsidR="00D12F2D">
        <w:rPr>
          <w:rFonts w:ascii="Times New Roman" w:hAnsi="Times New Roman" w:cs="Times New Roman"/>
          <w:sz w:val="24"/>
          <w:szCs w:val="24"/>
        </w:rPr>
        <w:t xml:space="preserve"> Certainly her wit is evident from her very first line of dialogue. Her forthrightness is apparent when we consider how she took ‘</w:t>
      </w:r>
      <w:r w:rsidR="00D12F2D" w:rsidRPr="00D12F2D">
        <w:rPr>
          <w:rFonts w:ascii="Times New Roman" w:hAnsi="Times New Roman" w:cs="Times New Roman"/>
          <w:sz w:val="24"/>
          <w:szCs w:val="24"/>
        </w:rPr>
        <w:t>the initiative in formin</w:t>
      </w:r>
      <w:r w:rsidR="00D12F2D">
        <w:rPr>
          <w:rFonts w:ascii="Times New Roman" w:hAnsi="Times New Roman" w:cs="Times New Roman"/>
          <w:sz w:val="24"/>
          <w:szCs w:val="24"/>
        </w:rPr>
        <w:t>g a marriage alliance… over swaying</w:t>
      </w:r>
      <w:r w:rsidR="00D12F2D" w:rsidRPr="00D12F2D">
        <w:rPr>
          <w:rFonts w:ascii="Times New Roman" w:hAnsi="Times New Roman" w:cs="Times New Roman"/>
          <w:sz w:val="24"/>
          <w:szCs w:val="24"/>
        </w:rPr>
        <w:t xml:space="preserve"> her lord and her suitor</w:t>
      </w:r>
      <w:r w:rsidR="00D12F2D">
        <w:rPr>
          <w:rFonts w:ascii="Times New Roman" w:hAnsi="Times New Roman" w:cs="Times New Roman"/>
          <w:sz w:val="24"/>
          <w:szCs w:val="24"/>
        </w:rPr>
        <w:t>’ in the process.</w:t>
      </w:r>
      <w:r w:rsidR="00E804DF">
        <w:rPr>
          <w:rStyle w:val="FootnoteReference"/>
          <w:rFonts w:ascii="Times New Roman" w:hAnsi="Times New Roman" w:cs="Times New Roman"/>
          <w:sz w:val="24"/>
          <w:szCs w:val="24"/>
        </w:rPr>
        <w:footnoteReference w:id="7"/>
      </w:r>
      <w:r w:rsidR="00D12F2D">
        <w:rPr>
          <w:rFonts w:ascii="Times New Roman" w:hAnsi="Times New Roman" w:cs="Times New Roman"/>
          <w:sz w:val="24"/>
          <w:szCs w:val="24"/>
        </w:rPr>
        <w:t xml:space="preserve"> But it is her intelligence that really sets Rhiannon apart as a character and this is most obvious when we consider how skilfully she manipulates </w:t>
      </w:r>
      <w:r w:rsidR="00095FA6">
        <w:rPr>
          <w:rFonts w:ascii="Times New Roman" w:hAnsi="Times New Roman" w:cs="Times New Roman"/>
          <w:sz w:val="24"/>
          <w:szCs w:val="24"/>
        </w:rPr>
        <w:t>the si</w:t>
      </w:r>
      <w:r w:rsidR="004A5EB2">
        <w:rPr>
          <w:rFonts w:ascii="Times New Roman" w:hAnsi="Times New Roman" w:cs="Times New Roman"/>
          <w:sz w:val="24"/>
          <w:szCs w:val="24"/>
        </w:rPr>
        <w:t xml:space="preserve">tuation, first in how she orchestrates the encounter between her and Pwyll, in much the same way that Arawn does in the first section of the First Branch suggesting this may be a common skill to </w:t>
      </w:r>
      <w:r w:rsidR="00D84568">
        <w:rPr>
          <w:rFonts w:ascii="Times New Roman" w:hAnsi="Times New Roman" w:cs="Times New Roman"/>
          <w:sz w:val="24"/>
          <w:szCs w:val="24"/>
        </w:rPr>
        <w:t xml:space="preserve">all </w:t>
      </w:r>
      <w:r w:rsidR="004A5EB2">
        <w:rPr>
          <w:rFonts w:ascii="Times New Roman" w:hAnsi="Times New Roman" w:cs="Times New Roman"/>
          <w:sz w:val="24"/>
          <w:szCs w:val="24"/>
        </w:rPr>
        <w:t>character</w:t>
      </w:r>
      <w:r w:rsidR="00D84568">
        <w:rPr>
          <w:rFonts w:ascii="Times New Roman" w:hAnsi="Times New Roman" w:cs="Times New Roman"/>
          <w:sz w:val="24"/>
          <w:szCs w:val="24"/>
        </w:rPr>
        <w:t>s</w:t>
      </w:r>
      <w:r w:rsidR="004A5EB2">
        <w:rPr>
          <w:rFonts w:ascii="Times New Roman" w:hAnsi="Times New Roman" w:cs="Times New Roman"/>
          <w:sz w:val="24"/>
          <w:szCs w:val="24"/>
        </w:rPr>
        <w:t xml:space="preserve"> of the Otherworld.</w:t>
      </w:r>
      <w:r w:rsidR="00E804DF">
        <w:rPr>
          <w:rStyle w:val="FootnoteReference"/>
          <w:rFonts w:ascii="Times New Roman" w:hAnsi="Times New Roman" w:cs="Times New Roman"/>
          <w:sz w:val="24"/>
          <w:szCs w:val="24"/>
        </w:rPr>
        <w:footnoteReference w:id="8"/>
      </w:r>
      <w:r w:rsidR="004A5EB2">
        <w:rPr>
          <w:rFonts w:ascii="Times New Roman" w:hAnsi="Times New Roman" w:cs="Times New Roman"/>
          <w:sz w:val="24"/>
          <w:szCs w:val="24"/>
        </w:rPr>
        <w:t xml:space="preserve"> Secondly is in her use of language itself for as Byfield points out, she addresses Pwyll three times as ‘</w:t>
      </w:r>
      <w:r w:rsidR="004A5EB2" w:rsidRPr="004A5EB2">
        <w:rPr>
          <w:rFonts w:ascii="Times New Roman" w:hAnsi="Times New Roman" w:cs="Times New Roman"/>
          <w:i/>
          <w:sz w:val="24"/>
          <w:szCs w:val="24"/>
        </w:rPr>
        <w:t>arglwyd</w:t>
      </w:r>
      <w:r w:rsidR="004A5EB2">
        <w:rPr>
          <w:rFonts w:ascii="Times New Roman" w:hAnsi="Times New Roman" w:cs="Times New Roman"/>
          <w:sz w:val="24"/>
          <w:szCs w:val="24"/>
        </w:rPr>
        <w:t xml:space="preserve"> (lord)’ </w:t>
      </w:r>
      <w:r w:rsidR="004A5EB2" w:rsidRPr="004A5EB2">
        <w:rPr>
          <w:rFonts w:ascii="Times New Roman" w:hAnsi="Times New Roman" w:cs="Times New Roman"/>
          <w:sz w:val="24"/>
          <w:szCs w:val="24"/>
        </w:rPr>
        <w:t>in their first encounter</w:t>
      </w:r>
      <w:r w:rsidR="004A5EB2">
        <w:rPr>
          <w:rFonts w:ascii="Times New Roman" w:hAnsi="Times New Roman" w:cs="Times New Roman"/>
          <w:sz w:val="24"/>
          <w:szCs w:val="24"/>
        </w:rPr>
        <w:t xml:space="preserve"> as described in the passage, and</w:t>
      </w:r>
      <w:r w:rsidR="004A5EB2" w:rsidRPr="004A5EB2">
        <w:rPr>
          <w:rFonts w:ascii="Times New Roman" w:hAnsi="Times New Roman" w:cs="Times New Roman"/>
          <w:sz w:val="24"/>
          <w:szCs w:val="24"/>
        </w:rPr>
        <w:t xml:space="preserve"> then not again until they’re married which suggests her early use of this address was a part of her manipulation.</w:t>
      </w:r>
      <w:r w:rsidR="00E804DF">
        <w:rPr>
          <w:rStyle w:val="FootnoteReference"/>
          <w:rFonts w:ascii="Times New Roman" w:hAnsi="Times New Roman" w:cs="Times New Roman"/>
          <w:sz w:val="24"/>
          <w:szCs w:val="24"/>
        </w:rPr>
        <w:footnoteReference w:id="9"/>
      </w:r>
    </w:p>
    <w:p w:rsidR="008411A2" w:rsidRDefault="008411A2" w:rsidP="004A5EB2">
      <w:pPr>
        <w:spacing w:line="480" w:lineRule="auto"/>
        <w:rPr>
          <w:rFonts w:ascii="Times New Roman" w:hAnsi="Times New Roman" w:cs="Times New Roman"/>
          <w:sz w:val="24"/>
          <w:szCs w:val="24"/>
        </w:rPr>
      </w:pPr>
      <w:r>
        <w:rPr>
          <w:rFonts w:ascii="Times New Roman" w:hAnsi="Times New Roman" w:cs="Times New Roman"/>
          <w:sz w:val="24"/>
          <w:szCs w:val="24"/>
        </w:rPr>
        <w:t>Rhiannon’s intelligence and wisdom also serve to make her a foil to Pwyll’s impetuousness and lack of forethought. Pwyll’s name translates as wisdom or good sense, the irony of which Hemming sights as evidence that the character is likely an authorial invention given that his actions, as shown in the passage, frequently display a lack of either trait.</w:t>
      </w:r>
      <w:r w:rsidR="00E804DF">
        <w:rPr>
          <w:rStyle w:val="FootnoteReference"/>
          <w:rFonts w:ascii="Times New Roman" w:hAnsi="Times New Roman" w:cs="Times New Roman"/>
          <w:sz w:val="24"/>
          <w:szCs w:val="24"/>
        </w:rPr>
        <w:footnoteReference w:id="10"/>
      </w:r>
      <w:r>
        <w:rPr>
          <w:rFonts w:ascii="Times New Roman" w:hAnsi="Times New Roman" w:cs="Times New Roman"/>
          <w:sz w:val="24"/>
          <w:szCs w:val="24"/>
        </w:rPr>
        <w:t xml:space="preserve"> After all it is only when Pwyll addresses Rhiannon politely instead of trying to run her down that she introduces herself to him.</w:t>
      </w:r>
    </w:p>
    <w:p w:rsidR="00BA463B" w:rsidRDefault="00DD55A9" w:rsidP="004A5EB2">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Pwyll sees Rhiannon on three consecutive days, and as described in the passage, he takes three leaps while trying to catch up to her before he tries calling out instead. Repetitions of three </w:t>
      </w:r>
      <w:r w:rsidR="000977EC">
        <w:rPr>
          <w:rFonts w:ascii="Times New Roman" w:hAnsi="Times New Roman" w:cs="Times New Roman"/>
          <w:sz w:val="24"/>
          <w:szCs w:val="24"/>
        </w:rPr>
        <w:t xml:space="preserve">and triadic structures </w:t>
      </w:r>
      <w:r>
        <w:rPr>
          <w:rFonts w:ascii="Times New Roman" w:hAnsi="Times New Roman" w:cs="Times New Roman"/>
          <w:sz w:val="24"/>
          <w:szCs w:val="24"/>
        </w:rPr>
        <w:t xml:space="preserve">are a common feature of Welsh narratives, for instance the numerous Welsh triads, </w:t>
      </w:r>
      <w:r w:rsidR="009B7710">
        <w:rPr>
          <w:rFonts w:ascii="Times New Roman" w:hAnsi="Times New Roman" w:cs="Times New Roman"/>
          <w:sz w:val="24"/>
          <w:szCs w:val="24"/>
        </w:rPr>
        <w:t>but are certainly not unique to Wales and appear in many stories and folk tales around the world. Repetitions of three can be a simple way of increasing tension, while repetition in general can be a sign of oral tradition.</w:t>
      </w:r>
      <w:r w:rsidR="00E804DF">
        <w:rPr>
          <w:rStyle w:val="FootnoteReference"/>
          <w:rFonts w:ascii="Times New Roman" w:hAnsi="Times New Roman" w:cs="Times New Roman"/>
          <w:sz w:val="24"/>
          <w:szCs w:val="24"/>
        </w:rPr>
        <w:footnoteReference w:id="11"/>
      </w:r>
      <w:r w:rsidR="00C92091">
        <w:rPr>
          <w:rFonts w:ascii="Times New Roman" w:hAnsi="Times New Roman" w:cs="Times New Roman"/>
          <w:sz w:val="24"/>
          <w:szCs w:val="24"/>
        </w:rPr>
        <w:t xml:space="preserve"> </w:t>
      </w:r>
    </w:p>
    <w:p w:rsidR="00E754AF" w:rsidRDefault="00C92091" w:rsidP="004A5EB2">
      <w:pPr>
        <w:spacing w:line="480" w:lineRule="auto"/>
        <w:rPr>
          <w:rFonts w:ascii="Times New Roman" w:hAnsi="Times New Roman" w:cs="Times New Roman"/>
          <w:sz w:val="24"/>
          <w:szCs w:val="24"/>
        </w:rPr>
      </w:pPr>
      <w:r>
        <w:rPr>
          <w:rFonts w:ascii="Times New Roman" w:hAnsi="Times New Roman" w:cs="Times New Roman"/>
          <w:sz w:val="24"/>
          <w:szCs w:val="24"/>
        </w:rPr>
        <w:t>The passage in fact contains several stylistic and linguistic features that suggest that the text was informed, or at least significantly influenced by oral tradition.</w:t>
      </w:r>
      <w:r w:rsidR="00BA463B">
        <w:rPr>
          <w:rFonts w:ascii="Times New Roman" w:hAnsi="Times New Roman" w:cs="Times New Roman"/>
          <w:sz w:val="24"/>
          <w:szCs w:val="24"/>
        </w:rPr>
        <w:t xml:space="preserve"> While the Four Branches themselves may not make heavy use of adjectives, in the passage several instances occur to lend colour and emphasis to the scene, such as when Pwyll’s horse is described as ‘spirited’ and ‘prancing’ perhaps in a reflection of its master.</w:t>
      </w:r>
      <w:r w:rsidR="00E804DF">
        <w:rPr>
          <w:rStyle w:val="FootnoteReference"/>
          <w:rFonts w:ascii="Times New Roman" w:hAnsi="Times New Roman" w:cs="Times New Roman"/>
          <w:sz w:val="24"/>
          <w:szCs w:val="24"/>
        </w:rPr>
        <w:footnoteReference w:id="12"/>
      </w:r>
      <w:r w:rsidR="00BA463B">
        <w:rPr>
          <w:rFonts w:ascii="Times New Roman" w:hAnsi="Times New Roman" w:cs="Times New Roman"/>
          <w:sz w:val="24"/>
          <w:szCs w:val="24"/>
        </w:rPr>
        <w:t xml:space="preserve"> The passage is also strictly chronological and uses conjunctive cohesion, both key features of oral storytelling with the benefit of making it easier for the storyteller to remember the narrative, and easier for the audience to follow it.</w:t>
      </w:r>
      <w:r w:rsidR="00E804DF">
        <w:rPr>
          <w:rStyle w:val="FootnoteReference"/>
          <w:rFonts w:ascii="Times New Roman" w:hAnsi="Times New Roman" w:cs="Times New Roman"/>
          <w:sz w:val="24"/>
          <w:szCs w:val="24"/>
        </w:rPr>
        <w:footnoteReference w:id="13"/>
      </w:r>
      <w:r w:rsidR="0092726E">
        <w:rPr>
          <w:rFonts w:ascii="Times New Roman" w:hAnsi="Times New Roman" w:cs="Times New Roman"/>
          <w:sz w:val="24"/>
          <w:szCs w:val="24"/>
        </w:rPr>
        <w:t xml:space="preserve"> </w:t>
      </w:r>
    </w:p>
    <w:p w:rsidR="00DD55A9" w:rsidRDefault="0092726E" w:rsidP="004A5EB2">
      <w:pPr>
        <w:spacing w:line="480" w:lineRule="auto"/>
        <w:rPr>
          <w:rFonts w:ascii="Times New Roman" w:hAnsi="Times New Roman" w:cs="Times New Roman"/>
          <w:sz w:val="24"/>
          <w:szCs w:val="24"/>
        </w:rPr>
      </w:pPr>
      <w:r>
        <w:rPr>
          <w:rFonts w:ascii="Times New Roman" w:hAnsi="Times New Roman" w:cs="Times New Roman"/>
          <w:sz w:val="24"/>
          <w:szCs w:val="24"/>
        </w:rPr>
        <w:t xml:space="preserve">There is also the matter of formula to consider, not just as a common feature of oral storytelling but of folk tales as well, and utilised here </w:t>
      </w:r>
      <w:r w:rsidR="00E754AF">
        <w:rPr>
          <w:rFonts w:ascii="Times New Roman" w:hAnsi="Times New Roman" w:cs="Times New Roman"/>
          <w:sz w:val="24"/>
          <w:szCs w:val="24"/>
        </w:rPr>
        <w:t>in a number of ways</w:t>
      </w:r>
      <w:r>
        <w:rPr>
          <w:rFonts w:ascii="Times New Roman" w:hAnsi="Times New Roman" w:cs="Times New Roman"/>
          <w:sz w:val="24"/>
          <w:szCs w:val="24"/>
        </w:rPr>
        <w:t>.</w:t>
      </w:r>
      <w:r w:rsidR="00E754AF">
        <w:rPr>
          <w:rFonts w:ascii="Times New Roman" w:hAnsi="Times New Roman" w:cs="Times New Roman"/>
          <w:sz w:val="24"/>
          <w:szCs w:val="24"/>
        </w:rPr>
        <w:t xml:space="preserve"> In the opening of the passage we find an example of one of the most </w:t>
      </w:r>
      <w:r w:rsidR="002C15C6">
        <w:rPr>
          <w:rFonts w:ascii="Times New Roman" w:hAnsi="Times New Roman" w:cs="Times New Roman"/>
          <w:sz w:val="24"/>
          <w:szCs w:val="24"/>
        </w:rPr>
        <w:t>common</w:t>
      </w:r>
      <w:r w:rsidR="00E754AF">
        <w:rPr>
          <w:rFonts w:ascii="Times New Roman" w:hAnsi="Times New Roman" w:cs="Times New Roman"/>
          <w:sz w:val="24"/>
          <w:szCs w:val="24"/>
        </w:rPr>
        <w:t xml:space="preserve"> formulas used in the Mabinogi to transition between scenes. As Davies shows, transitions are always filled in oral narratives, and the Mabinogi typically follows the three stage formula of ‘</w:t>
      </w:r>
      <w:r w:rsidR="00E754AF" w:rsidRPr="00E754AF">
        <w:rPr>
          <w:rFonts w:ascii="Times New Roman" w:hAnsi="Times New Roman" w:cs="Times New Roman"/>
          <w:i/>
          <w:sz w:val="24"/>
          <w:szCs w:val="24"/>
        </w:rPr>
        <w:t>treulaw/dilit</w:t>
      </w:r>
      <w:r w:rsidR="00E754AF">
        <w:rPr>
          <w:rFonts w:ascii="Times New Roman" w:hAnsi="Times New Roman" w:cs="Times New Roman"/>
          <w:sz w:val="24"/>
          <w:szCs w:val="24"/>
        </w:rPr>
        <w:t xml:space="preserve"> (spend/follow)’, ‘</w:t>
      </w:r>
      <w:r w:rsidR="00E754AF" w:rsidRPr="00E754AF">
        <w:rPr>
          <w:rFonts w:ascii="Times New Roman" w:hAnsi="Times New Roman" w:cs="Times New Roman"/>
          <w:i/>
          <w:sz w:val="24"/>
          <w:szCs w:val="24"/>
        </w:rPr>
        <w:t>cysgu</w:t>
      </w:r>
      <w:r w:rsidR="00E754AF">
        <w:rPr>
          <w:rFonts w:ascii="Times New Roman" w:hAnsi="Times New Roman" w:cs="Times New Roman"/>
          <w:sz w:val="24"/>
          <w:szCs w:val="24"/>
        </w:rPr>
        <w:t xml:space="preserve"> (sleep)’, and</w:t>
      </w:r>
      <w:r w:rsidR="00E754AF" w:rsidRPr="00E754AF">
        <w:rPr>
          <w:rFonts w:ascii="Times New Roman" w:hAnsi="Times New Roman" w:cs="Times New Roman"/>
          <w:sz w:val="24"/>
          <w:szCs w:val="24"/>
        </w:rPr>
        <w:t xml:space="preserve"> </w:t>
      </w:r>
      <w:r w:rsidR="00E754AF">
        <w:rPr>
          <w:rFonts w:ascii="Times New Roman" w:hAnsi="Times New Roman" w:cs="Times New Roman"/>
          <w:sz w:val="24"/>
          <w:szCs w:val="24"/>
        </w:rPr>
        <w:t>‘</w:t>
      </w:r>
      <w:r w:rsidR="00E754AF" w:rsidRPr="00E754AF">
        <w:rPr>
          <w:rFonts w:ascii="Times New Roman" w:hAnsi="Times New Roman" w:cs="Times New Roman"/>
          <w:i/>
          <w:sz w:val="24"/>
          <w:szCs w:val="24"/>
        </w:rPr>
        <w:t>trannoeth</w:t>
      </w:r>
      <w:r w:rsidR="00E754AF" w:rsidRPr="00E754AF">
        <w:rPr>
          <w:rFonts w:ascii="Times New Roman" w:hAnsi="Times New Roman" w:cs="Times New Roman"/>
          <w:sz w:val="24"/>
          <w:szCs w:val="24"/>
        </w:rPr>
        <w:t xml:space="preserve"> (the following day).</w:t>
      </w:r>
      <w:r w:rsidR="00E754AF">
        <w:rPr>
          <w:rFonts w:ascii="Times New Roman" w:hAnsi="Times New Roman" w:cs="Times New Roman"/>
          <w:sz w:val="24"/>
          <w:szCs w:val="24"/>
        </w:rPr>
        <w:t>’</w:t>
      </w:r>
      <w:r w:rsidR="00E804DF">
        <w:rPr>
          <w:rStyle w:val="FootnoteReference"/>
          <w:rFonts w:ascii="Times New Roman" w:hAnsi="Times New Roman" w:cs="Times New Roman"/>
          <w:sz w:val="24"/>
          <w:szCs w:val="24"/>
        </w:rPr>
        <w:footnoteReference w:id="14"/>
      </w:r>
      <w:r w:rsidR="00E754AF">
        <w:rPr>
          <w:rFonts w:ascii="Times New Roman" w:hAnsi="Times New Roman" w:cs="Times New Roman"/>
          <w:sz w:val="24"/>
          <w:szCs w:val="24"/>
        </w:rPr>
        <w:t xml:space="preserve"> The passage uses a varied form of this by missing out the </w:t>
      </w:r>
      <w:r w:rsidR="00E754AF">
        <w:rPr>
          <w:rFonts w:ascii="Times New Roman" w:hAnsi="Times New Roman" w:cs="Times New Roman"/>
          <w:i/>
          <w:sz w:val="24"/>
          <w:szCs w:val="24"/>
        </w:rPr>
        <w:t xml:space="preserve">cysgu </w:t>
      </w:r>
      <w:r w:rsidR="00E754AF">
        <w:rPr>
          <w:rFonts w:ascii="Times New Roman" w:hAnsi="Times New Roman" w:cs="Times New Roman"/>
          <w:sz w:val="24"/>
          <w:szCs w:val="24"/>
        </w:rPr>
        <w:t>stage</w:t>
      </w:r>
      <w:r w:rsidR="0027597D">
        <w:rPr>
          <w:rFonts w:ascii="Times New Roman" w:hAnsi="Times New Roman" w:cs="Times New Roman"/>
          <w:sz w:val="24"/>
          <w:szCs w:val="24"/>
        </w:rPr>
        <w:t xml:space="preserve"> but as Davies also points out, t</w:t>
      </w:r>
      <w:r w:rsidR="0027597D" w:rsidRPr="0027597D">
        <w:rPr>
          <w:rFonts w:ascii="Times New Roman" w:hAnsi="Times New Roman" w:cs="Times New Roman"/>
          <w:sz w:val="24"/>
          <w:szCs w:val="24"/>
        </w:rPr>
        <w:t xml:space="preserve">he use of variable formulae is especially helpful as it allows the author to move the story along in a way that is comfortable </w:t>
      </w:r>
      <w:r w:rsidR="0027597D" w:rsidRPr="0027597D">
        <w:rPr>
          <w:rFonts w:ascii="Times New Roman" w:hAnsi="Times New Roman" w:cs="Times New Roman"/>
          <w:sz w:val="24"/>
          <w:szCs w:val="24"/>
        </w:rPr>
        <w:lastRenderedPageBreak/>
        <w:t>and familiar</w:t>
      </w:r>
      <w:r w:rsidR="0027597D">
        <w:rPr>
          <w:rFonts w:ascii="Times New Roman" w:hAnsi="Times New Roman" w:cs="Times New Roman"/>
          <w:sz w:val="24"/>
          <w:szCs w:val="24"/>
        </w:rPr>
        <w:t>,</w:t>
      </w:r>
      <w:r w:rsidR="0027597D" w:rsidRPr="0027597D">
        <w:rPr>
          <w:rFonts w:ascii="Times New Roman" w:hAnsi="Times New Roman" w:cs="Times New Roman"/>
          <w:sz w:val="24"/>
          <w:szCs w:val="24"/>
        </w:rPr>
        <w:t xml:space="preserve"> without the listener becoming fatigued or bored by </w:t>
      </w:r>
      <w:r w:rsidR="0027597D">
        <w:rPr>
          <w:rFonts w:ascii="Times New Roman" w:hAnsi="Times New Roman" w:cs="Times New Roman"/>
          <w:sz w:val="24"/>
          <w:szCs w:val="24"/>
        </w:rPr>
        <w:t xml:space="preserve">excessive </w:t>
      </w:r>
      <w:r w:rsidR="0027597D" w:rsidRPr="0027597D">
        <w:rPr>
          <w:rFonts w:ascii="Times New Roman" w:hAnsi="Times New Roman" w:cs="Times New Roman"/>
          <w:sz w:val="24"/>
          <w:szCs w:val="24"/>
        </w:rPr>
        <w:t>repetition of the same vocabulary.</w:t>
      </w:r>
      <w:r w:rsidR="00E804DF">
        <w:rPr>
          <w:rStyle w:val="FootnoteReference"/>
          <w:rFonts w:ascii="Times New Roman" w:hAnsi="Times New Roman" w:cs="Times New Roman"/>
          <w:sz w:val="24"/>
          <w:szCs w:val="24"/>
        </w:rPr>
        <w:footnoteReference w:id="15"/>
      </w:r>
    </w:p>
    <w:p w:rsidR="001807B3" w:rsidRDefault="009C5E56" w:rsidP="004A5EB2">
      <w:pPr>
        <w:spacing w:line="480" w:lineRule="auto"/>
        <w:rPr>
          <w:rFonts w:ascii="Times New Roman" w:hAnsi="Times New Roman" w:cs="Times New Roman"/>
          <w:sz w:val="24"/>
          <w:szCs w:val="24"/>
        </w:rPr>
      </w:pPr>
      <w:r>
        <w:rPr>
          <w:rFonts w:ascii="Times New Roman" w:hAnsi="Times New Roman" w:cs="Times New Roman"/>
          <w:sz w:val="24"/>
          <w:szCs w:val="24"/>
        </w:rPr>
        <w:t xml:space="preserve">Finally we must examine the use of dialogue in the passage. </w:t>
      </w:r>
      <w:r w:rsidR="00E31153">
        <w:rPr>
          <w:rFonts w:ascii="Times New Roman" w:hAnsi="Times New Roman" w:cs="Times New Roman"/>
          <w:sz w:val="24"/>
          <w:szCs w:val="24"/>
        </w:rPr>
        <w:t>The dialogue here is a reflection of the dialogue throughout all of the First Branch which contains many long stretches of conversation which not only help move the narrative forward, but enable the author to better develop individual characters.</w:t>
      </w:r>
      <w:r w:rsidR="00E804DF">
        <w:rPr>
          <w:rStyle w:val="FootnoteReference"/>
          <w:rFonts w:ascii="Times New Roman" w:hAnsi="Times New Roman" w:cs="Times New Roman"/>
          <w:sz w:val="24"/>
          <w:szCs w:val="24"/>
        </w:rPr>
        <w:footnoteReference w:id="16"/>
      </w:r>
      <w:r w:rsidR="00F51584">
        <w:rPr>
          <w:rFonts w:ascii="Times New Roman" w:hAnsi="Times New Roman" w:cs="Times New Roman"/>
          <w:sz w:val="24"/>
          <w:szCs w:val="24"/>
        </w:rPr>
        <w:t xml:space="preserve"> Pwyll and Rhiannon each have a unique voice, and as mentioned above their interaction </w:t>
      </w:r>
      <w:r w:rsidR="00676AFD">
        <w:rPr>
          <w:rFonts w:ascii="Times New Roman" w:hAnsi="Times New Roman" w:cs="Times New Roman"/>
          <w:sz w:val="24"/>
          <w:szCs w:val="24"/>
        </w:rPr>
        <w:t>reveals character traits like Rhiannon’s wit and Pwyll’s intelligence. When we compare this to the Second Branch which relies instead upon monologues and is often criticised for its flatter characters, for instance Branwen who is only given a few brief lines and is often negatively compared to Rhiannon as a weak female character, we are able to see just how significant the use of dialogue</w:t>
      </w:r>
      <w:r w:rsidR="00DD7319">
        <w:rPr>
          <w:rFonts w:ascii="Times New Roman" w:hAnsi="Times New Roman" w:cs="Times New Roman"/>
          <w:sz w:val="24"/>
          <w:szCs w:val="24"/>
        </w:rPr>
        <w:t xml:space="preserve"> can be in even a short passage such as this.</w:t>
      </w:r>
      <w:r w:rsidR="00E804DF">
        <w:rPr>
          <w:rStyle w:val="FootnoteReference"/>
          <w:rFonts w:ascii="Times New Roman" w:hAnsi="Times New Roman" w:cs="Times New Roman"/>
          <w:sz w:val="24"/>
          <w:szCs w:val="24"/>
        </w:rPr>
        <w:footnoteReference w:id="17"/>
      </w:r>
    </w:p>
    <w:p w:rsidR="001807B3" w:rsidRDefault="001807B3">
      <w:pPr>
        <w:rPr>
          <w:rFonts w:ascii="Times New Roman" w:hAnsi="Times New Roman" w:cs="Times New Roman"/>
          <w:sz w:val="24"/>
          <w:szCs w:val="24"/>
        </w:rPr>
      </w:pPr>
      <w:r>
        <w:rPr>
          <w:rFonts w:ascii="Times New Roman" w:hAnsi="Times New Roman" w:cs="Times New Roman"/>
          <w:sz w:val="24"/>
          <w:szCs w:val="24"/>
        </w:rPr>
        <w:br w:type="page"/>
      </w:r>
    </w:p>
    <w:p w:rsidR="009C5E56" w:rsidRDefault="001807B3" w:rsidP="004A5EB2">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lastRenderedPageBreak/>
        <w:t>Bibliography</w:t>
      </w:r>
    </w:p>
    <w:p w:rsidR="002C1AEB" w:rsidRDefault="002C1AEB" w:rsidP="002C1AEB">
      <w:pPr>
        <w:spacing w:line="240" w:lineRule="auto"/>
        <w:rPr>
          <w:rFonts w:ascii="Times New Roman" w:hAnsi="Times New Roman" w:cs="Times New Roman"/>
          <w:sz w:val="24"/>
          <w:szCs w:val="24"/>
        </w:rPr>
      </w:pPr>
      <w:r w:rsidRPr="002C1AEB">
        <w:rPr>
          <w:rFonts w:ascii="Times New Roman" w:hAnsi="Times New Roman" w:cs="Times New Roman"/>
          <w:sz w:val="24"/>
          <w:szCs w:val="24"/>
        </w:rPr>
        <w:t>Byfield</w:t>
      </w:r>
      <w:r>
        <w:rPr>
          <w:rFonts w:ascii="Times New Roman" w:hAnsi="Times New Roman" w:cs="Times New Roman"/>
          <w:sz w:val="24"/>
          <w:szCs w:val="24"/>
        </w:rPr>
        <w:t>, C.E.</w:t>
      </w:r>
      <w:r w:rsidRPr="002C1AEB">
        <w:rPr>
          <w:rFonts w:ascii="Times New Roman" w:hAnsi="Times New Roman" w:cs="Times New Roman"/>
          <w:sz w:val="24"/>
          <w:szCs w:val="24"/>
        </w:rPr>
        <w:t xml:space="preserve">, ‘Character and Conflict in the Four Branches of the Mabinogi’, </w:t>
      </w:r>
      <w:r w:rsidRPr="002C1AEB">
        <w:rPr>
          <w:rFonts w:ascii="Times New Roman" w:hAnsi="Times New Roman" w:cs="Times New Roman"/>
          <w:i/>
          <w:sz w:val="24"/>
          <w:szCs w:val="24"/>
        </w:rPr>
        <w:t xml:space="preserve">Bulletin of the Board of Celtic Studies, </w:t>
      </w:r>
      <w:r w:rsidRPr="002C1AEB">
        <w:rPr>
          <w:rFonts w:ascii="Times New Roman" w:hAnsi="Times New Roman" w:cs="Times New Roman"/>
          <w:sz w:val="24"/>
          <w:szCs w:val="24"/>
        </w:rPr>
        <w:t>40, 51-72, p. 53.</w:t>
      </w:r>
    </w:p>
    <w:p w:rsidR="002C1AEB" w:rsidRDefault="002C1AEB" w:rsidP="002C1AEB">
      <w:pPr>
        <w:spacing w:line="240" w:lineRule="auto"/>
        <w:rPr>
          <w:rFonts w:ascii="Times New Roman" w:hAnsi="Times New Roman" w:cs="Times New Roman"/>
          <w:sz w:val="24"/>
          <w:szCs w:val="24"/>
        </w:rPr>
      </w:pPr>
      <w:r w:rsidRPr="002C1AEB">
        <w:rPr>
          <w:rFonts w:ascii="Times New Roman" w:hAnsi="Times New Roman" w:cs="Times New Roman"/>
          <w:sz w:val="24"/>
          <w:szCs w:val="24"/>
        </w:rPr>
        <w:t>Davies</w:t>
      </w:r>
      <w:r>
        <w:rPr>
          <w:rFonts w:ascii="Times New Roman" w:hAnsi="Times New Roman" w:cs="Times New Roman"/>
          <w:sz w:val="24"/>
          <w:szCs w:val="24"/>
        </w:rPr>
        <w:t>, S.</w:t>
      </w:r>
      <w:r w:rsidRPr="002C1AEB">
        <w:rPr>
          <w:rFonts w:ascii="Times New Roman" w:hAnsi="Times New Roman" w:cs="Times New Roman"/>
          <w:sz w:val="24"/>
          <w:szCs w:val="24"/>
        </w:rPr>
        <w:t xml:space="preserve">, </w:t>
      </w:r>
      <w:r w:rsidRPr="002C1AEB">
        <w:rPr>
          <w:rFonts w:ascii="Times New Roman" w:hAnsi="Times New Roman" w:cs="Times New Roman"/>
          <w:i/>
          <w:sz w:val="24"/>
          <w:szCs w:val="24"/>
        </w:rPr>
        <w:t xml:space="preserve">Literacy in Medieval Celtic Societies, </w:t>
      </w:r>
      <w:r w:rsidRPr="002C1AEB">
        <w:rPr>
          <w:rFonts w:ascii="Times New Roman" w:hAnsi="Times New Roman" w:cs="Times New Roman"/>
          <w:sz w:val="24"/>
          <w:szCs w:val="24"/>
        </w:rPr>
        <w:t>ed. H. Pryce, (Cambridge: Cambridge University Press, 1998</w:t>
      </w:r>
      <w:r>
        <w:rPr>
          <w:rFonts w:ascii="Times New Roman" w:hAnsi="Times New Roman" w:cs="Times New Roman"/>
          <w:sz w:val="24"/>
          <w:szCs w:val="24"/>
        </w:rPr>
        <w:t>).</w:t>
      </w:r>
    </w:p>
    <w:p w:rsidR="002C1AEB" w:rsidRPr="001807B3" w:rsidRDefault="002C1AEB" w:rsidP="002C1AEB">
      <w:pPr>
        <w:spacing w:line="240" w:lineRule="auto"/>
        <w:rPr>
          <w:rFonts w:ascii="Times New Roman" w:hAnsi="Times New Roman" w:cs="Times New Roman"/>
          <w:sz w:val="24"/>
          <w:szCs w:val="24"/>
        </w:rPr>
      </w:pPr>
      <w:r w:rsidRPr="002C1AEB">
        <w:rPr>
          <w:rFonts w:ascii="Times New Roman" w:hAnsi="Times New Roman" w:cs="Times New Roman"/>
          <w:sz w:val="24"/>
          <w:szCs w:val="24"/>
        </w:rPr>
        <w:t>Davies</w:t>
      </w:r>
      <w:r>
        <w:rPr>
          <w:rFonts w:ascii="Times New Roman" w:hAnsi="Times New Roman" w:cs="Times New Roman"/>
          <w:sz w:val="24"/>
          <w:szCs w:val="24"/>
        </w:rPr>
        <w:t>, S.</w:t>
      </w:r>
      <w:r w:rsidRPr="002C1AEB">
        <w:rPr>
          <w:rFonts w:ascii="Times New Roman" w:hAnsi="Times New Roman" w:cs="Times New Roman"/>
          <w:sz w:val="24"/>
          <w:szCs w:val="24"/>
        </w:rPr>
        <w:t xml:space="preserve">, </w:t>
      </w:r>
      <w:r w:rsidRPr="002C1AEB">
        <w:rPr>
          <w:rFonts w:ascii="Times New Roman" w:hAnsi="Times New Roman" w:cs="Times New Roman"/>
          <w:i/>
          <w:sz w:val="24"/>
          <w:szCs w:val="24"/>
        </w:rPr>
        <w:t xml:space="preserve">The Four Branches of the Mabinogi, </w:t>
      </w:r>
      <w:r w:rsidRPr="002C1AEB">
        <w:rPr>
          <w:rFonts w:ascii="Times New Roman" w:hAnsi="Times New Roman" w:cs="Times New Roman"/>
          <w:sz w:val="24"/>
          <w:szCs w:val="24"/>
        </w:rPr>
        <w:t>(Llandysul</w:t>
      </w:r>
      <w:r>
        <w:rPr>
          <w:rFonts w:ascii="Times New Roman" w:hAnsi="Times New Roman" w:cs="Times New Roman"/>
          <w:sz w:val="24"/>
          <w:szCs w:val="24"/>
        </w:rPr>
        <w:t>: Gwasg Gomer, 1993).</w:t>
      </w:r>
    </w:p>
    <w:p w:rsidR="002C1AEB" w:rsidRDefault="002C1AEB" w:rsidP="002C1AEB">
      <w:pPr>
        <w:spacing w:line="240" w:lineRule="auto"/>
        <w:rPr>
          <w:rFonts w:ascii="Times New Roman" w:hAnsi="Times New Roman" w:cs="Times New Roman"/>
          <w:sz w:val="24"/>
          <w:szCs w:val="24"/>
        </w:rPr>
      </w:pPr>
      <w:r w:rsidRPr="002C1AEB">
        <w:rPr>
          <w:rFonts w:ascii="Times New Roman" w:hAnsi="Times New Roman" w:cs="Times New Roman"/>
          <w:sz w:val="24"/>
          <w:szCs w:val="24"/>
        </w:rPr>
        <w:t>Ford</w:t>
      </w:r>
      <w:r>
        <w:rPr>
          <w:rFonts w:ascii="Times New Roman" w:hAnsi="Times New Roman" w:cs="Times New Roman"/>
          <w:sz w:val="24"/>
          <w:szCs w:val="24"/>
        </w:rPr>
        <w:t>, P.K.</w:t>
      </w:r>
      <w:r w:rsidRPr="002C1AEB">
        <w:rPr>
          <w:rFonts w:ascii="Times New Roman" w:hAnsi="Times New Roman" w:cs="Times New Roman"/>
          <w:sz w:val="24"/>
          <w:szCs w:val="24"/>
        </w:rPr>
        <w:t xml:space="preserve">, ‘Prolegomena to a Reading of the Mabinogi: Pwyll and Manawydan’, </w:t>
      </w:r>
      <w:r w:rsidRPr="002C1AEB">
        <w:rPr>
          <w:rFonts w:ascii="Times New Roman" w:hAnsi="Times New Roman" w:cs="Times New Roman"/>
          <w:i/>
          <w:sz w:val="24"/>
          <w:szCs w:val="24"/>
        </w:rPr>
        <w:t xml:space="preserve">Studia Celtica, </w:t>
      </w:r>
      <w:r w:rsidRPr="002C1AEB">
        <w:rPr>
          <w:rFonts w:ascii="Times New Roman" w:hAnsi="Times New Roman" w:cs="Times New Roman"/>
          <w:sz w:val="24"/>
          <w:szCs w:val="24"/>
        </w:rPr>
        <w:t>16/17, (1981/82), 110-125, p. 118.</w:t>
      </w:r>
    </w:p>
    <w:p w:rsidR="002C1AEB" w:rsidRDefault="002C1AEB" w:rsidP="002C1AEB">
      <w:pPr>
        <w:spacing w:line="240" w:lineRule="auto"/>
        <w:rPr>
          <w:rFonts w:ascii="Times New Roman" w:hAnsi="Times New Roman" w:cs="Times New Roman"/>
          <w:sz w:val="24"/>
          <w:szCs w:val="24"/>
        </w:rPr>
      </w:pPr>
      <w:r w:rsidRPr="002C1AEB">
        <w:rPr>
          <w:rFonts w:ascii="Times New Roman" w:hAnsi="Times New Roman" w:cs="Times New Roman"/>
          <w:sz w:val="24"/>
          <w:szCs w:val="24"/>
        </w:rPr>
        <w:t>Hanson-Smith</w:t>
      </w:r>
      <w:r>
        <w:rPr>
          <w:rFonts w:ascii="Times New Roman" w:hAnsi="Times New Roman" w:cs="Times New Roman"/>
          <w:sz w:val="24"/>
          <w:szCs w:val="24"/>
        </w:rPr>
        <w:t>, E.</w:t>
      </w:r>
      <w:r w:rsidRPr="002C1AEB">
        <w:rPr>
          <w:rFonts w:ascii="Times New Roman" w:hAnsi="Times New Roman" w:cs="Times New Roman"/>
          <w:sz w:val="24"/>
          <w:szCs w:val="24"/>
        </w:rPr>
        <w:t xml:space="preserve">, ‘Pwyll Prince of Dyfed: The Narrative Structure’, </w:t>
      </w:r>
      <w:r w:rsidRPr="002C1AEB">
        <w:rPr>
          <w:rFonts w:ascii="Times New Roman" w:hAnsi="Times New Roman" w:cs="Times New Roman"/>
          <w:i/>
          <w:sz w:val="24"/>
          <w:szCs w:val="24"/>
        </w:rPr>
        <w:t xml:space="preserve">Studia Celtica, </w:t>
      </w:r>
      <w:r w:rsidRPr="002C1AEB">
        <w:rPr>
          <w:rFonts w:ascii="Times New Roman" w:hAnsi="Times New Roman" w:cs="Times New Roman"/>
          <w:sz w:val="24"/>
          <w:szCs w:val="24"/>
        </w:rPr>
        <w:t>16/17, (1981/82), 126-134, p. 130.</w:t>
      </w:r>
    </w:p>
    <w:p w:rsidR="001807B3" w:rsidRDefault="001807B3" w:rsidP="002C1AEB">
      <w:pPr>
        <w:spacing w:line="240" w:lineRule="auto"/>
        <w:rPr>
          <w:rFonts w:ascii="Times New Roman" w:hAnsi="Times New Roman" w:cs="Times New Roman"/>
          <w:sz w:val="24"/>
          <w:szCs w:val="24"/>
        </w:rPr>
      </w:pPr>
      <w:r w:rsidRPr="001807B3">
        <w:rPr>
          <w:rFonts w:ascii="Times New Roman" w:hAnsi="Times New Roman" w:cs="Times New Roman"/>
          <w:sz w:val="24"/>
          <w:szCs w:val="24"/>
        </w:rPr>
        <w:t>Hemming</w:t>
      </w:r>
      <w:r>
        <w:rPr>
          <w:rFonts w:ascii="Times New Roman" w:hAnsi="Times New Roman" w:cs="Times New Roman"/>
          <w:sz w:val="24"/>
          <w:szCs w:val="24"/>
        </w:rPr>
        <w:t>, J.</w:t>
      </w:r>
      <w:r w:rsidRPr="001807B3">
        <w:rPr>
          <w:rFonts w:ascii="Times New Roman" w:hAnsi="Times New Roman" w:cs="Times New Roman"/>
          <w:sz w:val="24"/>
          <w:szCs w:val="24"/>
        </w:rPr>
        <w:t xml:space="preserve">, </w:t>
      </w:r>
      <w:r w:rsidRPr="001807B3">
        <w:rPr>
          <w:rFonts w:ascii="Times New Roman" w:hAnsi="Times New Roman" w:cs="Times New Roman"/>
          <w:i/>
          <w:sz w:val="24"/>
          <w:szCs w:val="24"/>
        </w:rPr>
        <w:t>Myth in Celtic Literatures</w:t>
      </w:r>
      <w:r>
        <w:rPr>
          <w:rFonts w:ascii="Times New Roman" w:hAnsi="Times New Roman" w:cs="Times New Roman"/>
          <w:sz w:val="24"/>
          <w:szCs w:val="24"/>
        </w:rPr>
        <w:t xml:space="preserve">, ed. </w:t>
      </w:r>
      <w:r w:rsidRPr="001807B3">
        <w:rPr>
          <w:rFonts w:ascii="Times New Roman" w:hAnsi="Times New Roman" w:cs="Times New Roman"/>
          <w:sz w:val="24"/>
          <w:szCs w:val="24"/>
        </w:rPr>
        <w:t>Nagy</w:t>
      </w:r>
      <w:r>
        <w:rPr>
          <w:rFonts w:ascii="Times New Roman" w:hAnsi="Times New Roman" w:cs="Times New Roman"/>
          <w:sz w:val="24"/>
          <w:szCs w:val="24"/>
        </w:rPr>
        <w:t>, J.F.</w:t>
      </w:r>
      <w:r w:rsidRPr="001807B3">
        <w:rPr>
          <w:rFonts w:ascii="Times New Roman" w:hAnsi="Times New Roman" w:cs="Times New Roman"/>
          <w:sz w:val="24"/>
          <w:szCs w:val="24"/>
        </w:rPr>
        <w:t xml:space="preserve"> (Dublin: Four Courts Press, 2007)</w:t>
      </w:r>
      <w:r>
        <w:rPr>
          <w:rFonts w:ascii="Times New Roman" w:hAnsi="Times New Roman" w:cs="Times New Roman"/>
          <w:sz w:val="24"/>
          <w:szCs w:val="24"/>
        </w:rPr>
        <w:t>.</w:t>
      </w:r>
    </w:p>
    <w:p w:rsidR="002C1AEB" w:rsidRDefault="002C1AEB" w:rsidP="002C1AEB">
      <w:pPr>
        <w:spacing w:line="240" w:lineRule="auto"/>
        <w:rPr>
          <w:rFonts w:ascii="Times New Roman" w:hAnsi="Times New Roman" w:cs="Times New Roman"/>
          <w:sz w:val="24"/>
          <w:szCs w:val="24"/>
        </w:rPr>
      </w:pPr>
      <w:r w:rsidRPr="002C1AEB">
        <w:rPr>
          <w:rFonts w:ascii="Times New Roman" w:hAnsi="Times New Roman" w:cs="Times New Roman"/>
          <w:sz w:val="24"/>
          <w:szCs w:val="24"/>
        </w:rPr>
        <w:t>Hutton</w:t>
      </w:r>
      <w:r>
        <w:rPr>
          <w:rFonts w:ascii="Times New Roman" w:hAnsi="Times New Roman" w:cs="Times New Roman"/>
          <w:sz w:val="24"/>
          <w:szCs w:val="24"/>
        </w:rPr>
        <w:t>, R.</w:t>
      </w:r>
      <w:r w:rsidRPr="002C1AEB">
        <w:rPr>
          <w:rFonts w:ascii="Times New Roman" w:hAnsi="Times New Roman" w:cs="Times New Roman"/>
          <w:sz w:val="24"/>
          <w:szCs w:val="24"/>
        </w:rPr>
        <w:t xml:space="preserve">, ‘Medieval Welsh Literature and Pre-Christian Deities’, </w:t>
      </w:r>
      <w:r w:rsidRPr="002C1AEB">
        <w:rPr>
          <w:rFonts w:ascii="Times New Roman" w:hAnsi="Times New Roman" w:cs="Times New Roman"/>
          <w:i/>
          <w:sz w:val="24"/>
          <w:szCs w:val="24"/>
        </w:rPr>
        <w:t xml:space="preserve">Cambrian Medieval Celtic Studies, </w:t>
      </w:r>
      <w:r w:rsidRPr="002C1AEB">
        <w:rPr>
          <w:rFonts w:ascii="Times New Roman" w:hAnsi="Times New Roman" w:cs="Times New Roman"/>
          <w:sz w:val="24"/>
          <w:szCs w:val="24"/>
        </w:rPr>
        <w:t>61, 57-85, p. 83.</w:t>
      </w:r>
    </w:p>
    <w:p w:rsidR="002C1AEB" w:rsidRDefault="002C1AEB" w:rsidP="002C1AEB">
      <w:pPr>
        <w:spacing w:line="240" w:lineRule="auto"/>
        <w:rPr>
          <w:rFonts w:ascii="Times New Roman" w:hAnsi="Times New Roman" w:cs="Times New Roman"/>
          <w:sz w:val="24"/>
          <w:szCs w:val="24"/>
        </w:rPr>
      </w:pPr>
      <w:r w:rsidRPr="002C1AEB">
        <w:rPr>
          <w:rFonts w:ascii="Times New Roman" w:hAnsi="Times New Roman" w:cs="Times New Roman"/>
          <w:sz w:val="24"/>
          <w:szCs w:val="24"/>
        </w:rPr>
        <w:t>Mac Cana</w:t>
      </w:r>
      <w:r>
        <w:rPr>
          <w:rFonts w:ascii="Times New Roman" w:hAnsi="Times New Roman" w:cs="Times New Roman"/>
          <w:sz w:val="24"/>
          <w:szCs w:val="24"/>
        </w:rPr>
        <w:t>, P.</w:t>
      </w:r>
      <w:r w:rsidRPr="002C1AEB">
        <w:rPr>
          <w:rFonts w:ascii="Times New Roman" w:hAnsi="Times New Roman" w:cs="Times New Roman"/>
          <w:sz w:val="24"/>
          <w:szCs w:val="24"/>
        </w:rPr>
        <w:t xml:space="preserve">, </w:t>
      </w:r>
      <w:r w:rsidRPr="002C1AEB">
        <w:rPr>
          <w:rFonts w:ascii="Times New Roman" w:hAnsi="Times New Roman" w:cs="Times New Roman"/>
          <w:i/>
          <w:sz w:val="24"/>
          <w:szCs w:val="24"/>
        </w:rPr>
        <w:t xml:space="preserve">The Mabinogi, </w:t>
      </w:r>
      <w:r w:rsidRPr="002C1AEB">
        <w:rPr>
          <w:rFonts w:ascii="Times New Roman" w:hAnsi="Times New Roman" w:cs="Times New Roman"/>
          <w:sz w:val="24"/>
          <w:szCs w:val="24"/>
        </w:rPr>
        <w:t>(Cardiff</w:t>
      </w:r>
      <w:r>
        <w:rPr>
          <w:rFonts w:ascii="Times New Roman" w:hAnsi="Times New Roman" w:cs="Times New Roman"/>
          <w:sz w:val="24"/>
          <w:szCs w:val="24"/>
        </w:rPr>
        <w:t>: University Wales Press, 1992).</w:t>
      </w:r>
    </w:p>
    <w:p w:rsidR="002C1AEB" w:rsidRDefault="002C1AEB" w:rsidP="002C1AEB">
      <w:pPr>
        <w:spacing w:line="240" w:lineRule="auto"/>
        <w:rPr>
          <w:rFonts w:ascii="Times New Roman" w:hAnsi="Times New Roman" w:cs="Times New Roman"/>
          <w:sz w:val="24"/>
          <w:szCs w:val="24"/>
        </w:rPr>
      </w:pPr>
      <w:r w:rsidRPr="002C1AEB">
        <w:rPr>
          <w:rFonts w:ascii="Times New Roman" w:hAnsi="Times New Roman" w:cs="Times New Roman"/>
          <w:sz w:val="24"/>
          <w:szCs w:val="24"/>
        </w:rPr>
        <w:t>MacKillop</w:t>
      </w:r>
      <w:r>
        <w:rPr>
          <w:rFonts w:ascii="Times New Roman" w:hAnsi="Times New Roman" w:cs="Times New Roman"/>
          <w:sz w:val="24"/>
          <w:szCs w:val="24"/>
        </w:rPr>
        <w:t>, J.</w:t>
      </w:r>
      <w:r w:rsidRPr="002C1AEB">
        <w:rPr>
          <w:rFonts w:ascii="Times New Roman" w:hAnsi="Times New Roman" w:cs="Times New Roman"/>
          <w:sz w:val="24"/>
          <w:szCs w:val="24"/>
        </w:rPr>
        <w:t xml:space="preserve">, </w:t>
      </w:r>
      <w:r w:rsidRPr="002C1AEB">
        <w:rPr>
          <w:rFonts w:ascii="Times New Roman" w:hAnsi="Times New Roman" w:cs="Times New Roman"/>
          <w:i/>
          <w:sz w:val="24"/>
          <w:szCs w:val="24"/>
        </w:rPr>
        <w:t xml:space="preserve">Dictionary of Celtic Mythology, </w:t>
      </w:r>
      <w:r w:rsidRPr="002C1AEB">
        <w:rPr>
          <w:rFonts w:ascii="Times New Roman" w:hAnsi="Times New Roman" w:cs="Times New Roman"/>
          <w:sz w:val="24"/>
          <w:szCs w:val="24"/>
        </w:rPr>
        <w:t>(Indiana: Oxford University Press, 1998).</w:t>
      </w:r>
    </w:p>
    <w:p w:rsidR="002C1AEB" w:rsidRDefault="002C1AEB" w:rsidP="002C1AEB">
      <w:pPr>
        <w:spacing w:line="240" w:lineRule="auto"/>
        <w:rPr>
          <w:rFonts w:ascii="Times New Roman" w:hAnsi="Times New Roman" w:cs="Times New Roman"/>
          <w:sz w:val="24"/>
          <w:szCs w:val="24"/>
        </w:rPr>
      </w:pPr>
      <w:r w:rsidRPr="002C1AEB">
        <w:rPr>
          <w:rFonts w:ascii="Times New Roman" w:hAnsi="Times New Roman" w:cs="Times New Roman"/>
          <w:sz w:val="24"/>
          <w:szCs w:val="24"/>
        </w:rPr>
        <w:t>Roberts</w:t>
      </w:r>
      <w:r>
        <w:rPr>
          <w:rFonts w:ascii="Times New Roman" w:hAnsi="Times New Roman" w:cs="Times New Roman"/>
          <w:sz w:val="24"/>
          <w:szCs w:val="24"/>
        </w:rPr>
        <w:t>, B.F.</w:t>
      </w:r>
      <w:r w:rsidRPr="002C1AEB">
        <w:rPr>
          <w:rFonts w:ascii="Times New Roman" w:hAnsi="Times New Roman" w:cs="Times New Roman"/>
          <w:sz w:val="24"/>
          <w:szCs w:val="24"/>
        </w:rPr>
        <w:t xml:space="preserve">, </w:t>
      </w:r>
      <w:r w:rsidRPr="002C1AEB">
        <w:rPr>
          <w:rFonts w:ascii="Times New Roman" w:hAnsi="Times New Roman" w:cs="Times New Roman"/>
          <w:i/>
          <w:sz w:val="24"/>
          <w:szCs w:val="24"/>
        </w:rPr>
        <w:t xml:space="preserve">Studies on Middle Welsh Literature, </w:t>
      </w:r>
      <w:r w:rsidRPr="002C1AEB">
        <w:rPr>
          <w:rFonts w:ascii="Times New Roman" w:hAnsi="Times New Roman" w:cs="Times New Roman"/>
          <w:sz w:val="24"/>
          <w:szCs w:val="24"/>
        </w:rPr>
        <w:t>(New York: Edwin Mellen Press, 1992)</w:t>
      </w:r>
      <w:r>
        <w:rPr>
          <w:rFonts w:ascii="Times New Roman" w:hAnsi="Times New Roman" w:cs="Times New Roman"/>
          <w:sz w:val="24"/>
          <w:szCs w:val="24"/>
        </w:rPr>
        <w:t>.</w:t>
      </w:r>
    </w:p>
    <w:sectPr w:rsidR="002C1AEB">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06664" w:rsidRDefault="00206664" w:rsidP="00E804DF">
      <w:pPr>
        <w:spacing w:after="0" w:line="240" w:lineRule="auto"/>
      </w:pPr>
      <w:r>
        <w:separator/>
      </w:r>
    </w:p>
  </w:endnote>
  <w:endnote w:type="continuationSeparator" w:id="0">
    <w:p w:rsidR="00206664" w:rsidRDefault="00206664" w:rsidP="00E804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3"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30211409"/>
      <w:docPartObj>
        <w:docPartGallery w:val="Page Numbers (Bottom of Page)"/>
        <w:docPartUnique/>
      </w:docPartObj>
    </w:sdtPr>
    <w:sdtEndPr>
      <w:rPr>
        <w:noProof/>
      </w:rPr>
    </w:sdtEndPr>
    <w:sdtContent>
      <w:p w:rsidR="00295055" w:rsidRDefault="00295055">
        <w:pPr>
          <w:pStyle w:val="Footer"/>
        </w:pPr>
        <w:r>
          <w:fldChar w:fldCharType="begin"/>
        </w:r>
        <w:r>
          <w:instrText xml:space="preserve"> PAGE   \* MERGEFORMAT </w:instrText>
        </w:r>
        <w:r>
          <w:fldChar w:fldCharType="separate"/>
        </w:r>
        <w:r w:rsidR="00D67C93">
          <w:rPr>
            <w:noProof/>
          </w:rPr>
          <w:t>2</w:t>
        </w:r>
        <w:r>
          <w:rPr>
            <w:noProof/>
          </w:rPr>
          <w:fldChar w:fldCharType="end"/>
        </w:r>
      </w:p>
    </w:sdtContent>
  </w:sdt>
  <w:p w:rsidR="00295055" w:rsidRDefault="0029505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06664" w:rsidRDefault="00206664" w:rsidP="00E804DF">
      <w:pPr>
        <w:spacing w:after="0" w:line="240" w:lineRule="auto"/>
      </w:pPr>
      <w:r>
        <w:separator/>
      </w:r>
    </w:p>
  </w:footnote>
  <w:footnote w:type="continuationSeparator" w:id="0">
    <w:p w:rsidR="00206664" w:rsidRDefault="00206664" w:rsidP="00E804DF">
      <w:pPr>
        <w:spacing w:after="0" w:line="240" w:lineRule="auto"/>
      </w:pPr>
      <w:r>
        <w:continuationSeparator/>
      </w:r>
    </w:p>
  </w:footnote>
  <w:footnote w:id="1">
    <w:p w:rsidR="00E804DF" w:rsidRDefault="00E804DF">
      <w:pPr>
        <w:pStyle w:val="FootnoteText"/>
      </w:pPr>
      <w:r>
        <w:rPr>
          <w:rStyle w:val="FootnoteReference"/>
        </w:rPr>
        <w:footnoteRef/>
      </w:r>
      <w:r>
        <w:t xml:space="preserve"> </w:t>
      </w:r>
      <w:r w:rsidR="003F438D">
        <w:t xml:space="preserve">J. Hemming, </w:t>
      </w:r>
      <w:r w:rsidR="003F438D" w:rsidRPr="003F438D">
        <w:rPr>
          <w:i/>
        </w:rPr>
        <w:t>Myth in Celtic Literatures</w:t>
      </w:r>
      <w:r w:rsidR="003F438D">
        <w:t>, ed. J.F. Nagy (Dublin: Four Courts Press, 2007)</w:t>
      </w:r>
      <w:r w:rsidR="009C3C54">
        <w:t xml:space="preserve"> p. 87.</w:t>
      </w:r>
    </w:p>
  </w:footnote>
  <w:footnote w:id="2">
    <w:p w:rsidR="00E804DF" w:rsidRPr="00CF5799" w:rsidRDefault="00E804DF">
      <w:pPr>
        <w:pStyle w:val="FootnoteText"/>
      </w:pPr>
      <w:r>
        <w:rPr>
          <w:rStyle w:val="FootnoteReference"/>
        </w:rPr>
        <w:footnoteRef/>
      </w:r>
      <w:r>
        <w:t xml:space="preserve"> </w:t>
      </w:r>
      <w:r w:rsidR="00CF5799">
        <w:t xml:space="preserve">P.K. Ford, ‘Prolegomena to a Reading of the Mabinogi: Pwyll and Manawydan’, </w:t>
      </w:r>
      <w:r w:rsidR="00CF5799">
        <w:rPr>
          <w:i/>
        </w:rPr>
        <w:t xml:space="preserve">Studia Celtica, </w:t>
      </w:r>
      <w:r w:rsidR="00CF5799">
        <w:t>16/17, (1981/82), 110-125, p. 118.</w:t>
      </w:r>
    </w:p>
  </w:footnote>
  <w:footnote w:id="3">
    <w:p w:rsidR="00E804DF" w:rsidRDefault="00E804DF">
      <w:pPr>
        <w:pStyle w:val="FootnoteText"/>
      </w:pPr>
      <w:r>
        <w:rPr>
          <w:rStyle w:val="FootnoteReference"/>
        </w:rPr>
        <w:footnoteRef/>
      </w:r>
      <w:r>
        <w:t xml:space="preserve"> </w:t>
      </w:r>
      <w:r w:rsidR="00BB4202">
        <w:t xml:space="preserve">E. Hanson-Smith, ‘Pwyll Prince of Dyfed: The Narrative Structure’, </w:t>
      </w:r>
      <w:r w:rsidR="00BB4202">
        <w:rPr>
          <w:i/>
        </w:rPr>
        <w:t xml:space="preserve">Studia Celtica, </w:t>
      </w:r>
      <w:r w:rsidR="00BB4202">
        <w:t>16/17, (1981/82), 126-134, p. 130.</w:t>
      </w:r>
    </w:p>
  </w:footnote>
  <w:footnote w:id="4">
    <w:p w:rsidR="00E804DF" w:rsidRPr="00015320" w:rsidRDefault="00E804DF">
      <w:pPr>
        <w:pStyle w:val="FootnoteText"/>
      </w:pPr>
      <w:r>
        <w:rPr>
          <w:rStyle w:val="FootnoteReference"/>
        </w:rPr>
        <w:footnoteRef/>
      </w:r>
      <w:r>
        <w:t xml:space="preserve"> </w:t>
      </w:r>
      <w:r w:rsidR="00BB4202">
        <w:t xml:space="preserve">J. MacKillop, </w:t>
      </w:r>
      <w:r w:rsidR="00BB4202">
        <w:rPr>
          <w:i/>
        </w:rPr>
        <w:t>Dictionary of Celtic Mythology</w:t>
      </w:r>
      <w:r w:rsidR="00015320">
        <w:rPr>
          <w:i/>
        </w:rPr>
        <w:t xml:space="preserve">, </w:t>
      </w:r>
      <w:r w:rsidR="00015320">
        <w:t>(Indiana: Oxford University Press, 1998).</w:t>
      </w:r>
    </w:p>
  </w:footnote>
  <w:footnote w:id="5">
    <w:p w:rsidR="00E804DF" w:rsidRPr="00015320" w:rsidRDefault="00E804DF">
      <w:pPr>
        <w:pStyle w:val="FootnoteText"/>
      </w:pPr>
      <w:r>
        <w:rPr>
          <w:rStyle w:val="FootnoteReference"/>
        </w:rPr>
        <w:footnoteRef/>
      </w:r>
      <w:r>
        <w:t xml:space="preserve"> </w:t>
      </w:r>
      <w:r w:rsidR="00015320">
        <w:t xml:space="preserve">R. Hutton, ‘Medieval Welsh Literature and Pre-Christian Deities’, </w:t>
      </w:r>
      <w:r w:rsidR="00015320">
        <w:rPr>
          <w:i/>
        </w:rPr>
        <w:t xml:space="preserve">Cambrian Medieval Celtic Studies, </w:t>
      </w:r>
      <w:r w:rsidR="00015320">
        <w:t>61, 57-85, p. 83.</w:t>
      </w:r>
    </w:p>
  </w:footnote>
  <w:footnote w:id="6">
    <w:p w:rsidR="00E804DF" w:rsidRPr="00015320" w:rsidRDefault="00E804DF">
      <w:pPr>
        <w:pStyle w:val="FootnoteText"/>
      </w:pPr>
      <w:r>
        <w:rPr>
          <w:rStyle w:val="FootnoteReference"/>
        </w:rPr>
        <w:footnoteRef/>
      </w:r>
      <w:r>
        <w:t xml:space="preserve"> </w:t>
      </w:r>
      <w:r w:rsidR="00015320">
        <w:t xml:space="preserve">C.E. Byfield, ‘Character and Conflict in the Four Branches of the Mabinogi’, </w:t>
      </w:r>
      <w:r w:rsidR="00015320">
        <w:rPr>
          <w:i/>
        </w:rPr>
        <w:t xml:space="preserve">Bulletin of the Board of Celtic Studies, </w:t>
      </w:r>
      <w:r w:rsidR="00015320">
        <w:t>40, 51-72, p. 53.</w:t>
      </w:r>
    </w:p>
  </w:footnote>
  <w:footnote w:id="7">
    <w:p w:rsidR="00E804DF" w:rsidRPr="00D4729E" w:rsidRDefault="00E804DF">
      <w:pPr>
        <w:pStyle w:val="FootnoteText"/>
      </w:pPr>
      <w:r>
        <w:rPr>
          <w:rStyle w:val="FootnoteReference"/>
        </w:rPr>
        <w:footnoteRef/>
      </w:r>
      <w:r>
        <w:t xml:space="preserve"> </w:t>
      </w:r>
      <w:r w:rsidR="00FA3520">
        <w:t>P. Mac Cana</w:t>
      </w:r>
      <w:r w:rsidR="00D4729E">
        <w:t xml:space="preserve">, </w:t>
      </w:r>
      <w:r w:rsidR="00D4729E">
        <w:rPr>
          <w:i/>
        </w:rPr>
        <w:t xml:space="preserve">The Mabinogi, </w:t>
      </w:r>
      <w:r w:rsidR="00D4729E">
        <w:t>(Cardiff: University Wales Press, 1992), p. 56.</w:t>
      </w:r>
    </w:p>
  </w:footnote>
  <w:footnote w:id="8">
    <w:p w:rsidR="00E804DF" w:rsidRDefault="00E804DF">
      <w:pPr>
        <w:pStyle w:val="FootnoteText"/>
      </w:pPr>
      <w:r>
        <w:rPr>
          <w:rStyle w:val="FootnoteReference"/>
        </w:rPr>
        <w:footnoteRef/>
      </w:r>
      <w:r>
        <w:t xml:space="preserve"> </w:t>
      </w:r>
      <w:r w:rsidR="009855F1">
        <w:t xml:space="preserve">C.E. Byfield, ‘Character and Conflict in the Four Branches of the Mabinogi’, </w:t>
      </w:r>
      <w:r w:rsidR="009855F1">
        <w:rPr>
          <w:i/>
        </w:rPr>
        <w:t xml:space="preserve">Bulletin of the Board of Celtic Studies, </w:t>
      </w:r>
      <w:r w:rsidR="009855F1">
        <w:t>40, 51-72, p. 53.</w:t>
      </w:r>
    </w:p>
  </w:footnote>
  <w:footnote w:id="9">
    <w:p w:rsidR="00E804DF" w:rsidRDefault="00E804DF">
      <w:pPr>
        <w:pStyle w:val="FootnoteText"/>
      </w:pPr>
      <w:r>
        <w:rPr>
          <w:rStyle w:val="FootnoteReference"/>
        </w:rPr>
        <w:footnoteRef/>
      </w:r>
      <w:r>
        <w:t xml:space="preserve"> </w:t>
      </w:r>
      <w:r w:rsidR="00E53FDC">
        <w:t xml:space="preserve">C.E. Byfield, ‘Character and Conflict in the Four Branches of the Mabinogi’, </w:t>
      </w:r>
      <w:r w:rsidR="00E53FDC">
        <w:rPr>
          <w:i/>
        </w:rPr>
        <w:t xml:space="preserve">Bulletin of the Board of Celtic Studies, </w:t>
      </w:r>
      <w:r w:rsidR="00E53FDC">
        <w:t xml:space="preserve">40, 51-72, </w:t>
      </w:r>
      <w:r w:rsidR="009855F1">
        <w:t>p. 54.</w:t>
      </w:r>
    </w:p>
  </w:footnote>
  <w:footnote w:id="10">
    <w:p w:rsidR="00E804DF" w:rsidRDefault="00E804DF">
      <w:pPr>
        <w:pStyle w:val="FootnoteText"/>
      </w:pPr>
      <w:r>
        <w:rPr>
          <w:rStyle w:val="FootnoteReference"/>
        </w:rPr>
        <w:footnoteRef/>
      </w:r>
      <w:r>
        <w:t xml:space="preserve"> </w:t>
      </w:r>
      <w:r w:rsidR="009855F1">
        <w:t xml:space="preserve">J. Hemming, </w:t>
      </w:r>
      <w:r w:rsidR="009855F1" w:rsidRPr="003F438D">
        <w:rPr>
          <w:i/>
        </w:rPr>
        <w:t>Myth in Celtic Literatures</w:t>
      </w:r>
      <w:r w:rsidR="009855F1">
        <w:t>, ed. J.F. Nagy (Dublin: Four Courts Press, 2007) p. 85.</w:t>
      </w:r>
    </w:p>
  </w:footnote>
  <w:footnote w:id="11">
    <w:p w:rsidR="00E804DF" w:rsidRPr="0038349D" w:rsidRDefault="00E804DF">
      <w:pPr>
        <w:pStyle w:val="FootnoteText"/>
      </w:pPr>
      <w:r>
        <w:rPr>
          <w:rStyle w:val="FootnoteReference"/>
        </w:rPr>
        <w:footnoteRef/>
      </w:r>
      <w:r>
        <w:t xml:space="preserve"> </w:t>
      </w:r>
      <w:r w:rsidR="0038349D">
        <w:t xml:space="preserve">B.F. Roberts, </w:t>
      </w:r>
      <w:r w:rsidR="0038349D">
        <w:rPr>
          <w:i/>
        </w:rPr>
        <w:t xml:space="preserve">Studies on Middle Welsh Literature, </w:t>
      </w:r>
      <w:r w:rsidR="0038349D">
        <w:t>(New York: Edwin Mellen Press, 1992)</w:t>
      </w:r>
      <w:r w:rsidR="001F066B">
        <w:t>, p. 91.</w:t>
      </w:r>
    </w:p>
  </w:footnote>
  <w:footnote w:id="12">
    <w:p w:rsidR="00E804DF" w:rsidRDefault="00E804DF">
      <w:pPr>
        <w:pStyle w:val="FootnoteText"/>
      </w:pPr>
      <w:r>
        <w:rPr>
          <w:rStyle w:val="FootnoteReference"/>
        </w:rPr>
        <w:footnoteRef/>
      </w:r>
      <w:r>
        <w:t xml:space="preserve"> </w:t>
      </w:r>
      <w:r w:rsidR="00420E29">
        <w:t xml:space="preserve">P. Mac Cana, </w:t>
      </w:r>
      <w:r w:rsidR="00420E29">
        <w:rPr>
          <w:i/>
        </w:rPr>
        <w:t xml:space="preserve">The Mabinogi, </w:t>
      </w:r>
      <w:r w:rsidR="00420E29">
        <w:t>(Cardiff: University Wales Press, 1992), p. 45.</w:t>
      </w:r>
    </w:p>
  </w:footnote>
  <w:footnote w:id="13">
    <w:p w:rsidR="00E804DF" w:rsidRPr="000430F1" w:rsidRDefault="00E804DF">
      <w:pPr>
        <w:pStyle w:val="FootnoteText"/>
      </w:pPr>
      <w:r>
        <w:rPr>
          <w:rStyle w:val="FootnoteReference"/>
        </w:rPr>
        <w:footnoteRef/>
      </w:r>
      <w:r>
        <w:t xml:space="preserve"> </w:t>
      </w:r>
      <w:r w:rsidR="00420E29">
        <w:t xml:space="preserve">S. Davies, </w:t>
      </w:r>
      <w:r w:rsidR="000430F1">
        <w:rPr>
          <w:i/>
        </w:rPr>
        <w:t xml:space="preserve">Literacy in Medieval Celtic Societies, </w:t>
      </w:r>
      <w:r w:rsidR="000430F1">
        <w:t>ed. H. Pryce, (Cambridge: Cambridge University Press, 1998), p. 145.</w:t>
      </w:r>
    </w:p>
  </w:footnote>
  <w:footnote w:id="14">
    <w:p w:rsidR="00E804DF" w:rsidRPr="000430F1" w:rsidRDefault="00E804DF">
      <w:pPr>
        <w:pStyle w:val="FootnoteText"/>
      </w:pPr>
      <w:r>
        <w:rPr>
          <w:rStyle w:val="FootnoteReference"/>
        </w:rPr>
        <w:footnoteRef/>
      </w:r>
      <w:r>
        <w:t xml:space="preserve"> </w:t>
      </w:r>
      <w:r w:rsidR="000430F1">
        <w:t xml:space="preserve">S. Davies, </w:t>
      </w:r>
      <w:r w:rsidR="000430F1">
        <w:rPr>
          <w:i/>
        </w:rPr>
        <w:t xml:space="preserve">The Four Branches of the Mabinogi, </w:t>
      </w:r>
      <w:r w:rsidR="000430F1">
        <w:t>(</w:t>
      </w:r>
      <w:r w:rsidR="000430F1" w:rsidRPr="000430F1">
        <w:t>Llandysul</w:t>
      </w:r>
      <w:r w:rsidR="000430F1">
        <w:t>: Gwasg Gomer, 1993), p. 37.</w:t>
      </w:r>
    </w:p>
  </w:footnote>
  <w:footnote w:id="15">
    <w:p w:rsidR="00E804DF" w:rsidRDefault="00E804DF">
      <w:pPr>
        <w:pStyle w:val="FootnoteText"/>
      </w:pPr>
      <w:r>
        <w:rPr>
          <w:rStyle w:val="FootnoteReference"/>
        </w:rPr>
        <w:footnoteRef/>
      </w:r>
      <w:r>
        <w:t xml:space="preserve"> </w:t>
      </w:r>
      <w:r w:rsidR="0022199E">
        <w:t xml:space="preserve">S. Davies, </w:t>
      </w:r>
      <w:r w:rsidR="0022199E">
        <w:rPr>
          <w:i/>
        </w:rPr>
        <w:t xml:space="preserve">The Four Branches of the Mabinogi, </w:t>
      </w:r>
      <w:r w:rsidR="0022199E">
        <w:t>(</w:t>
      </w:r>
      <w:r w:rsidR="0022199E" w:rsidRPr="000430F1">
        <w:t>Llandysul</w:t>
      </w:r>
      <w:r w:rsidR="0022199E">
        <w:t xml:space="preserve">: Gwasg Gomer, 1993), </w:t>
      </w:r>
      <w:r w:rsidR="00CF5705">
        <w:t>p. 41.</w:t>
      </w:r>
    </w:p>
  </w:footnote>
  <w:footnote w:id="16">
    <w:p w:rsidR="00E804DF" w:rsidRDefault="00E804DF">
      <w:pPr>
        <w:pStyle w:val="FootnoteText"/>
      </w:pPr>
      <w:r>
        <w:rPr>
          <w:rStyle w:val="FootnoteReference"/>
        </w:rPr>
        <w:footnoteRef/>
      </w:r>
      <w:r>
        <w:t xml:space="preserve"> </w:t>
      </w:r>
      <w:r w:rsidR="0022199E">
        <w:t xml:space="preserve">B.F. Roberts, </w:t>
      </w:r>
      <w:r w:rsidR="0022199E">
        <w:rPr>
          <w:i/>
        </w:rPr>
        <w:t xml:space="preserve">Studies on Middle Welsh Literature, </w:t>
      </w:r>
      <w:r w:rsidR="0022199E">
        <w:t>(New York: Edwin Mellen Press, 1992), p. 84.</w:t>
      </w:r>
    </w:p>
  </w:footnote>
  <w:footnote w:id="17">
    <w:p w:rsidR="00E804DF" w:rsidRDefault="00E804DF">
      <w:pPr>
        <w:pStyle w:val="FootnoteText"/>
      </w:pPr>
      <w:r>
        <w:rPr>
          <w:rStyle w:val="FootnoteReference"/>
        </w:rPr>
        <w:footnoteRef/>
      </w:r>
      <w:r>
        <w:t xml:space="preserve"> </w:t>
      </w:r>
      <w:r w:rsidR="0022199E">
        <w:t xml:space="preserve">S. Davies, </w:t>
      </w:r>
      <w:r w:rsidR="0022199E">
        <w:rPr>
          <w:i/>
        </w:rPr>
        <w:t xml:space="preserve">The Four Branches of the Mabinogi, </w:t>
      </w:r>
      <w:r w:rsidR="0022199E">
        <w:t>(</w:t>
      </w:r>
      <w:r w:rsidR="0022199E" w:rsidRPr="000430F1">
        <w:t>Llandysul</w:t>
      </w:r>
      <w:r w:rsidR="0022199E">
        <w:t>: Gwasg Gomer, 1993), p. 49.</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DE731A"/>
    <w:multiLevelType w:val="hybridMultilevel"/>
    <w:tmpl w:val="E24404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617709"/>
    <w:multiLevelType w:val="hybridMultilevel"/>
    <w:tmpl w:val="E0E06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553F55"/>
    <w:multiLevelType w:val="hybridMultilevel"/>
    <w:tmpl w:val="CD666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FA7BD2"/>
    <w:multiLevelType w:val="hybridMultilevel"/>
    <w:tmpl w:val="E63893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643885"/>
    <w:multiLevelType w:val="hybridMultilevel"/>
    <w:tmpl w:val="00B0E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C3434D"/>
    <w:multiLevelType w:val="hybridMultilevel"/>
    <w:tmpl w:val="21088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696A65"/>
    <w:multiLevelType w:val="hybridMultilevel"/>
    <w:tmpl w:val="FA401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434FE6"/>
    <w:multiLevelType w:val="hybridMultilevel"/>
    <w:tmpl w:val="C01A2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3D7CDA"/>
    <w:multiLevelType w:val="hybridMultilevel"/>
    <w:tmpl w:val="0DFE1C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7B43095"/>
    <w:multiLevelType w:val="hybridMultilevel"/>
    <w:tmpl w:val="FB767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AE61B8"/>
    <w:multiLevelType w:val="hybridMultilevel"/>
    <w:tmpl w:val="58AC2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2796DC6"/>
    <w:multiLevelType w:val="hybridMultilevel"/>
    <w:tmpl w:val="113EF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40819BF"/>
    <w:multiLevelType w:val="hybridMultilevel"/>
    <w:tmpl w:val="FAB46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1"/>
  </w:num>
  <w:num w:numId="3">
    <w:abstractNumId w:val="7"/>
  </w:num>
  <w:num w:numId="4">
    <w:abstractNumId w:val="8"/>
  </w:num>
  <w:num w:numId="5">
    <w:abstractNumId w:val="5"/>
  </w:num>
  <w:num w:numId="6">
    <w:abstractNumId w:val="6"/>
  </w:num>
  <w:num w:numId="7">
    <w:abstractNumId w:val="0"/>
  </w:num>
  <w:num w:numId="8">
    <w:abstractNumId w:val="2"/>
  </w:num>
  <w:num w:numId="9">
    <w:abstractNumId w:val="4"/>
  </w:num>
  <w:num w:numId="10">
    <w:abstractNumId w:val="12"/>
  </w:num>
  <w:num w:numId="11">
    <w:abstractNumId w:val="1"/>
  </w:num>
  <w:num w:numId="12">
    <w:abstractNumId w:val="9"/>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04FF"/>
    <w:rsid w:val="00015320"/>
    <w:rsid w:val="000430F1"/>
    <w:rsid w:val="00095FA6"/>
    <w:rsid w:val="000977EC"/>
    <w:rsid w:val="000C1BE0"/>
    <w:rsid w:val="001807B3"/>
    <w:rsid w:val="001F04A3"/>
    <w:rsid w:val="001F066B"/>
    <w:rsid w:val="00206664"/>
    <w:rsid w:val="0022199E"/>
    <w:rsid w:val="0027597D"/>
    <w:rsid w:val="00295055"/>
    <w:rsid w:val="002C15C6"/>
    <w:rsid w:val="002C1AEB"/>
    <w:rsid w:val="002D503C"/>
    <w:rsid w:val="0038349D"/>
    <w:rsid w:val="003F438D"/>
    <w:rsid w:val="00420E29"/>
    <w:rsid w:val="00483B2B"/>
    <w:rsid w:val="00491C9A"/>
    <w:rsid w:val="004A5EB2"/>
    <w:rsid w:val="005942BC"/>
    <w:rsid w:val="00611045"/>
    <w:rsid w:val="00666650"/>
    <w:rsid w:val="00676AFD"/>
    <w:rsid w:val="00692265"/>
    <w:rsid w:val="007F1BFE"/>
    <w:rsid w:val="008411A2"/>
    <w:rsid w:val="00862728"/>
    <w:rsid w:val="008C3230"/>
    <w:rsid w:val="008E7175"/>
    <w:rsid w:val="0092726E"/>
    <w:rsid w:val="00950B15"/>
    <w:rsid w:val="009855F1"/>
    <w:rsid w:val="0099449E"/>
    <w:rsid w:val="009B7710"/>
    <w:rsid w:val="009C3C54"/>
    <w:rsid w:val="009C5E56"/>
    <w:rsid w:val="009E027E"/>
    <w:rsid w:val="00A04E42"/>
    <w:rsid w:val="00AB1253"/>
    <w:rsid w:val="00AC681E"/>
    <w:rsid w:val="00BA463B"/>
    <w:rsid w:val="00BB4202"/>
    <w:rsid w:val="00C6571B"/>
    <w:rsid w:val="00C92091"/>
    <w:rsid w:val="00CD04FF"/>
    <w:rsid w:val="00CD3217"/>
    <w:rsid w:val="00CF5705"/>
    <w:rsid w:val="00CF5799"/>
    <w:rsid w:val="00D12F2D"/>
    <w:rsid w:val="00D4729E"/>
    <w:rsid w:val="00D6779D"/>
    <w:rsid w:val="00D67C93"/>
    <w:rsid w:val="00D84568"/>
    <w:rsid w:val="00DD55A9"/>
    <w:rsid w:val="00DD7319"/>
    <w:rsid w:val="00E31153"/>
    <w:rsid w:val="00E53FDC"/>
    <w:rsid w:val="00E754AF"/>
    <w:rsid w:val="00E804DF"/>
    <w:rsid w:val="00F30B7A"/>
    <w:rsid w:val="00F51584"/>
    <w:rsid w:val="00F84C83"/>
    <w:rsid w:val="00F958B0"/>
    <w:rsid w:val="00FA3520"/>
    <w:rsid w:val="00FD15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C6030F4-03E8-44FA-A07A-27AA8E3D46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D04F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2D503C"/>
    <w:pPr>
      <w:ind w:left="720"/>
      <w:contextualSpacing/>
    </w:pPr>
  </w:style>
  <w:style w:type="paragraph" w:styleId="FootnoteText">
    <w:name w:val="footnote text"/>
    <w:basedOn w:val="Normal"/>
    <w:link w:val="FootnoteTextChar"/>
    <w:uiPriority w:val="99"/>
    <w:semiHidden/>
    <w:unhideWhenUsed/>
    <w:rsid w:val="00E804D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804DF"/>
    <w:rPr>
      <w:sz w:val="20"/>
      <w:szCs w:val="20"/>
    </w:rPr>
  </w:style>
  <w:style w:type="character" w:styleId="FootnoteReference">
    <w:name w:val="footnote reference"/>
    <w:basedOn w:val="DefaultParagraphFont"/>
    <w:uiPriority w:val="99"/>
    <w:semiHidden/>
    <w:unhideWhenUsed/>
    <w:rsid w:val="00E804DF"/>
    <w:rPr>
      <w:vertAlign w:val="superscript"/>
    </w:rPr>
  </w:style>
  <w:style w:type="paragraph" w:styleId="Header">
    <w:name w:val="header"/>
    <w:basedOn w:val="Normal"/>
    <w:link w:val="HeaderChar"/>
    <w:uiPriority w:val="99"/>
    <w:unhideWhenUsed/>
    <w:rsid w:val="00295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5055"/>
  </w:style>
  <w:style w:type="paragraph" w:styleId="Footer">
    <w:name w:val="footer"/>
    <w:basedOn w:val="Normal"/>
    <w:link w:val="FooterChar"/>
    <w:uiPriority w:val="99"/>
    <w:unhideWhenUsed/>
    <w:rsid w:val="00295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50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59894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4C0AA7-4C6A-4220-86CA-E52C438A35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438</TotalTime>
  <Pages>7</Pages>
  <Words>1297</Words>
  <Characters>7396</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Suzie Caisey</dc:creator>
  <cp:keywords/>
  <dc:description/>
  <cp:lastModifiedBy>Suzie Caisey</cp:lastModifiedBy>
  <cp:revision>41</cp:revision>
  <dcterms:created xsi:type="dcterms:W3CDTF">2018-10-04T13:45:00Z</dcterms:created>
  <dcterms:modified xsi:type="dcterms:W3CDTF">2018-11-10T16:04:00Z</dcterms:modified>
</cp:coreProperties>
</file>