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45A8" w:rsidRDefault="00687BFC" w:rsidP="00687BFC">
      <w:pPr>
        <w:jc w:val="both"/>
        <w:rPr>
          <w:rFonts w:ascii="Palatino Linotype" w:hAnsi="Palatino Linotype"/>
          <w:sz w:val="24"/>
          <w:szCs w:val="24"/>
        </w:rPr>
      </w:pPr>
      <w:r>
        <w:rPr>
          <w:rFonts w:ascii="Palatino Linotype" w:hAnsi="Palatino Linotype"/>
          <w:sz w:val="24"/>
          <w:szCs w:val="24"/>
        </w:rPr>
        <w:t>Theory and Methodology for the Study of Ancient Religions (CLCL7003)</w:t>
      </w:r>
    </w:p>
    <w:p w:rsidR="00DE45A8" w:rsidRDefault="00687BFC" w:rsidP="00687BFC">
      <w:pPr>
        <w:jc w:val="both"/>
        <w:rPr>
          <w:rFonts w:ascii="Palatino Linotype" w:hAnsi="Palatino Linotype"/>
          <w:sz w:val="24"/>
          <w:szCs w:val="24"/>
        </w:rPr>
      </w:pPr>
      <w:r>
        <w:rPr>
          <w:rFonts w:ascii="Palatino Linotype" w:hAnsi="Palatino Linotype"/>
          <w:sz w:val="24"/>
          <w:szCs w:val="24"/>
        </w:rPr>
        <w:t xml:space="preserve">Unit 2: </w:t>
      </w:r>
      <w:r w:rsidR="00DE45A8">
        <w:rPr>
          <w:rFonts w:ascii="Palatino Linotype" w:hAnsi="Palatino Linotype"/>
          <w:sz w:val="24"/>
          <w:szCs w:val="24"/>
        </w:rPr>
        <w:t>Polytheism and Monotheism</w:t>
      </w:r>
    </w:p>
    <w:p w:rsidR="00DE45A8" w:rsidRDefault="00DE45A8" w:rsidP="003D6AFA">
      <w:pPr>
        <w:jc w:val="both"/>
        <w:rPr>
          <w:rFonts w:ascii="Palatino Linotype" w:hAnsi="Palatino Linotype"/>
          <w:sz w:val="24"/>
          <w:szCs w:val="24"/>
        </w:rPr>
      </w:pPr>
      <w:hyperlink r:id="rId5" w:history="1">
        <w:r w:rsidRPr="00DE45A8">
          <w:rPr>
            <w:rStyle w:val="Hyperlink"/>
            <w:rFonts w:ascii="Palatino Linotype" w:hAnsi="Palatino Linotype"/>
            <w:sz w:val="24"/>
            <w:szCs w:val="24"/>
          </w:rPr>
          <w:t xml:space="preserve">Dr Augustine </w:t>
        </w:r>
        <w:proofErr w:type="spellStart"/>
        <w:r w:rsidRPr="00DE45A8">
          <w:rPr>
            <w:rStyle w:val="Hyperlink"/>
            <w:rFonts w:ascii="Palatino Linotype" w:hAnsi="Palatino Linotype"/>
            <w:sz w:val="24"/>
            <w:szCs w:val="24"/>
          </w:rPr>
          <w:t>Casiday</w:t>
        </w:r>
        <w:proofErr w:type="spellEnd"/>
      </w:hyperlink>
    </w:p>
    <w:p w:rsidR="00DE45A8" w:rsidRDefault="00DE45A8" w:rsidP="003D6AFA">
      <w:pPr>
        <w:jc w:val="both"/>
        <w:rPr>
          <w:rFonts w:ascii="Palatino Linotype" w:hAnsi="Palatino Linotype"/>
          <w:sz w:val="24"/>
          <w:szCs w:val="24"/>
        </w:rPr>
      </w:pPr>
    </w:p>
    <w:p w:rsidR="00DC2A5F" w:rsidRDefault="00372C80" w:rsidP="003D6AFA">
      <w:pPr>
        <w:jc w:val="both"/>
        <w:rPr>
          <w:rFonts w:ascii="Palatino Linotype" w:hAnsi="Palatino Linotype"/>
          <w:sz w:val="24"/>
          <w:szCs w:val="24"/>
        </w:rPr>
      </w:pPr>
      <w:r>
        <w:rPr>
          <w:rFonts w:ascii="Palatino Linotype" w:hAnsi="Palatino Linotype"/>
          <w:sz w:val="24"/>
          <w:szCs w:val="24"/>
        </w:rPr>
        <w:t xml:space="preserve">According to a widely received account, the broad-based transition from polytheism to monotheism in the Mediterranean world occurred in tandem with </w:t>
      </w:r>
      <w:r w:rsidR="00DC2A5F">
        <w:rPr>
          <w:rFonts w:ascii="Palatino Linotype" w:hAnsi="Palatino Linotype"/>
          <w:sz w:val="24"/>
          <w:szCs w:val="24"/>
        </w:rPr>
        <w:t xml:space="preserve">the </w:t>
      </w:r>
      <w:r>
        <w:rPr>
          <w:rFonts w:ascii="Palatino Linotype" w:hAnsi="Palatino Linotype"/>
          <w:sz w:val="24"/>
          <w:szCs w:val="24"/>
        </w:rPr>
        <w:t>Christianization</w:t>
      </w:r>
      <w:r w:rsidR="00DC2A5F">
        <w:rPr>
          <w:rFonts w:ascii="Palatino Linotype" w:hAnsi="Palatino Linotype"/>
          <w:sz w:val="24"/>
          <w:szCs w:val="24"/>
        </w:rPr>
        <w:t xml:space="preserve"> of the Roman Empire</w:t>
      </w:r>
      <w:r>
        <w:rPr>
          <w:rFonts w:ascii="Palatino Linotype" w:hAnsi="Palatino Linotype"/>
          <w:sz w:val="24"/>
          <w:szCs w:val="24"/>
        </w:rPr>
        <w:t xml:space="preserve">. </w:t>
      </w:r>
      <w:r w:rsidR="00DC2A5F">
        <w:rPr>
          <w:rFonts w:ascii="Palatino Linotype" w:hAnsi="Palatino Linotype"/>
          <w:sz w:val="24"/>
          <w:szCs w:val="24"/>
        </w:rPr>
        <w:t>There is certainly truth to the more modest claim that religious developments and political developments were interlinked (</w:t>
      </w:r>
      <w:proofErr w:type="spellStart"/>
      <w:r w:rsidR="00DC2A5F">
        <w:rPr>
          <w:rFonts w:ascii="Palatino Linotype" w:hAnsi="Palatino Linotype"/>
          <w:sz w:val="24"/>
          <w:szCs w:val="24"/>
        </w:rPr>
        <w:t>Fowden</w:t>
      </w:r>
      <w:proofErr w:type="spellEnd"/>
      <w:r w:rsidR="00DC2A5F">
        <w:rPr>
          <w:rFonts w:ascii="Palatino Linotype" w:hAnsi="Palatino Linotype"/>
          <w:sz w:val="24"/>
          <w:szCs w:val="24"/>
        </w:rPr>
        <w:t xml:space="preserve"> 1993). But t</w:t>
      </w:r>
      <w:r>
        <w:rPr>
          <w:rFonts w:ascii="Palatino Linotype" w:hAnsi="Palatino Linotype"/>
          <w:sz w:val="24"/>
          <w:szCs w:val="24"/>
        </w:rPr>
        <w:t xml:space="preserve">he prominence of that view on history owes much to polemic interpretations put forward by third- and fourth-century Christians like </w:t>
      </w:r>
      <w:proofErr w:type="spellStart"/>
      <w:r>
        <w:rPr>
          <w:rFonts w:ascii="Palatino Linotype" w:hAnsi="Palatino Linotype"/>
          <w:sz w:val="24"/>
          <w:szCs w:val="24"/>
        </w:rPr>
        <w:t>Lactantius</w:t>
      </w:r>
      <w:proofErr w:type="spellEnd"/>
      <w:r>
        <w:rPr>
          <w:rFonts w:ascii="Palatino Linotype" w:hAnsi="Palatino Linotype"/>
          <w:sz w:val="24"/>
          <w:szCs w:val="24"/>
        </w:rPr>
        <w:t xml:space="preserve">, Eusebius, Ambrose, and Augustine – and bolstered by doughty traditionalists like </w:t>
      </w:r>
      <w:proofErr w:type="spellStart"/>
      <w:r>
        <w:rPr>
          <w:rFonts w:ascii="Palatino Linotype" w:hAnsi="Palatino Linotype"/>
          <w:sz w:val="24"/>
          <w:szCs w:val="24"/>
        </w:rPr>
        <w:t>Symmachus</w:t>
      </w:r>
      <w:proofErr w:type="spellEnd"/>
      <w:r w:rsidR="00DC2A5F">
        <w:rPr>
          <w:rFonts w:ascii="Palatino Linotype" w:hAnsi="Palatino Linotype"/>
          <w:sz w:val="24"/>
          <w:szCs w:val="24"/>
        </w:rPr>
        <w:t>, whose defence of the Altar of Victory is well known and remarkably humane</w:t>
      </w:r>
      <w:r>
        <w:rPr>
          <w:rFonts w:ascii="Palatino Linotype" w:hAnsi="Palatino Linotype"/>
          <w:sz w:val="24"/>
          <w:szCs w:val="24"/>
        </w:rPr>
        <w:t xml:space="preserve">. </w:t>
      </w:r>
      <w:r w:rsidR="008C5064">
        <w:rPr>
          <w:rFonts w:ascii="Palatino Linotype" w:hAnsi="Palatino Linotype"/>
          <w:sz w:val="24"/>
          <w:szCs w:val="24"/>
        </w:rPr>
        <w:t xml:space="preserve">Attested by Christians and non-Christians alike, the connection between the rise of monotheism and Christianity cannot have been entirely imagined. And yet attributing too much to the influence of Christianity can obscure the emergence, internal to traditional polytheism, of distinctly monotheistic trends. </w:t>
      </w:r>
    </w:p>
    <w:p w:rsidR="002F0E6F" w:rsidRDefault="008C5064" w:rsidP="00687BFC">
      <w:pPr>
        <w:ind w:firstLine="720"/>
        <w:jc w:val="both"/>
        <w:rPr>
          <w:rFonts w:ascii="Palatino Linotype" w:hAnsi="Palatino Linotype"/>
          <w:sz w:val="24"/>
          <w:szCs w:val="24"/>
        </w:rPr>
      </w:pPr>
      <w:r>
        <w:rPr>
          <w:rFonts w:ascii="Palatino Linotype" w:hAnsi="Palatino Linotype"/>
          <w:sz w:val="24"/>
          <w:szCs w:val="24"/>
        </w:rPr>
        <w:t xml:space="preserve">Indeed, some early Christians happily recognised these trends </w:t>
      </w:r>
      <w:r w:rsidR="00F85D0D">
        <w:rPr>
          <w:rFonts w:ascii="Palatino Linotype" w:hAnsi="Palatino Linotype"/>
          <w:sz w:val="24"/>
          <w:szCs w:val="24"/>
        </w:rPr>
        <w:t xml:space="preserve">for they were useful in framing apologies for Christianity. As with Plato’s </w:t>
      </w:r>
      <w:r w:rsidR="00F85D0D">
        <w:rPr>
          <w:rFonts w:ascii="Palatino Linotype" w:hAnsi="Palatino Linotype"/>
          <w:i/>
          <w:iCs/>
          <w:sz w:val="24"/>
          <w:szCs w:val="24"/>
        </w:rPr>
        <w:t xml:space="preserve">Apology of </w:t>
      </w:r>
      <w:r w:rsidR="00F85D0D" w:rsidRPr="00F85D0D">
        <w:rPr>
          <w:rFonts w:ascii="Palatino Linotype" w:hAnsi="Palatino Linotype"/>
          <w:i/>
          <w:iCs/>
          <w:sz w:val="24"/>
          <w:szCs w:val="24"/>
        </w:rPr>
        <w:t>Socrates</w:t>
      </w:r>
      <w:r w:rsidR="00F85D0D">
        <w:rPr>
          <w:rFonts w:ascii="Palatino Linotype" w:hAnsi="Palatino Linotype"/>
          <w:sz w:val="24"/>
          <w:szCs w:val="24"/>
        </w:rPr>
        <w:t>, these apologies aime</w:t>
      </w:r>
      <w:r w:rsidR="00DA1B84">
        <w:rPr>
          <w:rFonts w:ascii="Palatino Linotype" w:hAnsi="Palatino Linotype"/>
          <w:sz w:val="24"/>
          <w:szCs w:val="24"/>
        </w:rPr>
        <w:t>d at being forensic defences from dissenting, minority, or oppressed positions</w:t>
      </w:r>
      <w:r w:rsidR="00F85D0D">
        <w:rPr>
          <w:rFonts w:ascii="Palatino Linotype" w:hAnsi="Palatino Linotype"/>
          <w:sz w:val="24"/>
          <w:szCs w:val="24"/>
        </w:rPr>
        <w:t xml:space="preserve"> </w:t>
      </w:r>
      <w:r w:rsidR="00DA1B84">
        <w:rPr>
          <w:rFonts w:ascii="Palatino Linotype" w:hAnsi="Palatino Linotype"/>
          <w:sz w:val="24"/>
          <w:szCs w:val="24"/>
        </w:rPr>
        <w:t>that highlighted their rationality. These defences often proceed by deconstructing the case being made against the apologist’s position in order to show that the apologist’s position is indeed consistent with deeply and commonly held positions. In the matter in hand</w:t>
      </w:r>
      <w:r>
        <w:rPr>
          <w:rFonts w:ascii="Palatino Linotype" w:hAnsi="Palatino Linotype"/>
          <w:sz w:val="24"/>
          <w:szCs w:val="24"/>
        </w:rPr>
        <w:t xml:space="preserve">, </w:t>
      </w:r>
      <w:r w:rsidR="00DA1B84">
        <w:rPr>
          <w:rFonts w:ascii="Palatino Linotype" w:hAnsi="Palatino Linotype"/>
          <w:sz w:val="24"/>
          <w:szCs w:val="24"/>
        </w:rPr>
        <w:t xml:space="preserve">then, </w:t>
      </w:r>
      <w:proofErr w:type="spellStart"/>
      <w:r>
        <w:rPr>
          <w:rFonts w:ascii="Palatino Linotype" w:hAnsi="Palatino Linotype"/>
          <w:sz w:val="24"/>
          <w:szCs w:val="24"/>
        </w:rPr>
        <w:t>Lactantius</w:t>
      </w:r>
      <w:proofErr w:type="spellEnd"/>
      <w:r>
        <w:rPr>
          <w:rFonts w:ascii="Palatino Linotype" w:hAnsi="Palatino Linotype"/>
          <w:sz w:val="24"/>
          <w:szCs w:val="24"/>
        </w:rPr>
        <w:t xml:space="preserve"> </w:t>
      </w:r>
      <w:r w:rsidR="0086638C">
        <w:rPr>
          <w:rFonts w:ascii="Palatino Linotype" w:hAnsi="Palatino Linotype"/>
          <w:sz w:val="24"/>
          <w:szCs w:val="24"/>
        </w:rPr>
        <w:t xml:space="preserve">offers a robust account of Christianity in which he </w:t>
      </w:r>
      <w:r w:rsidR="00DA1B84">
        <w:rPr>
          <w:rFonts w:ascii="Palatino Linotype" w:hAnsi="Palatino Linotype"/>
          <w:sz w:val="24"/>
          <w:szCs w:val="24"/>
        </w:rPr>
        <w:t xml:space="preserve">provides </w:t>
      </w:r>
      <w:r>
        <w:rPr>
          <w:rFonts w:ascii="Palatino Linotype" w:hAnsi="Palatino Linotype"/>
          <w:sz w:val="24"/>
          <w:szCs w:val="24"/>
        </w:rPr>
        <w:t xml:space="preserve">a list of </w:t>
      </w:r>
      <w:r w:rsidR="0086638C">
        <w:rPr>
          <w:rFonts w:ascii="Palatino Linotype" w:hAnsi="Palatino Linotype"/>
          <w:sz w:val="24"/>
          <w:szCs w:val="24"/>
        </w:rPr>
        <w:t xml:space="preserve">classical </w:t>
      </w:r>
      <w:r>
        <w:rPr>
          <w:rFonts w:ascii="Palatino Linotype" w:hAnsi="Palatino Linotype"/>
          <w:sz w:val="24"/>
          <w:szCs w:val="24"/>
        </w:rPr>
        <w:t xml:space="preserve">poets and philosophers who had acknowledge one god: he identified </w:t>
      </w:r>
      <w:r w:rsidRPr="00CD448F">
        <w:rPr>
          <w:rFonts w:ascii="Palatino Linotype" w:hAnsi="Palatino Linotype"/>
          <w:sz w:val="24"/>
          <w:szCs w:val="24"/>
        </w:rPr>
        <w:t xml:space="preserve">Orpheus, Hesiod, </w:t>
      </w:r>
      <w:proofErr w:type="spellStart"/>
      <w:r w:rsidRPr="00CD448F">
        <w:rPr>
          <w:rFonts w:ascii="Palatino Linotype" w:hAnsi="Palatino Linotype"/>
          <w:sz w:val="24"/>
          <w:szCs w:val="24"/>
        </w:rPr>
        <w:t>Maro</w:t>
      </w:r>
      <w:proofErr w:type="spellEnd"/>
      <w:r w:rsidRPr="00CD448F">
        <w:rPr>
          <w:rFonts w:ascii="Palatino Linotype" w:hAnsi="Palatino Linotype"/>
          <w:sz w:val="24"/>
          <w:szCs w:val="24"/>
        </w:rPr>
        <w:t xml:space="preserve">, Ovid, Thales, Anaxagoras, Antisthenes, Cleanthes, </w:t>
      </w:r>
      <w:proofErr w:type="spellStart"/>
      <w:r w:rsidRPr="00CD448F">
        <w:rPr>
          <w:rFonts w:ascii="Palatino Linotype" w:hAnsi="Palatino Linotype"/>
          <w:sz w:val="24"/>
          <w:szCs w:val="24"/>
        </w:rPr>
        <w:t>Anaximenes</w:t>
      </w:r>
      <w:proofErr w:type="spellEnd"/>
      <w:r w:rsidRPr="00CD448F">
        <w:rPr>
          <w:rFonts w:ascii="Palatino Linotype" w:hAnsi="Palatino Linotype"/>
          <w:sz w:val="24"/>
          <w:szCs w:val="24"/>
        </w:rPr>
        <w:t xml:space="preserve">, </w:t>
      </w:r>
      <w:proofErr w:type="spellStart"/>
      <w:r w:rsidRPr="00CD448F">
        <w:rPr>
          <w:rFonts w:ascii="Palatino Linotype" w:hAnsi="Palatino Linotype"/>
          <w:sz w:val="24"/>
          <w:szCs w:val="24"/>
        </w:rPr>
        <w:t>Chrysippus</w:t>
      </w:r>
      <w:proofErr w:type="spellEnd"/>
      <w:r w:rsidRPr="00CD448F">
        <w:rPr>
          <w:rFonts w:ascii="Palatino Linotype" w:hAnsi="Palatino Linotype"/>
          <w:sz w:val="24"/>
          <w:szCs w:val="24"/>
        </w:rPr>
        <w:t>, Zeno, Aristotle, Plato, Cicero, and Seneca</w:t>
      </w:r>
      <w:r>
        <w:rPr>
          <w:rFonts w:ascii="Palatino Linotype" w:hAnsi="Palatino Linotype"/>
          <w:sz w:val="24"/>
          <w:szCs w:val="24"/>
        </w:rPr>
        <w:t xml:space="preserve"> (see his </w:t>
      </w:r>
      <w:r w:rsidR="00A52593" w:rsidRPr="00CD448F">
        <w:rPr>
          <w:rFonts w:ascii="Palatino Linotype" w:hAnsi="Palatino Linotype"/>
          <w:i/>
          <w:iCs/>
          <w:sz w:val="24"/>
          <w:szCs w:val="24"/>
        </w:rPr>
        <w:t xml:space="preserve">Divine Institutes </w:t>
      </w:r>
      <w:r w:rsidR="00A52593" w:rsidRPr="00CD448F">
        <w:rPr>
          <w:rFonts w:ascii="Palatino Linotype" w:hAnsi="Palatino Linotype"/>
          <w:sz w:val="24"/>
          <w:szCs w:val="24"/>
        </w:rPr>
        <w:t>I.5</w:t>
      </w:r>
      <w:r>
        <w:rPr>
          <w:rFonts w:ascii="Palatino Linotype" w:hAnsi="Palatino Linotype"/>
          <w:sz w:val="24"/>
          <w:szCs w:val="24"/>
        </w:rPr>
        <w:t xml:space="preserve">). </w:t>
      </w:r>
      <w:r w:rsidR="002F0E6F">
        <w:rPr>
          <w:rFonts w:ascii="Palatino Linotype" w:hAnsi="Palatino Linotype"/>
          <w:sz w:val="24"/>
          <w:szCs w:val="24"/>
        </w:rPr>
        <w:t>The apologists’ claim that these sources anticipate Christian teachings can be put to one side as we focus instead on their identification of monotheistic trends in classical antiquity. To use modern terms</w:t>
      </w:r>
      <w:r>
        <w:rPr>
          <w:rFonts w:ascii="Palatino Linotype" w:hAnsi="Palatino Linotype"/>
          <w:sz w:val="24"/>
          <w:szCs w:val="24"/>
        </w:rPr>
        <w:t xml:space="preserve">, </w:t>
      </w:r>
      <w:r w:rsidR="002F0E6F">
        <w:rPr>
          <w:rFonts w:ascii="Palatino Linotype" w:hAnsi="Palatino Linotype"/>
          <w:sz w:val="24"/>
          <w:szCs w:val="24"/>
        </w:rPr>
        <w:t>discussed and debated by scholars,</w:t>
      </w:r>
      <w:r>
        <w:rPr>
          <w:rFonts w:ascii="Palatino Linotype" w:hAnsi="Palatino Linotype"/>
          <w:sz w:val="24"/>
          <w:szCs w:val="24"/>
        </w:rPr>
        <w:t xml:space="preserve"> th</w:t>
      </w:r>
      <w:r w:rsidR="002F0E6F">
        <w:rPr>
          <w:rFonts w:ascii="Palatino Linotype" w:hAnsi="Palatino Linotype"/>
          <w:sz w:val="24"/>
          <w:szCs w:val="24"/>
        </w:rPr>
        <w:t>e</w:t>
      </w:r>
      <w:r>
        <w:rPr>
          <w:rFonts w:ascii="Palatino Linotype" w:hAnsi="Palatino Linotype"/>
          <w:sz w:val="24"/>
          <w:szCs w:val="24"/>
        </w:rPr>
        <w:t>s</w:t>
      </w:r>
      <w:r w:rsidR="002F0E6F">
        <w:rPr>
          <w:rFonts w:ascii="Palatino Linotype" w:hAnsi="Palatino Linotype"/>
          <w:sz w:val="24"/>
          <w:szCs w:val="24"/>
        </w:rPr>
        <w:t>e</w:t>
      </w:r>
      <w:r>
        <w:rPr>
          <w:rFonts w:ascii="Palatino Linotype" w:hAnsi="Palatino Linotype"/>
          <w:sz w:val="24"/>
          <w:szCs w:val="24"/>
        </w:rPr>
        <w:t xml:space="preserve"> </w:t>
      </w:r>
      <w:r w:rsidR="002F0E6F">
        <w:rPr>
          <w:rFonts w:ascii="Palatino Linotype" w:hAnsi="Palatino Linotype"/>
          <w:sz w:val="24"/>
          <w:szCs w:val="24"/>
        </w:rPr>
        <w:t xml:space="preserve">trends are </w:t>
      </w:r>
      <w:r>
        <w:rPr>
          <w:rFonts w:ascii="Palatino Linotype" w:hAnsi="Palatino Linotype"/>
          <w:sz w:val="24"/>
          <w:szCs w:val="24"/>
        </w:rPr>
        <w:t xml:space="preserve">now widely (though not </w:t>
      </w:r>
      <w:r w:rsidR="00482823">
        <w:rPr>
          <w:rFonts w:ascii="Palatino Linotype" w:hAnsi="Palatino Linotype"/>
          <w:sz w:val="24"/>
          <w:szCs w:val="24"/>
        </w:rPr>
        <w:t>without controversy</w:t>
      </w:r>
      <w:r>
        <w:rPr>
          <w:rFonts w:ascii="Palatino Linotype" w:hAnsi="Palatino Linotype"/>
          <w:sz w:val="24"/>
          <w:szCs w:val="24"/>
        </w:rPr>
        <w:t>) called ‘pagan monotheism.’</w:t>
      </w:r>
    </w:p>
    <w:p w:rsidR="002F0E6F" w:rsidRDefault="00DC2A5F" w:rsidP="00687BFC">
      <w:pPr>
        <w:ind w:firstLine="720"/>
        <w:jc w:val="both"/>
        <w:rPr>
          <w:rFonts w:ascii="Palatino Linotype" w:hAnsi="Palatino Linotype"/>
          <w:sz w:val="24"/>
          <w:szCs w:val="24"/>
        </w:rPr>
      </w:pPr>
      <w:r>
        <w:rPr>
          <w:rFonts w:ascii="Palatino Linotype" w:hAnsi="Palatino Linotype"/>
          <w:sz w:val="24"/>
          <w:szCs w:val="24"/>
        </w:rPr>
        <w:t xml:space="preserve">Pagan monotheism will serve in this section as the specific issue with reference to which we will consider polytheism and monotheism in ancient religion. </w:t>
      </w:r>
      <w:r w:rsidR="002F0E6F">
        <w:rPr>
          <w:rFonts w:ascii="Palatino Linotype" w:hAnsi="Palatino Linotype"/>
          <w:sz w:val="24"/>
          <w:szCs w:val="24"/>
        </w:rPr>
        <w:t xml:space="preserve">Readings for this section will focus on a tight cluster of themes. We will consider the </w:t>
      </w:r>
      <w:r w:rsidR="002F0E6F">
        <w:rPr>
          <w:rFonts w:ascii="Palatino Linotype" w:hAnsi="Palatino Linotype"/>
          <w:sz w:val="24"/>
          <w:szCs w:val="24"/>
        </w:rPr>
        <w:lastRenderedPageBreak/>
        <w:t xml:space="preserve">parameters of key terms like paganism, polytheism, henotheism, monotheism, and </w:t>
      </w:r>
      <w:proofErr w:type="spellStart"/>
      <w:r w:rsidR="002F0E6F">
        <w:rPr>
          <w:rFonts w:ascii="Palatino Linotype" w:hAnsi="Palatino Linotype"/>
          <w:sz w:val="24"/>
          <w:szCs w:val="24"/>
        </w:rPr>
        <w:t>monaltry</w:t>
      </w:r>
      <w:proofErr w:type="spellEnd"/>
      <w:r w:rsidR="002F0E6F">
        <w:rPr>
          <w:rFonts w:ascii="Palatino Linotype" w:hAnsi="Palatino Linotype"/>
          <w:sz w:val="24"/>
          <w:szCs w:val="24"/>
        </w:rPr>
        <w:t xml:space="preserve"> (see </w:t>
      </w:r>
      <w:proofErr w:type="spellStart"/>
      <w:r w:rsidR="002F0E6F">
        <w:rPr>
          <w:rFonts w:ascii="Palatino Linotype" w:hAnsi="Palatino Linotype"/>
          <w:sz w:val="24"/>
          <w:szCs w:val="24"/>
        </w:rPr>
        <w:t>Assmann</w:t>
      </w:r>
      <w:proofErr w:type="spellEnd"/>
      <w:r w:rsidR="002F0E6F">
        <w:rPr>
          <w:rFonts w:ascii="Palatino Linotype" w:hAnsi="Palatino Linotype"/>
          <w:sz w:val="24"/>
          <w:szCs w:val="24"/>
        </w:rPr>
        <w:t xml:space="preserve"> </w:t>
      </w:r>
      <w:r w:rsidR="00687BFC">
        <w:rPr>
          <w:rFonts w:ascii="Palatino Linotype" w:hAnsi="Palatino Linotype"/>
          <w:sz w:val="24"/>
          <w:szCs w:val="24"/>
        </w:rPr>
        <w:t>2007</w:t>
      </w:r>
      <w:r w:rsidR="002F0E6F">
        <w:rPr>
          <w:rFonts w:ascii="Palatino Linotype" w:hAnsi="Palatino Linotype"/>
          <w:sz w:val="24"/>
          <w:szCs w:val="24"/>
        </w:rPr>
        <w:t xml:space="preserve">).These terms are particularly useful for separating practices of worship from systems of belief: thus, </w:t>
      </w:r>
      <w:proofErr w:type="spellStart"/>
      <w:r w:rsidR="002F0E6F">
        <w:rPr>
          <w:rFonts w:ascii="Palatino Linotype" w:hAnsi="Palatino Linotype"/>
          <w:sz w:val="24"/>
          <w:szCs w:val="24"/>
        </w:rPr>
        <w:t>monaltry</w:t>
      </w:r>
      <w:proofErr w:type="spellEnd"/>
      <w:r w:rsidR="002F0E6F">
        <w:rPr>
          <w:rFonts w:ascii="Palatino Linotype" w:hAnsi="Palatino Linotype"/>
          <w:sz w:val="24"/>
          <w:szCs w:val="24"/>
        </w:rPr>
        <w:t xml:space="preserve"> is the advocacy of worshipping a single god without prejudice to the existence of other gods; and henotheism is the advocacy of worshipping a single god whilst tacitly accepting the existence of other gods. By contrast, monotheism and polytheism are positions about whether there exists one god or many gods (respectively). By convention, the term paganism is presumed to be associated closely with polytheism. </w:t>
      </w:r>
    </w:p>
    <w:p w:rsidR="002F0E6F" w:rsidRPr="00CD448F" w:rsidRDefault="002F0E6F" w:rsidP="00687BFC">
      <w:pPr>
        <w:ind w:firstLine="720"/>
        <w:jc w:val="both"/>
        <w:rPr>
          <w:rFonts w:ascii="Palatino Linotype" w:hAnsi="Palatino Linotype"/>
          <w:sz w:val="24"/>
          <w:szCs w:val="24"/>
        </w:rPr>
      </w:pPr>
      <w:r>
        <w:rPr>
          <w:rFonts w:ascii="Palatino Linotype" w:hAnsi="Palatino Linotype"/>
          <w:sz w:val="24"/>
          <w:szCs w:val="24"/>
        </w:rPr>
        <w:t xml:space="preserve">Scholars have dedicated critical attention to the polemical origins of many of these terms, and drawn out some implications of presuming that origins in polemic mean that terms cannot or should not be used by modern scholars. </w:t>
      </w:r>
      <w:r w:rsidR="004F6355">
        <w:rPr>
          <w:rFonts w:ascii="Palatino Linotype" w:hAnsi="Palatino Linotype"/>
          <w:sz w:val="24"/>
          <w:szCs w:val="24"/>
        </w:rPr>
        <w:t>A recent survey of the literature brings these considerations and others into sharp focus</w:t>
      </w:r>
      <w:r>
        <w:rPr>
          <w:rFonts w:ascii="Palatino Linotype" w:hAnsi="Palatino Linotype"/>
          <w:sz w:val="24"/>
          <w:szCs w:val="24"/>
        </w:rPr>
        <w:t xml:space="preserve"> (Barnes 2001).</w:t>
      </w:r>
      <w:r w:rsidR="004F6355">
        <w:rPr>
          <w:rFonts w:ascii="Palatino Linotype" w:hAnsi="Palatino Linotype"/>
          <w:sz w:val="24"/>
          <w:szCs w:val="24"/>
        </w:rPr>
        <w:t xml:space="preserve"> Meanwhile, the initially perplexing business of </w:t>
      </w:r>
      <w:r w:rsidR="00D702EB">
        <w:rPr>
          <w:rFonts w:ascii="Palatino Linotype" w:hAnsi="Palatino Linotype"/>
          <w:sz w:val="24"/>
          <w:szCs w:val="24"/>
        </w:rPr>
        <w:t>affirming that there was in the ancient and late ancient world such a thing as</w:t>
      </w:r>
      <w:r w:rsidR="004F6355">
        <w:rPr>
          <w:rFonts w:ascii="Palatino Linotype" w:hAnsi="Palatino Linotype"/>
          <w:sz w:val="24"/>
          <w:szCs w:val="24"/>
        </w:rPr>
        <w:t xml:space="preserve"> </w:t>
      </w:r>
      <w:r w:rsidR="004F6355" w:rsidRPr="00D702EB">
        <w:rPr>
          <w:rFonts w:ascii="Palatino Linotype" w:hAnsi="Palatino Linotype"/>
          <w:i/>
          <w:iCs/>
          <w:sz w:val="24"/>
          <w:szCs w:val="24"/>
        </w:rPr>
        <w:t>pagan</w:t>
      </w:r>
      <w:r w:rsidR="004F6355">
        <w:rPr>
          <w:rFonts w:ascii="Palatino Linotype" w:hAnsi="Palatino Linotype"/>
          <w:sz w:val="24"/>
          <w:szCs w:val="24"/>
        </w:rPr>
        <w:t xml:space="preserve"> monotheism and </w:t>
      </w:r>
      <w:r w:rsidR="003853C0">
        <w:rPr>
          <w:rFonts w:ascii="Palatino Linotype" w:hAnsi="Palatino Linotype"/>
          <w:sz w:val="24"/>
          <w:szCs w:val="24"/>
        </w:rPr>
        <w:t xml:space="preserve">the further business of </w:t>
      </w:r>
      <w:r w:rsidR="004F6355">
        <w:rPr>
          <w:rFonts w:ascii="Palatino Linotype" w:hAnsi="Palatino Linotype"/>
          <w:sz w:val="24"/>
          <w:szCs w:val="24"/>
        </w:rPr>
        <w:t xml:space="preserve">studying it </w:t>
      </w:r>
      <w:r w:rsidR="003853C0">
        <w:rPr>
          <w:rFonts w:ascii="Palatino Linotype" w:hAnsi="Palatino Linotype"/>
          <w:sz w:val="24"/>
          <w:szCs w:val="24"/>
        </w:rPr>
        <w:t>continue</w:t>
      </w:r>
      <w:r w:rsidR="004F6355">
        <w:rPr>
          <w:rFonts w:ascii="Palatino Linotype" w:hAnsi="Palatino Linotype"/>
          <w:sz w:val="24"/>
          <w:szCs w:val="24"/>
        </w:rPr>
        <w:t xml:space="preserve"> apace (</w:t>
      </w:r>
      <w:proofErr w:type="spellStart"/>
      <w:r w:rsidR="004F6355">
        <w:rPr>
          <w:rFonts w:ascii="Palatino Linotype" w:hAnsi="Palatino Linotype"/>
          <w:sz w:val="24"/>
          <w:szCs w:val="24"/>
        </w:rPr>
        <w:t>Athanassiadi</w:t>
      </w:r>
      <w:proofErr w:type="spellEnd"/>
      <w:r w:rsidR="004F6355">
        <w:rPr>
          <w:rFonts w:ascii="Palatino Linotype" w:hAnsi="Palatino Linotype"/>
          <w:sz w:val="24"/>
          <w:szCs w:val="24"/>
        </w:rPr>
        <w:t xml:space="preserve"> and </w:t>
      </w:r>
      <w:proofErr w:type="spellStart"/>
      <w:r w:rsidR="004F6355">
        <w:rPr>
          <w:rFonts w:ascii="Palatino Linotype" w:hAnsi="Palatino Linotype"/>
          <w:sz w:val="24"/>
          <w:szCs w:val="24"/>
        </w:rPr>
        <w:t>Frede</w:t>
      </w:r>
      <w:proofErr w:type="spellEnd"/>
      <w:r w:rsidR="004F6355">
        <w:rPr>
          <w:rFonts w:ascii="Palatino Linotype" w:hAnsi="Palatino Linotype"/>
          <w:sz w:val="24"/>
          <w:szCs w:val="24"/>
        </w:rPr>
        <w:t xml:space="preserve"> 1999; Mitchell and van </w:t>
      </w:r>
      <w:proofErr w:type="spellStart"/>
      <w:r w:rsidR="004F6355">
        <w:rPr>
          <w:rFonts w:ascii="Palatino Linotype" w:hAnsi="Palatino Linotype"/>
          <w:sz w:val="24"/>
          <w:szCs w:val="24"/>
        </w:rPr>
        <w:t>Nuffelen</w:t>
      </w:r>
      <w:proofErr w:type="spellEnd"/>
      <w:r w:rsidR="004F6355">
        <w:rPr>
          <w:rFonts w:ascii="Palatino Linotype" w:hAnsi="Palatino Linotype"/>
          <w:sz w:val="24"/>
          <w:szCs w:val="24"/>
        </w:rPr>
        <w:t xml:space="preserve"> 2010). A major contributor to those studies has convincingly defended the conceptual coherence of </w:t>
      </w:r>
      <w:r w:rsidR="003853C0">
        <w:rPr>
          <w:rFonts w:ascii="Palatino Linotype" w:hAnsi="Palatino Linotype"/>
          <w:sz w:val="24"/>
          <w:szCs w:val="24"/>
        </w:rPr>
        <w:t xml:space="preserve">that category by way of </w:t>
      </w:r>
      <w:r w:rsidR="004F6355">
        <w:rPr>
          <w:rFonts w:ascii="Palatino Linotype" w:hAnsi="Palatino Linotype"/>
          <w:sz w:val="24"/>
          <w:szCs w:val="24"/>
        </w:rPr>
        <w:t xml:space="preserve">attempting to move the scholarship forward (van </w:t>
      </w:r>
      <w:proofErr w:type="spellStart"/>
      <w:r w:rsidR="004F6355">
        <w:rPr>
          <w:rFonts w:ascii="Palatino Linotype" w:hAnsi="Palatino Linotype"/>
          <w:sz w:val="24"/>
          <w:szCs w:val="24"/>
        </w:rPr>
        <w:t>Nuffelen</w:t>
      </w:r>
      <w:proofErr w:type="spellEnd"/>
      <w:r w:rsidR="004F6355">
        <w:rPr>
          <w:rFonts w:ascii="Palatino Linotype" w:hAnsi="Palatino Linotype"/>
          <w:sz w:val="24"/>
          <w:szCs w:val="24"/>
        </w:rPr>
        <w:t xml:space="preserve"> 2012).</w:t>
      </w:r>
    </w:p>
    <w:p w:rsidR="003D6AFA" w:rsidRDefault="001174F4" w:rsidP="00687BFC">
      <w:pPr>
        <w:ind w:firstLine="720"/>
        <w:jc w:val="both"/>
        <w:rPr>
          <w:rFonts w:ascii="Palatino Linotype" w:hAnsi="Palatino Linotype"/>
          <w:sz w:val="24"/>
          <w:szCs w:val="24"/>
        </w:rPr>
      </w:pPr>
      <w:r w:rsidRPr="003D6AFA">
        <w:rPr>
          <w:rFonts w:ascii="Palatino Linotype" w:hAnsi="Palatino Linotype"/>
          <w:sz w:val="24"/>
          <w:szCs w:val="24"/>
        </w:rPr>
        <w:t xml:space="preserve">What the study of pagan monotheism helps us understand is the seemingly independent emergence in different locations of religious practices that identified a single divinity, which practitioners understood in various ways as relating to the traditional pantheon. Inscriptions dedicated to </w:t>
      </w:r>
      <w:proofErr w:type="spellStart"/>
      <w:proofErr w:type="gramStart"/>
      <w:r w:rsidRPr="003D6AFA">
        <w:rPr>
          <w:rFonts w:ascii="Palatino Linotype" w:hAnsi="Palatino Linotype"/>
          <w:i/>
          <w:iCs/>
          <w:sz w:val="24"/>
          <w:szCs w:val="24"/>
        </w:rPr>
        <w:t>theos</w:t>
      </w:r>
      <w:proofErr w:type="spellEnd"/>
      <w:proofErr w:type="gramEnd"/>
      <w:r w:rsidRPr="003D6AFA">
        <w:rPr>
          <w:rFonts w:ascii="Palatino Linotype" w:hAnsi="Palatino Linotype"/>
          <w:i/>
          <w:iCs/>
          <w:sz w:val="24"/>
          <w:szCs w:val="24"/>
        </w:rPr>
        <w:t xml:space="preserve"> </w:t>
      </w:r>
      <w:proofErr w:type="spellStart"/>
      <w:r w:rsidRPr="003D6AFA">
        <w:rPr>
          <w:rFonts w:ascii="Palatino Linotype" w:hAnsi="Palatino Linotype"/>
          <w:i/>
          <w:iCs/>
          <w:sz w:val="24"/>
          <w:szCs w:val="24"/>
        </w:rPr>
        <w:t>hypsistos</w:t>
      </w:r>
      <w:proofErr w:type="spellEnd"/>
      <w:r w:rsidRPr="003D6AFA">
        <w:rPr>
          <w:rFonts w:ascii="Palatino Linotype" w:hAnsi="Palatino Linotype"/>
          <w:sz w:val="24"/>
          <w:szCs w:val="24"/>
        </w:rPr>
        <w:t>, ‘god most high’, provide valuable evidence of the monotheistic instinct at work</w:t>
      </w:r>
      <w:r w:rsidRPr="003D6AFA">
        <w:rPr>
          <w:rFonts w:ascii="Palatino Linotype" w:hAnsi="Palatino Linotype"/>
          <w:i/>
          <w:iCs/>
          <w:sz w:val="24"/>
          <w:szCs w:val="24"/>
        </w:rPr>
        <w:t xml:space="preserve"> </w:t>
      </w:r>
      <w:r w:rsidRPr="003D6AFA">
        <w:rPr>
          <w:rFonts w:ascii="Palatino Linotype" w:hAnsi="Palatino Linotype"/>
          <w:sz w:val="24"/>
          <w:szCs w:val="24"/>
        </w:rPr>
        <w:t>(</w:t>
      </w:r>
      <w:proofErr w:type="spellStart"/>
      <w:r w:rsidRPr="003D6AFA">
        <w:rPr>
          <w:rFonts w:ascii="Palatino Linotype" w:hAnsi="Palatino Linotype"/>
          <w:sz w:val="24"/>
          <w:szCs w:val="24"/>
        </w:rPr>
        <w:t>Chaniotis</w:t>
      </w:r>
      <w:proofErr w:type="spellEnd"/>
      <w:r w:rsidRPr="003D6AFA">
        <w:rPr>
          <w:rFonts w:ascii="Palatino Linotype" w:hAnsi="Palatino Linotype"/>
          <w:sz w:val="24"/>
          <w:szCs w:val="24"/>
        </w:rPr>
        <w:t xml:space="preserve"> 2010). Literary evidence indicates that there were other impulses toward </w:t>
      </w:r>
      <w:r w:rsidR="003D6AFA" w:rsidRPr="003D6AFA">
        <w:rPr>
          <w:rFonts w:ascii="Palatino Linotype" w:hAnsi="Palatino Linotype"/>
          <w:sz w:val="24"/>
          <w:szCs w:val="24"/>
        </w:rPr>
        <w:t xml:space="preserve">identifying and venerating one god. These impulses testify to an urgent need for a unified understanding of existence. And these impulses are satisfied by the recognition of transcendent unity. As H.S. </w:t>
      </w:r>
      <w:proofErr w:type="spellStart"/>
      <w:r w:rsidR="003D6AFA" w:rsidRPr="003D6AFA">
        <w:rPr>
          <w:rFonts w:ascii="Palatino Linotype" w:hAnsi="Palatino Linotype"/>
          <w:sz w:val="24"/>
          <w:szCs w:val="24"/>
        </w:rPr>
        <w:t>Versnel</w:t>
      </w:r>
      <w:proofErr w:type="spellEnd"/>
      <w:r w:rsidR="003D6AFA" w:rsidRPr="003D6AFA">
        <w:rPr>
          <w:rFonts w:ascii="Palatino Linotype" w:hAnsi="Palatino Linotype"/>
          <w:sz w:val="24"/>
          <w:szCs w:val="24"/>
        </w:rPr>
        <w:t xml:space="preserve"> (2011: 305) has said, </w:t>
      </w:r>
    </w:p>
    <w:p w:rsidR="003D6AFA" w:rsidRPr="003D6AFA" w:rsidRDefault="003D6AFA" w:rsidP="00687BFC">
      <w:pPr>
        <w:ind w:left="720" w:right="720"/>
        <w:jc w:val="both"/>
        <w:rPr>
          <w:rFonts w:ascii="Palatino Linotype" w:hAnsi="Palatino Linotype" w:cs="MinionPro-Regular"/>
          <w:sz w:val="24"/>
          <w:szCs w:val="24"/>
        </w:rPr>
      </w:pPr>
      <w:r w:rsidRPr="003D6AFA">
        <w:rPr>
          <w:rFonts w:ascii="Palatino Linotype" w:hAnsi="Palatino Linotype" w:cs="MinionPro-Regular"/>
          <w:sz w:val="24"/>
          <w:szCs w:val="24"/>
        </w:rPr>
        <w:t xml:space="preserve">These </w:t>
      </w:r>
      <w:r w:rsidR="00687BFC">
        <w:rPr>
          <w:rFonts w:ascii="Palatino Linotype" w:hAnsi="Palatino Linotype" w:cs="MinionPro-Regular"/>
          <w:sz w:val="24"/>
          <w:szCs w:val="24"/>
        </w:rPr>
        <w:t>‘</w:t>
      </w:r>
      <w:r w:rsidRPr="003D6AFA">
        <w:rPr>
          <w:rFonts w:ascii="Palatino Linotype" w:hAnsi="Palatino Linotype" w:cs="MinionPro-Regular"/>
          <w:sz w:val="24"/>
          <w:szCs w:val="24"/>
        </w:rPr>
        <w:t>One Gods</w:t>
      </w:r>
      <w:r w:rsidR="00687BFC">
        <w:rPr>
          <w:rFonts w:ascii="Palatino Linotype" w:hAnsi="Palatino Linotype" w:cs="MinionPro-Regular"/>
          <w:sz w:val="24"/>
          <w:szCs w:val="24"/>
        </w:rPr>
        <w:t>’</w:t>
      </w:r>
      <w:r w:rsidRPr="003D6AFA">
        <w:rPr>
          <w:rFonts w:ascii="Palatino Linotype" w:hAnsi="Palatino Linotype" w:cs="MinionPro-Regular"/>
          <w:sz w:val="24"/>
          <w:szCs w:val="24"/>
        </w:rPr>
        <w:t>, being products of at least speculative, at times intellectual, and at best philosophical reflection, are more or less abstract principles that transcend both men and traditional gods. They establish a conceptual unity, but a unity that is not the sum of the plurality of the normal gods. In both experiments the One and the Many operate on different levels and have different tasks, preserving a complementary co-existence.</w:t>
      </w:r>
    </w:p>
    <w:p w:rsidR="003D6AFA" w:rsidRDefault="003D6AFA" w:rsidP="00687BFC">
      <w:pPr>
        <w:ind w:firstLine="720"/>
        <w:jc w:val="both"/>
        <w:rPr>
          <w:rFonts w:ascii="Palatino Linotype" w:hAnsi="Palatino Linotype"/>
          <w:sz w:val="24"/>
          <w:szCs w:val="24"/>
        </w:rPr>
      </w:pPr>
      <w:r>
        <w:rPr>
          <w:rFonts w:ascii="Palatino Linotype" w:hAnsi="Palatino Linotype"/>
          <w:sz w:val="24"/>
          <w:szCs w:val="24"/>
        </w:rPr>
        <w:lastRenderedPageBreak/>
        <w:t>In studying ancient religions, it is important that we closely interrogate the sources. Overarching narratives – such as the displacement of the pagan pantheon by Constantine’s Christ – are convenient points of entry into the subject, but we need to dig deeper. The major architect of that narrative, Eusebius of Caesarea, was in no way a dispassionate observer and his own preferences, biases, and attitudes can and should be studied so that we can make responsible use of his testimony (</w:t>
      </w:r>
      <w:proofErr w:type="spellStart"/>
      <w:r>
        <w:rPr>
          <w:rFonts w:ascii="Palatino Linotype" w:hAnsi="Palatino Linotype"/>
          <w:sz w:val="24"/>
          <w:szCs w:val="24"/>
        </w:rPr>
        <w:t>Kofsky</w:t>
      </w:r>
      <w:proofErr w:type="spellEnd"/>
      <w:r>
        <w:rPr>
          <w:rFonts w:ascii="Palatino Linotype" w:hAnsi="Palatino Linotype"/>
          <w:sz w:val="24"/>
          <w:szCs w:val="24"/>
        </w:rPr>
        <w:t xml:space="preserve"> 2000). At the same time, the </w:t>
      </w:r>
      <w:r w:rsidR="00B956F6">
        <w:rPr>
          <w:rFonts w:ascii="Palatino Linotype" w:hAnsi="Palatino Linotype"/>
          <w:sz w:val="24"/>
          <w:szCs w:val="24"/>
        </w:rPr>
        <w:t>complicated interactions of</w:t>
      </w:r>
      <w:r>
        <w:rPr>
          <w:rFonts w:ascii="Palatino Linotype" w:hAnsi="Palatino Linotype"/>
          <w:sz w:val="24"/>
          <w:szCs w:val="24"/>
        </w:rPr>
        <w:t xml:space="preserve"> late Roman </w:t>
      </w:r>
      <w:r w:rsidR="00B956F6">
        <w:rPr>
          <w:rFonts w:ascii="Palatino Linotype" w:hAnsi="Palatino Linotype"/>
          <w:sz w:val="24"/>
          <w:szCs w:val="24"/>
        </w:rPr>
        <w:t xml:space="preserve">Christians and </w:t>
      </w:r>
      <w:r>
        <w:rPr>
          <w:rFonts w:ascii="Palatino Linotype" w:hAnsi="Palatino Linotype"/>
          <w:sz w:val="24"/>
          <w:szCs w:val="24"/>
        </w:rPr>
        <w:t>pagan</w:t>
      </w:r>
      <w:r w:rsidR="00B956F6">
        <w:rPr>
          <w:rFonts w:ascii="Palatino Linotype" w:hAnsi="Palatino Linotype"/>
          <w:sz w:val="24"/>
          <w:szCs w:val="24"/>
        </w:rPr>
        <w:t xml:space="preserve">s, as both sides took part in a cultural where traditional religion played a conspicuous role, should </w:t>
      </w:r>
      <w:r>
        <w:rPr>
          <w:rFonts w:ascii="Palatino Linotype" w:hAnsi="Palatino Linotype"/>
          <w:sz w:val="24"/>
          <w:szCs w:val="24"/>
        </w:rPr>
        <w:t>not be underestimated (Cameron 201</w:t>
      </w:r>
      <w:r w:rsidR="00B956F6">
        <w:rPr>
          <w:rFonts w:ascii="Palatino Linotype" w:hAnsi="Palatino Linotype"/>
          <w:sz w:val="24"/>
          <w:szCs w:val="24"/>
        </w:rPr>
        <w:t>0</w:t>
      </w:r>
      <w:r>
        <w:rPr>
          <w:rFonts w:ascii="Palatino Linotype" w:hAnsi="Palatino Linotype"/>
          <w:sz w:val="24"/>
          <w:szCs w:val="24"/>
        </w:rPr>
        <w:t xml:space="preserve">). And if it happens in evaluating the evidence that familiar categories are tested to destruction, we should not hesitate to develop new categories that correspond more satisfactorily to the surviving evidence for </w:t>
      </w:r>
      <w:r w:rsidR="00BC24F8">
        <w:rPr>
          <w:rFonts w:ascii="Palatino Linotype" w:hAnsi="Palatino Linotype"/>
          <w:sz w:val="24"/>
          <w:szCs w:val="24"/>
        </w:rPr>
        <w:t>multiple points of origin for monotheism.</w:t>
      </w:r>
    </w:p>
    <w:p w:rsidR="003D6AFA" w:rsidRDefault="003D6AFA" w:rsidP="003D6AFA">
      <w:pPr>
        <w:jc w:val="both"/>
        <w:rPr>
          <w:rFonts w:ascii="Palatino Linotype" w:hAnsi="Palatino Linotype"/>
          <w:sz w:val="24"/>
          <w:szCs w:val="24"/>
        </w:rPr>
      </w:pPr>
    </w:p>
    <w:p w:rsidR="00DE45A8" w:rsidRDefault="00DE45A8">
      <w:pPr>
        <w:rPr>
          <w:rFonts w:ascii="Palatino Linotype" w:hAnsi="Palatino Linotype"/>
          <w:sz w:val="24"/>
          <w:szCs w:val="24"/>
        </w:rPr>
      </w:pPr>
      <w:r>
        <w:rPr>
          <w:rFonts w:ascii="Palatino Linotype" w:hAnsi="Palatino Linotype"/>
          <w:sz w:val="24"/>
          <w:szCs w:val="24"/>
        </w:rPr>
        <w:br w:type="page"/>
      </w:r>
    </w:p>
    <w:p w:rsidR="003D6AFA" w:rsidRDefault="003D6AFA" w:rsidP="003D6AFA">
      <w:pPr>
        <w:jc w:val="both"/>
        <w:rPr>
          <w:rFonts w:ascii="Palatino Linotype" w:hAnsi="Palatino Linotype"/>
          <w:sz w:val="24"/>
          <w:szCs w:val="24"/>
        </w:rPr>
      </w:pPr>
    </w:p>
    <w:p w:rsidR="00DC2A5F" w:rsidRDefault="00DC2A5F" w:rsidP="003D6AFA">
      <w:pPr>
        <w:jc w:val="both"/>
        <w:rPr>
          <w:rFonts w:ascii="Palatino Linotype" w:hAnsi="Palatino Linotype"/>
          <w:sz w:val="24"/>
          <w:szCs w:val="24"/>
        </w:rPr>
      </w:pPr>
      <w:r>
        <w:rPr>
          <w:rFonts w:ascii="Palatino Linotype" w:hAnsi="Palatino Linotype"/>
          <w:sz w:val="24"/>
          <w:szCs w:val="24"/>
        </w:rPr>
        <w:t>Bibliography</w:t>
      </w:r>
    </w:p>
    <w:p w:rsidR="00BC24F8" w:rsidRDefault="00BC24F8" w:rsidP="003D6AFA">
      <w:pPr>
        <w:jc w:val="both"/>
        <w:rPr>
          <w:rFonts w:ascii="Palatino Linotype" w:hAnsi="Palatino Linotype"/>
          <w:sz w:val="24"/>
          <w:szCs w:val="24"/>
        </w:rPr>
      </w:pPr>
    </w:p>
    <w:p w:rsidR="00BC24F8" w:rsidRPr="00CD448F" w:rsidRDefault="00BC24F8" w:rsidP="003D6AFA">
      <w:pPr>
        <w:jc w:val="both"/>
        <w:rPr>
          <w:rFonts w:ascii="Palatino Linotype" w:hAnsi="Palatino Linotype"/>
          <w:sz w:val="24"/>
          <w:szCs w:val="24"/>
        </w:rPr>
      </w:pPr>
      <w:r>
        <w:rPr>
          <w:rFonts w:ascii="Palatino Linotype" w:hAnsi="Palatino Linotype"/>
          <w:sz w:val="24"/>
          <w:szCs w:val="24"/>
        </w:rPr>
        <w:t>Essential reading:</w:t>
      </w:r>
    </w:p>
    <w:p w:rsidR="00482823" w:rsidRDefault="00482823" w:rsidP="002753F8">
      <w:pPr>
        <w:jc w:val="both"/>
        <w:rPr>
          <w:rFonts w:ascii="Palatino Linotype" w:hAnsi="Palatino Linotype"/>
          <w:sz w:val="24"/>
          <w:szCs w:val="24"/>
        </w:rPr>
      </w:pPr>
      <w:r w:rsidRPr="002753F8">
        <w:rPr>
          <w:rFonts w:ascii="Palatino Linotype" w:hAnsi="Palatino Linotype"/>
          <w:sz w:val="24"/>
          <w:szCs w:val="24"/>
        </w:rPr>
        <w:t xml:space="preserve">Jan </w:t>
      </w:r>
      <w:proofErr w:type="spellStart"/>
      <w:r w:rsidRPr="002753F8">
        <w:rPr>
          <w:rFonts w:ascii="Palatino Linotype" w:hAnsi="Palatino Linotype"/>
          <w:sz w:val="24"/>
          <w:szCs w:val="24"/>
        </w:rPr>
        <w:t>Assman</w:t>
      </w:r>
      <w:r w:rsidR="00932F66" w:rsidRPr="002753F8">
        <w:rPr>
          <w:rFonts w:ascii="Palatino Linotype" w:hAnsi="Palatino Linotype"/>
          <w:sz w:val="24"/>
          <w:szCs w:val="24"/>
        </w:rPr>
        <w:t>n</w:t>
      </w:r>
      <w:proofErr w:type="spellEnd"/>
      <w:r w:rsidRPr="002753F8">
        <w:rPr>
          <w:rFonts w:ascii="Palatino Linotype" w:hAnsi="Palatino Linotype"/>
          <w:sz w:val="24"/>
          <w:szCs w:val="24"/>
        </w:rPr>
        <w:t>,</w:t>
      </w:r>
      <w:r w:rsidR="00932F66" w:rsidRPr="002753F8">
        <w:rPr>
          <w:rFonts w:ascii="Palatino Linotype" w:hAnsi="Palatino Linotype"/>
          <w:sz w:val="24"/>
          <w:szCs w:val="24"/>
        </w:rPr>
        <w:t xml:space="preserve"> ‘Monotheism and polytheism,’ in </w:t>
      </w:r>
      <w:r w:rsidR="002753F8" w:rsidRPr="002753F8">
        <w:rPr>
          <w:rFonts w:ascii="Palatino Linotype" w:hAnsi="Palatino Linotype"/>
          <w:sz w:val="24"/>
          <w:szCs w:val="24"/>
        </w:rPr>
        <w:t>Sarah Iles Johnston</w:t>
      </w:r>
      <w:r w:rsidR="00932F66" w:rsidRPr="002753F8">
        <w:rPr>
          <w:rFonts w:ascii="Palatino Linotype" w:hAnsi="Palatino Linotype"/>
          <w:sz w:val="24"/>
          <w:szCs w:val="24"/>
        </w:rPr>
        <w:t xml:space="preserve">, </w:t>
      </w:r>
      <w:r w:rsidR="00932F66" w:rsidRPr="002753F8">
        <w:rPr>
          <w:rFonts w:ascii="Palatino Linotype" w:hAnsi="Palatino Linotype"/>
          <w:i/>
          <w:iCs/>
          <w:sz w:val="24"/>
          <w:szCs w:val="24"/>
        </w:rPr>
        <w:t>Ancient Religions</w:t>
      </w:r>
      <w:r w:rsidR="00932F66" w:rsidRPr="002753F8">
        <w:rPr>
          <w:rFonts w:ascii="Palatino Linotype" w:hAnsi="Palatino Linotype"/>
          <w:sz w:val="24"/>
          <w:szCs w:val="24"/>
        </w:rPr>
        <w:t xml:space="preserve"> (</w:t>
      </w:r>
      <w:r w:rsidR="002753F8" w:rsidRPr="002753F8">
        <w:rPr>
          <w:rFonts w:ascii="Palatino Linotype" w:hAnsi="Palatino Linotype"/>
          <w:sz w:val="24"/>
          <w:szCs w:val="24"/>
        </w:rPr>
        <w:t>Cambridge, MA</w:t>
      </w:r>
      <w:r w:rsidR="00932F66" w:rsidRPr="002753F8">
        <w:rPr>
          <w:rFonts w:ascii="Palatino Linotype" w:hAnsi="Palatino Linotype"/>
          <w:sz w:val="24"/>
          <w:szCs w:val="24"/>
        </w:rPr>
        <w:t>:</w:t>
      </w:r>
      <w:r w:rsidR="002753F8" w:rsidRPr="002753F8">
        <w:rPr>
          <w:rFonts w:ascii="Palatino Linotype" w:hAnsi="Palatino Linotype"/>
          <w:sz w:val="24"/>
          <w:szCs w:val="24"/>
        </w:rPr>
        <w:t xml:space="preserve"> </w:t>
      </w:r>
      <w:proofErr w:type="spellStart"/>
      <w:r w:rsidR="002753F8" w:rsidRPr="002753F8">
        <w:rPr>
          <w:rFonts w:ascii="Palatino Linotype" w:hAnsi="Palatino Linotype"/>
          <w:sz w:val="24"/>
          <w:szCs w:val="24"/>
        </w:rPr>
        <w:t>Belknap</w:t>
      </w:r>
      <w:proofErr w:type="spellEnd"/>
      <w:r w:rsidR="002753F8" w:rsidRPr="002753F8">
        <w:rPr>
          <w:rFonts w:ascii="Palatino Linotype" w:hAnsi="Palatino Linotype"/>
          <w:sz w:val="24"/>
          <w:szCs w:val="24"/>
        </w:rPr>
        <w:t xml:space="preserve"> Press</w:t>
      </w:r>
      <w:r w:rsidR="00932F66" w:rsidRPr="002753F8">
        <w:rPr>
          <w:rFonts w:ascii="Palatino Linotype" w:hAnsi="Palatino Linotype"/>
          <w:sz w:val="24"/>
          <w:szCs w:val="24"/>
        </w:rPr>
        <w:t xml:space="preserve">, </w:t>
      </w:r>
      <w:r w:rsidR="002753F8" w:rsidRPr="002753F8">
        <w:rPr>
          <w:rFonts w:ascii="Palatino Linotype" w:hAnsi="Palatino Linotype"/>
          <w:sz w:val="24"/>
          <w:szCs w:val="24"/>
        </w:rPr>
        <w:t>2007</w:t>
      </w:r>
      <w:r w:rsidR="00932F66" w:rsidRPr="002753F8">
        <w:rPr>
          <w:rFonts w:ascii="Palatino Linotype" w:hAnsi="Palatino Linotype"/>
          <w:sz w:val="24"/>
          <w:szCs w:val="24"/>
        </w:rPr>
        <w:t>), pp. 16-31</w:t>
      </w:r>
      <w:r>
        <w:rPr>
          <w:rFonts w:ascii="Palatino Linotype" w:hAnsi="Palatino Linotype"/>
          <w:sz w:val="24"/>
          <w:szCs w:val="24"/>
        </w:rPr>
        <w:t xml:space="preserve"> </w:t>
      </w:r>
    </w:p>
    <w:p w:rsidR="00C9624A" w:rsidRPr="00B956F6" w:rsidRDefault="00C9624A" w:rsidP="00DE45A8">
      <w:pPr>
        <w:jc w:val="both"/>
        <w:rPr>
          <w:rFonts w:ascii="Palatino Linotype" w:hAnsi="Palatino Linotype"/>
          <w:sz w:val="24"/>
          <w:szCs w:val="24"/>
        </w:rPr>
      </w:pPr>
      <w:r w:rsidRPr="00B956F6">
        <w:rPr>
          <w:rFonts w:ascii="Palatino Linotype" w:hAnsi="Palatino Linotype"/>
          <w:sz w:val="24"/>
          <w:szCs w:val="24"/>
        </w:rPr>
        <w:t>T.D. Barnes, ‘Monotheists All?</w:t>
      </w:r>
      <w:proofErr w:type="gramStart"/>
      <w:r w:rsidRPr="00B956F6">
        <w:rPr>
          <w:rFonts w:ascii="Palatino Linotype" w:hAnsi="Palatino Linotype"/>
          <w:sz w:val="24"/>
          <w:szCs w:val="24"/>
        </w:rPr>
        <w:t>’,</w:t>
      </w:r>
      <w:proofErr w:type="gramEnd"/>
      <w:r w:rsidRPr="00B956F6">
        <w:rPr>
          <w:rFonts w:ascii="Palatino Linotype" w:hAnsi="Palatino Linotype"/>
          <w:sz w:val="24"/>
          <w:szCs w:val="24"/>
        </w:rPr>
        <w:t xml:space="preserve"> </w:t>
      </w:r>
      <w:proofErr w:type="spellStart"/>
      <w:r w:rsidRPr="00B956F6">
        <w:rPr>
          <w:rFonts w:ascii="Palatino Linotype" w:hAnsi="Palatino Linotype"/>
          <w:i/>
          <w:iCs/>
          <w:sz w:val="24"/>
          <w:szCs w:val="24"/>
        </w:rPr>
        <w:t>Phoenis</w:t>
      </w:r>
      <w:proofErr w:type="spellEnd"/>
      <w:r w:rsidRPr="00B956F6">
        <w:rPr>
          <w:rFonts w:ascii="Palatino Linotype" w:hAnsi="Palatino Linotype"/>
          <w:i/>
          <w:iCs/>
          <w:sz w:val="24"/>
          <w:szCs w:val="24"/>
        </w:rPr>
        <w:t xml:space="preserve"> </w:t>
      </w:r>
      <w:r w:rsidRPr="00B956F6">
        <w:rPr>
          <w:rFonts w:ascii="Palatino Linotype" w:hAnsi="Palatino Linotype"/>
          <w:sz w:val="24"/>
          <w:szCs w:val="24"/>
        </w:rPr>
        <w:t>55 (2001), pp. 142-162</w:t>
      </w:r>
      <w:r w:rsidR="00DE45A8">
        <w:rPr>
          <w:rFonts w:ascii="Palatino Linotype" w:hAnsi="Palatino Linotype"/>
          <w:sz w:val="24"/>
          <w:szCs w:val="24"/>
        </w:rPr>
        <w:t xml:space="preserve">; </w:t>
      </w:r>
      <w:r w:rsidR="00B956F6" w:rsidRPr="00B956F6">
        <w:rPr>
          <w:rFonts w:ascii="Palatino Linotype" w:hAnsi="Palatino Linotype"/>
          <w:sz w:val="24"/>
          <w:szCs w:val="24"/>
        </w:rPr>
        <w:t xml:space="preserve">available on-line at: </w:t>
      </w:r>
      <w:hyperlink r:id="rId6" w:history="1">
        <w:r w:rsidR="00B956F6" w:rsidRPr="00B956F6">
          <w:rPr>
            <w:rStyle w:val="Hyperlink"/>
            <w:rFonts w:ascii="Palatino Linotype" w:hAnsi="Palatino Linotype" w:cs="Arial"/>
            <w:sz w:val="24"/>
            <w:szCs w:val="24"/>
            <w:shd w:val="clear" w:color="auto" w:fill="FFFFFF"/>
          </w:rPr>
          <w:t>http://www.jstor.org/stable/1089029</w:t>
        </w:r>
      </w:hyperlink>
      <w:r w:rsidR="00B956F6" w:rsidRPr="00B956F6">
        <w:rPr>
          <w:rFonts w:ascii="Palatino Linotype" w:hAnsi="Palatino Linotype" w:cs="Arial"/>
          <w:color w:val="000000"/>
          <w:sz w:val="24"/>
          <w:szCs w:val="24"/>
          <w:shd w:val="clear" w:color="auto" w:fill="FFFFFF"/>
        </w:rPr>
        <w:t xml:space="preserve"> (accessed 10 Oct 2012)</w:t>
      </w:r>
    </w:p>
    <w:p w:rsidR="00BC24F8" w:rsidRDefault="00BC24F8" w:rsidP="003D6AFA">
      <w:pPr>
        <w:jc w:val="both"/>
        <w:rPr>
          <w:rFonts w:ascii="Palatino Linotype" w:hAnsi="Palatino Linotype"/>
          <w:sz w:val="24"/>
          <w:szCs w:val="24"/>
        </w:rPr>
      </w:pPr>
      <w:r w:rsidRPr="00DE45A8">
        <w:rPr>
          <w:rFonts w:ascii="Palatino Linotype" w:hAnsi="Palatino Linotype"/>
          <w:sz w:val="24"/>
          <w:szCs w:val="24"/>
        </w:rPr>
        <w:t xml:space="preserve">Garth </w:t>
      </w:r>
      <w:proofErr w:type="spellStart"/>
      <w:r w:rsidRPr="00DE45A8">
        <w:rPr>
          <w:rFonts w:ascii="Palatino Linotype" w:hAnsi="Palatino Linotype"/>
          <w:sz w:val="24"/>
          <w:szCs w:val="24"/>
        </w:rPr>
        <w:t>Fowden</w:t>
      </w:r>
      <w:proofErr w:type="spellEnd"/>
      <w:r w:rsidRPr="00DE45A8">
        <w:rPr>
          <w:rFonts w:ascii="Palatino Linotype" w:hAnsi="Palatino Linotype"/>
          <w:sz w:val="24"/>
          <w:szCs w:val="24"/>
        </w:rPr>
        <w:t xml:space="preserve">, </w:t>
      </w:r>
      <w:r w:rsidRPr="00DE45A8">
        <w:rPr>
          <w:rFonts w:ascii="Palatino Linotype" w:hAnsi="Palatino Linotype"/>
          <w:i/>
          <w:iCs/>
          <w:sz w:val="24"/>
          <w:szCs w:val="24"/>
        </w:rPr>
        <w:t xml:space="preserve">From Empire to Commonwealth: Consequences of monotheism in late antiquity </w:t>
      </w:r>
      <w:r w:rsidRPr="00DE45A8">
        <w:rPr>
          <w:rFonts w:ascii="Palatino Linotype" w:hAnsi="Palatino Linotype"/>
          <w:sz w:val="24"/>
          <w:szCs w:val="24"/>
        </w:rPr>
        <w:t>(Princeton: Princeton University Press, 1993)</w:t>
      </w:r>
      <w:r w:rsidR="00DE45A8" w:rsidRPr="00DE45A8">
        <w:rPr>
          <w:rFonts w:ascii="Palatino Linotype" w:hAnsi="Palatino Linotype"/>
          <w:sz w:val="24"/>
          <w:szCs w:val="24"/>
        </w:rPr>
        <w:t xml:space="preserve">; available in the University Library, </w:t>
      </w:r>
      <w:proofErr w:type="spellStart"/>
      <w:r w:rsidR="00DE45A8" w:rsidRPr="00DE45A8">
        <w:rPr>
          <w:rFonts w:ascii="Palatino Linotype" w:hAnsi="Palatino Linotype"/>
          <w:sz w:val="24"/>
          <w:szCs w:val="24"/>
        </w:rPr>
        <w:t>Lampeter</w:t>
      </w:r>
      <w:proofErr w:type="spellEnd"/>
      <w:r w:rsidR="00DE45A8" w:rsidRPr="00DE45A8">
        <w:rPr>
          <w:rFonts w:ascii="Palatino Linotype" w:hAnsi="Palatino Linotype"/>
          <w:sz w:val="24"/>
          <w:szCs w:val="24"/>
        </w:rPr>
        <w:t>: 949.501 FOW Main Sequence</w:t>
      </w:r>
    </w:p>
    <w:p w:rsidR="00BC24F8" w:rsidRDefault="00BC24F8" w:rsidP="00DE45A8">
      <w:pPr>
        <w:jc w:val="both"/>
        <w:rPr>
          <w:rFonts w:ascii="Palatino Linotype" w:hAnsi="Palatino Linotype"/>
          <w:sz w:val="24"/>
          <w:szCs w:val="24"/>
        </w:rPr>
      </w:pPr>
      <w:r w:rsidRPr="00B956F6">
        <w:rPr>
          <w:rFonts w:ascii="Palatino Linotype" w:hAnsi="Palatino Linotype"/>
          <w:sz w:val="24"/>
          <w:szCs w:val="24"/>
        </w:rPr>
        <w:t xml:space="preserve">Peter van </w:t>
      </w:r>
      <w:proofErr w:type="spellStart"/>
      <w:r w:rsidRPr="00B956F6">
        <w:rPr>
          <w:rFonts w:ascii="Palatino Linotype" w:hAnsi="Palatino Linotype"/>
          <w:sz w:val="24"/>
          <w:szCs w:val="24"/>
        </w:rPr>
        <w:t>Nuffelen</w:t>
      </w:r>
      <w:proofErr w:type="spellEnd"/>
      <w:r w:rsidRPr="00B956F6">
        <w:rPr>
          <w:rFonts w:ascii="Palatino Linotype" w:hAnsi="Palatino Linotype"/>
          <w:sz w:val="24"/>
          <w:szCs w:val="24"/>
        </w:rPr>
        <w:t>, ‘</w:t>
      </w:r>
      <w:r w:rsidRPr="00B956F6">
        <w:rPr>
          <w:rFonts w:ascii="Palatino Linotype" w:hAnsi="Palatino Linotype"/>
          <w:sz w:val="24"/>
          <w:szCs w:val="24"/>
          <w:shd w:val="clear" w:color="auto" w:fill="FFFFFF"/>
        </w:rPr>
        <w:t xml:space="preserve">Beyond Categorization: “Pagan Monotheism” and the Study of Ancient Religion’, </w:t>
      </w:r>
      <w:r w:rsidRPr="00B956F6">
        <w:rPr>
          <w:rFonts w:ascii="Palatino Linotype" w:hAnsi="Palatino Linotype"/>
          <w:i/>
          <w:iCs/>
          <w:sz w:val="24"/>
          <w:szCs w:val="24"/>
          <w:shd w:val="clear" w:color="auto" w:fill="FFFFFF"/>
        </w:rPr>
        <w:t xml:space="preserve">Common Knowledge </w:t>
      </w:r>
      <w:r w:rsidRPr="00B956F6">
        <w:rPr>
          <w:rFonts w:ascii="Palatino Linotype" w:hAnsi="Palatino Linotype"/>
          <w:sz w:val="24"/>
          <w:szCs w:val="24"/>
          <w:shd w:val="clear" w:color="auto" w:fill="FFFFFF"/>
        </w:rPr>
        <w:t>18 (2012), pp. 451-463</w:t>
      </w:r>
      <w:r w:rsidR="00DE45A8">
        <w:rPr>
          <w:rFonts w:ascii="Palatino Linotype" w:hAnsi="Palatino Linotype"/>
          <w:sz w:val="24"/>
          <w:szCs w:val="24"/>
          <w:shd w:val="clear" w:color="auto" w:fill="FFFFFF"/>
        </w:rPr>
        <w:t xml:space="preserve">; </w:t>
      </w:r>
      <w:r w:rsidR="00B956F6" w:rsidRPr="00B956F6">
        <w:rPr>
          <w:rFonts w:ascii="Palatino Linotype" w:hAnsi="Palatino Linotype"/>
          <w:sz w:val="24"/>
          <w:szCs w:val="24"/>
          <w:shd w:val="clear" w:color="auto" w:fill="FFFFFF"/>
        </w:rPr>
        <w:t xml:space="preserve">available on-line at: </w:t>
      </w:r>
      <w:hyperlink r:id="rId7" w:history="1">
        <w:r w:rsidR="00B956F6" w:rsidRPr="00B956F6">
          <w:rPr>
            <w:rStyle w:val="Hyperlink"/>
            <w:rFonts w:ascii="Palatino Linotype" w:hAnsi="Palatino Linotype"/>
            <w:sz w:val="24"/>
            <w:szCs w:val="24"/>
          </w:rPr>
          <w:t>http://muse.jhu.edu/journals/common_knowledge/v018/18.3.van-nuffelen.pdf</w:t>
        </w:r>
      </w:hyperlink>
      <w:r w:rsidR="00B956F6" w:rsidRPr="00B956F6">
        <w:rPr>
          <w:rFonts w:ascii="Palatino Linotype" w:hAnsi="Palatino Linotype"/>
          <w:sz w:val="24"/>
          <w:szCs w:val="24"/>
          <w:shd w:val="clear" w:color="auto" w:fill="FFFFFF"/>
        </w:rPr>
        <w:t xml:space="preserve"> </w:t>
      </w:r>
      <w:r w:rsidR="00B956F6">
        <w:rPr>
          <w:rFonts w:ascii="Palatino Linotype" w:hAnsi="Palatino Linotype"/>
          <w:sz w:val="24"/>
          <w:szCs w:val="24"/>
          <w:shd w:val="clear" w:color="auto" w:fill="FFFFFF"/>
        </w:rPr>
        <w:t>(accessed 10 Oct 2012)</w:t>
      </w:r>
    </w:p>
    <w:p w:rsidR="00BC24F8" w:rsidRDefault="00BC24F8" w:rsidP="003D6AFA">
      <w:pPr>
        <w:jc w:val="both"/>
        <w:rPr>
          <w:rFonts w:ascii="Palatino Linotype" w:hAnsi="Palatino Linotype"/>
          <w:sz w:val="24"/>
          <w:szCs w:val="24"/>
        </w:rPr>
      </w:pPr>
    </w:p>
    <w:p w:rsidR="00BC24F8" w:rsidRDefault="00BC24F8" w:rsidP="00BC24F8">
      <w:pPr>
        <w:jc w:val="both"/>
        <w:rPr>
          <w:rFonts w:ascii="Palatino Linotype" w:hAnsi="Palatino Linotype"/>
          <w:sz w:val="24"/>
          <w:szCs w:val="24"/>
        </w:rPr>
      </w:pPr>
      <w:r>
        <w:rPr>
          <w:rFonts w:ascii="Palatino Linotype" w:hAnsi="Palatino Linotype"/>
          <w:sz w:val="24"/>
          <w:szCs w:val="24"/>
        </w:rPr>
        <w:t>Further reading:</w:t>
      </w:r>
    </w:p>
    <w:p w:rsidR="001D2C3A" w:rsidRPr="00DE45A8" w:rsidRDefault="001D2C3A" w:rsidP="00DE45A8">
      <w:pPr>
        <w:jc w:val="both"/>
        <w:rPr>
          <w:rFonts w:ascii="Palatino Linotype" w:hAnsi="Palatino Linotype"/>
          <w:sz w:val="24"/>
          <w:szCs w:val="24"/>
        </w:rPr>
      </w:pPr>
      <w:proofErr w:type="spellStart"/>
      <w:r w:rsidRPr="00DE45A8">
        <w:rPr>
          <w:rFonts w:ascii="Palatino Linotype" w:hAnsi="Palatino Linotype"/>
          <w:sz w:val="24"/>
          <w:szCs w:val="24"/>
        </w:rPr>
        <w:t>Polyamni</w:t>
      </w:r>
      <w:proofErr w:type="spellEnd"/>
      <w:r w:rsidRPr="00DE45A8">
        <w:rPr>
          <w:rFonts w:ascii="Palatino Linotype" w:hAnsi="Palatino Linotype"/>
          <w:sz w:val="24"/>
          <w:szCs w:val="24"/>
        </w:rPr>
        <w:t xml:space="preserve"> </w:t>
      </w:r>
      <w:proofErr w:type="spellStart"/>
      <w:r w:rsidRPr="00DE45A8">
        <w:rPr>
          <w:rFonts w:ascii="Palatino Linotype" w:hAnsi="Palatino Linotype"/>
          <w:sz w:val="24"/>
          <w:szCs w:val="24"/>
        </w:rPr>
        <w:t>Athanassiadi</w:t>
      </w:r>
      <w:proofErr w:type="spellEnd"/>
      <w:r w:rsidRPr="00DE45A8">
        <w:rPr>
          <w:rFonts w:ascii="Palatino Linotype" w:hAnsi="Palatino Linotype"/>
          <w:sz w:val="24"/>
          <w:szCs w:val="24"/>
        </w:rPr>
        <w:t xml:space="preserve"> and Michael </w:t>
      </w:r>
      <w:proofErr w:type="spellStart"/>
      <w:r w:rsidRPr="00DE45A8">
        <w:rPr>
          <w:rFonts w:ascii="Palatino Linotype" w:hAnsi="Palatino Linotype"/>
          <w:sz w:val="24"/>
          <w:szCs w:val="24"/>
        </w:rPr>
        <w:t>Frede</w:t>
      </w:r>
      <w:proofErr w:type="spellEnd"/>
      <w:r w:rsidRPr="00DE45A8">
        <w:rPr>
          <w:rFonts w:ascii="Palatino Linotype" w:hAnsi="Palatino Linotype"/>
          <w:sz w:val="24"/>
          <w:szCs w:val="24"/>
        </w:rPr>
        <w:t xml:space="preserve">, eds., </w:t>
      </w:r>
      <w:r w:rsidRPr="00DE45A8">
        <w:rPr>
          <w:rFonts w:ascii="Palatino Linotype" w:hAnsi="Palatino Linotype"/>
          <w:i/>
          <w:iCs/>
          <w:sz w:val="24"/>
          <w:szCs w:val="24"/>
        </w:rPr>
        <w:t>Pagan Monotheism in Late Antiquity</w:t>
      </w:r>
      <w:r w:rsidRPr="00DE45A8">
        <w:rPr>
          <w:rFonts w:ascii="Palatino Linotype" w:hAnsi="Palatino Linotype"/>
          <w:sz w:val="24"/>
          <w:szCs w:val="24"/>
        </w:rPr>
        <w:t xml:space="preserve"> (Oxford: Clarendon Press, 1999)</w:t>
      </w:r>
      <w:r w:rsidR="00DE45A8">
        <w:rPr>
          <w:rFonts w:ascii="Palatino Linotype" w:hAnsi="Palatino Linotype"/>
          <w:sz w:val="24"/>
          <w:szCs w:val="24"/>
        </w:rPr>
        <w:t xml:space="preserve">; available in the </w:t>
      </w:r>
      <w:r w:rsidR="00D84562" w:rsidRPr="00DE45A8">
        <w:rPr>
          <w:rFonts w:ascii="Palatino Linotype" w:hAnsi="Palatino Linotype"/>
          <w:sz w:val="24"/>
          <w:szCs w:val="24"/>
        </w:rPr>
        <w:t>University library</w:t>
      </w:r>
      <w:r w:rsidR="00DE45A8" w:rsidRPr="00DE45A8">
        <w:rPr>
          <w:rFonts w:ascii="Palatino Linotype" w:hAnsi="Palatino Linotype"/>
          <w:sz w:val="24"/>
          <w:szCs w:val="24"/>
        </w:rPr>
        <w:t xml:space="preserve">, </w:t>
      </w:r>
      <w:proofErr w:type="spellStart"/>
      <w:r w:rsidR="00DE45A8" w:rsidRPr="00DE45A8">
        <w:rPr>
          <w:rFonts w:ascii="Palatino Linotype" w:hAnsi="Palatino Linotype"/>
          <w:sz w:val="24"/>
          <w:szCs w:val="24"/>
        </w:rPr>
        <w:t>Lampeter</w:t>
      </w:r>
      <w:proofErr w:type="spellEnd"/>
      <w:r w:rsidR="00DE45A8" w:rsidRPr="00DE45A8">
        <w:rPr>
          <w:rFonts w:ascii="Palatino Linotype" w:hAnsi="Palatino Linotype"/>
          <w:sz w:val="24"/>
          <w:szCs w:val="24"/>
        </w:rPr>
        <w:t xml:space="preserve">: </w:t>
      </w:r>
      <w:r w:rsidR="00DE45A8" w:rsidRPr="00DE45A8">
        <w:rPr>
          <w:rFonts w:ascii="Palatino Linotype" w:eastAsia="Arial Unicode MS" w:hAnsi="Palatino Linotype" w:cs="Arial Unicode MS"/>
          <w:color w:val="000000"/>
          <w:sz w:val="24"/>
          <w:szCs w:val="24"/>
          <w:shd w:val="clear" w:color="auto" w:fill="FFFFFF"/>
        </w:rPr>
        <w:t>292 PAG Main Sequence</w:t>
      </w:r>
    </w:p>
    <w:p w:rsidR="00482823" w:rsidRPr="00DE45A8" w:rsidRDefault="00482823" w:rsidP="00B956F6">
      <w:pPr>
        <w:jc w:val="both"/>
        <w:rPr>
          <w:rFonts w:ascii="Palatino Linotype" w:hAnsi="Palatino Linotype"/>
          <w:sz w:val="24"/>
          <w:szCs w:val="24"/>
        </w:rPr>
      </w:pPr>
      <w:r w:rsidRPr="00DE45A8">
        <w:rPr>
          <w:rFonts w:ascii="Palatino Linotype" w:hAnsi="Palatino Linotype"/>
          <w:sz w:val="24"/>
          <w:szCs w:val="24"/>
        </w:rPr>
        <w:t xml:space="preserve">Alan Cameron, </w:t>
      </w:r>
      <w:r w:rsidRPr="00DE45A8">
        <w:rPr>
          <w:rFonts w:ascii="Palatino Linotype" w:hAnsi="Palatino Linotype"/>
          <w:i/>
          <w:iCs/>
          <w:sz w:val="24"/>
          <w:szCs w:val="24"/>
        </w:rPr>
        <w:t>The Last Pagans of Rome</w:t>
      </w:r>
      <w:r w:rsidRPr="00DE45A8">
        <w:rPr>
          <w:rFonts w:ascii="Palatino Linotype" w:hAnsi="Palatino Linotype"/>
          <w:sz w:val="24"/>
          <w:szCs w:val="24"/>
        </w:rPr>
        <w:t xml:space="preserve"> (Oxford: OUP, 201</w:t>
      </w:r>
      <w:r w:rsidR="00B956F6" w:rsidRPr="00DE45A8">
        <w:rPr>
          <w:rFonts w:ascii="Palatino Linotype" w:hAnsi="Palatino Linotype"/>
          <w:sz w:val="24"/>
          <w:szCs w:val="24"/>
        </w:rPr>
        <w:t>0</w:t>
      </w:r>
      <w:r w:rsidR="00DE45A8">
        <w:rPr>
          <w:rFonts w:ascii="Palatino Linotype" w:hAnsi="Palatino Linotype"/>
          <w:sz w:val="24"/>
          <w:szCs w:val="24"/>
        </w:rPr>
        <w:t>)</w:t>
      </w:r>
      <w:r w:rsidR="00DE45A8" w:rsidRPr="00DE45A8">
        <w:rPr>
          <w:rFonts w:ascii="Palatino Linotype" w:hAnsi="Palatino Linotype"/>
          <w:sz w:val="24"/>
          <w:szCs w:val="24"/>
        </w:rPr>
        <w:t xml:space="preserve">; available on-line at: </w:t>
      </w:r>
      <w:hyperlink r:id="rId8" w:history="1">
        <w:r w:rsidR="00DE45A8" w:rsidRPr="00DE45A8">
          <w:rPr>
            <w:rStyle w:val="Hyperlink"/>
            <w:rFonts w:ascii="Palatino Linotype" w:hAnsi="Palatino Linotype"/>
            <w:sz w:val="24"/>
            <w:szCs w:val="24"/>
          </w:rPr>
          <w:t>http://www.oxfordscholarship.com/view/10.1093/acprof:oso/9780199747276.001.0001/acprof-9780199747276</w:t>
        </w:r>
      </w:hyperlink>
      <w:r w:rsidR="00DE45A8" w:rsidRPr="00DE45A8">
        <w:rPr>
          <w:rFonts w:ascii="Palatino Linotype" w:hAnsi="Palatino Linotype"/>
          <w:sz w:val="24"/>
          <w:szCs w:val="24"/>
        </w:rPr>
        <w:t xml:space="preserve"> (accessed 10 Oct 12)</w:t>
      </w:r>
    </w:p>
    <w:p w:rsidR="001D2C3A" w:rsidRPr="00DE45A8" w:rsidRDefault="00D84562" w:rsidP="003D6AFA">
      <w:pPr>
        <w:jc w:val="both"/>
        <w:rPr>
          <w:rFonts w:ascii="Palatino Linotype" w:hAnsi="Palatino Linotype"/>
          <w:sz w:val="24"/>
          <w:szCs w:val="24"/>
        </w:rPr>
      </w:pPr>
      <w:proofErr w:type="spellStart"/>
      <w:r w:rsidRPr="00DE45A8">
        <w:rPr>
          <w:rFonts w:ascii="Palatino Linotype" w:hAnsi="Palatino Linotype"/>
          <w:sz w:val="24"/>
          <w:szCs w:val="24"/>
        </w:rPr>
        <w:t>Angelos</w:t>
      </w:r>
      <w:proofErr w:type="spellEnd"/>
      <w:r w:rsidRPr="00DE45A8">
        <w:rPr>
          <w:rFonts w:ascii="Palatino Linotype" w:hAnsi="Palatino Linotype"/>
          <w:sz w:val="24"/>
          <w:szCs w:val="24"/>
        </w:rPr>
        <w:t xml:space="preserve"> </w:t>
      </w:r>
      <w:proofErr w:type="spellStart"/>
      <w:r w:rsidRPr="00DE45A8">
        <w:rPr>
          <w:rFonts w:ascii="Palatino Linotype" w:hAnsi="Palatino Linotype"/>
          <w:sz w:val="24"/>
          <w:szCs w:val="24"/>
        </w:rPr>
        <w:t>Chaniotis</w:t>
      </w:r>
      <w:proofErr w:type="spellEnd"/>
      <w:r w:rsidRPr="00DE45A8">
        <w:rPr>
          <w:rFonts w:ascii="Palatino Linotype" w:hAnsi="Palatino Linotype"/>
          <w:sz w:val="24"/>
          <w:szCs w:val="24"/>
        </w:rPr>
        <w:t>, ‘</w:t>
      </w:r>
      <w:proofErr w:type="spellStart"/>
      <w:r w:rsidRPr="00DE45A8">
        <w:rPr>
          <w:rFonts w:ascii="Palatino Linotype" w:hAnsi="Palatino Linotype"/>
          <w:sz w:val="24"/>
          <w:szCs w:val="24"/>
        </w:rPr>
        <w:t>Megatheism</w:t>
      </w:r>
      <w:proofErr w:type="spellEnd"/>
      <w:r w:rsidRPr="00DE45A8">
        <w:rPr>
          <w:rFonts w:ascii="Palatino Linotype" w:hAnsi="Palatino Linotype"/>
          <w:sz w:val="24"/>
          <w:szCs w:val="24"/>
        </w:rPr>
        <w:t xml:space="preserve">: the search for the almighty god and the competition of cults,’ in </w:t>
      </w:r>
      <w:r w:rsidR="001D2C3A" w:rsidRPr="00DE45A8">
        <w:rPr>
          <w:rFonts w:ascii="Palatino Linotype" w:hAnsi="Palatino Linotype"/>
          <w:sz w:val="24"/>
          <w:szCs w:val="24"/>
        </w:rPr>
        <w:t xml:space="preserve">Stephen Mitchell and Peter van </w:t>
      </w:r>
      <w:proofErr w:type="spellStart"/>
      <w:r w:rsidR="001D2C3A" w:rsidRPr="00DE45A8">
        <w:rPr>
          <w:rFonts w:ascii="Palatino Linotype" w:hAnsi="Palatino Linotype"/>
          <w:sz w:val="24"/>
          <w:szCs w:val="24"/>
        </w:rPr>
        <w:t>Nuffelen</w:t>
      </w:r>
      <w:proofErr w:type="spellEnd"/>
      <w:r w:rsidR="001D2C3A" w:rsidRPr="00DE45A8">
        <w:rPr>
          <w:rFonts w:ascii="Palatino Linotype" w:hAnsi="Palatino Linotype"/>
          <w:sz w:val="24"/>
          <w:szCs w:val="24"/>
        </w:rPr>
        <w:t xml:space="preserve">, eds., </w:t>
      </w:r>
      <w:r w:rsidR="001D2C3A" w:rsidRPr="00DE45A8">
        <w:rPr>
          <w:rFonts w:ascii="Palatino Linotype" w:hAnsi="Palatino Linotype"/>
          <w:i/>
          <w:iCs/>
          <w:sz w:val="24"/>
          <w:szCs w:val="24"/>
        </w:rPr>
        <w:t xml:space="preserve">One God: Pagan Monotheism in the Roman Empire </w:t>
      </w:r>
      <w:r w:rsidR="001D2C3A" w:rsidRPr="00DE45A8">
        <w:rPr>
          <w:rFonts w:ascii="Palatino Linotype" w:hAnsi="Palatino Linotype"/>
          <w:sz w:val="24"/>
          <w:szCs w:val="24"/>
        </w:rPr>
        <w:t>(Cambridge: Cambridge University press, 2010)</w:t>
      </w:r>
      <w:r w:rsidRPr="00DE45A8">
        <w:rPr>
          <w:rFonts w:ascii="Palatino Linotype" w:hAnsi="Palatino Linotype"/>
          <w:sz w:val="24"/>
          <w:szCs w:val="24"/>
        </w:rPr>
        <w:t>, pp. 112-140</w:t>
      </w:r>
    </w:p>
    <w:p w:rsidR="006E41D4" w:rsidRPr="00DE45A8" w:rsidRDefault="006E41D4" w:rsidP="003D6AFA">
      <w:pPr>
        <w:jc w:val="both"/>
        <w:rPr>
          <w:rFonts w:ascii="Palatino Linotype" w:hAnsi="Palatino Linotype"/>
          <w:sz w:val="24"/>
          <w:szCs w:val="24"/>
        </w:rPr>
      </w:pPr>
      <w:proofErr w:type="spellStart"/>
      <w:r w:rsidRPr="00DE45A8">
        <w:rPr>
          <w:rFonts w:ascii="Palatino Linotype" w:hAnsi="Palatino Linotype"/>
          <w:sz w:val="24"/>
          <w:szCs w:val="24"/>
        </w:rPr>
        <w:t>Arieh</w:t>
      </w:r>
      <w:proofErr w:type="spellEnd"/>
      <w:r w:rsidRPr="00DE45A8">
        <w:rPr>
          <w:rFonts w:ascii="Palatino Linotype" w:hAnsi="Palatino Linotype"/>
          <w:sz w:val="24"/>
          <w:szCs w:val="24"/>
        </w:rPr>
        <w:t xml:space="preserve"> </w:t>
      </w:r>
      <w:proofErr w:type="spellStart"/>
      <w:r w:rsidRPr="00DE45A8">
        <w:rPr>
          <w:rFonts w:ascii="Palatino Linotype" w:hAnsi="Palatino Linotype"/>
          <w:sz w:val="24"/>
          <w:szCs w:val="24"/>
        </w:rPr>
        <w:t>Kofsky</w:t>
      </w:r>
      <w:proofErr w:type="spellEnd"/>
      <w:r w:rsidRPr="00DE45A8">
        <w:rPr>
          <w:rFonts w:ascii="Palatino Linotype" w:hAnsi="Palatino Linotype"/>
          <w:sz w:val="24"/>
          <w:szCs w:val="24"/>
        </w:rPr>
        <w:t xml:space="preserve">, </w:t>
      </w:r>
      <w:r w:rsidRPr="00DE45A8">
        <w:rPr>
          <w:rFonts w:ascii="Palatino Linotype" w:hAnsi="Palatino Linotype"/>
          <w:i/>
          <w:iCs/>
          <w:sz w:val="24"/>
          <w:szCs w:val="24"/>
        </w:rPr>
        <w:t xml:space="preserve">Eusebius of Caesarea against Paganism </w:t>
      </w:r>
      <w:r w:rsidRPr="00DE45A8">
        <w:rPr>
          <w:rFonts w:ascii="Palatino Linotype" w:hAnsi="Palatino Linotype"/>
          <w:sz w:val="24"/>
          <w:szCs w:val="24"/>
        </w:rPr>
        <w:t>(</w:t>
      </w:r>
      <w:r w:rsidR="003D6AFA" w:rsidRPr="00DE45A8">
        <w:rPr>
          <w:rFonts w:ascii="Palatino Linotype" w:hAnsi="Palatino Linotype"/>
          <w:sz w:val="24"/>
          <w:szCs w:val="24"/>
        </w:rPr>
        <w:t>Leiden: Brill, 2000</w:t>
      </w:r>
      <w:r w:rsidRPr="00DE45A8">
        <w:rPr>
          <w:rFonts w:ascii="Palatino Linotype" w:hAnsi="Palatino Linotype"/>
          <w:sz w:val="24"/>
          <w:szCs w:val="24"/>
        </w:rPr>
        <w:t>)</w:t>
      </w:r>
      <w:r w:rsidR="00DE45A8" w:rsidRPr="00DE45A8">
        <w:rPr>
          <w:rFonts w:ascii="Palatino Linotype" w:hAnsi="Palatino Linotype"/>
          <w:sz w:val="24"/>
          <w:szCs w:val="24"/>
        </w:rPr>
        <w:t xml:space="preserve">; available in the University Library, </w:t>
      </w:r>
      <w:proofErr w:type="spellStart"/>
      <w:r w:rsidR="00DE45A8" w:rsidRPr="00DE45A8">
        <w:rPr>
          <w:rFonts w:ascii="Palatino Linotype" w:hAnsi="Palatino Linotype"/>
          <w:sz w:val="24"/>
          <w:szCs w:val="24"/>
        </w:rPr>
        <w:t>Lampeter</w:t>
      </w:r>
      <w:proofErr w:type="spellEnd"/>
      <w:r w:rsidR="00DE45A8" w:rsidRPr="00DE45A8">
        <w:rPr>
          <w:rFonts w:ascii="Palatino Linotype" w:hAnsi="Palatino Linotype"/>
          <w:sz w:val="24"/>
          <w:szCs w:val="24"/>
        </w:rPr>
        <w:t xml:space="preserve">: </w:t>
      </w:r>
      <w:r w:rsidR="00DE45A8" w:rsidRPr="00DE45A8">
        <w:rPr>
          <w:rFonts w:ascii="Palatino Linotype" w:eastAsia="Arial Unicode MS" w:hAnsi="Palatino Linotype" w:cs="Arial Unicode MS"/>
          <w:color w:val="000000"/>
          <w:sz w:val="24"/>
          <w:szCs w:val="24"/>
          <w:shd w:val="clear" w:color="auto" w:fill="FFFFFF"/>
        </w:rPr>
        <w:t>270.1 EUS Main Sequence  </w:t>
      </w:r>
    </w:p>
    <w:p w:rsidR="004F6355" w:rsidRPr="00DE45A8" w:rsidRDefault="004F6355" w:rsidP="00BC24F8">
      <w:pPr>
        <w:jc w:val="both"/>
        <w:rPr>
          <w:rFonts w:ascii="Palatino Linotype" w:hAnsi="Palatino Linotype"/>
          <w:sz w:val="24"/>
          <w:szCs w:val="24"/>
        </w:rPr>
      </w:pPr>
      <w:r w:rsidRPr="00DE45A8">
        <w:rPr>
          <w:rFonts w:ascii="Palatino Linotype" w:hAnsi="Palatino Linotype"/>
          <w:sz w:val="24"/>
          <w:szCs w:val="24"/>
        </w:rPr>
        <w:lastRenderedPageBreak/>
        <w:t xml:space="preserve">Stephen Mitchell and Peter van </w:t>
      </w:r>
      <w:proofErr w:type="spellStart"/>
      <w:r w:rsidRPr="00DE45A8">
        <w:rPr>
          <w:rFonts w:ascii="Palatino Linotype" w:hAnsi="Palatino Linotype"/>
          <w:sz w:val="24"/>
          <w:szCs w:val="24"/>
        </w:rPr>
        <w:t>Nuffelen</w:t>
      </w:r>
      <w:proofErr w:type="spellEnd"/>
      <w:r w:rsidRPr="00DE45A8">
        <w:rPr>
          <w:rFonts w:ascii="Palatino Linotype" w:hAnsi="Palatino Linotype"/>
          <w:sz w:val="24"/>
          <w:szCs w:val="24"/>
        </w:rPr>
        <w:t xml:space="preserve">, eds., </w:t>
      </w:r>
      <w:r w:rsidRPr="00DE45A8">
        <w:rPr>
          <w:rFonts w:ascii="Palatino Linotype" w:hAnsi="Palatino Linotype"/>
          <w:i/>
          <w:iCs/>
          <w:sz w:val="24"/>
          <w:szCs w:val="24"/>
        </w:rPr>
        <w:t xml:space="preserve">One God: Pagan Monotheism in the Roman Empire </w:t>
      </w:r>
      <w:r w:rsidRPr="00DE45A8">
        <w:rPr>
          <w:rFonts w:ascii="Palatino Linotype" w:hAnsi="Palatino Linotype"/>
          <w:sz w:val="24"/>
          <w:szCs w:val="24"/>
        </w:rPr>
        <w:t xml:space="preserve">(Cambridge: Cambridge University </w:t>
      </w:r>
      <w:r w:rsidR="00BC24F8" w:rsidRPr="00DE45A8">
        <w:rPr>
          <w:rFonts w:ascii="Palatino Linotype" w:hAnsi="Palatino Linotype"/>
          <w:sz w:val="24"/>
          <w:szCs w:val="24"/>
        </w:rPr>
        <w:t>P</w:t>
      </w:r>
      <w:r w:rsidRPr="00DE45A8">
        <w:rPr>
          <w:rFonts w:ascii="Palatino Linotype" w:hAnsi="Palatino Linotype"/>
          <w:sz w:val="24"/>
          <w:szCs w:val="24"/>
        </w:rPr>
        <w:t>ress, 2010)</w:t>
      </w:r>
    </w:p>
    <w:p w:rsidR="00D84562" w:rsidRPr="00DE45A8" w:rsidRDefault="00D84562" w:rsidP="00DE45A8">
      <w:pPr>
        <w:jc w:val="both"/>
        <w:rPr>
          <w:rFonts w:ascii="Palatino Linotype" w:hAnsi="Palatino Linotype"/>
          <w:sz w:val="24"/>
          <w:szCs w:val="24"/>
        </w:rPr>
      </w:pPr>
      <w:r w:rsidRPr="00DE45A8">
        <w:rPr>
          <w:rFonts w:ascii="Palatino Linotype" w:hAnsi="Palatino Linotype"/>
          <w:sz w:val="24"/>
          <w:szCs w:val="24"/>
        </w:rPr>
        <w:t xml:space="preserve">H.S. </w:t>
      </w:r>
      <w:proofErr w:type="spellStart"/>
      <w:r w:rsidRPr="00DE45A8">
        <w:rPr>
          <w:rFonts w:ascii="Palatino Linotype" w:hAnsi="Palatino Linotype"/>
          <w:sz w:val="24"/>
          <w:szCs w:val="24"/>
        </w:rPr>
        <w:t>Versnel</w:t>
      </w:r>
      <w:proofErr w:type="spellEnd"/>
      <w:r w:rsidRPr="00DE45A8">
        <w:rPr>
          <w:rFonts w:ascii="Palatino Linotype" w:hAnsi="Palatino Linotype"/>
          <w:sz w:val="24"/>
          <w:szCs w:val="24"/>
        </w:rPr>
        <w:t xml:space="preserve">, </w:t>
      </w:r>
      <w:r w:rsidRPr="00DE45A8">
        <w:rPr>
          <w:rFonts w:ascii="Palatino Linotype" w:hAnsi="Palatino Linotype"/>
          <w:i/>
          <w:iCs/>
          <w:sz w:val="24"/>
          <w:szCs w:val="24"/>
        </w:rPr>
        <w:t xml:space="preserve">Coping with the Gods </w:t>
      </w:r>
      <w:r w:rsidRPr="00DE45A8">
        <w:rPr>
          <w:rFonts w:ascii="Palatino Linotype" w:hAnsi="Palatino Linotype"/>
          <w:sz w:val="24"/>
          <w:szCs w:val="24"/>
        </w:rPr>
        <w:t xml:space="preserve">(Brill: Leiden, 2011), esp. </w:t>
      </w:r>
      <w:proofErr w:type="spellStart"/>
      <w:r w:rsidRPr="00DE45A8">
        <w:rPr>
          <w:rFonts w:ascii="Palatino Linotype" w:hAnsi="Palatino Linotype"/>
          <w:sz w:val="24"/>
          <w:szCs w:val="24"/>
        </w:rPr>
        <w:t>ch</w:t>
      </w:r>
      <w:proofErr w:type="spellEnd"/>
      <w:r w:rsidRPr="00DE45A8">
        <w:rPr>
          <w:rFonts w:ascii="Palatino Linotype" w:hAnsi="Palatino Linotype"/>
          <w:sz w:val="24"/>
          <w:szCs w:val="24"/>
        </w:rPr>
        <w:t>. 3, ‘One God: Three Greek Experiments in Oneness’, pp. 239-307 (</w:t>
      </w:r>
      <w:r w:rsidR="00906147" w:rsidRPr="00DE45A8">
        <w:rPr>
          <w:rFonts w:ascii="Palatino Linotype" w:hAnsi="Palatino Linotype"/>
          <w:sz w:val="24"/>
          <w:szCs w:val="24"/>
        </w:rPr>
        <w:t>available on-line at:</w:t>
      </w:r>
      <w:r w:rsidR="00906147" w:rsidRPr="002753F8">
        <w:rPr>
          <w:rFonts w:ascii="Palatino Linotype" w:hAnsi="Palatino Linotype"/>
          <w:sz w:val="24"/>
          <w:szCs w:val="24"/>
        </w:rPr>
        <w:t xml:space="preserve"> </w:t>
      </w:r>
      <w:hyperlink r:id="rId9" w:history="1">
        <w:r w:rsidR="00434E3A" w:rsidRPr="002753F8">
          <w:rPr>
            <w:rStyle w:val="Hyperlink"/>
            <w:rFonts w:ascii="Palatino Linotype" w:hAnsi="Palatino Linotype"/>
            <w:sz w:val="24"/>
            <w:szCs w:val="24"/>
          </w:rPr>
          <w:t>http://oapen.org/search?identifier=391871;keyword=versnel</w:t>
        </w:r>
      </w:hyperlink>
      <w:r w:rsidR="00434E3A" w:rsidRPr="002753F8">
        <w:rPr>
          <w:rFonts w:ascii="Palatino Linotype" w:hAnsi="Palatino Linotype"/>
          <w:sz w:val="24"/>
          <w:szCs w:val="24"/>
        </w:rPr>
        <w:t xml:space="preserve"> </w:t>
      </w:r>
      <w:r w:rsidR="00906147" w:rsidRPr="002753F8">
        <w:rPr>
          <w:rFonts w:ascii="Palatino Linotype" w:hAnsi="Palatino Linotype"/>
          <w:sz w:val="24"/>
          <w:szCs w:val="24"/>
        </w:rPr>
        <w:t>(accessed 10 Oct. 2012)</w:t>
      </w:r>
      <w:r w:rsidRPr="002753F8">
        <w:rPr>
          <w:rFonts w:ascii="Palatino Linotype" w:hAnsi="Palatino Linotype"/>
          <w:sz w:val="24"/>
          <w:szCs w:val="24"/>
        </w:rPr>
        <w:t>)</w:t>
      </w:r>
    </w:p>
    <w:sectPr w:rsidR="00D84562" w:rsidRPr="00DE45A8" w:rsidSect="005232F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MinionPro-Regular">
    <w:panose1 w:val="00000000000000000000"/>
    <w:charset w:val="00"/>
    <w:family w:val="auto"/>
    <w:notTrueType/>
    <w:pitch w:val="default"/>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F310F0"/>
    <w:multiLevelType w:val="multilevel"/>
    <w:tmpl w:val="8A84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9"/>
  <w:proofState w:spelling="clean" w:grammar="clean"/>
  <w:defaultTabStop w:val="720"/>
  <w:characterSpacingControl w:val="doNotCompress"/>
  <w:compat/>
  <w:rsids>
    <w:rsidRoot w:val="00A52593"/>
    <w:rsid w:val="001174F4"/>
    <w:rsid w:val="001D2C3A"/>
    <w:rsid w:val="002753F8"/>
    <w:rsid w:val="002F0E6F"/>
    <w:rsid w:val="00372C80"/>
    <w:rsid w:val="003853C0"/>
    <w:rsid w:val="003D6AFA"/>
    <w:rsid w:val="00434E3A"/>
    <w:rsid w:val="00482823"/>
    <w:rsid w:val="004F6355"/>
    <w:rsid w:val="005232FE"/>
    <w:rsid w:val="00687BFC"/>
    <w:rsid w:val="006E41D4"/>
    <w:rsid w:val="0086638C"/>
    <w:rsid w:val="008C5064"/>
    <w:rsid w:val="00906147"/>
    <w:rsid w:val="00932F66"/>
    <w:rsid w:val="00A52593"/>
    <w:rsid w:val="00B956F6"/>
    <w:rsid w:val="00BC24F8"/>
    <w:rsid w:val="00C9624A"/>
    <w:rsid w:val="00CD448F"/>
    <w:rsid w:val="00D702EB"/>
    <w:rsid w:val="00D84562"/>
    <w:rsid w:val="00DA1B84"/>
    <w:rsid w:val="00DC2A5F"/>
    <w:rsid w:val="00DE45A8"/>
    <w:rsid w:val="00F85D0D"/>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2FE"/>
  </w:style>
  <w:style w:type="paragraph" w:styleId="Heading1">
    <w:name w:val="heading 1"/>
    <w:basedOn w:val="Normal"/>
    <w:next w:val="Normal"/>
    <w:link w:val="Heading1Char"/>
    <w:uiPriority w:val="9"/>
    <w:qFormat/>
    <w:rsid w:val="00DE45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5259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259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A52593"/>
    <w:rPr>
      <w:color w:val="0000FF"/>
      <w:u w:val="single"/>
    </w:rPr>
  </w:style>
  <w:style w:type="character" w:styleId="HTMLCite">
    <w:name w:val="HTML Cite"/>
    <w:basedOn w:val="DefaultParagraphFont"/>
    <w:uiPriority w:val="99"/>
    <w:semiHidden/>
    <w:unhideWhenUsed/>
    <w:rsid w:val="00C9624A"/>
    <w:rPr>
      <w:i/>
      <w:iCs/>
    </w:rPr>
  </w:style>
  <w:style w:type="character" w:styleId="Emphasis">
    <w:name w:val="Emphasis"/>
    <w:basedOn w:val="DefaultParagraphFont"/>
    <w:uiPriority w:val="20"/>
    <w:qFormat/>
    <w:rsid w:val="00D84562"/>
    <w:rPr>
      <w:i/>
      <w:iCs/>
    </w:rPr>
  </w:style>
  <w:style w:type="character" w:customStyle="1" w:styleId="apple-converted-space">
    <w:name w:val="apple-converted-space"/>
    <w:basedOn w:val="DefaultParagraphFont"/>
    <w:rsid w:val="00D84562"/>
  </w:style>
  <w:style w:type="character" w:customStyle="1" w:styleId="Heading1Char">
    <w:name w:val="Heading 1 Char"/>
    <w:basedOn w:val="DefaultParagraphFont"/>
    <w:link w:val="Heading1"/>
    <w:uiPriority w:val="9"/>
    <w:rsid w:val="00DE45A8"/>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717778891">
      <w:bodyDiv w:val="1"/>
      <w:marLeft w:val="0"/>
      <w:marRight w:val="0"/>
      <w:marTop w:val="0"/>
      <w:marBottom w:val="0"/>
      <w:divBdr>
        <w:top w:val="none" w:sz="0" w:space="0" w:color="auto"/>
        <w:left w:val="none" w:sz="0" w:space="0" w:color="auto"/>
        <w:bottom w:val="none" w:sz="0" w:space="0" w:color="auto"/>
        <w:right w:val="none" w:sz="0" w:space="0" w:color="auto"/>
      </w:divBdr>
    </w:div>
    <w:div w:id="723260829">
      <w:bodyDiv w:val="1"/>
      <w:marLeft w:val="0"/>
      <w:marRight w:val="0"/>
      <w:marTop w:val="0"/>
      <w:marBottom w:val="0"/>
      <w:divBdr>
        <w:top w:val="none" w:sz="0" w:space="0" w:color="auto"/>
        <w:left w:val="none" w:sz="0" w:space="0" w:color="auto"/>
        <w:bottom w:val="none" w:sz="0" w:space="0" w:color="auto"/>
        <w:right w:val="none" w:sz="0" w:space="0" w:color="auto"/>
      </w:divBdr>
    </w:div>
    <w:div w:id="2009138764">
      <w:bodyDiv w:val="1"/>
      <w:marLeft w:val="0"/>
      <w:marRight w:val="0"/>
      <w:marTop w:val="0"/>
      <w:marBottom w:val="0"/>
      <w:divBdr>
        <w:top w:val="none" w:sz="0" w:space="0" w:color="auto"/>
        <w:left w:val="none" w:sz="0" w:space="0" w:color="auto"/>
        <w:bottom w:val="none" w:sz="0" w:space="0" w:color="auto"/>
        <w:right w:val="none" w:sz="0" w:space="0" w:color="auto"/>
      </w:divBdr>
    </w:div>
    <w:div w:id="2009819533">
      <w:bodyDiv w:val="1"/>
      <w:marLeft w:val="0"/>
      <w:marRight w:val="0"/>
      <w:marTop w:val="0"/>
      <w:marBottom w:val="0"/>
      <w:divBdr>
        <w:top w:val="none" w:sz="0" w:space="0" w:color="auto"/>
        <w:left w:val="none" w:sz="0" w:space="0" w:color="auto"/>
        <w:bottom w:val="none" w:sz="0" w:space="0" w:color="auto"/>
        <w:right w:val="none" w:sz="0" w:space="0" w:color="auto"/>
      </w:divBdr>
    </w:div>
    <w:div w:id="202061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oxfordscholarship.com/view/10.1093/acprof:oso/9780199747276.001.0001/acprof-9780199747276" TargetMode="External"/><Relationship Id="rId3" Type="http://schemas.openxmlformats.org/officeDocument/2006/relationships/settings" Target="settings.xml"/><Relationship Id="rId7" Type="http://schemas.openxmlformats.org/officeDocument/2006/relationships/hyperlink" Target="http://muse.jhu.edu/journals/common_knowledge/v018/18.3.van-nuffel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1089029" TargetMode="External"/><Relationship Id="rId11" Type="http://schemas.openxmlformats.org/officeDocument/2006/relationships/theme" Target="theme/theme1.xml"/><Relationship Id="rId5" Type="http://schemas.openxmlformats.org/officeDocument/2006/relationships/hyperlink" Target="mailto:a.casiday@tsd.ac.uk?subject=Polytheism%20and%20Monotheis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oapen.org/search?identifier=391871;keyword=versn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750</TotalTime>
  <Pages>5</Pages>
  <Words>1255</Words>
  <Characters>7155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Augustine Casiday</dc:creator>
  <cp:lastModifiedBy>Augustine Casiday</cp:lastModifiedBy>
  <cp:revision>18</cp:revision>
  <dcterms:created xsi:type="dcterms:W3CDTF">2012-10-09T19:27:00Z</dcterms:created>
  <dcterms:modified xsi:type="dcterms:W3CDTF">2012-10-10T12:45:00Z</dcterms:modified>
</cp:coreProperties>
</file>