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7E7285" w14:textId="3A860738" w:rsidR="005729C0" w:rsidRPr="008F1C22" w:rsidRDefault="00000000" w:rsidP="004928A6">
      <w:pPr>
        <w:jc w:val="center"/>
        <w:rPr>
          <w:rFonts w:ascii="Calibri" w:hAnsi="Calibri" w:cs="Calibri"/>
          <w:b/>
          <w:bCs/>
        </w:rPr>
      </w:pPr>
      <w:r w:rsidRPr="008F1C22">
        <w:rPr>
          <w:rFonts w:ascii="Calibri" w:hAnsi="Calibri" w:cs="Calibri"/>
          <w:b/>
          <w:bCs/>
        </w:rPr>
        <w:t>Comparing the Incomparable: A</w:t>
      </w:r>
      <w:r w:rsidR="007178DD">
        <w:rPr>
          <w:rFonts w:ascii="Calibri" w:hAnsi="Calibri" w:cs="Calibri"/>
          <w:b/>
          <w:bCs/>
        </w:rPr>
        <w:t>n A</w:t>
      </w:r>
      <w:r w:rsidRPr="008F1C22">
        <w:rPr>
          <w:rFonts w:ascii="Calibri" w:hAnsi="Calibri" w:cs="Calibri"/>
          <w:b/>
          <w:bCs/>
        </w:rPr>
        <w:t>ssessment of Katherine Cross’s</w:t>
      </w:r>
    </w:p>
    <w:p w14:paraId="0AFC09C6" w14:textId="77777777" w:rsidR="005729C0" w:rsidRPr="008F1C22" w:rsidRDefault="00000000" w:rsidP="004928A6">
      <w:pPr>
        <w:jc w:val="center"/>
        <w:rPr>
          <w:rFonts w:ascii="Calibri" w:hAnsi="Calibri" w:cs="Calibri"/>
          <w:b/>
          <w:bCs/>
        </w:rPr>
      </w:pPr>
      <w:r w:rsidRPr="008F1C22">
        <w:rPr>
          <w:rFonts w:ascii="Calibri" w:hAnsi="Calibri" w:cs="Calibri"/>
          <w:b/>
          <w:bCs/>
        </w:rPr>
        <w:t xml:space="preserve">England–Normandy Comparison in </w:t>
      </w:r>
      <w:r w:rsidRPr="008F1C22">
        <w:rPr>
          <w:rFonts w:ascii="Calibri" w:hAnsi="Calibri" w:cs="Calibri"/>
          <w:b/>
          <w:bCs/>
          <w:i/>
          <w:iCs/>
        </w:rPr>
        <w:t>Heirs of the Vikings</w:t>
      </w:r>
    </w:p>
    <w:p w14:paraId="020F9FEA" w14:textId="77777777" w:rsidR="005729C0" w:rsidRPr="00CF086C" w:rsidRDefault="005729C0" w:rsidP="004928A6">
      <w:pPr>
        <w:rPr>
          <w:rFonts w:ascii="Calibri" w:hAnsi="Calibri" w:cs="Calibri"/>
        </w:rPr>
      </w:pPr>
    </w:p>
    <w:p w14:paraId="59949917" w14:textId="77777777" w:rsidR="005729C0" w:rsidRDefault="00000000" w:rsidP="008F1C22">
      <w:pPr>
        <w:ind w:firstLine="720"/>
        <w:jc w:val="both"/>
        <w:rPr>
          <w:rFonts w:ascii="Calibri" w:hAnsi="Calibri" w:cs="Calibri"/>
        </w:rPr>
      </w:pPr>
      <w:r w:rsidRPr="00CF086C">
        <w:rPr>
          <w:rFonts w:ascii="Calibri" w:hAnsi="Calibri" w:cs="Calibri"/>
        </w:rPr>
        <w:t xml:space="preserve">Katherine Cross’s </w:t>
      </w:r>
      <w:r w:rsidRPr="00CF086C">
        <w:rPr>
          <w:rFonts w:ascii="Calibri" w:hAnsi="Calibri" w:cs="Calibri"/>
          <w:i/>
          <w:iCs/>
        </w:rPr>
        <w:t>Heirs of the Vikings: History and Identity in Normandy and England, c.950–c.1015</w:t>
      </w:r>
      <w:r w:rsidRPr="00CF086C">
        <w:rPr>
          <w:rFonts w:ascii="Calibri" w:hAnsi="Calibri" w:cs="Calibri"/>
        </w:rPr>
        <w:t xml:space="preserve"> is a significant contribution to the study of ethnic identity in the early medieval period.</w:t>
      </w:r>
      <w:r w:rsidRPr="00CF086C">
        <w:rPr>
          <w:rStyle w:val="FootnoteReference"/>
          <w:rFonts w:ascii="Calibri" w:hAnsi="Calibri" w:cs="Calibri"/>
        </w:rPr>
        <w:footnoteReference w:id="1"/>
      </w:r>
      <w:r w:rsidRPr="00CF086C">
        <w:rPr>
          <w:rFonts w:ascii="Calibri" w:hAnsi="Calibri" w:cs="Calibri"/>
        </w:rPr>
        <w:t xml:space="preserve"> Published by York Medieval Press in 2018, the book offers a comparative analysis of how Viking-derived identities were constructed and deployed in two regions of post-settlement Scandinavia: the duchy of Normandy and the areas of northern and eastern England commonly designated as the Danelaw. Cross’s central argument is that these identities were not organic survivals of Scandinavian culture but strategic constructions, shaped and directed by ruling elites for local political purposes. Drawing on Rogers Brubaker’s influential concept of ‘ethnicity without groups’, she frames both the Norman dukes and the West Saxon kings as ‘ethno-political entrepreneurs’ who used ethnic narratives as instruments of power.</w:t>
      </w:r>
      <w:r w:rsidRPr="00CF086C">
        <w:rPr>
          <w:rStyle w:val="FootnoteReference"/>
          <w:rFonts w:ascii="Calibri" w:hAnsi="Calibri" w:cs="Calibri"/>
        </w:rPr>
        <w:footnoteReference w:id="2"/>
      </w:r>
    </w:p>
    <w:p w14:paraId="0DB0F162" w14:textId="77777777" w:rsidR="008F1C22" w:rsidRPr="00CF086C" w:rsidRDefault="008F1C22" w:rsidP="008F1C22">
      <w:pPr>
        <w:ind w:firstLine="720"/>
        <w:jc w:val="both"/>
        <w:rPr>
          <w:rFonts w:ascii="Calibri" w:hAnsi="Calibri" w:cs="Calibri"/>
        </w:rPr>
      </w:pPr>
    </w:p>
    <w:p w14:paraId="34C1FC78" w14:textId="11EE9F38" w:rsidR="005729C0" w:rsidRDefault="00000000" w:rsidP="004928A6">
      <w:pPr>
        <w:ind w:firstLine="720"/>
        <w:jc w:val="both"/>
        <w:rPr>
          <w:rFonts w:ascii="Calibri" w:hAnsi="Calibri" w:cs="Calibri"/>
        </w:rPr>
      </w:pPr>
      <w:r w:rsidRPr="00CF086C">
        <w:rPr>
          <w:rFonts w:ascii="Calibri" w:hAnsi="Calibri" w:cs="Calibri"/>
        </w:rPr>
        <w:t xml:space="preserve">The book is carefully argued and </w:t>
      </w:r>
      <w:r w:rsidR="004928A6">
        <w:rPr>
          <w:rFonts w:ascii="Calibri" w:hAnsi="Calibri" w:cs="Calibri"/>
        </w:rPr>
        <w:t>well</w:t>
      </w:r>
      <w:r w:rsidRPr="00CF086C">
        <w:rPr>
          <w:rFonts w:ascii="Calibri" w:hAnsi="Calibri" w:cs="Calibri"/>
        </w:rPr>
        <w:t xml:space="preserve"> documented. Its treatment of Norman identity formation through texts such as Dudo of Saint-Quentin’s </w:t>
      </w:r>
      <w:r w:rsidRPr="00CF086C">
        <w:rPr>
          <w:rFonts w:ascii="Calibri" w:hAnsi="Calibri" w:cs="Calibri"/>
          <w:i/>
          <w:iCs/>
        </w:rPr>
        <w:t xml:space="preserve">De </w:t>
      </w:r>
      <w:proofErr w:type="spellStart"/>
      <w:r w:rsidRPr="00CF086C">
        <w:rPr>
          <w:rFonts w:ascii="Calibri" w:hAnsi="Calibri" w:cs="Calibri"/>
          <w:i/>
          <w:iCs/>
        </w:rPr>
        <w:t>moribus</w:t>
      </w:r>
      <w:proofErr w:type="spellEnd"/>
      <w:r w:rsidRPr="00CF086C">
        <w:rPr>
          <w:rFonts w:ascii="Calibri" w:hAnsi="Calibri" w:cs="Calibri"/>
          <w:i/>
          <w:iCs/>
        </w:rPr>
        <w:t xml:space="preserve"> et </w:t>
      </w:r>
      <w:proofErr w:type="spellStart"/>
      <w:r w:rsidRPr="00CF086C">
        <w:rPr>
          <w:rFonts w:ascii="Calibri" w:hAnsi="Calibri" w:cs="Calibri"/>
          <w:i/>
          <w:iCs/>
        </w:rPr>
        <w:t>actis</w:t>
      </w:r>
      <w:proofErr w:type="spellEnd"/>
      <w:r w:rsidRPr="00CF086C">
        <w:rPr>
          <w:rFonts w:ascii="Calibri" w:hAnsi="Calibri" w:cs="Calibri"/>
          <w:i/>
          <w:iCs/>
        </w:rPr>
        <w:t xml:space="preserve"> </w:t>
      </w:r>
      <w:proofErr w:type="spellStart"/>
      <w:r w:rsidRPr="00CF086C">
        <w:rPr>
          <w:rFonts w:ascii="Calibri" w:hAnsi="Calibri" w:cs="Calibri"/>
          <w:i/>
          <w:iCs/>
        </w:rPr>
        <w:t>primorum</w:t>
      </w:r>
      <w:proofErr w:type="spellEnd"/>
      <w:r w:rsidRPr="00CF086C">
        <w:rPr>
          <w:rFonts w:ascii="Calibri" w:hAnsi="Calibri" w:cs="Calibri"/>
          <w:i/>
          <w:iCs/>
        </w:rPr>
        <w:t xml:space="preserve"> Normanniae </w:t>
      </w:r>
      <w:proofErr w:type="spellStart"/>
      <w:r w:rsidRPr="00CF086C">
        <w:rPr>
          <w:rFonts w:ascii="Calibri" w:hAnsi="Calibri" w:cs="Calibri"/>
          <w:i/>
          <w:iCs/>
        </w:rPr>
        <w:t>ducum</w:t>
      </w:r>
      <w:proofErr w:type="spellEnd"/>
      <w:r w:rsidRPr="00CF086C">
        <w:rPr>
          <w:rFonts w:ascii="Calibri" w:hAnsi="Calibri" w:cs="Calibri"/>
        </w:rPr>
        <w:t xml:space="preserve"> is particularly strong, and Cross’s close reading of hagiographic and charter evidence demonstrates both scholarly range and analytical precision.</w:t>
      </w:r>
      <w:r w:rsidRPr="00CF086C">
        <w:rPr>
          <w:rStyle w:val="FootnoteReference"/>
          <w:rFonts w:ascii="Calibri" w:hAnsi="Calibri" w:cs="Calibri"/>
        </w:rPr>
        <w:footnoteReference w:id="3"/>
      </w:r>
      <w:r w:rsidRPr="00CF086C">
        <w:rPr>
          <w:rFonts w:ascii="Calibri" w:hAnsi="Calibri" w:cs="Calibri"/>
        </w:rPr>
        <w:t xml:space="preserve"> Yet at the centre of the book lies a structural problem</w:t>
      </w:r>
      <w:r w:rsidR="004928A6">
        <w:rPr>
          <w:rFonts w:ascii="Calibri" w:hAnsi="Calibri" w:cs="Calibri"/>
        </w:rPr>
        <w:t>, in that the</w:t>
      </w:r>
      <w:r w:rsidRPr="00CF086C">
        <w:rPr>
          <w:rFonts w:ascii="Calibri" w:hAnsi="Calibri" w:cs="Calibri"/>
        </w:rPr>
        <w:t xml:space="preserve"> entire argument depends on a comparison between Normandy and the Danelaw — two regions that, Cross argues, experienced similar Scandinavian settlement but produced dramatically different identity outcomes. It is this divergence that her top-down model of elite manipulation is designed to explain.</w:t>
      </w:r>
    </w:p>
    <w:p w14:paraId="3697750A" w14:textId="77777777" w:rsidR="008F1C22" w:rsidRPr="00CF086C" w:rsidRDefault="008F1C22" w:rsidP="004928A6">
      <w:pPr>
        <w:ind w:firstLine="720"/>
        <w:jc w:val="both"/>
        <w:rPr>
          <w:rFonts w:ascii="Calibri" w:hAnsi="Calibri" w:cs="Calibri"/>
        </w:rPr>
      </w:pPr>
    </w:p>
    <w:p w14:paraId="10FF5DC4" w14:textId="7626A344" w:rsidR="005729C0" w:rsidRDefault="00000000" w:rsidP="004928A6">
      <w:pPr>
        <w:ind w:firstLine="720"/>
        <w:jc w:val="both"/>
        <w:rPr>
          <w:rFonts w:ascii="Calibri" w:hAnsi="Calibri" w:cs="Calibri"/>
        </w:rPr>
      </w:pPr>
      <w:r w:rsidRPr="00CF086C">
        <w:rPr>
          <w:rFonts w:ascii="Calibri" w:hAnsi="Calibri" w:cs="Calibri"/>
        </w:rPr>
        <w:t xml:space="preserve">This essay argues that the basis of this comparison </w:t>
      </w:r>
      <w:r w:rsidR="004928A6">
        <w:rPr>
          <w:rFonts w:ascii="Calibri" w:hAnsi="Calibri" w:cs="Calibri"/>
        </w:rPr>
        <w:t>is flawed</w:t>
      </w:r>
      <w:r w:rsidRPr="00CF086C">
        <w:rPr>
          <w:rFonts w:ascii="Calibri" w:hAnsi="Calibri" w:cs="Calibri"/>
        </w:rPr>
        <w:t xml:space="preserve">. Normandy and the Danelaw were not comparable situations that produced different outcomes; they were fundamentally different situations that naturally produced different outcomes. The structural conditions under which Norman identity emerged </w:t>
      </w:r>
      <w:r w:rsidR="004928A6">
        <w:rPr>
          <w:rFonts w:ascii="Calibri" w:hAnsi="Calibri" w:cs="Calibri"/>
        </w:rPr>
        <w:t>with</w:t>
      </w:r>
      <w:r w:rsidRPr="00CF086C">
        <w:rPr>
          <w:rFonts w:ascii="Calibri" w:hAnsi="Calibri" w:cs="Calibri"/>
        </w:rPr>
        <w:t xml:space="preserve"> a newly created polity, a single continuous dynasty, and the political need to distinguish the duchy from the surrounding Frankish world had no parallel in the Danelaw, where Scandinavian-settled communities were absorbed into an ancient kingdom with deep institutional and ecclesiastical traditions. If the Danelaw produced no literary ethnic identity of the Norman kind, this may reflect not the failure of identity but its expression through different media</w:t>
      </w:r>
      <w:r w:rsidR="004928A6">
        <w:rPr>
          <w:rFonts w:ascii="Calibri" w:hAnsi="Calibri" w:cs="Calibri"/>
        </w:rPr>
        <w:t>, namely</w:t>
      </w:r>
      <w:r w:rsidRPr="00CF086C">
        <w:rPr>
          <w:rFonts w:ascii="Calibri" w:hAnsi="Calibri" w:cs="Calibri"/>
        </w:rPr>
        <w:t xml:space="preserve"> law, custom, and territorial designation rather than through Latin historiography and hagiography.</w:t>
      </w:r>
    </w:p>
    <w:p w14:paraId="0A725EA6" w14:textId="77777777" w:rsidR="008F1C22" w:rsidRPr="00CF086C" w:rsidRDefault="008F1C22" w:rsidP="004928A6">
      <w:pPr>
        <w:ind w:firstLine="720"/>
        <w:jc w:val="both"/>
        <w:rPr>
          <w:rFonts w:ascii="Calibri" w:hAnsi="Calibri" w:cs="Calibri"/>
        </w:rPr>
      </w:pPr>
    </w:p>
    <w:p w14:paraId="2FBCD756" w14:textId="1EBDC22C" w:rsidR="005729C0" w:rsidRPr="00CF086C" w:rsidRDefault="00000000" w:rsidP="004928A6">
      <w:pPr>
        <w:ind w:firstLine="720"/>
        <w:jc w:val="both"/>
        <w:rPr>
          <w:rFonts w:ascii="Calibri" w:hAnsi="Calibri" w:cs="Calibri"/>
        </w:rPr>
      </w:pPr>
      <w:r w:rsidRPr="00CF086C">
        <w:rPr>
          <w:rFonts w:ascii="Calibri" w:hAnsi="Calibri" w:cs="Calibri"/>
        </w:rPr>
        <w:t xml:space="preserve">The argument has implications beyond Cross’s book. How Viking Age ethnic identities formed and found expression is contested ground in early medieval studies, touching on the legacies of Scandinavian settlement, the relationship between political power and cultural identity, and the question of whether our written sources can tell us anything reliable about what </w:t>
      </w:r>
      <w:r w:rsidRPr="00CF086C">
        <w:rPr>
          <w:rFonts w:ascii="Calibri" w:hAnsi="Calibri" w:cs="Calibri"/>
        </w:rPr>
        <w:lastRenderedPageBreak/>
        <w:t xml:space="preserve">ordinary people believed about themselves. Cross’s framework, if accepted without </w:t>
      </w:r>
      <w:r w:rsidR="004928A6">
        <w:rPr>
          <w:rFonts w:ascii="Calibri" w:hAnsi="Calibri" w:cs="Calibri"/>
        </w:rPr>
        <w:t>questioning</w:t>
      </w:r>
      <w:r w:rsidRPr="00CF086C">
        <w:rPr>
          <w:rFonts w:ascii="Calibri" w:hAnsi="Calibri" w:cs="Calibri"/>
        </w:rPr>
        <w:t>, dissolves all identity claims into political strategy. That may be solving the wrong problem.</w:t>
      </w:r>
    </w:p>
    <w:p w14:paraId="7A9DBB61" w14:textId="77777777" w:rsidR="005729C0" w:rsidRPr="00CF086C" w:rsidRDefault="00000000" w:rsidP="008F1C22">
      <w:pPr>
        <w:spacing w:before="360" w:after="120"/>
        <w:rPr>
          <w:rFonts w:ascii="Calibri" w:hAnsi="Calibri" w:cs="Calibri"/>
        </w:rPr>
      </w:pPr>
      <w:r w:rsidRPr="00CF086C">
        <w:rPr>
          <w:rFonts w:ascii="Calibri" w:hAnsi="Calibri" w:cs="Calibri"/>
          <w:b/>
          <w:bCs/>
        </w:rPr>
        <w:t>Cross’s Comparative Framework</w:t>
      </w:r>
    </w:p>
    <w:p w14:paraId="102A80D6" w14:textId="77777777" w:rsidR="005729C0" w:rsidRDefault="00000000" w:rsidP="004928A6">
      <w:pPr>
        <w:jc w:val="both"/>
        <w:rPr>
          <w:rFonts w:ascii="Calibri" w:hAnsi="Calibri" w:cs="Calibri"/>
        </w:rPr>
      </w:pPr>
      <w:r w:rsidRPr="00CF086C">
        <w:rPr>
          <w:rFonts w:ascii="Calibri" w:hAnsi="Calibri" w:cs="Calibri"/>
        </w:rPr>
        <w:t>Cross organises her book thematically rather than chronologically, examining different genres of textual evidence across both regions. Her chapters move through genealogies and dynastic construction, origin narratives, hagiography in its dimensions of both destruction and restoration, saintly patronage, and charter evidence concerning the labels ‘Norman’, ‘Northumbrian’, and ‘Northman’.</w:t>
      </w:r>
      <w:r w:rsidRPr="00CF086C">
        <w:rPr>
          <w:rStyle w:val="FootnoteReference"/>
          <w:rFonts w:ascii="Calibri" w:hAnsi="Calibri" w:cs="Calibri"/>
        </w:rPr>
        <w:footnoteReference w:id="4"/>
      </w:r>
      <w:r w:rsidRPr="00CF086C">
        <w:rPr>
          <w:rFonts w:ascii="Calibri" w:hAnsi="Calibri" w:cs="Calibri"/>
        </w:rPr>
        <w:t xml:space="preserve"> Through this source-by-source analysis, she demonstrates that ethnonyms such as ‘Dane’, ‘Northman’, and ‘Viking’ were not fixed taxonomic categories but flexible labels whose meaning shifted with political context.</w:t>
      </w:r>
    </w:p>
    <w:p w14:paraId="7E2E0257" w14:textId="77777777" w:rsidR="008F1C22" w:rsidRPr="00CF086C" w:rsidRDefault="008F1C22" w:rsidP="004928A6">
      <w:pPr>
        <w:jc w:val="both"/>
        <w:rPr>
          <w:rFonts w:ascii="Calibri" w:hAnsi="Calibri" w:cs="Calibri"/>
        </w:rPr>
      </w:pPr>
    </w:p>
    <w:p w14:paraId="499D4A50" w14:textId="74B0C548" w:rsidR="005729C0" w:rsidRDefault="00000000" w:rsidP="004928A6">
      <w:pPr>
        <w:ind w:firstLine="720"/>
        <w:jc w:val="both"/>
        <w:rPr>
          <w:rFonts w:ascii="Calibri" w:hAnsi="Calibri" w:cs="Calibri"/>
        </w:rPr>
      </w:pPr>
      <w:r w:rsidRPr="00CF086C">
        <w:rPr>
          <w:rFonts w:ascii="Calibri" w:hAnsi="Calibri" w:cs="Calibri"/>
        </w:rPr>
        <w:t xml:space="preserve">The comparative method is central to this demonstration. Cross holds </w:t>
      </w:r>
      <w:r w:rsidR="004928A6">
        <w:rPr>
          <w:rFonts w:ascii="Calibri" w:hAnsi="Calibri" w:cs="Calibri"/>
        </w:rPr>
        <w:t xml:space="preserve"> the </w:t>
      </w:r>
      <w:r w:rsidRPr="00CF086C">
        <w:rPr>
          <w:rFonts w:ascii="Calibri" w:hAnsi="Calibri" w:cs="Calibri"/>
        </w:rPr>
        <w:t>genre</w:t>
      </w:r>
      <w:r w:rsidR="004928A6">
        <w:rPr>
          <w:rFonts w:ascii="Calibri" w:hAnsi="Calibri" w:cs="Calibri"/>
        </w:rPr>
        <w:t>s</w:t>
      </w:r>
      <w:r w:rsidRPr="00CF086C">
        <w:rPr>
          <w:rFonts w:ascii="Calibri" w:hAnsi="Calibri" w:cs="Calibri"/>
        </w:rPr>
        <w:t xml:space="preserve"> </w:t>
      </w:r>
      <w:r w:rsidR="004928A6">
        <w:rPr>
          <w:rFonts w:ascii="Calibri" w:hAnsi="Calibri" w:cs="Calibri"/>
        </w:rPr>
        <w:t>as constants</w:t>
      </w:r>
      <w:r w:rsidRPr="00CF086C">
        <w:rPr>
          <w:rFonts w:ascii="Calibri" w:hAnsi="Calibri" w:cs="Calibri"/>
        </w:rPr>
        <w:t xml:space="preserve"> and observes divergent outcomes</w:t>
      </w:r>
      <w:r w:rsidR="004928A6">
        <w:rPr>
          <w:rFonts w:ascii="Calibri" w:hAnsi="Calibri" w:cs="Calibri"/>
        </w:rPr>
        <w:t>;</w:t>
      </w:r>
      <w:r w:rsidRPr="00CF086C">
        <w:rPr>
          <w:rFonts w:ascii="Calibri" w:hAnsi="Calibri" w:cs="Calibri"/>
        </w:rPr>
        <w:t xml:space="preserve"> in Normandy, ducal patronage produced a rich body of texts constructing a coherent ethnic narrative, from Dudo’s elaborate origin mythology to the genealogical claims that linked the Norman dukes to a distinguished Scandinavian past.</w:t>
      </w:r>
      <w:r w:rsidRPr="00CF086C">
        <w:rPr>
          <w:rStyle w:val="FootnoteReference"/>
          <w:rFonts w:ascii="Calibri" w:hAnsi="Calibri" w:cs="Calibri"/>
        </w:rPr>
        <w:footnoteReference w:id="5"/>
      </w:r>
      <w:r w:rsidRPr="00CF086C">
        <w:rPr>
          <w:rFonts w:ascii="Calibri" w:hAnsi="Calibri" w:cs="Calibri"/>
        </w:rPr>
        <w:t xml:space="preserve"> In England, equivalent genres either did not develop in the same way or served different political masters. The </w:t>
      </w:r>
      <w:r w:rsidRPr="00CF086C">
        <w:rPr>
          <w:rFonts w:ascii="Calibri" w:hAnsi="Calibri" w:cs="Calibri"/>
          <w:i/>
          <w:iCs/>
        </w:rPr>
        <w:t xml:space="preserve">Historia de Sancto </w:t>
      </w:r>
      <w:proofErr w:type="spellStart"/>
      <w:r w:rsidRPr="00CF086C">
        <w:rPr>
          <w:rFonts w:ascii="Calibri" w:hAnsi="Calibri" w:cs="Calibri"/>
          <w:i/>
          <w:iCs/>
        </w:rPr>
        <w:t>Cuthberto</w:t>
      </w:r>
      <w:proofErr w:type="spellEnd"/>
      <w:r w:rsidRPr="00CF086C">
        <w:rPr>
          <w:rFonts w:ascii="Calibri" w:hAnsi="Calibri" w:cs="Calibri"/>
        </w:rPr>
        <w:t xml:space="preserve"> and the hagiographic traditions of northern England engaged with the Viking past, but as narratives of destruction and saintly restoration rather than as celebrations of Scandinavian heritage.</w:t>
      </w:r>
      <w:r w:rsidRPr="00CF086C">
        <w:rPr>
          <w:rStyle w:val="FootnoteReference"/>
          <w:rFonts w:ascii="Calibri" w:hAnsi="Calibri" w:cs="Calibri"/>
        </w:rPr>
        <w:footnoteReference w:id="6"/>
      </w:r>
      <w:r w:rsidRPr="00CF086C">
        <w:rPr>
          <w:rFonts w:ascii="Calibri" w:hAnsi="Calibri" w:cs="Calibri"/>
        </w:rPr>
        <w:t xml:space="preserve"> Cross reads this asymmetry as evidence for her central claim</w:t>
      </w:r>
      <w:r w:rsidR="004928A6">
        <w:rPr>
          <w:rFonts w:ascii="Calibri" w:hAnsi="Calibri" w:cs="Calibri"/>
        </w:rPr>
        <w:t xml:space="preserve"> that</w:t>
      </w:r>
      <w:r w:rsidRPr="00CF086C">
        <w:rPr>
          <w:rFonts w:ascii="Calibri" w:hAnsi="Calibri" w:cs="Calibri"/>
        </w:rPr>
        <w:t xml:space="preserve"> Norman identity was the product of sustained elite investment, while the absence of a comparable English-Scandinavian identity reflects the different priorities of West Saxon rulers, who had no interest in promoting a Danelaw ethnic consciousness.</w:t>
      </w:r>
    </w:p>
    <w:p w14:paraId="5585B0EB" w14:textId="77777777" w:rsidR="008F1C22" w:rsidRPr="00CF086C" w:rsidRDefault="008F1C22" w:rsidP="004928A6">
      <w:pPr>
        <w:ind w:firstLine="720"/>
        <w:jc w:val="both"/>
        <w:rPr>
          <w:rFonts w:ascii="Calibri" w:hAnsi="Calibri" w:cs="Calibri"/>
        </w:rPr>
      </w:pPr>
    </w:p>
    <w:p w14:paraId="3238BE39" w14:textId="4F84CB1F" w:rsidR="005729C0" w:rsidRDefault="00000000" w:rsidP="004928A6">
      <w:pPr>
        <w:ind w:firstLine="720"/>
        <w:jc w:val="both"/>
        <w:rPr>
          <w:rFonts w:ascii="Calibri" w:hAnsi="Calibri" w:cs="Calibri"/>
        </w:rPr>
      </w:pPr>
      <w:r w:rsidRPr="00CF086C">
        <w:rPr>
          <w:rFonts w:ascii="Calibri" w:hAnsi="Calibri" w:cs="Calibri"/>
        </w:rPr>
        <w:t xml:space="preserve">The theoretical scaffolding for this comparison comes from Brubaker’s </w:t>
      </w:r>
      <w:r w:rsidRPr="00CF086C">
        <w:rPr>
          <w:rFonts w:ascii="Calibri" w:hAnsi="Calibri" w:cs="Calibri"/>
          <w:i/>
          <w:iCs/>
        </w:rPr>
        <w:t>Ethnicity Without Groups</w:t>
      </w:r>
      <w:r w:rsidRPr="00CF086C">
        <w:rPr>
          <w:rFonts w:ascii="Calibri" w:hAnsi="Calibri" w:cs="Calibri"/>
        </w:rPr>
        <w:t xml:space="preserve">, which argues that ethnic identities are not properties of bounded </w:t>
      </w:r>
      <w:r w:rsidR="004928A6" w:rsidRPr="00CF086C">
        <w:rPr>
          <w:rFonts w:ascii="Calibri" w:hAnsi="Calibri" w:cs="Calibri"/>
        </w:rPr>
        <w:t>groups,</w:t>
      </w:r>
      <w:r w:rsidRPr="00CF086C">
        <w:rPr>
          <w:rFonts w:ascii="Calibri" w:hAnsi="Calibri" w:cs="Calibri"/>
        </w:rPr>
        <w:t xml:space="preserve"> but relational, process</w:t>
      </w:r>
      <w:r w:rsidR="004928A6">
        <w:rPr>
          <w:rFonts w:ascii="Calibri" w:hAnsi="Calibri" w:cs="Calibri"/>
        </w:rPr>
        <w:t xml:space="preserve"> based</w:t>
      </w:r>
      <w:r w:rsidRPr="00CF086C">
        <w:rPr>
          <w:rFonts w:ascii="Calibri" w:hAnsi="Calibri" w:cs="Calibri"/>
        </w:rPr>
        <w:t>, and contingent phenomena maintained through ongoing social practice. Cross applies this framework productively, showing how Norman identity was actively constructed through</w:t>
      </w:r>
      <w:r w:rsidR="004928A6">
        <w:rPr>
          <w:rFonts w:ascii="Calibri" w:hAnsi="Calibri" w:cs="Calibri"/>
        </w:rPr>
        <w:t xml:space="preserve"> the production of vast numbers of</w:t>
      </w:r>
      <w:r w:rsidRPr="00CF086C">
        <w:rPr>
          <w:rFonts w:ascii="Calibri" w:hAnsi="Calibri" w:cs="Calibri"/>
        </w:rPr>
        <w:t xml:space="preserve"> text</w:t>
      </w:r>
      <w:r w:rsidR="004928A6">
        <w:rPr>
          <w:rFonts w:ascii="Calibri" w:hAnsi="Calibri" w:cs="Calibri"/>
        </w:rPr>
        <w:t>s</w:t>
      </w:r>
      <w:r w:rsidRPr="00CF086C">
        <w:rPr>
          <w:rFonts w:ascii="Calibri" w:hAnsi="Calibri" w:cs="Calibri"/>
        </w:rPr>
        <w:t xml:space="preserve"> rather than passively inherited from Viking ancestors. The Brubaker framework allows her to avoid the older assumptions that treated ‘Norman’ or ‘Danish’ identity as something people simply had by virtue of ancestry.</w:t>
      </w:r>
    </w:p>
    <w:p w14:paraId="478ADFB1" w14:textId="77777777" w:rsidR="008F1C22" w:rsidRPr="00CF086C" w:rsidRDefault="008F1C22" w:rsidP="004928A6">
      <w:pPr>
        <w:ind w:firstLine="720"/>
        <w:jc w:val="both"/>
        <w:rPr>
          <w:rFonts w:ascii="Calibri" w:hAnsi="Calibri" w:cs="Calibri"/>
        </w:rPr>
      </w:pPr>
    </w:p>
    <w:p w14:paraId="45E65E68" w14:textId="2E3FE0AF" w:rsidR="005729C0" w:rsidRPr="00CF086C" w:rsidRDefault="004928A6" w:rsidP="004928A6">
      <w:pPr>
        <w:ind w:firstLine="720"/>
        <w:jc w:val="both"/>
        <w:rPr>
          <w:rFonts w:ascii="Calibri" w:hAnsi="Calibri" w:cs="Calibri"/>
        </w:rPr>
      </w:pPr>
      <w:r>
        <w:rPr>
          <w:rFonts w:ascii="Calibri" w:hAnsi="Calibri" w:cs="Calibri"/>
        </w:rPr>
        <w:t>It is important, however,</w:t>
      </w:r>
      <w:r w:rsidR="00000000" w:rsidRPr="00CF086C">
        <w:rPr>
          <w:rFonts w:ascii="Calibri" w:hAnsi="Calibri" w:cs="Calibri"/>
        </w:rPr>
        <w:t xml:space="preserve"> </w:t>
      </w:r>
      <w:r>
        <w:rPr>
          <w:rFonts w:ascii="Calibri" w:hAnsi="Calibri" w:cs="Calibri"/>
        </w:rPr>
        <w:t>that the</w:t>
      </w:r>
      <w:r w:rsidR="00000000" w:rsidRPr="00CF086C">
        <w:rPr>
          <w:rFonts w:ascii="Calibri" w:hAnsi="Calibri" w:cs="Calibri"/>
        </w:rPr>
        <w:t xml:space="preserve"> comparative method itself </w:t>
      </w:r>
      <w:r>
        <w:rPr>
          <w:rFonts w:ascii="Calibri" w:hAnsi="Calibri" w:cs="Calibri"/>
        </w:rPr>
        <w:t>is scrutinised</w:t>
      </w:r>
      <w:r w:rsidR="00000000" w:rsidRPr="00CF086C">
        <w:rPr>
          <w:rFonts w:ascii="Calibri" w:hAnsi="Calibri" w:cs="Calibri"/>
        </w:rPr>
        <w:t xml:space="preserve">. As Chris Wickham argued in his 2004 Reuter Lecture, </w:t>
      </w:r>
      <w:r w:rsidR="00000000" w:rsidRPr="00CF086C">
        <w:rPr>
          <w:rFonts w:ascii="Calibri" w:hAnsi="Calibri" w:cs="Calibri"/>
          <w:i/>
          <w:iCs/>
        </w:rPr>
        <w:t>Problems in Doing Comparative History</w:t>
      </w:r>
      <w:r w:rsidR="00000000" w:rsidRPr="00CF086C">
        <w:rPr>
          <w:rFonts w:ascii="Calibri" w:hAnsi="Calibri" w:cs="Calibri"/>
        </w:rPr>
        <w:t>, meaningful comparison depends on sufficient structural similarity between the cases compared.</w:t>
      </w:r>
      <w:r w:rsidR="00000000" w:rsidRPr="00CF086C">
        <w:rPr>
          <w:rStyle w:val="FootnoteReference"/>
          <w:rFonts w:ascii="Calibri" w:hAnsi="Calibri" w:cs="Calibri"/>
        </w:rPr>
        <w:footnoteReference w:id="7"/>
      </w:r>
      <w:r w:rsidR="00000000" w:rsidRPr="00CF086C">
        <w:rPr>
          <w:rFonts w:ascii="Calibri" w:hAnsi="Calibri" w:cs="Calibri"/>
        </w:rPr>
        <w:t xml:space="preserve"> Where two </w:t>
      </w:r>
      <w:r w:rsidR="00000000" w:rsidRPr="00CF086C">
        <w:rPr>
          <w:rFonts w:ascii="Calibri" w:hAnsi="Calibri" w:cs="Calibri"/>
        </w:rPr>
        <w:lastRenderedPageBreak/>
        <w:t>cases differ in their fundamental conditions, apparent divergences in outcome may be artefacts of the comparison rather than phenomena requiring explanation. The question, then, is whether Normandy and the Danelaw are sufficiently similar to sustain the comparison Cross builds on them.</w:t>
      </w:r>
    </w:p>
    <w:p w14:paraId="31C0A37C" w14:textId="77777777" w:rsidR="005729C0" w:rsidRPr="00CF086C" w:rsidRDefault="00000000" w:rsidP="008F1C22">
      <w:pPr>
        <w:spacing w:before="360" w:after="120"/>
        <w:rPr>
          <w:rFonts w:ascii="Calibri" w:hAnsi="Calibri" w:cs="Calibri"/>
        </w:rPr>
      </w:pPr>
      <w:r w:rsidRPr="00CF086C">
        <w:rPr>
          <w:rFonts w:ascii="Calibri" w:hAnsi="Calibri" w:cs="Calibri"/>
          <w:b/>
          <w:bCs/>
        </w:rPr>
        <w:t>Different Situations, Not Different Outcomes</w:t>
      </w:r>
    </w:p>
    <w:p w14:paraId="464C8E82" w14:textId="587A8211" w:rsidR="005729C0" w:rsidRDefault="00000000" w:rsidP="004928A6">
      <w:pPr>
        <w:jc w:val="both"/>
        <w:rPr>
          <w:rFonts w:ascii="Calibri" w:hAnsi="Calibri" w:cs="Calibri"/>
        </w:rPr>
      </w:pPr>
      <w:r w:rsidRPr="00CF086C">
        <w:rPr>
          <w:rFonts w:ascii="Calibri" w:hAnsi="Calibri" w:cs="Calibri"/>
        </w:rPr>
        <w:t>The duchy of Normandy was, by medieval standards, a political novelty. It emerged from the grant of territory to Rollo in 911</w:t>
      </w:r>
      <w:r w:rsidR="00D979F9">
        <w:rPr>
          <w:rFonts w:ascii="Calibri" w:hAnsi="Calibri" w:cs="Calibri"/>
        </w:rPr>
        <w:t xml:space="preserve"> </w:t>
      </w:r>
      <w:r w:rsidRPr="00CF086C">
        <w:rPr>
          <w:rFonts w:ascii="Calibri" w:hAnsi="Calibri" w:cs="Calibri"/>
        </w:rPr>
        <w:t xml:space="preserve">and developed over the following century into one of the most </w:t>
      </w:r>
      <w:r w:rsidR="00D979F9">
        <w:rPr>
          <w:rFonts w:ascii="Calibri" w:hAnsi="Calibri" w:cs="Calibri"/>
        </w:rPr>
        <w:t>‘well-organised territorial principality’</w:t>
      </w:r>
      <w:r w:rsidRPr="00CF086C">
        <w:rPr>
          <w:rFonts w:ascii="Calibri" w:hAnsi="Calibri" w:cs="Calibri"/>
        </w:rPr>
        <w:t xml:space="preserve"> in northern France.</w:t>
      </w:r>
      <w:r w:rsidRPr="00CF086C">
        <w:rPr>
          <w:rStyle w:val="FootnoteReference"/>
          <w:rFonts w:ascii="Calibri" w:hAnsi="Calibri" w:cs="Calibri"/>
        </w:rPr>
        <w:footnoteReference w:id="8"/>
      </w:r>
      <w:r w:rsidRPr="00CF086C">
        <w:rPr>
          <w:rFonts w:ascii="Calibri" w:hAnsi="Calibri" w:cs="Calibri"/>
        </w:rPr>
        <w:t xml:space="preserve"> What made Normandy distinctive as a political entity was precisely the absence of pre-existing institutional identity. There was no ‘Normandy’ before the Vikings; the region that became the duchy had been part of the Frankish landscape, and its transformation into a separate polity was inseparable from the settlement of Scandinavian newcomers under Rollo and his successors.</w:t>
      </w:r>
    </w:p>
    <w:p w14:paraId="673A6BFE" w14:textId="77777777" w:rsidR="008F1C22" w:rsidRPr="00CF086C" w:rsidRDefault="008F1C22" w:rsidP="004928A6">
      <w:pPr>
        <w:jc w:val="both"/>
        <w:rPr>
          <w:rFonts w:ascii="Calibri" w:hAnsi="Calibri" w:cs="Calibri"/>
        </w:rPr>
      </w:pPr>
    </w:p>
    <w:p w14:paraId="0203EF7E" w14:textId="694DF6FD" w:rsidR="005729C0" w:rsidRDefault="00000000" w:rsidP="004928A6">
      <w:pPr>
        <w:ind w:firstLine="720"/>
        <w:jc w:val="both"/>
        <w:rPr>
          <w:rFonts w:ascii="Calibri" w:hAnsi="Calibri" w:cs="Calibri"/>
        </w:rPr>
      </w:pPr>
      <w:r w:rsidRPr="00CF086C">
        <w:rPr>
          <w:rFonts w:ascii="Calibri" w:hAnsi="Calibri" w:cs="Calibri"/>
        </w:rPr>
        <w:t xml:space="preserve">This structural condition created a specific political problem for the Norman dukes. As David Bates demonstrated in </w:t>
      </w:r>
      <w:r w:rsidRPr="00CF086C">
        <w:rPr>
          <w:rFonts w:ascii="Calibri" w:hAnsi="Calibri" w:cs="Calibri"/>
          <w:i/>
          <w:iCs/>
        </w:rPr>
        <w:t>Normandy Before 1066</w:t>
      </w:r>
      <w:r w:rsidRPr="00CF086C">
        <w:rPr>
          <w:rFonts w:ascii="Calibri" w:hAnsi="Calibri" w:cs="Calibri"/>
        </w:rPr>
        <w:t>, the dukes needed to establish their legitimacy on two fronts simultaneously: they had to assert independence from the French crown while also integrating into the Frankish political and cultural order that surrounded them.</w:t>
      </w:r>
      <w:r w:rsidRPr="00CF086C">
        <w:rPr>
          <w:rStyle w:val="FootnoteReference"/>
          <w:rFonts w:ascii="Calibri" w:hAnsi="Calibri" w:cs="Calibri"/>
        </w:rPr>
        <w:footnoteReference w:id="9"/>
      </w:r>
      <w:r w:rsidRPr="00CF086C">
        <w:rPr>
          <w:rFonts w:ascii="Calibri" w:hAnsi="Calibri" w:cs="Calibri"/>
        </w:rPr>
        <w:t xml:space="preserve"> Ethnic identity was a solution to both problems. By cultivating a narrative of Scandinavian distinctiveness</w:t>
      </w:r>
      <w:r w:rsidR="00D979F9">
        <w:rPr>
          <w:rFonts w:ascii="Calibri" w:hAnsi="Calibri" w:cs="Calibri"/>
        </w:rPr>
        <w:t xml:space="preserve">, </w:t>
      </w:r>
      <w:r w:rsidRPr="00CF086C">
        <w:rPr>
          <w:rFonts w:ascii="Calibri" w:hAnsi="Calibri" w:cs="Calibri"/>
        </w:rPr>
        <w:t>visible above all in Dudo of Saint-Quentin’s elaborate dynastic history</w:t>
      </w:r>
      <w:r w:rsidR="00D979F9">
        <w:rPr>
          <w:rFonts w:ascii="Calibri" w:hAnsi="Calibri" w:cs="Calibri"/>
        </w:rPr>
        <w:t>,</w:t>
      </w:r>
      <w:r w:rsidRPr="00CF086C">
        <w:rPr>
          <w:rFonts w:ascii="Calibri" w:hAnsi="Calibri" w:cs="Calibri"/>
        </w:rPr>
        <w:t xml:space="preserve"> the dukes could claim a separate political heritage that justified their autonomy. At the same time, by Christianising and </w:t>
      </w:r>
      <w:proofErr w:type="spellStart"/>
      <w:r w:rsidRPr="00CF086C">
        <w:rPr>
          <w:rFonts w:ascii="Calibri" w:hAnsi="Calibri" w:cs="Calibri"/>
        </w:rPr>
        <w:t>Frankicising</w:t>
      </w:r>
      <w:proofErr w:type="spellEnd"/>
      <w:r w:rsidRPr="00CF086C">
        <w:rPr>
          <w:rFonts w:ascii="Calibri" w:hAnsi="Calibri" w:cs="Calibri"/>
        </w:rPr>
        <w:t xml:space="preserve"> their court and administration, they could participate in the wider political culture of northern France without surrendering their claim to be something other than Frankish. As Eleanor Searle argued, Norman identity was bound up with the predatory kinship structures through which the ducal dynasty maintained and extended its power.</w:t>
      </w:r>
      <w:r w:rsidRPr="00CF086C">
        <w:rPr>
          <w:rStyle w:val="FootnoteReference"/>
          <w:rFonts w:ascii="Calibri" w:hAnsi="Calibri" w:cs="Calibri"/>
        </w:rPr>
        <w:footnoteReference w:id="10"/>
      </w:r>
    </w:p>
    <w:p w14:paraId="13A1103A" w14:textId="77777777" w:rsidR="008F1C22" w:rsidRPr="00CF086C" w:rsidRDefault="008F1C22" w:rsidP="004928A6">
      <w:pPr>
        <w:ind w:firstLine="720"/>
        <w:jc w:val="both"/>
        <w:rPr>
          <w:rFonts w:ascii="Calibri" w:hAnsi="Calibri" w:cs="Calibri"/>
        </w:rPr>
      </w:pPr>
    </w:p>
    <w:p w14:paraId="6C075537" w14:textId="244384FA" w:rsidR="005729C0" w:rsidRDefault="00000000" w:rsidP="004928A6">
      <w:pPr>
        <w:ind w:firstLine="720"/>
        <w:jc w:val="both"/>
        <w:rPr>
          <w:rFonts w:ascii="Calibri" w:hAnsi="Calibri" w:cs="Calibri"/>
        </w:rPr>
      </w:pPr>
      <w:r w:rsidRPr="00CF086C">
        <w:rPr>
          <w:rFonts w:ascii="Calibri" w:hAnsi="Calibri" w:cs="Calibri"/>
        </w:rPr>
        <w:t xml:space="preserve">The ethnic narrative, in other words, was </w:t>
      </w:r>
      <w:r w:rsidR="00D979F9" w:rsidRPr="00CF086C">
        <w:rPr>
          <w:rFonts w:ascii="Calibri" w:hAnsi="Calibri" w:cs="Calibri"/>
        </w:rPr>
        <w:t>outward facing</w:t>
      </w:r>
      <w:r w:rsidRPr="00CF086C">
        <w:rPr>
          <w:rFonts w:ascii="Calibri" w:hAnsi="Calibri" w:cs="Calibri"/>
        </w:rPr>
        <w:t>. It defined the Normans against the Franks, marking a boundary that served immediate political purposes. Lesley Abrams’s work on early Normandy has reinforced this point, showing how the construction of Norman distinctiveness was closely tied to the duchy’s political relationship with the Capetian monarchy and the surrounding Frankish principalities.</w:t>
      </w:r>
      <w:r w:rsidRPr="00CF086C">
        <w:rPr>
          <w:rStyle w:val="FootnoteReference"/>
          <w:rFonts w:ascii="Calibri" w:hAnsi="Calibri" w:cs="Calibri"/>
        </w:rPr>
        <w:footnoteReference w:id="11"/>
      </w:r>
      <w:r w:rsidRPr="00CF086C">
        <w:rPr>
          <w:rFonts w:ascii="Calibri" w:hAnsi="Calibri" w:cs="Calibri"/>
        </w:rPr>
        <w:t xml:space="preserve"> This is precisely the kind of identity construction that Cross describes so well: a ruling elite investing in textual production to create and maintain a politically useful ethnic distinction.</w:t>
      </w:r>
      <w:r w:rsidRPr="00CF086C">
        <w:rPr>
          <w:rStyle w:val="FootnoteReference"/>
          <w:rFonts w:ascii="Calibri" w:hAnsi="Calibri" w:cs="Calibri"/>
        </w:rPr>
        <w:footnoteReference w:id="12"/>
      </w:r>
      <w:r w:rsidRPr="00CF086C">
        <w:rPr>
          <w:rFonts w:ascii="Calibri" w:hAnsi="Calibri" w:cs="Calibri"/>
        </w:rPr>
        <w:t xml:space="preserve"> The Norman case fits her model almost perfectly.</w:t>
      </w:r>
    </w:p>
    <w:p w14:paraId="64E463E9" w14:textId="77777777" w:rsidR="008F1C22" w:rsidRPr="00CF086C" w:rsidRDefault="008F1C22" w:rsidP="004928A6">
      <w:pPr>
        <w:ind w:firstLine="720"/>
        <w:jc w:val="both"/>
        <w:rPr>
          <w:rFonts w:ascii="Calibri" w:hAnsi="Calibri" w:cs="Calibri"/>
        </w:rPr>
      </w:pPr>
    </w:p>
    <w:p w14:paraId="705D11C5" w14:textId="2D2832EF" w:rsidR="005729C0" w:rsidRDefault="00000000" w:rsidP="004928A6">
      <w:pPr>
        <w:ind w:firstLine="720"/>
        <w:jc w:val="both"/>
        <w:rPr>
          <w:rFonts w:ascii="Calibri" w:hAnsi="Calibri" w:cs="Calibri"/>
        </w:rPr>
      </w:pPr>
      <w:r w:rsidRPr="00CF086C">
        <w:rPr>
          <w:rFonts w:ascii="Calibri" w:hAnsi="Calibri" w:cs="Calibri"/>
        </w:rPr>
        <w:lastRenderedPageBreak/>
        <w:t xml:space="preserve">The Danelaw presents a fundamentally different picture. The term itself </w:t>
      </w:r>
      <w:r w:rsidR="00410BEF">
        <w:rPr>
          <w:rFonts w:ascii="Calibri" w:hAnsi="Calibri" w:cs="Calibri"/>
        </w:rPr>
        <w:t>(</w:t>
      </w:r>
      <w:r w:rsidRPr="00CF086C">
        <w:rPr>
          <w:rFonts w:ascii="Calibri" w:hAnsi="Calibri" w:cs="Calibri"/>
          <w:i/>
          <w:iCs/>
        </w:rPr>
        <w:t xml:space="preserve">Dena </w:t>
      </w:r>
      <w:proofErr w:type="spellStart"/>
      <w:r w:rsidRPr="00CF086C">
        <w:rPr>
          <w:rFonts w:ascii="Calibri" w:hAnsi="Calibri" w:cs="Calibri"/>
          <w:i/>
          <w:iCs/>
        </w:rPr>
        <w:t>laga</w:t>
      </w:r>
      <w:proofErr w:type="spellEnd"/>
      <w:r w:rsidRPr="00CF086C">
        <w:rPr>
          <w:rFonts w:ascii="Calibri" w:hAnsi="Calibri" w:cs="Calibri"/>
        </w:rPr>
        <w:t>, the area under Danish law</w:t>
      </w:r>
      <w:r w:rsidR="00410BEF">
        <w:rPr>
          <w:rFonts w:ascii="Calibri" w:hAnsi="Calibri" w:cs="Calibri"/>
        </w:rPr>
        <w:t>)</w:t>
      </w:r>
      <w:r w:rsidRPr="00CF086C">
        <w:rPr>
          <w:rFonts w:ascii="Calibri" w:hAnsi="Calibri" w:cs="Calibri"/>
        </w:rPr>
        <w:t xml:space="preserve"> designates not a polity but a legal zone within an existing kingdom. There was no Danelaw equivalent of Rollo’s dynasty: Scandinavian settlement in England was carried out by multiple groups, at multiple times, under multiple leaders, and resulted not in the creation of a new political entity but in the incorporation of settled areas into the expanding kingdom of England.</w:t>
      </w:r>
      <w:r w:rsidRPr="00CF086C">
        <w:rPr>
          <w:rStyle w:val="FootnoteReference"/>
          <w:rFonts w:ascii="Calibri" w:hAnsi="Calibri" w:cs="Calibri"/>
        </w:rPr>
        <w:footnoteReference w:id="13"/>
      </w:r>
      <w:r w:rsidRPr="00CF086C">
        <w:rPr>
          <w:rFonts w:ascii="Calibri" w:hAnsi="Calibri" w:cs="Calibri"/>
        </w:rPr>
        <w:t xml:space="preserve"> The Five Boroughs (Lincoln, Nottingham, Derby, Leicester, and Stamford) represented a significant concentration of Scandinavian-influenced governance, but they were not a unified polity under a single ruling house. As Clare Downham has shown, the political landscape of Viking-settled Britain was characterised by competing dynasties and shifting allegiances, not by the kind of centralised authority that enabled the Norman dukes to sponsor a coherent textual identity project.</w:t>
      </w:r>
      <w:r w:rsidRPr="00CF086C">
        <w:rPr>
          <w:rStyle w:val="FootnoteReference"/>
          <w:rFonts w:ascii="Calibri" w:hAnsi="Calibri" w:cs="Calibri"/>
        </w:rPr>
        <w:footnoteReference w:id="14"/>
      </w:r>
    </w:p>
    <w:p w14:paraId="494FB84A" w14:textId="77777777" w:rsidR="008F1C22" w:rsidRPr="00CF086C" w:rsidRDefault="008F1C22" w:rsidP="004928A6">
      <w:pPr>
        <w:ind w:firstLine="720"/>
        <w:jc w:val="both"/>
        <w:rPr>
          <w:rFonts w:ascii="Calibri" w:hAnsi="Calibri" w:cs="Calibri"/>
        </w:rPr>
      </w:pPr>
    </w:p>
    <w:p w14:paraId="3D7FADD3" w14:textId="77777777" w:rsidR="005729C0" w:rsidRDefault="00000000" w:rsidP="004928A6">
      <w:pPr>
        <w:ind w:firstLine="720"/>
        <w:jc w:val="both"/>
        <w:rPr>
          <w:rFonts w:ascii="Calibri" w:hAnsi="Calibri" w:cs="Calibri"/>
        </w:rPr>
      </w:pPr>
      <w:r w:rsidRPr="00CF086C">
        <w:rPr>
          <w:rFonts w:ascii="Calibri" w:hAnsi="Calibri" w:cs="Calibri"/>
        </w:rPr>
        <w:t>The political problem facing Danelaw communities was correspondingly different from that facing the Norman dukes. Where the dukes needed to project ethnic distinctiveness outward to justify their independence, the communities of the Danelaw were being absorbed into an ancient kingdom whose legitimacy rested on its Anglo-Saxon past and its Christian institutional structures. The West Saxon kings who conquered the Danelaw in the early tenth century had every reason to minimise ethnic difference, not to cultivate it. Their project was integration, not differentiation.</w:t>
      </w:r>
    </w:p>
    <w:p w14:paraId="0F1C8D64" w14:textId="77777777" w:rsidR="00855A5E" w:rsidRDefault="00855A5E" w:rsidP="004928A6">
      <w:pPr>
        <w:ind w:firstLine="720"/>
        <w:jc w:val="both"/>
        <w:rPr>
          <w:rFonts w:ascii="Calibri" w:hAnsi="Calibri" w:cs="Calibri"/>
        </w:rPr>
      </w:pPr>
    </w:p>
    <w:p w14:paraId="34B238C4" w14:textId="14623869" w:rsidR="00855A5E" w:rsidRDefault="00855A5E" w:rsidP="00855A5E">
      <w:pPr>
        <w:ind w:left="720"/>
        <w:rPr>
          <w:rFonts w:ascii="Calibri" w:hAnsi="Calibri" w:cs="Calibri"/>
        </w:rPr>
      </w:pPr>
      <w:proofErr w:type="gramStart"/>
      <w:r w:rsidRPr="00855A5E">
        <w:rPr>
          <w:rFonts w:ascii="Calibri" w:hAnsi="Calibri" w:cs="Calibri"/>
        </w:rPr>
        <w:t>Richard</w:t>
      </w:r>
      <w:proofErr w:type="gramEnd"/>
      <w:r w:rsidRPr="00855A5E">
        <w:rPr>
          <w:rFonts w:ascii="Calibri" w:hAnsi="Calibri" w:cs="Calibri"/>
        </w:rPr>
        <w:t xml:space="preserve"> I established himself as the sole ruler of the principality of Normandy, although it remained within the French kingdom. On the other hand, 954 marked the expulsion of the last</w:t>
      </w:r>
      <w:r>
        <w:rPr>
          <w:rFonts w:ascii="Calibri" w:hAnsi="Calibri" w:cs="Calibri"/>
        </w:rPr>
        <w:t xml:space="preserve"> </w:t>
      </w:r>
      <w:proofErr w:type="spellStart"/>
      <w:r w:rsidRPr="00855A5E">
        <w:rPr>
          <w:rFonts w:ascii="Calibri" w:hAnsi="Calibri" w:cs="Calibri"/>
        </w:rPr>
        <w:t>viking</w:t>
      </w:r>
      <w:proofErr w:type="spellEnd"/>
      <w:r w:rsidRPr="00855A5E">
        <w:rPr>
          <w:rFonts w:ascii="Calibri" w:hAnsi="Calibri" w:cs="Calibri"/>
        </w:rPr>
        <w:t xml:space="preserve"> king of York. From that point forwards the English king ruled </w:t>
      </w:r>
      <w:proofErr w:type="gramStart"/>
      <w:r w:rsidRPr="00855A5E">
        <w:rPr>
          <w:rFonts w:ascii="Calibri" w:hAnsi="Calibri" w:cs="Calibri"/>
        </w:rPr>
        <w:t>all of</w:t>
      </w:r>
      <w:proofErr w:type="gramEnd"/>
      <w:r w:rsidRPr="00855A5E">
        <w:rPr>
          <w:rFonts w:ascii="Calibri" w:hAnsi="Calibri" w:cs="Calibri"/>
        </w:rPr>
        <w:t xml:space="preserve"> the former Anglo-Saxon kingdoms, including Danish-settled areas.</w:t>
      </w:r>
      <w:r>
        <w:rPr>
          <w:rStyle w:val="FootnoteReference"/>
          <w:rFonts w:ascii="Calibri" w:hAnsi="Calibri" w:cs="Calibri"/>
        </w:rPr>
        <w:footnoteReference w:id="15"/>
      </w:r>
    </w:p>
    <w:p w14:paraId="7A4C1737" w14:textId="77777777" w:rsidR="00855A5E" w:rsidRPr="00CF086C" w:rsidRDefault="00855A5E" w:rsidP="004928A6">
      <w:pPr>
        <w:ind w:firstLine="720"/>
        <w:jc w:val="both"/>
        <w:rPr>
          <w:rFonts w:ascii="Calibri" w:hAnsi="Calibri" w:cs="Calibri"/>
        </w:rPr>
      </w:pPr>
    </w:p>
    <w:p w14:paraId="663C49D9" w14:textId="26467234" w:rsidR="005729C0" w:rsidRDefault="00000000" w:rsidP="004928A6">
      <w:pPr>
        <w:ind w:firstLine="720"/>
        <w:jc w:val="both"/>
        <w:rPr>
          <w:rFonts w:ascii="Calibri" w:hAnsi="Calibri" w:cs="Calibri"/>
        </w:rPr>
      </w:pPr>
      <w:r w:rsidRPr="00CF086C">
        <w:rPr>
          <w:rFonts w:ascii="Calibri" w:hAnsi="Calibri" w:cs="Calibri"/>
        </w:rPr>
        <w:t>There was</w:t>
      </w:r>
      <w:r w:rsidR="00410BEF">
        <w:rPr>
          <w:rFonts w:ascii="Calibri" w:hAnsi="Calibri" w:cs="Calibri"/>
        </w:rPr>
        <w:t xml:space="preserve"> also</w:t>
      </w:r>
      <w:r w:rsidRPr="00CF086C">
        <w:rPr>
          <w:rFonts w:ascii="Calibri" w:hAnsi="Calibri" w:cs="Calibri"/>
        </w:rPr>
        <w:t xml:space="preserve"> no single institutional centre in the Danelaw from which a coordinated identity project could have been launched. The Norman dukes commanded a ducal court with the resources and authority to commission major literary works; Dudo wrote at the direct invitation of Duke Richard I, and his text served the dynasty’s specific political needs. The Danelaw had no equivalent patron. The archbishopric of York was a significant ecclesiastical centre, but it served the English church and the English crown, not a Scandinavian-derived ruling elite. The Five Boroughs had their own local governance structures, but these were municipal and regional, not dynastic. Without a patron, there was no Dudo; without a Dudo, there was no foundational narrative. But the absence of the narrative does not mean the absence of the identity it might have expressed.</w:t>
      </w:r>
    </w:p>
    <w:p w14:paraId="32B39556" w14:textId="77777777" w:rsidR="008F1C22" w:rsidRPr="00CF086C" w:rsidRDefault="008F1C22" w:rsidP="004928A6">
      <w:pPr>
        <w:ind w:firstLine="720"/>
        <w:jc w:val="both"/>
        <w:rPr>
          <w:rFonts w:ascii="Calibri" w:hAnsi="Calibri" w:cs="Calibri"/>
        </w:rPr>
      </w:pPr>
    </w:p>
    <w:p w14:paraId="31E9EDA3" w14:textId="171AC4ED" w:rsidR="005729C0" w:rsidRPr="00CF086C" w:rsidRDefault="00000000" w:rsidP="00855A5E">
      <w:pPr>
        <w:ind w:firstLine="720"/>
        <w:jc w:val="both"/>
        <w:rPr>
          <w:rFonts w:ascii="Calibri" w:hAnsi="Calibri" w:cs="Calibri"/>
        </w:rPr>
      </w:pPr>
      <w:r w:rsidRPr="00CF086C">
        <w:rPr>
          <w:rFonts w:ascii="Calibri" w:hAnsi="Calibri" w:cs="Calibri"/>
        </w:rPr>
        <w:t xml:space="preserve">Cross acknowledges these structural </w:t>
      </w:r>
      <w:r w:rsidR="00855A5E" w:rsidRPr="00CF086C">
        <w:rPr>
          <w:rFonts w:ascii="Calibri" w:hAnsi="Calibri" w:cs="Calibri"/>
        </w:rPr>
        <w:t>differences but</w:t>
      </w:r>
      <w:r w:rsidRPr="00CF086C">
        <w:rPr>
          <w:rFonts w:ascii="Calibri" w:hAnsi="Calibri" w:cs="Calibri"/>
        </w:rPr>
        <w:t xml:space="preserve"> treats them as incidental variations rather than foundational conditions. She frames the absence of Danelaw literary identity as something that needs explaining</w:t>
      </w:r>
      <w:r w:rsidR="00410BEF">
        <w:rPr>
          <w:rFonts w:ascii="Calibri" w:hAnsi="Calibri" w:cs="Calibri"/>
        </w:rPr>
        <w:t>;</w:t>
      </w:r>
      <w:r w:rsidRPr="00CF086C">
        <w:rPr>
          <w:rFonts w:ascii="Calibri" w:hAnsi="Calibri" w:cs="Calibri"/>
        </w:rPr>
        <w:t xml:space="preserve"> a puzzle her model of elite manipulation can solve. But if </w:t>
      </w:r>
      <w:r w:rsidRPr="00CF086C">
        <w:rPr>
          <w:rFonts w:ascii="Calibri" w:hAnsi="Calibri" w:cs="Calibri"/>
        </w:rPr>
        <w:lastRenderedPageBreak/>
        <w:t>Wickham’s methodological principles are taken seriously, the differences between the two cases are so fundamental that the comparison may generate false puzzles.</w:t>
      </w:r>
      <w:r w:rsidRPr="00CF086C">
        <w:rPr>
          <w:rStyle w:val="FootnoteReference"/>
          <w:rFonts w:ascii="Calibri" w:hAnsi="Calibri" w:cs="Calibri"/>
        </w:rPr>
        <w:footnoteReference w:id="16"/>
      </w:r>
      <w:r w:rsidRPr="00CF086C">
        <w:rPr>
          <w:rFonts w:ascii="Calibri" w:hAnsi="Calibri" w:cs="Calibri"/>
        </w:rPr>
        <w:t xml:space="preserve"> The absence of Norman-style identity narratives in the Danelaw is not surprising when one considers that the Danelaw had no ruling dynasty with the motive, resources, or institutional framework to produce them. Asking why the Danelaw did not produce a Dudo is rather like asking why it did not produce a cathedral at </w:t>
      </w:r>
      <w:r w:rsidR="00410BEF" w:rsidRPr="00CF086C">
        <w:rPr>
          <w:rFonts w:ascii="Calibri" w:hAnsi="Calibri" w:cs="Calibri"/>
        </w:rPr>
        <w:t>Jumièges</w:t>
      </w:r>
      <w:r w:rsidR="00410BEF">
        <w:rPr>
          <w:rFonts w:ascii="Calibri" w:hAnsi="Calibri" w:cs="Calibri"/>
        </w:rPr>
        <w:t>;</w:t>
      </w:r>
      <w:r w:rsidRPr="00CF086C">
        <w:rPr>
          <w:rFonts w:ascii="Calibri" w:hAnsi="Calibri" w:cs="Calibri"/>
        </w:rPr>
        <w:t xml:space="preserve"> the question reveals more about the assumptions behind it than about the historical reality it </w:t>
      </w:r>
      <w:r w:rsidR="00410BEF">
        <w:rPr>
          <w:rFonts w:ascii="Calibri" w:hAnsi="Calibri" w:cs="Calibri"/>
        </w:rPr>
        <w:t>supposedly addresses.</w:t>
      </w:r>
    </w:p>
    <w:p w14:paraId="764E5DF4" w14:textId="77777777" w:rsidR="005729C0" w:rsidRPr="00CF086C" w:rsidRDefault="00000000" w:rsidP="008F1C22">
      <w:pPr>
        <w:spacing w:before="360" w:after="120"/>
        <w:rPr>
          <w:rFonts w:ascii="Calibri" w:hAnsi="Calibri" w:cs="Calibri"/>
        </w:rPr>
      </w:pPr>
      <w:r w:rsidRPr="00CF086C">
        <w:rPr>
          <w:rFonts w:ascii="Calibri" w:hAnsi="Calibri" w:cs="Calibri"/>
          <w:b/>
          <w:bCs/>
        </w:rPr>
        <w:t>Identity Beyond the Written Word</w:t>
      </w:r>
    </w:p>
    <w:p w14:paraId="37774E61" w14:textId="41A932F9" w:rsidR="005729C0" w:rsidRDefault="00000000" w:rsidP="004928A6">
      <w:pPr>
        <w:jc w:val="both"/>
        <w:rPr>
          <w:rFonts w:ascii="Calibri" w:hAnsi="Calibri" w:cs="Calibri"/>
        </w:rPr>
      </w:pPr>
      <w:r w:rsidRPr="00CF086C">
        <w:rPr>
          <w:rFonts w:ascii="Calibri" w:hAnsi="Calibri" w:cs="Calibri"/>
        </w:rPr>
        <w:t>Cross’s method proceeds by examining specific genres of textual evidence: dynastic histories, hagiographies, charters, genealogies. Where she finds these genres deployed in the service of ethnic identity, she identifies elite entrepreneurship; where she does not find them, she infers the absence of such entrepreneurship. The problem with this approach is that it assumes identity must be expressed through the genres Cross examines. In looking for hagiographies and genealogies and finding nothing, she concludes that the Danelaw had no ethnic identity project. But the absence of one form of identity expression is not the absence of identity itself.</w:t>
      </w:r>
    </w:p>
    <w:p w14:paraId="54A3BB5C" w14:textId="77777777" w:rsidR="008F1C22" w:rsidRPr="00CF086C" w:rsidRDefault="008F1C22" w:rsidP="004928A6">
      <w:pPr>
        <w:jc w:val="both"/>
        <w:rPr>
          <w:rFonts w:ascii="Calibri" w:hAnsi="Calibri" w:cs="Calibri"/>
        </w:rPr>
      </w:pPr>
    </w:p>
    <w:p w14:paraId="7706B8ED" w14:textId="77777777" w:rsidR="005729C0" w:rsidRDefault="00000000" w:rsidP="004928A6">
      <w:pPr>
        <w:ind w:firstLine="720"/>
        <w:jc w:val="both"/>
        <w:rPr>
          <w:rFonts w:ascii="Calibri" w:hAnsi="Calibri" w:cs="Calibri"/>
        </w:rPr>
      </w:pPr>
      <w:r w:rsidRPr="00CF086C">
        <w:rPr>
          <w:rFonts w:ascii="Calibri" w:hAnsi="Calibri" w:cs="Calibri"/>
        </w:rPr>
        <w:t xml:space="preserve">The evidence from legal and institutional sources tells a different story. The terminology of </w:t>
      </w:r>
      <w:r w:rsidRPr="00CF086C">
        <w:rPr>
          <w:rFonts w:ascii="Calibri" w:hAnsi="Calibri" w:cs="Calibri"/>
          <w:i/>
          <w:iCs/>
        </w:rPr>
        <w:t xml:space="preserve">Dena </w:t>
      </w:r>
      <w:proofErr w:type="spellStart"/>
      <w:r w:rsidRPr="00CF086C">
        <w:rPr>
          <w:rFonts w:ascii="Calibri" w:hAnsi="Calibri" w:cs="Calibri"/>
          <w:i/>
          <w:iCs/>
        </w:rPr>
        <w:t>laga</w:t>
      </w:r>
      <w:proofErr w:type="spellEnd"/>
      <w:r w:rsidRPr="00CF086C">
        <w:rPr>
          <w:rFonts w:ascii="Calibri" w:hAnsi="Calibri" w:cs="Calibri"/>
        </w:rPr>
        <w:t xml:space="preserve"> — Danish law — appears in English legal texts not as an antiquarian curiosity but as a functioning category with real administrative content. Patrick Wormald’s exhaustive study of English law-making demonstrated that the legal distinctions between Wessex, Mercia, and the Danelaw were not mere labels but reflected genuine differences in legal custom, including differences traceable to Scandinavian influence.</w:t>
      </w:r>
      <w:r w:rsidRPr="00CF086C">
        <w:rPr>
          <w:rStyle w:val="FootnoteReference"/>
          <w:rFonts w:ascii="Calibri" w:hAnsi="Calibri" w:cs="Calibri"/>
        </w:rPr>
        <w:footnoteReference w:id="17"/>
      </w:r>
      <w:r w:rsidRPr="00CF086C">
        <w:rPr>
          <w:rFonts w:ascii="Calibri" w:hAnsi="Calibri" w:cs="Calibri"/>
        </w:rPr>
        <w:t xml:space="preserve"> The law of the Danelaw was not West Saxon law applied to Danish-settled areas; it was a distinct legal tradition that the English crown recognised and, to some degree, accommodated.</w:t>
      </w:r>
    </w:p>
    <w:p w14:paraId="44BDAD0D" w14:textId="77777777" w:rsidR="008F1C22" w:rsidRPr="00CF086C" w:rsidRDefault="008F1C22" w:rsidP="004928A6">
      <w:pPr>
        <w:ind w:firstLine="720"/>
        <w:jc w:val="both"/>
        <w:rPr>
          <w:rFonts w:ascii="Calibri" w:hAnsi="Calibri" w:cs="Calibri"/>
        </w:rPr>
      </w:pPr>
    </w:p>
    <w:p w14:paraId="57F14632" w14:textId="35E24C11" w:rsidR="005729C0" w:rsidRDefault="00000000" w:rsidP="004928A6">
      <w:pPr>
        <w:ind w:firstLine="720"/>
        <w:jc w:val="both"/>
        <w:rPr>
          <w:rFonts w:ascii="Calibri" w:hAnsi="Calibri" w:cs="Calibri"/>
        </w:rPr>
      </w:pPr>
      <w:r w:rsidRPr="00CF086C">
        <w:rPr>
          <w:rFonts w:ascii="Calibri" w:hAnsi="Calibri" w:cs="Calibri"/>
        </w:rPr>
        <w:t xml:space="preserve">Archbishop Wulfstan II of York is central to this argument. Cross discusses Wulfstan’s legal writings in Chapter </w:t>
      </w:r>
      <w:r w:rsidR="00410BEF" w:rsidRPr="00CF086C">
        <w:rPr>
          <w:rFonts w:ascii="Calibri" w:hAnsi="Calibri" w:cs="Calibri"/>
        </w:rPr>
        <w:t>5 but</w:t>
      </w:r>
      <w:r w:rsidRPr="00CF086C">
        <w:rPr>
          <w:rFonts w:ascii="Calibri" w:hAnsi="Calibri" w:cs="Calibri"/>
        </w:rPr>
        <w:t xml:space="preserve"> treats their ethnic content as largely derivative of West Saxon political priorities</w:t>
      </w:r>
      <w:r w:rsidR="00410BEF">
        <w:rPr>
          <w:rFonts w:ascii="Calibri" w:hAnsi="Calibri" w:cs="Calibri"/>
        </w:rPr>
        <w:t>,</w:t>
      </w:r>
      <w:r w:rsidRPr="00CF086C">
        <w:rPr>
          <w:rFonts w:ascii="Calibri" w:hAnsi="Calibri" w:cs="Calibri"/>
        </w:rPr>
        <w:t xml:space="preserve"> as examples of the crown’s management of Danelaw identity rather than evidence of Danelaw self-understanding.</w:t>
      </w:r>
      <w:r w:rsidRPr="00CF086C">
        <w:rPr>
          <w:rStyle w:val="FootnoteReference"/>
          <w:rFonts w:ascii="Calibri" w:hAnsi="Calibri" w:cs="Calibri"/>
        </w:rPr>
        <w:footnoteReference w:id="18"/>
      </w:r>
      <w:r w:rsidRPr="00CF086C">
        <w:rPr>
          <w:rFonts w:ascii="Calibri" w:hAnsi="Calibri" w:cs="Calibri"/>
        </w:rPr>
        <w:t xml:space="preserve"> This reading is defensible but reductive. Wulfstan was operating within a legal tradition that predated his own archiepiscopate and would outlast it. His engagement with the terminology of Danish law reflects not merely a political strategy but the reality of governing a region whose institutions bore the imprint of Scandinavian settlement. The legal content was not invented by Wulfstan for political purposes; it was already there, and he worked with it because he had to.</w:t>
      </w:r>
      <w:r w:rsidRPr="00CF086C">
        <w:rPr>
          <w:rStyle w:val="FootnoteReference"/>
          <w:rFonts w:ascii="Calibri" w:hAnsi="Calibri" w:cs="Calibri"/>
        </w:rPr>
        <w:footnoteReference w:id="19"/>
      </w:r>
    </w:p>
    <w:p w14:paraId="37E8E60B" w14:textId="77777777" w:rsidR="008F1C22" w:rsidRPr="00CF086C" w:rsidRDefault="008F1C22" w:rsidP="004928A6">
      <w:pPr>
        <w:ind w:firstLine="720"/>
        <w:jc w:val="both"/>
        <w:rPr>
          <w:rFonts w:ascii="Calibri" w:hAnsi="Calibri" w:cs="Calibri"/>
        </w:rPr>
      </w:pPr>
    </w:p>
    <w:p w14:paraId="5E1ECDCB" w14:textId="77777777" w:rsidR="005729C0" w:rsidRDefault="00000000" w:rsidP="004928A6">
      <w:pPr>
        <w:ind w:firstLine="720"/>
        <w:jc w:val="both"/>
        <w:rPr>
          <w:rFonts w:ascii="Calibri" w:hAnsi="Calibri" w:cs="Calibri"/>
        </w:rPr>
      </w:pPr>
      <w:r w:rsidRPr="00CF086C">
        <w:rPr>
          <w:rFonts w:ascii="Calibri" w:hAnsi="Calibri" w:cs="Calibri"/>
        </w:rPr>
        <w:lastRenderedPageBreak/>
        <w:t>Frank Stenton’s foundational work on Anglo-Saxon England identified the persistence of Scandinavian personal names, legal customs, and social structures in the Danelaw as evidence of communities that maintained their distinctiveness over generations.</w:t>
      </w:r>
      <w:r w:rsidRPr="00CF086C">
        <w:rPr>
          <w:rStyle w:val="FootnoteReference"/>
          <w:rFonts w:ascii="Calibri" w:hAnsi="Calibri" w:cs="Calibri"/>
        </w:rPr>
        <w:footnoteReference w:id="20"/>
      </w:r>
      <w:r w:rsidRPr="00CF086C">
        <w:rPr>
          <w:rFonts w:ascii="Calibri" w:hAnsi="Calibri" w:cs="Calibri"/>
        </w:rPr>
        <w:t xml:space="preserve"> The prevalence of Scandinavian-derived terms in the institutional vocabulary of the Five Boroughs — the </w:t>
      </w:r>
      <w:r w:rsidRPr="00CF086C">
        <w:rPr>
          <w:rFonts w:ascii="Calibri" w:hAnsi="Calibri" w:cs="Calibri"/>
          <w:i/>
          <w:iCs/>
        </w:rPr>
        <w:t>lawmen</w:t>
      </w:r>
      <w:r w:rsidRPr="00CF086C">
        <w:rPr>
          <w:rFonts w:ascii="Calibri" w:hAnsi="Calibri" w:cs="Calibri"/>
        </w:rPr>
        <w:t xml:space="preserve"> of Lincoln, the </w:t>
      </w:r>
      <w:r w:rsidRPr="00CF086C">
        <w:rPr>
          <w:rFonts w:ascii="Calibri" w:hAnsi="Calibri" w:cs="Calibri"/>
          <w:i/>
          <w:iCs/>
        </w:rPr>
        <w:t>holds</w:t>
      </w:r>
      <w:r w:rsidRPr="00CF086C">
        <w:rPr>
          <w:rFonts w:ascii="Calibri" w:hAnsi="Calibri" w:cs="Calibri"/>
        </w:rPr>
        <w:t xml:space="preserve"> and </w:t>
      </w:r>
      <w:proofErr w:type="spellStart"/>
      <w:r w:rsidRPr="00CF086C">
        <w:rPr>
          <w:rFonts w:ascii="Calibri" w:hAnsi="Calibri" w:cs="Calibri"/>
          <w:i/>
          <w:iCs/>
        </w:rPr>
        <w:t>dreng</w:t>
      </w:r>
      <w:proofErr w:type="spellEnd"/>
      <w:r w:rsidRPr="00CF086C">
        <w:rPr>
          <w:rFonts w:ascii="Calibri" w:hAnsi="Calibri" w:cs="Calibri"/>
        </w:rPr>
        <w:t xml:space="preserve"> of northern England — indicates forms of social organisation that marked these communities as different from their West Saxon counterparts.</w:t>
      </w:r>
      <w:r w:rsidRPr="00CF086C">
        <w:rPr>
          <w:rStyle w:val="FootnoteReference"/>
          <w:rFonts w:ascii="Calibri" w:hAnsi="Calibri" w:cs="Calibri"/>
        </w:rPr>
        <w:footnoteReference w:id="21"/>
      </w:r>
      <w:r w:rsidRPr="00CF086C">
        <w:rPr>
          <w:rFonts w:ascii="Calibri" w:hAnsi="Calibri" w:cs="Calibri"/>
        </w:rPr>
        <w:t xml:space="preserve"> These were not the products of elite textual manipulation; they were the inherited structures of communities whose Scandinavian heritage shaped their daily institutional life.</w:t>
      </w:r>
    </w:p>
    <w:p w14:paraId="229617EF" w14:textId="77777777" w:rsidR="008F1C22" w:rsidRPr="00CF086C" w:rsidRDefault="008F1C22" w:rsidP="008F1C22">
      <w:pPr>
        <w:jc w:val="both"/>
        <w:rPr>
          <w:rFonts w:ascii="Calibri" w:hAnsi="Calibri" w:cs="Calibri"/>
        </w:rPr>
      </w:pPr>
    </w:p>
    <w:p w14:paraId="5EC9D895" w14:textId="77777777" w:rsidR="005729C0" w:rsidRDefault="00000000" w:rsidP="004928A6">
      <w:pPr>
        <w:ind w:firstLine="720"/>
        <w:jc w:val="both"/>
        <w:rPr>
          <w:rFonts w:ascii="Calibri" w:hAnsi="Calibri" w:cs="Calibri"/>
        </w:rPr>
      </w:pPr>
      <w:r w:rsidRPr="00CF086C">
        <w:rPr>
          <w:rFonts w:ascii="Calibri" w:hAnsi="Calibri" w:cs="Calibri"/>
        </w:rPr>
        <w:t>Dawn Hadley’s more recent work complicates Stenton’s picture in important ways, arguing that the relationship between Scandinavian-derived institutions and ethnic identity is less straightforward than Stenton assumed.</w:t>
      </w:r>
      <w:r w:rsidRPr="00CF086C">
        <w:rPr>
          <w:rStyle w:val="FootnoteReference"/>
          <w:rFonts w:ascii="Calibri" w:hAnsi="Calibri" w:cs="Calibri"/>
        </w:rPr>
        <w:footnoteReference w:id="22"/>
      </w:r>
      <w:r w:rsidRPr="00CF086C">
        <w:rPr>
          <w:rFonts w:ascii="Calibri" w:hAnsi="Calibri" w:cs="Calibri"/>
        </w:rPr>
        <w:t xml:space="preserve"> Names, legal terms, and social structures could be adopted across ethnic lines, and their presence does not necessarily indicate continuous Scandinavian ethnic consciousness. This is a valid qualification. But it does not support Cross’s position either. If Scandinavian-derived institutions could be adopted by non-Scandinavian populations, this suggests a form of cultural distinctiveness that operated at the level of practice rather than proclamation — exactly the kind of identity that Cross’s genre-based methodology would miss.</w:t>
      </w:r>
    </w:p>
    <w:p w14:paraId="0EB666EE" w14:textId="77777777" w:rsidR="008F1C22" w:rsidRPr="00CF086C" w:rsidRDefault="008F1C22" w:rsidP="004928A6">
      <w:pPr>
        <w:ind w:firstLine="720"/>
        <w:jc w:val="both"/>
        <w:rPr>
          <w:rFonts w:ascii="Calibri" w:hAnsi="Calibri" w:cs="Calibri"/>
        </w:rPr>
      </w:pPr>
    </w:p>
    <w:p w14:paraId="0086C54B" w14:textId="77777777" w:rsidR="005729C0" w:rsidRDefault="00000000" w:rsidP="004928A6">
      <w:pPr>
        <w:ind w:firstLine="720"/>
        <w:jc w:val="both"/>
        <w:rPr>
          <w:rFonts w:ascii="Calibri" w:hAnsi="Calibri" w:cs="Calibri"/>
        </w:rPr>
      </w:pPr>
      <w:r w:rsidRPr="00CF086C">
        <w:rPr>
          <w:rFonts w:ascii="Calibri" w:hAnsi="Calibri" w:cs="Calibri"/>
        </w:rPr>
        <w:t xml:space="preserve">The charter evidence reinforces this picture. The territorial designations used in English administrative documents — references to the </w:t>
      </w:r>
      <w:r w:rsidRPr="00CF086C">
        <w:rPr>
          <w:rFonts w:ascii="Calibri" w:hAnsi="Calibri" w:cs="Calibri"/>
          <w:i/>
          <w:iCs/>
        </w:rPr>
        <w:t xml:space="preserve">Dena </w:t>
      </w:r>
      <w:proofErr w:type="spellStart"/>
      <w:r w:rsidRPr="00CF086C">
        <w:rPr>
          <w:rFonts w:ascii="Calibri" w:hAnsi="Calibri" w:cs="Calibri"/>
          <w:i/>
          <w:iCs/>
        </w:rPr>
        <w:t>laga</w:t>
      </w:r>
      <w:proofErr w:type="spellEnd"/>
      <w:r w:rsidRPr="00CF086C">
        <w:rPr>
          <w:rFonts w:ascii="Calibri" w:hAnsi="Calibri" w:cs="Calibri"/>
        </w:rPr>
        <w:t xml:space="preserve"> as a distinct legal region, the use of Scandinavian-derived terminology in local governance, the recognition of different customs for different parts of the kingdom — appear in contexts where they serve no obvious propagandistic purpose. They are functional descriptions of how England was </w:t>
      </w:r>
      <w:proofErr w:type="gramStart"/>
      <w:r w:rsidRPr="00CF086C">
        <w:rPr>
          <w:rFonts w:ascii="Calibri" w:hAnsi="Calibri" w:cs="Calibri"/>
        </w:rPr>
        <w:t>actually governed</w:t>
      </w:r>
      <w:proofErr w:type="gramEnd"/>
      <w:r w:rsidRPr="00CF086C">
        <w:rPr>
          <w:rFonts w:ascii="Calibri" w:hAnsi="Calibri" w:cs="Calibri"/>
        </w:rPr>
        <w:t>, and their persistence across decades of West Saxon rule suggests that the distinctions they recorded were rooted in lived institutional reality, not in royal narrative strategy.</w:t>
      </w:r>
    </w:p>
    <w:p w14:paraId="78571BE7" w14:textId="77777777" w:rsidR="008F1C22" w:rsidRPr="00CF086C" w:rsidRDefault="008F1C22" w:rsidP="004928A6">
      <w:pPr>
        <w:ind w:firstLine="720"/>
        <w:jc w:val="both"/>
        <w:rPr>
          <w:rFonts w:ascii="Calibri" w:hAnsi="Calibri" w:cs="Calibri"/>
        </w:rPr>
      </w:pPr>
    </w:p>
    <w:p w14:paraId="4D4B76B5" w14:textId="77777777" w:rsidR="005729C0" w:rsidRPr="00CF086C" w:rsidRDefault="00000000" w:rsidP="004928A6">
      <w:pPr>
        <w:ind w:firstLine="720"/>
        <w:jc w:val="both"/>
        <w:rPr>
          <w:rFonts w:ascii="Calibri" w:hAnsi="Calibri" w:cs="Calibri"/>
        </w:rPr>
      </w:pPr>
      <w:r w:rsidRPr="00CF086C">
        <w:rPr>
          <w:rFonts w:ascii="Calibri" w:hAnsi="Calibri" w:cs="Calibri"/>
        </w:rPr>
        <w:t>The point is not that the Danelaw had a hidden literary tradition waiting to be discovered. The point is that identity can be maintained and expressed through forms other than the Latin hagiographies and dynastic histories that Cross examines. Legal custom, institutional practice, and territorial designation were the media through which Danelaw communities articulated their distinctiveness. These forms were less textually visible than Norman identity narratives, but they were no less real as markers of collective belonging and difference.</w:t>
      </w:r>
    </w:p>
    <w:p w14:paraId="6315DAE4" w14:textId="77777777" w:rsidR="005729C0" w:rsidRPr="00CF086C" w:rsidRDefault="00000000" w:rsidP="008F1C22">
      <w:pPr>
        <w:spacing w:before="360" w:after="120"/>
        <w:rPr>
          <w:rFonts w:ascii="Calibri" w:hAnsi="Calibri" w:cs="Calibri"/>
        </w:rPr>
      </w:pPr>
      <w:r w:rsidRPr="00CF086C">
        <w:rPr>
          <w:rFonts w:ascii="Calibri" w:hAnsi="Calibri" w:cs="Calibri"/>
          <w:b/>
          <w:bCs/>
        </w:rPr>
        <w:t>The Limits of Elite Manipulation</w:t>
      </w:r>
    </w:p>
    <w:p w14:paraId="587B39AA" w14:textId="22049FB2" w:rsidR="005729C0" w:rsidRDefault="00000000" w:rsidP="004928A6">
      <w:pPr>
        <w:jc w:val="both"/>
        <w:rPr>
          <w:rFonts w:ascii="Calibri" w:hAnsi="Calibri" w:cs="Calibri"/>
        </w:rPr>
      </w:pPr>
      <w:r w:rsidRPr="00CF086C">
        <w:rPr>
          <w:rFonts w:ascii="Calibri" w:hAnsi="Calibri" w:cs="Calibri"/>
        </w:rPr>
        <w:t>If Danelaw communities did maintain a form of ethnic or cultural identity</w:t>
      </w:r>
      <w:r w:rsidR="008F1C22">
        <w:rPr>
          <w:rFonts w:ascii="Calibri" w:hAnsi="Calibri" w:cs="Calibri"/>
        </w:rPr>
        <w:t>,</w:t>
      </w:r>
      <w:r w:rsidRPr="00CF086C">
        <w:rPr>
          <w:rFonts w:ascii="Calibri" w:hAnsi="Calibri" w:cs="Calibri"/>
        </w:rPr>
        <w:t xml:space="preserve"> expressed through legal custom and institutional practice rather than through literary production</w:t>
      </w:r>
      <w:r w:rsidR="008F1C22">
        <w:rPr>
          <w:rFonts w:ascii="Calibri" w:hAnsi="Calibri" w:cs="Calibri"/>
        </w:rPr>
        <w:t>,</w:t>
      </w:r>
      <w:r w:rsidRPr="00CF086C">
        <w:rPr>
          <w:rFonts w:ascii="Calibri" w:hAnsi="Calibri" w:cs="Calibri"/>
        </w:rPr>
        <w:t xml:space="preserve"> then the divergence between England and Normandy appears in a different light. Cross presents this divergence as evidence that elite manipulation was the decisive factor in identity formation: </w:t>
      </w:r>
      <w:r w:rsidRPr="00CF086C">
        <w:rPr>
          <w:rFonts w:ascii="Calibri" w:hAnsi="Calibri" w:cs="Calibri"/>
        </w:rPr>
        <w:lastRenderedPageBreak/>
        <w:t>Norman dukes invested in ethnic narratives and produced a coherent Norman identity; West Saxon kings did not, and consequently no Danelaw ethnic consciousness emerged.</w:t>
      </w:r>
      <w:r w:rsidRPr="00CF086C">
        <w:rPr>
          <w:rStyle w:val="FootnoteReference"/>
          <w:rFonts w:ascii="Calibri" w:hAnsi="Calibri" w:cs="Calibri"/>
        </w:rPr>
        <w:footnoteReference w:id="23"/>
      </w:r>
      <w:r w:rsidRPr="00CF086C">
        <w:rPr>
          <w:rFonts w:ascii="Calibri" w:hAnsi="Calibri" w:cs="Calibri"/>
        </w:rPr>
        <w:t xml:space="preserve"> But if identity was being expressed through non-literary channels, the divergence is less dramatic than Cross claims, and her model of top-down elite entrepreneurship explains correspondingly less.</w:t>
      </w:r>
    </w:p>
    <w:p w14:paraId="142D6504" w14:textId="77777777" w:rsidR="008F1C22" w:rsidRPr="00CF086C" w:rsidRDefault="008F1C22" w:rsidP="004928A6">
      <w:pPr>
        <w:jc w:val="both"/>
        <w:rPr>
          <w:rFonts w:ascii="Calibri" w:hAnsi="Calibri" w:cs="Calibri"/>
        </w:rPr>
      </w:pPr>
    </w:p>
    <w:p w14:paraId="0A600AA0" w14:textId="77777777" w:rsidR="005729C0" w:rsidRDefault="00000000" w:rsidP="004928A6">
      <w:pPr>
        <w:ind w:firstLine="720"/>
        <w:jc w:val="both"/>
        <w:rPr>
          <w:rFonts w:ascii="Calibri" w:hAnsi="Calibri" w:cs="Calibri"/>
        </w:rPr>
      </w:pPr>
      <w:r w:rsidRPr="00CF086C">
        <w:rPr>
          <w:rFonts w:ascii="Calibri" w:hAnsi="Calibri" w:cs="Calibri"/>
        </w:rPr>
        <w:t>This is not to dismiss Brubaker’s framework or its application to the early medieval period. The concept of ethnicity as relational and contingent, rather than primordial and fixed, remains a valuable corrective to older essentialist approaches. Cross’s demonstration of how Norman identity was actively constructed through textual production is a genuine contribution to the field. The difficulty is that she applies the framework too narrowly, equating the absence of certain textual genres with the absence of identity itself. Brubaker’s own account is broader than Cross’s application of it: he argues that ethnicity operates through ‘everyday cognitive frames’ and ‘practical categories’ as much as through organised political projects.</w:t>
      </w:r>
      <w:r w:rsidRPr="00CF086C">
        <w:rPr>
          <w:rStyle w:val="FootnoteReference"/>
          <w:rFonts w:ascii="Calibri" w:hAnsi="Calibri" w:cs="Calibri"/>
        </w:rPr>
        <w:footnoteReference w:id="24"/>
      </w:r>
      <w:r w:rsidRPr="00CF086C">
        <w:rPr>
          <w:rFonts w:ascii="Calibri" w:hAnsi="Calibri" w:cs="Calibri"/>
        </w:rPr>
        <w:t xml:space="preserve"> If this is taken seriously, then the legal customs and institutional structures of the Danelaw are precisely the kinds of ‘practical categories’ through which ethnic distinctiveness could be maintained without elite literary sponsorship.</w:t>
      </w:r>
    </w:p>
    <w:p w14:paraId="1F5FBB2D" w14:textId="77777777" w:rsidR="008F1C22" w:rsidRPr="00CF086C" w:rsidRDefault="008F1C22" w:rsidP="004928A6">
      <w:pPr>
        <w:ind w:firstLine="720"/>
        <w:jc w:val="both"/>
        <w:rPr>
          <w:rFonts w:ascii="Calibri" w:hAnsi="Calibri" w:cs="Calibri"/>
        </w:rPr>
      </w:pPr>
    </w:p>
    <w:p w14:paraId="218443C4" w14:textId="77777777" w:rsidR="005729C0" w:rsidRDefault="00000000" w:rsidP="004928A6">
      <w:pPr>
        <w:ind w:firstLine="720"/>
        <w:jc w:val="both"/>
        <w:rPr>
          <w:rFonts w:ascii="Calibri" w:hAnsi="Calibri" w:cs="Calibri"/>
        </w:rPr>
      </w:pPr>
      <w:r w:rsidRPr="00CF086C">
        <w:rPr>
          <w:rFonts w:ascii="Calibri" w:hAnsi="Calibri" w:cs="Calibri"/>
        </w:rPr>
        <w:t>Cross’s model also faces a methodological difficulty when applied to the English side of the comparison. Because the surviving sources from the Danelaw were largely produced by West Saxon or ecclesiastical authors, the evidence for Danelaw self-understanding is inevitably mediated. Cross reads this mediation as evidence that any ethnic content in these sources reflects the priorities of their producers, not the self-understanding of Danelaw communities. But this argument risks circularity: if the only evidence that would count as authentic Danelaw identity is unmediated Danelaw self-expression, and if no such expression survives, then the absence of evidence becomes evidence of absence. A more cautious approach would acknowledge that the surviving sources may imperfectly reflect genuine Danelaw distinctiveness, even though they cannot give us direct access to Danelaw self-consciousness.</w:t>
      </w:r>
    </w:p>
    <w:p w14:paraId="2C5A40DD" w14:textId="77777777" w:rsidR="008F1C22" w:rsidRPr="00CF086C" w:rsidRDefault="008F1C22" w:rsidP="004928A6">
      <w:pPr>
        <w:ind w:firstLine="720"/>
        <w:jc w:val="both"/>
        <w:rPr>
          <w:rFonts w:ascii="Calibri" w:hAnsi="Calibri" w:cs="Calibri"/>
        </w:rPr>
      </w:pPr>
    </w:p>
    <w:p w14:paraId="6A286D0C" w14:textId="77777777" w:rsidR="005729C0" w:rsidRDefault="00000000" w:rsidP="004928A6">
      <w:pPr>
        <w:ind w:firstLine="720"/>
        <w:jc w:val="both"/>
        <w:rPr>
          <w:rFonts w:ascii="Calibri" w:hAnsi="Calibri" w:cs="Calibri"/>
        </w:rPr>
      </w:pPr>
      <w:r w:rsidRPr="00CF086C">
        <w:rPr>
          <w:rFonts w:ascii="Calibri" w:hAnsi="Calibri" w:cs="Calibri"/>
        </w:rPr>
        <w:t>Hugh Thomas’s study of English and Norman ethnic relations after 1066 offers a useful counterpoint. Thomas demonstrates that ethnic identity could persist and evolve long after the political conditions that originally produced it had changed, operating through social practice, legal tradition, and cultural memory rather than through sustained elite investment.</w:t>
      </w:r>
      <w:r w:rsidRPr="00CF086C">
        <w:rPr>
          <w:rStyle w:val="FootnoteReference"/>
          <w:rFonts w:ascii="Calibri" w:hAnsi="Calibri" w:cs="Calibri"/>
        </w:rPr>
        <w:footnoteReference w:id="25"/>
      </w:r>
      <w:r w:rsidRPr="00CF086C">
        <w:rPr>
          <w:rFonts w:ascii="Calibri" w:hAnsi="Calibri" w:cs="Calibri"/>
        </w:rPr>
        <w:t xml:space="preserve"> If this was true of English-Norman relations in the twelfth century, it is at least plausible that something similar was true of Danelaw communities in the eleventh: that identity persisted in the customs and institutional habits of daily life, even when no elite sponsor was actively promoting it in writing.</w:t>
      </w:r>
    </w:p>
    <w:p w14:paraId="7F2FF222" w14:textId="77777777" w:rsidR="008F1C22" w:rsidRPr="00CF086C" w:rsidRDefault="008F1C22" w:rsidP="004928A6">
      <w:pPr>
        <w:ind w:firstLine="720"/>
        <w:jc w:val="both"/>
        <w:rPr>
          <w:rFonts w:ascii="Calibri" w:hAnsi="Calibri" w:cs="Calibri"/>
        </w:rPr>
      </w:pPr>
    </w:p>
    <w:p w14:paraId="2BEC6411" w14:textId="5231B890" w:rsidR="005729C0" w:rsidRPr="00CF086C" w:rsidRDefault="00000000" w:rsidP="004928A6">
      <w:pPr>
        <w:ind w:firstLine="720"/>
        <w:jc w:val="both"/>
        <w:rPr>
          <w:rFonts w:ascii="Calibri" w:hAnsi="Calibri" w:cs="Calibri"/>
        </w:rPr>
      </w:pPr>
      <w:r w:rsidRPr="00CF086C">
        <w:rPr>
          <w:rFonts w:ascii="Calibri" w:hAnsi="Calibri" w:cs="Calibri"/>
        </w:rPr>
        <w:t xml:space="preserve">There is a further dimension to this problem. Cross’s comparative framework implicitly treats the Norman case as the norm and the Danelaw as the deviation. Norman identity is visible </w:t>
      </w:r>
      <w:r w:rsidRPr="00CF086C">
        <w:rPr>
          <w:rFonts w:ascii="Calibri" w:hAnsi="Calibri" w:cs="Calibri"/>
        </w:rPr>
        <w:lastRenderedPageBreak/>
        <w:t>because it was expressed in the genres Cross examines; Danelaw identity is invisible because it was not. But this asymmetry may say more about the genres than about the identities. Latin historiography and hagiography were distinctive products of specific institutional and political conditions</w:t>
      </w:r>
      <w:r w:rsidR="00855A5E">
        <w:rPr>
          <w:rFonts w:ascii="Calibri" w:hAnsi="Calibri" w:cs="Calibri"/>
        </w:rPr>
        <w:t>;</w:t>
      </w:r>
      <w:r w:rsidRPr="00CF086C">
        <w:rPr>
          <w:rFonts w:ascii="Calibri" w:hAnsi="Calibri" w:cs="Calibri"/>
        </w:rPr>
        <w:t xml:space="preserve"> conditions that obtained in Normandy but not in the Danelaw. To take the Norman case as the standard against which other post-Viking identities are measured is to privilege one form of identity expression over all others, and to risk misreading absence in one register as absence altogether.</w:t>
      </w:r>
    </w:p>
    <w:p w14:paraId="70407701" w14:textId="77777777" w:rsidR="008F1C22" w:rsidRDefault="008F1C22" w:rsidP="004928A6">
      <w:pPr>
        <w:jc w:val="both"/>
        <w:rPr>
          <w:rFonts w:ascii="Calibri" w:hAnsi="Calibri" w:cs="Calibri"/>
          <w:b/>
          <w:bCs/>
        </w:rPr>
      </w:pPr>
    </w:p>
    <w:p w14:paraId="66A10270" w14:textId="77777777" w:rsidR="008F1C22" w:rsidRDefault="008F1C22" w:rsidP="004928A6">
      <w:pPr>
        <w:jc w:val="both"/>
        <w:rPr>
          <w:rFonts w:ascii="Calibri" w:hAnsi="Calibri" w:cs="Calibri"/>
          <w:b/>
          <w:bCs/>
        </w:rPr>
      </w:pPr>
    </w:p>
    <w:p w14:paraId="525B551F" w14:textId="7422659C" w:rsidR="005729C0" w:rsidRDefault="00000000" w:rsidP="004928A6">
      <w:pPr>
        <w:jc w:val="both"/>
        <w:rPr>
          <w:rFonts w:ascii="Calibri" w:hAnsi="Calibri" w:cs="Calibri"/>
        </w:rPr>
      </w:pPr>
      <w:r w:rsidRPr="00CF086C">
        <w:rPr>
          <w:rFonts w:ascii="Calibri" w:hAnsi="Calibri" w:cs="Calibri"/>
        </w:rPr>
        <w:t xml:space="preserve">Katherine Cross’s </w:t>
      </w:r>
      <w:r w:rsidRPr="00CF086C">
        <w:rPr>
          <w:rFonts w:ascii="Calibri" w:hAnsi="Calibri" w:cs="Calibri"/>
          <w:i/>
          <w:iCs/>
        </w:rPr>
        <w:t>Heirs of the Vikings</w:t>
      </w:r>
      <w:r w:rsidRPr="00CF086C">
        <w:rPr>
          <w:rFonts w:ascii="Calibri" w:hAnsi="Calibri" w:cs="Calibri"/>
        </w:rPr>
        <w:t xml:space="preserve"> is a valuable and carefully argued book. Its treatment of Norman identity construction is sophisticated and convincing, and its application of Brubaker’s theoretical framework to the early medieval period opens productive avenues for future research. The book deserves the scholarly attention it has received, and its central insight</w:t>
      </w:r>
      <w:r w:rsidR="00855A5E">
        <w:rPr>
          <w:rFonts w:ascii="Calibri" w:hAnsi="Calibri" w:cs="Calibri"/>
        </w:rPr>
        <w:t xml:space="preserve">, namely </w:t>
      </w:r>
      <w:r w:rsidR="00855A5E" w:rsidRPr="00CF086C">
        <w:rPr>
          <w:rFonts w:ascii="Calibri" w:hAnsi="Calibri" w:cs="Calibri"/>
        </w:rPr>
        <w:t>that</w:t>
      </w:r>
      <w:r w:rsidRPr="00CF086C">
        <w:rPr>
          <w:rFonts w:ascii="Calibri" w:hAnsi="Calibri" w:cs="Calibri"/>
        </w:rPr>
        <w:t xml:space="preserve"> ethnic identities in the Viking Age were constructed and contingent, not primordial and fixed</w:t>
      </w:r>
      <w:r w:rsidR="00855A5E">
        <w:rPr>
          <w:rFonts w:ascii="Calibri" w:hAnsi="Calibri" w:cs="Calibri"/>
        </w:rPr>
        <w:t>,</w:t>
      </w:r>
      <w:r w:rsidRPr="00CF086C">
        <w:rPr>
          <w:rFonts w:ascii="Calibri" w:hAnsi="Calibri" w:cs="Calibri"/>
        </w:rPr>
        <w:t xml:space="preserve"> represents an important contribution to the field.</w:t>
      </w:r>
    </w:p>
    <w:p w14:paraId="4DF7A024" w14:textId="77777777" w:rsidR="008F1C22" w:rsidRPr="00CF086C" w:rsidRDefault="008F1C22" w:rsidP="004928A6">
      <w:pPr>
        <w:jc w:val="both"/>
        <w:rPr>
          <w:rFonts w:ascii="Calibri" w:hAnsi="Calibri" w:cs="Calibri"/>
        </w:rPr>
      </w:pPr>
    </w:p>
    <w:p w14:paraId="14DD735C" w14:textId="09C95F75" w:rsidR="005729C0" w:rsidRDefault="00000000" w:rsidP="004928A6">
      <w:pPr>
        <w:ind w:firstLine="720"/>
        <w:jc w:val="both"/>
        <w:rPr>
          <w:rFonts w:ascii="Calibri" w:hAnsi="Calibri" w:cs="Calibri"/>
        </w:rPr>
      </w:pPr>
      <w:r w:rsidRPr="00CF086C">
        <w:rPr>
          <w:rFonts w:ascii="Calibri" w:hAnsi="Calibri" w:cs="Calibri"/>
        </w:rPr>
        <w:t xml:space="preserve">But the comparison that drives the argument is fragile. Normandy and the Danelaw were not comparable situations that happened to produce different outcomes. They were fundamentally different political, institutional, and cultural environments, and the forms of identity they produced reflected those differences. The Norman dukes needed a literary ethnic narrative because they were building a new polity in a Frankish world that had no place for them. Danelaw communities did not produce equivalent narratives, not because they lacked ethnic identity, but because their identity was expressed through different means </w:t>
      </w:r>
      <w:r w:rsidR="00855A5E">
        <w:rPr>
          <w:rFonts w:ascii="Calibri" w:hAnsi="Calibri" w:cs="Calibri"/>
        </w:rPr>
        <w:t>-</w:t>
      </w:r>
      <w:r w:rsidRPr="00CF086C">
        <w:rPr>
          <w:rFonts w:ascii="Calibri" w:hAnsi="Calibri" w:cs="Calibri"/>
        </w:rPr>
        <w:t xml:space="preserve"> through law, custom, and institutional practice rather than through historiography and hagiography.</w:t>
      </w:r>
    </w:p>
    <w:p w14:paraId="11E408C4" w14:textId="77777777" w:rsidR="008F1C22" w:rsidRPr="00CF086C" w:rsidRDefault="008F1C22" w:rsidP="004928A6">
      <w:pPr>
        <w:ind w:firstLine="720"/>
        <w:jc w:val="both"/>
        <w:rPr>
          <w:rFonts w:ascii="Calibri" w:hAnsi="Calibri" w:cs="Calibri"/>
        </w:rPr>
      </w:pPr>
    </w:p>
    <w:p w14:paraId="0E9F55E2" w14:textId="77777777" w:rsidR="005729C0" w:rsidRDefault="00000000" w:rsidP="004928A6">
      <w:pPr>
        <w:ind w:firstLine="720"/>
        <w:jc w:val="both"/>
        <w:rPr>
          <w:rFonts w:ascii="Calibri" w:hAnsi="Calibri" w:cs="Calibri"/>
        </w:rPr>
      </w:pPr>
      <w:r w:rsidRPr="00CF086C">
        <w:rPr>
          <w:rFonts w:ascii="Calibri" w:hAnsi="Calibri" w:cs="Calibri"/>
        </w:rPr>
        <w:t>The broader implication is that Cross’s top-down model of elite manipulation, while illuminating for the Norman case, cannot be extended to the Danelaw without significant qualification. Identity is not only what elites write about; it is also what communities practise. To understand how Viking Age identities were formed and maintained, scholars need to look beyond the genres that the Normans favoured and attend to the full range of evidence through which post-settlement communities expressed their distinctiveness. This means taking legal and institutional evidence seriously as markers of collective identity, not treating them as merely administrative background to the ‘real’ identity work happening in literary texts.</w:t>
      </w:r>
    </w:p>
    <w:p w14:paraId="17276A36" w14:textId="77777777" w:rsidR="008F1C22" w:rsidRPr="00CF086C" w:rsidRDefault="008F1C22" w:rsidP="004928A6">
      <w:pPr>
        <w:ind w:firstLine="720"/>
        <w:jc w:val="both"/>
        <w:rPr>
          <w:rFonts w:ascii="Calibri" w:hAnsi="Calibri" w:cs="Calibri"/>
        </w:rPr>
      </w:pPr>
    </w:p>
    <w:p w14:paraId="11AE8131" w14:textId="4C48A65D" w:rsidR="005729C0" w:rsidRPr="00CF086C" w:rsidRDefault="00000000" w:rsidP="004928A6">
      <w:pPr>
        <w:ind w:firstLine="720"/>
        <w:jc w:val="both"/>
        <w:rPr>
          <w:rFonts w:ascii="Calibri" w:hAnsi="Calibri" w:cs="Calibri"/>
        </w:rPr>
      </w:pPr>
      <w:r w:rsidRPr="00CF086C">
        <w:rPr>
          <w:rFonts w:ascii="Calibri" w:hAnsi="Calibri" w:cs="Calibri"/>
        </w:rPr>
        <w:t xml:space="preserve">None of this diminishes the achievement of Cross’s analysis of Norman identity. Her reading of Dudo, of the genealogical traditions, and of the hagiographic and charter evidence from Normandy </w:t>
      </w:r>
      <w:r w:rsidR="00855A5E">
        <w:rPr>
          <w:rFonts w:ascii="Calibri" w:hAnsi="Calibri" w:cs="Calibri"/>
        </w:rPr>
        <w:t>is</w:t>
      </w:r>
      <w:r w:rsidRPr="00CF086C">
        <w:rPr>
          <w:rFonts w:ascii="Calibri" w:hAnsi="Calibri" w:cs="Calibri"/>
        </w:rPr>
        <w:t xml:space="preserve"> </w:t>
      </w:r>
      <w:r w:rsidR="00855A5E">
        <w:rPr>
          <w:rFonts w:ascii="Calibri" w:hAnsi="Calibri" w:cs="Calibri"/>
        </w:rPr>
        <w:t>a</w:t>
      </w:r>
      <w:r w:rsidRPr="00CF086C">
        <w:rPr>
          <w:rFonts w:ascii="Calibri" w:hAnsi="Calibri" w:cs="Calibri"/>
        </w:rPr>
        <w:t>s</w:t>
      </w:r>
      <w:r w:rsidR="00855A5E">
        <w:rPr>
          <w:rFonts w:ascii="Calibri" w:hAnsi="Calibri" w:cs="Calibri"/>
        </w:rPr>
        <w:t xml:space="preserve"> a</w:t>
      </w:r>
      <w:r w:rsidRPr="00CF086C">
        <w:rPr>
          <w:rFonts w:ascii="Calibri" w:hAnsi="Calibri" w:cs="Calibri"/>
        </w:rPr>
        <w:t xml:space="preserve"> careful and persuasive treatment</w:t>
      </w:r>
      <w:r w:rsidR="00855A5E">
        <w:rPr>
          <w:rFonts w:ascii="Calibri" w:hAnsi="Calibri" w:cs="Calibri"/>
        </w:rPr>
        <w:t xml:space="preserve"> of an ongoing debate among scholars</w:t>
      </w:r>
      <w:r w:rsidRPr="00CF086C">
        <w:rPr>
          <w:rFonts w:ascii="Calibri" w:hAnsi="Calibri" w:cs="Calibri"/>
        </w:rPr>
        <w:t xml:space="preserve">. What it does suggest is that the comparative frame through which she presents that analysis needs to be handled with greater caution. Normandy and the Danelaw can illuminate each other, but only if the fundamental differences between them are treated as explanatory </w:t>
      </w:r>
      <w:r w:rsidR="00855A5E" w:rsidRPr="00CF086C">
        <w:rPr>
          <w:rFonts w:ascii="Calibri" w:hAnsi="Calibri" w:cs="Calibri"/>
        </w:rPr>
        <w:t>factors, not</w:t>
      </w:r>
      <w:r w:rsidRPr="00CF086C">
        <w:rPr>
          <w:rFonts w:ascii="Calibri" w:hAnsi="Calibri" w:cs="Calibri"/>
        </w:rPr>
        <w:t xml:space="preserve"> as incidental variations to be set aside in pursuit of a unified model. The absence of one form of identity is not the absence of identity itself.</w:t>
      </w:r>
    </w:p>
    <w:p w14:paraId="6E9EF037" w14:textId="77777777" w:rsidR="005729C0" w:rsidRPr="00CF086C" w:rsidRDefault="00000000" w:rsidP="004928A6">
      <w:pPr>
        <w:rPr>
          <w:rFonts w:ascii="Calibri" w:hAnsi="Calibri" w:cs="Calibri"/>
        </w:rPr>
      </w:pPr>
      <w:r w:rsidRPr="00CF086C">
        <w:rPr>
          <w:rFonts w:ascii="Calibri" w:hAnsi="Calibri" w:cs="Calibri"/>
        </w:rPr>
        <w:br w:type="page"/>
      </w:r>
    </w:p>
    <w:p w14:paraId="62726FC1" w14:textId="77777777" w:rsidR="005729C0" w:rsidRPr="00CF086C" w:rsidRDefault="00000000" w:rsidP="004928A6">
      <w:pPr>
        <w:spacing w:before="360" w:after="120"/>
        <w:jc w:val="center"/>
        <w:rPr>
          <w:rFonts w:ascii="Calibri" w:hAnsi="Calibri" w:cs="Calibri"/>
        </w:rPr>
      </w:pPr>
      <w:r w:rsidRPr="00CF086C">
        <w:rPr>
          <w:rFonts w:ascii="Calibri" w:hAnsi="Calibri" w:cs="Calibri"/>
          <w:b/>
          <w:bCs/>
        </w:rPr>
        <w:lastRenderedPageBreak/>
        <w:t>Bibliography</w:t>
      </w:r>
    </w:p>
    <w:p w14:paraId="5B363007" w14:textId="77777777" w:rsidR="005729C0" w:rsidRPr="00CF086C" w:rsidRDefault="00000000" w:rsidP="004928A6">
      <w:pPr>
        <w:ind w:left="720" w:hanging="720"/>
        <w:rPr>
          <w:rFonts w:ascii="Calibri" w:hAnsi="Calibri" w:cs="Calibri"/>
        </w:rPr>
      </w:pPr>
      <w:r w:rsidRPr="00CF086C">
        <w:rPr>
          <w:rFonts w:ascii="Calibri" w:hAnsi="Calibri" w:cs="Calibri"/>
        </w:rPr>
        <w:t xml:space="preserve">Abrams, Lesley, ‘Early Normandy’, </w:t>
      </w:r>
      <w:r w:rsidRPr="00CF086C">
        <w:rPr>
          <w:rFonts w:ascii="Calibri" w:hAnsi="Calibri" w:cs="Calibri"/>
          <w:i/>
          <w:iCs/>
        </w:rPr>
        <w:t>Anglo-Norman Studies</w:t>
      </w:r>
      <w:r w:rsidRPr="00CF086C">
        <w:rPr>
          <w:rFonts w:ascii="Calibri" w:hAnsi="Calibri" w:cs="Calibri"/>
        </w:rPr>
        <w:t>, 35 (2013), 45–64.</w:t>
      </w:r>
    </w:p>
    <w:p w14:paraId="48DD727B" w14:textId="77777777" w:rsidR="005729C0" w:rsidRPr="00CF086C" w:rsidRDefault="00000000" w:rsidP="004928A6">
      <w:pPr>
        <w:ind w:left="720" w:hanging="720"/>
        <w:rPr>
          <w:rFonts w:ascii="Calibri" w:hAnsi="Calibri" w:cs="Calibri"/>
        </w:rPr>
      </w:pPr>
      <w:r w:rsidRPr="00CF086C">
        <w:rPr>
          <w:rFonts w:ascii="Calibri" w:hAnsi="Calibri" w:cs="Calibri"/>
        </w:rPr>
        <w:t xml:space="preserve">Bates, David, </w:t>
      </w:r>
      <w:r w:rsidRPr="00CF086C">
        <w:rPr>
          <w:rFonts w:ascii="Calibri" w:hAnsi="Calibri" w:cs="Calibri"/>
          <w:i/>
          <w:iCs/>
        </w:rPr>
        <w:t>Normandy Before 1066</w:t>
      </w:r>
      <w:r w:rsidRPr="00CF086C">
        <w:rPr>
          <w:rFonts w:ascii="Calibri" w:hAnsi="Calibri" w:cs="Calibri"/>
        </w:rPr>
        <w:t xml:space="preserve"> (London: Longman, 1982).</w:t>
      </w:r>
    </w:p>
    <w:p w14:paraId="727DAEC6" w14:textId="77777777" w:rsidR="005729C0" w:rsidRPr="00CF086C" w:rsidRDefault="00000000" w:rsidP="004928A6">
      <w:pPr>
        <w:ind w:left="720" w:hanging="720"/>
        <w:rPr>
          <w:rFonts w:ascii="Calibri" w:hAnsi="Calibri" w:cs="Calibri"/>
        </w:rPr>
      </w:pPr>
      <w:r w:rsidRPr="00CF086C">
        <w:rPr>
          <w:rFonts w:ascii="Calibri" w:hAnsi="Calibri" w:cs="Calibri"/>
        </w:rPr>
        <w:t xml:space="preserve">Brubaker, Rogers, </w:t>
      </w:r>
      <w:r w:rsidRPr="00CF086C">
        <w:rPr>
          <w:rFonts w:ascii="Calibri" w:hAnsi="Calibri" w:cs="Calibri"/>
          <w:i/>
          <w:iCs/>
        </w:rPr>
        <w:t>Ethnicity Without Groups</w:t>
      </w:r>
      <w:r w:rsidRPr="00CF086C">
        <w:rPr>
          <w:rFonts w:ascii="Calibri" w:hAnsi="Calibri" w:cs="Calibri"/>
        </w:rPr>
        <w:t xml:space="preserve"> (Cambridge, MA: Harvard University Press, 2004).</w:t>
      </w:r>
    </w:p>
    <w:p w14:paraId="5AA6D6D1" w14:textId="77777777" w:rsidR="005729C0" w:rsidRPr="00CF086C" w:rsidRDefault="00000000" w:rsidP="004928A6">
      <w:pPr>
        <w:ind w:left="720" w:hanging="720"/>
        <w:rPr>
          <w:rFonts w:ascii="Calibri" w:hAnsi="Calibri" w:cs="Calibri"/>
        </w:rPr>
      </w:pPr>
      <w:r w:rsidRPr="00CF086C">
        <w:rPr>
          <w:rFonts w:ascii="Calibri" w:hAnsi="Calibri" w:cs="Calibri"/>
        </w:rPr>
        <w:t xml:space="preserve">Cross, Katherine, </w:t>
      </w:r>
      <w:r w:rsidRPr="00CF086C">
        <w:rPr>
          <w:rFonts w:ascii="Calibri" w:hAnsi="Calibri" w:cs="Calibri"/>
          <w:i/>
          <w:iCs/>
        </w:rPr>
        <w:t>Heirs of the Vikings: History and Identity in Normandy and England, c.950–c.1015</w:t>
      </w:r>
      <w:r w:rsidRPr="00CF086C">
        <w:rPr>
          <w:rFonts w:ascii="Calibri" w:hAnsi="Calibri" w:cs="Calibri"/>
        </w:rPr>
        <w:t xml:space="preserve"> (York: York Medieval Press, 2018).</w:t>
      </w:r>
    </w:p>
    <w:p w14:paraId="4D8BF78D" w14:textId="77777777" w:rsidR="005729C0" w:rsidRPr="00CF086C" w:rsidRDefault="00000000" w:rsidP="004928A6">
      <w:pPr>
        <w:ind w:left="720" w:hanging="720"/>
        <w:rPr>
          <w:rFonts w:ascii="Calibri" w:hAnsi="Calibri" w:cs="Calibri"/>
        </w:rPr>
      </w:pPr>
      <w:r w:rsidRPr="00CF086C">
        <w:rPr>
          <w:rFonts w:ascii="Calibri" w:hAnsi="Calibri" w:cs="Calibri"/>
        </w:rPr>
        <w:t xml:space="preserve">Downham, Clare, </w:t>
      </w:r>
      <w:r w:rsidRPr="00CF086C">
        <w:rPr>
          <w:rFonts w:ascii="Calibri" w:hAnsi="Calibri" w:cs="Calibri"/>
          <w:i/>
          <w:iCs/>
        </w:rPr>
        <w:t xml:space="preserve">Viking Kings of Britain and Ireland: The Dynasty of </w:t>
      </w:r>
      <w:proofErr w:type="spellStart"/>
      <w:r w:rsidRPr="00CF086C">
        <w:rPr>
          <w:rFonts w:ascii="Calibri" w:hAnsi="Calibri" w:cs="Calibri"/>
          <w:i/>
          <w:iCs/>
        </w:rPr>
        <w:t>Ívarr</w:t>
      </w:r>
      <w:proofErr w:type="spellEnd"/>
      <w:r w:rsidRPr="00CF086C">
        <w:rPr>
          <w:rFonts w:ascii="Calibri" w:hAnsi="Calibri" w:cs="Calibri"/>
          <w:i/>
          <w:iCs/>
        </w:rPr>
        <w:t xml:space="preserve"> to AD 1014</w:t>
      </w:r>
      <w:r w:rsidRPr="00CF086C">
        <w:rPr>
          <w:rFonts w:ascii="Calibri" w:hAnsi="Calibri" w:cs="Calibri"/>
        </w:rPr>
        <w:t xml:space="preserve"> (Edinburgh: Dunedin Academic Press, 2007).</w:t>
      </w:r>
    </w:p>
    <w:p w14:paraId="0DA4BE15" w14:textId="77777777" w:rsidR="005729C0" w:rsidRPr="00CF086C" w:rsidRDefault="00000000" w:rsidP="004928A6">
      <w:pPr>
        <w:ind w:left="720" w:hanging="720"/>
        <w:rPr>
          <w:rFonts w:ascii="Calibri" w:hAnsi="Calibri" w:cs="Calibri"/>
        </w:rPr>
      </w:pPr>
      <w:r w:rsidRPr="00CF086C">
        <w:rPr>
          <w:rFonts w:ascii="Calibri" w:hAnsi="Calibri" w:cs="Calibri"/>
        </w:rPr>
        <w:t xml:space="preserve">Dudo of Saint-Quentin, </w:t>
      </w:r>
      <w:r w:rsidRPr="00CF086C">
        <w:rPr>
          <w:rFonts w:ascii="Calibri" w:hAnsi="Calibri" w:cs="Calibri"/>
          <w:i/>
          <w:iCs/>
        </w:rPr>
        <w:t xml:space="preserve">De </w:t>
      </w:r>
      <w:proofErr w:type="spellStart"/>
      <w:r w:rsidRPr="00CF086C">
        <w:rPr>
          <w:rFonts w:ascii="Calibri" w:hAnsi="Calibri" w:cs="Calibri"/>
          <w:i/>
          <w:iCs/>
        </w:rPr>
        <w:t>moribus</w:t>
      </w:r>
      <w:proofErr w:type="spellEnd"/>
      <w:r w:rsidRPr="00CF086C">
        <w:rPr>
          <w:rFonts w:ascii="Calibri" w:hAnsi="Calibri" w:cs="Calibri"/>
          <w:i/>
          <w:iCs/>
        </w:rPr>
        <w:t xml:space="preserve"> et </w:t>
      </w:r>
      <w:proofErr w:type="spellStart"/>
      <w:r w:rsidRPr="00CF086C">
        <w:rPr>
          <w:rFonts w:ascii="Calibri" w:hAnsi="Calibri" w:cs="Calibri"/>
          <w:i/>
          <w:iCs/>
        </w:rPr>
        <w:t>actis</w:t>
      </w:r>
      <w:proofErr w:type="spellEnd"/>
      <w:r w:rsidRPr="00CF086C">
        <w:rPr>
          <w:rFonts w:ascii="Calibri" w:hAnsi="Calibri" w:cs="Calibri"/>
          <w:i/>
          <w:iCs/>
        </w:rPr>
        <w:t xml:space="preserve"> </w:t>
      </w:r>
      <w:proofErr w:type="spellStart"/>
      <w:r w:rsidRPr="00CF086C">
        <w:rPr>
          <w:rFonts w:ascii="Calibri" w:hAnsi="Calibri" w:cs="Calibri"/>
          <w:i/>
          <w:iCs/>
        </w:rPr>
        <w:t>primorum</w:t>
      </w:r>
      <w:proofErr w:type="spellEnd"/>
      <w:r w:rsidRPr="00CF086C">
        <w:rPr>
          <w:rFonts w:ascii="Calibri" w:hAnsi="Calibri" w:cs="Calibri"/>
          <w:i/>
          <w:iCs/>
        </w:rPr>
        <w:t xml:space="preserve"> Normanniae </w:t>
      </w:r>
      <w:proofErr w:type="spellStart"/>
      <w:r w:rsidRPr="00CF086C">
        <w:rPr>
          <w:rFonts w:ascii="Calibri" w:hAnsi="Calibri" w:cs="Calibri"/>
          <w:i/>
          <w:iCs/>
        </w:rPr>
        <w:t>ducum</w:t>
      </w:r>
      <w:proofErr w:type="spellEnd"/>
      <w:r w:rsidRPr="00CF086C">
        <w:rPr>
          <w:rFonts w:ascii="Calibri" w:hAnsi="Calibri" w:cs="Calibri"/>
        </w:rPr>
        <w:t xml:space="preserve">, ed. Jules Lair (Caen: </w:t>
      </w:r>
      <w:proofErr w:type="spellStart"/>
      <w:r w:rsidRPr="00CF086C">
        <w:rPr>
          <w:rFonts w:ascii="Calibri" w:hAnsi="Calibri" w:cs="Calibri"/>
        </w:rPr>
        <w:t>Mémoires</w:t>
      </w:r>
      <w:proofErr w:type="spellEnd"/>
      <w:r w:rsidRPr="00CF086C">
        <w:rPr>
          <w:rFonts w:ascii="Calibri" w:hAnsi="Calibri" w:cs="Calibri"/>
        </w:rPr>
        <w:t xml:space="preserve"> de la Société des Antiquaires de Normandie, 1865). English translation: </w:t>
      </w:r>
      <w:r w:rsidRPr="00CF086C">
        <w:rPr>
          <w:rFonts w:ascii="Calibri" w:hAnsi="Calibri" w:cs="Calibri"/>
          <w:i/>
          <w:iCs/>
        </w:rPr>
        <w:t>History of the Normans</w:t>
      </w:r>
      <w:r w:rsidRPr="00CF086C">
        <w:rPr>
          <w:rFonts w:ascii="Calibri" w:hAnsi="Calibri" w:cs="Calibri"/>
        </w:rPr>
        <w:t>, trans. Eric Christiansen (Woodbridge: Boydell Press, 1998).</w:t>
      </w:r>
    </w:p>
    <w:p w14:paraId="041CE7A7" w14:textId="77777777" w:rsidR="005729C0" w:rsidRPr="00CF086C" w:rsidRDefault="00000000" w:rsidP="004928A6">
      <w:pPr>
        <w:ind w:left="720" w:hanging="720"/>
        <w:rPr>
          <w:rFonts w:ascii="Calibri" w:hAnsi="Calibri" w:cs="Calibri"/>
        </w:rPr>
      </w:pPr>
      <w:r w:rsidRPr="00CF086C">
        <w:rPr>
          <w:rFonts w:ascii="Calibri" w:hAnsi="Calibri" w:cs="Calibri"/>
        </w:rPr>
        <w:t xml:space="preserve">Hadley, Dawn M., </w:t>
      </w:r>
      <w:r w:rsidRPr="00CF086C">
        <w:rPr>
          <w:rFonts w:ascii="Calibri" w:hAnsi="Calibri" w:cs="Calibri"/>
          <w:i/>
          <w:iCs/>
        </w:rPr>
        <w:t>The Vikings in England: Settlement, Society and Culture</w:t>
      </w:r>
      <w:r w:rsidRPr="00CF086C">
        <w:rPr>
          <w:rFonts w:ascii="Calibri" w:hAnsi="Calibri" w:cs="Calibri"/>
        </w:rPr>
        <w:t xml:space="preserve"> (Manchester: Manchester University Press, 2006).</w:t>
      </w:r>
    </w:p>
    <w:p w14:paraId="63EF91BC" w14:textId="77777777" w:rsidR="005729C0" w:rsidRPr="00CF086C" w:rsidRDefault="00000000" w:rsidP="004928A6">
      <w:pPr>
        <w:ind w:left="720" w:hanging="720"/>
        <w:rPr>
          <w:rFonts w:ascii="Calibri" w:hAnsi="Calibri" w:cs="Calibri"/>
        </w:rPr>
      </w:pPr>
      <w:r w:rsidRPr="00CF086C">
        <w:rPr>
          <w:rFonts w:ascii="Calibri" w:hAnsi="Calibri" w:cs="Calibri"/>
          <w:i/>
          <w:iCs/>
        </w:rPr>
        <w:t xml:space="preserve">Historia de Sancto </w:t>
      </w:r>
      <w:proofErr w:type="spellStart"/>
      <w:r w:rsidRPr="00CF086C">
        <w:rPr>
          <w:rFonts w:ascii="Calibri" w:hAnsi="Calibri" w:cs="Calibri"/>
          <w:i/>
          <w:iCs/>
        </w:rPr>
        <w:t>Cuthberto</w:t>
      </w:r>
      <w:proofErr w:type="spellEnd"/>
      <w:r w:rsidRPr="00CF086C">
        <w:rPr>
          <w:rFonts w:ascii="Calibri" w:hAnsi="Calibri" w:cs="Calibri"/>
        </w:rPr>
        <w:t xml:space="preserve">, in Ted Johnson South (ed.), </w:t>
      </w:r>
      <w:r w:rsidRPr="00CF086C">
        <w:rPr>
          <w:rFonts w:ascii="Calibri" w:hAnsi="Calibri" w:cs="Calibri"/>
          <w:i/>
          <w:iCs/>
        </w:rPr>
        <w:t xml:space="preserve">Historia de Sancto </w:t>
      </w:r>
      <w:proofErr w:type="spellStart"/>
      <w:r w:rsidRPr="00CF086C">
        <w:rPr>
          <w:rFonts w:ascii="Calibri" w:hAnsi="Calibri" w:cs="Calibri"/>
          <w:i/>
          <w:iCs/>
        </w:rPr>
        <w:t>Cuthberto</w:t>
      </w:r>
      <w:proofErr w:type="spellEnd"/>
      <w:r w:rsidRPr="00CF086C">
        <w:rPr>
          <w:rFonts w:ascii="Calibri" w:hAnsi="Calibri" w:cs="Calibri"/>
          <w:i/>
          <w:iCs/>
        </w:rPr>
        <w:t>: A History of Saint Cuthbert and a Record of His Patrimony</w:t>
      </w:r>
      <w:r w:rsidRPr="00CF086C">
        <w:rPr>
          <w:rFonts w:ascii="Calibri" w:hAnsi="Calibri" w:cs="Calibri"/>
        </w:rPr>
        <w:t xml:space="preserve"> (Cambridge: D.S. Brewer, 2002).</w:t>
      </w:r>
    </w:p>
    <w:p w14:paraId="78B6CF9B" w14:textId="77777777" w:rsidR="005729C0" w:rsidRPr="00CF086C" w:rsidRDefault="00000000" w:rsidP="004928A6">
      <w:pPr>
        <w:ind w:left="720" w:hanging="720"/>
        <w:rPr>
          <w:rFonts w:ascii="Calibri" w:hAnsi="Calibri" w:cs="Calibri"/>
        </w:rPr>
      </w:pPr>
      <w:r w:rsidRPr="00CF086C">
        <w:rPr>
          <w:rFonts w:ascii="Calibri" w:hAnsi="Calibri" w:cs="Calibri"/>
        </w:rPr>
        <w:t xml:space="preserve">Searle, Eleanor, </w:t>
      </w:r>
      <w:r w:rsidRPr="00CF086C">
        <w:rPr>
          <w:rFonts w:ascii="Calibri" w:hAnsi="Calibri" w:cs="Calibri"/>
          <w:i/>
          <w:iCs/>
        </w:rPr>
        <w:t>Predatory Kinship and the Creation of Norman Power, 840–1066</w:t>
      </w:r>
      <w:r w:rsidRPr="00CF086C">
        <w:rPr>
          <w:rFonts w:ascii="Calibri" w:hAnsi="Calibri" w:cs="Calibri"/>
        </w:rPr>
        <w:t xml:space="preserve"> (Berkeley: University of California Press, 1988).</w:t>
      </w:r>
    </w:p>
    <w:p w14:paraId="1847663F" w14:textId="77777777" w:rsidR="005729C0" w:rsidRPr="00CF086C" w:rsidRDefault="00000000" w:rsidP="004928A6">
      <w:pPr>
        <w:ind w:left="720" w:hanging="720"/>
        <w:rPr>
          <w:rFonts w:ascii="Calibri" w:hAnsi="Calibri" w:cs="Calibri"/>
        </w:rPr>
      </w:pPr>
      <w:r w:rsidRPr="00CF086C">
        <w:rPr>
          <w:rFonts w:ascii="Calibri" w:hAnsi="Calibri" w:cs="Calibri"/>
        </w:rPr>
        <w:t xml:space="preserve">Stenton, Frank, </w:t>
      </w:r>
      <w:r w:rsidRPr="00CF086C">
        <w:rPr>
          <w:rFonts w:ascii="Calibri" w:hAnsi="Calibri" w:cs="Calibri"/>
          <w:i/>
          <w:iCs/>
        </w:rPr>
        <w:t>Anglo-Saxon England</w:t>
      </w:r>
      <w:r w:rsidRPr="00CF086C">
        <w:rPr>
          <w:rFonts w:ascii="Calibri" w:hAnsi="Calibri" w:cs="Calibri"/>
        </w:rPr>
        <w:t xml:space="preserve">, 3rd </w:t>
      </w:r>
      <w:proofErr w:type="spellStart"/>
      <w:r w:rsidRPr="00CF086C">
        <w:rPr>
          <w:rFonts w:ascii="Calibri" w:hAnsi="Calibri" w:cs="Calibri"/>
        </w:rPr>
        <w:t>edn</w:t>
      </w:r>
      <w:proofErr w:type="spellEnd"/>
      <w:r w:rsidRPr="00CF086C">
        <w:rPr>
          <w:rFonts w:ascii="Calibri" w:hAnsi="Calibri" w:cs="Calibri"/>
        </w:rPr>
        <w:t xml:space="preserve"> (Oxford: Oxford University Press, 1971).</w:t>
      </w:r>
    </w:p>
    <w:p w14:paraId="062A38CF" w14:textId="77777777" w:rsidR="005729C0" w:rsidRPr="00CF086C" w:rsidRDefault="00000000" w:rsidP="004928A6">
      <w:pPr>
        <w:ind w:left="720" w:hanging="720"/>
        <w:rPr>
          <w:rFonts w:ascii="Calibri" w:hAnsi="Calibri" w:cs="Calibri"/>
        </w:rPr>
      </w:pPr>
      <w:r w:rsidRPr="00CF086C">
        <w:rPr>
          <w:rFonts w:ascii="Calibri" w:hAnsi="Calibri" w:cs="Calibri"/>
        </w:rPr>
        <w:t xml:space="preserve">Thomas, Hugh M., </w:t>
      </w:r>
      <w:r w:rsidRPr="00CF086C">
        <w:rPr>
          <w:rFonts w:ascii="Calibri" w:hAnsi="Calibri" w:cs="Calibri"/>
          <w:i/>
          <w:iCs/>
        </w:rPr>
        <w:t>The English and the Normans: Ethnic Hostility, Assimilation and Identity, 1066–c.1220</w:t>
      </w:r>
      <w:r w:rsidRPr="00CF086C">
        <w:rPr>
          <w:rFonts w:ascii="Calibri" w:hAnsi="Calibri" w:cs="Calibri"/>
        </w:rPr>
        <w:t xml:space="preserve"> (Oxford: Oxford University Press, 2003).</w:t>
      </w:r>
    </w:p>
    <w:p w14:paraId="1CD22056" w14:textId="77777777" w:rsidR="005729C0" w:rsidRPr="00CF086C" w:rsidRDefault="00000000" w:rsidP="004928A6">
      <w:pPr>
        <w:ind w:left="720" w:hanging="720"/>
        <w:rPr>
          <w:rFonts w:ascii="Calibri" w:hAnsi="Calibri" w:cs="Calibri"/>
        </w:rPr>
      </w:pPr>
      <w:r w:rsidRPr="00CF086C">
        <w:rPr>
          <w:rFonts w:ascii="Calibri" w:hAnsi="Calibri" w:cs="Calibri"/>
        </w:rPr>
        <w:t xml:space="preserve">Wickham, Chris, </w:t>
      </w:r>
      <w:r w:rsidRPr="00CF086C">
        <w:rPr>
          <w:rFonts w:ascii="Calibri" w:hAnsi="Calibri" w:cs="Calibri"/>
          <w:i/>
          <w:iCs/>
        </w:rPr>
        <w:t>Problems in Doing Comparative History</w:t>
      </w:r>
      <w:r w:rsidRPr="00CF086C">
        <w:rPr>
          <w:rFonts w:ascii="Calibri" w:hAnsi="Calibri" w:cs="Calibri"/>
        </w:rPr>
        <w:t>, Reuter Lecture 2004 (Southampton: University of Southampton, 2005).</w:t>
      </w:r>
    </w:p>
    <w:p w14:paraId="442F537E" w14:textId="77777777" w:rsidR="005729C0" w:rsidRPr="00CF086C" w:rsidRDefault="00000000" w:rsidP="004928A6">
      <w:pPr>
        <w:ind w:left="720" w:hanging="720"/>
        <w:rPr>
          <w:rFonts w:ascii="Calibri" w:hAnsi="Calibri" w:cs="Calibri"/>
        </w:rPr>
      </w:pPr>
      <w:r w:rsidRPr="00CF086C">
        <w:rPr>
          <w:rFonts w:ascii="Calibri" w:hAnsi="Calibri" w:cs="Calibri"/>
        </w:rPr>
        <w:t xml:space="preserve">Wormald, Patrick, </w:t>
      </w:r>
      <w:r w:rsidRPr="00CF086C">
        <w:rPr>
          <w:rFonts w:ascii="Calibri" w:hAnsi="Calibri" w:cs="Calibri"/>
          <w:i/>
          <w:iCs/>
        </w:rPr>
        <w:t>The Making of English Law: King Alfred to the Twelfth Century</w:t>
      </w:r>
      <w:r w:rsidRPr="00CF086C">
        <w:rPr>
          <w:rFonts w:ascii="Calibri" w:hAnsi="Calibri" w:cs="Calibri"/>
        </w:rPr>
        <w:t xml:space="preserve"> (Oxford: Blackwell, 1999).</w:t>
      </w:r>
    </w:p>
    <w:p w14:paraId="609D5801" w14:textId="77777777" w:rsidR="008F1C22" w:rsidRPr="00CF086C" w:rsidRDefault="008F1C22">
      <w:pPr>
        <w:ind w:left="720" w:hanging="720"/>
        <w:rPr>
          <w:rFonts w:ascii="Calibri" w:hAnsi="Calibri" w:cs="Calibri"/>
        </w:rPr>
      </w:pPr>
    </w:p>
    <w:sectPr w:rsidR="008F1C22" w:rsidRPr="00CF086C">
      <w:footerReference w:type="default" r:id="rId8"/>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75729" w14:textId="77777777" w:rsidR="00930336" w:rsidRDefault="00930336">
      <w:r>
        <w:separator/>
      </w:r>
    </w:p>
  </w:endnote>
  <w:endnote w:type="continuationSeparator" w:id="0">
    <w:p w14:paraId="187A00EC" w14:textId="77777777" w:rsidR="00930336" w:rsidRDefault="009303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39C69B" w14:textId="7E106D86" w:rsidR="005729C0" w:rsidRDefault="005729C0">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89BAB4" w14:textId="77777777" w:rsidR="00930336" w:rsidRDefault="00930336">
      <w:r>
        <w:separator/>
      </w:r>
    </w:p>
  </w:footnote>
  <w:footnote w:type="continuationSeparator" w:id="0">
    <w:p w14:paraId="6B0C68D4" w14:textId="77777777" w:rsidR="00930336" w:rsidRDefault="00930336">
      <w:r>
        <w:continuationSeparator/>
      </w:r>
    </w:p>
  </w:footnote>
  <w:footnote w:id="1">
    <w:p w14:paraId="2A73B23A" w14:textId="77777777" w:rsidR="005729C0" w:rsidRDefault="00000000">
      <w:r>
        <w:rPr>
          <w:rStyle w:val="FootnoteReference"/>
        </w:rPr>
        <w:footnoteRef/>
      </w:r>
      <w:r>
        <w:rPr>
          <w:sz w:val="20"/>
          <w:szCs w:val="20"/>
        </w:rPr>
        <w:t xml:space="preserve">Katherine Cross, </w:t>
      </w:r>
      <w:r>
        <w:rPr>
          <w:i/>
          <w:iCs/>
          <w:sz w:val="20"/>
          <w:szCs w:val="20"/>
        </w:rPr>
        <w:t>Heirs of the Vikings: History and Identity in Normandy and England, c.950–c.1015</w:t>
      </w:r>
      <w:r>
        <w:rPr>
          <w:sz w:val="20"/>
          <w:szCs w:val="20"/>
        </w:rPr>
        <w:t xml:space="preserve"> (York: York Medieval Press, 2018).</w:t>
      </w:r>
    </w:p>
  </w:footnote>
  <w:footnote w:id="2">
    <w:p w14:paraId="33892B65" w14:textId="03FA53DD" w:rsidR="005729C0" w:rsidRDefault="00000000">
      <w:r>
        <w:rPr>
          <w:rStyle w:val="FootnoteReference"/>
        </w:rPr>
        <w:footnoteRef/>
      </w:r>
      <w:r>
        <w:rPr>
          <w:sz w:val="20"/>
          <w:szCs w:val="20"/>
        </w:rPr>
        <w:t xml:space="preserve">Rogers Brubaker, </w:t>
      </w:r>
      <w:r>
        <w:rPr>
          <w:i/>
          <w:iCs/>
          <w:sz w:val="20"/>
          <w:szCs w:val="20"/>
        </w:rPr>
        <w:t>Ethnicity Without Groups</w:t>
      </w:r>
      <w:r>
        <w:rPr>
          <w:sz w:val="20"/>
          <w:szCs w:val="20"/>
        </w:rPr>
        <w:t xml:space="preserve"> (Cambridge, MA: Harvard University Press, 2004), pp. 7–27</w:t>
      </w:r>
      <w:r w:rsidR="004928A6">
        <w:rPr>
          <w:sz w:val="20"/>
          <w:szCs w:val="20"/>
        </w:rPr>
        <w:t xml:space="preserve"> &lt;</w:t>
      </w:r>
      <w:r w:rsidR="004928A6" w:rsidRPr="004928A6">
        <w:rPr>
          <w:sz w:val="20"/>
          <w:szCs w:val="20"/>
        </w:rPr>
        <w:t>http://bev.berkeley.edu/Ethnic%20Religious%20Conflict/Ethnic%20and%20Religious%20Conflict/1%20Identity/Ethnicity%20without%20Groups%20Brubaker.pdf</w:t>
      </w:r>
      <w:r w:rsidR="004928A6">
        <w:rPr>
          <w:sz w:val="20"/>
          <w:szCs w:val="20"/>
        </w:rPr>
        <w:t>&gt; [accessed 4 May 2026]</w:t>
      </w:r>
    </w:p>
  </w:footnote>
  <w:footnote w:id="3">
    <w:p w14:paraId="305290BE" w14:textId="77777777" w:rsidR="005729C0" w:rsidRDefault="00000000">
      <w:r>
        <w:rPr>
          <w:rStyle w:val="FootnoteReference"/>
        </w:rPr>
        <w:footnoteRef/>
      </w:r>
      <w:r>
        <w:rPr>
          <w:sz w:val="20"/>
          <w:szCs w:val="20"/>
        </w:rPr>
        <w:t xml:space="preserve">Cross, </w:t>
      </w:r>
      <w:r>
        <w:rPr>
          <w:i/>
          <w:iCs/>
          <w:sz w:val="20"/>
          <w:szCs w:val="20"/>
        </w:rPr>
        <w:t>Heirs of the Vikings</w:t>
      </w:r>
      <w:r>
        <w:rPr>
          <w:sz w:val="20"/>
          <w:szCs w:val="20"/>
        </w:rPr>
        <w:t>, pp. 1–15.</w:t>
      </w:r>
    </w:p>
  </w:footnote>
  <w:footnote w:id="4">
    <w:p w14:paraId="6A8794B3" w14:textId="77777777" w:rsidR="005729C0" w:rsidRDefault="00000000">
      <w:r>
        <w:rPr>
          <w:rStyle w:val="FootnoteReference"/>
        </w:rPr>
        <w:footnoteRef/>
      </w:r>
      <w:r>
        <w:rPr>
          <w:sz w:val="20"/>
          <w:szCs w:val="20"/>
        </w:rPr>
        <w:t xml:space="preserve">Cross, </w:t>
      </w:r>
      <w:r>
        <w:rPr>
          <w:i/>
          <w:iCs/>
          <w:sz w:val="20"/>
          <w:szCs w:val="20"/>
        </w:rPr>
        <w:t>Heirs of the Vikings</w:t>
      </w:r>
      <w:r>
        <w:rPr>
          <w:sz w:val="20"/>
          <w:szCs w:val="20"/>
        </w:rPr>
        <w:t>, chapters 1–2.</w:t>
      </w:r>
    </w:p>
  </w:footnote>
  <w:footnote w:id="5">
    <w:p w14:paraId="6E608266" w14:textId="77777777" w:rsidR="005729C0" w:rsidRDefault="00000000">
      <w:r>
        <w:rPr>
          <w:rStyle w:val="FootnoteReference"/>
        </w:rPr>
        <w:footnoteRef/>
      </w:r>
      <w:r>
        <w:rPr>
          <w:sz w:val="20"/>
          <w:szCs w:val="20"/>
        </w:rPr>
        <w:t xml:space="preserve">Dudo of Saint-Quentin, </w:t>
      </w:r>
      <w:r>
        <w:rPr>
          <w:i/>
          <w:iCs/>
          <w:sz w:val="20"/>
          <w:szCs w:val="20"/>
        </w:rPr>
        <w:t xml:space="preserve">De </w:t>
      </w:r>
      <w:proofErr w:type="spellStart"/>
      <w:r>
        <w:rPr>
          <w:i/>
          <w:iCs/>
          <w:sz w:val="20"/>
          <w:szCs w:val="20"/>
        </w:rPr>
        <w:t>moribus</w:t>
      </w:r>
      <w:proofErr w:type="spellEnd"/>
      <w:r>
        <w:rPr>
          <w:i/>
          <w:iCs/>
          <w:sz w:val="20"/>
          <w:szCs w:val="20"/>
        </w:rPr>
        <w:t xml:space="preserve"> et </w:t>
      </w:r>
      <w:proofErr w:type="spellStart"/>
      <w:r>
        <w:rPr>
          <w:i/>
          <w:iCs/>
          <w:sz w:val="20"/>
          <w:szCs w:val="20"/>
        </w:rPr>
        <w:t>actis</w:t>
      </w:r>
      <w:proofErr w:type="spellEnd"/>
      <w:r>
        <w:rPr>
          <w:i/>
          <w:iCs/>
          <w:sz w:val="20"/>
          <w:szCs w:val="20"/>
        </w:rPr>
        <w:t xml:space="preserve"> </w:t>
      </w:r>
      <w:proofErr w:type="spellStart"/>
      <w:r>
        <w:rPr>
          <w:i/>
          <w:iCs/>
          <w:sz w:val="20"/>
          <w:szCs w:val="20"/>
        </w:rPr>
        <w:t>primorum</w:t>
      </w:r>
      <w:proofErr w:type="spellEnd"/>
      <w:r>
        <w:rPr>
          <w:i/>
          <w:iCs/>
          <w:sz w:val="20"/>
          <w:szCs w:val="20"/>
        </w:rPr>
        <w:t xml:space="preserve"> Normanniae </w:t>
      </w:r>
      <w:proofErr w:type="spellStart"/>
      <w:r>
        <w:rPr>
          <w:i/>
          <w:iCs/>
          <w:sz w:val="20"/>
          <w:szCs w:val="20"/>
        </w:rPr>
        <w:t>ducum</w:t>
      </w:r>
      <w:proofErr w:type="spellEnd"/>
      <w:r>
        <w:rPr>
          <w:sz w:val="20"/>
          <w:szCs w:val="20"/>
        </w:rPr>
        <w:t xml:space="preserve">, ed. Jules Lair (Caen: </w:t>
      </w:r>
      <w:proofErr w:type="spellStart"/>
      <w:r>
        <w:rPr>
          <w:sz w:val="20"/>
          <w:szCs w:val="20"/>
        </w:rPr>
        <w:t>Mémoires</w:t>
      </w:r>
      <w:proofErr w:type="spellEnd"/>
      <w:r>
        <w:rPr>
          <w:sz w:val="20"/>
          <w:szCs w:val="20"/>
        </w:rPr>
        <w:t xml:space="preserve"> de la Société des Antiquaires de Normandie, 1865). For English translation, see </w:t>
      </w:r>
      <w:r>
        <w:rPr>
          <w:i/>
          <w:iCs/>
          <w:sz w:val="20"/>
          <w:szCs w:val="20"/>
        </w:rPr>
        <w:t>History of the Normans</w:t>
      </w:r>
      <w:r>
        <w:rPr>
          <w:sz w:val="20"/>
          <w:szCs w:val="20"/>
        </w:rPr>
        <w:t>, trans. Eric Christiansen (Woodbridge: Boydell Press, 1998).</w:t>
      </w:r>
    </w:p>
  </w:footnote>
  <w:footnote w:id="6">
    <w:p w14:paraId="07776810" w14:textId="77777777" w:rsidR="005729C0" w:rsidRDefault="00000000">
      <w:r>
        <w:rPr>
          <w:rStyle w:val="FootnoteReference"/>
        </w:rPr>
        <w:footnoteRef/>
      </w:r>
      <w:r>
        <w:rPr>
          <w:i/>
          <w:iCs/>
          <w:sz w:val="20"/>
          <w:szCs w:val="20"/>
        </w:rPr>
        <w:t xml:space="preserve">Historia de Sancto </w:t>
      </w:r>
      <w:proofErr w:type="spellStart"/>
      <w:r>
        <w:rPr>
          <w:i/>
          <w:iCs/>
          <w:sz w:val="20"/>
          <w:szCs w:val="20"/>
        </w:rPr>
        <w:t>Cuthberto</w:t>
      </w:r>
      <w:proofErr w:type="spellEnd"/>
      <w:r>
        <w:rPr>
          <w:sz w:val="20"/>
          <w:szCs w:val="20"/>
        </w:rPr>
        <w:t xml:space="preserve">, in Ted Johnson South (ed.), </w:t>
      </w:r>
      <w:r>
        <w:rPr>
          <w:i/>
          <w:iCs/>
          <w:sz w:val="20"/>
          <w:szCs w:val="20"/>
        </w:rPr>
        <w:t xml:space="preserve">Historia de Sancto </w:t>
      </w:r>
      <w:proofErr w:type="spellStart"/>
      <w:r>
        <w:rPr>
          <w:i/>
          <w:iCs/>
          <w:sz w:val="20"/>
          <w:szCs w:val="20"/>
        </w:rPr>
        <w:t>Cuthberto</w:t>
      </w:r>
      <w:proofErr w:type="spellEnd"/>
      <w:r>
        <w:rPr>
          <w:i/>
          <w:iCs/>
          <w:sz w:val="20"/>
          <w:szCs w:val="20"/>
        </w:rPr>
        <w:t>: A History of Saint Cuthbert and a Record of His Patrimony</w:t>
      </w:r>
      <w:r>
        <w:rPr>
          <w:sz w:val="20"/>
          <w:szCs w:val="20"/>
        </w:rPr>
        <w:t xml:space="preserve"> (Cambridge: D.S. Brewer, 2002).</w:t>
      </w:r>
    </w:p>
  </w:footnote>
  <w:footnote w:id="7">
    <w:p w14:paraId="0ADFDB99" w14:textId="77777777" w:rsidR="005729C0" w:rsidRDefault="00000000">
      <w:r>
        <w:rPr>
          <w:rStyle w:val="FootnoteReference"/>
        </w:rPr>
        <w:footnoteRef/>
      </w:r>
      <w:r>
        <w:rPr>
          <w:sz w:val="20"/>
          <w:szCs w:val="20"/>
        </w:rPr>
        <w:t xml:space="preserve">Chris Wickham, </w:t>
      </w:r>
      <w:r>
        <w:rPr>
          <w:i/>
          <w:iCs/>
          <w:sz w:val="20"/>
          <w:szCs w:val="20"/>
        </w:rPr>
        <w:t>Problems in Doing Comparative History</w:t>
      </w:r>
      <w:r>
        <w:rPr>
          <w:sz w:val="20"/>
          <w:szCs w:val="20"/>
        </w:rPr>
        <w:t>, Reuter Lecture 2004 (Southampton: University of Southampton, 2005), pp. 5–10.</w:t>
      </w:r>
    </w:p>
  </w:footnote>
  <w:footnote w:id="8">
    <w:p w14:paraId="48F82F62" w14:textId="08BB519C" w:rsidR="005729C0" w:rsidRDefault="00000000">
      <w:r>
        <w:rPr>
          <w:rStyle w:val="FootnoteReference"/>
        </w:rPr>
        <w:footnoteRef/>
      </w:r>
      <w:r>
        <w:rPr>
          <w:sz w:val="20"/>
          <w:szCs w:val="20"/>
        </w:rPr>
        <w:t xml:space="preserve">David Bates, </w:t>
      </w:r>
      <w:r>
        <w:rPr>
          <w:i/>
          <w:iCs/>
          <w:sz w:val="20"/>
          <w:szCs w:val="20"/>
        </w:rPr>
        <w:t>Normandy Before 1066</w:t>
      </w:r>
      <w:r>
        <w:rPr>
          <w:sz w:val="20"/>
          <w:szCs w:val="20"/>
        </w:rPr>
        <w:t xml:space="preserve"> (London: Longman, 1982), p. </w:t>
      </w:r>
      <w:r w:rsidR="00D979F9">
        <w:rPr>
          <w:sz w:val="20"/>
          <w:szCs w:val="20"/>
        </w:rPr>
        <w:t>xi</w:t>
      </w:r>
      <w:r>
        <w:rPr>
          <w:sz w:val="20"/>
          <w:szCs w:val="20"/>
        </w:rPr>
        <w:t>.</w:t>
      </w:r>
      <w:r w:rsidR="00D979F9">
        <w:rPr>
          <w:sz w:val="20"/>
          <w:szCs w:val="20"/>
        </w:rPr>
        <w:t xml:space="preserve">    &lt;</w:t>
      </w:r>
      <w:hyperlink r:id="rId1" w:history="1">
        <w:r w:rsidR="00D979F9" w:rsidRPr="006E660F">
          <w:rPr>
            <w:rStyle w:val="Hyperlink"/>
            <w:sz w:val="20"/>
            <w:szCs w:val="20"/>
          </w:rPr>
          <w:t>https://archive.org/details/normandybefore100000bate/page/n13/mode/2up</w:t>
        </w:r>
      </w:hyperlink>
      <w:r w:rsidR="00D979F9">
        <w:rPr>
          <w:sz w:val="20"/>
          <w:szCs w:val="20"/>
        </w:rPr>
        <w:t>&gt; [accessed 7 May 2026]</w:t>
      </w:r>
    </w:p>
  </w:footnote>
  <w:footnote w:id="9">
    <w:p w14:paraId="743EA248" w14:textId="77777777" w:rsidR="005729C0" w:rsidRDefault="00000000">
      <w:r>
        <w:rPr>
          <w:rStyle w:val="FootnoteReference"/>
        </w:rPr>
        <w:footnoteRef/>
      </w:r>
      <w:r>
        <w:rPr>
          <w:sz w:val="20"/>
          <w:szCs w:val="20"/>
        </w:rPr>
        <w:t xml:space="preserve">Bates, </w:t>
      </w:r>
      <w:r>
        <w:rPr>
          <w:i/>
          <w:iCs/>
          <w:sz w:val="20"/>
          <w:szCs w:val="20"/>
        </w:rPr>
        <w:t>Normandy Before 1066</w:t>
      </w:r>
      <w:r>
        <w:rPr>
          <w:sz w:val="20"/>
          <w:szCs w:val="20"/>
        </w:rPr>
        <w:t>, pp. 15–25.</w:t>
      </w:r>
    </w:p>
  </w:footnote>
  <w:footnote w:id="10">
    <w:p w14:paraId="21E4A2A3" w14:textId="77777777" w:rsidR="005729C0" w:rsidRDefault="00000000">
      <w:r>
        <w:rPr>
          <w:rStyle w:val="FootnoteReference"/>
        </w:rPr>
        <w:footnoteRef/>
      </w:r>
      <w:r>
        <w:rPr>
          <w:sz w:val="20"/>
          <w:szCs w:val="20"/>
        </w:rPr>
        <w:t xml:space="preserve">Eleanor Searle, </w:t>
      </w:r>
      <w:r>
        <w:rPr>
          <w:i/>
          <w:iCs/>
          <w:sz w:val="20"/>
          <w:szCs w:val="20"/>
        </w:rPr>
        <w:t>Predatory Kinship and the Creation of Norman Power, 840–1066</w:t>
      </w:r>
      <w:r>
        <w:rPr>
          <w:sz w:val="20"/>
          <w:szCs w:val="20"/>
        </w:rPr>
        <w:t xml:space="preserve"> (Berkeley: University of California Press, 1988), pp. 40–65.</w:t>
      </w:r>
    </w:p>
  </w:footnote>
  <w:footnote w:id="11">
    <w:p w14:paraId="5B401211" w14:textId="1CED06B5" w:rsidR="005729C0" w:rsidRDefault="00000000">
      <w:r>
        <w:rPr>
          <w:rStyle w:val="FootnoteReference"/>
        </w:rPr>
        <w:footnoteRef/>
      </w:r>
      <w:r>
        <w:rPr>
          <w:sz w:val="20"/>
          <w:szCs w:val="20"/>
        </w:rPr>
        <w:t xml:space="preserve">Lesley Abrams, ‘Early Normandy’, </w:t>
      </w:r>
      <w:r>
        <w:rPr>
          <w:i/>
          <w:iCs/>
          <w:sz w:val="20"/>
          <w:szCs w:val="20"/>
        </w:rPr>
        <w:t>Anglo-Norman Studies</w:t>
      </w:r>
      <w:r>
        <w:rPr>
          <w:sz w:val="20"/>
          <w:szCs w:val="20"/>
        </w:rPr>
        <w:t>, 35 (2013), 45–64.</w:t>
      </w:r>
      <w:r w:rsidR="00410BEF">
        <w:rPr>
          <w:sz w:val="20"/>
          <w:szCs w:val="20"/>
        </w:rPr>
        <w:t xml:space="preserve"> </w:t>
      </w:r>
      <w:hyperlink r:id="rId2" w:history="1">
        <w:r w:rsidR="00410BEF" w:rsidRPr="006E660F">
          <w:rPr>
            <w:rStyle w:val="Hyperlink"/>
            <w:sz w:val="20"/>
            <w:szCs w:val="20"/>
          </w:rPr>
          <w:t>https://www.academia.edu/4872363/_Early_Normandy_</w:t>
        </w:r>
      </w:hyperlink>
      <w:r w:rsidR="00410BEF">
        <w:rPr>
          <w:sz w:val="20"/>
          <w:szCs w:val="20"/>
        </w:rPr>
        <w:t xml:space="preserve"> [accessed 7 May 2026]</w:t>
      </w:r>
    </w:p>
  </w:footnote>
  <w:footnote w:id="12">
    <w:p w14:paraId="4402019F" w14:textId="77777777" w:rsidR="005729C0" w:rsidRDefault="00000000">
      <w:r>
        <w:rPr>
          <w:rStyle w:val="FootnoteReference"/>
        </w:rPr>
        <w:footnoteRef/>
      </w:r>
      <w:r>
        <w:rPr>
          <w:sz w:val="20"/>
          <w:szCs w:val="20"/>
        </w:rPr>
        <w:t xml:space="preserve">Cross, </w:t>
      </w:r>
      <w:r>
        <w:rPr>
          <w:i/>
          <w:iCs/>
          <w:sz w:val="20"/>
          <w:szCs w:val="20"/>
        </w:rPr>
        <w:t>Heirs of the Vikings</w:t>
      </w:r>
      <w:r>
        <w:rPr>
          <w:sz w:val="20"/>
          <w:szCs w:val="20"/>
        </w:rPr>
        <w:t>, chapter 1.</w:t>
      </w:r>
    </w:p>
  </w:footnote>
  <w:footnote w:id="13">
    <w:p w14:paraId="1C051CBC" w14:textId="77777777" w:rsidR="005729C0" w:rsidRDefault="00000000">
      <w:r>
        <w:rPr>
          <w:rStyle w:val="FootnoteReference"/>
        </w:rPr>
        <w:footnoteRef/>
      </w:r>
      <w:r>
        <w:rPr>
          <w:sz w:val="20"/>
          <w:szCs w:val="20"/>
        </w:rPr>
        <w:t xml:space="preserve">Dawn M. Hadley, </w:t>
      </w:r>
      <w:r>
        <w:rPr>
          <w:i/>
          <w:iCs/>
          <w:sz w:val="20"/>
          <w:szCs w:val="20"/>
        </w:rPr>
        <w:t>The Vikings in England: Settlement, Society and Culture</w:t>
      </w:r>
      <w:r>
        <w:rPr>
          <w:sz w:val="20"/>
          <w:szCs w:val="20"/>
        </w:rPr>
        <w:t xml:space="preserve"> (Manchester: Manchester University Press, 2006), pp. 1–30.</w:t>
      </w:r>
    </w:p>
  </w:footnote>
  <w:footnote w:id="14">
    <w:p w14:paraId="0B2C2853" w14:textId="77777777" w:rsidR="005729C0" w:rsidRDefault="00000000">
      <w:r>
        <w:rPr>
          <w:rStyle w:val="FootnoteReference"/>
        </w:rPr>
        <w:footnoteRef/>
      </w:r>
      <w:r>
        <w:rPr>
          <w:sz w:val="20"/>
          <w:szCs w:val="20"/>
        </w:rPr>
        <w:t xml:space="preserve">Clare Downham, </w:t>
      </w:r>
      <w:r>
        <w:rPr>
          <w:i/>
          <w:iCs/>
          <w:sz w:val="20"/>
          <w:szCs w:val="20"/>
        </w:rPr>
        <w:t xml:space="preserve">Viking Kings of Britain and Ireland: The Dynasty of </w:t>
      </w:r>
      <w:proofErr w:type="spellStart"/>
      <w:r>
        <w:rPr>
          <w:i/>
          <w:iCs/>
          <w:sz w:val="20"/>
          <w:szCs w:val="20"/>
        </w:rPr>
        <w:t>Ívarr</w:t>
      </w:r>
      <w:proofErr w:type="spellEnd"/>
      <w:r>
        <w:rPr>
          <w:i/>
          <w:iCs/>
          <w:sz w:val="20"/>
          <w:szCs w:val="20"/>
        </w:rPr>
        <w:t xml:space="preserve"> to AD 1014</w:t>
      </w:r>
      <w:r>
        <w:rPr>
          <w:sz w:val="20"/>
          <w:szCs w:val="20"/>
        </w:rPr>
        <w:t xml:space="preserve"> (Edinburgh: Dunedin Academic Press, 2007), pp. 1–20.</w:t>
      </w:r>
    </w:p>
  </w:footnote>
  <w:footnote w:id="15">
    <w:p w14:paraId="78BD61EA" w14:textId="4D9E016B" w:rsidR="00855A5E" w:rsidRDefault="00855A5E" w:rsidP="00855A5E">
      <w:pPr>
        <w:pStyle w:val="FootnoteText"/>
      </w:pPr>
      <w:r>
        <w:rPr>
          <w:rStyle w:val="FootnoteReference"/>
        </w:rPr>
        <w:footnoteRef/>
      </w:r>
      <w:r>
        <w:t xml:space="preserve"> Cross, </w:t>
      </w:r>
      <w:r>
        <w:rPr>
          <w:i/>
          <w:iCs/>
        </w:rPr>
        <w:t>Heirs of the Vikings</w:t>
      </w:r>
      <w:r>
        <w:t xml:space="preserve">, </w:t>
      </w:r>
      <w:r>
        <w:t>p</w:t>
      </w:r>
      <w:r>
        <w:t>p. 2</w:t>
      </w:r>
      <w:r>
        <w:t>0-25</w:t>
      </w:r>
      <w:r>
        <w:t>.</w:t>
      </w:r>
    </w:p>
  </w:footnote>
  <w:footnote w:id="16">
    <w:p w14:paraId="65A091AD" w14:textId="77777777" w:rsidR="005729C0" w:rsidRDefault="00000000">
      <w:r>
        <w:rPr>
          <w:rStyle w:val="FootnoteReference"/>
        </w:rPr>
        <w:footnoteRef/>
      </w:r>
      <w:r>
        <w:rPr>
          <w:sz w:val="20"/>
          <w:szCs w:val="20"/>
        </w:rPr>
        <w:t xml:space="preserve">Wickham, </w:t>
      </w:r>
      <w:r>
        <w:rPr>
          <w:i/>
          <w:iCs/>
          <w:sz w:val="20"/>
          <w:szCs w:val="20"/>
        </w:rPr>
        <w:t>Problems in Doing Comparative History</w:t>
      </w:r>
      <w:r>
        <w:rPr>
          <w:sz w:val="20"/>
          <w:szCs w:val="20"/>
        </w:rPr>
        <w:t>, pp. 8–12.</w:t>
      </w:r>
    </w:p>
  </w:footnote>
  <w:footnote w:id="17">
    <w:p w14:paraId="41271CEF" w14:textId="77777777" w:rsidR="005729C0" w:rsidRDefault="00000000">
      <w:r>
        <w:rPr>
          <w:rStyle w:val="FootnoteReference"/>
        </w:rPr>
        <w:footnoteRef/>
      </w:r>
      <w:r>
        <w:rPr>
          <w:sz w:val="20"/>
          <w:szCs w:val="20"/>
        </w:rPr>
        <w:t xml:space="preserve">Patrick Wormald, </w:t>
      </w:r>
      <w:r>
        <w:rPr>
          <w:i/>
          <w:iCs/>
          <w:sz w:val="20"/>
          <w:szCs w:val="20"/>
        </w:rPr>
        <w:t>The Making of English Law: King Alfred to the Twelfth Century</w:t>
      </w:r>
      <w:r>
        <w:rPr>
          <w:sz w:val="20"/>
          <w:szCs w:val="20"/>
        </w:rPr>
        <w:t xml:space="preserve"> (Oxford: Blackwell, 1999), pp. 120–135.</w:t>
      </w:r>
    </w:p>
  </w:footnote>
  <w:footnote w:id="18">
    <w:p w14:paraId="148DD6AB" w14:textId="77777777" w:rsidR="005729C0" w:rsidRDefault="00000000">
      <w:r>
        <w:rPr>
          <w:rStyle w:val="FootnoteReference"/>
        </w:rPr>
        <w:footnoteRef/>
      </w:r>
      <w:r>
        <w:rPr>
          <w:sz w:val="20"/>
          <w:szCs w:val="20"/>
        </w:rPr>
        <w:t xml:space="preserve">Cross, </w:t>
      </w:r>
      <w:r>
        <w:rPr>
          <w:i/>
          <w:iCs/>
          <w:sz w:val="20"/>
          <w:szCs w:val="20"/>
        </w:rPr>
        <w:t>Heirs of the Vikings</w:t>
      </w:r>
      <w:r>
        <w:rPr>
          <w:sz w:val="20"/>
          <w:szCs w:val="20"/>
        </w:rPr>
        <w:t>, chapter 5. Cross reads Wulfstan’s legal writings as instruments of West Saxon policy rather than evidence of Danelaw self-understanding.</w:t>
      </w:r>
    </w:p>
  </w:footnote>
  <w:footnote w:id="19">
    <w:p w14:paraId="2071096F" w14:textId="77777777" w:rsidR="005729C0" w:rsidRDefault="00000000">
      <w:r>
        <w:rPr>
          <w:rStyle w:val="FootnoteReference"/>
        </w:rPr>
        <w:footnoteRef/>
      </w:r>
      <w:r>
        <w:rPr>
          <w:sz w:val="20"/>
          <w:szCs w:val="20"/>
        </w:rPr>
        <w:t xml:space="preserve">Wormald, </w:t>
      </w:r>
      <w:r>
        <w:rPr>
          <w:i/>
          <w:iCs/>
          <w:sz w:val="20"/>
          <w:szCs w:val="20"/>
        </w:rPr>
        <w:t>Making of English Law</w:t>
      </w:r>
      <w:r>
        <w:rPr>
          <w:sz w:val="20"/>
          <w:szCs w:val="20"/>
        </w:rPr>
        <w:t>, pp. 380–400.</w:t>
      </w:r>
    </w:p>
  </w:footnote>
  <w:footnote w:id="20">
    <w:p w14:paraId="2B839A5A" w14:textId="77777777" w:rsidR="005729C0" w:rsidRDefault="00000000">
      <w:r>
        <w:rPr>
          <w:rStyle w:val="FootnoteReference"/>
        </w:rPr>
        <w:footnoteRef/>
      </w:r>
      <w:r>
        <w:rPr>
          <w:sz w:val="20"/>
          <w:szCs w:val="20"/>
        </w:rPr>
        <w:t xml:space="preserve">Frank Stenton, </w:t>
      </w:r>
      <w:r>
        <w:rPr>
          <w:i/>
          <w:iCs/>
          <w:sz w:val="20"/>
          <w:szCs w:val="20"/>
        </w:rPr>
        <w:t>Anglo-Saxon England</w:t>
      </w:r>
      <w:r>
        <w:rPr>
          <w:sz w:val="20"/>
          <w:szCs w:val="20"/>
        </w:rPr>
        <w:t xml:space="preserve">, 3rd </w:t>
      </w:r>
      <w:proofErr w:type="spellStart"/>
      <w:r>
        <w:rPr>
          <w:sz w:val="20"/>
          <w:szCs w:val="20"/>
        </w:rPr>
        <w:t>edn</w:t>
      </w:r>
      <w:proofErr w:type="spellEnd"/>
      <w:r>
        <w:rPr>
          <w:sz w:val="20"/>
          <w:szCs w:val="20"/>
        </w:rPr>
        <w:t xml:space="preserve"> (Oxford: Oxford University Press, 1971), pp. 504–520.</w:t>
      </w:r>
    </w:p>
  </w:footnote>
  <w:footnote w:id="21">
    <w:p w14:paraId="72C53CEB" w14:textId="77777777" w:rsidR="005729C0" w:rsidRDefault="00000000">
      <w:r>
        <w:rPr>
          <w:rStyle w:val="FootnoteReference"/>
        </w:rPr>
        <w:footnoteRef/>
      </w:r>
      <w:r>
        <w:rPr>
          <w:sz w:val="20"/>
          <w:szCs w:val="20"/>
        </w:rPr>
        <w:t xml:space="preserve">Stenton, </w:t>
      </w:r>
      <w:r>
        <w:rPr>
          <w:i/>
          <w:iCs/>
          <w:sz w:val="20"/>
          <w:szCs w:val="20"/>
        </w:rPr>
        <w:t>Anglo-Saxon England</w:t>
      </w:r>
      <w:r>
        <w:rPr>
          <w:sz w:val="20"/>
          <w:szCs w:val="20"/>
        </w:rPr>
        <w:t>, pp. 510–515.</w:t>
      </w:r>
    </w:p>
  </w:footnote>
  <w:footnote w:id="22">
    <w:p w14:paraId="13BEF57D" w14:textId="77777777" w:rsidR="005729C0" w:rsidRDefault="00000000">
      <w:r>
        <w:rPr>
          <w:rStyle w:val="FootnoteReference"/>
        </w:rPr>
        <w:footnoteRef/>
      </w:r>
      <w:r>
        <w:rPr>
          <w:sz w:val="20"/>
          <w:szCs w:val="20"/>
        </w:rPr>
        <w:t xml:space="preserve">Hadley, </w:t>
      </w:r>
      <w:r>
        <w:rPr>
          <w:i/>
          <w:iCs/>
          <w:sz w:val="20"/>
          <w:szCs w:val="20"/>
        </w:rPr>
        <w:t>Vikings in England</w:t>
      </w:r>
      <w:r>
        <w:rPr>
          <w:sz w:val="20"/>
          <w:szCs w:val="20"/>
        </w:rPr>
        <w:t>, pp. 200–250.</w:t>
      </w:r>
    </w:p>
  </w:footnote>
  <w:footnote w:id="23">
    <w:p w14:paraId="1FDC8877" w14:textId="77777777" w:rsidR="005729C0" w:rsidRDefault="00000000">
      <w:r>
        <w:rPr>
          <w:rStyle w:val="FootnoteReference"/>
        </w:rPr>
        <w:footnoteRef/>
      </w:r>
      <w:r>
        <w:rPr>
          <w:sz w:val="20"/>
          <w:szCs w:val="20"/>
        </w:rPr>
        <w:t xml:space="preserve">Cross, </w:t>
      </w:r>
      <w:r>
        <w:rPr>
          <w:i/>
          <w:iCs/>
          <w:sz w:val="20"/>
          <w:szCs w:val="20"/>
        </w:rPr>
        <w:t>Heirs of the Vikings</w:t>
      </w:r>
      <w:r>
        <w:rPr>
          <w:sz w:val="20"/>
          <w:szCs w:val="20"/>
        </w:rPr>
        <w:t>, conclusion.</w:t>
      </w:r>
    </w:p>
  </w:footnote>
  <w:footnote w:id="24">
    <w:p w14:paraId="6A6BFEB7" w14:textId="77777777" w:rsidR="005729C0" w:rsidRDefault="00000000">
      <w:r>
        <w:rPr>
          <w:rStyle w:val="FootnoteReference"/>
        </w:rPr>
        <w:footnoteRef/>
      </w:r>
      <w:r>
        <w:rPr>
          <w:sz w:val="20"/>
          <w:szCs w:val="20"/>
        </w:rPr>
        <w:t xml:space="preserve">Brubaker, </w:t>
      </w:r>
      <w:r>
        <w:rPr>
          <w:i/>
          <w:iCs/>
          <w:sz w:val="20"/>
          <w:szCs w:val="20"/>
        </w:rPr>
        <w:t>Ethnicity Without Groups</w:t>
      </w:r>
      <w:r>
        <w:rPr>
          <w:sz w:val="20"/>
          <w:szCs w:val="20"/>
        </w:rPr>
        <w:t>, pp. 28–63.</w:t>
      </w:r>
    </w:p>
  </w:footnote>
  <w:footnote w:id="25">
    <w:p w14:paraId="4C17A93E" w14:textId="77777777" w:rsidR="005729C0" w:rsidRDefault="00000000">
      <w:r>
        <w:rPr>
          <w:rStyle w:val="FootnoteReference"/>
        </w:rPr>
        <w:footnoteRef/>
      </w:r>
      <w:r>
        <w:rPr>
          <w:sz w:val="20"/>
          <w:szCs w:val="20"/>
        </w:rPr>
        <w:t xml:space="preserve">Hugh M. Thomas, </w:t>
      </w:r>
      <w:r>
        <w:rPr>
          <w:i/>
          <w:iCs/>
          <w:sz w:val="20"/>
          <w:szCs w:val="20"/>
        </w:rPr>
        <w:t>The English and the Normans: Ethnic Hostility, Assimilation and Identity, 1066–c.1220</w:t>
      </w:r>
      <w:r>
        <w:rPr>
          <w:sz w:val="20"/>
          <w:szCs w:val="20"/>
        </w:rPr>
        <w:t xml:space="preserve"> (Oxford: Oxford University Press, 2003), pp. 50–75.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F6AF4"/>
    <w:multiLevelType w:val="hybridMultilevel"/>
    <w:tmpl w:val="B5421C46"/>
    <w:lvl w:ilvl="0" w:tplc="FFD420F2">
      <w:start w:val="1"/>
      <w:numFmt w:val="bullet"/>
      <w:lvlText w:val="●"/>
      <w:lvlJc w:val="left"/>
      <w:pPr>
        <w:ind w:left="720" w:hanging="360"/>
      </w:pPr>
    </w:lvl>
    <w:lvl w:ilvl="1" w:tplc="2F82F346">
      <w:start w:val="1"/>
      <w:numFmt w:val="bullet"/>
      <w:lvlText w:val="○"/>
      <w:lvlJc w:val="left"/>
      <w:pPr>
        <w:ind w:left="1440" w:hanging="360"/>
      </w:pPr>
    </w:lvl>
    <w:lvl w:ilvl="2" w:tplc="87F66F0C">
      <w:start w:val="1"/>
      <w:numFmt w:val="bullet"/>
      <w:lvlText w:val="■"/>
      <w:lvlJc w:val="left"/>
      <w:pPr>
        <w:ind w:left="2160" w:hanging="360"/>
      </w:pPr>
    </w:lvl>
    <w:lvl w:ilvl="3" w:tplc="BD9461A2">
      <w:start w:val="1"/>
      <w:numFmt w:val="bullet"/>
      <w:lvlText w:val="●"/>
      <w:lvlJc w:val="left"/>
      <w:pPr>
        <w:ind w:left="2880" w:hanging="360"/>
      </w:pPr>
    </w:lvl>
    <w:lvl w:ilvl="4" w:tplc="F2D22148">
      <w:start w:val="1"/>
      <w:numFmt w:val="bullet"/>
      <w:lvlText w:val="○"/>
      <w:lvlJc w:val="left"/>
      <w:pPr>
        <w:ind w:left="3600" w:hanging="360"/>
      </w:pPr>
    </w:lvl>
    <w:lvl w:ilvl="5" w:tplc="07E2D784">
      <w:start w:val="1"/>
      <w:numFmt w:val="bullet"/>
      <w:lvlText w:val="■"/>
      <w:lvlJc w:val="left"/>
      <w:pPr>
        <w:ind w:left="4320" w:hanging="360"/>
      </w:pPr>
    </w:lvl>
    <w:lvl w:ilvl="6" w:tplc="9EB87C2C">
      <w:start w:val="1"/>
      <w:numFmt w:val="bullet"/>
      <w:lvlText w:val="●"/>
      <w:lvlJc w:val="left"/>
      <w:pPr>
        <w:ind w:left="5040" w:hanging="360"/>
      </w:pPr>
    </w:lvl>
    <w:lvl w:ilvl="7" w:tplc="3F808A2C">
      <w:start w:val="1"/>
      <w:numFmt w:val="bullet"/>
      <w:lvlText w:val="●"/>
      <w:lvlJc w:val="left"/>
      <w:pPr>
        <w:ind w:left="5760" w:hanging="360"/>
      </w:pPr>
    </w:lvl>
    <w:lvl w:ilvl="8" w:tplc="1DBE4212">
      <w:start w:val="1"/>
      <w:numFmt w:val="bullet"/>
      <w:lvlText w:val="●"/>
      <w:lvlJc w:val="left"/>
      <w:pPr>
        <w:ind w:left="6480" w:hanging="360"/>
      </w:pPr>
    </w:lvl>
  </w:abstractNum>
  <w:num w:numId="1" w16cid:durableId="157944071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29C0"/>
    <w:rsid w:val="00410BEF"/>
    <w:rsid w:val="004928A6"/>
    <w:rsid w:val="005729C0"/>
    <w:rsid w:val="006311AF"/>
    <w:rsid w:val="007178DD"/>
    <w:rsid w:val="00855A5E"/>
    <w:rsid w:val="008F1C22"/>
    <w:rsid w:val="00930336"/>
    <w:rsid w:val="00CF086C"/>
    <w:rsid w:val="00D97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E9F779"/>
  <w15:docId w15:val="{30A9BD89-E614-3A4A-80FD-0C2EE7FC3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928A6"/>
    <w:pPr>
      <w:tabs>
        <w:tab w:val="center" w:pos="4513"/>
        <w:tab w:val="right" w:pos="9026"/>
      </w:tabs>
    </w:pPr>
  </w:style>
  <w:style w:type="character" w:customStyle="1" w:styleId="HeaderChar">
    <w:name w:val="Header Char"/>
    <w:basedOn w:val="DefaultParagraphFont"/>
    <w:link w:val="Header"/>
    <w:uiPriority w:val="99"/>
    <w:rsid w:val="004928A6"/>
  </w:style>
  <w:style w:type="paragraph" w:styleId="Footer">
    <w:name w:val="footer"/>
    <w:basedOn w:val="Normal"/>
    <w:link w:val="FooterChar"/>
    <w:uiPriority w:val="99"/>
    <w:unhideWhenUsed/>
    <w:rsid w:val="004928A6"/>
    <w:pPr>
      <w:tabs>
        <w:tab w:val="center" w:pos="4513"/>
        <w:tab w:val="right" w:pos="9026"/>
      </w:tabs>
    </w:pPr>
  </w:style>
  <w:style w:type="character" w:customStyle="1" w:styleId="FooterChar">
    <w:name w:val="Footer Char"/>
    <w:basedOn w:val="DefaultParagraphFont"/>
    <w:link w:val="Footer"/>
    <w:uiPriority w:val="99"/>
    <w:rsid w:val="004928A6"/>
  </w:style>
  <w:style w:type="character" w:styleId="UnresolvedMention">
    <w:name w:val="Unresolved Mention"/>
    <w:basedOn w:val="DefaultParagraphFont"/>
    <w:uiPriority w:val="99"/>
    <w:semiHidden/>
    <w:unhideWhenUsed/>
    <w:rsid w:val="00D979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academia.edu/4872363/_Early_Normandy_" TargetMode="External"/><Relationship Id="rId1" Type="http://schemas.openxmlformats.org/officeDocument/2006/relationships/hyperlink" Target="https://archive.org/details/normandybefore100000bate/page/n13/mode/2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BE33E-0951-0845-9F62-76D003F33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3763</Words>
  <Characters>21450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Kate Love (2321358)</cp:lastModifiedBy>
  <cp:revision>3</cp:revision>
  <dcterms:created xsi:type="dcterms:W3CDTF">2026-05-11T20:01:00Z</dcterms:created>
  <dcterms:modified xsi:type="dcterms:W3CDTF">2026-05-11T20:02:00Z</dcterms:modified>
</cp:coreProperties>
</file>