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91376519"/>
        <w:docPartObj>
          <w:docPartGallery w:val="Cover Pages"/>
          <w:docPartUnique/>
        </w:docPartObj>
      </w:sdtPr>
      <w:sdtEndPr>
        <w:rPr>
          <w:rFonts w:ascii="Calibri" w:eastAsia="Times New Roman" w:hAnsi="Calibri" w:cs="Segoe UI"/>
          <w:lang w:eastAsia="en-GB"/>
        </w:rPr>
      </w:sdtEndPr>
      <w:sdtContent>
        <w:p w:rsidR="00D54D7B" w:rsidRDefault="00D54D7B" w:rsidP="000369E4">
          <w:pPr>
            <w:spacing w:line="360" w:lineRule="auto"/>
          </w:pPr>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B7674" w:rsidRDefault="005B7674">
                                  <w:pPr>
                                    <w:pStyle w:val="NoSpacing"/>
                                    <w:rPr>
                                      <w:color w:val="FFFFFF" w:themeColor="background1"/>
                                      <w:sz w:val="32"/>
                                      <w:szCs w:val="32"/>
                                    </w:rPr>
                                  </w:pPr>
                                  <w:r>
                                    <w:rPr>
                                      <w:color w:val="FFFFFF" w:themeColor="background1"/>
                                      <w:sz w:val="32"/>
                                      <w:szCs w:val="32"/>
                                    </w:rPr>
                                    <w:t>Student Number: 2005385</w:t>
                                  </w:r>
                                </w:p>
                                <w:p w:rsidR="005B7674" w:rsidRDefault="005B7674">
                                  <w:pPr>
                                    <w:pStyle w:val="NoSpacing"/>
                                    <w:rPr>
                                      <w:color w:val="FFFFFF" w:themeColor="background1"/>
                                      <w:sz w:val="32"/>
                                      <w:szCs w:val="32"/>
                                    </w:rPr>
                                  </w:pPr>
                                  <w:r>
                                    <w:rPr>
                                      <w:color w:val="FFFFFF" w:themeColor="background1"/>
                                      <w:sz w:val="32"/>
                                      <w:szCs w:val="32"/>
                                    </w:rPr>
                                    <w:t>Employment Law Module BMHR7003</w:t>
                                  </w:r>
                                </w:p>
                                <w:p w:rsidR="005B7674" w:rsidRDefault="005B7674">
                                  <w:pPr>
                                    <w:pStyle w:val="NoSpacing"/>
                                    <w:rPr>
                                      <w:color w:val="FFFFFF" w:themeColor="background1"/>
                                      <w:sz w:val="32"/>
                                      <w:szCs w:val="32"/>
                                    </w:rPr>
                                  </w:pPr>
                                  <w:r>
                                    <w:rPr>
                                      <w:color w:val="FFFFFF" w:themeColor="background1"/>
                                      <w:sz w:val="32"/>
                                      <w:szCs w:val="32"/>
                                    </w:rPr>
                                    <w:t>Word Count: 4,621</w:t>
                                  </w:r>
                                </w:p>
                                <w:p w:rsidR="005B7674" w:rsidRDefault="005B7674">
                                  <w:pPr>
                                    <w:pStyle w:val="NoSpacing"/>
                                    <w:rPr>
                                      <w:color w:val="FFFFFF" w:themeColor="background1"/>
                                      <w:sz w:val="32"/>
                                      <w:szCs w:val="32"/>
                                    </w:rPr>
                                  </w:pPr>
                                  <w:r>
                                    <w:rPr>
                                      <w:color w:val="FFFFFF" w:themeColor="background1"/>
                                      <w:sz w:val="32"/>
                                      <w:szCs w:val="32"/>
                                    </w:rPr>
                                    <w:t>University of Wales Trinity Saint David</w:t>
                                  </w:r>
                                </w:p>
                                <w:p w:rsidR="005B7674" w:rsidRDefault="005B7674">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5B7674" w:rsidRDefault="005B767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Employment Law</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5B7674" w:rsidRDefault="005B7674">
                                      <w:pPr>
                                        <w:pStyle w:val="NoSpacing"/>
                                        <w:spacing w:before="240"/>
                                        <w:rPr>
                                          <w:caps/>
                                          <w:color w:val="44546A" w:themeColor="text2"/>
                                          <w:sz w:val="36"/>
                                          <w:szCs w:val="36"/>
                                        </w:rPr>
                                      </w:pPr>
                                      <w:r>
                                        <w:rPr>
                                          <w:caps/>
                                          <w:color w:val="44546A" w:themeColor="text2"/>
                                          <w:sz w:val="36"/>
                                          <w:szCs w:val="36"/>
                                        </w:rPr>
                                        <w:t>aDVICE FOR BIG BUSES LIMITED</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rsidR="005B7674" w:rsidRDefault="005B7674">
                            <w:pPr>
                              <w:pStyle w:val="NoSpacing"/>
                              <w:rPr>
                                <w:color w:val="FFFFFF" w:themeColor="background1"/>
                                <w:sz w:val="32"/>
                                <w:szCs w:val="32"/>
                              </w:rPr>
                            </w:pPr>
                            <w:r>
                              <w:rPr>
                                <w:color w:val="FFFFFF" w:themeColor="background1"/>
                                <w:sz w:val="32"/>
                                <w:szCs w:val="32"/>
                              </w:rPr>
                              <w:t>Student Number: 2005385</w:t>
                            </w:r>
                          </w:p>
                          <w:p w:rsidR="005B7674" w:rsidRDefault="005B7674">
                            <w:pPr>
                              <w:pStyle w:val="NoSpacing"/>
                              <w:rPr>
                                <w:color w:val="FFFFFF" w:themeColor="background1"/>
                                <w:sz w:val="32"/>
                                <w:szCs w:val="32"/>
                              </w:rPr>
                            </w:pPr>
                            <w:r>
                              <w:rPr>
                                <w:color w:val="FFFFFF" w:themeColor="background1"/>
                                <w:sz w:val="32"/>
                                <w:szCs w:val="32"/>
                              </w:rPr>
                              <w:t>Employment Law Module BMHR7003</w:t>
                            </w:r>
                          </w:p>
                          <w:p w:rsidR="005B7674" w:rsidRDefault="005B7674">
                            <w:pPr>
                              <w:pStyle w:val="NoSpacing"/>
                              <w:rPr>
                                <w:color w:val="FFFFFF" w:themeColor="background1"/>
                                <w:sz w:val="32"/>
                                <w:szCs w:val="32"/>
                              </w:rPr>
                            </w:pPr>
                            <w:r>
                              <w:rPr>
                                <w:color w:val="FFFFFF" w:themeColor="background1"/>
                                <w:sz w:val="32"/>
                                <w:szCs w:val="32"/>
                              </w:rPr>
                              <w:t>Word Count: 4,621</w:t>
                            </w:r>
                          </w:p>
                          <w:p w:rsidR="005B7674" w:rsidRDefault="005B7674">
                            <w:pPr>
                              <w:pStyle w:val="NoSpacing"/>
                              <w:rPr>
                                <w:color w:val="FFFFFF" w:themeColor="background1"/>
                                <w:sz w:val="32"/>
                                <w:szCs w:val="32"/>
                              </w:rPr>
                            </w:pPr>
                            <w:r>
                              <w:rPr>
                                <w:color w:val="FFFFFF" w:themeColor="background1"/>
                                <w:sz w:val="32"/>
                                <w:szCs w:val="32"/>
                              </w:rPr>
                              <w:t>University of Wales Trinity Saint David</w:t>
                            </w:r>
                          </w:p>
                          <w:p w:rsidR="005B7674" w:rsidRDefault="005B7674">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5B7674" w:rsidRDefault="005B767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Employment Law</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5B7674" w:rsidRDefault="005B7674">
                                <w:pPr>
                                  <w:pStyle w:val="NoSpacing"/>
                                  <w:spacing w:before="240"/>
                                  <w:rPr>
                                    <w:caps/>
                                    <w:color w:val="44546A" w:themeColor="text2"/>
                                    <w:sz w:val="36"/>
                                    <w:szCs w:val="36"/>
                                  </w:rPr>
                                </w:pPr>
                                <w:r>
                                  <w:rPr>
                                    <w:caps/>
                                    <w:color w:val="44546A" w:themeColor="text2"/>
                                    <w:sz w:val="36"/>
                                    <w:szCs w:val="36"/>
                                  </w:rPr>
                                  <w:t>aDVICE FOR BIG BUSES LIMITED</w:t>
                                </w:r>
                              </w:p>
                            </w:sdtContent>
                          </w:sdt>
                        </w:txbxContent>
                      </v:textbox>
                    </v:shape>
                    <w10:wrap anchorx="page" anchory="page"/>
                  </v:group>
                </w:pict>
              </mc:Fallback>
            </mc:AlternateContent>
          </w:r>
        </w:p>
        <w:p w:rsidR="00D54D7B" w:rsidRDefault="00D54D7B" w:rsidP="000369E4">
          <w:pPr>
            <w:spacing w:line="360" w:lineRule="auto"/>
            <w:rPr>
              <w:rFonts w:ascii="Calibri" w:eastAsia="Times New Roman" w:hAnsi="Calibri" w:cs="Segoe UI"/>
              <w:lang w:eastAsia="en-GB"/>
            </w:rPr>
          </w:pPr>
          <w:r>
            <w:rPr>
              <w:rFonts w:ascii="Calibri" w:eastAsia="Times New Roman" w:hAnsi="Calibri" w:cs="Segoe UI"/>
              <w:lang w:eastAsia="en-GB"/>
            </w:rPr>
            <w:br w:type="page"/>
          </w:r>
        </w:p>
      </w:sdtContent>
    </w:sdt>
    <w:sdt>
      <w:sdtPr>
        <w:rPr>
          <w:rFonts w:ascii="Arial" w:eastAsiaTheme="minorHAnsi" w:hAnsi="Arial" w:cs="Arial"/>
          <w:color w:val="auto"/>
          <w:sz w:val="24"/>
          <w:szCs w:val="24"/>
          <w:lang w:val="en-GB"/>
        </w:rPr>
        <w:id w:val="-1518383235"/>
        <w:docPartObj>
          <w:docPartGallery w:val="Table of Contents"/>
          <w:docPartUnique/>
        </w:docPartObj>
      </w:sdtPr>
      <w:sdtEndPr>
        <w:rPr>
          <w:b/>
          <w:bCs/>
          <w:noProof/>
        </w:rPr>
      </w:sdtEndPr>
      <w:sdtContent>
        <w:p w:rsidR="00FF2A84" w:rsidRPr="00FF2A84" w:rsidRDefault="00FF2A84" w:rsidP="000369E4">
          <w:pPr>
            <w:pStyle w:val="TOCHeading"/>
            <w:spacing w:line="360" w:lineRule="auto"/>
            <w:rPr>
              <w:rFonts w:ascii="Arial" w:hAnsi="Arial" w:cs="Arial"/>
              <w:sz w:val="24"/>
              <w:szCs w:val="24"/>
            </w:rPr>
          </w:pPr>
          <w:r w:rsidRPr="00FF2A84">
            <w:rPr>
              <w:rFonts w:ascii="Arial" w:hAnsi="Arial" w:cs="Arial"/>
              <w:sz w:val="24"/>
              <w:szCs w:val="24"/>
            </w:rPr>
            <w:t>Contents</w:t>
          </w:r>
        </w:p>
        <w:p w:rsidR="00AB0EEF" w:rsidRDefault="00FF2A84">
          <w:pPr>
            <w:pStyle w:val="TOC1"/>
            <w:tabs>
              <w:tab w:val="right" w:leader="dot" w:pos="9016"/>
            </w:tabs>
            <w:rPr>
              <w:rFonts w:eastAsiaTheme="minorEastAsia"/>
              <w:noProof/>
              <w:lang w:eastAsia="en-GB"/>
            </w:rPr>
          </w:pPr>
          <w:r w:rsidRPr="00FF2A84">
            <w:rPr>
              <w:rFonts w:ascii="Arial" w:hAnsi="Arial" w:cs="Arial"/>
              <w:sz w:val="24"/>
              <w:szCs w:val="24"/>
            </w:rPr>
            <w:fldChar w:fldCharType="begin"/>
          </w:r>
          <w:r w:rsidRPr="00FF2A84">
            <w:rPr>
              <w:rFonts w:ascii="Arial" w:hAnsi="Arial" w:cs="Arial"/>
              <w:sz w:val="24"/>
              <w:szCs w:val="24"/>
            </w:rPr>
            <w:instrText xml:space="preserve"> TOC \o "1-3" \h \z \u </w:instrText>
          </w:r>
          <w:r w:rsidRPr="00FF2A84">
            <w:rPr>
              <w:rFonts w:ascii="Arial" w:hAnsi="Arial" w:cs="Arial"/>
              <w:sz w:val="24"/>
              <w:szCs w:val="24"/>
            </w:rPr>
            <w:fldChar w:fldCharType="separate"/>
          </w:r>
          <w:hyperlink w:anchor="_Toc71489201" w:history="1">
            <w:r w:rsidR="00AB0EEF" w:rsidRPr="00526656">
              <w:rPr>
                <w:rStyle w:val="Hyperlink"/>
                <w:rFonts w:ascii="Arial" w:hAnsi="Arial" w:cs="Arial"/>
                <w:noProof/>
              </w:rPr>
              <w:t>Section A</w:t>
            </w:r>
            <w:r w:rsidR="00AB0EEF">
              <w:rPr>
                <w:noProof/>
                <w:webHidden/>
              </w:rPr>
              <w:tab/>
            </w:r>
            <w:r w:rsidR="00AB0EEF">
              <w:rPr>
                <w:noProof/>
                <w:webHidden/>
              </w:rPr>
              <w:fldChar w:fldCharType="begin"/>
            </w:r>
            <w:r w:rsidR="00AB0EEF">
              <w:rPr>
                <w:noProof/>
                <w:webHidden/>
              </w:rPr>
              <w:instrText xml:space="preserve"> PAGEREF _Toc71489201 \h </w:instrText>
            </w:r>
            <w:r w:rsidR="00AB0EEF">
              <w:rPr>
                <w:noProof/>
                <w:webHidden/>
              </w:rPr>
            </w:r>
            <w:r w:rsidR="00AB0EEF">
              <w:rPr>
                <w:noProof/>
                <w:webHidden/>
              </w:rPr>
              <w:fldChar w:fldCharType="separate"/>
            </w:r>
            <w:r w:rsidR="00AB0EEF">
              <w:rPr>
                <w:noProof/>
                <w:webHidden/>
              </w:rPr>
              <w:t>1</w:t>
            </w:r>
            <w:r w:rsidR="00AB0EEF">
              <w:rPr>
                <w:noProof/>
                <w:webHidden/>
              </w:rPr>
              <w:fldChar w:fldCharType="end"/>
            </w:r>
          </w:hyperlink>
        </w:p>
        <w:p w:rsidR="00AB0EEF" w:rsidRDefault="00AB0EEF">
          <w:pPr>
            <w:pStyle w:val="TOC2"/>
            <w:tabs>
              <w:tab w:val="right" w:leader="dot" w:pos="9016"/>
            </w:tabs>
            <w:rPr>
              <w:rFonts w:eastAsiaTheme="minorEastAsia"/>
              <w:noProof/>
              <w:lang w:eastAsia="en-GB"/>
            </w:rPr>
          </w:pPr>
          <w:hyperlink w:anchor="_Toc71489202" w:history="1">
            <w:r w:rsidRPr="00526656">
              <w:rPr>
                <w:rStyle w:val="Hyperlink"/>
                <w:rFonts w:ascii="Arial" w:hAnsi="Arial" w:cs="Arial"/>
                <w:noProof/>
              </w:rPr>
              <w:t>1.1</w:t>
            </w:r>
            <w:r>
              <w:rPr>
                <w:noProof/>
                <w:webHidden/>
              </w:rPr>
              <w:tab/>
            </w:r>
            <w:r>
              <w:rPr>
                <w:noProof/>
                <w:webHidden/>
              </w:rPr>
              <w:fldChar w:fldCharType="begin"/>
            </w:r>
            <w:r>
              <w:rPr>
                <w:noProof/>
                <w:webHidden/>
              </w:rPr>
              <w:instrText xml:space="preserve"> PAGEREF _Toc71489202 \h </w:instrText>
            </w:r>
            <w:r>
              <w:rPr>
                <w:noProof/>
                <w:webHidden/>
              </w:rPr>
            </w:r>
            <w:r>
              <w:rPr>
                <w:noProof/>
                <w:webHidden/>
              </w:rPr>
              <w:fldChar w:fldCharType="separate"/>
            </w:r>
            <w:r>
              <w:rPr>
                <w:noProof/>
                <w:webHidden/>
              </w:rPr>
              <w:t>2</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3" w:history="1">
            <w:r w:rsidRPr="00526656">
              <w:rPr>
                <w:rStyle w:val="Hyperlink"/>
                <w:rFonts w:ascii="Arial" w:hAnsi="Arial" w:cs="Arial"/>
                <w:noProof/>
              </w:rPr>
              <w:t>Process and timescales for an Employment Tribunal</w:t>
            </w:r>
            <w:r>
              <w:rPr>
                <w:noProof/>
                <w:webHidden/>
              </w:rPr>
              <w:tab/>
            </w:r>
            <w:r>
              <w:rPr>
                <w:noProof/>
                <w:webHidden/>
              </w:rPr>
              <w:fldChar w:fldCharType="begin"/>
            </w:r>
            <w:r>
              <w:rPr>
                <w:noProof/>
                <w:webHidden/>
              </w:rPr>
              <w:instrText xml:space="preserve"> PAGEREF _Toc71489203 \h </w:instrText>
            </w:r>
            <w:r>
              <w:rPr>
                <w:noProof/>
                <w:webHidden/>
              </w:rPr>
            </w:r>
            <w:r>
              <w:rPr>
                <w:noProof/>
                <w:webHidden/>
              </w:rPr>
              <w:fldChar w:fldCharType="separate"/>
            </w:r>
            <w:r>
              <w:rPr>
                <w:noProof/>
                <w:webHidden/>
              </w:rPr>
              <w:t>2</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4" w:history="1">
            <w:r w:rsidRPr="00526656">
              <w:rPr>
                <w:rStyle w:val="Hyperlink"/>
                <w:rFonts w:ascii="Arial" w:hAnsi="Arial" w:cs="Arial"/>
                <w:noProof/>
              </w:rPr>
              <w:t>Details of the grounds for the claims being made</w:t>
            </w:r>
            <w:r>
              <w:rPr>
                <w:noProof/>
                <w:webHidden/>
              </w:rPr>
              <w:tab/>
            </w:r>
            <w:r>
              <w:rPr>
                <w:noProof/>
                <w:webHidden/>
              </w:rPr>
              <w:fldChar w:fldCharType="begin"/>
            </w:r>
            <w:r>
              <w:rPr>
                <w:noProof/>
                <w:webHidden/>
              </w:rPr>
              <w:instrText xml:space="preserve"> PAGEREF _Toc71489204 \h </w:instrText>
            </w:r>
            <w:r>
              <w:rPr>
                <w:noProof/>
                <w:webHidden/>
              </w:rPr>
            </w:r>
            <w:r>
              <w:rPr>
                <w:noProof/>
                <w:webHidden/>
              </w:rPr>
              <w:fldChar w:fldCharType="separate"/>
            </w:r>
            <w:r>
              <w:rPr>
                <w:noProof/>
                <w:webHidden/>
              </w:rPr>
              <w:t>2</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5" w:history="1">
            <w:r w:rsidRPr="00526656">
              <w:rPr>
                <w:rStyle w:val="Hyperlink"/>
                <w:rFonts w:ascii="Arial" w:hAnsi="Arial" w:cs="Arial"/>
                <w:noProof/>
              </w:rPr>
              <w:t>Defences</w:t>
            </w:r>
            <w:r>
              <w:rPr>
                <w:noProof/>
                <w:webHidden/>
              </w:rPr>
              <w:tab/>
            </w:r>
            <w:r>
              <w:rPr>
                <w:noProof/>
                <w:webHidden/>
              </w:rPr>
              <w:fldChar w:fldCharType="begin"/>
            </w:r>
            <w:r>
              <w:rPr>
                <w:noProof/>
                <w:webHidden/>
              </w:rPr>
              <w:instrText xml:space="preserve"> PAGEREF _Toc71489205 \h </w:instrText>
            </w:r>
            <w:r>
              <w:rPr>
                <w:noProof/>
                <w:webHidden/>
              </w:rPr>
            </w:r>
            <w:r>
              <w:rPr>
                <w:noProof/>
                <w:webHidden/>
              </w:rPr>
              <w:fldChar w:fldCharType="separate"/>
            </w:r>
            <w:r>
              <w:rPr>
                <w:noProof/>
                <w:webHidden/>
              </w:rPr>
              <w:t>5</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6" w:history="1">
            <w:r w:rsidRPr="00526656">
              <w:rPr>
                <w:rStyle w:val="Hyperlink"/>
                <w:rFonts w:ascii="Arial" w:hAnsi="Arial" w:cs="Arial"/>
                <w:noProof/>
              </w:rPr>
              <w:t>Strengths and weaknesses</w:t>
            </w:r>
            <w:r>
              <w:rPr>
                <w:noProof/>
                <w:webHidden/>
              </w:rPr>
              <w:tab/>
            </w:r>
            <w:r>
              <w:rPr>
                <w:noProof/>
                <w:webHidden/>
              </w:rPr>
              <w:fldChar w:fldCharType="begin"/>
            </w:r>
            <w:r>
              <w:rPr>
                <w:noProof/>
                <w:webHidden/>
              </w:rPr>
              <w:instrText xml:space="preserve"> PAGEREF _Toc71489206 \h </w:instrText>
            </w:r>
            <w:r>
              <w:rPr>
                <w:noProof/>
                <w:webHidden/>
              </w:rPr>
            </w:r>
            <w:r>
              <w:rPr>
                <w:noProof/>
                <w:webHidden/>
              </w:rPr>
              <w:fldChar w:fldCharType="separate"/>
            </w:r>
            <w:r>
              <w:rPr>
                <w:noProof/>
                <w:webHidden/>
              </w:rPr>
              <w:t>7</w:t>
            </w:r>
            <w:r>
              <w:rPr>
                <w:noProof/>
                <w:webHidden/>
              </w:rPr>
              <w:fldChar w:fldCharType="end"/>
            </w:r>
          </w:hyperlink>
        </w:p>
        <w:p w:rsidR="00AB0EEF" w:rsidRDefault="00AB0EEF">
          <w:pPr>
            <w:pStyle w:val="TOC2"/>
            <w:tabs>
              <w:tab w:val="right" w:leader="dot" w:pos="9016"/>
            </w:tabs>
            <w:rPr>
              <w:rFonts w:eastAsiaTheme="minorEastAsia"/>
              <w:noProof/>
              <w:lang w:eastAsia="en-GB"/>
            </w:rPr>
          </w:pPr>
          <w:hyperlink w:anchor="_Toc71489207" w:history="1">
            <w:r w:rsidRPr="00526656">
              <w:rPr>
                <w:rStyle w:val="Hyperlink"/>
                <w:rFonts w:ascii="Arial" w:hAnsi="Arial" w:cs="Arial"/>
                <w:noProof/>
              </w:rPr>
              <w:t>1.2</w:t>
            </w:r>
            <w:r>
              <w:rPr>
                <w:noProof/>
                <w:webHidden/>
              </w:rPr>
              <w:tab/>
            </w:r>
            <w:r>
              <w:rPr>
                <w:noProof/>
                <w:webHidden/>
              </w:rPr>
              <w:fldChar w:fldCharType="begin"/>
            </w:r>
            <w:r>
              <w:rPr>
                <w:noProof/>
                <w:webHidden/>
              </w:rPr>
              <w:instrText xml:space="preserve"> PAGEREF _Toc71489207 \h </w:instrText>
            </w:r>
            <w:r>
              <w:rPr>
                <w:noProof/>
                <w:webHidden/>
              </w:rPr>
            </w:r>
            <w:r>
              <w:rPr>
                <w:noProof/>
                <w:webHidden/>
              </w:rPr>
              <w:fldChar w:fldCharType="separate"/>
            </w:r>
            <w:r>
              <w:rPr>
                <w:noProof/>
                <w:webHidden/>
              </w:rPr>
              <w:t>8</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8" w:history="1">
            <w:r w:rsidRPr="00526656">
              <w:rPr>
                <w:rStyle w:val="Hyperlink"/>
                <w:rFonts w:ascii="Arial" w:hAnsi="Arial" w:cs="Arial"/>
                <w:noProof/>
              </w:rPr>
              <w:t>Remedies</w:t>
            </w:r>
            <w:r>
              <w:rPr>
                <w:noProof/>
                <w:webHidden/>
              </w:rPr>
              <w:tab/>
            </w:r>
            <w:r>
              <w:rPr>
                <w:noProof/>
                <w:webHidden/>
              </w:rPr>
              <w:fldChar w:fldCharType="begin"/>
            </w:r>
            <w:r>
              <w:rPr>
                <w:noProof/>
                <w:webHidden/>
              </w:rPr>
              <w:instrText xml:space="preserve"> PAGEREF _Toc71489208 \h </w:instrText>
            </w:r>
            <w:r>
              <w:rPr>
                <w:noProof/>
                <w:webHidden/>
              </w:rPr>
            </w:r>
            <w:r>
              <w:rPr>
                <w:noProof/>
                <w:webHidden/>
              </w:rPr>
              <w:fldChar w:fldCharType="separate"/>
            </w:r>
            <w:r>
              <w:rPr>
                <w:noProof/>
                <w:webHidden/>
              </w:rPr>
              <w:t>8</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09" w:history="1">
            <w:r w:rsidRPr="00526656">
              <w:rPr>
                <w:rStyle w:val="Hyperlink"/>
                <w:rFonts w:ascii="Arial" w:hAnsi="Arial" w:cs="Arial"/>
                <w:noProof/>
              </w:rPr>
              <w:t>Financial elements</w:t>
            </w:r>
            <w:r>
              <w:rPr>
                <w:noProof/>
                <w:webHidden/>
              </w:rPr>
              <w:tab/>
            </w:r>
            <w:r>
              <w:rPr>
                <w:noProof/>
                <w:webHidden/>
              </w:rPr>
              <w:fldChar w:fldCharType="begin"/>
            </w:r>
            <w:r>
              <w:rPr>
                <w:noProof/>
                <w:webHidden/>
              </w:rPr>
              <w:instrText xml:space="preserve"> PAGEREF _Toc71489209 \h </w:instrText>
            </w:r>
            <w:r>
              <w:rPr>
                <w:noProof/>
                <w:webHidden/>
              </w:rPr>
            </w:r>
            <w:r>
              <w:rPr>
                <w:noProof/>
                <w:webHidden/>
              </w:rPr>
              <w:fldChar w:fldCharType="separate"/>
            </w:r>
            <w:r>
              <w:rPr>
                <w:noProof/>
                <w:webHidden/>
              </w:rPr>
              <w:t>9</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10" w:history="1">
            <w:r w:rsidRPr="00526656">
              <w:rPr>
                <w:rStyle w:val="Hyperlink"/>
                <w:rFonts w:ascii="Arial" w:hAnsi="Arial" w:cs="Arial"/>
                <w:noProof/>
              </w:rPr>
              <w:t>Basic award</w:t>
            </w:r>
            <w:r>
              <w:rPr>
                <w:noProof/>
                <w:webHidden/>
              </w:rPr>
              <w:tab/>
            </w:r>
            <w:r>
              <w:rPr>
                <w:noProof/>
                <w:webHidden/>
              </w:rPr>
              <w:fldChar w:fldCharType="begin"/>
            </w:r>
            <w:r>
              <w:rPr>
                <w:noProof/>
                <w:webHidden/>
              </w:rPr>
              <w:instrText xml:space="preserve"> PAGEREF _Toc71489210 \h </w:instrText>
            </w:r>
            <w:r>
              <w:rPr>
                <w:noProof/>
                <w:webHidden/>
              </w:rPr>
            </w:r>
            <w:r>
              <w:rPr>
                <w:noProof/>
                <w:webHidden/>
              </w:rPr>
              <w:fldChar w:fldCharType="separate"/>
            </w:r>
            <w:r>
              <w:rPr>
                <w:noProof/>
                <w:webHidden/>
              </w:rPr>
              <w:t>9</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11" w:history="1">
            <w:r w:rsidRPr="00526656">
              <w:rPr>
                <w:rStyle w:val="Hyperlink"/>
                <w:rFonts w:ascii="Arial" w:hAnsi="Arial" w:cs="Arial"/>
                <w:noProof/>
              </w:rPr>
              <w:t>Increase or reduce the financial claims</w:t>
            </w:r>
            <w:r>
              <w:rPr>
                <w:noProof/>
                <w:webHidden/>
              </w:rPr>
              <w:tab/>
            </w:r>
            <w:r>
              <w:rPr>
                <w:noProof/>
                <w:webHidden/>
              </w:rPr>
              <w:fldChar w:fldCharType="begin"/>
            </w:r>
            <w:r>
              <w:rPr>
                <w:noProof/>
                <w:webHidden/>
              </w:rPr>
              <w:instrText xml:space="preserve"> PAGEREF _Toc71489211 \h </w:instrText>
            </w:r>
            <w:r>
              <w:rPr>
                <w:noProof/>
                <w:webHidden/>
              </w:rPr>
            </w:r>
            <w:r>
              <w:rPr>
                <w:noProof/>
                <w:webHidden/>
              </w:rPr>
              <w:fldChar w:fldCharType="separate"/>
            </w:r>
            <w:r>
              <w:rPr>
                <w:noProof/>
                <w:webHidden/>
              </w:rPr>
              <w:t>9</w:t>
            </w:r>
            <w:r>
              <w:rPr>
                <w:noProof/>
                <w:webHidden/>
              </w:rPr>
              <w:fldChar w:fldCharType="end"/>
            </w:r>
          </w:hyperlink>
        </w:p>
        <w:p w:rsidR="00AB0EEF" w:rsidRDefault="00AB0EEF">
          <w:pPr>
            <w:pStyle w:val="TOC3"/>
            <w:tabs>
              <w:tab w:val="right" w:leader="dot" w:pos="9016"/>
            </w:tabs>
            <w:rPr>
              <w:rFonts w:eastAsiaTheme="minorEastAsia"/>
              <w:noProof/>
              <w:lang w:eastAsia="en-GB"/>
            </w:rPr>
          </w:pPr>
          <w:hyperlink w:anchor="_Toc71489212" w:history="1">
            <w:r w:rsidRPr="00526656">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_Toc71489212 \h </w:instrText>
            </w:r>
            <w:r>
              <w:rPr>
                <w:noProof/>
                <w:webHidden/>
              </w:rPr>
            </w:r>
            <w:r>
              <w:rPr>
                <w:noProof/>
                <w:webHidden/>
              </w:rPr>
              <w:fldChar w:fldCharType="separate"/>
            </w:r>
            <w:r>
              <w:rPr>
                <w:noProof/>
                <w:webHidden/>
              </w:rPr>
              <w:t>10</w:t>
            </w:r>
            <w:r>
              <w:rPr>
                <w:noProof/>
                <w:webHidden/>
              </w:rPr>
              <w:fldChar w:fldCharType="end"/>
            </w:r>
          </w:hyperlink>
        </w:p>
        <w:p w:rsidR="00AB0EEF" w:rsidRDefault="00AB0EEF">
          <w:pPr>
            <w:pStyle w:val="TOC1"/>
            <w:tabs>
              <w:tab w:val="right" w:leader="dot" w:pos="9016"/>
            </w:tabs>
            <w:rPr>
              <w:rFonts w:eastAsiaTheme="minorEastAsia"/>
              <w:noProof/>
              <w:lang w:eastAsia="en-GB"/>
            </w:rPr>
          </w:pPr>
          <w:hyperlink w:anchor="_Toc71489213" w:history="1">
            <w:r w:rsidRPr="00526656">
              <w:rPr>
                <w:rStyle w:val="Hyperlink"/>
                <w:rFonts w:ascii="Arial" w:hAnsi="Arial" w:cs="Arial"/>
                <w:noProof/>
              </w:rPr>
              <w:t>Section 2</w:t>
            </w:r>
            <w:r>
              <w:rPr>
                <w:noProof/>
                <w:webHidden/>
              </w:rPr>
              <w:tab/>
            </w:r>
            <w:r>
              <w:rPr>
                <w:noProof/>
                <w:webHidden/>
              </w:rPr>
              <w:fldChar w:fldCharType="begin"/>
            </w:r>
            <w:r>
              <w:rPr>
                <w:noProof/>
                <w:webHidden/>
              </w:rPr>
              <w:instrText xml:space="preserve"> PAGEREF _Toc71489213 \h </w:instrText>
            </w:r>
            <w:r>
              <w:rPr>
                <w:noProof/>
                <w:webHidden/>
              </w:rPr>
            </w:r>
            <w:r>
              <w:rPr>
                <w:noProof/>
                <w:webHidden/>
              </w:rPr>
              <w:fldChar w:fldCharType="separate"/>
            </w:r>
            <w:r>
              <w:rPr>
                <w:noProof/>
                <w:webHidden/>
              </w:rPr>
              <w:t>11</w:t>
            </w:r>
            <w:r>
              <w:rPr>
                <w:noProof/>
                <w:webHidden/>
              </w:rPr>
              <w:fldChar w:fldCharType="end"/>
            </w:r>
          </w:hyperlink>
        </w:p>
        <w:p w:rsidR="00AB0EEF" w:rsidRDefault="00AB0EEF">
          <w:pPr>
            <w:pStyle w:val="TOC2"/>
            <w:tabs>
              <w:tab w:val="right" w:leader="dot" w:pos="9016"/>
            </w:tabs>
            <w:rPr>
              <w:rFonts w:eastAsiaTheme="minorEastAsia"/>
              <w:noProof/>
              <w:lang w:eastAsia="en-GB"/>
            </w:rPr>
          </w:pPr>
          <w:hyperlink w:anchor="_Toc71489214" w:history="1">
            <w:r w:rsidRPr="00526656">
              <w:rPr>
                <w:rStyle w:val="Hyperlink"/>
                <w:rFonts w:ascii="Arial" w:hAnsi="Arial" w:cs="Arial"/>
                <w:noProof/>
              </w:rPr>
              <w:t>2.1 Julie Davies</w:t>
            </w:r>
            <w:r>
              <w:rPr>
                <w:noProof/>
                <w:webHidden/>
              </w:rPr>
              <w:tab/>
            </w:r>
            <w:r>
              <w:rPr>
                <w:noProof/>
                <w:webHidden/>
              </w:rPr>
              <w:fldChar w:fldCharType="begin"/>
            </w:r>
            <w:r>
              <w:rPr>
                <w:noProof/>
                <w:webHidden/>
              </w:rPr>
              <w:instrText xml:space="preserve"> PAGEREF _Toc71489214 \h </w:instrText>
            </w:r>
            <w:r>
              <w:rPr>
                <w:noProof/>
                <w:webHidden/>
              </w:rPr>
            </w:r>
            <w:r>
              <w:rPr>
                <w:noProof/>
                <w:webHidden/>
              </w:rPr>
              <w:fldChar w:fldCharType="separate"/>
            </w:r>
            <w:r>
              <w:rPr>
                <w:noProof/>
                <w:webHidden/>
              </w:rPr>
              <w:t>11</w:t>
            </w:r>
            <w:r>
              <w:rPr>
                <w:noProof/>
                <w:webHidden/>
              </w:rPr>
              <w:fldChar w:fldCharType="end"/>
            </w:r>
          </w:hyperlink>
        </w:p>
        <w:p w:rsidR="00AB0EEF" w:rsidRDefault="00AB0EEF">
          <w:pPr>
            <w:pStyle w:val="TOC2"/>
            <w:tabs>
              <w:tab w:val="right" w:leader="dot" w:pos="9016"/>
            </w:tabs>
            <w:rPr>
              <w:rFonts w:eastAsiaTheme="minorEastAsia"/>
              <w:noProof/>
              <w:lang w:eastAsia="en-GB"/>
            </w:rPr>
          </w:pPr>
          <w:hyperlink w:anchor="_Toc71489215" w:history="1">
            <w:r w:rsidRPr="00526656">
              <w:rPr>
                <w:rStyle w:val="Hyperlink"/>
                <w:rFonts w:ascii="Arial" w:hAnsi="Arial" w:cs="Arial"/>
                <w:noProof/>
              </w:rPr>
              <w:t>2.2 Lucy Bell</w:t>
            </w:r>
            <w:r>
              <w:rPr>
                <w:noProof/>
                <w:webHidden/>
              </w:rPr>
              <w:tab/>
            </w:r>
            <w:r>
              <w:rPr>
                <w:noProof/>
                <w:webHidden/>
              </w:rPr>
              <w:fldChar w:fldCharType="begin"/>
            </w:r>
            <w:r>
              <w:rPr>
                <w:noProof/>
                <w:webHidden/>
              </w:rPr>
              <w:instrText xml:space="preserve"> PAGEREF _Toc71489215 \h </w:instrText>
            </w:r>
            <w:r>
              <w:rPr>
                <w:noProof/>
                <w:webHidden/>
              </w:rPr>
            </w:r>
            <w:r>
              <w:rPr>
                <w:noProof/>
                <w:webHidden/>
              </w:rPr>
              <w:fldChar w:fldCharType="separate"/>
            </w:r>
            <w:r>
              <w:rPr>
                <w:noProof/>
                <w:webHidden/>
              </w:rPr>
              <w:t>14</w:t>
            </w:r>
            <w:r>
              <w:rPr>
                <w:noProof/>
                <w:webHidden/>
              </w:rPr>
              <w:fldChar w:fldCharType="end"/>
            </w:r>
          </w:hyperlink>
        </w:p>
        <w:p w:rsidR="00AB0EEF" w:rsidRDefault="00AB0EEF">
          <w:pPr>
            <w:pStyle w:val="TOC1"/>
            <w:tabs>
              <w:tab w:val="right" w:leader="dot" w:pos="9016"/>
            </w:tabs>
            <w:rPr>
              <w:rFonts w:eastAsiaTheme="minorEastAsia"/>
              <w:noProof/>
              <w:lang w:eastAsia="en-GB"/>
            </w:rPr>
          </w:pPr>
          <w:hyperlink w:anchor="_Toc71489216" w:history="1">
            <w:r w:rsidRPr="00526656">
              <w:rPr>
                <w:rStyle w:val="Hyperlink"/>
                <w:rFonts w:ascii="Arial" w:hAnsi="Arial" w:cs="Arial"/>
                <w:noProof/>
              </w:rPr>
              <w:t>References</w:t>
            </w:r>
            <w:r>
              <w:rPr>
                <w:noProof/>
                <w:webHidden/>
              </w:rPr>
              <w:tab/>
            </w:r>
            <w:r>
              <w:rPr>
                <w:noProof/>
                <w:webHidden/>
              </w:rPr>
              <w:fldChar w:fldCharType="begin"/>
            </w:r>
            <w:r>
              <w:rPr>
                <w:noProof/>
                <w:webHidden/>
              </w:rPr>
              <w:instrText xml:space="preserve"> PAGEREF _Toc71489216 \h </w:instrText>
            </w:r>
            <w:r>
              <w:rPr>
                <w:noProof/>
                <w:webHidden/>
              </w:rPr>
            </w:r>
            <w:r>
              <w:rPr>
                <w:noProof/>
                <w:webHidden/>
              </w:rPr>
              <w:fldChar w:fldCharType="separate"/>
            </w:r>
            <w:r>
              <w:rPr>
                <w:noProof/>
                <w:webHidden/>
              </w:rPr>
              <w:t>17</w:t>
            </w:r>
            <w:r>
              <w:rPr>
                <w:noProof/>
                <w:webHidden/>
              </w:rPr>
              <w:fldChar w:fldCharType="end"/>
            </w:r>
          </w:hyperlink>
        </w:p>
        <w:p w:rsidR="00FF2A84" w:rsidRPr="00FF2A84" w:rsidRDefault="00FF2A84" w:rsidP="000369E4">
          <w:pPr>
            <w:spacing w:line="360" w:lineRule="auto"/>
            <w:rPr>
              <w:rFonts w:ascii="Arial" w:hAnsi="Arial" w:cs="Arial"/>
              <w:sz w:val="24"/>
              <w:szCs w:val="24"/>
            </w:rPr>
          </w:pPr>
          <w:r w:rsidRPr="00FF2A84">
            <w:rPr>
              <w:rFonts w:ascii="Arial" w:hAnsi="Arial" w:cs="Arial"/>
              <w:b/>
              <w:bCs/>
              <w:noProof/>
              <w:sz w:val="24"/>
              <w:szCs w:val="24"/>
            </w:rPr>
            <w:fldChar w:fldCharType="end"/>
          </w:r>
        </w:p>
      </w:sdtContent>
    </w:sdt>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1C0CFD" w:rsidRDefault="001C0CFD" w:rsidP="000369E4">
      <w:pPr>
        <w:spacing w:line="360" w:lineRule="auto"/>
        <w:rPr>
          <w:rFonts w:ascii="Arial" w:hAnsi="Arial" w:cs="Arial"/>
          <w:sz w:val="24"/>
          <w:szCs w:val="24"/>
        </w:rPr>
      </w:pPr>
    </w:p>
    <w:p w:rsidR="00AB0EEF" w:rsidRPr="00FF2A84" w:rsidRDefault="00AB0EEF" w:rsidP="000369E4">
      <w:pPr>
        <w:spacing w:line="360" w:lineRule="auto"/>
        <w:rPr>
          <w:rFonts w:ascii="Arial" w:hAnsi="Arial" w:cs="Arial"/>
          <w:sz w:val="24"/>
          <w:szCs w:val="24"/>
        </w:rPr>
      </w:pPr>
    </w:p>
    <w:p w:rsidR="001C0CFD" w:rsidRPr="00FF2A84" w:rsidRDefault="001C0CFD" w:rsidP="000369E4">
      <w:pPr>
        <w:spacing w:line="360" w:lineRule="auto"/>
        <w:rPr>
          <w:rFonts w:ascii="Arial" w:hAnsi="Arial" w:cs="Arial"/>
          <w:sz w:val="24"/>
          <w:szCs w:val="24"/>
        </w:rPr>
      </w:pPr>
    </w:p>
    <w:p w:rsidR="00BA5B56" w:rsidRPr="00FF2A84" w:rsidRDefault="00BA5B56" w:rsidP="000369E4">
      <w:pPr>
        <w:pStyle w:val="Heading1"/>
        <w:spacing w:line="360" w:lineRule="auto"/>
        <w:jc w:val="both"/>
        <w:rPr>
          <w:rStyle w:val="eop"/>
          <w:rFonts w:ascii="Arial" w:hAnsi="Arial" w:cs="Arial"/>
          <w:sz w:val="24"/>
          <w:szCs w:val="24"/>
        </w:rPr>
      </w:pPr>
      <w:bookmarkStart w:id="0" w:name="_Toc71489201"/>
      <w:r w:rsidRPr="00FF2A84">
        <w:rPr>
          <w:rStyle w:val="normaltextrun"/>
          <w:rFonts w:ascii="Arial" w:hAnsi="Arial" w:cs="Arial"/>
          <w:sz w:val="24"/>
          <w:szCs w:val="24"/>
        </w:rPr>
        <w:lastRenderedPageBreak/>
        <w:t>Section A</w:t>
      </w:r>
      <w:bookmarkEnd w:id="0"/>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2"/>
        <w:spacing w:line="360" w:lineRule="auto"/>
        <w:jc w:val="both"/>
        <w:rPr>
          <w:rFonts w:ascii="Arial" w:hAnsi="Arial" w:cs="Arial"/>
          <w:sz w:val="24"/>
          <w:szCs w:val="24"/>
        </w:rPr>
      </w:pPr>
      <w:bookmarkStart w:id="1" w:name="_Toc71489202"/>
      <w:r w:rsidRPr="00FF2A84">
        <w:rPr>
          <w:rStyle w:val="normaltextrun"/>
          <w:rFonts w:ascii="Arial" w:hAnsi="Arial" w:cs="Arial"/>
          <w:sz w:val="24"/>
          <w:szCs w:val="24"/>
        </w:rPr>
        <w:t>1.1</w:t>
      </w:r>
      <w:bookmarkEnd w:id="1"/>
      <w:r w:rsidRPr="00FF2A84">
        <w:rPr>
          <w:rStyle w:val="eop"/>
          <w:rFonts w:ascii="Arial" w:hAnsi="Arial" w:cs="Arial"/>
          <w:sz w:val="24"/>
          <w:szCs w:val="24"/>
        </w:rPr>
        <w:t> </w:t>
      </w:r>
    </w:p>
    <w:p w:rsidR="00BA5B56" w:rsidRPr="00FF2A84" w:rsidRDefault="00BA5B56" w:rsidP="000369E4">
      <w:pPr>
        <w:pStyle w:val="Heading3"/>
        <w:spacing w:line="360" w:lineRule="auto"/>
        <w:jc w:val="both"/>
        <w:rPr>
          <w:rFonts w:ascii="Arial" w:hAnsi="Arial" w:cs="Arial"/>
          <w:sz w:val="24"/>
          <w:szCs w:val="24"/>
        </w:rPr>
      </w:pPr>
      <w:bookmarkStart w:id="2" w:name="_Toc71489203"/>
      <w:r w:rsidRPr="00FF2A84">
        <w:rPr>
          <w:rStyle w:val="normaltextrun"/>
          <w:rFonts w:ascii="Arial" w:hAnsi="Arial" w:cs="Arial"/>
          <w:sz w:val="24"/>
          <w:szCs w:val="24"/>
        </w:rPr>
        <w:t>Process and timescales for an Employment Tribunal</w:t>
      </w:r>
      <w:bookmarkEnd w:id="2"/>
      <w:r w:rsidRPr="00FF2A84">
        <w:rPr>
          <w:rStyle w:val="eop"/>
          <w:rFonts w:ascii="Arial" w:hAnsi="Arial" w:cs="Arial"/>
          <w:sz w:val="24"/>
          <w:szCs w:val="24"/>
        </w:rPr>
        <w:t> </w:t>
      </w:r>
      <w:bookmarkStart w:id="3" w:name="_GoBack"/>
      <w:bookmarkEnd w:id="3"/>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This is in response to the Managing Director of Big Buses Limited, request for advice on the Employment Tribunal Claim received from Gethin Rees, dated the 6th of December 2020. An early conciliation certificate has been received.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As Mr Rees has received the certificate for the early conciliation, the respondents to the claim, Big Buses Limited, have 28 days to respond (Government 2020a). The process for Employment Tribunals is strict and if not met a default decision will be made and the organisation will no longer be able to bring a defence (CIPD 2021a).</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Within the documentation from the Employment Tribunal, known as a “response pack” (Government 2020a), a letter contained within, will state the deadline date for the defence to be received. This will be 28 days from the date that the Employment Tribunal sent the copy of the claimant's form (HM Courts and Tribunals Claim 2021). To respond, Big Buses Limited will need to complete an ET3 form.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 ET3 form requires the respondents contact details and organisational information, for example the number of staff employed, and whether the company is international. Confirmation of the claimant’s employment details will also be sought, which has been provided on the ET1 form within the “response pack” received, this will be asking for agreement on employment dates, job description, earnings and benefits (Employment Tribunal 2020). The second requirement is to state whether Big Buses Limited wishes to defend the claims that have been made.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w:t>
      </w:r>
      <w:r w:rsidRPr="00FF2A84">
        <w:rPr>
          <w:rStyle w:val="eop"/>
          <w:rFonts w:ascii="Arial" w:hAnsi="Arial" w:cs="Arial"/>
        </w:rPr>
        <w:t> </w:t>
      </w:r>
    </w:p>
    <w:p w:rsidR="00BA5B56" w:rsidRPr="00FF2A84" w:rsidRDefault="00BA5B56" w:rsidP="000369E4">
      <w:pPr>
        <w:pStyle w:val="Heading3"/>
        <w:spacing w:line="360" w:lineRule="auto"/>
        <w:jc w:val="both"/>
        <w:rPr>
          <w:rStyle w:val="normaltextrun"/>
          <w:rFonts w:ascii="Arial" w:hAnsi="Arial" w:cs="Arial"/>
          <w:sz w:val="24"/>
          <w:szCs w:val="24"/>
        </w:rPr>
      </w:pPr>
      <w:bookmarkStart w:id="4" w:name="_Toc71489204"/>
      <w:r w:rsidRPr="00FF2A84">
        <w:rPr>
          <w:rStyle w:val="normaltextrun"/>
          <w:rFonts w:ascii="Arial" w:hAnsi="Arial" w:cs="Arial"/>
          <w:sz w:val="24"/>
          <w:szCs w:val="24"/>
        </w:rPr>
        <w:t>Details of the grounds for the claims being made</w:t>
      </w:r>
      <w:bookmarkEnd w:id="4"/>
      <w:r w:rsidRPr="00FF2A84">
        <w:rPr>
          <w:rStyle w:val="normaltextrun"/>
          <w:rFonts w:ascii="Arial" w:hAnsi="Arial" w:cs="Arial"/>
          <w:sz w:val="24"/>
          <w:szCs w:val="24"/>
        </w:rPr>
        <w:t> </w:t>
      </w:r>
      <w:r w:rsidRPr="00FF2A84">
        <w:rPr>
          <w:rStyle w:val="eop"/>
          <w:rFonts w:ascii="Arial" w:hAnsi="Arial" w:cs="Arial"/>
          <w:sz w:val="24"/>
          <w:szCs w:val="24"/>
        </w:rPr>
        <w:t> </w:t>
      </w: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Unfair dismissal – Procedure </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Mr Gethin Rees has the potential to bring a claim for unfair dismissal on the grounds of fair process not being followed. Claimants need to have 2 years’ service to be eligible (Government 2020b) however Mr Gethin Rees has 6 years’ service and will therefore have the potential to bring this claim.</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ACAS have a code of practice that sets out the grounds for what is a fair process, this is what the Employment Tribunal will refer too to see if the employer has followed as a minimum reasonable and fair process (ACAS 2015). In the case of </w:t>
      </w:r>
      <w:r w:rsidRPr="00FF2A84">
        <w:rPr>
          <w:rStyle w:val="normaltextrun"/>
          <w:rFonts w:ascii="Arial" w:hAnsi="Arial" w:cs="Arial"/>
          <w:i/>
          <w:iCs/>
        </w:rPr>
        <w:t>BHS v Burchell</w:t>
      </w:r>
      <w:r w:rsidRPr="00FF2A84">
        <w:rPr>
          <w:rStyle w:val="normaltextrun"/>
          <w:rFonts w:ascii="Arial" w:hAnsi="Arial" w:cs="Arial"/>
        </w:rPr>
        <w:t> [1977] (Thomson and Reuters 2021), the Employment Tribunal established a two-stage test that the burden of proof lies with the employer who needs to have </w:t>
      </w:r>
      <w:r w:rsidRPr="00FF2A84">
        <w:rPr>
          <w:rStyle w:val="normaltextrun"/>
          <w:rFonts w:ascii="Arial" w:hAnsi="Arial" w:cs="Arial"/>
          <w:i/>
          <w:iCs/>
        </w:rPr>
        <w:t>reasonable grounds</w:t>
      </w:r>
      <w:r w:rsidRPr="00FF2A84">
        <w:rPr>
          <w:rStyle w:val="normaltextrun"/>
          <w:rFonts w:ascii="Arial" w:hAnsi="Arial" w:cs="Arial"/>
        </w:rPr>
        <w:t> for belief following a </w:t>
      </w:r>
      <w:r w:rsidRPr="00FF2A84">
        <w:rPr>
          <w:rStyle w:val="normaltextrun"/>
          <w:rFonts w:ascii="Arial" w:hAnsi="Arial" w:cs="Arial"/>
          <w:i/>
          <w:iCs/>
        </w:rPr>
        <w:t>reasonable investigation</w:t>
      </w:r>
      <w:r w:rsidRPr="00FF2A84">
        <w:rPr>
          <w:rStyle w:val="normaltextrun"/>
          <w:rFonts w:ascii="Arial" w:hAnsi="Arial" w:cs="Arial"/>
        </w:rPr>
        <w:t> that the employee has committed the act of misconduct (Medhurst 2018). The BHS and Burchell test run alongside the </w:t>
      </w:r>
      <w:r w:rsidRPr="00FF2A84">
        <w:rPr>
          <w:rStyle w:val="normaltextrun"/>
          <w:rFonts w:ascii="Arial" w:hAnsi="Arial" w:cs="Arial"/>
          <w:i/>
          <w:iCs/>
        </w:rPr>
        <w:t>Employment Rights Act 1996 Section 98</w:t>
      </w:r>
      <w:r w:rsidRPr="00FF2A84">
        <w:rPr>
          <w:rStyle w:val="normaltextrun"/>
          <w:rFonts w:ascii="Arial" w:hAnsi="Arial" w:cs="Arial"/>
        </w:rPr>
        <w:t> which determines fairness of the dismissal acted reasonably and demonstrated a fair process had been followed.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following has the potential to be in breach of this:</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numPr>
          <w:ilvl w:val="0"/>
          <w:numId w:val="14"/>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 investigating officer was a witness to the incident, this should have been carried out by an independent individual. The investigating officer was also included in the hearing rather than remaining separate to this. The ACAS Code of Practice states that “i</w:t>
      </w:r>
      <w:r w:rsidRPr="00FF2A84">
        <w:rPr>
          <w:rStyle w:val="normaltextrun"/>
          <w:rFonts w:ascii="Arial" w:hAnsi="Arial" w:cs="Arial"/>
          <w:color w:val="000000"/>
        </w:rPr>
        <w:t>n misconduct cases, where practicable, different people should carry out the investigation and disciplinary hearing” (ACAS 2015).</w:t>
      </w:r>
      <w:r w:rsidRPr="00FF2A84">
        <w:rPr>
          <w:rStyle w:val="eop"/>
          <w:rFonts w:ascii="Arial" w:hAnsi="Arial" w:cs="Arial"/>
          <w:color w:val="000000"/>
        </w:rPr>
        <w:t> </w:t>
      </w:r>
    </w:p>
    <w:p w:rsidR="00BA5B56" w:rsidRPr="00FF2A84" w:rsidRDefault="00BA5B56" w:rsidP="000369E4">
      <w:pPr>
        <w:pStyle w:val="paragraph"/>
        <w:numPr>
          <w:ilvl w:val="0"/>
          <w:numId w:val="14"/>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ACAS Code of Practice (2015) states that the individual has the right to be informed of the problem. In this case Mr Gethin Rees did not receive the investigation report (including the witness statements) prior to the hearing or within a timely manner that allowed them to have a reasonable and fair time to prepare or find evidence to defend his case. Through the documentation provided, Mr Rees had also not been made aware of the reasoning and or the consequences of these meetings.</w:t>
      </w:r>
      <w:r w:rsidRPr="00FF2A84">
        <w:rPr>
          <w:rStyle w:val="eop"/>
          <w:rFonts w:ascii="Arial" w:hAnsi="Arial" w:cs="Arial"/>
        </w:rPr>
        <w:t> </w:t>
      </w:r>
    </w:p>
    <w:p w:rsidR="00BA5B56" w:rsidRPr="00FF2A84" w:rsidRDefault="00BA5B56" w:rsidP="000369E4">
      <w:pPr>
        <w:pStyle w:val="paragraph"/>
        <w:numPr>
          <w:ilvl w:val="0"/>
          <w:numId w:val="14"/>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 xml:space="preserve">“Employers should allow employees to be accompanied at any formal disciplinary or grievance meeting” (ACAS 2015), although Mr Rees was aware that he could bring along a “work colleague” it is not making Mr Rees aware </w:t>
      </w:r>
      <w:r w:rsidRPr="00FF2A84">
        <w:rPr>
          <w:rStyle w:val="normaltextrun"/>
          <w:rFonts w:ascii="Arial" w:hAnsi="Arial" w:cs="Arial"/>
          <w:color w:val="000000"/>
        </w:rPr>
        <w:lastRenderedPageBreak/>
        <w:t>that he can bring a Trade Union representative, who would be able to advise and allow for proportionate representation.</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ind w:firstLine="100"/>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It has also been noticed that although Mr Rees was provided with details on how to appeal, he was not given a reasonable timeframe from the outcome of the hearing to do so. ACAS (2021b) recommends 5 days as a minimum to allow for a sufficient timeframe to respond.</w:t>
      </w:r>
      <w:r w:rsidRPr="00FF2A84">
        <w:rPr>
          <w:rStyle w:val="eop"/>
          <w:rFonts w:ascii="Arial" w:hAnsi="Arial" w:cs="Arial"/>
        </w:rPr>
        <w:t> </w:t>
      </w:r>
    </w:p>
    <w:p w:rsidR="00BA5B56" w:rsidRPr="00FF2A84" w:rsidRDefault="00BA5B56" w:rsidP="000369E4">
      <w:pPr>
        <w:pStyle w:val="Heading4"/>
        <w:spacing w:line="360" w:lineRule="auto"/>
        <w:jc w:val="both"/>
        <w:rPr>
          <w:rFonts w:ascii="Arial" w:hAnsi="Arial" w:cs="Arial"/>
          <w:sz w:val="24"/>
          <w:szCs w:val="24"/>
        </w:rPr>
      </w:pP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Wrongful dismissal – breach of contract </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Wrongful dismissal is a breach of contract due to the employer not providing the employee with notice or sufficient notice in situations where the employee was entitled to them (Lewis and Sargeant 2020). As Mr Rees was dismissed without notice on the 12th of November 2020, there is a potential that this claim can be brought.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Under the </w:t>
      </w:r>
      <w:r w:rsidRPr="00FF2A84">
        <w:rPr>
          <w:rStyle w:val="normaltextrun"/>
          <w:rFonts w:ascii="Arial" w:hAnsi="Arial" w:cs="Arial"/>
          <w:i/>
          <w:iCs/>
        </w:rPr>
        <w:t>Employment Rights Act 1996 section 86</w:t>
      </w:r>
      <w:r w:rsidRPr="00FF2A84">
        <w:rPr>
          <w:rStyle w:val="normaltextrun"/>
          <w:rFonts w:ascii="Arial" w:hAnsi="Arial" w:cs="Arial"/>
        </w:rPr>
        <w:t>, employees are entitled to receive statutory notice, equating to one week of service for every year worked until the maximum of 12 weeks. This should also include entitlements to accrued annual leave and pension employer contribution owed up until the termination end date of the correct amount of weeks’ notice and any other benefits that the employee is entitled to (ACAS 2021c). As Mr Rees has worked with Big Buses Limited since March 2014, he is entitled to a notice period of 5 weeks due to the complete number of years worked.</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Automatic unfair dismissal – whistleblowing</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i/>
          <w:iCs/>
        </w:rPr>
        <w:t>The Public Interest Disclosure Act 1998 (PIDA)</w:t>
      </w:r>
      <w:r w:rsidRPr="00FF2A84">
        <w:rPr>
          <w:rStyle w:val="normaltextrun"/>
          <w:rFonts w:ascii="Arial" w:hAnsi="Arial" w:cs="Arial"/>
        </w:rPr>
        <w:t> inserted Section 103A into </w:t>
      </w:r>
      <w:r w:rsidRPr="00FF2A84">
        <w:rPr>
          <w:rStyle w:val="normaltextrun"/>
          <w:rFonts w:ascii="Arial" w:hAnsi="Arial" w:cs="Arial"/>
          <w:i/>
          <w:iCs/>
        </w:rPr>
        <w:t>the Employment Rights Act 1996</w:t>
      </w:r>
      <w:r w:rsidRPr="00FF2A84">
        <w:rPr>
          <w:rStyle w:val="normaltextrun"/>
          <w:rFonts w:ascii="Arial" w:hAnsi="Arial" w:cs="Arial"/>
        </w:rPr>
        <w:t> (Department for Business Innovation and Skills, 2015), which provides protection for workers reporting malpractices by their employers or third parties against victimisation or dismissal when disclosing a protected disclosure (Legislation 2006).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Within the ET1 completed by Mr Rees, he states that he has raised several concerns surrounding the conditions at work and with the ongoing pandemic, Coronavirus. There are two areas that an individual needs to believe to be covered through Whistleblowing. Firstly, that they are acting in the public best interest, in this case Mr Rees raised concerns about the Health and Safety of the environment within Big Buses. Secondly, the allegations that face masks are being taken off without any action being taken falls into two categories, the failure of complying with a requirement that has been set out in law and endangering someone’s health and safety (Department for Business Innovation and Skills, 2015).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Automatic unfair dismissal – Health and Safety dismissal</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w:t>
      </w:r>
      <w:r w:rsidRPr="00FF2A84">
        <w:rPr>
          <w:rStyle w:val="normaltextrun"/>
          <w:rFonts w:ascii="Arial" w:hAnsi="Arial" w:cs="Arial"/>
          <w:i/>
          <w:iCs/>
        </w:rPr>
        <w:t>Employment Rights Act 1986 Section 103a </w:t>
      </w:r>
      <w:r w:rsidRPr="00FF2A84">
        <w:rPr>
          <w:rStyle w:val="normaltextrun"/>
          <w:rFonts w:ascii="Arial" w:hAnsi="Arial" w:cs="Arial"/>
        </w:rPr>
        <w:t>states that an individual can be classed as unfairly dismissed if they made their employer aware of a situation that could be harmful or potentially harmful to Health and Safety. In this case Mr Rees has the potential to raise this claim as he has made Big Buses Limited aware that individuals are removing their facemasks when the foreman is not looking, and nothing has been done about this.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Health and Safety within the workplace no longer sits within the original realms of a slip, trip or hazard but now takes account for an airborne virus that is invisible and can be spread asymptomatically. Under the </w:t>
      </w:r>
      <w:r w:rsidRPr="00FF2A84">
        <w:rPr>
          <w:rStyle w:val="normaltextrun"/>
          <w:rFonts w:ascii="Arial" w:hAnsi="Arial" w:cs="Arial"/>
          <w:i/>
          <w:iCs/>
        </w:rPr>
        <w:t>Health and Safety at Work Act 1974 </w:t>
      </w:r>
      <w:r w:rsidRPr="00FF2A84">
        <w:rPr>
          <w:rStyle w:val="normaltextrun"/>
          <w:rFonts w:ascii="Arial" w:hAnsi="Arial" w:cs="Arial"/>
        </w:rPr>
        <w:t>there is a legal obligation for an employer to protect and look after the Health and Safety of their staff, if found not doing so then the employer can also find themselves in breach of this act (HSE 2021).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 potential raising of this claim can be run in tandem with the whistleblowing, as above.</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w:t>
      </w:r>
      <w:r w:rsidRPr="00FF2A84">
        <w:rPr>
          <w:rStyle w:val="eop"/>
          <w:rFonts w:ascii="Arial" w:hAnsi="Arial" w:cs="Arial"/>
        </w:rPr>
        <w:t> </w:t>
      </w:r>
    </w:p>
    <w:p w:rsidR="00BA5B56" w:rsidRPr="00FF2A84" w:rsidRDefault="00BA5B56" w:rsidP="000369E4">
      <w:pPr>
        <w:pStyle w:val="Heading3"/>
        <w:spacing w:line="360" w:lineRule="auto"/>
        <w:jc w:val="both"/>
        <w:rPr>
          <w:rFonts w:ascii="Arial" w:hAnsi="Arial" w:cs="Arial"/>
          <w:sz w:val="24"/>
          <w:szCs w:val="24"/>
        </w:rPr>
      </w:pPr>
      <w:bookmarkStart w:id="5" w:name="_Toc71489205"/>
      <w:r w:rsidRPr="00FF2A84">
        <w:rPr>
          <w:rStyle w:val="normaltextrun"/>
          <w:rFonts w:ascii="Arial" w:hAnsi="Arial" w:cs="Arial"/>
          <w:sz w:val="24"/>
          <w:szCs w:val="24"/>
        </w:rPr>
        <w:t>Defences</w:t>
      </w:r>
      <w:bookmarkEnd w:id="5"/>
      <w:r w:rsidRPr="00FF2A84">
        <w:rPr>
          <w:rStyle w:val="normaltextrun"/>
          <w:rFonts w:ascii="Arial" w:hAnsi="Arial" w:cs="Arial"/>
          <w:sz w:val="24"/>
          <w:szCs w:val="24"/>
        </w:rPr>
        <w:t> </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 xml:space="preserve">Throughout the above claims there are opportunities upon which Big Buses Limited will be able to have a defence. Regarding the claims of unfair dismissal (procedure) and wrongful dismissal (breach of contract) Big Buses Limited need to prove to the </w:t>
      </w:r>
      <w:r w:rsidRPr="00FF2A84">
        <w:rPr>
          <w:rStyle w:val="normaltextrun"/>
          <w:rFonts w:ascii="Arial" w:hAnsi="Arial" w:cs="Arial"/>
        </w:rPr>
        <w:lastRenderedPageBreak/>
        <w:t>employment tribunal that this is a case of gross misconduct, which the ACAS Code of Practice, grievance and disciplinary (2015) they include the act of physical violence.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In this case Mr Rees has been seen to assault Robert Twist, by pushing him to the ground. Although Mr Rees is stating that he was provoked due to Mr Twist walking up and coughing in his face, there has been no witness evidence brought forward to suggest that this was the case, Mr Twist also denies this provocation in his statement. What were the circumstances prior to the incident that took place, was there an ongoing joke that the provocation was a part of?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only evidence that has been put forward is that Mr Rees assaulted Mr Twist within a Health and Safety Environment that could have caused damage to equipment and those involved. Mr Rees was also caught without his facemask on.</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If there has been a genuine belief based on reasonable grounds following a reasonable investigation then it is possible to show that an act of gross misconduct took place (ACAS, 2015). If this can be proved to the Employment Tribunal then there will be no case for the claim of breach of contract.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difficulties that may arise for this defence is the process that was followed, and whether it falls under a fair process following a fair and reasonable investigation as set out in the </w:t>
      </w:r>
      <w:r w:rsidRPr="00FF2A84">
        <w:rPr>
          <w:rStyle w:val="normaltextrun"/>
          <w:rFonts w:ascii="Arial" w:hAnsi="Arial" w:cs="Arial"/>
          <w:i/>
          <w:iCs/>
        </w:rPr>
        <w:t>Employment Rights Act 1996 Section 98</w:t>
      </w:r>
      <w:r w:rsidRPr="00FF2A84">
        <w:rPr>
          <w:rStyle w:val="normaltextrun"/>
          <w:rFonts w:ascii="Arial" w:hAnsi="Arial" w:cs="Arial"/>
        </w:rPr>
        <w:t>. Mr Rees did not receive copies of the investigation including any witness statements and did not receive the chance to comment on them within the disciplinary hearing which is highlighted within ACAS Code of Practice on Disciplinary and Grievance Procedures (2015). Big Buses Limited will be entitled to argue that this was an unprovoked assault which will assist in proving gross misconduct however there will be a requirement to convince the Employment Tribunal that a reasonable investigation did take place.</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As Mr Twist has not received any disciplinary action, there was a potential for inconsistency of treatment to be brought, but if there is genuine belief based on reasonable grounds that this was an unprovoked assault then it will not form a part of that argument.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lastRenderedPageBreak/>
        <w: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defence for whistleblowing and a breach in health and safety runs alongside one another. The questions to ask here are, is there any evidence that Mr Rees has raised this with Steve Smith and then above that to Mr Millard, as the Government (2021) suggest that if unsatisfied then it should be raised with a more senior member of staff. Or is this a case of one against the other? From what has been provided the Employment Tribunal will be able to see that communications were sent out to all employees regarding the wearing of face masks and posters with “hands, face, space” being added to the workspace. It is never possible for an employee to be able to see everything that happens within the working environment, and there is no evidence to suggest that Mr Rees had raised this in line with whistleblowing.</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 employment tribunal will also look at whether there is a clausal link to the dismissal, was Mr Rees dismissed because he raised concerns surrounding a protected disclosure? Within the case </w:t>
      </w:r>
      <w:r w:rsidRPr="00FF2A84">
        <w:rPr>
          <w:rStyle w:val="normaltextrun"/>
          <w:rFonts w:ascii="Arial" w:hAnsi="Arial" w:cs="Arial"/>
          <w:i/>
          <w:iCs/>
        </w:rPr>
        <w:t>Atkins v Coyle Personnel PLC</w:t>
      </w:r>
      <w:r w:rsidRPr="00FF2A84">
        <w:rPr>
          <w:rStyle w:val="normaltextrun"/>
          <w:rFonts w:ascii="Arial" w:hAnsi="Arial" w:cs="Arial"/>
        </w:rPr>
        <w:t> the claimant stated that he was dismissed due to taking paternity leave however the tribunal found that this was not the case, and it was the actions that were taken that resulted in the dismissal (Casemine, 2008). The reasons for the dismissal in this case was the unprovoked attack on Mr Twist by Mr Rees, which there are witness accounts for seeing Mr Rees stood over shouting at Mr Twist who was sprawled on the floor, whilst also wearing no face mask.</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 defence therefore relies on the causal link for the dismissal and whether the right steps had been taken by Mr Rees when raising his concerns.</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w:t>
      </w:r>
      <w:r w:rsidRPr="00FF2A84">
        <w:rPr>
          <w:rStyle w:val="eop"/>
          <w:rFonts w:ascii="Arial" w:hAnsi="Arial" w:cs="Arial"/>
        </w:rPr>
        <w:t> </w:t>
      </w:r>
    </w:p>
    <w:p w:rsidR="00BA5B56" w:rsidRPr="00FF2A84" w:rsidRDefault="00BA5B56" w:rsidP="000369E4">
      <w:pPr>
        <w:pStyle w:val="Heading3"/>
        <w:spacing w:line="360" w:lineRule="auto"/>
        <w:jc w:val="both"/>
        <w:rPr>
          <w:rFonts w:ascii="Arial" w:hAnsi="Arial" w:cs="Arial"/>
          <w:sz w:val="24"/>
          <w:szCs w:val="24"/>
        </w:rPr>
      </w:pPr>
      <w:bookmarkStart w:id="6" w:name="_Toc71489206"/>
      <w:r w:rsidRPr="00FF2A84">
        <w:rPr>
          <w:rStyle w:val="normaltextrun"/>
          <w:rFonts w:ascii="Arial" w:hAnsi="Arial" w:cs="Arial"/>
          <w:sz w:val="24"/>
          <w:szCs w:val="24"/>
        </w:rPr>
        <w:t>Strengths and weaknesses</w:t>
      </w:r>
      <w:bookmarkEnd w:id="6"/>
      <w:r w:rsidRPr="00FF2A84">
        <w:rPr>
          <w:rStyle w:val="eop"/>
          <w:rFonts w:ascii="Arial" w:hAnsi="Arial" w:cs="Arial"/>
          <w:sz w:val="24"/>
          <w:szCs w:val="24"/>
        </w:rPr>
        <w:t> </w:t>
      </w: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Strengths </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Please see summary below of the strengths and weaknesses for what Mr Rees's case:</w:t>
      </w:r>
      <w:r w:rsidRPr="00FF2A84">
        <w:rPr>
          <w:rStyle w:val="eop"/>
          <w:rFonts w:ascii="Arial" w:hAnsi="Arial" w:cs="Arial"/>
        </w:rPr>
        <w:t> </w:t>
      </w:r>
    </w:p>
    <w:p w:rsidR="00BA5B56" w:rsidRPr="00FF2A84" w:rsidRDefault="00BA5B56" w:rsidP="000369E4">
      <w:pPr>
        <w:pStyle w:val="paragraph"/>
        <w:numPr>
          <w:ilvl w:val="0"/>
          <w:numId w:val="15"/>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Previous good behaviour – although Mr Smith states that he has spoken with Mr Rees numerous times there is no evidence of this on the records and the Employment Tribunal will therefore see a record of good behaviour.</w:t>
      </w:r>
      <w:r w:rsidRPr="00FF2A84">
        <w:rPr>
          <w:rStyle w:val="eop"/>
          <w:rFonts w:ascii="Arial" w:hAnsi="Arial" w:cs="Arial"/>
        </w:rPr>
        <w:t> </w:t>
      </w:r>
    </w:p>
    <w:p w:rsidR="00BA5B56" w:rsidRPr="00FF2A84" w:rsidRDefault="00BA5B56" w:rsidP="000369E4">
      <w:pPr>
        <w:pStyle w:val="paragraph"/>
        <w:numPr>
          <w:ilvl w:val="0"/>
          <w:numId w:val="15"/>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lastRenderedPageBreak/>
        <w:t>Length of time at the organisation – Mr Rees has been employed with the organisation with only one expired verbal warning. </w:t>
      </w:r>
      <w:r w:rsidRPr="00FF2A84">
        <w:rPr>
          <w:rStyle w:val="eop"/>
          <w:rFonts w:ascii="Arial" w:hAnsi="Arial" w:cs="Arial"/>
        </w:rPr>
        <w:t> </w:t>
      </w:r>
    </w:p>
    <w:p w:rsidR="00BA5B56" w:rsidRPr="00FF2A84" w:rsidRDefault="00BA5B56" w:rsidP="000369E4">
      <w:pPr>
        <w:pStyle w:val="paragraph"/>
        <w:numPr>
          <w:ilvl w:val="0"/>
          <w:numId w:val="15"/>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Process not being followed – this will be the biggest weakness for Big Buses Limited’s defence and a major strength for Mr Rees as above there are several areas of concern following the fairness of the process and investigation.</w:t>
      </w:r>
      <w:r w:rsidRPr="00FF2A84">
        <w:rPr>
          <w:rStyle w:val="eop"/>
          <w:rFonts w:ascii="Arial" w:hAnsi="Arial" w:cs="Arial"/>
        </w:rPr>
        <w:t> </w:t>
      </w:r>
    </w:p>
    <w:p w:rsidR="00BA5B56" w:rsidRPr="00FF2A84" w:rsidRDefault="00BA5B56" w:rsidP="000369E4">
      <w:pPr>
        <w:pStyle w:val="paragraph"/>
        <w:numPr>
          <w:ilvl w:val="0"/>
          <w:numId w:val="15"/>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Mr Smith has stated that he witnessed the event, however, went on to complete an investigation and was also a part of the disciplinary hearing. If Mr Smith was a witness, then he should not have been the investigating officer, this should have been completed by an independent, which goes against the ACAS Code of Practice. The managing director would then complete the hearing without Mr Smith involved based only on the investigation which was completed by an independent. Although there may be a fair reason there are questions surrounding the fair process.</w:t>
      </w:r>
      <w:r w:rsidRPr="00FF2A84">
        <w:rPr>
          <w:rStyle w:val="eop"/>
          <w:rFonts w:ascii="Arial" w:hAnsi="Arial" w:cs="Arial"/>
        </w:rPr>
        <w:t> </w:t>
      </w:r>
    </w:p>
    <w:p w:rsidR="00BA5B56" w:rsidRPr="00FF2A84" w:rsidRDefault="00BA5B56" w:rsidP="000369E4">
      <w:pPr>
        <w:pStyle w:val="paragraph"/>
        <w:numPr>
          <w:ilvl w:val="0"/>
          <w:numId w:val="15"/>
        </w:numPr>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credibility of Steve as the witness also comes under question. Mr Rees has already stated that Mr Smith was coming after him and as Mr Smith was involved in every aspect of this case, there is the potential for Mr Rees to say he is coming after him, this provides another strength to Mr Rees case.</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ind w:left="360"/>
        <w:jc w:val="both"/>
        <w:textAlignment w:val="baseline"/>
        <w:rPr>
          <w:rFonts w:ascii="Arial" w:hAnsi="Arial" w:cs="Arial"/>
        </w:rPr>
      </w:pPr>
    </w:p>
    <w:p w:rsidR="00BA5B56" w:rsidRPr="00FF2A84" w:rsidRDefault="00BA5B56" w:rsidP="000369E4">
      <w:pPr>
        <w:pStyle w:val="Heading4"/>
        <w:spacing w:line="360" w:lineRule="auto"/>
        <w:jc w:val="both"/>
        <w:rPr>
          <w:rStyle w:val="eop"/>
          <w:rFonts w:ascii="Arial" w:hAnsi="Arial" w:cs="Arial"/>
          <w:sz w:val="24"/>
          <w:szCs w:val="24"/>
        </w:rPr>
      </w:pPr>
      <w:r w:rsidRPr="00FF2A84">
        <w:rPr>
          <w:rStyle w:val="normaltextrun"/>
          <w:rFonts w:ascii="Arial" w:hAnsi="Arial" w:cs="Arial"/>
          <w:sz w:val="24"/>
          <w:szCs w:val="24"/>
        </w:rPr>
        <w:t>Weakness</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numPr>
          <w:ilvl w:val="0"/>
          <w:numId w:val="16"/>
        </w:numPr>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There has been no corroboration around claims on behalf of Mr Rees, there is only what he has said. Nobody has been able to co-berate his claim.</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ind w:firstLine="100"/>
        <w:jc w:val="both"/>
        <w:textAlignment w:val="baseline"/>
        <w:rPr>
          <w:rFonts w:ascii="Arial" w:hAnsi="Arial" w:cs="Arial"/>
        </w:rPr>
      </w:pPr>
    </w:p>
    <w:p w:rsidR="00BA5B56" w:rsidRPr="00FF2A84" w:rsidRDefault="00BA5B56" w:rsidP="000369E4">
      <w:pPr>
        <w:pStyle w:val="Heading2"/>
        <w:spacing w:line="360" w:lineRule="auto"/>
        <w:jc w:val="both"/>
        <w:rPr>
          <w:rStyle w:val="eop"/>
          <w:rFonts w:ascii="Arial" w:hAnsi="Arial" w:cs="Arial"/>
          <w:sz w:val="24"/>
          <w:szCs w:val="24"/>
        </w:rPr>
      </w:pPr>
      <w:bookmarkStart w:id="7" w:name="_Toc71489207"/>
      <w:r w:rsidRPr="00FF2A84">
        <w:rPr>
          <w:rStyle w:val="normaltextrun"/>
          <w:rFonts w:ascii="Arial" w:hAnsi="Arial" w:cs="Arial"/>
          <w:sz w:val="24"/>
          <w:szCs w:val="24"/>
        </w:rPr>
        <w:t>1.2</w:t>
      </w:r>
      <w:bookmarkEnd w:id="7"/>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3"/>
        <w:spacing w:line="360" w:lineRule="auto"/>
        <w:jc w:val="both"/>
        <w:rPr>
          <w:rFonts w:ascii="Arial" w:hAnsi="Arial" w:cs="Arial"/>
          <w:sz w:val="24"/>
          <w:szCs w:val="24"/>
        </w:rPr>
      </w:pPr>
      <w:bookmarkStart w:id="8" w:name="_Toc71489208"/>
      <w:r w:rsidRPr="00FF2A84">
        <w:rPr>
          <w:rStyle w:val="normaltextrun"/>
          <w:rFonts w:ascii="Arial" w:hAnsi="Arial" w:cs="Arial"/>
          <w:sz w:val="24"/>
          <w:szCs w:val="24"/>
        </w:rPr>
        <w:t>Remedies</w:t>
      </w:r>
      <w:bookmarkEnd w:id="8"/>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r w:rsidRPr="00FF2A84">
        <w:rPr>
          <w:rStyle w:val="normaltextrun"/>
          <w:rFonts w:ascii="Arial" w:hAnsi="Arial" w:cs="Arial"/>
        </w:rPr>
        <w:t xml:space="preserve">There are several remedies that the employment tribunal could bring, re-engagement which means that Mr Rees would be brought back to Big Buses Limited in a comparable role or alternative suitable employment to the one that they previously held (Rradar, 2018). Re-instatement will be Mr Rees returning to his role as if there was dismissal, which is what Mr Rees is looking for (Denton, 2021).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Both re-engagement and re-instatement are rare for the employment tribunal to award but not unheard of. In </w:t>
      </w:r>
      <w:r w:rsidRPr="00FF2A84">
        <w:rPr>
          <w:rStyle w:val="normaltextrun"/>
          <w:rFonts w:ascii="Arial" w:hAnsi="Arial" w:cs="Arial"/>
          <w:i/>
          <w:iCs/>
        </w:rPr>
        <w:t>McBride V Scottish Police Authority</w:t>
      </w:r>
      <w:r w:rsidRPr="00FF2A84">
        <w:rPr>
          <w:rStyle w:val="normaltextrun"/>
          <w:rFonts w:ascii="Arial" w:hAnsi="Arial" w:cs="Arial"/>
        </w:rPr>
        <w:t> [2016] the tribunal awarded the claimant with a re-instatement order, and although it can be appealed against, the cost is high as there would be back pay requirements as well as the compensation (Weightmans, 2016).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If neither the re-instatement nor re-engagement is suitable due to the employee wishes (have they got a new role), whether it is reasonably practicable (the working relationship will be scrutinised) or whether the claimant contributed to their dismissal (Pure Employment Law, 2012). The other consideration is compensation, which is as the Oxford Dictionary states a monetary award in recognition of loss, suffering or of injury (2021).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3"/>
        <w:spacing w:line="360" w:lineRule="auto"/>
        <w:jc w:val="both"/>
        <w:rPr>
          <w:rFonts w:ascii="Arial" w:hAnsi="Arial" w:cs="Arial"/>
          <w:sz w:val="24"/>
          <w:szCs w:val="24"/>
        </w:rPr>
      </w:pPr>
      <w:bookmarkStart w:id="9" w:name="_Toc71489209"/>
      <w:r w:rsidRPr="00FF2A84">
        <w:rPr>
          <w:rStyle w:val="normaltextrun"/>
          <w:rFonts w:ascii="Arial" w:hAnsi="Arial" w:cs="Arial"/>
          <w:sz w:val="24"/>
          <w:szCs w:val="24"/>
        </w:rPr>
        <w:t>Financial elements</w:t>
      </w:r>
      <w:bookmarkEnd w:id="9"/>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Tribunal will look at compensation in two ways if there was success in the claims. The award for unfair dismissal is as below:</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3"/>
        <w:spacing w:line="360" w:lineRule="auto"/>
        <w:jc w:val="both"/>
        <w:rPr>
          <w:rFonts w:ascii="Arial" w:hAnsi="Arial" w:cs="Arial"/>
          <w:sz w:val="24"/>
          <w:szCs w:val="24"/>
        </w:rPr>
      </w:pPr>
      <w:bookmarkStart w:id="10" w:name="_Toc71489210"/>
      <w:r w:rsidRPr="00FF2A84">
        <w:rPr>
          <w:rStyle w:val="normaltextrun"/>
          <w:rFonts w:ascii="Arial" w:hAnsi="Arial" w:cs="Arial"/>
          <w:sz w:val="24"/>
          <w:szCs w:val="24"/>
        </w:rPr>
        <w:t>Basic award</w:t>
      </w:r>
      <w:bookmarkEnd w:id="10"/>
      <w:r w:rsidRPr="00FF2A84">
        <w:rPr>
          <w:rStyle w:val="normaltextrun"/>
          <w:rFonts w:ascii="Arial" w:hAnsi="Arial" w:cs="Arial"/>
          <w:sz w:val="24"/>
          <w:szCs w:val="24"/>
        </w:rPr>
        <w:t> </w:t>
      </w:r>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Number of years’ service x multiplier of age x weekly pay = the basic award</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In Mr Rees's case it will be 5 x 1 x 500 = 2500</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Compensatory award is the money lost due to the dismissal, it will take account of the loss of earnings from the date of dismissal to the date of tribunal and any future loss of earnings (Citizens Advice, 2020). The claimant will also need to factor in whether they have found alternative employment which will mitigate these circumstances. Employment tribunals can only reward up to £89,493 or the gross pay for a year (Citizens advice, 2021), whichever is lower, in this case Mr Rees's would be the maximum of £26,000.</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only reason the tribunal would place him back was if he were successful on the claim of being dismissed due to whistleblowing (CIPD 2021c).</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3"/>
        <w:spacing w:line="360" w:lineRule="auto"/>
        <w:jc w:val="both"/>
        <w:rPr>
          <w:rFonts w:ascii="Arial" w:hAnsi="Arial" w:cs="Arial"/>
          <w:sz w:val="24"/>
          <w:szCs w:val="24"/>
        </w:rPr>
      </w:pPr>
      <w:bookmarkStart w:id="11" w:name="_Toc71489211"/>
      <w:r w:rsidRPr="00FF2A84">
        <w:rPr>
          <w:rStyle w:val="normaltextrun"/>
          <w:rFonts w:ascii="Arial" w:hAnsi="Arial" w:cs="Arial"/>
          <w:sz w:val="24"/>
          <w:szCs w:val="24"/>
        </w:rPr>
        <w:t>Increase or reduce the financial claims</w:t>
      </w:r>
      <w:bookmarkEnd w:id="11"/>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color w:val="000000"/>
        </w:rPr>
      </w:pPr>
      <w:r w:rsidRPr="00FF2A84">
        <w:rPr>
          <w:rStyle w:val="normaltextrun"/>
          <w:rFonts w:ascii="Arial" w:hAnsi="Arial" w:cs="Arial"/>
        </w:rPr>
        <w:t>If found to not been following the ACAS code of practice on disciplinary and grievance (2015) as a minimum then the tribunal can increase the compensation by a maximum of up to 25%, this power lies within </w:t>
      </w:r>
      <w:r w:rsidRPr="00FF2A84">
        <w:rPr>
          <w:rStyle w:val="normaltextrun"/>
          <w:rFonts w:ascii="Arial" w:hAnsi="Arial" w:cs="Arial"/>
          <w:color w:val="000000"/>
        </w:rPr>
        <w:t>s.207A of the </w:t>
      </w:r>
      <w:r w:rsidRPr="00FF2A84">
        <w:rPr>
          <w:rStyle w:val="normaltextrun"/>
          <w:rFonts w:ascii="Arial" w:hAnsi="Arial" w:cs="Arial"/>
          <w:i/>
          <w:iCs/>
          <w:color w:val="000000"/>
        </w:rPr>
        <w:t>Trade Union and Labour Relations (Consolidation) Act 1992 </w:t>
      </w:r>
      <w:r w:rsidRPr="00FF2A84">
        <w:rPr>
          <w:rStyle w:val="normaltextrun"/>
          <w:rFonts w:ascii="Arial" w:hAnsi="Arial" w:cs="Arial"/>
          <w:color w:val="000000"/>
        </w:rPr>
        <w:t>(Thomas Mansfield, 2018).</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However, there is also the argument that with the Mr Rees failed to appeal when offered the opportunity and so this could reduce the compensation award.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In the case of </w:t>
      </w:r>
      <w:r w:rsidRPr="00FF2A84">
        <w:rPr>
          <w:rStyle w:val="normaltextrun"/>
          <w:rFonts w:ascii="Arial" w:hAnsi="Arial" w:cs="Arial"/>
          <w:i/>
          <w:iCs/>
        </w:rPr>
        <w:t>Nelson v BBC (No.2) [1997], </w:t>
      </w:r>
      <w:r w:rsidRPr="00FF2A84">
        <w:rPr>
          <w:rStyle w:val="normaltextrun"/>
          <w:rFonts w:ascii="Arial" w:hAnsi="Arial" w:cs="Arial"/>
        </w:rPr>
        <w:t>it recognised that there are three steps to consider as to whether there is contributory fault, the individual must have some culpable or blameworthy conduct, it must have contributed to it and it must be accountable to reduce compensation (Tribunal Claim, 2017). In this case there is potential for Mr Rees to be within limits therefore have the compensation reduced.</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i/>
          <w:iCs/>
          <w:color w:val="000000"/>
        </w:rPr>
        <w:t>Polkey v AE Dayton Services </w:t>
      </w:r>
      <w:r w:rsidRPr="00FF2A84">
        <w:rPr>
          <w:rStyle w:val="normaltextrun"/>
          <w:rFonts w:ascii="Arial" w:hAnsi="Arial" w:cs="Arial"/>
          <w:color w:val="000000"/>
        </w:rPr>
        <w:t>brings together the Polkey deduction where it is found that although the claimant may have been unfairly dismissed due to process not being followed, the result would have been dismissal. If it can be proved that it was gross misconduct due to physical violence, then there is the likelihood that Mr Rees would have been dismissed regardless of the process being followed and the compensation reduced. For example, in </w:t>
      </w:r>
      <w:r w:rsidRPr="00FF2A84">
        <w:rPr>
          <w:rStyle w:val="normaltextrun"/>
          <w:rFonts w:ascii="Arial" w:hAnsi="Arial" w:cs="Arial"/>
          <w:i/>
          <w:iCs/>
          <w:color w:val="000000"/>
        </w:rPr>
        <w:t>Gover v Property Care Ltd (2006)</w:t>
      </w:r>
      <w:r w:rsidRPr="00FF2A84">
        <w:rPr>
          <w:rStyle w:val="normaltextrun"/>
          <w:rFonts w:ascii="Arial" w:hAnsi="Arial" w:cs="Arial"/>
        </w:rPr>
        <w:t> the consultation process was not followed but the individuals would not have accepted the lesser terms and therefore would have been dismissed, having their compensation reduced (McKie, 2006). </w:t>
      </w:r>
      <w:r w:rsidRPr="00FF2A84">
        <w:rPr>
          <w:rStyle w:val="eop"/>
          <w:rFonts w:ascii="Arial" w:hAnsi="Arial" w:cs="Arial"/>
        </w:rPr>
        <w:t> </w:t>
      </w:r>
    </w:p>
    <w:p w:rsidR="00FF2A84" w:rsidRPr="00FF2A84" w:rsidRDefault="00FF2A84"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3"/>
        <w:spacing w:line="360" w:lineRule="auto"/>
        <w:rPr>
          <w:rFonts w:ascii="Arial" w:hAnsi="Arial" w:cs="Arial"/>
          <w:sz w:val="24"/>
          <w:szCs w:val="24"/>
        </w:rPr>
      </w:pPr>
      <w:bookmarkStart w:id="12" w:name="_Toc71489212"/>
      <w:r w:rsidRPr="00FF2A84">
        <w:rPr>
          <w:rStyle w:val="normaltextrun"/>
          <w:rFonts w:ascii="Arial" w:hAnsi="Arial" w:cs="Arial"/>
          <w:sz w:val="24"/>
          <w:szCs w:val="24"/>
        </w:rPr>
        <w:t>Recommendation</w:t>
      </w:r>
      <w:bookmarkEnd w:id="12"/>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 xml:space="preserve">Based on the evidence and information provided, it is recommended that Big Buses Limited looks to settle with Mr Rees. With the associated legal costs, the cost of time, including management and any further legal fees, the total value of not advancing to the hearing could then be spent on value of the settlement. A further consideration is </w:t>
      </w:r>
      <w:r w:rsidRPr="00FF2A84">
        <w:rPr>
          <w:rStyle w:val="normaltextrun"/>
          <w:rFonts w:ascii="Arial" w:hAnsi="Arial" w:cs="Arial"/>
        </w:rPr>
        <w:lastRenderedPageBreak/>
        <w:t>if Mr Rees has been successful in attaining a new job, then it may be that the settlement total could be less. A settlement allows for confidentiality and an agreement between the parties for resolution of this, called a COT3 (ACAS, 2021a).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Employment tribunals are published online, which could have a detrimental impact on the organisation's reputation (ACAS, 2021a). By not settling there is a potential for the public to be made aware of the claims (including the Health and Safety concerns) and for the partners of Big Buses Limited to be discouraged from renewing their contracts, having a major impact on the reputational value of Big Buses Limited.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As we are aware from the above Mr Rees has a convincing argument in that process has not been followed, this is potentially a difficult defence which the employment tribunal may find Big Buses Limited guilty of and therefore causing reputational issues and the financial impacts as highlighted above.</w:t>
      </w:r>
      <w:r w:rsidRPr="00FF2A84">
        <w:rPr>
          <w:rStyle w:val="eop"/>
          <w:rFonts w:ascii="Arial" w:hAnsi="Arial" w:cs="Arial"/>
        </w:rPr>
        <w:t> </w:t>
      </w:r>
    </w:p>
    <w:p w:rsidR="00BA5B56"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 </w:t>
      </w:r>
      <w:r w:rsidRPr="00FF2A84">
        <w:rPr>
          <w:rStyle w:val="eop"/>
          <w:rFonts w:ascii="Arial" w:hAnsi="Arial" w:cs="Arial"/>
        </w:rPr>
        <w:t> </w:t>
      </w: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Pr="00FF2A84" w:rsidRDefault="00326630"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1"/>
        <w:spacing w:line="360" w:lineRule="auto"/>
        <w:jc w:val="both"/>
        <w:rPr>
          <w:rStyle w:val="eop"/>
          <w:rFonts w:ascii="Arial" w:hAnsi="Arial" w:cs="Arial"/>
          <w:sz w:val="24"/>
          <w:szCs w:val="24"/>
        </w:rPr>
      </w:pPr>
      <w:bookmarkStart w:id="13" w:name="_Toc71489213"/>
      <w:r w:rsidRPr="00FF2A84">
        <w:rPr>
          <w:rStyle w:val="normaltextrun"/>
          <w:rFonts w:ascii="Arial" w:hAnsi="Arial" w:cs="Arial"/>
          <w:sz w:val="24"/>
          <w:szCs w:val="24"/>
        </w:rPr>
        <w:lastRenderedPageBreak/>
        <w:t>Section 2</w:t>
      </w:r>
      <w:bookmarkEnd w:id="13"/>
      <w:r w:rsidRPr="00FF2A84">
        <w:rPr>
          <w:rStyle w:val="eop"/>
          <w:rFonts w:ascii="Arial" w:hAnsi="Arial" w:cs="Arial"/>
          <w:sz w:val="24"/>
          <w:szCs w:val="24"/>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2"/>
        <w:spacing w:line="360" w:lineRule="auto"/>
        <w:jc w:val="both"/>
        <w:rPr>
          <w:rStyle w:val="eop"/>
          <w:rFonts w:ascii="Arial" w:hAnsi="Arial" w:cs="Arial"/>
          <w:sz w:val="24"/>
          <w:szCs w:val="24"/>
        </w:rPr>
      </w:pPr>
      <w:bookmarkStart w:id="14" w:name="_Toc71489214"/>
      <w:r w:rsidRPr="00FF2A84">
        <w:rPr>
          <w:rStyle w:val="normaltextrun"/>
          <w:rFonts w:ascii="Arial" w:hAnsi="Arial" w:cs="Arial"/>
          <w:sz w:val="24"/>
          <w:szCs w:val="24"/>
        </w:rPr>
        <w:t>2.1</w:t>
      </w:r>
      <w:r w:rsidRPr="00FF2A84">
        <w:rPr>
          <w:rStyle w:val="eop"/>
          <w:rFonts w:ascii="Arial" w:hAnsi="Arial" w:cs="Arial"/>
          <w:sz w:val="24"/>
          <w:szCs w:val="24"/>
        </w:rPr>
        <w:t> </w:t>
      </w:r>
      <w:r w:rsidR="00EE2FF8" w:rsidRPr="00FF2A84">
        <w:rPr>
          <w:rStyle w:val="eop"/>
          <w:rFonts w:ascii="Arial" w:hAnsi="Arial" w:cs="Arial"/>
          <w:sz w:val="24"/>
          <w:szCs w:val="24"/>
        </w:rPr>
        <w:t>Julie Davies</w:t>
      </w:r>
      <w:bookmarkEnd w:id="14"/>
    </w:p>
    <w:p w:rsidR="00EE2FF8" w:rsidRPr="00FF2A84" w:rsidRDefault="00EE2FF8"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Dear Managing Director</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r w:rsidRPr="00FF2A84">
        <w:rPr>
          <w:rStyle w:val="normaltextrun"/>
          <w:rFonts w:ascii="Arial" w:hAnsi="Arial" w:cs="Arial"/>
        </w:rPr>
        <w:t>Thank you for raising these queries with me.</w:t>
      </w:r>
    </w:p>
    <w:p w:rsidR="00EE2FF8" w:rsidRPr="00FF2A84" w:rsidRDefault="00EE2FF8"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 flexible working request can be made under statutory procedure if they have worked for their current employer for 26 weeks and have not made statutory request to work flexibly duri</w:t>
      </w:r>
      <w:r w:rsidR="005B7674">
        <w:rPr>
          <w:rStyle w:val="normaltextrun"/>
          <w:rFonts w:ascii="Arial" w:hAnsi="Arial" w:cs="Arial"/>
        </w:rPr>
        <w:t>ng the last 12 months (ACAS 2021e</w:t>
      </w:r>
      <w:r w:rsidRPr="00FF2A84">
        <w:rPr>
          <w:rStyle w:val="normaltextrun"/>
          <w:rFonts w:ascii="Arial" w:hAnsi="Arial" w:cs="Arial"/>
        </w:rPr>
        <w:t>). From the information that has been provided, Julie is eligible to make this request.</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All requests for flexible working should be submitted in writing, the Government (2014) provide a template form for individuals to complete for their request to be documented. This sets out the difference of the hours worked to wanted, the rationale and any impacts/benefits that this may have on the employer. Please can you acknowledge the request that Julie has made and ask for the form to be completed, once received a meeting should be arranged where Julie should be made aware that representation can be brought with her (ACAS 2014).</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By having Julie complete this form it will allow you to consider the request, impacts, benefits and any alternative solutions that may need to be provided and when it comes to the meeting it allows for a balanced and clear discussion.</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For a flexible working request to be refused it needs to fall into one of the below categories as outlined in the </w:t>
      </w:r>
      <w:r w:rsidRPr="00FF2A84">
        <w:rPr>
          <w:rStyle w:val="normaltextrun"/>
          <w:rFonts w:ascii="Arial" w:hAnsi="Arial" w:cs="Arial"/>
          <w:i/>
          <w:iCs/>
        </w:rPr>
        <w:t>Employment Rights Act [1996] Section 80G</w:t>
      </w:r>
      <w:r w:rsidRPr="00FF2A84">
        <w:rPr>
          <w:rStyle w:val="normaltextrun"/>
          <w:rFonts w:ascii="Arial" w:hAnsi="Arial" w:cs="Arial"/>
        </w:rPr>
        <w:t>:</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EE2FF8" w:rsidRPr="00FF2A84" w:rsidRDefault="00BA5B56" w:rsidP="000369E4">
      <w:pPr>
        <w:pStyle w:val="paragraph"/>
        <w:spacing w:before="0" w:beforeAutospacing="0" w:after="0" w:afterAutospacing="0" w:line="360" w:lineRule="auto"/>
        <w:jc w:val="both"/>
        <w:textAlignment w:val="baseline"/>
        <w:rPr>
          <w:rFonts w:ascii="Arial" w:hAnsi="Arial" w:cs="Arial"/>
          <w:color w:val="000000"/>
        </w:rPr>
      </w:pPr>
      <w:r w:rsidRPr="00FF2A84">
        <w:rPr>
          <w:rStyle w:val="normaltextrun"/>
          <w:rFonts w:ascii="Arial" w:hAnsi="Arial" w:cs="Arial"/>
          <w:color w:val="000000"/>
        </w:rPr>
        <w:t>(i)the burden of additional costs,</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(ii)detrimental effect on ability to meet customer demand,</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(iii)inability to re-organise work among existing staff,</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(iv)inability to recruit additional staff,</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(v)detrimental impact on quality,</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lastRenderedPageBreak/>
        <w:t>(vi)detrimental impact on performance,</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(vii)insufficiency of work during the periods the employee proposes to work,</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(viii)planned structural changes, and</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color w:val="000000"/>
        </w:rPr>
        <w:t>(ix)such other grounds as the Secretary of State may specify by regulations.</w:t>
      </w:r>
      <w:r w:rsidRPr="00FF2A84">
        <w:rPr>
          <w:rStyle w:val="eop"/>
          <w:rFonts w:ascii="Arial" w:hAnsi="Arial" w:cs="Arial"/>
          <w:color w:val="000000"/>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To refuse the hours request for Julie, as you have highlighted in your email, it would fall under Section 80G, part B, (i), (ii), (iii), (iv) and (vi) as set out above. With the primary rationale being that there are not sufficient monies to bring in additional members of staff or the capacity for other members of the team to take on more work due to their current workload.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Another reason to refuse the hours would be the request to work 8am – 3pm without a lunch break. Under the </w:t>
      </w:r>
      <w:r w:rsidRPr="00FF2A84">
        <w:rPr>
          <w:rStyle w:val="normaltextrun"/>
          <w:rFonts w:ascii="Arial" w:hAnsi="Arial" w:cs="Arial"/>
          <w:i/>
          <w:iCs/>
        </w:rPr>
        <w:t>Working Time Directives [1998] </w:t>
      </w:r>
      <w:r w:rsidRPr="00FF2A84">
        <w:rPr>
          <w:rStyle w:val="normaltextrun"/>
          <w:rFonts w:ascii="Arial" w:hAnsi="Arial" w:cs="Arial"/>
        </w:rPr>
        <w:t>Section 12, an individual is entitled to a rest break for hours worked of six or more, this rest break will need to consist of no less than 20 minutes uninterrupted.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reasoning that you have provided to decline Julie’s working from home request, is a subjective rationale and one that does require further consideration. Julie’s request to work from home is based on valid reasons, picking up children from school and to assist in looking after her mother who is currently shielding. There is a potential for associative discrimination, which is the discrimination of an individual based on the protected characteristics of another individual (Perry, 2019) if the request to work from home has been refused, as the mother may have a disability and requires additional assistant whilst in the shielding period. The European Court of Justice ruled in the </w:t>
      </w:r>
      <w:r w:rsidRPr="00FF2A84">
        <w:rPr>
          <w:rStyle w:val="normaltextrun"/>
          <w:rFonts w:ascii="Arial" w:hAnsi="Arial" w:cs="Arial"/>
          <w:i/>
          <w:iCs/>
        </w:rPr>
        <w:t>Coleman V Attridge Law</w:t>
      </w:r>
      <w:r w:rsidRPr="00FF2A84">
        <w:rPr>
          <w:rStyle w:val="normaltextrun"/>
          <w:rFonts w:ascii="Arial" w:hAnsi="Arial" w:cs="Arial"/>
        </w:rPr>
        <w:t>, that associative discrimination is unlawful in the workplace (Equality and Human Rights Commission, 2016).</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At present there is no valid explanation that you have provided to show that working from home two days a week could disadvantage the employer or Julie’s colleagues in any way. It has also been proven that the team were able to work from home for a period without any detrimental effects.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All requests for flexible working need to be completed within a “reasonable manner,” under the </w:t>
      </w:r>
      <w:r w:rsidRPr="00FF2A84">
        <w:rPr>
          <w:rStyle w:val="normaltextrun"/>
          <w:rFonts w:ascii="Arial" w:hAnsi="Arial" w:cs="Arial"/>
          <w:i/>
          <w:iCs/>
        </w:rPr>
        <w:t>Employment Rights Act 1996 Part 8A</w:t>
      </w:r>
      <w:r w:rsidRPr="00FF2A84">
        <w:rPr>
          <w:rStyle w:val="normaltextrun"/>
          <w:rFonts w:ascii="Arial" w:hAnsi="Arial" w:cs="Arial"/>
        </w:rPr>
        <w:t>, Flexible Working the request must be completed within three months from receipt of the date of the application is made (can be extended) and the ACAS Code of Practice on handling in a reasonable manner requests to work flexibly (2014), states that the three months includes appeals.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Based on the above it is recommended that the working from home request is considered, and the hours change is refused based on the </w:t>
      </w:r>
      <w:r w:rsidRPr="00FF2A84">
        <w:rPr>
          <w:rStyle w:val="normaltextrun"/>
          <w:rFonts w:ascii="Arial" w:hAnsi="Arial" w:cs="Arial"/>
          <w:i/>
          <w:iCs/>
        </w:rPr>
        <w:t>Employment Rights Act 1996, Section 80G.</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Once the meeting has taken place, a letter in writing should be provided to Julie, outlining the reasoning for the refusal, and agreed changes, the start date for the flexible working and the new Terms and Conditions for the changes reflecting the new legally binding change taking place (Government, 2021b). Although there is no statutory right to an appeal, the ACAS Code of Practice (2014) encourages an appeal to be made available to reflect the process has been handled in a “reasonable manner”.</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 further consideration that will need to take place is the management of these meetings. An appeal should be dealt with by a senior manager (CIPD, 2021) in this case the recommendation is that the line manager completes the initial meeting and the appeal (if one is made) can be heard by yourself, the Managing Director.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Heading2"/>
        <w:spacing w:line="360" w:lineRule="auto"/>
        <w:jc w:val="both"/>
        <w:rPr>
          <w:rStyle w:val="eop"/>
          <w:rFonts w:ascii="Arial" w:hAnsi="Arial" w:cs="Arial"/>
          <w:sz w:val="24"/>
          <w:szCs w:val="24"/>
        </w:rPr>
      </w:pPr>
      <w:bookmarkStart w:id="15" w:name="_Toc71489215"/>
      <w:r w:rsidRPr="00FF2A84">
        <w:rPr>
          <w:rStyle w:val="normaltextrun"/>
          <w:rFonts w:ascii="Arial" w:hAnsi="Arial" w:cs="Arial"/>
          <w:sz w:val="24"/>
          <w:szCs w:val="24"/>
        </w:rPr>
        <w:t>2.2</w:t>
      </w:r>
      <w:r w:rsidRPr="00FF2A84">
        <w:rPr>
          <w:rStyle w:val="eop"/>
          <w:rFonts w:ascii="Arial" w:hAnsi="Arial" w:cs="Arial"/>
          <w:sz w:val="24"/>
          <w:szCs w:val="24"/>
        </w:rPr>
        <w:t> </w:t>
      </w:r>
      <w:r w:rsidR="00EE2FF8" w:rsidRPr="00FF2A84">
        <w:rPr>
          <w:rStyle w:val="eop"/>
          <w:rFonts w:ascii="Arial" w:hAnsi="Arial" w:cs="Arial"/>
          <w:sz w:val="24"/>
          <w:szCs w:val="24"/>
        </w:rPr>
        <w:t>Lucy Bell</w:t>
      </w:r>
      <w:bookmarkEnd w:id="15"/>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Regarding the questions that you have raised surrounding the grievance by Lucy Bell. Please find my answers below.</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numPr>
          <w:ilvl w:val="0"/>
          <w:numId w:val="11"/>
        </w:numPr>
        <w:spacing w:before="0" w:beforeAutospacing="0" w:after="0" w:afterAutospacing="0" w:line="360" w:lineRule="auto"/>
        <w:ind w:left="360" w:firstLine="0"/>
        <w:jc w:val="both"/>
        <w:textAlignment w:val="baseline"/>
        <w:rPr>
          <w:rStyle w:val="eop"/>
          <w:rFonts w:ascii="Arial" w:hAnsi="Arial" w:cs="Arial"/>
        </w:rPr>
      </w:pPr>
      <w:r w:rsidRPr="00FF2A84">
        <w:rPr>
          <w:rStyle w:val="normaltextrun"/>
          <w:rFonts w:ascii="Arial" w:hAnsi="Arial" w:cs="Arial"/>
        </w:rPr>
        <w:t>Grievance</w:t>
      </w:r>
      <w:r w:rsidRPr="00FF2A84">
        <w:rPr>
          <w:rStyle w:val="eop"/>
          <w:rFonts w:ascii="Arial" w:hAnsi="Arial" w:cs="Arial"/>
        </w:rPr>
        <w:t> </w:t>
      </w:r>
    </w:p>
    <w:p w:rsidR="00EE2FF8" w:rsidRPr="00FF2A84" w:rsidRDefault="00EE2FF8" w:rsidP="000369E4">
      <w:pPr>
        <w:pStyle w:val="paragraph"/>
        <w:spacing w:before="0" w:beforeAutospacing="0" w:after="0" w:afterAutospacing="0" w:line="360" w:lineRule="auto"/>
        <w:ind w:left="360"/>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xml:space="preserve">Firstly, it is best practice to see if it is possible to resolve the issue on an informal basis by setting up a meeting with Lucy to discuss her concerns raised (ACAS, 2020). If it is </w:t>
      </w:r>
      <w:r w:rsidRPr="00FF2A84">
        <w:rPr>
          <w:rStyle w:val="normaltextrun"/>
          <w:rFonts w:ascii="Arial" w:hAnsi="Arial" w:cs="Arial"/>
        </w:rPr>
        <w:lastRenderedPageBreak/>
        <w:t>not possible and the informal was unsuccessful then we will need to look at requesting an independent individual due to the line manager being named in the grievance, to assist with the investigation (ACAS, 2020). Formal acknowledgment, appointing an investigating officer and confirmation will need to be sent to Lucy.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Style w:val="normaltextrun"/>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This will now follow the ACAS code of practice for Grievance and Disciplinary (2020).</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matter raised will be the processing of Lucy’s sensitive personal data without her consent, in relation to her underlying lung condition, is unlawful and can be seen as a breach of the </w:t>
      </w:r>
      <w:r w:rsidRPr="00FF2A84">
        <w:rPr>
          <w:rStyle w:val="normaltextrun"/>
          <w:rFonts w:ascii="Arial" w:hAnsi="Arial" w:cs="Arial"/>
          <w:i/>
          <w:iCs/>
        </w:rPr>
        <w:t>Data Protection Act 2018, </w:t>
      </w:r>
      <w:r w:rsidRPr="00FF2A84">
        <w:rPr>
          <w:rStyle w:val="normaltextrun"/>
          <w:rFonts w:ascii="Arial" w:hAnsi="Arial" w:cs="Arial"/>
        </w:rPr>
        <w:t>section 35(3)</w:t>
      </w:r>
      <w:r w:rsidRPr="00FF2A84">
        <w:rPr>
          <w:rStyle w:val="normaltextrun"/>
          <w:rFonts w:ascii="Arial" w:hAnsi="Arial" w:cs="Arial"/>
          <w:i/>
          <w:iCs/>
        </w:rPr>
        <w:t>. </w:t>
      </w:r>
      <w:r w:rsidRPr="00FF2A84">
        <w:rPr>
          <w:rStyle w:val="normaltextrun"/>
          <w:rFonts w:ascii="Arial" w:hAnsi="Arial" w:cs="Arial"/>
        </w:rPr>
        <w:t>Due to this Lucy also has the right report this breach to the Information Commissioners Office</w:t>
      </w:r>
      <w:r w:rsidR="000369E4">
        <w:rPr>
          <w:rStyle w:val="normaltextrun"/>
          <w:rFonts w:ascii="Arial" w:hAnsi="Arial" w:cs="Arial"/>
        </w:rPr>
        <w:t xml:space="preserve"> (ICO)</w:t>
      </w:r>
      <w:r w:rsidRPr="00FF2A84">
        <w:rPr>
          <w:rStyle w:val="normaltextrun"/>
          <w:rFonts w:ascii="Arial" w:hAnsi="Arial" w:cs="Arial"/>
        </w:rPr>
        <w:t>. As part of the grievance investigation, the line manager will need to explain the reason behind the steps that he took.</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next step should be that the independent meets with Lucy to take her statement and to understand what the preferred outcome would be. This may be some form of remedial action in relation to the line manager, which could result in disciplinary action or even training in relation to the handling of personal information and data protection (ACAS, 2021d).</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After speaking with the line manager gathering any evidence that would be required and the finalising of the investigation. We would then look to communicate this outcome back to Lucy, which may or may not be what she was had asked for. This communication would therefore need to include information relating to the right of appeal.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To carry this investigation out as per the ACAS Code of Practice (2015), an independent person (not involved in the grievance) will need to complete the investigation, a grievance officer who cannot be the line manager and should not be the Managing Director as you will need to be able to hear the appeal should one be raised.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The second part of the grievance that Lucy has raised is the holding of Return-to-Work Interviews after a period of absence this will need to continue to take place as the company have a duty of care as an employer, and this would breach the duty of care if no not hold the meetings (HSE, 2021b). Our duty of care upon return to be make sure that the premises are ok for the individuals returning and to complete a work-based assessment.</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There is also a legal obligation under statutes, </w:t>
      </w:r>
      <w:r w:rsidRPr="00FF2A84">
        <w:rPr>
          <w:rStyle w:val="normaltextrun"/>
          <w:rFonts w:ascii="Arial" w:hAnsi="Arial" w:cs="Arial"/>
          <w:i/>
          <w:iCs/>
        </w:rPr>
        <w:t>Health and Safety at Work Act</w:t>
      </w:r>
      <w:r w:rsidRPr="00FF2A84">
        <w:rPr>
          <w:rStyle w:val="normaltextrun"/>
          <w:rFonts w:ascii="Arial" w:hAnsi="Arial" w:cs="Arial"/>
        </w:rPr>
        <w:t> </w:t>
      </w:r>
      <w:r w:rsidRPr="00FF2A84">
        <w:rPr>
          <w:rStyle w:val="normaltextrun"/>
          <w:rFonts w:ascii="Arial" w:hAnsi="Arial" w:cs="Arial"/>
          <w:i/>
          <w:iCs/>
        </w:rPr>
        <w:t>1974 </w:t>
      </w:r>
      <w:r w:rsidRPr="00FF2A84">
        <w:rPr>
          <w:rStyle w:val="normaltextrun"/>
          <w:rFonts w:ascii="Arial" w:hAnsi="Arial" w:cs="Arial"/>
        </w:rPr>
        <w:t>to make sure that the duty of care for employees is taking place and that a documented forum is of the best interest for the employees to discuss the working environment.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Based on this return-to-work interviews should continue to take place.</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numPr>
          <w:ilvl w:val="0"/>
          <w:numId w:val="12"/>
        </w:numPr>
        <w:spacing w:before="0" w:beforeAutospacing="0" w:after="0" w:afterAutospacing="0" w:line="360" w:lineRule="auto"/>
        <w:ind w:left="360" w:firstLine="0"/>
        <w:jc w:val="both"/>
        <w:textAlignment w:val="baseline"/>
        <w:rPr>
          <w:rStyle w:val="eop"/>
          <w:rFonts w:ascii="Arial" w:hAnsi="Arial" w:cs="Arial"/>
        </w:rPr>
      </w:pPr>
      <w:r w:rsidRPr="00FF2A84">
        <w:rPr>
          <w:rStyle w:val="normaltextrun"/>
          <w:rFonts w:ascii="Arial" w:hAnsi="Arial" w:cs="Arial"/>
        </w:rPr>
        <w:t>Underlying reason </w:t>
      </w:r>
      <w:r w:rsidRPr="00FF2A84">
        <w:rPr>
          <w:rStyle w:val="eop"/>
          <w:rFonts w:ascii="Arial" w:hAnsi="Arial" w:cs="Arial"/>
        </w:rPr>
        <w:t> </w:t>
      </w:r>
    </w:p>
    <w:p w:rsidR="00EE2FF8" w:rsidRPr="00FF2A84" w:rsidRDefault="00EE2FF8" w:rsidP="000369E4">
      <w:pPr>
        <w:pStyle w:val="paragraph"/>
        <w:spacing w:before="0" w:beforeAutospacing="0" w:after="0" w:afterAutospacing="0" w:line="360" w:lineRule="auto"/>
        <w:ind w:left="360"/>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It can be considered as a legitimate reason for telling staff that an individual will not be in and that a cover will be required. However, in relation to COVID and informing others of the reason such as self-isolating or shielding, is close to breaching data protection based on the release of sensitive personal information (ICO, 2021). In general purposes we would not be disclosing this information but for the Health and Safety (duty of care as employers) of those that have been in close contact with the individual that is now self-isolating due to COVID, then this information can be released (ICO, 2021b). This is due to the turnaround of Covid tests taking a few days to be returned and the risk of transmission being too high with those in contact with the individual and respectively their families. There is requirement for a proportionate use of the information and a need-to-know basis.</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numPr>
          <w:ilvl w:val="0"/>
          <w:numId w:val="13"/>
        </w:numPr>
        <w:spacing w:before="0" w:beforeAutospacing="0" w:after="0" w:afterAutospacing="0" w:line="360" w:lineRule="auto"/>
        <w:ind w:left="360" w:firstLine="0"/>
        <w:jc w:val="both"/>
        <w:textAlignment w:val="baseline"/>
        <w:rPr>
          <w:rStyle w:val="eop"/>
          <w:rFonts w:ascii="Arial" w:hAnsi="Arial" w:cs="Arial"/>
        </w:rPr>
      </w:pPr>
      <w:r w:rsidRPr="00FF2A84">
        <w:rPr>
          <w:rStyle w:val="normaltextrun"/>
          <w:rFonts w:ascii="Arial" w:hAnsi="Arial" w:cs="Arial"/>
        </w:rPr>
        <w:t>Record keeping </w:t>
      </w:r>
      <w:r w:rsidRPr="00FF2A84">
        <w:rPr>
          <w:rStyle w:val="eop"/>
          <w:rFonts w:ascii="Arial" w:hAnsi="Arial" w:cs="Arial"/>
        </w:rPr>
        <w:t> </w:t>
      </w:r>
    </w:p>
    <w:p w:rsidR="00EE2FF8" w:rsidRPr="00FF2A84" w:rsidRDefault="00EE2FF8" w:rsidP="000369E4">
      <w:pPr>
        <w:pStyle w:val="paragraph"/>
        <w:spacing w:before="0" w:beforeAutospacing="0" w:after="0" w:afterAutospacing="0" w:line="360" w:lineRule="auto"/>
        <w:ind w:left="360"/>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t>The ICO states that records should not be kept for any longer then necessary (records, retention and destruction) and with legitimate reasons, the recommendation is for 6 years (ICO, 2021c).</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normaltextrun"/>
          <w:rFonts w:ascii="Arial" w:hAnsi="Arial" w:cs="Arial"/>
        </w:rPr>
        <w:lastRenderedPageBreak/>
        <w:t>Although there is a legitimate reason for storing the information for those that are employed for the managing of absence. It is important to incorporate the seven principles of data protection due to the nature of this sensitive personal information, when storing this, the security and who will have access as well as the retention (ICO, 2021d).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Kind Regards</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HR Consultant</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normaltextrun"/>
          <w:rFonts w:ascii="Arial" w:hAnsi="Arial" w:cs="Arial"/>
        </w:rPr>
        <w:t> </w:t>
      </w:r>
      <w:r w:rsidRPr="00FF2A84">
        <w:rPr>
          <w:rStyle w:val="eop"/>
          <w:rFonts w:ascii="Arial" w:hAnsi="Arial" w:cs="Arial"/>
        </w:rPr>
        <w:t> </w:t>
      </w:r>
    </w:p>
    <w:p w:rsidR="00BA5B56" w:rsidRPr="00FF2A84" w:rsidRDefault="00BA5B56" w:rsidP="000369E4">
      <w:pPr>
        <w:pStyle w:val="paragraph"/>
        <w:spacing w:before="0" w:beforeAutospacing="0" w:after="0" w:afterAutospacing="0" w:line="360" w:lineRule="auto"/>
        <w:jc w:val="both"/>
        <w:textAlignment w:val="baseline"/>
        <w:rPr>
          <w:rFonts w:ascii="Arial" w:hAnsi="Arial" w:cs="Arial"/>
        </w:rPr>
      </w:pPr>
      <w:r w:rsidRPr="00FF2A84">
        <w:rPr>
          <w:rStyle w:val="eop"/>
          <w:rFonts w:ascii="Arial" w:hAnsi="Arial" w:cs="Arial"/>
        </w:rPr>
        <w:t> </w:t>
      </w:r>
    </w:p>
    <w:p w:rsidR="00BA5B56" w:rsidRDefault="00BA5B56" w:rsidP="000369E4">
      <w:pPr>
        <w:pStyle w:val="paragraph"/>
        <w:spacing w:before="0" w:beforeAutospacing="0" w:after="0" w:afterAutospacing="0" w:line="360" w:lineRule="auto"/>
        <w:jc w:val="both"/>
        <w:textAlignment w:val="baseline"/>
        <w:rPr>
          <w:rStyle w:val="eop"/>
          <w:rFonts w:ascii="Arial" w:hAnsi="Arial" w:cs="Arial"/>
        </w:rPr>
      </w:pPr>
      <w:r w:rsidRPr="00FF2A84">
        <w:rPr>
          <w:rStyle w:val="eop"/>
          <w:rFonts w:ascii="Arial" w:hAnsi="Arial" w:cs="Arial"/>
        </w:rPr>
        <w:t> </w:t>
      </w: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Default="00326630" w:rsidP="000369E4">
      <w:pPr>
        <w:pStyle w:val="paragraph"/>
        <w:spacing w:before="0" w:beforeAutospacing="0" w:after="0" w:afterAutospacing="0" w:line="360" w:lineRule="auto"/>
        <w:jc w:val="both"/>
        <w:textAlignment w:val="baseline"/>
        <w:rPr>
          <w:rStyle w:val="eop"/>
          <w:rFonts w:ascii="Arial" w:hAnsi="Arial" w:cs="Arial"/>
        </w:rPr>
      </w:pPr>
    </w:p>
    <w:p w:rsidR="00326630" w:rsidRPr="00FF2A84" w:rsidRDefault="00326630" w:rsidP="000369E4">
      <w:pPr>
        <w:pStyle w:val="paragraph"/>
        <w:spacing w:before="0" w:beforeAutospacing="0" w:after="0" w:afterAutospacing="0" w:line="360" w:lineRule="auto"/>
        <w:jc w:val="both"/>
        <w:textAlignment w:val="baseline"/>
        <w:rPr>
          <w:rFonts w:ascii="Arial" w:hAnsi="Arial" w:cs="Arial"/>
        </w:rPr>
      </w:pPr>
    </w:p>
    <w:p w:rsidR="004A7D5F" w:rsidRPr="000369E4" w:rsidRDefault="00FF2A84" w:rsidP="000369E4">
      <w:pPr>
        <w:pStyle w:val="Heading1"/>
        <w:spacing w:line="360" w:lineRule="auto"/>
        <w:rPr>
          <w:rFonts w:ascii="Arial" w:hAnsi="Arial" w:cs="Arial"/>
          <w:sz w:val="24"/>
          <w:szCs w:val="24"/>
        </w:rPr>
      </w:pPr>
      <w:bookmarkStart w:id="16" w:name="_Toc71489216"/>
      <w:r w:rsidRPr="000369E4">
        <w:rPr>
          <w:rFonts w:ascii="Arial" w:hAnsi="Arial" w:cs="Arial"/>
          <w:sz w:val="24"/>
          <w:szCs w:val="24"/>
        </w:rPr>
        <w:lastRenderedPageBreak/>
        <w:t>References</w:t>
      </w:r>
      <w:bookmarkEnd w:id="16"/>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ACAS (2015) </w:t>
      </w:r>
      <w:r w:rsidRPr="000369E4">
        <w:rPr>
          <w:rFonts w:ascii="Arial" w:hAnsi="Arial" w:cs="Arial"/>
          <w:i/>
          <w:sz w:val="24"/>
          <w:szCs w:val="24"/>
        </w:rPr>
        <w:t>Code of Practice on disciplinary and grievance procedures.</w:t>
      </w:r>
      <w:r w:rsidRPr="000369E4">
        <w:rPr>
          <w:rFonts w:ascii="Arial" w:hAnsi="Arial" w:cs="Arial"/>
          <w:sz w:val="24"/>
          <w:szCs w:val="24"/>
        </w:rPr>
        <w:t xml:space="preserve"> Available at: </w:t>
      </w:r>
      <w:hyperlink r:id="rId8" w:anchor="the-code-of-practice" w:history="1">
        <w:r w:rsidRPr="000369E4">
          <w:rPr>
            <w:rStyle w:val="Hyperlink"/>
            <w:rFonts w:ascii="Arial" w:hAnsi="Arial" w:cs="Arial"/>
            <w:sz w:val="24"/>
            <w:szCs w:val="24"/>
          </w:rPr>
          <w:t>Code of Practice on disciplinary and grievance procedures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ACAS (2021a) </w:t>
      </w:r>
      <w:r w:rsidRPr="000369E4">
        <w:rPr>
          <w:rFonts w:ascii="Arial" w:hAnsi="Arial" w:cs="Arial"/>
          <w:i/>
          <w:sz w:val="24"/>
          <w:szCs w:val="24"/>
        </w:rPr>
        <w:t xml:space="preserve">Step 1: Deciding if there needs to be an investigation: Investigations for discipline and grievance: step by step. </w:t>
      </w:r>
      <w:r w:rsidRPr="000369E4">
        <w:rPr>
          <w:rFonts w:ascii="Arial" w:hAnsi="Arial" w:cs="Arial"/>
          <w:sz w:val="24"/>
          <w:szCs w:val="24"/>
        </w:rPr>
        <w:t xml:space="preserve"> Available at:</w:t>
      </w:r>
      <w:r w:rsidRPr="000369E4">
        <w:rPr>
          <w:rFonts w:ascii="Arial" w:hAnsi="Arial" w:cs="Arial"/>
          <w:i/>
          <w:sz w:val="24"/>
          <w:szCs w:val="24"/>
        </w:rPr>
        <w:t xml:space="preserve"> </w:t>
      </w:r>
      <w:hyperlink r:id="rId9" w:history="1">
        <w:r w:rsidRPr="000369E4">
          <w:rPr>
            <w:rStyle w:val="Hyperlink"/>
            <w:rFonts w:ascii="Arial" w:hAnsi="Arial" w:cs="Arial"/>
            <w:sz w:val="24"/>
            <w:szCs w:val="24"/>
          </w:rPr>
          <w:t>Step 1: Deciding if there needs to be an investigation: Investigations for discipline and grievance: step by step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ACAS (2021b) </w:t>
      </w:r>
      <w:r w:rsidRPr="000369E4">
        <w:rPr>
          <w:rFonts w:ascii="Arial" w:hAnsi="Arial" w:cs="Arial"/>
          <w:i/>
          <w:sz w:val="24"/>
          <w:szCs w:val="24"/>
        </w:rPr>
        <w:t>Appealing a disciplinary or grievance outcome.</w:t>
      </w:r>
      <w:r w:rsidRPr="000369E4">
        <w:rPr>
          <w:rFonts w:ascii="Arial" w:hAnsi="Arial" w:cs="Arial"/>
          <w:sz w:val="24"/>
          <w:szCs w:val="24"/>
        </w:rPr>
        <w:t xml:space="preserve"> Available at: </w:t>
      </w:r>
      <w:hyperlink r:id="rId10" w:history="1">
        <w:r w:rsidRPr="000369E4">
          <w:rPr>
            <w:rStyle w:val="Hyperlink"/>
            <w:rFonts w:ascii="Arial" w:hAnsi="Arial" w:cs="Arial"/>
            <w:sz w:val="24"/>
            <w:szCs w:val="24"/>
          </w:rPr>
          <w:t>Appealing a disciplinary or grievance outcome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ACAS (2021c) </w:t>
      </w:r>
      <w:r w:rsidRPr="000369E4">
        <w:rPr>
          <w:rFonts w:ascii="Arial" w:hAnsi="Arial" w:cs="Arial"/>
          <w:i/>
          <w:sz w:val="24"/>
          <w:szCs w:val="24"/>
        </w:rPr>
        <w:t>Notice periods and pay: Dismissals.</w:t>
      </w:r>
      <w:r w:rsidRPr="000369E4">
        <w:rPr>
          <w:rFonts w:ascii="Arial" w:hAnsi="Arial" w:cs="Arial"/>
          <w:sz w:val="24"/>
          <w:szCs w:val="24"/>
        </w:rPr>
        <w:t xml:space="preserve"> Available at: </w:t>
      </w:r>
      <w:hyperlink r:id="rId11" w:history="1">
        <w:r w:rsidRPr="000369E4">
          <w:rPr>
            <w:rStyle w:val="Hyperlink"/>
            <w:rFonts w:ascii="Arial" w:hAnsi="Arial" w:cs="Arial"/>
            <w:sz w:val="24"/>
            <w:szCs w:val="24"/>
          </w:rPr>
          <w:t>Notice periods and pay: Dismissals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ACAS (2021d) </w:t>
      </w:r>
      <w:r w:rsidRPr="000369E4">
        <w:rPr>
          <w:rFonts w:ascii="Arial" w:hAnsi="Arial" w:cs="Arial"/>
          <w:i/>
          <w:sz w:val="24"/>
          <w:szCs w:val="24"/>
        </w:rPr>
        <w:t xml:space="preserve">Step 5: Deciding the outcome: Formal grievance procedure: step by step. </w:t>
      </w:r>
      <w:r w:rsidRPr="000369E4">
        <w:rPr>
          <w:rFonts w:ascii="Arial" w:hAnsi="Arial" w:cs="Arial"/>
          <w:sz w:val="24"/>
          <w:szCs w:val="24"/>
        </w:rPr>
        <w:t xml:space="preserve">Available at: </w:t>
      </w:r>
      <w:hyperlink r:id="rId12" w:history="1">
        <w:r w:rsidRPr="000369E4">
          <w:rPr>
            <w:rStyle w:val="Hyperlink"/>
            <w:rFonts w:ascii="Arial" w:hAnsi="Arial" w:cs="Arial"/>
            <w:sz w:val="24"/>
            <w:szCs w:val="24"/>
          </w:rPr>
          <w:t>Step 5: Deciding the outcome: Formal grievance procedure: step by step - Acas</w:t>
        </w:r>
      </w:hyperlink>
      <w:r w:rsidRPr="000369E4">
        <w:rPr>
          <w:rFonts w:ascii="Arial" w:hAnsi="Arial" w:cs="Arial"/>
          <w:sz w:val="24"/>
          <w:szCs w:val="24"/>
        </w:rPr>
        <w:t xml:space="preserve"> </w:t>
      </w:r>
      <w:r w:rsidRPr="000369E4">
        <w:rPr>
          <w:rStyle w:val="Hyperlink"/>
          <w:rFonts w:ascii="Arial" w:hAnsi="Arial" w:cs="Arial"/>
          <w:sz w:val="24"/>
          <w:szCs w:val="24"/>
        </w:rPr>
        <w:t>(Accessed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ACAS (2021e) </w:t>
      </w:r>
      <w:r w:rsidRPr="000369E4">
        <w:rPr>
          <w:rFonts w:ascii="Arial" w:hAnsi="Arial" w:cs="Arial"/>
          <w:i/>
          <w:sz w:val="24"/>
          <w:szCs w:val="24"/>
        </w:rPr>
        <w:t>Asking for flexible working: Making a flexible working request.</w:t>
      </w:r>
      <w:r w:rsidRPr="000369E4">
        <w:rPr>
          <w:rFonts w:ascii="Arial" w:hAnsi="Arial" w:cs="Arial"/>
          <w:sz w:val="24"/>
          <w:szCs w:val="24"/>
        </w:rPr>
        <w:t xml:space="preserve"> Available at: </w:t>
      </w:r>
      <w:hyperlink r:id="rId13" w:history="1">
        <w:r w:rsidRPr="000369E4">
          <w:rPr>
            <w:rStyle w:val="Hyperlink"/>
            <w:rFonts w:ascii="Arial" w:hAnsi="Arial" w:cs="Arial"/>
            <w:sz w:val="24"/>
            <w:szCs w:val="24"/>
          </w:rPr>
          <w:t>Asking for flexible working: Making a flexible working request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ACAS (2014) </w:t>
      </w:r>
      <w:r w:rsidRPr="000369E4">
        <w:rPr>
          <w:rFonts w:ascii="Arial" w:hAnsi="Arial" w:cs="Arial"/>
          <w:i/>
          <w:sz w:val="24"/>
          <w:szCs w:val="24"/>
        </w:rPr>
        <w:t xml:space="preserve">Code of Practice on handling in a reasonable manner requests to work flexibly. </w:t>
      </w:r>
      <w:r w:rsidRPr="000369E4">
        <w:rPr>
          <w:rFonts w:ascii="Arial" w:hAnsi="Arial" w:cs="Arial"/>
          <w:sz w:val="24"/>
          <w:szCs w:val="24"/>
        </w:rPr>
        <w:t xml:space="preserve">Available at: </w:t>
      </w:r>
      <w:hyperlink r:id="rId14" w:history="1">
        <w:r w:rsidRPr="000369E4">
          <w:rPr>
            <w:rStyle w:val="Hyperlink"/>
            <w:rFonts w:ascii="Arial" w:hAnsi="Arial" w:cs="Arial"/>
            <w:sz w:val="24"/>
            <w:szCs w:val="24"/>
          </w:rPr>
          <w:t>Code of Practice on handling in a reasonable manner requests to work flexibly | Acas</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ACAS (2020) </w:t>
      </w:r>
      <w:r w:rsidRPr="000369E4">
        <w:rPr>
          <w:rFonts w:ascii="Arial" w:hAnsi="Arial" w:cs="Arial"/>
          <w:i/>
          <w:sz w:val="24"/>
          <w:szCs w:val="24"/>
        </w:rPr>
        <w:t xml:space="preserve">Discipline and Grievances at work. </w:t>
      </w:r>
      <w:r w:rsidRPr="000369E4">
        <w:rPr>
          <w:rFonts w:ascii="Arial" w:hAnsi="Arial" w:cs="Arial"/>
          <w:sz w:val="24"/>
          <w:szCs w:val="24"/>
        </w:rPr>
        <w:t xml:space="preserve">Available at: </w:t>
      </w:r>
      <w:hyperlink r:id="rId15" w:history="1">
        <w:r w:rsidRPr="000369E4">
          <w:rPr>
            <w:rStyle w:val="Hyperlink"/>
            <w:rFonts w:ascii="Arial" w:hAnsi="Arial" w:cs="Arial"/>
            <w:sz w:val="24"/>
            <w:szCs w:val="24"/>
          </w:rPr>
          <w:t>Discipline and Grievances at work (acas.org.uk)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Casemine (2008) </w:t>
      </w:r>
      <w:r w:rsidRPr="000369E4">
        <w:rPr>
          <w:rFonts w:ascii="Arial" w:hAnsi="Arial" w:cs="Arial"/>
          <w:i/>
          <w:sz w:val="24"/>
          <w:szCs w:val="24"/>
        </w:rPr>
        <w:t>Atkins v Coyle Personnel Plc [2008]</w:t>
      </w:r>
      <w:r w:rsidRPr="000369E4">
        <w:rPr>
          <w:rFonts w:ascii="Arial" w:hAnsi="Arial" w:cs="Arial"/>
          <w:sz w:val="24"/>
          <w:szCs w:val="24"/>
        </w:rPr>
        <w:t xml:space="preserve"> Available at: </w:t>
      </w:r>
      <w:hyperlink r:id="rId16" w:history="1">
        <w:r w:rsidRPr="000369E4">
          <w:rPr>
            <w:rStyle w:val="Hyperlink"/>
            <w:rFonts w:ascii="Arial" w:hAnsi="Arial" w:cs="Arial"/>
            <w:sz w:val="24"/>
            <w:szCs w:val="24"/>
          </w:rPr>
          <w:t>Atkins v Coyle Personnel Plc | [2008] UKEAT 0206_07_0802 | United Kingdom Employment Appeal Tribunal | Judgment | Law | CaseMine</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CIPD (2021a) </w:t>
      </w:r>
      <w:r w:rsidRPr="000369E4">
        <w:rPr>
          <w:rFonts w:ascii="Arial" w:hAnsi="Arial" w:cs="Arial"/>
          <w:i/>
          <w:sz w:val="24"/>
          <w:szCs w:val="24"/>
        </w:rPr>
        <w:t>Employment Tribunals Factsheets</w:t>
      </w:r>
      <w:r w:rsidRPr="000369E4">
        <w:rPr>
          <w:rFonts w:ascii="Arial" w:hAnsi="Arial" w:cs="Arial"/>
          <w:sz w:val="24"/>
          <w:szCs w:val="24"/>
        </w:rPr>
        <w:t xml:space="preserve">. Available at: </w:t>
      </w:r>
      <w:hyperlink r:id="rId17" w:history="1">
        <w:r w:rsidRPr="000369E4">
          <w:rPr>
            <w:rStyle w:val="Hyperlink"/>
            <w:rFonts w:ascii="Arial" w:hAnsi="Arial" w:cs="Arial"/>
            <w:sz w:val="24"/>
            <w:szCs w:val="24"/>
          </w:rPr>
          <w:t>Employment Tribunals | Factsheets | CIPD</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CIPD (2021b) </w:t>
      </w:r>
      <w:r w:rsidRPr="000369E4">
        <w:rPr>
          <w:rFonts w:ascii="Arial" w:hAnsi="Arial" w:cs="Arial"/>
          <w:i/>
          <w:sz w:val="24"/>
          <w:szCs w:val="24"/>
        </w:rPr>
        <w:t>Discipline &amp; Grievance Procedures Q&amp;As</w:t>
      </w:r>
      <w:r w:rsidRPr="000369E4">
        <w:rPr>
          <w:rFonts w:ascii="Arial" w:hAnsi="Arial" w:cs="Arial"/>
          <w:sz w:val="24"/>
          <w:szCs w:val="24"/>
        </w:rPr>
        <w:t xml:space="preserve">. Available at: </w:t>
      </w:r>
      <w:hyperlink r:id="rId18" w:history="1">
        <w:r w:rsidRPr="000369E4">
          <w:rPr>
            <w:rStyle w:val="Hyperlink"/>
            <w:rFonts w:ascii="Arial" w:hAnsi="Arial" w:cs="Arial"/>
            <w:sz w:val="24"/>
            <w:szCs w:val="24"/>
          </w:rPr>
          <w:t>Discipline &amp; Grievance Procedures Q&amp;As | CIPD</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lastRenderedPageBreak/>
        <w:t xml:space="preserve">CIPD (2021c) </w:t>
      </w:r>
      <w:r w:rsidRPr="000369E4">
        <w:rPr>
          <w:rFonts w:ascii="Arial" w:hAnsi="Arial" w:cs="Arial"/>
          <w:i/>
          <w:sz w:val="24"/>
          <w:szCs w:val="24"/>
        </w:rPr>
        <w:t>Statutory Rates</w:t>
      </w:r>
      <w:r w:rsidRPr="000369E4">
        <w:rPr>
          <w:rFonts w:ascii="Arial" w:hAnsi="Arial" w:cs="Arial"/>
          <w:sz w:val="24"/>
          <w:szCs w:val="24"/>
        </w:rPr>
        <w:t xml:space="preserve">. Available at: </w:t>
      </w:r>
      <w:hyperlink r:id="rId19" w:history="1">
        <w:r w:rsidRPr="000369E4">
          <w:rPr>
            <w:rStyle w:val="Hyperlink"/>
            <w:rFonts w:ascii="Arial" w:hAnsi="Arial" w:cs="Arial"/>
            <w:sz w:val="24"/>
            <w:szCs w:val="24"/>
          </w:rPr>
          <w:t>Statutory Rates | CIPD</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Citizens Advice (2020) </w:t>
      </w:r>
      <w:r w:rsidRPr="000369E4">
        <w:rPr>
          <w:rFonts w:ascii="Arial" w:hAnsi="Arial" w:cs="Arial"/>
          <w:i/>
          <w:sz w:val="24"/>
          <w:szCs w:val="24"/>
        </w:rPr>
        <w:t xml:space="preserve">Employment tribunal – how to work out your compensatory award if you are claiming unfair dismissal. </w:t>
      </w:r>
      <w:r w:rsidRPr="000369E4">
        <w:rPr>
          <w:rFonts w:ascii="Arial" w:hAnsi="Arial" w:cs="Arial"/>
          <w:sz w:val="24"/>
          <w:szCs w:val="24"/>
        </w:rPr>
        <w:t xml:space="preserve">Available at: </w:t>
      </w:r>
      <w:hyperlink r:id="rId20" w:history="1">
        <w:r w:rsidRPr="000369E4">
          <w:rPr>
            <w:rStyle w:val="Hyperlink"/>
            <w:rFonts w:ascii="Arial" w:hAnsi="Arial" w:cs="Arial"/>
            <w:sz w:val="24"/>
            <w:szCs w:val="24"/>
          </w:rPr>
          <w:t>Employment tribunals - how to work out your compensatory award if you are claiming unfair dismissal - Citizens Advice</w:t>
        </w:r>
      </w:hyperlink>
      <w:r w:rsidRPr="000369E4">
        <w:rPr>
          <w:rFonts w:ascii="Arial" w:hAnsi="Arial" w:cs="Arial"/>
          <w:sz w:val="24"/>
          <w:szCs w:val="24"/>
        </w:rPr>
        <w:t xml:space="preserve"> </w:t>
      </w:r>
      <w:r w:rsidRPr="000369E4">
        <w:rPr>
          <w:rStyle w:val="Hyperlink"/>
          <w:rFonts w:ascii="Arial" w:hAnsi="Arial" w:cs="Arial"/>
          <w:sz w:val="24"/>
          <w:szCs w:val="24"/>
        </w:rPr>
        <w:t>(Accessed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Citizens advice (2021) </w:t>
      </w:r>
      <w:r w:rsidRPr="000369E4">
        <w:rPr>
          <w:rFonts w:ascii="Arial" w:hAnsi="Arial" w:cs="Arial"/>
          <w:i/>
          <w:sz w:val="24"/>
          <w:szCs w:val="24"/>
        </w:rPr>
        <w:t xml:space="preserve">Employment tribunals – is your compensatory award below the cap and will any welfare benefits you’ve received reduce it? </w:t>
      </w:r>
      <w:r w:rsidRPr="000369E4">
        <w:rPr>
          <w:rFonts w:ascii="Arial" w:hAnsi="Arial" w:cs="Arial"/>
          <w:sz w:val="24"/>
          <w:szCs w:val="24"/>
        </w:rPr>
        <w:t xml:space="preserve">Available at: </w:t>
      </w:r>
      <w:hyperlink r:id="rId21" w:history="1">
        <w:r w:rsidRPr="000369E4">
          <w:rPr>
            <w:rStyle w:val="Hyperlink"/>
            <w:rFonts w:ascii="Arial" w:hAnsi="Arial" w:cs="Arial"/>
            <w:sz w:val="24"/>
            <w:szCs w:val="24"/>
          </w:rPr>
          <w:t>Employment tribunals - is your compensatory award below the cap and will any welfare benefits you've received reduce it? - Citizens Advice</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Department for Business Innovation and Skills (2015) </w:t>
      </w:r>
      <w:r w:rsidRPr="000369E4">
        <w:rPr>
          <w:rFonts w:ascii="Arial" w:hAnsi="Arial" w:cs="Arial"/>
          <w:i/>
          <w:sz w:val="24"/>
          <w:szCs w:val="24"/>
        </w:rPr>
        <w:t>Whistleblowing: Guidance for Employers and Code of Practice</w:t>
      </w:r>
      <w:r w:rsidRPr="000369E4">
        <w:rPr>
          <w:rFonts w:ascii="Arial" w:hAnsi="Arial" w:cs="Arial"/>
          <w:sz w:val="24"/>
          <w:szCs w:val="24"/>
        </w:rPr>
        <w:t xml:space="preserve">. Available at: </w:t>
      </w:r>
      <w:hyperlink r:id="rId22" w:history="1">
        <w:r w:rsidRPr="000369E4">
          <w:rPr>
            <w:rStyle w:val="Hyperlink"/>
            <w:rFonts w:ascii="Arial" w:hAnsi="Arial" w:cs="Arial"/>
            <w:sz w:val="24"/>
            <w:szCs w:val="24"/>
          </w:rPr>
          <w:t>Whistleblowing: Guidance for Employers and Code of Practice (publishing.service.gov.uk)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Dentons (2021) </w:t>
      </w:r>
      <w:r w:rsidRPr="000369E4">
        <w:rPr>
          <w:rFonts w:ascii="Arial" w:hAnsi="Arial" w:cs="Arial"/>
          <w:i/>
          <w:sz w:val="24"/>
          <w:szCs w:val="24"/>
        </w:rPr>
        <w:t xml:space="preserve">“Can I have my job back?” – reinstatement and re-engagement in the employment tribunal. </w:t>
      </w:r>
      <w:r w:rsidRPr="000369E4">
        <w:rPr>
          <w:rFonts w:ascii="Arial" w:hAnsi="Arial" w:cs="Arial"/>
          <w:sz w:val="24"/>
          <w:szCs w:val="24"/>
        </w:rPr>
        <w:t>Available at:</w:t>
      </w:r>
      <w:r w:rsidRPr="000369E4">
        <w:rPr>
          <w:rFonts w:ascii="Arial" w:hAnsi="Arial" w:cs="Arial"/>
          <w:i/>
          <w:sz w:val="24"/>
          <w:szCs w:val="24"/>
        </w:rPr>
        <w:t xml:space="preserve"> </w:t>
      </w:r>
      <w:hyperlink r:id="rId23" w:anchor=":~:text=In%20circumstances%20where%20an%20employment,they%20had%20never%20been%20dismissed" w:history="1">
        <w:r w:rsidRPr="000369E4">
          <w:rPr>
            <w:rStyle w:val="Hyperlink"/>
            <w:rFonts w:ascii="Arial" w:hAnsi="Arial" w:cs="Arial"/>
            <w:sz w:val="24"/>
            <w:szCs w:val="24"/>
          </w:rPr>
          <w:t>Dentons - “Can I have my job back?” – reinstatement and re-engagement in the employment tribunal</w:t>
        </w:r>
      </w:hyperlink>
      <w:r w:rsidRPr="000369E4">
        <w:rPr>
          <w:rFonts w:ascii="Arial" w:hAnsi="Arial" w:cs="Arial"/>
          <w:sz w:val="24"/>
          <w:szCs w:val="24"/>
        </w:rPr>
        <w:t xml:space="preserve"> </w:t>
      </w:r>
      <w:r w:rsidRPr="000369E4">
        <w:rPr>
          <w:rStyle w:val="Hyperlink"/>
          <w:rFonts w:ascii="Arial" w:hAnsi="Arial" w:cs="Arial"/>
          <w:sz w:val="24"/>
          <w:szCs w:val="24"/>
        </w:rPr>
        <w:t>(Accessed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Employment Tribunal (2020) </w:t>
      </w:r>
      <w:r w:rsidRPr="000369E4">
        <w:rPr>
          <w:rFonts w:ascii="Arial" w:hAnsi="Arial" w:cs="Arial"/>
          <w:i/>
          <w:sz w:val="24"/>
          <w:szCs w:val="24"/>
        </w:rPr>
        <w:t xml:space="preserve">ET3 – Response form. </w:t>
      </w:r>
      <w:r w:rsidRPr="000369E4">
        <w:rPr>
          <w:rFonts w:ascii="Arial" w:hAnsi="Arial" w:cs="Arial"/>
          <w:sz w:val="24"/>
          <w:szCs w:val="24"/>
        </w:rPr>
        <w:t xml:space="preserve">Available at: </w:t>
      </w:r>
      <w:hyperlink r:id="rId24" w:history="1">
        <w:r w:rsidRPr="000369E4">
          <w:rPr>
            <w:rStyle w:val="Hyperlink"/>
            <w:rFonts w:ascii="Arial" w:hAnsi="Arial" w:cs="Arial"/>
            <w:sz w:val="24"/>
            <w:szCs w:val="24"/>
          </w:rPr>
          <w:t>ET3 - Response form (publishing.service.gov.uk)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i/>
          <w:sz w:val="24"/>
          <w:szCs w:val="24"/>
        </w:rPr>
      </w:pPr>
      <w:r w:rsidRPr="000369E4">
        <w:rPr>
          <w:rStyle w:val="Hyperlink"/>
          <w:rFonts w:ascii="Arial" w:hAnsi="Arial" w:cs="Arial"/>
          <w:i/>
          <w:sz w:val="24"/>
          <w:szCs w:val="24"/>
        </w:rPr>
        <w:t>Employment Rights Act 1996 Section 86</w:t>
      </w:r>
      <w:r w:rsidRPr="000369E4">
        <w:rPr>
          <w:rStyle w:val="Hyperlink"/>
          <w:rFonts w:ascii="Arial" w:hAnsi="Arial" w:cs="Arial"/>
          <w:sz w:val="24"/>
          <w:szCs w:val="24"/>
        </w:rPr>
        <w:t>. Available at:</w:t>
      </w:r>
      <w:r w:rsidRPr="000369E4">
        <w:rPr>
          <w:rStyle w:val="Hyperlink"/>
          <w:rFonts w:ascii="Arial" w:hAnsi="Arial" w:cs="Arial"/>
          <w:i/>
          <w:sz w:val="24"/>
          <w:szCs w:val="24"/>
        </w:rPr>
        <w:t xml:space="preserve"> </w:t>
      </w:r>
      <w:hyperlink r:id="rId25" w:history="1">
        <w:r w:rsidRPr="000369E4">
          <w:rPr>
            <w:rStyle w:val="Hyperlink"/>
            <w:rFonts w:ascii="Arial" w:hAnsi="Arial" w:cs="Arial"/>
            <w:sz w:val="24"/>
            <w:szCs w:val="24"/>
          </w:rPr>
          <w:t>Employment Rights Act 1996 (legislation.gov.uk)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i/>
          <w:sz w:val="24"/>
          <w:szCs w:val="24"/>
        </w:rPr>
      </w:pPr>
      <w:r w:rsidRPr="000369E4">
        <w:rPr>
          <w:rFonts w:ascii="Arial" w:hAnsi="Arial" w:cs="Arial"/>
          <w:i/>
          <w:sz w:val="24"/>
          <w:szCs w:val="24"/>
        </w:rPr>
        <w:t xml:space="preserve">Employment Rights Act 1996 Section 98. </w:t>
      </w:r>
      <w:r w:rsidRPr="000369E4">
        <w:rPr>
          <w:rFonts w:ascii="Arial" w:hAnsi="Arial" w:cs="Arial"/>
          <w:sz w:val="24"/>
          <w:szCs w:val="24"/>
        </w:rPr>
        <w:t xml:space="preserve">Available at: </w:t>
      </w:r>
      <w:hyperlink r:id="rId26" w:anchor="commentary-c21261231" w:history="1">
        <w:r w:rsidRPr="000369E4">
          <w:rPr>
            <w:rStyle w:val="Hyperlink"/>
            <w:rFonts w:ascii="Arial" w:hAnsi="Arial" w:cs="Arial"/>
            <w:sz w:val="24"/>
            <w:szCs w:val="24"/>
          </w:rPr>
          <w:t>Employment Rights Act 1996 (legislation.gov.uk)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i/>
          <w:sz w:val="24"/>
          <w:szCs w:val="24"/>
        </w:rPr>
        <w:t xml:space="preserve">Employment Rights Act 1996 Section 100 Subsection 1 paragraph C. </w:t>
      </w:r>
      <w:r w:rsidRPr="000369E4">
        <w:rPr>
          <w:rFonts w:ascii="Arial" w:hAnsi="Arial" w:cs="Arial"/>
          <w:sz w:val="24"/>
          <w:szCs w:val="24"/>
        </w:rPr>
        <w:t>Available at:</w:t>
      </w:r>
      <w:r w:rsidRPr="000369E4">
        <w:rPr>
          <w:rFonts w:ascii="Arial" w:hAnsi="Arial" w:cs="Arial"/>
          <w:i/>
          <w:sz w:val="24"/>
          <w:szCs w:val="24"/>
        </w:rPr>
        <w:t xml:space="preserve"> </w:t>
      </w:r>
      <w:hyperlink r:id="rId27" w:history="1">
        <w:r w:rsidRPr="000369E4">
          <w:rPr>
            <w:rStyle w:val="Hyperlink"/>
            <w:rFonts w:ascii="Arial" w:hAnsi="Arial" w:cs="Arial"/>
            <w:sz w:val="24"/>
            <w:szCs w:val="24"/>
          </w:rPr>
          <w:t>Employment Rights Act 1996 (legislation.gov.uk)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Style w:val="Hyperlink"/>
          <w:rFonts w:ascii="Arial" w:hAnsi="Arial" w:cs="Arial"/>
          <w:i/>
          <w:sz w:val="24"/>
          <w:szCs w:val="24"/>
        </w:rPr>
        <w:t xml:space="preserve">Employment Rights Act 1996 Section 103a </w:t>
      </w:r>
      <w:r w:rsidRPr="000369E4">
        <w:rPr>
          <w:rStyle w:val="Hyperlink"/>
          <w:rFonts w:ascii="Arial" w:hAnsi="Arial" w:cs="Arial"/>
          <w:sz w:val="24"/>
          <w:szCs w:val="24"/>
        </w:rPr>
        <w:t xml:space="preserve">Available at: </w:t>
      </w:r>
      <w:hyperlink r:id="rId28" w:history="1">
        <w:r w:rsidRPr="000369E4">
          <w:rPr>
            <w:rStyle w:val="Hyperlink"/>
            <w:rFonts w:ascii="Arial" w:hAnsi="Arial" w:cs="Arial"/>
            <w:sz w:val="24"/>
            <w:szCs w:val="24"/>
          </w:rPr>
          <w:t>Employment Rights Act 1996 (legislation.gov.uk)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i/>
          <w:sz w:val="24"/>
          <w:szCs w:val="24"/>
        </w:rPr>
        <w:lastRenderedPageBreak/>
        <w:t xml:space="preserve">Employment Rights Act 1996 Flexible working Part 8A. </w:t>
      </w:r>
      <w:r w:rsidRPr="000369E4">
        <w:rPr>
          <w:rFonts w:ascii="Arial" w:hAnsi="Arial" w:cs="Arial"/>
          <w:sz w:val="24"/>
          <w:szCs w:val="24"/>
        </w:rPr>
        <w:t>Available at:</w:t>
      </w:r>
      <w:r w:rsidRPr="000369E4">
        <w:rPr>
          <w:rFonts w:ascii="Arial" w:hAnsi="Arial" w:cs="Arial"/>
          <w:i/>
          <w:sz w:val="24"/>
          <w:szCs w:val="24"/>
        </w:rPr>
        <w:t xml:space="preserve"> </w:t>
      </w:r>
      <w:hyperlink r:id="rId29" w:history="1">
        <w:r w:rsidRPr="000369E4">
          <w:rPr>
            <w:rStyle w:val="Hyperlink"/>
            <w:rFonts w:ascii="Arial" w:hAnsi="Arial" w:cs="Arial"/>
            <w:sz w:val="24"/>
            <w:szCs w:val="24"/>
          </w:rPr>
          <w:t>Employment Rights Act 1996 (legislation.gov.uk)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Equality and Human Rights Commission (2016) </w:t>
      </w:r>
      <w:r w:rsidRPr="000369E4">
        <w:rPr>
          <w:rFonts w:ascii="Arial" w:hAnsi="Arial" w:cs="Arial"/>
          <w:i/>
          <w:sz w:val="24"/>
          <w:szCs w:val="24"/>
        </w:rPr>
        <w:t>The Coleman case</w:t>
      </w:r>
      <w:r w:rsidRPr="000369E4">
        <w:rPr>
          <w:rFonts w:ascii="Arial" w:hAnsi="Arial" w:cs="Arial"/>
          <w:sz w:val="24"/>
          <w:szCs w:val="24"/>
        </w:rPr>
        <w:t xml:space="preserve">. Available at: </w:t>
      </w:r>
      <w:hyperlink r:id="rId30" w:history="1">
        <w:r w:rsidRPr="000369E4">
          <w:rPr>
            <w:rStyle w:val="Hyperlink"/>
            <w:rFonts w:ascii="Arial" w:hAnsi="Arial" w:cs="Arial"/>
            <w:sz w:val="24"/>
            <w:szCs w:val="24"/>
          </w:rPr>
          <w:t>The Coleman case | Equality and Human Rights Commission (equalityhumanrights.com)</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Employment Law Guide (2021) </w:t>
      </w:r>
      <w:r w:rsidRPr="000369E4">
        <w:rPr>
          <w:rFonts w:ascii="Arial" w:hAnsi="Arial" w:cs="Arial"/>
          <w:i/>
          <w:sz w:val="24"/>
          <w:szCs w:val="24"/>
        </w:rPr>
        <w:t xml:space="preserve">Working Time Regulations. </w:t>
      </w:r>
      <w:r w:rsidRPr="000369E4">
        <w:rPr>
          <w:rFonts w:ascii="Arial" w:hAnsi="Arial" w:cs="Arial"/>
          <w:sz w:val="24"/>
          <w:szCs w:val="24"/>
        </w:rPr>
        <w:t>Available at:</w:t>
      </w:r>
      <w:r w:rsidRPr="000369E4">
        <w:rPr>
          <w:rFonts w:ascii="Arial" w:hAnsi="Arial" w:cs="Arial"/>
          <w:i/>
          <w:sz w:val="24"/>
          <w:szCs w:val="24"/>
        </w:rPr>
        <w:t xml:space="preserve"> </w:t>
      </w:r>
      <w:hyperlink r:id="rId31" w:history="1">
        <w:r w:rsidRPr="000369E4">
          <w:rPr>
            <w:rStyle w:val="Hyperlink"/>
            <w:rFonts w:ascii="Arial" w:hAnsi="Arial" w:cs="Arial"/>
            <w:sz w:val="24"/>
            <w:szCs w:val="24"/>
          </w:rPr>
          <w:t>Working Time Regulations | Employment Law In The UK (employmentlawguide.uk)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Government UK (2014) </w:t>
      </w:r>
      <w:r w:rsidRPr="000369E4">
        <w:rPr>
          <w:rFonts w:ascii="Arial" w:hAnsi="Arial" w:cs="Arial"/>
          <w:i/>
          <w:sz w:val="24"/>
          <w:szCs w:val="24"/>
        </w:rPr>
        <w:t>Right to request flexible working: application form</w:t>
      </w:r>
      <w:r w:rsidRPr="000369E4">
        <w:rPr>
          <w:rFonts w:ascii="Arial" w:hAnsi="Arial" w:cs="Arial"/>
          <w:sz w:val="24"/>
          <w:szCs w:val="24"/>
        </w:rPr>
        <w:t xml:space="preserve">. Available at: </w:t>
      </w:r>
      <w:hyperlink r:id="rId32" w:history="1">
        <w:r w:rsidRPr="000369E4">
          <w:rPr>
            <w:rStyle w:val="Hyperlink"/>
            <w:rFonts w:ascii="Arial" w:hAnsi="Arial" w:cs="Arial"/>
            <w:sz w:val="24"/>
            <w:szCs w:val="24"/>
          </w:rPr>
          <w:t>Right to request flexible working: application form - GOV.UK (www.gov.uk)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Government UK (2020a) </w:t>
      </w:r>
      <w:r w:rsidRPr="000369E4">
        <w:rPr>
          <w:rFonts w:ascii="Arial" w:hAnsi="Arial" w:cs="Arial"/>
          <w:i/>
          <w:sz w:val="24"/>
          <w:szCs w:val="24"/>
        </w:rPr>
        <w:t xml:space="preserve">Being taken to an employment tribunal. </w:t>
      </w:r>
      <w:r w:rsidRPr="000369E4">
        <w:rPr>
          <w:rFonts w:ascii="Arial" w:hAnsi="Arial" w:cs="Arial"/>
          <w:sz w:val="24"/>
          <w:szCs w:val="24"/>
        </w:rPr>
        <w:t xml:space="preserve">Available at: </w:t>
      </w:r>
      <w:hyperlink r:id="rId33" w:history="1">
        <w:r w:rsidRPr="000369E4">
          <w:rPr>
            <w:rStyle w:val="Hyperlink"/>
            <w:rFonts w:ascii="Arial" w:hAnsi="Arial" w:cs="Arial"/>
            <w:sz w:val="24"/>
            <w:szCs w:val="24"/>
          </w:rPr>
          <w:t>Being taken to an employment tribunal - GOV.UK (www.gov.uk)</w:t>
        </w:r>
      </w:hyperlink>
      <w:r w:rsidRPr="000369E4">
        <w:rPr>
          <w:rFonts w:ascii="Arial" w:hAnsi="Arial" w:cs="Arial"/>
          <w:sz w:val="24"/>
          <w:szCs w:val="24"/>
        </w:rPr>
        <w:t xml:space="preserve"> </w:t>
      </w:r>
      <w:r w:rsidRPr="000369E4">
        <w:rPr>
          <w:rStyle w:val="Hyperlink"/>
          <w:rFonts w:ascii="Arial" w:hAnsi="Arial" w:cs="Arial"/>
          <w:sz w:val="24"/>
          <w:szCs w:val="24"/>
        </w:rPr>
        <w:t>(Accessed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Government UK (2020b) </w:t>
      </w:r>
      <w:r w:rsidRPr="000369E4">
        <w:rPr>
          <w:rFonts w:ascii="Arial" w:hAnsi="Arial" w:cs="Arial"/>
          <w:i/>
          <w:sz w:val="24"/>
          <w:szCs w:val="24"/>
        </w:rPr>
        <w:t>Dismissing staff</w:t>
      </w:r>
      <w:r w:rsidRPr="000369E4">
        <w:rPr>
          <w:rFonts w:ascii="Arial" w:hAnsi="Arial" w:cs="Arial"/>
          <w:sz w:val="24"/>
          <w:szCs w:val="24"/>
        </w:rPr>
        <w:t xml:space="preserve">. </w:t>
      </w:r>
      <w:r w:rsidRPr="000369E4">
        <w:rPr>
          <w:rFonts w:ascii="Arial" w:hAnsi="Arial" w:cs="Arial"/>
          <w:i/>
          <w:sz w:val="24"/>
          <w:szCs w:val="24"/>
        </w:rPr>
        <w:t xml:space="preserve"> </w:t>
      </w:r>
      <w:r w:rsidRPr="000369E4">
        <w:rPr>
          <w:rFonts w:ascii="Arial" w:hAnsi="Arial" w:cs="Arial"/>
          <w:sz w:val="24"/>
          <w:szCs w:val="24"/>
        </w:rPr>
        <w:t xml:space="preserve">Available at: </w:t>
      </w:r>
      <w:hyperlink r:id="rId34" w:history="1">
        <w:r w:rsidRPr="000369E4">
          <w:rPr>
            <w:rStyle w:val="Hyperlink"/>
            <w:rFonts w:ascii="Arial" w:hAnsi="Arial" w:cs="Arial"/>
            <w:sz w:val="24"/>
            <w:szCs w:val="24"/>
          </w:rPr>
          <w:t>Dismissing staff - GOV.UK (www.gov.uk)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Government UK (2021a)</w:t>
      </w:r>
      <w:r w:rsidRPr="000369E4">
        <w:rPr>
          <w:rFonts w:ascii="Arial" w:hAnsi="Arial" w:cs="Arial"/>
          <w:i/>
          <w:sz w:val="24"/>
          <w:szCs w:val="24"/>
        </w:rPr>
        <w:t xml:space="preserve"> Flexible working: Types of flexible working. </w:t>
      </w:r>
      <w:r w:rsidRPr="000369E4">
        <w:rPr>
          <w:rFonts w:ascii="Arial" w:hAnsi="Arial" w:cs="Arial"/>
          <w:sz w:val="24"/>
          <w:szCs w:val="24"/>
        </w:rPr>
        <w:t xml:space="preserve">Available at: </w:t>
      </w:r>
      <w:hyperlink r:id="rId35" w:history="1">
        <w:r w:rsidRPr="000369E4">
          <w:rPr>
            <w:rStyle w:val="Hyperlink"/>
            <w:rFonts w:ascii="Arial" w:hAnsi="Arial" w:cs="Arial"/>
            <w:sz w:val="24"/>
            <w:szCs w:val="24"/>
          </w:rPr>
          <w:t>Flexible working: Types of flexible working - GOV.UK (www.gov.uk)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Government UK (2021b) </w:t>
      </w:r>
      <w:r w:rsidRPr="000369E4">
        <w:rPr>
          <w:rFonts w:ascii="Arial" w:hAnsi="Arial" w:cs="Arial"/>
          <w:i/>
          <w:sz w:val="24"/>
          <w:szCs w:val="24"/>
        </w:rPr>
        <w:t xml:space="preserve">Changing an employment contract: Making changes. </w:t>
      </w:r>
      <w:r w:rsidRPr="000369E4">
        <w:rPr>
          <w:rFonts w:ascii="Arial" w:hAnsi="Arial" w:cs="Arial"/>
          <w:sz w:val="24"/>
          <w:szCs w:val="24"/>
        </w:rPr>
        <w:t xml:space="preserve">Available at: </w:t>
      </w:r>
      <w:hyperlink r:id="rId36" w:history="1">
        <w:r w:rsidRPr="000369E4">
          <w:rPr>
            <w:rStyle w:val="Hyperlink"/>
            <w:rFonts w:ascii="Arial" w:hAnsi="Arial" w:cs="Arial"/>
            <w:sz w:val="24"/>
            <w:szCs w:val="24"/>
          </w:rPr>
          <w:t>Changing an employment contract: Making changes - GOV.UK (www.gov.uk)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HM Courts and Tribunals (2021) </w:t>
      </w:r>
      <w:r w:rsidRPr="000369E4">
        <w:rPr>
          <w:rFonts w:ascii="Arial" w:hAnsi="Arial" w:cs="Arial"/>
          <w:i/>
          <w:sz w:val="24"/>
          <w:szCs w:val="24"/>
        </w:rPr>
        <w:t>T423 – Responding to a claim to an Employment Tribunal. Available at:</w:t>
      </w:r>
      <w:r w:rsidRPr="000369E4">
        <w:rPr>
          <w:rFonts w:ascii="Arial" w:hAnsi="Arial" w:cs="Arial"/>
          <w:sz w:val="24"/>
          <w:szCs w:val="24"/>
        </w:rPr>
        <w:t xml:space="preserve"> </w:t>
      </w:r>
      <w:hyperlink r:id="rId37" w:history="1">
        <w:r w:rsidRPr="000369E4">
          <w:rPr>
            <w:rStyle w:val="Hyperlink"/>
            <w:rFonts w:ascii="Arial" w:hAnsi="Arial" w:cs="Arial"/>
            <w:sz w:val="24"/>
            <w:szCs w:val="24"/>
          </w:rPr>
          <w:t>T423 - Responding to a claim to an Employment Tribunal (publishing.service.gov.uk)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Health and Safety Executive (2021a) </w:t>
      </w:r>
      <w:r w:rsidRPr="000369E4">
        <w:rPr>
          <w:rFonts w:ascii="Arial" w:hAnsi="Arial" w:cs="Arial"/>
          <w:i/>
          <w:sz w:val="24"/>
          <w:szCs w:val="24"/>
        </w:rPr>
        <w:t>Criminal and civil law</w:t>
      </w:r>
      <w:r w:rsidRPr="000369E4">
        <w:rPr>
          <w:rFonts w:ascii="Arial" w:hAnsi="Arial" w:cs="Arial"/>
          <w:sz w:val="24"/>
          <w:szCs w:val="24"/>
        </w:rPr>
        <w:t xml:space="preserve">. Available at: </w:t>
      </w:r>
      <w:hyperlink r:id="rId38" w:history="1">
        <w:r w:rsidRPr="000369E4">
          <w:rPr>
            <w:rStyle w:val="Hyperlink"/>
            <w:rFonts w:ascii="Arial" w:hAnsi="Arial" w:cs="Arial"/>
            <w:sz w:val="24"/>
            <w:szCs w:val="24"/>
          </w:rPr>
          <w:t>Health an</w:t>
        </w:r>
        <w:r w:rsidRPr="000369E4">
          <w:rPr>
            <w:rStyle w:val="Hyperlink"/>
            <w:rFonts w:ascii="Arial" w:hAnsi="Arial" w:cs="Arial"/>
            <w:sz w:val="24"/>
            <w:szCs w:val="24"/>
          </w:rPr>
          <w:t>d</w:t>
        </w:r>
        <w:r w:rsidRPr="000369E4">
          <w:rPr>
            <w:rStyle w:val="Hyperlink"/>
            <w:rFonts w:ascii="Arial" w:hAnsi="Arial" w:cs="Arial"/>
            <w:sz w:val="24"/>
            <w:szCs w:val="24"/>
          </w:rPr>
          <w:t xml:space="preserve"> safety at work: criminal and civil law - Health and safety law (criminal law) - HSE</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lastRenderedPageBreak/>
        <w:t xml:space="preserve">Health and Safety Executive (2021b) </w:t>
      </w:r>
      <w:r w:rsidRPr="000369E4">
        <w:rPr>
          <w:rFonts w:ascii="Arial" w:hAnsi="Arial" w:cs="Arial"/>
          <w:i/>
          <w:sz w:val="24"/>
          <w:szCs w:val="24"/>
        </w:rPr>
        <w:t>Employer’s responsibilities: Workers’ health and safety.</w:t>
      </w:r>
      <w:r w:rsidRPr="000369E4">
        <w:rPr>
          <w:rFonts w:ascii="Arial" w:hAnsi="Arial" w:cs="Arial"/>
          <w:sz w:val="24"/>
          <w:szCs w:val="24"/>
        </w:rPr>
        <w:t xml:space="preserve"> Available at:</w:t>
      </w:r>
      <w:r w:rsidRPr="000369E4">
        <w:rPr>
          <w:rFonts w:ascii="Arial" w:hAnsi="Arial" w:cs="Arial"/>
          <w:i/>
          <w:sz w:val="24"/>
          <w:szCs w:val="24"/>
        </w:rPr>
        <w:t xml:space="preserve"> </w:t>
      </w:r>
      <w:hyperlink r:id="rId39" w:history="1">
        <w:r w:rsidRPr="000369E4">
          <w:rPr>
            <w:rStyle w:val="Hyperlink"/>
            <w:rFonts w:ascii="Arial" w:hAnsi="Arial" w:cs="Arial"/>
            <w:sz w:val="24"/>
            <w:szCs w:val="24"/>
          </w:rPr>
          <w:t>Employer's responsibilities: Workers' health and safety (hse.gov.uk)</w:t>
        </w:r>
      </w:hyperlink>
      <w:r w:rsidRPr="000369E4">
        <w:rPr>
          <w:rStyle w:val="Hyperlink"/>
          <w:rFonts w:ascii="Arial" w:hAnsi="Arial" w:cs="Arial"/>
          <w:sz w:val="24"/>
          <w:szCs w:val="24"/>
        </w:rPr>
        <w:t xml:space="preserve"> (Accessed on: 8</w:t>
      </w:r>
      <w:r w:rsidRPr="000369E4">
        <w:rPr>
          <w:rStyle w:val="Hyperlink"/>
          <w:rFonts w:ascii="Arial" w:hAnsi="Arial" w:cs="Arial"/>
          <w:sz w:val="24"/>
          <w:szCs w:val="24"/>
          <w:vertAlign w:val="superscript"/>
        </w:rPr>
        <w:t xml:space="preserve">th </w:t>
      </w:r>
      <w:r w:rsidRPr="000369E4">
        <w:rPr>
          <w:rStyle w:val="Hyperlink"/>
          <w:rFonts w:ascii="Arial" w:hAnsi="Arial" w:cs="Arial"/>
          <w:sz w:val="24"/>
          <w:szCs w:val="24"/>
        </w:rPr>
        <w:t>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Health and Safety at Work Act 1974. Available at: </w:t>
      </w:r>
      <w:hyperlink r:id="rId40" w:history="1">
        <w:r w:rsidRPr="000369E4">
          <w:rPr>
            <w:rStyle w:val="Hyperlink"/>
            <w:rFonts w:ascii="Arial" w:hAnsi="Arial" w:cs="Arial"/>
            <w:sz w:val="24"/>
            <w:szCs w:val="24"/>
          </w:rPr>
          <w:t>Health and Safety at Work etc. Act 1974 (legislation.gov.uk)</w:t>
        </w:r>
      </w:hyperlink>
      <w:r w:rsidRPr="000369E4">
        <w:rPr>
          <w:rFonts w:ascii="Arial" w:hAnsi="Arial" w:cs="Arial"/>
          <w:sz w:val="24"/>
          <w:szCs w:val="24"/>
        </w:rPr>
        <w:t xml:space="preserve"> (Accessed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color w:val="auto"/>
          <w:sz w:val="24"/>
          <w:szCs w:val="24"/>
          <w:u w:val="none"/>
        </w:rPr>
      </w:pPr>
      <w:r w:rsidRPr="000369E4">
        <w:rPr>
          <w:rFonts w:ascii="Arial" w:hAnsi="Arial" w:cs="Arial"/>
          <w:color w:val="000000"/>
          <w:sz w:val="24"/>
          <w:szCs w:val="24"/>
          <w:shd w:val="clear" w:color="auto" w:fill="FFFFFF"/>
        </w:rPr>
        <w:t xml:space="preserve">Hurst, M. (2018) </w:t>
      </w:r>
      <w:r w:rsidRPr="000369E4">
        <w:rPr>
          <w:rFonts w:ascii="Arial" w:hAnsi="Arial" w:cs="Arial"/>
          <w:i/>
          <w:color w:val="000000"/>
          <w:sz w:val="24"/>
          <w:szCs w:val="24"/>
          <w:shd w:val="clear" w:color="auto" w:fill="FFFFFF"/>
        </w:rPr>
        <w:t>Uplift to Awards Under the ACAS Codes</w:t>
      </w:r>
      <w:r w:rsidRPr="000369E4">
        <w:rPr>
          <w:rFonts w:ascii="Arial" w:hAnsi="Arial" w:cs="Arial"/>
          <w:sz w:val="24"/>
          <w:szCs w:val="24"/>
        </w:rPr>
        <w:t xml:space="preserve">. Available at: </w:t>
      </w:r>
      <w:hyperlink r:id="rId41" w:history="1">
        <w:r w:rsidRPr="000369E4">
          <w:rPr>
            <w:rStyle w:val="Hyperlink"/>
            <w:rFonts w:ascii="Arial" w:hAnsi="Arial" w:cs="Arial"/>
            <w:sz w:val="24"/>
            <w:szCs w:val="24"/>
          </w:rPr>
          <w:t>Uplift to Awards Under the ACAS Code (thomasmansfield.com)</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Information Commissioner’s Office (2021a) </w:t>
      </w:r>
      <w:r w:rsidRPr="000369E4">
        <w:rPr>
          <w:rFonts w:ascii="Arial" w:hAnsi="Arial" w:cs="Arial"/>
          <w:i/>
          <w:sz w:val="24"/>
          <w:szCs w:val="24"/>
        </w:rPr>
        <w:t>Personal data breaches.</w:t>
      </w:r>
      <w:r w:rsidRPr="000369E4">
        <w:rPr>
          <w:rFonts w:ascii="Arial" w:hAnsi="Arial" w:cs="Arial"/>
          <w:sz w:val="24"/>
          <w:szCs w:val="24"/>
        </w:rPr>
        <w:t xml:space="preserve"> Available at: </w:t>
      </w:r>
      <w:hyperlink r:id="rId42" w:anchor="whatisa" w:history="1">
        <w:r w:rsidRPr="000369E4">
          <w:rPr>
            <w:rStyle w:val="Hyperlink"/>
            <w:rFonts w:ascii="Arial" w:hAnsi="Arial" w:cs="Arial"/>
            <w:sz w:val="24"/>
            <w:szCs w:val="24"/>
          </w:rPr>
          <w:t>Personal data breache</w:t>
        </w:r>
        <w:r w:rsidRPr="000369E4">
          <w:rPr>
            <w:rStyle w:val="Hyperlink"/>
            <w:rFonts w:ascii="Arial" w:hAnsi="Arial" w:cs="Arial"/>
            <w:sz w:val="24"/>
            <w:szCs w:val="24"/>
          </w:rPr>
          <w:t>s</w:t>
        </w:r>
        <w:r w:rsidRPr="000369E4">
          <w:rPr>
            <w:rStyle w:val="Hyperlink"/>
            <w:rFonts w:ascii="Arial" w:hAnsi="Arial" w:cs="Arial"/>
            <w:sz w:val="24"/>
            <w:szCs w:val="24"/>
          </w:rPr>
          <w:t xml:space="preserve"> | ICO</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Information Commissioner’s Office (2021b) </w:t>
      </w:r>
      <w:r w:rsidRPr="000369E4">
        <w:rPr>
          <w:rFonts w:ascii="Arial" w:hAnsi="Arial" w:cs="Arial"/>
          <w:i/>
          <w:sz w:val="24"/>
          <w:szCs w:val="24"/>
        </w:rPr>
        <w:t xml:space="preserve">Maintaining records of staff, customers and visitors for contact tracing purposes. </w:t>
      </w:r>
      <w:r w:rsidRPr="000369E4">
        <w:rPr>
          <w:rFonts w:ascii="Arial" w:hAnsi="Arial" w:cs="Arial"/>
          <w:sz w:val="24"/>
          <w:szCs w:val="24"/>
        </w:rPr>
        <w:t xml:space="preserve">Available at: </w:t>
      </w:r>
      <w:hyperlink r:id="rId43" w:history="1">
        <w:r w:rsidRPr="000369E4">
          <w:rPr>
            <w:rStyle w:val="Hyperlink"/>
            <w:rFonts w:ascii="Arial" w:hAnsi="Arial" w:cs="Arial"/>
            <w:sz w:val="24"/>
            <w:szCs w:val="24"/>
          </w:rPr>
          <w:t>Maintaining records of staff, customers and visitors for contact tracing purposes | ICO</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Information Commissioner’s Office (2021c) </w:t>
      </w:r>
      <w:r w:rsidRPr="000369E4">
        <w:rPr>
          <w:rFonts w:ascii="Arial" w:hAnsi="Arial" w:cs="Arial"/>
          <w:i/>
          <w:sz w:val="24"/>
          <w:szCs w:val="24"/>
        </w:rPr>
        <w:t>Safeguards Policy.</w:t>
      </w:r>
      <w:r w:rsidRPr="000369E4">
        <w:rPr>
          <w:rFonts w:ascii="Arial" w:hAnsi="Arial" w:cs="Arial"/>
          <w:sz w:val="24"/>
          <w:szCs w:val="24"/>
        </w:rPr>
        <w:t xml:space="preserve"> Available at: </w:t>
      </w:r>
      <w:hyperlink r:id="rId44" w:history="1">
        <w:r w:rsidRPr="000369E4">
          <w:rPr>
            <w:rStyle w:val="Hyperlink"/>
            <w:rFonts w:ascii="Arial" w:hAnsi="Arial" w:cs="Arial"/>
            <w:sz w:val="24"/>
            <w:szCs w:val="24"/>
          </w:rPr>
          <w:t>Safeguards Policy | ICO</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color w:val="auto"/>
          <w:sz w:val="24"/>
          <w:szCs w:val="24"/>
          <w:u w:val="none"/>
        </w:rPr>
      </w:pPr>
      <w:r w:rsidRPr="000369E4">
        <w:rPr>
          <w:rFonts w:ascii="Arial" w:hAnsi="Arial" w:cs="Arial"/>
          <w:sz w:val="24"/>
          <w:szCs w:val="24"/>
        </w:rPr>
        <w:t xml:space="preserve">Information Commissioner’s Office (2021d) </w:t>
      </w:r>
      <w:r w:rsidRPr="000369E4">
        <w:rPr>
          <w:rFonts w:ascii="Arial" w:hAnsi="Arial" w:cs="Arial"/>
          <w:i/>
          <w:sz w:val="24"/>
          <w:szCs w:val="24"/>
        </w:rPr>
        <w:t>The principles.</w:t>
      </w:r>
      <w:r w:rsidRPr="000369E4">
        <w:rPr>
          <w:rFonts w:ascii="Arial" w:hAnsi="Arial" w:cs="Arial"/>
          <w:sz w:val="24"/>
          <w:szCs w:val="24"/>
        </w:rPr>
        <w:t xml:space="preserve"> Available at: </w:t>
      </w:r>
      <w:hyperlink r:id="rId45" w:history="1">
        <w:r w:rsidRPr="000369E4">
          <w:rPr>
            <w:rStyle w:val="Hyperlink"/>
            <w:rFonts w:ascii="Arial" w:hAnsi="Arial" w:cs="Arial"/>
            <w:sz w:val="24"/>
            <w:szCs w:val="24"/>
          </w:rPr>
          <w:t>The principles | ICO</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i/>
          <w:sz w:val="24"/>
          <w:szCs w:val="24"/>
        </w:rPr>
      </w:pPr>
      <w:r w:rsidRPr="000369E4">
        <w:rPr>
          <w:rFonts w:ascii="Arial" w:hAnsi="Arial" w:cs="Arial"/>
          <w:sz w:val="24"/>
          <w:szCs w:val="24"/>
        </w:rPr>
        <w:t xml:space="preserve">Lewis, D and Sargeant,M (2020) </w:t>
      </w:r>
      <w:r w:rsidRPr="000369E4">
        <w:rPr>
          <w:rFonts w:ascii="Arial" w:hAnsi="Arial" w:cs="Arial"/>
          <w:i/>
          <w:sz w:val="24"/>
          <w:szCs w:val="24"/>
        </w:rPr>
        <w:t xml:space="preserve">Employment Law: The Essentials </w:t>
      </w:r>
      <w:r w:rsidRPr="000369E4">
        <w:rPr>
          <w:rFonts w:ascii="Arial" w:hAnsi="Arial" w:cs="Arial"/>
          <w:sz w:val="24"/>
          <w:szCs w:val="24"/>
        </w:rPr>
        <w:t>London: Kogan Page Limited</w:t>
      </w:r>
    </w:p>
    <w:p w:rsidR="000369E4" w:rsidRPr="000369E4" w:rsidRDefault="000369E4" w:rsidP="000369E4">
      <w:pPr>
        <w:spacing w:line="360" w:lineRule="auto"/>
        <w:rPr>
          <w:rStyle w:val="Hyperlink"/>
          <w:rFonts w:ascii="Arial" w:hAnsi="Arial" w:cs="Arial"/>
          <w:color w:val="auto"/>
          <w:sz w:val="24"/>
          <w:szCs w:val="24"/>
          <w:u w:val="none"/>
        </w:rPr>
      </w:pPr>
      <w:r w:rsidRPr="000369E4">
        <w:rPr>
          <w:rFonts w:ascii="Arial" w:hAnsi="Arial" w:cs="Arial"/>
          <w:sz w:val="24"/>
          <w:szCs w:val="24"/>
        </w:rPr>
        <w:t xml:space="preserve">McBride V Scottish Police Authority [2016] Available at: </w:t>
      </w:r>
      <w:hyperlink r:id="rId46" w:history="1">
        <w:r w:rsidRPr="000369E4">
          <w:rPr>
            <w:rStyle w:val="Hyperlink"/>
            <w:rFonts w:ascii="Arial" w:hAnsi="Arial" w:cs="Arial"/>
            <w:sz w:val="24"/>
            <w:szCs w:val="24"/>
          </w:rPr>
          <w:t>A reminder of the risk of reinstatement orders | Weightmans</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McKie, S. (2006) ‘Dismissal: Polkey’s place in the modern world’ </w:t>
      </w:r>
      <w:r w:rsidRPr="000369E4">
        <w:rPr>
          <w:rFonts w:ascii="Arial" w:hAnsi="Arial" w:cs="Arial"/>
          <w:i/>
          <w:sz w:val="24"/>
          <w:szCs w:val="24"/>
        </w:rPr>
        <w:t>Personnel Today</w:t>
      </w:r>
      <w:r w:rsidRPr="000369E4">
        <w:rPr>
          <w:rFonts w:ascii="Arial" w:hAnsi="Arial" w:cs="Arial"/>
          <w:sz w:val="24"/>
          <w:szCs w:val="24"/>
        </w:rPr>
        <w:t xml:space="preserve">. Available at: </w:t>
      </w:r>
      <w:hyperlink r:id="rId47" w:history="1">
        <w:r w:rsidRPr="000369E4">
          <w:rPr>
            <w:rStyle w:val="Hyperlink"/>
            <w:rFonts w:ascii="Arial" w:hAnsi="Arial" w:cs="Arial"/>
            <w:sz w:val="24"/>
            <w:szCs w:val="24"/>
          </w:rPr>
          <w:t>Dismissal: P</w:t>
        </w:r>
        <w:r w:rsidRPr="000369E4">
          <w:rPr>
            <w:rStyle w:val="Hyperlink"/>
            <w:rFonts w:ascii="Arial" w:hAnsi="Arial" w:cs="Arial"/>
            <w:sz w:val="24"/>
            <w:szCs w:val="24"/>
          </w:rPr>
          <w:t>o</w:t>
        </w:r>
        <w:r w:rsidRPr="000369E4">
          <w:rPr>
            <w:rStyle w:val="Hyperlink"/>
            <w:rFonts w:ascii="Arial" w:hAnsi="Arial" w:cs="Arial"/>
            <w:sz w:val="24"/>
            <w:szCs w:val="24"/>
          </w:rPr>
          <w:t>lkey's place in the modern world - Personnel Today</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Medhurst, J. (2018) Why the BHS v Burchell decision is still relevany 40 years on’ </w:t>
      </w:r>
      <w:r w:rsidRPr="000369E4">
        <w:rPr>
          <w:rFonts w:ascii="Arial" w:hAnsi="Arial" w:cs="Arial"/>
          <w:i/>
          <w:sz w:val="24"/>
          <w:szCs w:val="24"/>
        </w:rPr>
        <w:t xml:space="preserve">Personnel Today </w:t>
      </w:r>
      <w:r w:rsidRPr="000369E4">
        <w:rPr>
          <w:rFonts w:ascii="Arial" w:hAnsi="Arial" w:cs="Arial"/>
          <w:sz w:val="24"/>
          <w:szCs w:val="24"/>
        </w:rPr>
        <w:t xml:space="preserve">Available at: </w:t>
      </w:r>
      <w:hyperlink r:id="rId48" w:history="1">
        <w:r w:rsidRPr="000369E4">
          <w:rPr>
            <w:rStyle w:val="Hyperlink"/>
            <w:rFonts w:ascii="Arial" w:hAnsi="Arial" w:cs="Arial"/>
            <w:sz w:val="24"/>
            <w:szCs w:val="24"/>
          </w:rPr>
          <w:t>Why the BHS v Burchell decision is still relevant 40 years on - Personnel Today</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Oxford Languages (2010) </w:t>
      </w:r>
      <w:r w:rsidRPr="000369E4">
        <w:rPr>
          <w:rFonts w:ascii="Arial" w:hAnsi="Arial" w:cs="Arial"/>
          <w:i/>
          <w:sz w:val="24"/>
          <w:szCs w:val="24"/>
        </w:rPr>
        <w:t>Oxford dictionary of English.</w:t>
      </w:r>
      <w:r w:rsidRPr="000369E4">
        <w:rPr>
          <w:rFonts w:ascii="Arial" w:hAnsi="Arial" w:cs="Arial"/>
          <w:sz w:val="24"/>
          <w:szCs w:val="24"/>
        </w:rPr>
        <w:t xml:space="preserve"> Oxford: Oxford University of Press</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lastRenderedPageBreak/>
        <w:t xml:space="preserve">Perry, M. (2019) ‘Why employers need to understand associative discrimination’ </w:t>
      </w:r>
      <w:r w:rsidRPr="000369E4">
        <w:rPr>
          <w:rFonts w:ascii="Arial" w:hAnsi="Arial" w:cs="Arial"/>
          <w:i/>
          <w:sz w:val="24"/>
          <w:szCs w:val="24"/>
        </w:rPr>
        <w:t>Personnel Today</w:t>
      </w:r>
      <w:r w:rsidRPr="000369E4">
        <w:rPr>
          <w:rFonts w:ascii="Arial" w:hAnsi="Arial" w:cs="Arial"/>
          <w:sz w:val="24"/>
          <w:szCs w:val="24"/>
        </w:rPr>
        <w:t xml:space="preserve"> 27</w:t>
      </w:r>
      <w:r w:rsidRPr="000369E4">
        <w:rPr>
          <w:rFonts w:ascii="Arial" w:hAnsi="Arial" w:cs="Arial"/>
          <w:sz w:val="24"/>
          <w:szCs w:val="24"/>
          <w:vertAlign w:val="superscript"/>
        </w:rPr>
        <w:t>th</w:t>
      </w:r>
      <w:r w:rsidRPr="000369E4">
        <w:rPr>
          <w:rFonts w:ascii="Arial" w:hAnsi="Arial" w:cs="Arial"/>
          <w:sz w:val="24"/>
          <w:szCs w:val="24"/>
        </w:rPr>
        <w:t xml:space="preserve"> November 2019. Available at: </w:t>
      </w:r>
      <w:hyperlink r:id="rId49" w:history="1">
        <w:r w:rsidRPr="000369E4">
          <w:rPr>
            <w:rStyle w:val="Hyperlink"/>
            <w:rFonts w:ascii="Arial" w:hAnsi="Arial" w:cs="Arial"/>
            <w:sz w:val="24"/>
            <w:szCs w:val="24"/>
          </w:rPr>
          <w:t>Why employers need to understand associative discrimination - Personnel Today</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 xml:space="preserve">Pure Employment Law (2012) </w:t>
      </w:r>
      <w:r w:rsidRPr="000369E4">
        <w:rPr>
          <w:rFonts w:ascii="Arial" w:hAnsi="Arial" w:cs="Arial"/>
          <w:i/>
          <w:sz w:val="24"/>
          <w:szCs w:val="24"/>
        </w:rPr>
        <w:t>Tribunal remedies – reinstatement and re-engagement.</w:t>
      </w:r>
      <w:r w:rsidRPr="000369E4">
        <w:rPr>
          <w:rFonts w:ascii="Arial" w:hAnsi="Arial" w:cs="Arial"/>
          <w:sz w:val="24"/>
          <w:szCs w:val="24"/>
        </w:rPr>
        <w:t xml:space="preserve"> Available at: </w:t>
      </w:r>
      <w:hyperlink r:id="rId50" w:history="1">
        <w:r w:rsidRPr="000369E4">
          <w:rPr>
            <w:rStyle w:val="Hyperlink"/>
            <w:rFonts w:ascii="Arial" w:hAnsi="Arial" w:cs="Arial"/>
            <w:sz w:val="24"/>
            <w:szCs w:val="24"/>
          </w:rPr>
          <w:t>Tribunal remedies - reinstatement and re-engagement - Pure Employment Law</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color w:val="auto"/>
          <w:sz w:val="24"/>
          <w:szCs w:val="24"/>
          <w:u w:val="none"/>
        </w:rPr>
      </w:pPr>
      <w:r w:rsidRPr="000369E4">
        <w:rPr>
          <w:rFonts w:ascii="Arial" w:eastAsia="Times New Roman" w:hAnsi="Arial" w:cs="Arial"/>
          <w:bCs/>
          <w:color w:val="3D3D3D"/>
          <w:kern w:val="36"/>
          <w:sz w:val="24"/>
          <w:szCs w:val="24"/>
          <w:lang w:eastAsia="en-GB"/>
        </w:rPr>
        <w:t xml:space="preserve">PLC Employment (2021) British Home Stores Limited v Burchell [1978] IRLR 379 Available at: </w:t>
      </w:r>
      <w:hyperlink r:id="rId51" w:history="1">
        <w:r w:rsidRPr="000369E4">
          <w:rPr>
            <w:rStyle w:val="Hyperlink"/>
            <w:rFonts w:ascii="Arial" w:hAnsi="Arial" w:cs="Arial"/>
            <w:sz w:val="24"/>
            <w:szCs w:val="24"/>
          </w:rPr>
          <w:t>British Home Stores Limited v Burchell [1978] IRLR 379 | Practical Law (thomsonreuters.com)</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color w:val="auto"/>
          <w:sz w:val="24"/>
          <w:szCs w:val="24"/>
          <w:u w:val="none"/>
        </w:rPr>
      </w:pPr>
      <w:r w:rsidRPr="000369E4">
        <w:rPr>
          <w:rFonts w:ascii="Arial" w:hAnsi="Arial" w:cs="Arial"/>
          <w:sz w:val="24"/>
          <w:szCs w:val="24"/>
        </w:rPr>
        <w:t xml:space="preserve">Rradar (2018) </w:t>
      </w:r>
      <w:r w:rsidRPr="000369E4">
        <w:rPr>
          <w:rFonts w:ascii="Arial" w:hAnsi="Arial" w:cs="Arial"/>
          <w:i/>
          <w:sz w:val="24"/>
          <w:szCs w:val="24"/>
        </w:rPr>
        <w:t xml:space="preserve">Reinstatement after an Employment Tribunal decision. </w:t>
      </w:r>
      <w:r w:rsidRPr="000369E4">
        <w:rPr>
          <w:rFonts w:ascii="Arial" w:hAnsi="Arial" w:cs="Arial"/>
          <w:sz w:val="24"/>
          <w:szCs w:val="24"/>
        </w:rPr>
        <w:t xml:space="preserve"> Available at: </w:t>
      </w:r>
      <w:hyperlink r:id="rId52" w:history="1">
        <w:r w:rsidRPr="000369E4">
          <w:rPr>
            <w:rStyle w:val="Hyperlink"/>
            <w:rFonts w:ascii="Arial" w:hAnsi="Arial" w:cs="Arial"/>
            <w:sz w:val="24"/>
            <w:szCs w:val="24"/>
          </w:rPr>
          <w:t>Reinstatement after an Employment Tri</w:t>
        </w:r>
        <w:r w:rsidRPr="000369E4">
          <w:rPr>
            <w:rStyle w:val="Hyperlink"/>
            <w:rFonts w:ascii="Arial" w:hAnsi="Arial" w:cs="Arial"/>
            <w:sz w:val="24"/>
            <w:szCs w:val="24"/>
          </w:rPr>
          <w:t>b</w:t>
        </w:r>
        <w:r w:rsidRPr="000369E4">
          <w:rPr>
            <w:rStyle w:val="Hyperlink"/>
            <w:rFonts w:ascii="Arial" w:hAnsi="Arial" w:cs="Arial"/>
            <w:sz w:val="24"/>
            <w:szCs w:val="24"/>
          </w:rPr>
          <w:t xml:space="preserve">unal </w:t>
        </w:r>
        <w:r w:rsidRPr="000369E4">
          <w:rPr>
            <w:rStyle w:val="Hyperlink"/>
            <w:rFonts w:ascii="Arial" w:hAnsi="Arial" w:cs="Arial"/>
            <w:sz w:val="24"/>
            <w:szCs w:val="24"/>
          </w:rPr>
          <w:t>d</w:t>
        </w:r>
        <w:r w:rsidRPr="000369E4">
          <w:rPr>
            <w:rStyle w:val="Hyperlink"/>
            <w:rFonts w:ascii="Arial" w:hAnsi="Arial" w:cs="Arial"/>
            <w:sz w:val="24"/>
            <w:szCs w:val="24"/>
          </w:rPr>
          <w:t>ecision (rradar.com)</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hAnsi="Arial" w:cs="Arial"/>
          <w:sz w:val="24"/>
          <w:szCs w:val="24"/>
        </w:rPr>
        <w:t>Street, T (2017) What is Contributory Fault?</w:t>
      </w:r>
      <w:r w:rsidRPr="000369E4">
        <w:rPr>
          <w:rFonts w:ascii="Arial" w:hAnsi="Arial" w:cs="Arial"/>
          <w:i/>
          <w:sz w:val="24"/>
          <w:szCs w:val="24"/>
        </w:rPr>
        <w:t xml:space="preserve"> Tribunal Claim</w:t>
      </w:r>
      <w:r w:rsidRPr="000369E4">
        <w:rPr>
          <w:rFonts w:ascii="Arial" w:hAnsi="Arial" w:cs="Arial"/>
          <w:sz w:val="24"/>
          <w:szCs w:val="24"/>
        </w:rPr>
        <w:t xml:space="preserve"> Available at: </w:t>
      </w:r>
      <w:hyperlink r:id="rId53" w:history="1">
        <w:r w:rsidRPr="000369E4">
          <w:rPr>
            <w:rStyle w:val="Hyperlink"/>
            <w:rFonts w:ascii="Arial" w:hAnsi="Arial" w:cs="Arial"/>
            <w:sz w:val="24"/>
            <w:szCs w:val="24"/>
          </w:rPr>
          <w:t>What is C</w:t>
        </w:r>
        <w:r w:rsidRPr="000369E4">
          <w:rPr>
            <w:rStyle w:val="Hyperlink"/>
            <w:rFonts w:ascii="Arial" w:hAnsi="Arial" w:cs="Arial"/>
            <w:sz w:val="24"/>
            <w:szCs w:val="24"/>
          </w:rPr>
          <w:t>o</w:t>
        </w:r>
        <w:r w:rsidRPr="000369E4">
          <w:rPr>
            <w:rStyle w:val="Hyperlink"/>
            <w:rFonts w:ascii="Arial" w:hAnsi="Arial" w:cs="Arial"/>
            <w:sz w:val="24"/>
            <w:szCs w:val="24"/>
          </w:rPr>
          <w:t>ntributory Fault? - Tribunal Claim | No win no fee Employment</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Fonts w:ascii="Arial" w:eastAsia="Times New Roman" w:hAnsi="Arial" w:cs="Arial"/>
          <w:bCs/>
          <w:color w:val="3D3D3D"/>
          <w:kern w:val="36"/>
          <w:sz w:val="24"/>
          <w:szCs w:val="24"/>
          <w:lang w:eastAsia="en-GB"/>
        </w:rPr>
        <w:t xml:space="preserve">PLC Employment (2021) British Home Stores Limited v Burchell [1978] IRLR 379 Available at: </w:t>
      </w:r>
      <w:hyperlink r:id="rId54" w:history="1">
        <w:r w:rsidRPr="000369E4">
          <w:rPr>
            <w:rStyle w:val="Hyperlink"/>
            <w:rFonts w:ascii="Arial" w:hAnsi="Arial" w:cs="Arial"/>
            <w:sz w:val="24"/>
            <w:szCs w:val="24"/>
          </w:rPr>
          <w:t>British Home Stores Limited v Burchell [1978] IRLR 379 | Practical Law (th</w:t>
        </w:r>
        <w:r w:rsidRPr="000369E4">
          <w:rPr>
            <w:rStyle w:val="Hyperlink"/>
            <w:rFonts w:ascii="Arial" w:hAnsi="Arial" w:cs="Arial"/>
            <w:sz w:val="24"/>
            <w:szCs w:val="24"/>
          </w:rPr>
          <w:t>o</w:t>
        </w:r>
        <w:r w:rsidRPr="000369E4">
          <w:rPr>
            <w:rStyle w:val="Hyperlink"/>
            <w:rFonts w:ascii="Arial" w:hAnsi="Arial" w:cs="Arial"/>
            <w:sz w:val="24"/>
            <w:szCs w:val="24"/>
          </w:rPr>
          <w:t>msonreuters.com)</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sz w:val="24"/>
          <w:szCs w:val="24"/>
        </w:rPr>
      </w:pPr>
      <w:r w:rsidRPr="000369E4">
        <w:rPr>
          <w:rFonts w:ascii="Arial" w:hAnsi="Arial" w:cs="Arial"/>
          <w:sz w:val="24"/>
          <w:szCs w:val="24"/>
        </w:rPr>
        <w:t xml:space="preserve">The Working Time Regulations 1990. Available at: </w:t>
      </w:r>
      <w:hyperlink r:id="rId55" w:history="1">
        <w:r w:rsidRPr="000369E4">
          <w:rPr>
            <w:rStyle w:val="Hyperlink"/>
            <w:rFonts w:ascii="Arial" w:hAnsi="Arial" w:cs="Arial"/>
            <w:sz w:val="24"/>
            <w:szCs w:val="24"/>
          </w:rPr>
          <w:t>The Working Time Regulations 1998 (legislation.gov.uk)</w:t>
        </w:r>
      </w:hyperlink>
      <w:r w:rsidRPr="000369E4">
        <w:rPr>
          <w:rStyle w:val="Hyperlink"/>
          <w:rFonts w:ascii="Arial" w:hAnsi="Arial" w:cs="Arial"/>
          <w:sz w:val="24"/>
          <w:szCs w:val="24"/>
        </w:rPr>
        <w:t xml:space="preserve"> </w:t>
      </w:r>
      <w:r w:rsidRPr="000369E4">
        <w:rPr>
          <w:rFonts w:ascii="Arial" w:hAnsi="Arial" w:cs="Arial"/>
          <w:sz w:val="24"/>
          <w:szCs w:val="24"/>
        </w:rPr>
        <w:t>(Accessed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Fonts w:ascii="Arial" w:hAnsi="Arial" w:cs="Arial"/>
          <w:sz w:val="24"/>
          <w:szCs w:val="24"/>
        </w:rPr>
      </w:pPr>
      <w:r w:rsidRPr="000369E4">
        <w:rPr>
          <w:rStyle w:val="Hyperlink"/>
          <w:rFonts w:ascii="Arial" w:hAnsi="Arial" w:cs="Arial"/>
          <w:sz w:val="24"/>
          <w:szCs w:val="24"/>
        </w:rPr>
        <w:t xml:space="preserve">Trade Union and Labour Relations (Consolidation) Act 1992, Section 207a. Available at: </w:t>
      </w:r>
      <w:hyperlink r:id="rId56" w:anchor=":~:text=Trade%20Union%20and%20Labour%20Relations%20%28Consolidation%29%20Act%201992%2C,in%20the%20content%20and%20are%20referenced%20with%20annotations." w:history="1">
        <w:r w:rsidRPr="000369E4">
          <w:rPr>
            <w:rStyle w:val="Hyperlink"/>
            <w:rFonts w:ascii="Arial" w:hAnsi="Arial" w:cs="Arial"/>
            <w:sz w:val="24"/>
            <w:szCs w:val="24"/>
          </w:rPr>
          <w:t>Trade Union and Labour Relations (Consolidation) Act 1992 (legislation.gov.uk)</w:t>
        </w:r>
      </w:hyperlink>
      <w:r w:rsidRPr="000369E4">
        <w:rPr>
          <w:rFonts w:ascii="Arial" w:hAnsi="Arial" w:cs="Arial"/>
          <w:sz w:val="24"/>
          <w:szCs w:val="24"/>
        </w:rPr>
        <w:t xml:space="preserve"> (Accessed on: 8</w:t>
      </w:r>
      <w:r w:rsidRPr="000369E4">
        <w:rPr>
          <w:rFonts w:ascii="Arial" w:hAnsi="Arial" w:cs="Arial"/>
          <w:sz w:val="24"/>
          <w:szCs w:val="24"/>
          <w:vertAlign w:val="superscript"/>
        </w:rPr>
        <w:t>th</w:t>
      </w:r>
      <w:r w:rsidRPr="000369E4">
        <w:rPr>
          <w:rFonts w:ascii="Arial" w:hAnsi="Arial" w:cs="Arial"/>
          <w:sz w:val="24"/>
          <w:szCs w:val="24"/>
        </w:rPr>
        <w:t xml:space="preserve"> May 2021)</w:t>
      </w:r>
    </w:p>
    <w:p w:rsidR="000369E4" w:rsidRPr="000369E4" w:rsidRDefault="000369E4" w:rsidP="000369E4">
      <w:pPr>
        <w:spacing w:line="360" w:lineRule="auto"/>
        <w:rPr>
          <w:rStyle w:val="Hyperlink"/>
          <w:rFonts w:ascii="Arial" w:hAnsi="Arial" w:cs="Arial"/>
          <w:sz w:val="24"/>
          <w:szCs w:val="24"/>
        </w:rPr>
      </w:pPr>
    </w:p>
    <w:p w:rsidR="000369E4" w:rsidRPr="000369E4" w:rsidRDefault="000369E4" w:rsidP="000369E4">
      <w:pPr>
        <w:spacing w:line="360" w:lineRule="auto"/>
        <w:rPr>
          <w:rFonts w:ascii="Arial" w:hAnsi="Arial" w:cs="Arial"/>
          <w:sz w:val="24"/>
          <w:szCs w:val="24"/>
        </w:rPr>
      </w:pPr>
    </w:p>
    <w:p w:rsidR="00A15EBC" w:rsidRPr="000369E4" w:rsidRDefault="00A15EBC" w:rsidP="00A15EBC">
      <w:pPr>
        <w:rPr>
          <w:rFonts w:ascii="Arial" w:hAnsi="Arial" w:cs="Arial"/>
          <w:sz w:val="24"/>
          <w:szCs w:val="24"/>
        </w:rPr>
      </w:pPr>
    </w:p>
    <w:sectPr w:rsidR="00A15EBC" w:rsidRPr="000369E4" w:rsidSect="00D54D7B">
      <w:headerReference w:type="even" r:id="rId57"/>
      <w:headerReference w:type="default" r:id="rId58"/>
      <w:footerReference w:type="even" r:id="rId59"/>
      <w:footerReference w:type="default" r:id="rId60"/>
      <w:headerReference w:type="first" r:id="rId61"/>
      <w:footerReference w:type="firs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674" w:rsidRDefault="005B7674" w:rsidP="00197171">
      <w:pPr>
        <w:spacing w:after="0" w:line="240" w:lineRule="auto"/>
      </w:pPr>
      <w:r>
        <w:separator/>
      </w:r>
    </w:p>
  </w:endnote>
  <w:endnote w:type="continuationSeparator" w:id="0">
    <w:p w:rsidR="005B7674" w:rsidRDefault="005B7674" w:rsidP="00197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74" w:rsidRDefault="00BD5CD1" w:rsidP="00BD5CD1">
    <w:pPr>
      <w:pStyle w:val="Footer"/>
      <w:rPr>
        <w:color w:val="000000"/>
        <w:sz w:val="17"/>
      </w:rPr>
    </w:pPr>
    <w:bookmarkStart w:id="19" w:name="TITUS1FooterEvenPages"/>
    <w:r>
      <w:rPr>
        <w:color w:val="000000"/>
        <w:sz w:val="17"/>
      </w:rPr>
      <w:t> </w:t>
    </w:r>
  </w:p>
  <w:bookmarkEnd w:id="19"/>
  <w:p w:rsidR="005B7674" w:rsidRDefault="005B7674" w:rsidP="00B74F14">
    <w:pPr>
      <w:pStyle w:val="Footer"/>
    </w:pPr>
  </w:p>
  <w:p w:rsidR="005B7674" w:rsidRDefault="005B7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EEF" w:rsidRDefault="00BD5CD1" w:rsidP="00BD5CD1">
    <w:pPr>
      <w:pStyle w:val="Footer"/>
      <w:pBdr>
        <w:top w:val="single" w:sz="4" w:space="1" w:color="D9D9D9" w:themeColor="background1" w:themeShade="D9"/>
      </w:pBdr>
      <w:rPr>
        <w:color w:val="000000"/>
        <w:sz w:val="17"/>
      </w:rPr>
    </w:pPr>
    <w:bookmarkStart w:id="20" w:name="TITUS1FooterPrimary"/>
    <w:r>
      <w:rPr>
        <w:color w:val="000000"/>
        <w:sz w:val="17"/>
      </w:rPr>
      <w:t> </w:t>
    </w:r>
  </w:p>
  <w:bookmarkEnd w:id="20" w:displacedByCustomXml="next"/>
  <w:sdt>
    <w:sdtPr>
      <w:id w:val="2143311593"/>
      <w:docPartObj>
        <w:docPartGallery w:val="Page Numbers (Bottom of Page)"/>
        <w:docPartUnique/>
      </w:docPartObj>
    </w:sdtPr>
    <w:sdtEndPr>
      <w:rPr>
        <w:color w:val="7F7F7F" w:themeColor="background1" w:themeShade="7F"/>
        <w:spacing w:val="60"/>
      </w:rPr>
    </w:sdtEndPr>
    <w:sdtContent>
      <w:p w:rsidR="00AB0EEF" w:rsidRDefault="00AB0EEF">
        <w:pPr>
          <w:pStyle w:val="Footer"/>
          <w:pBdr>
            <w:top w:val="single" w:sz="4" w:space="1" w:color="D9D9D9" w:themeColor="background1" w:themeShade="D9"/>
          </w:pBdr>
          <w:jc w:val="right"/>
        </w:pPr>
        <w:r>
          <w:fldChar w:fldCharType="begin"/>
        </w:r>
        <w:r>
          <w:instrText xml:space="preserve"> PAGE   \* MERGEFORMAT </w:instrText>
        </w:r>
        <w:r>
          <w:fldChar w:fldCharType="separate"/>
        </w:r>
        <w:r w:rsidR="00BD5CD1">
          <w:rPr>
            <w:noProof/>
          </w:rPr>
          <w:t>13</w:t>
        </w:r>
        <w:r>
          <w:rPr>
            <w:noProof/>
          </w:rPr>
          <w:fldChar w:fldCharType="end"/>
        </w:r>
        <w:r>
          <w:t xml:space="preserve"> | </w:t>
        </w:r>
        <w:r>
          <w:rPr>
            <w:color w:val="7F7F7F" w:themeColor="background1" w:themeShade="7F"/>
            <w:spacing w:val="60"/>
          </w:rPr>
          <w:t>Page</w:t>
        </w:r>
      </w:p>
    </w:sdtContent>
  </w:sdt>
  <w:p w:rsidR="005B7674" w:rsidRDefault="005B76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74" w:rsidRDefault="00BD5CD1" w:rsidP="00BD5CD1">
    <w:pPr>
      <w:pStyle w:val="Footer"/>
      <w:rPr>
        <w:color w:val="000000"/>
        <w:sz w:val="17"/>
      </w:rPr>
    </w:pPr>
    <w:bookmarkStart w:id="22" w:name="TITUS1FooterFirstPage"/>
    <w:r>
      <w:rPr>
        <w:color w:val="000000"/>
        <w:sz w:val="17"/>
      </w:rPr>
      <w:t> </w:t>
    </w:r>
  </w:p>
  <w:bookmarkEnd w:id="22"/>
  <w:p w:rsidR="005B7674" w:rsidRDefault="005B76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674" w:rsidRDefault="005B7674" w:rsidP="00197171">
      <w:pPr>
        <w:spacing w:after="0" w:line="240" w:lineRule="auto"/>
      </w:pPr>
      <w:r>
        <w:separator/>
      </w:r>
    </w:p>
  </w:footnote>
  <w:footnote w:type="continuationSeparator" w:id="0">
    <w:p w:rsidR="005B7674" w:rsidRDefault="005B7674" w:rsidP="001971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74" w:rsidRDefault="00BD5CD1" w:rsidP="00BD5CD1">
    <w:pPr>
      <w:pStyle w:val="Header"/>
      <w:rPr>
        <w:color w:val="000000"/>
        <w:sz w:val="17"/>
      </w:rPr>
    </w:pPr>
    <w:bookmarkStart w:id="17" w:name="TITUS1HeaderEvenPages"/>
    <w:r>
      <w:rPr>
        <w:color w:val="000000"/>
        <w:sz w:val="17"/>
      </w:rPr>
      <w:t> </w:t>
    </w:r>
  </w:p>
  <w:bookmarkEnd w:id="17"/>
  <w:p w:rsidR="005B7674" w:rsidRDefault="005B7674" w:rsidP="00B74F14">
    <w:pPr>
      <w:pStyle w:val="Header"/>
    </w:pPr>
  </w:p>
  <w:p w:rsidR="005B7674" w:rsidRDefault="005B76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74" w:rsidRDefault="00BD5CD1" w:rsidP="00BD5CD1">
    <w:pPr>
      <w:pStyle w:val="Header"/>
      <w:rPr>
        <w:color w:val="000000"/>
        <w:sz w:val="17"/>
      </w:rPr>
    </w:pPr>
    <w:bookmarkStart w:id="18" w:name="TITUS1HeaderPrimary"/>
    <w:r>
      <w:rPr>
        <w:color w:val="000000"/>
        <w:sz w:val="17"/>
      </w:rPr>
      <w:t> </w:t>
    </w:r>
  </w:p>
  <w:bookmarkEnd w:id="18"/>
  <w:p w:rsidR="005B7674" w:rsidRDefault="005B76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7674" w:rsidRDefault="00BD5CD1" w:rsidP="00BD5CD1">
    <w:pPr>
      <w:pStyle w:val="Header"/>
      <w:rPr>
        <w:color w:val="000000"/>
        <w:sz w:val="17"/>
      </w:rPr>
    </w:pPr>
    <w:bookmarkStart w:id="21" w:name="TITUS1HeaderFirstPage"/>
    <w:r>
      <w:rPr>
        <w:color w:val="000000"/>
        <w:sz w:val="17"/>
      </w:rPr>
      <w:t> </w:t>
    </w:r>
  </w:p>
  <w:bookmarkEnd w:id="21"/>
  <w:p w:rsidR="005B7674" w:rsidRDefault="005B76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B7E"/>
    <w:multiLevelType w:val="hybridMultilevel"/>
    <w:tmpl w:val="2F6EF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023EF"/>
    <w:multiLevelType w:val="hybridMultilevel"/>
    <w:tmpl w:val="7EEEC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B957F3"/>
    <w:multiLevelType w:val="hybridMultilevel"/>
    <w:tmpl w:val="A6F2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3D6BCE"/>
    <w:multiLevelType w:val="multilevel"/>
    <w:tmpl w:val="0514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04098"/>
    <w:multiLevelType w:val="multilevel"/>
    <w:tmpl w:val="A028B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BB7F03"/>
    <w:multiLevelType w:val="multilevel"/>
    <w:tmpl w:val="BDBC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F52EB"/>
    <w:multiLevelType w:val="hybridMultilevel"/>
    <w:tmpl w:val="794CC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A6FFA"/>
    <w:multiLevelType w:val="multilevel"/>
    <w:tmpl w:val="3048A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C5038F"/>
    <w:multiLevelType w:val="multilevel"/>
    <w:tmpl w:val="75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6D7B8D"/>
    <w:multiLevelType w:val="multilevel"/>
    <w:tmpl w:val="61D824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0A609E"/>
    <w:multiLevelType w:val="multilevel"/>
    <w:tmpl w:val="C1487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895867"/>
    <w:multiLevelType w:val="hybridMultilevel"/>
    <w:tmpl w:val="5C28D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B58B7"/>
    <w:multiLevelType w:val="multilevel"/>
    <w:tmpl w:val="7C34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4B462B6"/>
    <w:multiLevelType w:val="hybridMultilevel"/>
    <w:tmpl w:val="9C701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7E6ECB"/>
    <w:multiLevelType w:val="multilevel"/>
    <w:tmpl w:val="45985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E1343E"/>
    <w:multiLevelType w:val="hybridMultilevel"/>
    <w:tmpl w:val="C838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num>
  <w:num w:numId="4">
    <w:abstractNumId w:val="11"/>
  </w:num>
  <w:num w:numId="5">
    <w:abstractNumId w:val="13"/>
  </w:num>
  <w:num w:numId="6">
    <w:abstractNumId w:val="3"/>
  </w:num>
  <w:num w:numId="7">
    <w:abstractNumId w:val="7"/>
  </w:num>
  <w:num w:numId="8">
    <w:abstractNumId w:val="4"/>
  </w:num>
  <w:num w:numId="9">
    <w:abstractNumId w:val="12"/>
  </w:num>
  <w:num w:numId="10">
    <w:abstractNumId w:val="5"/>
  </w:num>
  <w:num w:numId="11">
    <w:abstractNumId w:val="10"/>
  </w:num>
  <w:num w:numId="12">
    <w:abstractNumId w:val="14"/>
  </w:num>
  <w:num w:numId="13">
    <w:abstractNumId w:val="9"/>
  </w:num>
  <w:num w:numId="14">
    <w:abstractNumId w:val="6"/>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DB5"/>
    <w:rsid w:val="000219A3"/>
    <w:rsid w:val="00031843"/>
    <w:rsid w:val="000369E4"/>
    <w:rsid w:val="00077EE3"/>
    <w:rsid w:val="0008199A"/>
    <w:rsid w:val="00083345"/>
    <w:rsid w:val="0009786A"/>
    <w:rsid w:val="000B0C2C"/>
    <w:rsid w:val="000D1A14"/>
    <w:rsid w:val="000E1F9B"/>
    <w:rsid w:val="000E2DD7"/>
    <w:rsid w:val="00106B31"/>
    <w:rsid w:val="00132BF1"/>
    <w:rsid w:val="00170635"/>
    <w:rsid w:val="00181928"/>
    <w:rsid w:val="00184973"/>
    <w:rsid w:val="00195EA7"/>
    <w:rsid w:val="00197171"/>
    <w:rsid w:val="001A45DE"/>
    <w:rsid w:val="001C0CFD"/>
    <w:rsid w:val="001D46CB"/>
    <w:rsid w:val="001E4B3C"/>
    <w:rsid w:val="001F304F"/>
    <w:rsid w:val="001F32C5"/>
    <w:rsid w:val="00251665"/>
    <w:rsid w:val="00262A85"/>
    <w:rsid w:val="00267041"/>
    <w:rsid w:val="00287E92"/>
    <w:rsid w:val="00296E22"/>
    <w:rsid w:val="002A58DB"/>
    <w:rsid w:val="002B0A4F"/>
    <w:rsid w:val="002C1ECD"/>
    <w:rsid w:val="002D2494"/>
    <w:rsid w:val="00307E2D"/>
    <w:rsid w:val="003121A7"/>
    <w:rsid w:val="00313D1E"/>
    <w:rsid w:val="0032052A"/>
    <w:rsid w:val="00326630"/>
    <w:rsid w:val="003379A8"/>
    <w:rsid w:val="00344233"/>
    <w:rsid w:val="003445E5"/>
    <w:rsid w:val="00380F2C"/>
    <w:rsid w:val="003A11C1"/>
    <w:rsid w:val="003A44F7"/>
    <w:rsid w:val="003B1A7F"/>
    <w:rsid w:val="003B21D2"/>
    <w:rsid w:val="003C317A"/>
    <w:rsid w:val="003D6564"/>
    <w:rsid w:val="003F3464"/>
    <w:rsid w:val="004026ED"/>
    <w:rsid w:val="00417EB5"/>
    <w:rsid w:val="0042022F"/>
    <w:rsid w:val="00422827"/>
    <w:rsid w:val="004301D2"/>
    <w:rsid w:val="0045485C"/>
    <w:rsid w:val="00456C3F"/>
    <w:rsid w:val="00475123"/>
    <w:rsid w:val="0048278A"/>
    <w:rsid w:val="004A0E31"/>
    <w:rsid w:val="004A7D5F"/>
    <w:rsid w:val="004C2218"/>
    <w:rsid w:val="004D5FA9"/>
    <w:rsid w:val="00507D7C"/>
    <w:rsid w:val="00532F27"/>
    <w:rsid w:val="00562696"/>
    <w:rsid w:val="00591D89"/>
    <w:rsid w:val="0059528F"/>
    <w:rsid w:val="005A0289"/>
    <w:rsid w:val="005B7674"/>
    <w:rsid w:val="005C0670"/>
    <w:rsid w:val="005C173F"/>
    <w:rsid w:val="006058D9"/>
    <w:rsid w:val="00644896"/>
    <w:rsid w:val="0065484F"/>
    <w:rsid w:val="00681935"/>
    <w:rsid w:val="006A4599"/>
    <w:rsid w:val="006B2DB2"/>
    <w:rsid w:val="006C4103"/>
    <w:rsid w:val="006F6894"/>
    <w:rsid w:val="007138DC"/>
    <w:rsid w:val="007469E0"/>
    <w:rsid w:val="007477C0"/>
    <w:rsid w:val="00795857"/>
    <w:rsid w:val="007A2432"/>
    <w:rsid w:val="007C0D8B"/>
    <w:rsid w:val="007F6E36"/>
    <w:rsid w:val="00812027"/>
    <w:rsid w:val="00817A56"/>
    <w:rsid w:val="008204C2"/>
    <w:rsid w:val="00871CD4"/>
    <w:rsid w:val="008A28A4"/>
    <w:rsid w:val="008A5242"/>
    <w:rsid w:val="008E79F0"/>
    <w:rsid w:val="0090758A"/>
    <w:rsid w:val="00920A61"/>
    <w:rsid w:val="00956E1E"/>
    <w:rsid w:val="00957E57"/>
    <w:rsid w:val="00960D6B"/>
    <w:rsid w:val="009A5CC3"/>
    <w:rsid w:val="009B3B44"/>
    <w:rsid w:val="009D51D3"/>
    <w:rsid w:val="00A03C53"/>
    <w:rsid w:val="00A15EBC"/>
    <w:rsid w:val="00A31F76"/>
    <w:rsid w:val="00A34D9B"/>
    <w:rsid w:val="00AB0EEF"/>
    <w:rsid w:val="00AC4C42"/>
    <w:rsid w:val="00AD712A"/>
    <w:rsid w:val="00B26EE5"/>
    <w:rsid w:val="00B3017D"/>
    <w:rsid w:val="00B47C56"/>
    <w:rsid w:val="00B643E5"/>
    <w:rsid w:val="00B65128"/>
    <w:rsid w:val="00B74F14"/>
    <w:rsid w:val="00B85DBC"/>
    <w:rsid w:val="00B9340C"/>
    <w:rsid w:val="00BA4274"/>
    <w:rsid w:val="00BA5B56"/>
    <w:rsid w:val="00BC59D2"/>
    <w:rsid w:val="00BD5CD1"/>
    <w:rsid w:val="00BD66BA"/>
    <w:rsid w:val="00C25DB5"/>
    <w:rsid w:val="00C31CA2"/>
    <w:rsid w:val="00C41500"/>
    <w:rsid w:val="00C53CD0"/>
    <w:rsid w:val="00C858B2"/>
    <w:rsid w:val="00C93763"/>
    <w:rsid w:val="00C95F8C"/>
    <w:rsid w:val="00CB7086"/>
    <w:rsid w:val="00D0115C"/>
    <w:rsid w:val="00D05E7A"/>
    <w:rsid w:val="00D22E14"/>
    <w:rsid w:val="00D3165C"/>
    <w:rsid w:val="00D36BDC"/>
    <w:rsid w:val="00D379EC"/>
    <w:rsid w:val="00D42289"/>
    <w:rsid w:val="00D54D7B"/>
    <w:rsid w:val="00D61D5E"/>
    <w:rsid w:val="00D66D83"/>
    <w:rsid w:val="00D94A68"/>
    <w:rsid w:val="00D96253"/>
    <w:rsid w:val="00DA0E44"/>
    <w:rsid w:val="00DA3AE1"/>
    <w:rsid w:val="00DA62A2"/>
    <w:rsid w:val="00E0034C"/>
    <w:rsid w:val="00E3013C"/>
    <w:rsid w:val="00E46743"/>
    <w:rsid w:val="00E93E9A"/>
    <w:rsid w:val="00EC05AE"/>
    <w:rsid w:val="00ED5BBF"/>
    <w:rsid w:val="00EE2FF8"/>
    <w:rsid w:val="00EF1D5A"/>
    <w:rsid w:val="00F13ECD"/>
    <w:rsid w:val="00F17A29"/>
    <w:rsid w:val="00F261A3"/>
    <w:rsid w:val="00F31762"/>
    <w:rsid w:val="00F5023D"/>
    <w:rsid w:val="00F5231D"/>
    <w:rsid w:val="00F60DEE"/>
    <w:rsid w:val="00F6603A"/>
    <w:rsid w:val="00F76656"/>
    <w:rsid w:val="00F84EA3"/>
    <w:rsid w:val="00F856DF"/>
    <w:rsid w:val="00F951D1"/>
    <w:rsid w:val="00FB7702"/>
    <w:rsid w:val="00FD63D2"/>
    <w:rsid w:val="00FD7099"/>
    <w:rsid w:val="00FE28AE"/>
    <w:rsid w:val="00FF2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0A1D0CE"/>
  <w15:chartTrackingRefBased/>
  <w15:docId w15:val="{CC7C675F-6AC5-4D92-8D11-1FD3225E7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A5B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B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D63D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EE2F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1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171"/>
  </w:style>
  <w:style w:type="paragraph" w:styleId="Footer">
    <w:name w:val="footer"/>
    <w:basedOn w:val="Normal"/>
    <w:link w:val="FooterChar"/>
    <w:uiPriority w:val="99"/>
    <w:unhideWhenUsed/>
    <w:rsid w:val="001971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171"/>
  </w:style>
  <w:style w:type="paragraph" w:styleId="ListParagraph">
    <w:name w:val="List Paragraph"/>
    <w:basedOn w:val="Normal"/>
    <w:uiPriority w:val="34"/>
    <w:qFormat/>
    <w:rsid w:val="0045485C"/>
    <w:pPr>
      <w:ind w:left="720"/>
      <w:contextualSpacing/>
    </w:pPr>
  </w:style>
  <w:style w:type="paragraph" w:customStyle="1" w:styleId="legclearfix">
    <w:name w:val="legclearfix"/>
    <w:basedOn w:val="Normal"/>
    <w:rsid w:val="000E1F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addition">
    <w:name w:val="legaddition"/>
    <w:basedOn w:val="DefaultParagraphFont"/>
    <w:rsid w:val="000E1F9B"/>
  </w:style>
  <w:style w:type="character" w:styleId="Hyperlink">
    <w:name w:val="Hyperlink"/>
    <w:basedOn w:val="DefaultParagraphFont"/>
    <w:uiPriority w:val="99"/>
    <w:unhideWhenUsed/>
    <w:rsid w:val="00344233"/>
    <w:rPr>
      <w:color w:val="0000FF"/>
      <w:u w:val="single"/>
    </w:rPr>
  </w:style>
  <w:style w:type="character" w:styleId="CommentReference">
    <w:name w:val="annotation reference"/>
    <w:basedOn w:val="DefaultParagraphFont"/>
    <w:uiPriority w:val="99"/>
    <w:semiHidden/>
    <w:unhideWhenUsed/>
    <w:rsid w:val="00507D7C"/>
    <w:rPr>
      <w:sz w:val="16"/>
      <w:szCs w:val="16"/>
    </w:rPr>
  </w:style>
  <w:style w:type="paragraph" w:styleId="CommentText">
    <w:name w:val="annotation text"/>
    <w:basedOn w:val="Normal"/>
    <w:link w:val="CommentTextChar"/>
    <w:uiPriority w:val="99"/>
    <w:semiHidden/>
    <w:unhideWhenUsed/>
    <w:rsid w:val="00507D7C"/>
    <w:pPr>
      <w:spacing w:line="240" w:lineRule="auto"/>
    </w:pPr>
    <w:rPr>
      <w:sz w:val="20"/>
      <w:szCs w:val="20"/>
    </w:rPr>
  </w:style>
  <w:style w:type="character" w:customStyle="1" w:styleId="CommentTextChar">
    <w:name w:val="Comment Text Char"/>
    <w:basedOn w:val="DefaultParagraphFont"/>
    <w:link w:val="CommentText"/>
    <w:uiPriority w:val="99"/>
    <w:semiHidden/>
    <w:rsid w:val="00507D7C"/>
    <w:rPr>
      <w:sz w:val="20"/>
      <w:szCs w:val="20"/>
    </w:rPr>
  </w:style>
  <w:style w:type="paragraph" w:styleId="CommentSubject">
    <w:name w:val="annotation subject"/>
    <w:basedOn w:val="CommentText"/>
    <w:next w:val="CommentText"/>
    <w:link w:val="CommentSubjectChar"/>
    <w:uiPriority w:val="99"/>
    <w:semiHidden/>
    <w:unhideWhenUsed/>
    <w:rsid w:val="00507D7C"/>
    <w:rPr>
      <w:b/>
      <w:bCs/>
    </w:rPr>
  </w:style>
  <w:style w:type="character" w:customStyle="1" w:styleId="CommentSubjectChar">
    <w:name w:val="Comment Subject Char"/>
    <w:basedOn w:val="CommentTextChar"/>
    <w:link w:val="CommentSubject"/>
    <w:uiPriority w:val="99"/>
    <w:semiHidden/>
    <w:rsid w:val="00507D7C"/>
    <w:rPr>
      <w:b/>
      <w:bCs/>
      <w:sz w:val="20"/>
      <w:szCs w:val="20"/>
    </w:rPr>
  </w:style>
  <w:style w:type="paragraph" w:styleId="BalloonText">
    <w:name w:val="Balloon Text"/>
    <w:basedOn w:val="Normal"/>
    <w:link w:val="BalloonTextChar"/>
    <w:uiPriority w:val="99"/>
    <w:semiHidden/>
    <w:unhideWhenUsed/>
    <w:rsid w:val="00507D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D7C"/>
    <w:rPr>
      <w:rFonts w:ascii="Segoe UI" w:hAnsi="Segoe UI" w:cs="Segoe UI"/>
      <w:sz w:val="18"/>
      <w:szCs w:val="18"/>
    </w:rPr>
  </w:style>
  <w:style w:type="character" w:customStyle="1" w:styleId="s1">
    <w:name w:val="s1"/>
    <w:basedOn w:val="DefaultParagraphFont"/>
    <w:rsid w:val="003B1A7F"/>
  </w:style>
  <w:style w:type="character" w:customStyle="1" w:styleId="apple-converted-space">
    <w:name w:val="apple-converted-space"/>
    <w:basedOn w:val="DefaultParagraphFont"/>
    <w:rsid w:val="003B1A7F"/>
  </w:style>
  <w:style w:type="character" w:styleId="Emphasis">
    <w:name w:val="Emphasis"/>
    <w:basedOn w:val="DefaultParagraphFont"/>
    <w:uiPriority w:val="20"/>
    <w:qFormat/>
    <w:rsid w:val="00960D6B"/>
    <w:rPr>
      <w:i/>
      <w:iCs/>
    </w:rPr>
  </w:style>
  <w:style w:type="character" w:customStyle="1" w:styleId="Heading3Char">
    <w:name w:val="Heading 3 Char"/>
    <w:basedOn w:val="DefaultParagraphFont"/>
    <w:link w:val="Heading3"/>
    <w:uiPriority w:val="9"/>
    <w:rsid w:val="00FD63D2"/>
    <w:rPr>
      <w:rFonts w:ascii="Times New Roman" w:eastAsia="Times New Roman" w:hAnsi="Times New Roman" w:cs="Times New Roman"/>
      <w:b/>
      <w:bCs/>
      <w:sz w:val="27"/>
      <w:szCs w:val="27"/>
      <w:lang w:eastAsia="en-GB"/>
    </w:rPr>
  </w:style>
  <w:style w:type="paragraph" w:customStyle="1" w:styleId="paragraph">
    <w:name w:val="paragraph"/>
    <w:basedOn w:val="Normal"/>
    <w:rsid w:val="00BA5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A5B56"/>
  </w:style>
  <w:style w:type="character" w:customStyle="1" w:styleId="eop">
    <w:name w:val="eop"/>
    <w:basedOn w:val="DefaultParagraphFont"/>
    <w:rsid w:val="00BA5B56"/>
  </w:style>
  <w:style w:type="character" w:customStyle="1" w:styleId="Heading1Char">
    <w:name w:val="Heading 1 Char"/>
    <w:basedOn w:val="DefaultParagraphFont"/>
    <w:link w:val="Heading1"/>
    <w:uiPriority w:val="9"/>
    <w:rsid w:val="00BA5B5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B56"/>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EE2FF8"/>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54D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54D7B"/>
    <w:rPr>
      <w:rFonts w:eastAsiaTheme="minorEastAsia"/>
      <w:lang w:val="en-US"/>
    </w:rPr>
  </w:style>
  <w:style w:type="paragraph" w:styleId="TOCHeading">
    <w:name w:val="TOC Heading"/>
    <w:basedOn w:val="Heading1"/>
    <w:next w:val="Normal"/>
    <w:uiPriority w:val="39"/>
    <w:unhideWhenUsed/>
    <w:qFormat/>
    <w:rsid w:val="00FF2A84"/>
    <w:pPr>
      <w:outlineLvl w:val="9"/>
    </w:pPr>
    <w:rPr>
      <w:lang w:val="en-US"/>
    </w:rPr>
  </w:style>
  <w:style w:type="paragraph" w:styleId="TOC1">
    <w:name w:val="toc 1"/>
    <w:basedOn w:val="Normal"/>
    <w:next w:val="Normal"/>
    <w:autoRedefine/>
    <w:uiPriority w:val="39"/>
    <w:unhideWhenUsed/>
    <w:rsid w:val="00FF2A84"/>
    <w:pPr>
      <w:spacing w:after="100"/>
    </w:pPr>
  </w:style>
  <w:style w:type="paragraph" w:styleId="TOC2">
    <w:name w:val="toc 2"/>
    <w:basedOn w:val="Normal"/>
    <w:next w:val="Normal"/>
    <w:autoRedefine/>
    <w:uiPriority w:val="39"/>
    <w:unhideWhenUsed/>
    <w:rsid w:val="00FF2A84"/>
    <w:pPr>
      <w:spacing w:after="100"/>
      <w:ind w:left="220"/>
    </w:pPr>
  </w:style>
  <w:style w:type="paragraph" w:styleId="TOC3">
    <w:name w:val="toc 3"/>
    <w:basedOn w:val="Normal"/>
    <w:next w:val="Normal"/>
    <w:autoRedefine/>
    <w:uiPriority w:val="39"/>
    <w:unhideWhenUsed/>
    <w:rsid w:val="00FF2A84"/>
    <w:pPr>
      <w:spacing w:after="100"/>
      <w:ind w:left="440"/>
    </w:pPr>
  </w:style>
  <w:style w:type="character" w:styleId="FollowedHyperlink">
    <w:name w:val="FollowedHyperlink"/>
    <w:basedOn w:val="DefaultParagraphFont"/>
    <w:uiPriority w:val="99"/>
    <w:semiHidden/>
    <w:unhideWhenUsed/>
    <w:rsid w:val="000369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05978">
      <w:bodyDiv w:val="1"/>
      <w:marLeft w:val="0"/>
      <w:marRight w:val="0"/>
      <w:marTop w:val="0"/>
      <w:marBottom w:val="0"/>
      <w:divBdr>
        <w:top w:val="none" w:sz="0" w:space="0" w:color="auto"/>
        <w:left w:val="none" w:sz="0" w:space="0" w:color="auto"/>
        <w:bottom w:val="none" w:sz="0" w:space="0" w:color="auto"/>
        <w:right w:val="none" w:sz="0" w:space="0" w:color="auto"/>
      </w:divBdr>
    </w:div>
    <w:div w:id="168108775">
      <w:bodyDiv w:val="1"/>
      <w:marLeft w:val="0"/>
      <w:marRight w:val="0"/>
      <w:marTop w:val="0"/>
      <w:marBottom w:val="0"/>
      <w:divBdr>
        <w:top w:val="none" w:sz="0" w:space="0" w:color="auto"/>
        <w:left w:val="none" w:sz="0" w:space="0" w:color="auto"/>
        <w:bottom w:val="none" w:sz="0" w:space="0" w:color="auto"/>
        <w:right w:val="none" w:sz="0" w:space="0" w:color="auto"/>
      </w:divBdr>
    </w:div>
    <w:div w:id="192693459">
      <w:bodyDiv w:val="1"/>
      <w:marLeft w:val="0"/>
      <w:marRight w:val="0"/>
      <w:marTop w:val="0"/>
      <w:marBottom w:val="0"/>
      <w:divBdr>
        <w:top w:val="none" w:sz="0" w:space="0" w:color="auto"/>
        <w:left w:val="none" w:sz="0" w:space="0" w:color="auto"/>
        <w:bottom w:val="none" w:sz="0" w:space="0" w:color="auto"/>
        <w:right w:val="none" w:sz="0" w:space="0" w:color="auto"/>
      </w:divBdr>
    </w:div>
    <w:div w:id="250545955">
      <w:bodyDiv w:val="1"/>
      <w:marLeft w:val="0"/>
      <w:marRight w:val="0"/>
      <w:marTop w:val="0"/>
      <w:marBottom w:val="0"/>
      <w:divBdr>
        <w:top w:val="none" w:sz="0" w:space="0" w:color="auto"/>
        <w:left w:val="none" w:sz="0" w:space="0" w:color="auto"/>
        <w:bottom w:val="none" w:sz="0" w:space="0" w:color="auto"/>
        <w:right w:val="none" w:sz="0" w:space="0" w:color="auto"/>
      </w:divBdr>
    </w:div>
    <w:div w:id="250967007">
      <w:bodyDiv w:val="1"/>
      <w:marLeft w:val="0"/>
      <w:marRight w:val="0"/>
      <w:marTop w:val="0"/>
      <w:marBottom w:val="0"/>
      <w:divBdr>
        <w:top w:val="none" w:sz="0" w:space="0" w:color="auto"/>
        <w:left w:val="none" w:sz="0" w:space="0" w:color="auto"/>
        <w:bottom w:val="none" w:sz="0" w:space="0" w:color="auto"/>
        <w:right w:val="none" w:sz="0" w:space="0" w:color="auto"/>
      </w:divBdr>
    </w:div>
    <w:div w:id="629483383">
      <w:bodyDiv w:val="1"/>
      <w:marLeft w:val="0"/>
      <w:marRight w:val="0"/>
      <w:marTop w:val="0"/>
      <w:marBottom w:val="0"/>
      <w:divBdr>
        <w:top w:val="none" w:sz="0" w:space="0" w:color="auto"/>
        <w:left w:val="none" w:sz="0" w:space="0" w:color="auto"/>
        <w:bottom w:val="none" w:sz="0" w:space="0" w:color="auto"/>
        <w:right w:val="none" w:sz="0" w:space="0" w:color="auto"/>
      </w:divBdr>
      <w:divsChild>
        <w:div w:id="1907108714">
          <w:marLeft w:val="0"/>
          <w:marRight w:val="0"/>
          <w:marTop w:val="0"/>
          <w:marBottom w:val="0"/>
          <w:divBdr>
            <w:top w:val="none" w:sz="0" w:space="0" w:color="auto"/>
            <w:left w:val="none" w:sz="0" w:space="0" w:color="auto"/>
            <w:bottom w:val="none" w:sz="0" w:space="0" w:color="auto"/>
            <w:right w:val="none" w:sz="0" w:space="0" w:color="auto"/>
          </w:divBdr>
        </w:div>
        <w:div w:id="166796497">
          <w:marLeft w:val="0"/>
          <w:marRight w:val="0"/>
          <w:marTop w:val="0"/>
          <w:marBottom w:val="0"/>
          <w:divBdr>
            <w:top w:val="none" w:sz="0" w:space="0" w:color="auto"/>
            <w:left w:val="none" w:sz="0" w:space="0" w:color="auto"/>
            <w:bottom w:val="none" w:sz="0" w:space="0" w:color="auto"/>
            <w:right w:val="none" w:sz="0" w:space="0" w:color="auto"/>
          </w:divBdr>
        </w:div>
        <w:div w:id="291714810">
          <w:marLeft w:val="0"/>
          <w:marRight w:val="0"/>
          <w:marTop w:val="0"/>
          <w:marBottom w:val="0"/>
          <w:divBdr>
            <w:top w:val="none" w:sz="0" w:space="0" w:color="auto"/>
            <w:left w:val="none" w:sz="0" w:space="0" w:color="auto"/>
            <w:bottom w:val="none" w:sz="0" w:space="0" w:color="auto"/>
            <w:right w:val="none" w:sz="0" w:space="0" w:color="auto"/>
          </w:divBdr>
        </w:div>
        <w:div w:id="1027560116">
          <w:marLeft w:val="0"/>
          <w:marRight w:val="0"/>
          <w:marTop w:val="0"/>
          <w:marBottom w:val="0"/>
          <w:divBdr>
            <w:top w:val="none" w:sz="0" w:space="0" w:color="auto"/>
            <w:left w:val="none" w:sz="0" w:space="0" w:color="auto"/>
            <w:bottom w:val="none" w:sz="0" w:space="0" w:color="auto"/>
            <w:right w:val="none" w:sz="0" w:space="0" w:color="auto"/>
          </w:divBdr>
        </w:div>
        <w:div w:id="1884096719">
          <w:marLeft w:val="0"/>
          <w:marRight w:val="0"/>
          <w:marTop w:val="0"/>
          <w:marBottom w:val="0"/>
          <w:divBdr>
            <w:top w:val="none" w:sz="0" w:space="0" w:color="auto"/>
            <w:left w:val="none" w:sz="0" w:space="0" w:color="auto"/>
            <w:bottom w:val="none" w:sz="0" w:space="0" w:color="auto"/>
            <w:right w:val="none" w:sz="0" w:space="0" w:color="auto"/>
          </w:divBdr>
        </w:div>
        <w:div w:id="2145811539">
          <w:marLeft w:val="0"/>
          <w:marRight w:val="0"/>
          <w:marTop w:val="0"/>
          <w:marBottom w:val="0"/>
          <w:divBdr>
            <w:top w:val="none" w:sz="0" w:space="0" w:color="auto"/>
            <w:left w:val="none" w:sz="0" w:space="0" w:color="auto"/>
            <w:bottom w:val="none" w:sz="0" w:space="0" w:color="auto"/>
            <w:right w:val="none" w:sz="0" w:space="0" w:color="auto"/>
          </w:divBdr>
        </w:div>
        <w:div w:id="459500390">
          <w:marLeft w:val="0"/>
          <w:marRight w:val="0"/>
          <w:marTop w:val="0"/>
          <w:marBottom w:val="0"/>
          <w:divBdr>
            <w:top w:val="none" w:sz="0" w:space="0" w:color="auto"/>
            <w:left w:val="none" w:sz="0" w:space="0" w:color="auto"/>
            <w:bottom w:val="none" w:sz="0" w:space="0" w:color="auto"/>
            <w:right w:val="none" w:sz="0" w:space="0" w:color="auto"/>
          </w:divBdr>
        </w:div>
        <w:div w:id="1203248974">
          <w:marLeft w:val="0"/>
          <w:marRight w:val="0"/>
          <w:marTop w:val="0"/>
          <w:marBottom w:val="0"/>
          <w:divBdr>
            <w:top w:val="none" w:sz="0" w:space="0" w:color="auto"/>
            <w:left w:val="none" w:sz="0" w:space="0" w:color="auto"/>
            <w:bottom w:val="none" w:sz="0" w:space="0" w:color="auto"/>
            <w:right w:val="none" w:sz="0" w:space="0" w:color="auto"/>
          </w:divBdr>
        </w:div>
        <w:div w:id="2137719632">
          <w:marLeft w:val="0"/>
          <w:marRight w:val="0"/>
          <w:marTop w:val="0"/>
          <w:marBottom w:val="0"/>
          <w:divBdr>
            <w:top w:val="none" w:sz="0" w:space="0" w:color="auto"/>
            <w:left w:val="none" w:sz="0" w:space="0" w:color="auto"/>
            <w:bottom w:val="none" w:sz="0" w:space="0" w:color="auto"/>
            <w:right w:val="none" w:sz="0" w:space="0" w:color="auto"/>
          </w:divBdr>
        </w:div>
        <w:div w:id="491138087">
          <w:marLeft w:val="0"/>
          <w:marRight w:val="0"/>
          <w:marTop w:val="0"/>
          <w:marBottom w:val="0"/>
          <w:divBdr>
            <w:top w:val="none" w:sz="0" w:space="0" w:color="auto"/>
            <w:left w:val="none" w:sz="0" w:space="0" w:color="auto"/>
            <w:bottom w:val="none" w:sz="0" w:space="0" w:color="auto"/>
            <w:right w:val="none" w:sz="0" w:space="0" w:color="auto"/>
          </w:divBdr>
        </w:div>
        <w:div w:id="1868057150">
          <w:marLeft w:val="0"/>
          <w:marRight w:val="0"/>
          <w:marTop w:val="0"/>
          <w:marBottom w:val="0"/>
          <w:divBdr>
            <w:top w:val="none" w:sz="0" w:space="0" w:color="auto"/>
            <w:left w:val="none" w:sz="0" w:space="0" w:color="auto"/>
            <w:bottom w:val="none" w:sz="0" w:space="0" w:color="auto"/>
            <w:right w:val="none" w:sz="0" w:space="0" w:color="auto"/>
          </w:divBdr>
        </w:div>
        <w:div w:id="1211308815">
          <w:marLeft w:val="0"/>
          <w:marRight w:val="0"/>
          <w:marTop w:val="0"/>
          <w:marBottom w:val="0"/>
          <w:divBdr>
            <w:top w:val="none" w:sz="0" w:space="0" w:color="auto"/>
            <w:left w:val="none" w:sz="0" w:space="0" w:color="auto"/>
            <w:bottom w:val="none" w:sz="0" w:space="0" w:color="auto"/>
            <w:right w:val="none" w:sz="0" w:space="0" w:color="auto"/>
          </w:divBdr>
        </w:div>
        <w:div w:id="302081139">
          <w:marLeft w:val="0"/>
          <w:marRight w:val="0"/>
          <w:marTop w:val="0"/>
          <w:marBottom w:val="0"/>
          <w:divBdr>
            <w:top w:val="none" w:sz="0" w:space="0" w:color="auto"/>
            <w:left w:val="none" w:sz="0" w:space="0" w:color="auto"/>
            <w:bottom w:val="none" w:sz="0" w:space="0" w:color="auto"/>
            <w:right w:val="none" w:sz="0" w:space="0" w:color="auto"/>
          </w:divBdr>
        </w:div>
        <w:div w:id="1237745413">
          <w:marLeft w:val="0"/>
          <w:marRight w:val="0"/>
          <w:marTop w:val="0"/>
          <w:marBottom w:val="0"/>
          <w:divBdr>
            <w:top w:val="none" w:sz="0" w:space="0" w:color="auto"/>
            <w:left w:val="none" w:sz="0" w:space="0" w:color="auto"/>
            <w:bottom w:val="none" w:sz="0" w:space="0" w:color="auto"/>
            <w:right w:val="none" w:sz="0" w:space="0" w:color="auto"/>
          </w:divBdr>
        </w:div>
        <w:div w:id="462961820">
          <w:marLeft w:val="0"/>
          <w:marRight w:val="0"/>
          <w:marTop w:val="0"/>
          <w:marBottom w:val="0"/>
          <w:divBdr>
            <w:top w:val="none" w:sz="0" w:space="0" w:color="auto"/>
            <w:left w:val="none" w:sz="0" w:space="0" w:color="auto"/>
            <w:bottom w:val="none" w:sz="0" w:space="0" w:color="auto"/>
            <w:right w:val="none" w:sz="0" w:space="0" w:color="auto"/>
          </w:divBdr>
        </w:div>
        <w:div w:id="1382556619">
          <w:marLeft w:val="0"/>
          <w:marRight w:val="0"/>
          <w:marTop w:val="0"/>
          <w:marBottom w:val="0"/>
          <w:divBdr>
            <w:top w:val="none" w:sz="0" w:space="0" w:color="auto"/>
            <w:left w:val="none" w:sz="0" w:space="0" w:color="auto"/>
            <w:bottom w:val="none" w:sz="0" w:space="0" w:color="auto"/>
            <w:right w:val="none" w:sz="0" w:space="0" w:color="auto"/>
          </w:divBdr>
        </w:div>
        <w:div w:id="584916576">
          <w:marLeft w:val="0"/>
          <w:marRight w:val="0"/>
          <w:marTop w:val="0"/>
          <w:marBottom w:val="0"/>
          <w:divBdr>
            <w:top w:val="none" w:sz="0" w:space="0" w:color="auto"/>
            <w:left w:val="none" w:sz="0" w:space="0" w:color="auto"/>
            <w:bottom w:val="none" w:sz="0" w:space="0" w:color="auto"/>
            <w:right w:val="none" w:sz="0" w:space="0" w:color="auto"/>
          </w:divBdr>
        </w:div>
        <w:div w:id="1501969184">
          <w:marLeft w:val="0"/>
          <w:marRight w:val="0"/>
          <w:marTop w:val="0"/>
          <w:marBottom w:val="0"/>
          <w:divBdr>
            <w:top w:val="none" w:sz="0" w:space="0" w:color="auto"/>
            <w:left w:val="none" w:sz="0" w:space="0" w:color="auto"/>
            <w:bottom w:val="none" w:sz="0" w:space="0" w:color="auto"/>
            <w:right w:val="none" w:sz="0" w:space="0" w:color="auto"/>
          </w:divBdr>
        </w:div>
        <w:div w:id="1512069385">
          <w:marLeft w:val="0"/>
          <w:marRight w:val="0"/>
          <w:marTop w:val="0"/>
          <w:marBottom w:val="0"/>
          <w:divBdr>
            <w:top w:val="none" w:sz="0" w:space="0" w:color="auto"/>
            <w:left w:val="none" w:sz="0" w:space="0" w:color="auto"/>
            <w:bottom w:val="none" w:sz="0" w:space="0" w:color="auto"/>
            <w:right w:val="none" w:sz="0" w:space="0" w:color="auto"/>
          </w:divBdr>
        </w:div>
        <w:div w:id="1348216380">
          <w:marLeft w:val="0"/>
          <w:marRight w:val="0"/>
          <w:marTop w:val="0"/>
          <w:marBottom w:val="0"/>
          <w:divBdr>
            <w:top w:val="none" w:sz="0" w:space="0" w:color="auto"/>
            <w:left w:val="none" w:sz="0" w:space="0" w:color="auto"/>
            <w:bottom w:val="none" w:sz="0" w:space="0" w:color="auto"/>
            <w:right w:val="none" w:sz="0" w:space="0" w:color="auto"/>
          </w:divBdr>
        </w:div>
        <w:div w:id="1889872413">
          <w:marLeft w:val="0"/>
          <w:marRight w:val="0"/>
          <w:marTop w:val="0"/>
          <w:marBottom w:val="0"/>
          <w:divBdr>
            <w:top w:val="none" w:sz="0" w:space="0" w:color="auto"/>
            <w:left w:val="none" w:sz="0" w:space="0" w:color="auto"/>
            <w:bottom w:val="none" w:sz="0" w:space="0" w:color="auto"/>
            <w:right w:val="none" w:sz="0" w:space="0" w:color="auto"/>
          </w:divBdr>
        </w:div>
        <w:div w:id="912852525">
          <w:marLeft w:val="0"/>
          <w:marRight w:val="0"/>
          <w:marTop w:val="0"/>
          <w:marBottom w:val="0"/>
          <w:divBdr>
            <w:top w:val="none" w:sz="0" w:space="0" w:color="auto"/>
            <w:left w:val="none" w:sz="0" w:space="0" w:color="auto"/>
            <w:bottom w:val="none" w:sz="0" w:space="0" w:color="auto"/>
            <w:right w:val="none" w:sz="0" w:space="0" w:color="auto"/>
          </w:divBdr>
        </w:div>
        <w:div w:id="1733502790">
          <w:marLeft w:val="0"/>
          <w:marRight w:val="0"/>
          <w:marTop w:val="0"/>
          <w:marBottom w:val="0"/>
          <w:divBdr>
            <w:top w:val="none" w:sz="0" w:space="0" w:color="auto"/>
            <w:left w:val="none" w:sz="0" w:space="0" w:color="auto"/>
            <w:bottom w:val="none" w:sz="0" w:space="0" w:color="auto"/>
            <w:right w:val="none" w:sz="0" w:space="0" w:color="auto"/>
          </w:divBdr>
        </w:div>
        <w:div w:id="1005131333">
          <w:marLeft w:val="0"/>
          <w:marRight w:val="0"/>
          <w:marTop w:val="0"/>
          <w:marBottom w:val="0"/>
          <w:divBdr>
            <w:top w:val="none" w:sz="0" w:space="0" w:color="auto"/>
            <w:left w:val="none" w:sz="0" w:space="0" w:color="auto"/>
            <w:bottom w:val="none" w:sz="0" w:space="0" w:color="auto"/>
            <w:right w:val="none" w:sz="0" w:space="0" w:color="auto"/>
          </w:divBdr>
        </w:div>
        <w:div w:id="1933272649">
          <w:marLeft w:val="0"/>
          <w:marRight w:val="0"/>
          <w:marTop w:val="0"/>
          <w:marBottom w:val="0"/>
          <w:divBdr>
            <w:top w:val="none" w:sz="0" w:space="0" w:color="auto"/>
            <w:left w:val="none" w:sz="0" w:space="0" w:color="auto"/>
            <w:bottom w:val="none" w:sz="0" w:space="0" w:color="auto"/>
            <w:right w:val="none" w:sz="0" w:space="0" w:color="auto"/>
          </w:divBdr>
        </w:div>
        <w:div w:id="898058385">
          <w:marLeft w:val="0"/>
          <w:marRight w:val="0"/>
          <w:marTop w:val="0"/>
          <w:marBottom w:val="0"/>
          <w:divBdr>
            <w:top w:val="none" w:sz="0" w:space="0" w:color="auto"/>
            <w:left w:val="none" w:sz="0" w:space="0" w:color="auto"/>
            <w:bottom w:val="none" w:sz="0" w:space="0" w:color="auto"/>
            <w:right w:val="none" w:sz="0" w:space="0" w:color="auto"/>
          </w:divBdr>
        </w:div>
        <w:div w:id="2069760744">
          <w:marLeft w:val="0"/>
          <w:marRight w:val="0"/>
          <w:marTop w:val="0"/>
          <w:marBottom w:val="0"/>
          <w:divBdr>
            <w:top w:val="none" w:sz="0" w:space="0" w:color="auto"/>
            <w:left w:val="none" w:sz="0" w:space="0" w:color="auto"/>
            <w:bottom w:val="none" w:sz="0" w:space="0" w:color="auto"/>
            <w:right w:val="none" w:sz="0" w:space="0" w:color="auto"/>
          </w:divBdr>
        </w:div>
        <w:div w:id="1811091501">
          <w:marLeft w:val="0"/>
          <w:marRight w:val="0"/>
          <w:marTop w:val="0"/>
          <w:marBottom w:val="0"/>
          <w:divBdr>
            <w:top w:val="none" w:sz="0" w:space="0" w:color="auto"/>
            <w:left w:val="none" w:sz="0" w:space="0" w:color="auto"/>
            <w:bottom w:val="none" w:sz="0" w:space="0" w:color="auto"/>
            <w:right w:val="none" w:sz="0" w:space="0" w:color="auto"/>
          </w:divBdr>
        </w:div>
        <w:div w:id="526254912">
          <w:marLeft w:val="0"/>
          <w:marRight w:val="0"/>
          <w:marTop w:val="0"/>
          <w:marBottom w:val="0"/>
          <w:divBdr>
            <w:top w:val="none" w:sz="0" w:space="0" w:color="auto"/>
            <w:left w:val="none" w:sz="0" w:space="0" w:color="auto"/>
            <w:bottom w:val="none" w:sz="0" w:space="0" w:color="auto"/>
            <w:right w:val="none" w:sz="0" w:space="0" w:color="auto"/>
          </w:divBdr>
        </w:div>
        <w:div w:id="1095708384">
          <w:marLeft w:val="0"/>
          <w:marRight w:val="0"/>
          <w:marTop w:val="0"/>
          <w:marBottom w:val="0"/>
          <w:divBdr>
            <w:top w:val="none" w:sz="0" w:space="0" w:color="auto"/>
            <w:left w:val="none" w:sz="0" w:space="0" w:color="auto"/>
            <w:bottom w:val="none" w:sz="0" w:space="0" w:color="auto"/>
            <w:right w:val="none" w:sz="0" w:space="0" w:color="auto"/>
          </w:divBdr>
        </w:div>
        <w:div w:id="1525095939">
          <w:marLeft w:val="0"/>
          <w:marRight w:val="0"/>
          <w:marTop w:val="0"/>
          <w:marBottom w:val="0"/>
          <w:divBdr>
            <w:top w:val="none" w:sz="0" w:space="0" w:color="auto"/>
            <w:left w:val="none" w:sz="0" w:space="0" w:color="auto"/>
            <w:bottom w:val="none" w:sz="0" w:space="0" w:color="auto"/>
            <w:right w:val="none" w:sz="0" w:space="0" w:color="auto"/>
          </w:divBdr>
        </w:div>
        <w:div w:id="2082557852">
          <w:marLeft w:val="0"/>
          <w:marRight w:val="0"/>
          <w:marTop w:val="0"/>
          <w:marBottom w:val="0"/>
          <w:divBdr>
            <w:top w:val="none" w:sz="0" w:space="0" w:color="auto"/>
            <w:left w:val="none" w:sz="0" w:space="0" w:color="auto"/>
            <w:bottom w:val="none" w:sz="0" w:space="0" w:color="auto"/>
            <w:right w:val="none" w:sz="0" w:space="0" w:color="auto"/>
          </w:divBdr>
        </w:div>
        <w:div w:id="701638034">
          <w:marLeft w:val="0"/>
          <w:marRight w:val="0"/>
          <w:marTop w:val="0"/>
          <w:marBottom w:val="0"/>
          <w:divBdr>
            <w:top w:val="none" w:sz="0" w:space="0" w:color="auto"/>
            <w:left w:val="none" w:sz="0" w:space="0" w:color="auto"/>
            <w:bottom w:val="none" w:sz="0" w:space="0" w:color="auto"/>
            <w:right w:val="none" w:sz="0" w:space="0" w:color="auto"/>
          </w:divBdr>
        </w:div>
        <w:div w:id="1638415564">
          <w:marLeft w:val="0"/>
          <w:marRight w:val="0"/>
          <w:marTop w:val="0"/>
          <w:marBottom w:val="0"/>
          <w:divBdr>
            <w:top w:val="none" w:sz="0" w:space="0" w:color="auto"/>
            <w:left w:val="none" w:sz="0" w:space="0" w:color="auto"/>
            <w:bottom w:val="none" w:sz="0" w:space="0" w:color="auto"/>
            <w:right w:val="none" w:sz="0" w:space="0" w:color="auto"/>
          </w:divBdr>
        </w:div>
        <w:div w:id="1932619516">
          <w:marLeft w:val="0"/>
          <w:marRight w:val="0"/>
          <w:marTop w:val="0"/>
          <w:marBottom w:val="0"/>
          <w:divBdr>
            <w:top w:val="none" w:sz="0" w:space="0" w:color="auto"/>
            <w:left w:val="none" w:sz="0" w:space="0" w:color="auto"/>
            <w:bottom w:val="none" w:sz="0" w:space="0" w:color="auto"/>
            <w:right w:val="none" w:sz="0" w:space="0" w:color="auto"/>
          </w:divBdr>
        </w:div>
        <w:div w:id="1447112853">
          <w:marLeft w:val="0"/>
          <w:marRight w:val="0"/>
          <w:marTop w:val="0"/>
          <w:marBottom w:val="0"/>
          <w:divBdr>
            <w:top w:val="none" w:sz="0" w:space="0" w:color="auto"/>
            <w:left w:val="none" w:sz="0" w:space="0" w:color="auto"/>
            <w:bottom w:val="none" w:sz="0" w:space="0" w:color="auto"/>
            <w:right w:val="none" w:sz="0" w:space="0" w:color="auto"/>
          </w:divBdr>
        </w:div>
        <w:div w:id="1355569950">
          <w:marLeft w:val="0"/>
          <w:marRight w:val="0"/>
          <w:marTop w:val="0"/>
          <w:marBottom w:val="0"/>
          <w:divBdr>
            <w:top w:val="none" w:sz="0" w:space="0" w:color="auto"/>
            <w:left w:val="none" w:sz="0" w:space="0" w:color="auto"/>
            <w:bottom w:val="none" w:sz="0" w:space="0" w:color="auto"/>
            <w:right w:val="none" w:sz="0" w:space="0" w:color="auto"/>
          </w:divBdr>
        </w:div>
        <w:div w:id="1011839209">
          <w:marLeft w:val="0"/>
          <w:marRight w:val="0"/>
          <w:marTop w:val="0"/>
          <w:marBottom w:val="0"/>
          <w:divBdr>
            <w:top w:val="none" w:sz="0" w:space="0" w:color="auto"/>
            <w:left w:val="none" w:sz="0" w:space="0" w:color="auto"/>
            <w:bottom w:val="none" w:sz="0" w:space="0" w:color="auto"/>
            <w:right w:val="none" w:sz="0" w:space="0" w:color="auto"/>
          </w:divBdr>
        </w:div>
        <w:div w:id="999503703">
          <w:marLeft w:val="0"/>
          <w:marRight w:val="0"/>
          <w:marTop w:val="0"/>
          <w:marBottom w:val="0"/>
          <w:divBdr>
            <w:top w:val="none" w:sz="0" w:space="0" w:color="auto"/>
            <w:left w:val="none" w:sz="0" w:space="0" w:color="auto"/>
            <w:bottom w:val="none" w:sz="0" w:space="0" w:color="auto"/>
            <w:right w:val="none" w:sz="0" w:space="0" w:color="auto"/>
          </w:divBdr>
        </w:div>
        <w:div w:id="473762652">
          <w:marLeft w:val="0"/>
          <w:marRight w:val="0"/>
          <w:marTop w:val="0"/>
          <w:marBottom w:val="0"/>
          <w:divBdr>
            <w:top w:val="none" w:sz="0" w:space="0" w:color="auto"/>
            <w:left w:val="none" w:sz="0" w:space="0" w:color="auto"/>
            <w:bottom w:val="none" w:sz="0" w:space="0" w:color="auto"/>
            <w:right w:val="none" w:sz="0" w:space="0" w:color="auto"/>
          </w:divBdr>
        </w:div>
        <w:div w:id="1371145020">
          <w:marLeft w:val="0"/>
          <w:marRight w:val="0"/>
          <w:marTop w:val="0"/>
          <w:marBottom w:val="0"/>
          <w:divBdr>
            <w:top w:val="none" w:sz="0" w:space="0" w:color="auto"/>
            <w:left w:val="none" w:sz="0" w:space="0" w:color="auto"/>
            <w:bottom w:val="none" w:sz="0" w:space="0" w:color="auto"/>
            <w:right w:val="none" w:sz="0" w:space="0" w:color="auto"/>
          </w:divBdr>
        </w:div>
        <w:div w:id="443810542">
          <w:marLeft w:val="0"/>
          <w:marRight w:val="0"/>
          <w:marTop w:val="0"/>
          <w:marBottom w:val="0"/>
          <w:divBdr>
            <w:top w:val="none" w:sz="0" w:space="0" w:color="auto"/>
            <w:left w:val="none" w:sz="0" w:space="0" w:color="auto"/>
            <w:bottom w:val="none" w:sz="0" w:space="0" w:color="auto"/>
            <w:right w:val="none" w:sz="0" w:space="0" w:color="auto"/>
          </w:divBdr>
        </w:div>
        <w:div w:id="1816558322">
          <w:marLeft w:val="0"/>
          <w:marRight w:val="0"/>
          <w:marTop w:val="0"/>
          <w:marBottom w:val="0"/>
          <w:divBdr>
            <w:top w:val="none" w:sz="0" w:space="0" w:color="auto"/>
            <w:left w:val="none" w:sz="0" w:space="0" w:color="auto"/>
            <w:bottom w:val="none" w:sz="0" w:space="0" w:color="auto"/>
            <w:right w:val="none" w:sz="0" w:space="0" w:color="auto"/>
          </w:divBdr>
        </w:div>
        <w:div w:id="827096922">
          <w:marLeft w:val="0"/>
          <w:marRight w:val="0"/>
          <w:marTop w:val="0"/>
          <w:marBottom w:val="0"/>
          <w:divBdr>
            <w:top w:val="none" w:sz="0" w:space="0" w:color="auto"/>
            <w:left w:val="none" w:sz="0" w:space="0" w:color="auto"/>
            <w:bottom w:val="none" w:sz="0" w:space="0" w:color="auto"/>
            <w:right w:val="none" w:sz="0" w:space="0" w:color="auto"/>
          </w:divBdr>
        </w:div>
        <w:div w:id="1928414829">
          <w:marLeft w:val="0"/>
          <w:marRight w:val="0"/>
          <w:marTop w:val="0"/>
          <w:marBottom w:val="0"/>
          <w:divBdr>
            <w:top w:val="none" w:sz="0" w:space="0" w:color="auto"/>
            <w:left w:val="none" w:sz="0" w:space="0" w:color="auto"/>
            <w:bottom w:val="none" w:sz="0" w:space="0" w:color="auto"/>
            <w:right w:val="none" w:sz="0" w:space="0" w:color="auto"/>
          </w:divBdr>
        </w:div>
        <w:div w:id="1886794207">
          <w:marLeft w:val="0"/>
          <w:marRight w:val="0"/>
          <w:marTop w:val="0"/>
          <w:marBottom w:val="0"/>
          <w:divBdr>
            <w:top w:val="none" w:sz="0" w:space="0" w:color="auto"/>
            <w:left w:val="none" w:sz="0" w:space="0" w:color="auto"/>
            <w:bottom w:val="none" w:sz="0" w:space="0" w:color="auto"/>
            <w:right w:val="none" w:sz="0" w:space="0" w:color="auto"/>
          </w:divBdr>
        </w:div>
        <w:div w:id="1269266995">
          <w:marLeft w:val="0"/>
          <w:marRight w:val="0"/>
          <w:marTop w:val="0"/>
          <w:marBottom w:val="0"/>
          <w:divBdr>
            <w:top w:val="none" w:sz="0" w:space="0" w:color="auto"/>
            <w:left w:val="none" w:sz="0" w:space="0" w:color="auto"/>
            <w:bottom w:val="none" w:sz="0" w:space="0" w:color="auto"/>
            <w:right w:val="none" w:sz="0" w:space="0" w:color="auto"/>
          </w:divBdr>
        </w:div>
        <w:div w:id="732234560">
          <w:marLeft w:val="0"/>
          <w:marRight w:val="0"/>
          <w:marTop w:val="0"/>
          <w:marBottom w:val="0"/>
          <w:divBdr>
            <w:top w:val="none" w:sz="0" w:space="0" w:color="auto"/>
            <w:left w:val="none" w:sz="0" w:space="0" w:color="auto"/>
            <w:bottom w:val="none" w:sz="0" w:space="0" w:color="auto"/>
            <w:right w:val="none" w:sz="0" w:space="0" w:color="auto"/>
          </w:divBdr>
        </w:div>
        <w:div w:id="656999503">
          <w:marLeft w:val="0"/>
          <w:marRight w:val="0"/>
          <w:marTop w:val="0"/>
          <w:marBottom w:val="0"/>
          <w:divBdr>
            <w:top w:val="none" w:sz="0" w:space="0" w:color="auto"/>
            <w:left w:val="none" w:sz="0" w:space="0" w:color="auto"/>
            <w:bottom w:val="none" w:sz="0" w:space="0" w:color="auto"/>
            <w:right w:val="none" w:sz="0" w:space="0" w:color="auto"/>
          </w:divBdr>
        </w:div>
        <w:div w:id="1414745227">
          <w:marLeft w:val="0"/>
          <w:marRight w:val="0"/>
          <w:marTop w:val="0"/>
          <w:marBottom w:val="0"/>
          <w:divBdr>
            <w:top w:val="none" w:sz="0" w:space="0" w:color="auto"/>
            <w:left w:val="none" w:sz="0" w:space="0" w:color="auto"/>
            <w:bottom w:val="none" w:sz="0" w:space="0" w:color="auto"/>
            <w:right w:val="none" w:sz="0" w:space="0" w:color="auto"/>
          </w:divBdr>
        </w:div>
        <w:div w:id="44570742">
          <w:marLeft w:val="0"/>
          <w:marRight w:val="0"/>
          <w:marTop w:val="0"/>
          <w:marBottom w:val="0"/>
          <w:divBdr>
            <w:top w:val="none" w:sz="0" w:space="0" w:color="auto"/>
            <w:left w:val="none" w:sz="0" w:space="0" w:color="auto"/>
            <w:bottom w:val="none" w:sz="0" w:space="0" w:color="auto"/>
            <w:right w:val="none" w:sz="0" w:space="0" w:color="auto"/>
          </w:divBdr>
        </w:div>
        <w:div w:id="13768102">
          <w:marLeft w:val="0"/>
          <w:marRight w:val="0"/>
          <w:marTop w:val="0"/>
          <w:marBottom w:val="0"/>
          <w:divBdr>
            <w:top w:val="none" w:sz="0" w:space="0" w:color="auto"/>
            <w:left w:val="none" w:sz="0" w:space="0" w:color="auto"/>
            <w:bottom w:val="none" w:sz="0" w:space="0" w:color="auto"/>
            <w:right w:val="none" w:sz="0" w:space="0" w:color="auto"/>
          </w:divBdr>
        </w:div>
        <w:div w:id="59718021">
          <w:marLeft w:val="0"/>
          <w:marRight w:val="0"/>
          <w:marTop w:val="0"/>
          <w:marBottom w:val="0"/>
          <w:divBdr>
            <w:top w:val="none" w:sz="0" w:space="0" w:color="auto"/>
            <w:left w:val="none" w:sz="0" w:space="0" w:color="auto"/>
            <w:bottom w:val="none" w:sz="0" w:space="0" w:color="auto"/>
            <w:right w:val="none" w:sz="0" w:space="0" w:color="auto"/>
          </w:divBdr>
        </w:div>
        <w:div w:id="887304337">
          <w:marLeft w:val="0"/>
          <w:marRight w:val="0"/>
          <w:marTop w:val="0"/>
          <w:marBottom w:val="0"/>
          <w:divBdr>
            <w:top w:val="none" w:sz="0" w:space="0" w:color="auto"/>
            <w:left w:val="none" w:sz="0" w:space="0" w:color="auto"/>
            <w:bottom w:val="none" w:sz="0" w:space="0" w:color="auto"/>
            <w:right w:val="none" w:sz="0" w:space="0" w:color="auto"/>
          </w:divBdr>
        </w:div>
        <w:div w:id="1178806493">
          <w:marLeft w:val="0"/>
          <w:marRight w:val="0"/>
          <w:marTop w:val="0"/>
          <w:marBottom w:val="0"/>
          <w:divBdr>
            <w:top w:val="none" w:sz="0" w:space="0" w:color="auto"/>
            <w:left w:val="none" w:sz="0" w:space="0" w:color="auto"/>
            <w:bottom w:val="none" w:sz="0" w:space="0" w:color="auto"/>
            <w:right w:val="none" w:sz="0" w:space="0" w:color="auto"/>
          </w:divBdr>
        </w:div>
        <w:div w:id="1215431551">
          <w:marLeft w:val="0"/>
          <w:marRight w:val="0"/>
          <w:marTop w:val="0"/>
          <w:marBottom w:val="0"/>
          <w:divBdr>
            <w:top w:val="none" w:sz="0" w:space="0" w:color="auto"/>
            <w:left w:val="none" w:sz="0" w:space="0" w:color="auto"/>
            <w:bottom w:val="none" w:sz="0" w:space="0" w:color="auto"/>
            <w:right w:val="none" w:sz="0" w:space="0" w:color="auto"/>
          </w:divBdr>
        </w:div>
        <w:div w:id="406926620">
          <w:marLeft w:val="0"/>
          <w:marRight w:val="0"/>
          <w:marTop w:val="0"/>
          <w:marBottom w:val="0"/>
          <w:divBdr>
            <w:top w:val="none" w:sz="0" w:space="0" w:color="auto"/>
            <w:left w:val="none" w:sz="0" w:space="0" w:color="auto"/>
            <w:bottom w:val="none" w:sz="0" w:space="0" w:color="auto"/>
            <w:right w:val="none" w:sz="0" w:space="0" w:color="auto"/>
          </w:divBdr>
        </w:div>
        <w:div w:id="363753595">
          <w:marLeft w:val="0"/>
          <w:marRight w:val="0"/>
          <w:marTop w:val="0"/>
          <w:marBottom w:val="0"/>
          <w:divBdr>
            <w:top w:val="none" w:sz="0" w:space="0" w:color="auto"/>
            <w:left w:val="none" w:sz="0" w:space="0" w:color="auto"/>
            <w:bottom w:val="none" w:sz="0" w:space="0" w:color="auto"/>
            <w:right w:val="none" w:sz="0" w:space="0" w:color="auto"/>
          </w:divBdr>
        </w:div>
        <w:div w:id="1253853771">
          <w:marLeft w:val="0"/>
          <w:marRight w:val="0"/>
          <w:marTop w:val="0"/>
          <w:marBottom w:val="0"/>
          <w:divBdr>
            <w:top w:val="none" w:sz="0" w:space="0" w:color="auto"/>
            <w:left w:val="none" w:sz="0" w:space="0" w:color="auto"/>
            <w:bottom w:val="none" w:sz="0" w:space="0" w:color="auto"/>
            <w:right w:val="none" w:sz="0" w:space="0" w:color="auto"/>
          </w:divBdr>
        </w:div>
        <w:div w:id="720207436">
          <w:marLeft w:val="0"/>
          <w:marRight w:val="0"/>
          <w:marTop w:val="0"/>
          <w:marBottom w:val="0"/>
          <w:divBdr>
            <w:top w:val="none" w:sz="0" w:space="0" w:color="auto"/>
            <w:left w:val="none" w:sz="0" w:space="0" w:color="auto"/>
            <w:bottom w:val="none" w:sz="0" w:space="0" w:color="auto"/>
            <w:right w:val="none" w:sz="0" w:space="0" w:color="auto"/>
          </w:divBdr>
        </w:div>
        <w:div w:id="1292205678">
          <w:marLeft w:val="0"/>
          <w:marRight w:val="0"/>
          <w:marTop w:val="0"/>
          <w:marBottom w:val="0"/>
          <w:divBdr>
            <w:top w:val="none" w:sz="0" w:space="0" w:color="auto"/>
            <w:left w:val="none" w:sz="0" w:space="0" w:color="auto"/>
            <w:bottom w:val="none" w:sz="0" w:space="0" w:color="auto"/>
            <w:right w:val="none" w:sz="0" w:space="0" w:color="auto"/>
          </w:divBdr>
        </w:div>
        <w:div w:id="19820928">
          <w:marLeft w:val="0"/>
          <w:marRight w:val="0"/>
          <w:marTop w:val="0"/>
          <w:marBottom w:val="0"/>
          <w:divBdr>
            <w:top w:val="none" w:sz="0" w:space="0" w:color="auto"/>
            <w:left w:val="none" w:sz="0" w:space="0" w:color="auto"/>
            <w:bottom w:val="none" w:sz="0" w:space="0" w:color="auto"/>
            <w:right w:val="none" w:sz="0" w:space="0" w:color="auto"/>
          </w:divBdr>
        </w:div>
        <w:div w:id="1654602027">
          <w:marLeft w:val="0"/>
          <w:marRight w:val="0"/>
          <w:marTop w:val="0"/>
          <w:marBottom w:val="0"/>
          <w:divBdr>
            <w:top w:val="none" w:sz="0" w:space="0" w:color="auto"/>
            <w:left w:val="none" w:sz="0" w:space="0" w:color="auto"/>
            <w:bottom w:val="none" w:sz="0" w:space="0" w:color="auto"/>
            <w:right w:val="none" w:sz="0" w:space="0" w:color="auto"/>
          </w:divBdr>
        </w:div>
        <w:div w:id="1283149124">
          <w:marLeft w:val="0"/>
          <w:marRight w:val="0"/>
          <w:marTop w:val="0"/>
          <w:marBottom w:val="0"/>
          <w:divBdr>
            <w:top w:val="none" w:sz="0" w:space="0" w:color="auto"/>
            <w:left w:val="none" w:sz="0" w:space="0" w:color="auto"/>
            <w:bottom w:val="none" w:sz="0" w:space="0" w:color="auto"/>
            <w:right w:val="none" w:sz="0" w:space="0" w:color="auto"/>
          </w:divBdr>
        </w:div>
        <w:div w:id="915553715">
          <w:marLeft w:val="0"/>
          <w:marRight w:val="0"/>
          <w:marTop w:val="0"/>
          <w:marBottom w:val="0"/>
          <w:divBdr>
            <w:top w:val="none" w:sz="0" w:space="0" w:color="auto"/>
            <w:left w:val="none" w:sz="0" w:space="0" w:color="auto"/>
            <w:bottom w:val="none" w:sz="0" w:space="0" w:color="auto"/>
            <w:right w:val="none" w:sz="0" w:space="0" w:color="auto"/>
          </w:divBdr>
        </w:div>
        <w:div w:id="692657036">
          <w:marLeft w:val="0"/>
          <w:marRight w:val="0"/>
          <w:marTop w:val="0"/>
          <w:marBottom w:val="0"/>
          <w:divBdr>
            <w:top w:val="none" w:sz="0" w:space="0" w:color="auto"/>
            <w:left w:val="none" w:sz="0" w:space="0" w:color="auto"/>
            <w:bottom w:val="none" w:sz="0" w:space="0" w:color="auto"/>
            <w:right w:val="none" w:sz="0" w:space="0" w:color="auto"/>
          </w:divBdr>
        </w:div>
        <w:div w:id="1654411721">
          <w:marLeft w:val="0"/>
          <w:marRight w:val="0"/>
          <w:marTop w:val="0"/>
          <w:marBottom w:val="0"/>
          <w:divBdr>
            <w:top w:val="none" w:sz="0" w:space="0" w:color="auto"/>
            <w:left w:val="none" w:sz="0" w:space="0" w:color="auto"/>
            <w:bottom w:val="none" w:sz="0" w:space="0" w:color="auto"/>
            <w:right w:val="none" w:sz="0" w:space="0" w:color="auto"/>
          </w:divBdr>
        </w:div>
        <w:div w:id="910849848">
          <w:marLeft w:val="0"/>
          <w:marRight w:val="0"/>
          <w:marTop w:val="0"/>
          <w:marBottom w:val="0"/>
          <w:divBdr>
            <w:top w:val="none" w:sz="0" w:space="0" w:color="auto"/>
            <w:left w:val="none" w:sz="0" w:space="0" w:color="auto"/>
            <w:bottom w:val="none" w:sz="0" w:space="0" w:color="auto"/>
            <w:right w:val="none" w:sz="0" w:space="0" w:color="auto"/>
          </w:divBdr>
        </w:div>
        <w:div w:id="974915366">
          <w:marLeft w:val="0"/>
          <w:marRight w:val="0"/>
          <w:marTop w:val="0"/>
          <w:marBottom w:val="0"/>
          <w:divBdr>
            <w:top w:val="none" w:sz="0" w:space="0" w:color="auto"/>
            <w:left w:val="none" w:sz="0" w:space="0" w:color="auto"/>
            <w:bottom w:val="none" w:sz="0" w:space="0" w:color="auto"/>
            <w:right w:val="none" w:sz="0" w:space="0" w:color="auto"/>
          </w:divBdr>
        </w:div>
        <w:div w:id="952175078">
          <w:marLeft w:val="0"/>
          <w:marRight w:val="0"/>
          <w:marTop w:val="0"/>
          <w:marBottom w:val="0"/>
          <w:divBdr>
            <w:top w:val="none" w:sz="0" w:space="0" w:color="auto"/>
            <w:left w:val="none" w:sz="0" w:space="0" w:color="auto"/>
            <w:bottom w:val="none" w:sz="0" w:space="0" w:color="auto"/>
            <w:right w:val="none" w:sz="0" w:space="0" w:color="auto"/>
          </w:divBdr>
        </w:div>
        <w:div w:id="948467177">
          <w:marLeft w:val="0"/>
          <w:marRight w:val="0"/>
          <w:marTop w:val="0"/>
          <w:marBottom w:val="0"/>
          <w:divBdr>
            <w:top w:val="none" w:sz="0" w:space="0" w:color="auto"/>
            <w:left w:val="none" w:sz="0" w:space="0" w:color="auto"/>
            <w:bottom w:val="none" w:sz="0" w:space="0" w:color="auto"/>
            <w:right w:val="none" w:sz="0" w:space="0" w:color="auto"/>
          </w:divBdr>
        </w:div>
        <w:div w:id="289631683">
          <w:marLeft w:val="0"/>
          <w:marRight w:val="0"/>
          <w:marTop w:val="0"/>
          <w:marBottom w:val="0"/>
          <w:divBdr>
            <w:top w:val="none" w:sz="0" w:space="0" w:color="auto"/>
            <w:left w:val="none" w:sz="0" w:space="0" w:color="auto"/>
            <w:bottom w:val="none" w:sz="0" w:space="0" w:color="auto"/>
            <w:right w:val="none" w:sz="0" w:space="0" w:color="auto"/>
          </w:divBdr>
        </w:div>
        <w:div w:id="1948853903">
          <w:marLeft w:val="0"/>
          <w:marRight w:val="0"/>
          <w:marTop w:val="0"/>
          <w:marBottom w:val="0"/>
          <w:divBdr>
            <w:top w:val="none" w:sz="0" w:space="0" w:color="auto"/>
            <w:left w:val="none" w:sz="0" w:space="0" w:color="auto"/>
            <w:bottom w:val="none" w:sz="0" w:space="0" w:color="auto"/>
            <w:right w:val="none" w:sz="0" w:space="0" w:color="auto"/>
          </w:divBdr>
        </w:div>
        <w:div w:id="1243486830">
          <w:marLeft w:val="0"/>
          <w:marRight w:val="0"/>
          <w:marTop w:val="0"/>
          <w:marBottom w:val="0"/>
          <w:divBdr>
            <w:top w:val="none" w:sz="0" w:space="0" w:color="auto"/>
            <w:left w:val="none" w:sz="0" w:space="0" w:color="auto"/>
            <w:bottom w:val="none" w:sz="0" w:space="0" w:color="auto"/>
            <w:right w:val="none" w:sz="0" w:space="0" w:color="auto"/>
          </w:divBdr>
        </w:div>
        <w:div w:id="198860517">
          <w:marLeft w:val="0"/>
          <w:marRight w:val="0"/>
          <w:marTop w:val="0"/>
          <w:marBottom w:val="0"/>
          <w:divBdr>
            <w:top w:val="none" w:sz="0" w:space="0" w:color="auto"/>
            <w:left w:val="none" w:sz="0" w:space="0" w:color="auto"/>
            <w:bottom w:val="none" w:sz="0" w:space="0" w:color="auto"/>
            <w:right w:val="none" w:sz="0" w:space="0" w:color="auto"/>
          </w:divBdr>
        </w:div>
        <w:div w:id="248317588">
          <w:marLeft w:val="0"/>
          <w:marRight w:val="0"/>
          <w:marTop w:val="0"/>
          <w:marBottom w:val="0"/>
          <w:divBdr>
            <w:top w:val="none" w:sz="0" w:space="0" w:color="auto"/>
            <w:left w:val="none" w:sz="0" w:space="0" w:color="auto"/>
            <w:bottom w:val="none" w:sz="0" w:space="0" w:color="auto"/>
            <w:right w:val="none" w:sz="0" w:space="0" w:color="auto"/>
          </w:divBdr>
        </w:div>
        <w:div w:id="1933855273">
          <w:marLeft w:val="0"/>
          <w:marRight w:val="0"/>
          <w:marTop w:val="0"/>
          <w:marBottom w:val="0"/>
          <w:divBdr>
            <w:top w:val="none" w:sz="0" w:space="0" w:color="auto"/>
            <w:left w:val="none" w:sz="0" w:space="0" w:color="auto"/>
            <w:bottom w:val="none" w:sz="0" w:space="0" w:color="auto"/>
            <w:right w:val="none" w:sz="0" w:space="0" w:color="auto"/>
          </w:divBdr>
        </w:div>
        <w:div w:id="440687884">
          <w:marLeft w:val="0"/>
          <w:marRight w:val="0"/>
          <w:marTop w:val="0"/>
          <w:marBottom w:val="0"/>
          <w:divBdr>
            <w:top w:val="none" w:sz="0" w:space="0" w:color="auto"/>
            <w:left w:val="none" w:sz="0" w:space="0" w:color="auto"/>
            <w:bottom w:val="none" w:sz="0" w:space="0" w:color="auto"/>
            <w:right w:val="none" w:sz="0" w:space="0" w:color="auto"/>
          </w:divBdr>
        </w:div>
        <w:div w:id="819732602">
          <w:marLeft w:val="0"/>
          <w:marRight w:val="0"/>
          <w:marTop w:val="0"/>
          <w:marBottom w:val="0"/>
          <w:divBdr>
            <w:top w:val="none" w:sz="0" w:space="0" w:color="auto"/>
            <w:left w:val="none" w:sz="0" w:space="0" w:color="auto"/>
            <w:bottom w:val="none" w:sz="0" w:space="0" w:color="auto"/>
            <w:right w:val="none" w:sz="0" w:space="0" w:color="auto"/>
          </w:divBdr>
        </w:div>
        <w:div w:id="86124917">
          <w:marLeft w:val="0"/>
          <w:marRight w:val="0"/>
          <w:marTop w:val="0"/>
          <w:marBottom w:val="0"/>
          <w:divBdr>
            <w:top w:val="none" w:sz="0" w:space="0" w:color="auto"/>
            <w:left w:val="none" w:sz="0" w:space="0" w:color="auto"/>
            <w:bottom w:val="none" w:sz="0" w:space="0" w:color="auto"/>
            <w:right w:val="none" w:sz="0" w:space="0" w:color="auto"/>
          </w:divBdr>
        </w:div>
        <w:div w:id="1983267185">
          <w:marLeft w:val="0"/>
          <w:marRight w:val="0"/>
          <w:marTop w:val="0"/>
          <w:marBottom w:val="0"/>
          <w:divBdr>
            <w:top w:val="none" w:sz="0" w:space="0" w:color="auto"/>
            <w:left w:val="none" w:sz="0" w:space="0" w:color="auto"/>
            <w:bottom w:val="none" w:sz="0" w:space="0" w:color="auto"/>
            <w:right w:val="none" w:sz="0" w:space="0" w:color="auto"/>
          </w:divBdr>
        </w:div>
        <w:div w:id="940793111">
          <w:marLeft w:val="0"/>
          <w:marRight w:val="0"/>
          <w:marTop w:val="0"/>
          <w:marBottom w:val="0"/>
          <w:divBdr>
            <w:top w:val="none" w:sz="0" w:space="0" w:color="auto"/>
            <w:left w:val="none" w:sz="0" w:space="0" w:color="auto"/>
            <w:bottom w:val="none" w:sz="0" w:space="0" w:color="auto"/>
            <w:right w:val="none" w:sz="0" w:space="0" w:color="auto"/>
          </w:divBdr>
        </w:div>
        <w:div w:id="1380278734">
          <w:marLeft w:val="0"/>
          <w:marRight w:val="0"/>
          <w:marTop w:val="0"/>
          <w:marBottom w:val="0"/>
          <w:divBdr>
            <w:top w:val="none" w:sz="0" w:space="0" w:color="auto"/>
            <w:left w:val="none" w:sz="0" w:space="0" w:color="auto"/>
            <w:bottom w:val="none" w:sz="0" w:space="0" w:color="auto"/>
            <w:right w:val="none" w:sz="0" w:space="0" w:color="auto"/>
          </w:divBdr>
        </w:div>
        <w:div w:id="918445041">
          <w:marLeft w:val="0"/>
          <w:marRight w:val="0"/>
          <w:marTop w:val="0"/>
          <w:marBottom w:val="0"/>
          <w:divBdr>
            <w:top w:val="none" w:sz="0" w:space="0" w:color="auto"/>
            <w:left w:val="none" w:sz="0" w:space="0" w:color="auto"/>
            <w:bottom w:val="none" w:sz="0" w:space="0" w:color="auto"/>
            <w:right w:val="none" w:sz="0" w:space="0" w:color="auto"/>
          </w:divBdr>
        </w:div>
        <w:div w:id="1581596284">
          <w:marLeft w:val="0"/>
          <w:marRight w:val="0"/>
          <w:marTop w:val="0"/>
          <w:marBottom w:val="0"/>
          <w:divBdr>
            <w:top w:val="none" w:sz="0" w:space="0" w:color="auto"/>
            <w:left w:val="none" w:sz="0" w:space="0" w:color="auto"/>
            <w:bottom w:val="none" w:sz="0" w:space="0" w:color="auto"/>
            <w:right w:val="none" w:sz="0" w:space="0" w:color="auto"/>
          </w:divBdr>
        </w:div>
        <w:div w:id="705448000">
          <w:marLeft w:val="0"/>
          <w:marRight w:val="0"/>
          <w:marTop w:val="0"/>
          <w:marBottom w:val="0"/>
          <w:divBdr>
            <w:top w:val="none" w:sz="0" w:space="0" w:color="auto"/>
            <w:left w:val="none" w:sz="0" w:space="0" w:color="auto"/>
            <w:bottom w:val="none" w:sz="0" w:space="0" w:color="auto"/>
            <w:right w:val="none" w:sz="0" w:space="0" w:color="auto"/>
          </w:divBdr>
        </w:div>
        <w:div w:id="1785806118">
          <w:marLeft w:val="0"/>
          <w:marRight w:val="0"/>
          <w:marTop w:val="0"/>
          <w:marBottom w:val="0"/>
          <w:divBdr>
            <w:top w:val="none" w:sz="0" w:space="0" w:color="auto"/>
            <w:left w:val="none" w:sz="0" w:space="0" w:color="auto"/>
            <w:bottom w:val="none" w:sz="0" w:space="0" w:color="auto"/>
            <w:right w:val="none" w:sz="0" w:space="0" w:color="auto"/>
          </w:divBdr>
        </w:div>
        <w:div w:id="1876575685">
          <w:marLeft w:val="0"/>
          <w:marRight w:val="0"/>
          <w:marTop w:val="0"/>
          <w:marBottom w:val="0"/>
          <w:divBdr>
            <w:top w:val="none" w:sz="0" w:space="0" w:color="auto"/>
            <w:left w:val="none" w:sz="0" w:space="0" w:color="auto"/>
            <w:bottom w:val="none" w:sz="0" w:space="0" w:color="auto"/>
            <w:right w:val="none" w:sz="0" w:space="0" w:color="auto"/>
          </w:divBdr>
        </w:div>
        <w:div w:id="1131358509">
          <w:marLeft w:val="0"/>
          <w:marRight w:val="0"/>
          <w:marTop w:val="0"/>
          <w:marBottom w:val="0"/>
          <w:divBdr>
            <w:top w:val="none" w:sz="0" w:space="0" w:color="auto"/>
            <w:left w:val="none" w:sz="0" w:space="0" w:color="auto"/>
            <w:bottom w:val="none" w:sz="0" w:space="0" w:color="auto"/>
            <w:right w:val="none" w:sz="0" w:space="0" w:color="auto"/>
          </w:divBdr>
        </w:div>
        <w:div w:id="990447694">
          <w:marLeft w:val="0"/>
          <w:marRight w:val="0"/>
          <w:marTop w:val="0"/>
          <w:marBottom w:val="0"/>
          <w:divBdr>
            <w:top w:val="none" w:sz="0" w:space="0" w:color="auto"/>
            <w:left w:val="none" w:sz="0" w:space="0" w:color="auto"/>
            <w:bottom w:val="none" w:sz="0" w:space="0" w:color="auto"/>
            <w:right w:val="none" w:sz="0" w:space="0" w:color="auto"/>
          </w:divBdr>
        </w:div>
        <w:div w:id="399332630">
          <w:marLeft w:val="0"/>
          <w:marRight w:val="0"/>
          <w:marTop w:val="0"/>
          <w:marBottom w:val="0"/>
          <w:divBdr>
            <w:top w:val="none" w:sz="0" w:space="0" w:color="auto"/>
            <w:left w:val="none" w:sz="0" w:space="0" w:color="auto"/>
            <w:bottom w:val="none" w:sz="0" w:space="0" w:color="auto"/>
            <w:right w:val="none" w:sz="0" w:space="0" w:color="auto"/>
          </w:divBdr>
        </w:div>
        <w:div w:id="1116489699">
          <w:marLeft w:val="0"/>
          <w:marRight w:val="0"/>
          <w:marTop w:val="0"/>
          <w:marBottom w:val="0"/>
          <w:divBdr>
            <w:top w:val="none" w:sz="0" w:space="0" w:color="auto"/>
            <w:left w:val="none" w:sz="0" w:space="0" w:color="auto"/>
            <w:bottom w:val="none" w:sz="0" w:space="0" w:color="auto"/>
            <w:right w:val="none" w:sz="0" w:space="0" w:color="auto"/>
          </w:divBdr>
        </w:div>
        <w:div w:id="1992758558">
          <w:marLeft w:val="0"/>
          <w:marRight w:val="0"/>
          <w:marTop w:val="0"/>
          <w:marBottom w:val="0"/>
          <w:divBdr>
            <w:top w:val="none" w:sz="0" w:space="0" w:color="auto"/>
            <w:left w:val="none" w:sz="0" w:space="0" w:color="auto"/>
            <w:bottom w:val="none" w:sz="0" w:space="0" w:color="auto"/>
            <w:right w:val="none" w:sz="0" w:space="0" w:color="auto"/>
          </w:divBdr>
        </w:div>
        <w:div w:id="921062979">
          <w:marLeft w:val="0"/>
          <w:marRight w:val="0"/>
          <w:marTop w:val="0"/>
          <w:marBottom w:val="0"/>
          <w:divBdr>
            <w:top w:val="none" w:sz="0" w:space="0" w:color="auto"/>
            <w:left w:val="none" w:sz="0" w:space="0" w:color="auto"/>
            <w:bottom w:val="none" w:sz="0" w:space="0" w:color="auto"/>
            <w:right w:val="none" w:sz="0" w:space="0" w:color="auto"/>
          </w:divBdr>
        </w:div>
        <w:div w:id="10031646">
          <w:marLeft w:val="0"/>
          <w:marRight w:val="0"/>
          <w:marTop w:val="0"/>
          <w:marBottom w:val="0"/>
          <w:divBdr>
            <w:top w:val="none" w:sz="0" w:space="0" w:color="auto"/>
            <w:left w:val="none" w:sz="0" w:space="0" w:color="auto"/>
            <w:bottom w:val="none" w:sz="0" w:space="0" w:color="auto"/>
            <w:right w:val="none" w:sz="0" w:space="0" w:color="auto"/>
          </w:divBdr>
        </w:div>
        <w:div w:id="78258905">
          <w:marLeft w:val="0"/>
          <w:marRight w:val="0"/>
          <w:marTop w:val="0"/>
          <w:marBottom w:val="0"/>
          <w:divBdr>
            <w:top w:val="none" w:sz="0" w:space="0" w:color="auto"/>
            <w:left w:val="none" w:sz="0" w:space="0" w:color="auto"/>
            <w:bottom w:val="none" w:sz="0" w:space="0" w:color="auto"/>
            <w:right w:val="none" w:sz="0" w:space="0" w:color="auto"/>
          </w:divBdr>
        </w:div>
        <w:div w:id="587081351">
          <w:marLeft w:val="0"/>
          <w:marRight w:val="0"/>
          <w:marTop w:val="0"/>
          <w:marBottom w:val="0"/>
          <w:divBdr>
            <w:top w:val="none" w:sz="0" w:space="0" w:color="auto"/>
            <w:left w:val="none" w:sz="0" w:space="0" w:color="auto"/>
            <w:bottom w:val="none" w:sz="0" w:space="0" w:color="auto"/>
            <w:right w:val="none" w:sz="0" w:space="0" w:color="auto"/>
          </w:divBdr>
        </w:div>
        <w:div w:id="437414380">
          <w:marLeft w:val="0"/>
          <w:marRight w:val="0"/>
          <w:marTop w:val="0"/>
          <w:marBottom w:val="0"/>
          <w:divBdr>
            <w:top w:val="none" w:sz="0" w:space="0" w:color="auto"/>
            <w:left w:val="none" w:sz="0" w:space="0" w:color="auto"/>
            <w:bottom w:val="none" w:sz="0" w:space="0" w:color="auto"/>
            <w:right w:val="none" w:sz="0" w:space="0" w:color="auto"/>
          </w:divBdr>
        </w:div>
        <w:div w:id="652442275">
          <w:marLeft w:val="0"/>
          <w:marRight w:val="0"/>
          <w:marTop w:val="0"/>
          <w:marBottom w:val="0"/>
          <w:divBdr>
            <w:top w:val="none" w:sz="0" w:space="0" w:color="auto"/>
            <w:left w:val="none" w:sz="0" w:space="0" w:color="auto"/>
            <w:bottom w:val="none" w:sz="0" w:space="0" w:color="auto"/>
            <w:right w:val="none" w:sz="0" w:space="0" w:color="auto"/>
          </w:divBdr>
        </w:div>
        <w:div w:id="2047481226">
          <w:marLeft w:val="0"/>
          <w:marRight w:val="0"/>
          <w:marTop w:val="0"/>
          <w:marBottom w:val="0"/>
          <w:divBdr>
            <w:top w:val="none" w:sz="0" w:space="0" w:color="auto"/>
            <w:left w:val="none" w:sz="0" w:space="0" w:color="auto"/>
            <w:bottom w:val="none" w:sz="0" w:space="0" w:color="auto"/>
            <w:right w:val="none" w:sz="0" w:space="0" w:color="auto"/>
          </w:divBdr>
        </w:div>
        <w:div w:id="1559048819">
          <w:marLeft w:val="0"/>
          <w:marRight w:val="0"/>
          <w:marTop w:val="0"/>
          <w:marBottom w:val="0"/>
          <w:divBdr>
            <w:top w:val="none" w:sz="0" w:space="0" w:color="auto"/>
            <w:left w:val="none" w:sz="0" w:space="0" w:color="auto"/>
            <w:bottom w:val="none" w:sz="0" w:space="0" w:color="auto"/>
            <w:right w:val="none" w:sz="0" w:space="0" w:color="auto"/>
          </w:divBdr>
        </w:div>
        <w:div w:id="253786752">
          <w:marLeft w:val="0"/>
          <w:marRight w:val="0"/>
          <w:marTop w:val="0"/>
          <w:marBottom w:val="0"/>
          <w:divBdr>
            <w:top w:val="none" w:sz="0" w:space="0" w:color="auto"/>
            <w:left w:val="none" w:sz="0" w:space="0" w:color="auto"/>
            <w:bottom w:val="none" w:sz="0" w:space="0" w:color="auto"/>
            <w:right w:val="none" w:sz="0" w:space="0" w:color="auto"/>
          </w:divBdr>
        </w:div>
        <w:div w:id="618756890">
          <w:marLeft w:val="0"/>
          <w:marRight w:val="0"/>
          <w:marTop w:val="0"/>
          <w:marBottom w:val="0"/>
          <w:divBdr>
            <w:top w:val="none" w:sz="0" w:space="0" w:color="auto"/>
            <w:left w:val="none" w:sz="0" w:space="0" w:color="auto"/>
            <w:bottom w:val="none" w:sz="0" w:space="0" w:color="auto"/>
            <w:right w:val="none" w:sz="0" w:space="0" w:color="auto"/>
          </w:divBdr>
        </w:div>
        <w:div w:id="811290771">
          <w:marLeft w:val="0"/>
          <w:marRight w:val="0"/>
          <w:marTop w:val="0"/>
          <w:marBottom w:val="0"/>
          <w:divBdr>
            <w:top w:val="none" w:sz="0" w:space="0" w:color="auto"/>
            <w:left w:val="none" w:sz="0" w:space="0" w:color="auto"/>
            <w:bottom w:val="none" w:sz="0" w:space="0" w:color="auto"/>
            <w:right w:val="none" w:sz="0" w:space="0" w:color="auto"/>
          </w:divBdr>
        </w:div>
        <w:div w:id="1148134669">
          <w:marLeft w:val="0"/>
          <w:marRight w:val="0"/>
          <w:marTop w:val="0"/>
          <w:marBottom w:val="0"/>
          <w:divBdr>
            <w:top w:val="none" w:sz="0" w:space="0" w:color="auto"/>
            <w:left w:val="none" w:sz="0" w:space="0" w:color="auto"/>
            <w:bottom w:val="none" w:sz="0" w:space="0" w:color="auto"/>
            <w:right w:val="none" w:sz="0" w:space="0" w:color="auto"/>
          </w:divBdr>
        </w:div>
        <w:div w:id="80108937">
          <w:marLeft w:val="0"/>
          <w:marRight w:val="0"/>
          <w:marTop w:val="0"/>
          <w:marBottom w:val="0"/>
          <w:divBdr>
            <w:top w:val="none" w:sz="0" w:space="0" w:color="auto"/>
            <w:left w:val="none" w:sz="0" w:space="0" w:color="auto"/>
            <w:bottom w:val="none" w:sz="0" w:space="0" w:color="auto"/>
            <w:right w:val="none" w:sz="0" w:space="0" w:color="auto"/>
          </w:divBdr>
        </w:div>
        <w:div w:id="1912156728">
          <w:marLeft w:val="0"/>
          <w:marRight w:val="0"/>
          <w:marTop w:val="0"/>
          <w:marBottom w:val="0"/>
          <w:divBdr>
            <w:top w:val="none" w:sz="0" w:space="0" w:color="auto"/>
            <w:left w:val="none" w:sz="0" w:space="0" w:color="auto"/>
            <w:bottom w:val="none" w:sz="0" w:space="0" w:color="auto"/>
            <w:right w:val="none" w:sz="0" w:space="0" w:color="auto"/>
          </w:divBdr>
        </w:div>
        <w:div w:id="559755977">
          <w:marLeft w:val="0"/>
          <w:marRight w:val="0"/>
          <w:marTop w:val="0"/>
          <w:marBottom w:val="0"/>
          <w:divBdr>
            <w:top w:val="none" w:sz="0" w:space="0" w:color="auto"/>
            <w:left w:val="none" w:sz="0" w:space="0" w:color="auto"/>
            <w:bottom w:val="none" w:sz="0" w:space="0" w:color="auto"/>
            <w:right w:val="none" w:sz="0" w:space="0" w:color="auto"/>
          </w:divBdr>
        </w:div>
        <w:div w:id="269120545">
          <w:marLeft w:val="0"/>
          <w:marRight w:val="0"/>
          <w:marTop w:val="0"/>
          <w:marBottom w:val="0"/>
          <w:divBdr>
            <w:top w:val="none" w:sz="0" w:space="0" w:color="auto"/>
            <w:left w:val="none" w:sz="0" w:space="0" w:color="auto"/>
            <w:bottom w:val="none" w:sz="0" w:space="0" w:color="auto"/>
            <w:right w:val="none" w:sz="0" w:space="0" w:color="auto"/>
          </w:divBdr>
        </w:div>
        <w:div w:id="1266693935">
          <w:marLeft w:val="0"/>
          <w:marRight w:val="0"/>
          <w:marTop w:val="0"/>
          <w:marBottom w:val="0"/>
          <w:divBdr>
            <w:top w:val="none" w:sz="0" w:space="0" w:color="auto"/>
            <w:left w:val="none" w:sz="0" w:space="0" w:color="auto"/>
            <w:bottom w:val="none" w:sz="0" w:space="0" w:color="auto"/>
            <w:right w:val="none" w:sz="0" w:space="0" w:color="auto"/>
          </w:divBdr>
        </w:div>
        <w:div w:id="232395844">
          <w:marLeft w:val="0"/>
          <w:marRight w:val="0"/>
          <w:marTop w:val="0"/>
          <w:marBottom w:val="0"/>
          <w:divBdr>
            <w:top w:val="none" w:sz="0" w:space="0" w:color="auto"/>
            <w:left w:val="none" w:sz="0" w:space="0" w:color="auto"/>
            <w:bottom w:val="none" w:sz="0" w:space="0" w:color="auto"/>
            <w:right w:val="none" w:sz="0" w:space="0" w:color="auto"/>
          </w:divBdr>
        </w:div>
        <w:div w:id="1995379381">
          <w:marLeft w:val="0"/>
          <w:marRight w:val="0"/>
          <w:marTop w:val="0"/>
          <w:marBottom w:val="0"/>
          <w:divBdr>
            <w:top w:val="none" w:sz="0" w:space="0" w:color="auto"/>
            <w:left w:val="none" w:sz="0" w:space="0" w:color="auto"/>
            <w:bottom w:val="none" w:sz="0" w:space="0" w:color="auto"/>
            <w:right w:val="none" w:sz="0" w:space="0" w:color="auto"/>
          </w:divBdr>
        </w:div>
        <w:div w:id="951857539">
          <w:marLeft w:val="0"/>
          <w:marRight w:val="0"/>
          <w:marTop w:val="0"/>
          <w:marBottom w:val="0"/>
          <w:divBdr>
            <w:top w:val="none" w:sz="0" w:space="0" w:color="auto"/>
            <w:left w:val="none" w:sz="0" w:space="0" w:color="auto"/>
            <w:bottom w:val="none" w:sz="0" w:space="0" w:color="auto"/>
            <w:right w:val="none" w:sz="0" w:space="0" w:color="auto"/>
          </w:divBdr>
        </w:div>
        <w:div w:id="239750581">
          <w:marLeft w:val="0"/>
          <w:marRight w:val="0"/>
          <w:marTop w:val="0"/>
          <w:marBottom w:val="0"/>
          <w:divBdr>
            <w:top w:val="none" w:sz="0" w:space="0" w:color="auto"/>
            <w:left w:val="none" w:sz="0" w:space="0" w:color="auto"/>
            <w:bottom w:val="none" w:sz="0" w:space="0" w:color="auto"/>
            <w:right w:val="none" w:sz="0" w:space="0" w:color="auto"/>
          </w:divBdr>
        </w:div>
        <w:div w:id="977683559">
          <w:marLeft w:val="0"/>
          <w:marRight w:val="0"/>
          <w:marTop w:val="0"/>
          <w:marBottom w:val="0"/>
          <w:divBdr>
            <w:top w:val="none" w:sz="0" w:space="0" w:color="auto"/>
            <w:left w:val="none" w:sz="0" w:space="0" w:color="auto"/>
            <w:bottom w:val="none" w:sz="0" w:space="0" w:color="auto"/>
            <w:right w:val="none" w:sz="0" w:space="0" w:color="auto"/>
          </w:divBdr>
        </w:div>
        <w:div w:id="853955030">
          <w:marLeft w:val="0"/>
          <w:marRight w:val="0"/>
          <w:marTop w:val="0"/>
          <w:marBottom w:val="0"/>
          <w:divBdr>
            <w:top w:val="none" w:sz="0" w:space="0" w:color="auto"/>
            <w:left w:val="none" w:sz="0" w:space="0" w:color="auto"/>
            <w:bottom w:val="none" w:sz="0" w:space="0" w:color="auto"/>
            <w:right w:val="none" w:sz="0" w:space="0" w:color="auto"/>
          </w:divBdr>
        </w:div>
      </w:divsChild>
    </w:div>
    <w:div w:id="102389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making-a-flexible-working-request" TargetMode="External"/><Relationship Id="rId18" Type="http://schemas.openxmlformats.org/officeDocument/2006/relationships/hyperlink" Target="https://www.cipd.co.uk/knowledge/fundamentals/emp-law/discipline/questions" TargetMode="External"/><Relationship Id="rId26" Type="http://schemas.openxmlformats.org/officeDocument/2006/relationships/hyperlink" Target="https://www.legislation.gov.uk/ukpga/1996/18/section/98" TargetMode="External"/><Relationship Id="rId39" Type="http://schemas.openxmlformats.org/officeDocument/2006/relationships/hyperlink" Target="https://www.hse.gov.uk/workers/employers.htm" TargetMode="External"/><Relationship Id="rId21" Type="http://schemas.openxmlformats.org/officeDocument/2006/relationships/hyperlink" Target="https://www.citizensadvice.org.uk/work/problems-at-work/employment-tribunals-from-29-july-2013/employment-tribunals-valuing-a-claim/compensatory-award/calculating-the-compensatory-award/employment-tribunals-is-your-compensatory-award-below-the-cap-and-will-any-welfare-benefits-you-ve-received-reduce-it/" TargetMode="External"/><Relationship Id="rId34" Type="http://schemas.openxmlformats.org/officeDocument/2006/relationships/hyperlink" Target="https://www.gov.uk/dismiss-staff" TargetMode="External"/><Relationship Id="rId42" Type="http://schemas.openxmlformats.org/officeDocument/2006/relationships/hyperlink" Target="https://ico.org.uk/for-organisations/guide-to-data-protection/guide-to-the-general-data-protection-regulation-gdpr/personal-data-breaches/" TargetMode="External"/><Relationship Id="rId47" Type="http://schemas.openxmlformats.org/officeDocument/2006/relationships/hyperlink" Target="https://www.personneltoday.com/hr/dismissal-polkeys-place-in-the-modern-world/" TargetMode="External"/><Relationship Id="rId50" Type="http://schemas.openxmlformats.org/officeDocument/2006/relationships/hyperlink" Target="https://www.pureemploymentlaw.co.uk/tribunal-remedies-reinstatement-and-re-engagement/" TargetMode="External"/><Relationship Id="rId55" Type="http://schemas.openxmlformats.org/officeDocument/2006/relationships/hyperlink" Target="https://www.legislation.gov.uk/uksi/1998/1833/regulation/12/made"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semine.com/judgement/uk/5a8ff79060d03e7f57eaf424" TargetMode="External"/><Relationship Id="rId20" Type="http://schemas.openxmlformats.org/officeDocument/2006/relationships/hyperlink" Target="https://www.citizensadvice.org.uk/work/problems-at-work/employment-tribunals-from-29-july-2013/employment-tribunals-valuing-a-claim/compensatory-award/employment-tribunals-how-to-work-out-your-compensatory-award-if-you-are-claiming-unfair-dismissal/" TargetMode="External"/><Relationship Id="rId29" Type="http://schemas.openxmlformats.org/officeDocument/2006/relationships/hyperlink" Target="https://www.legislation.gov.uk/ukpga/1996/18/part/8A" TargetMode="External"/><Relationship Id="rId41" Type="http://schemas.openxmlformats.org/officeDocument/2006/relationships/hyperlink" Target="https://www.thomasmansfield.com/uplift-to-awards-under-the-acas-code/" TargetMode="External"/><Relationship Id="rId54" Type="http://schemas.openxmlformats.org/officeDocument/2006/relationships/hyperlink" Target="https://uk.practicallaw.thomsonreuters.com/0-511-2733?contextData=(sc.Default)&amp;transitionType=Default&amp;firstPage=true"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dismissals/notice-periods-and-pay" TargetMode="External"/><Relationship Id="rId24" Type="http://schemas.openxmlformats.org/officeDocument/2006/relationships/hyperlink" Target="https://assets.publishing.service.gov.uk/government/uploads/system/uploads/attachment_data/file/961374/et3-eng.pdf" TargetMode="External"/><Relationship Id="rId32" Type="http://schemas.openxmlformats.org/officeDocument/2006/relationships/hyperlink" Target="https://www.gov.uk/government/publications/the-right-to-request-flexible-working-form" TargetMode="External"/><Relationship Id="rId37" Type="http://schemas.openxmlformats.org/officeDocument/2006/relationships/hyperlink" Target="https://assets.publishing.service.gov.uk/government/uploads/system/uploads/attachment_data/file/950246/t423-eng.pdf" TargetMode="External"/><Relationship Id="rId40" Type="http://schemas.openxmlformats.org/officeDocument/2006/relationships/hyperlink" Target="https://www.legislation.gov.uk/ukpga/1974/37" TargetMode="External"/><Relationship Id="rId45" Type="http://schemas.openxmlformats.org/officeDocument/2006/relationships/hyperlink" Target="https://ico.org.uk/for-organisations/guide-to-data-protection/guide-to-the-general-data-protection-regulation-gdpr/principles/" TargetMode="External"/><Relationship Id="rId53" Type="http://schemas.openxmlformats.org/officeDocument/2006/relationships/hyperlink" Target="https://www.tribunalclaim.com/contributory-fault/"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acas.org.uk/sites/default/files/2021-03/discipline-and-grievances-at-work-the-acas-guide.pdf" TargetMode="External"/><Relationship Id="rId23" Type="http://schemas.openxmlformats.org/officeDocument/2006/relationships/hyperlink" Target="https://www.dentons.com/en/insights/newsletters/2016/may/31/uk-employment-law-roundup/uk-employment-law-round-up-may-2016/can-i-have-my-job-back" TargetMode="External"/><Relationship Id="rId28" Type="http://schemas.openxmlformats.org/officeDocument/2006/relationships/hyperlink" Target="https://www.legislation.gov.uk/ukpga/1996/18/section/103A" TargetMode="External"/><Relationship Id="rId36" Type="http://schemas.openxmlformats.org/officeDocument/2006/relationships/hyperlink" Target="https://www.gov.uk/your-employment-contract-how-it-can-be-changed/making-changes" TargetMode="External"/><Relationship Id="rId49" Type="http://schemas.openxmlformats.org/officeDocument/2006/relationships/hyperlink" Target="https://www.personneltoday.com/hr/why-employers-need-to-understand-associative-discrimination/" TargetMode="External"/><Relationship Id="rId57" Type="http://schemas.openxmlformats.org/officeDocument/2006/relationships/header" Target="header1.xml"/><Relationship Id="rId61" Type="http://schemas.openxmlformats.org/officeDocument/2006/relationships/header" Target="header3.xml"/><Relationship Id="rId10" Type="http://schemas.openxmlformats.org/officeDocument/2006/relationships/hyperlink" Target="https://www.acas.org.uk/appealing-a-disciplinary-or-grievance-outcome" TargetMode="External"/><Relationship Id="rId19" Type="http://schemas.openxmlformats.org/officeDocument/2006/relationships/hyperlink" Target="https://www.cipd.co.uk/knowledge/fundamentals/emp-law/about/statutory-rates" TargetMode="External"/><Relationship Id="rId31" Type="http://schemas.openxmlformats.org/officeDocument/2006/relationships/hyperlink" Target="https://employmentlawguide.uk/2020/08/24/working-time-regulations/" TargetMode="External"/><Relationship Id="rId44" Type="http://schemas.openxmlformats.org/officeDocument/2006/relationships/hyperlink" Target="https://ico.org.uk/about-the-ico/our-information/safeguards-policy/" TargetMode="External"/><Relationship Id="rId52" Type="http://schemas.openxmlformats.org/officeDocument/2006/relationships/hyperlink" Target="https://www.rradar.com/post/reinstatement-after-an-employment-tribunal-decision"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cas.org.uk/investigations-for-discipline-and-grievance-step-by-step" TargetMode="External"/><Relationship Id="rId14" Type="http://schemas.openxmlformats.org/officeDocument/2006/relationships/hyperlink" Target="https://www.acas.org.uk/acas-code-of-practice-on-flexible-working-requests/html" TargetMode="External"/><Relationship Id="rId22" Type="http://schemas.openxmlformats.org/officeDocument/2006/relationships/hyperlink" Target="https://assets.publishing.service.gov.uk/government/uploads/system/uploads/attachment_data/file/415175/bis-15-200-whistleblowing-guidance-for-employers-and-code-of-practice.pdf" TargetMode="External"/><Relationship Id="rId27" Type="http://schemas.openxmlformats.org/officeDocument/2006/relationships/hyperlink" Target="https://www.legislation.gov.uk/ukpga/1996/18/section/100" TargetMode="External"/><Relationship Id="rId30" Type="http://schemas.openxmlformats.org/officeDocument/2006/relationships/hyperlink" Target="https://www.equalityhumanrights.com/en/legal-casework/coleman-case" TargetMode="External"/><Relationship Id="rId35" Type="http://schemas.openxmlformats.org/officeDocument/2006/relationships/hyperlink" Target="https://www.gov.uk/flexible-working/types-of-flexible-working" TargetMode="External"/><Relationship Id="rId43" Type="http://schemas.openxmlformats.org/officeDocument/2006/relationships/hyperlink" Target="https://ico.org.uk/global/data-protection-and-coronavirus-information-hub/coronavirus-recovery-data-protection-advice-for-organisations/maintaining-records-of-staff-customers-and-visitors-for-contact-tracing-purposes/" TargetMode="External"/><Relationship Id="rId48" Type="http://schemas.openxmlformats.org/officeDocument/2006/relationships/hyperlink" Target="https://www.personneltoday.com/hr/british-home-stores-v-burchell-40-years-on/" TargetMode="External"/><Relationship Id="rId56" Type="http://schemas.openxmlformats.org/officeDocument/2006/relationships/hyperlink" Target="https://www.legislation.gov.uk/ukpga/1992/52/section/207A" TargetMode="External"/><Relationship Id="rId64" Type="http://schemas.openxmlformats.org/officeDocument/2006/relationships/theme" Target="theme/theme1.xml"/><Relationship Id="rId8" Type="http://schemas.openxmlformats.org/officeDocument/2006/relationships/hyperlink" Target="https://www.acas.org.uk/acas-code-of-practice-for-disciplinary-and-grievance-procedures/html" TargetMode="External"/><Relationship Id="rId51" Type="http://schemas.openxmlformats.org/officeDocument/2006/relationships/hyperlink" Target="https://uk.practicallaw.thomsonreuters.com/0-511-2733?contextData=(sc.Default)&amp;transitionType=Default&amp;firstPage=true" TargetMode="External"/><Relationship Id="rId3" Type="http://schemas.openxmlformats.org/officeDocument/2006/relationships/styles" Target="styles.xml"/><Relationship Id="rId12" Type="http://schemas.openxmlformats.org/officeDocument/2006/relationships/hyperlink" Target="https://www.acas.org.uk/grievance-procedure-step-by-step/step-5-deciding-the-outcome" TargetMode="External"/><Relationship Id="rId17" Type="http://schemas.openxmlformats.org/officeDocument/2006/relationships/hyperlink" Target="https://www.cipd.co.uk/knowledge/fundamentals/emp-law/tribunals/factsheet" TargetMode="External"/><Relationship Id="rId25" Type="http://schemas.openxmlformats.org/officeDocument/2006/relationships/hyperlink" Target="https://www.legislation.gov.uk/ukpga/1996/18/section/86" TargetMode="External"/><Relationship Id="rId33" Type="http://schemas.openxmlformats.org/officeDocument/2006/relationships/hyperlink" Target="https://www.gov.uk/being-taken-to-employment-tribunal-by-employee" TargetMode="External"/><Relationship Id="rId38" Type="http://schemas.openxmlformats.org/officeDocument/2006/relationships/hyperlink" Target="https://www.hse.gov.uk/simple-health-safety/law/health-safety-law.htm" TargetMode="External"/><Relationship Id="rId46" Type="http://schemas.openxmlformats.org/officeDocument/2006/relationships/hyperlink" Target="https://www.weightmans.com/insights/supreme-court-judgment-reminds-employers-of-the-risk-of-reinstatement-orders/"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A7CF4D-CD8B-4C74-9CBF-F37A81448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2290</TotalTime>
  <Pages>23</Pages>
  <Words>6548</Words>
  <Characters>37327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Employment Law</vt:lpstr>
    </vt:vector>
  </TitlesOfParts>
  <Company>South Wales Police</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Law</dc:title>
  <dc:subject>aDVICE FOR BIG BUSES LIMITED</dc:subject>
  <dc:creator>Green,Sonia swp56877</dc:creator>
  <cp:keywords/>
  <dc:description/>
  <cp:lastModifiedBy>Green,Sonia swp56877</cp:lastModifiedBy>
  <cp:revision>42</cp:revision>
  <dcterms:created xsi:type="dcterms:W3CDTF">2021-04-21T19:45:00Z</dcterms:created>
  <dcterms:modified xsi:type="dcterms:W3CDTF">2021-05-09T20:49:00Z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25157abf-4ce6-49f3-88c1-299e5c8ee0e2</vt:lpwstr>
  </property>
  <property fmtid="{D5CDD505-2E9C-101B-9397-08002B2CF9AE}" pid="3" name="Classification">
    <vt:lpwstr>OFFICIAL</vt:lpwstr>
  </property>
  <property fmtid="{D5CDD505-2E9C-101B-9397-08002B2CF9AE}" pid="4" name="Visibility">
    <vt:lpwstr>NOT VISIBLE</vt:lpwstr>
  </property>
</Properties>
</file>