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16du="http://schemas.microsoft.com/office/word/2023/wordml/word16du" mc:Ignorable="w14 w15 wp14 w16se w16cid w16 w16cex w16sdtdh w16sdtfl">
  <w:body>
    <w:p xmlns:wp14="http://schemas.microsoft.com/office/word/2010/wordml" w:rsidP="4C5F5FC9" wp14:paraId="5E5787A5" wp14:textId="69197522">
      <w:pPr>
        <w:pStyle w:val="Normal"/>
        <w:spacing w:line="360" w:lineRule="auto"/>
      </w:pPr>
      <w:r w:rsidR="2158ED60">
        <w:drawing>
          <wp:inline xmlns:wp14="http://schemas.microsoft.com/office/word/2010/wordprocessingDrawing" wp14:editId="4F806C97" wp14:anchorId="7059C151">
            <wp:extent cx="2962275" cy="1314173"/>
            <wp:effectExtent l="0" t="0" r="0" b="0"/>
            <wp:docPr id="8592240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9224063" name="Picture 859224063"/>
                    <pic:cNvPicPr/>
                  </pic:nvPicPr>
                  <pic:blipFill>
                    <a:blip xmlns:r="http://schemas.openxmlformats.org/officeDocument/2006/relationships" r:embed="rId982458560">
                      <a:extLst>
                        <a:ext uri="{28A0092B-C50C-407E-A947-70E740481C1C}">
                          <a14:useLocalDpi xmlns:a14="http://schemas.microsoft.com/office/drawing/2010/main"/>
                        </a:ext>
                      </a:extLst>
                    </a:blip>
                    <a:stretch>
                      <a:fillRect/>
                    </a:stretch>
                  </pic:blipFill>
                  <pic:spPr>
                    <a:xfrm rot="0">
                      <a:off x="0" y="0"/>
                      <a:ext cx="2962275" cy="1314173"/>
                    </a:xfrm>
                    <a:prstGeom prst="rect">
                      <a:avLst/>
                    </a:prstGeom>
                  </pic:spPr>
                </pic:pic>
              </a:graphicData>
            </a:graphic>
          </wp:inline>
        </w:drawing>
      </w:r>
    </w:p>
    <w:p w:rsidR="4C5F5FC9" w:rsidP="4C5F5FC9" w:rsidRDefault="4C5F5FC9" w14:paraId="7B5B4106" w14:textId="29298ED9">
      <w:pPr>
        <w:pStyle w:val="Normal"/>
        <w:spacing w:line="360" w:lineRule="auto"/>
      </w:pPr>
    </w:p>
    <w:p w:rsidR="1313DCA7" w:rsidP="4C5F5FC9" w:rsidRDefault="1313DCA7" w14:paraId="7EC73EEA" w14:textId="2E28A40A">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4C5F5FC9" w:rsidR="1313DCA7">
        <w:rPr>
          <w:rFonts w:ascii="Arial" w:hAnsi="Arial" w:eastAsia="Arial" w:cs="Arial"/>
          <w:b w:val="0"/>
          <w:bCs w:val="0"/>
          <w:i w:val="0"/>
          <w:iCs w:val="0"/>
          <w:caps w:val="0"/>
          <w:smallCaps w:val="0"/>
          <w:noProof w:val="0"/>
          <w:color w:val="000000" w:themeColor="text1" w:themeTint="FF" w:themeShade="FF"/>
          <w:sz w:val="28"/>
          <w:szCs w:val="28"/>
          <w:lang w:val="en-GB"/>
        </w:rPr>
        <w:t>Name: Natasha Mckinlay</w:t>
      </w:r>
    </w:p>
    <w:p w:rsidR="1313DCA7" w:rsidP="4C5F5FC9" w:rsidRDefault="1313DCA7" w14:paraId="23373156" w14:textId="114E673B">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4C5F5FC9" w:rsidR="1313DCA7">
        <w:rPr>
          <w:rFonts w:ascii="Arial" w:hAnsi="Arial" w:eastAsia="Arial" w:cs="Arial"/>
          <w:b w:val="0"/>
          <w:bCs w:val="0"/>
          <w:i w:val="0"/>
          <w:iCs w:val="0"/>
          <w:caps w:val="0"/>
          <w:smallCaps w:val="0"/>
          <w:noProof w:val="0"/>
          <w:color w:val="000000" w:themeColor="text1" w:themeTint="FF" w:themeShade="FF"/>
          <w:sz w:val="28"/>
          <w:szCs w:val="28"/>
          <w:lang w:val="en-GB"/>
        </w:rPr>
        <w:t>Student ID: 2507264</w:t>
      </w:r>
    </w:p>
    <w:p w:rsidR="1313DCA7" w:rsidP="4C5F5FC9" w:rsidRDefault="1313DCA7" w14:paraId="67417CE4" w14:textId="3B65A0C2">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4C5F5FC9" w:rsidR="1313DCA7">
        <w:rPr>
          <w:rFonts w:ascii="Arial" w:hAnsi="Arial" w:eastAsia="Arial" w:cs="Arial"/>
          <w:b w:val="0"/>
          <w:bCs w:val="0"/>
          <w:i w:val="0"/>
          <w:iCs w:val="0"/>
          <w:caps w:val="0"/>
          <w:smallCaps w:val="0"/>
          <w:noProof w:val="0"/>
          <w:color w:val="000000" w:themeColor="text1" w:themeTint="FF" w:themeShade="FF"/>
          <w:sz w:val="28"/>
          <w:szCs w:val="28"/>
          <w:lang w:val="en-GB"/>
        </w:rPr>
        <w:t>Module Code: LCHS4003</w:t>
      </w:r>
    </w:p>
    <w:p w:rsidR="1313DCA7" w:rsidP="4C5F5FC9" w:rsidRDefault="1313DCA7" w14:paraId="206F4C10" w14:textId="3A6AFF76">
      <w:pPr>
        <w:rPr>
          <w:rFonts w:ascii="Arial" w:hAnsi="Arial" w:eastAsia="Arial" w:cs="Arial"/>
          <w:b w:val="0"/>
          <w:bCs w:val="0"/>
          <w:i w:val="0"/>
          <w:iCs w:val="0"/>
          <w:caps w:val="0"/>
          <w:smallCaps w:val="0"/>
          <w:noProof w:val="0"/>
          <w:color w:val="000000" w:themeColor="text1" w:themeTint="FF" w:themeShade="FF"/>
          <w:sz w:val="28"/>
          <w:szCs w:val="28"/>
          <w:lang w:val="en-GB"/>
        </w:rPr>
      </w:pPr>
      <w:r w:rsidRPr="4C5F5FC9" w:rsidR="1313DCA7">
        <w:rPr>
          <w:rFonts w:ascii="Arial" w:hAnsi="Arial" w:eastAsia="Arial" w:cs="Arial"/>
          <w:b w:val="0"/>
          <w:bCs w:val="0"/>
          <w:i w:val="0"/>
          <w:iCs w:val="0"/>
          <w:caps w:val="0"/>
          <w:smallCaps w:val="0"/>
          <w:noProof w:val="0"/>
          <w:color w:val="000000" w:themeColor="text1" w:themeTint="FF" w:themeShade="FF"/>
          <w:sz w:val="28"/>
          <w:szCs w:val="28"/>
          <w:lang w:val="en-GB"/>
        </w:rPr>
        <w:t>Module: Introduction to Health and Social Care</w:t>
      </w:r>
    </w:p>
    <w:p w:rsidR="1313DCA7" w:rsidP="4C5F5FC9" w:rsidRDefault="1313DCA7" w14:paraId="24A0F557" w14:textId="20528798">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4C5F5FC9" w:rsidR="1313DCA7">
        <w:rPr>
          <w:rFonts w:ascii="Arial" w:hAnsi="Arial" w:eastAsia="Arial" w:cs="Arial"/>
          <w:b w:val="0"/>
          <w:bCs w:val="0"/>
          <w:i w:val="0"/>
          <w:iCs w:val="0"/>
          <w:caps w:val="0"/>
          <w:smallCaps w:val="0"/>
          <w:noProof w:val="0"/>
          <w:color w:val="000000" w:themeColor="text1" w:themeTint="FF" w:themeShade="FF"/>
          <w:sz w:val="28"/>
          <w:szCs w:val="28"/>
          <w:lang w:val="en-GB"/>
        </w:rPr>
        <w:t>Lecturer: Miss Mumtaz Goolam</w:t>
      </w:r>
    </w:p>
    <w:p w:rsidR="1313DCA7" w:rsidP="4C5F5FC9" w:rsidRDefault="1313DCA7" w14:paraId="2525073F" w14:textId="3DEDA781">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4C5F5FC9" w:rsidR="1313DCA7">
        <w:rPr>
          <w:rFonts w:ascii="Arial" w:hAnsi="Arial" w:eastAsia="Arial" w:cs="Arial"/>
          <w:b w:val="0"/>
          <w:bCs w:val="0"/>
          <w:i w:val="0"/>
          <w:iCs w:val="0"/>
          <w:caps w:val="0"/>
          <w:smallCaps w:val="0"/>
          <w:noProof w:val="0"/>
          <w:color w:val="000000" w:themeColor="text1" w:themeTint="FF" w:themeShade="FF"/>
          <w:sz w:val="28"/>
          <w:szCs w:val="28"/>
          <w:lang w:val="en-GB"/>
        </w:rPr>
        <w:t xml:space="preserve">Assignment Title: </w:t>
      </w:r>
      <w:r w:rsidRPr="4C5F5FC9" w:rsidR="377DB61E">
        <w:rPr>
          <w:rFonts w:ascii="Arial" w:hAnsi="Arial" w:eastAsia="Arial" w:cs="Arial"/>
          <w:b w:val="0"/>
          <w:bCs w:val="0"/>
          <w:i w:val="0"/>
          <w:iCs w:val="0"/>
          <w:caps w:val="0"/>
          <w:smallCaps w:val="0"/>
          <w:noProof w:val="0"/>
          <w:color w:val="000000" w:themeColor="text1" w:themeTint="FF" w:themeShade="FF"/>
          <w:sz w:val="28"/>
          <w:szCs w:val="28"/>
          <w:lang w:val="en-GB"/>
        </w:rPr>
        <w:t xml:space="preserve">Effective Communication, Administrative Practice and Collaborative Working in Health </w:t>
      </w:r>
      <w:r w:rsidRPr="4C5F5FC9" w:rsidR="42DAD487">
        <w:rPr>
          <w:rFonts w:ascii="Arial" w:hAnsi="Arial" w:eastAsia="Arial" w:cs="Arial"/>
          <w:b w:val="0"/>
          <w:bCs w:val="0"/>
          <w:i w:val="0"/>
          <w:iCs w:val="0"/>
          <w:caps w:val="0"/>
          <w:smallCaps w:val="0"/>
          <w:noProof w:val="0"/>
          <w:color w:val="000000" w:themeColor="text1" w:themeTint="FF" w:themeShade="FF"/>
          <w:sz w:val="28"/>
          <w:szCs w:val="28"/>
          <w:lang w:val="en-GB"/>
        </w:rPr>
        <w:t>and Social Care: A Case Study of Mr Ahmed</w:t>
      </w:r>
    </w:p>
    <w:p w:rsidR="4C5F5FC9" w:rsidP="4C5F5FC9" w:rsidRDefault="4C5F5FC9" w14:paraId="3073CA9C" w14:textId="4339FE6A">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4C5F5FC9" w:rsidP="4C5F5FC9" w:rsidRDefault="4C5F5FC9" w14:paraId="4ADB0761" w14:textId="0C0D6889">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313DCA7" w:rsidP="4C5F5FC9" w:rsidRDefault="1313DCA7" w14:paraId="0EA2E706" w14:textId="64B18A19">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4C5F5FC9" w:rsidR="1313DCA7">
        <w:rPr>
          <w:rFonts w:ascii="Arial" w:hAnsi="Arial" w:eastAsia="Arial" w:cs="Arial"/>
          <w:b w:val="0"/>
          <w:bCs w:val="0"/>
          <w:i w:val="0"/>
          <w:iCs w:val="0"/>
          <w:caps w:val="0"/>
          <w:smallCaps w:val="0"/>
          <w:noProof w:val="0"/>
          <w:color w:val="000000" w:themeColor="text1" w:themeTint="FF" w:themeShade="FF"/>
          <w:sz w:val="28"/>
          <w:szCs w:val="28"/>
          <w:lang w:val="en-GB"/>
        </w:rPr>
        <w:t xml:space="preserve">                      Submitted on: 2</w:t>
      </w:r>
      <w:r w:rsidRPr="4C5F5FC9" w:rsidR="69E701EF">
        <w:rPr>
          <w:rFonts w:ascii="Arial" w:hAnsi="Arial" w:eastAsia="Arial" w:cs="Arial"/>
          <w:b w:val="0"/>
          <w:bCs w:val="0"/>
          <w:i w:val="0"/>
          <w:iCs w:val="0"/>
          <w:caps w:val="0"/>
          <w:smallCaps w:val="0"/>
          <w:noProof w:val="0"/>
          <w:color w:val="000000" w:themeColor="text1" w:themeTint="FF" w:themeShade="FF"/>
          <w:sz w:val="28"/>
          <w:szCs w:val="28"/>
          <w:lang w:val="en-GB"/>
        </w:rPr>
        <w:t>6</w:t>
      </w:r>
      <w:r w:rsidRPr="4C5F5FC9" w:rsidR="69E701EF">
        <w:rPr>
          <w:rFonts w:ascii="Arial" w:hAnsi="Arial" w:eastAsia="Arial" w:cs="Arial"/>
          <w:b w:val="0"/>
          <w:bCs w:val="0"/>
          <w:i w:val="0"/>
          <w:iCs w:val="0"/>
          <w:caps w:val="0"/>
          <w:smallCaps w:val="0"/>
          <w:noProof w:val="0"/>
          <w:color w:val="000000" w:themeColor="text1" w:themeTint="FF" w:themeShade="FF"/>
          <w:sz w:val="28"/>
          <w:szCs w:val="28"/>
          <w:vertAlign w:val="superscript"/>
          <w:lang w:val="en-GB"/>
        </w:rPr>
        <w:t>th</w:t>
      </w:r>
      <w:r w:rsidRPr="4C5F5FC9" w:rsidR="69E701EF">
        <w:rPr>
          <w:rFonts w:ascii="Arial" w:hAnsi="Arial" w:eastAsia="Arial" w:cs="Arial"/>
          <w:b w:val="0"/>
          <w:bCs w:val="0"/>
          <w:i w:val="0"/>
          <w:iCs w:val="0"/>
          <w:caps w:val="0"/>
          <w:smallCaps w:val="0"/>
          <w:noProof w:val="0"/>
          <w:color w:val="000000" w:themeColor="text1" w:themeTint="FF" w:themeShade="FF"/>
          <w:sz w:val="28"/>
          <w:szCs w:val="28"/>
          <w:lang w:val="en-GB"/>
        </w:rPr>
        <w:t xml:space="preserve"> February 2026</w:t>
      </w:r>
    </w:p>
    <w:p w:rsidR="4C5F5FC9" w:rsidRDefault="4C5F5FC9" w14:paraId="1EDB1B33" w14:textId="1EBDC514">
      <w:r>
        <w:br w:type="page"/>
      </w:r>
    </w:p>
    <w:p w:rsidR="4C5F5FC9" w:rsidP="4C5F5FC9" w:rsidRDefault="4C5F5FC9" w14:paraId="70570678" w14:textId="12C00303">
      <w:pPr>
        <w:pStyle w:val="Normal"/>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4C5F5FC9" w:rsidP="4C5F5FC9" w:rsidRDefault="4C5F5FC9" w14:paraId="015F7C3A" w14:textId="43E696F1">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4C5F5FC9" w:rsidP="4C5F5FC9" w:rsidRDefault="4C5F5FC9" w14:paraId="314F57F3" w14:textId="747F0CD5">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4C5F5FC9" w:rsidP="4C5F5FC9" w:rsidRDefault="4C5F5FC9" w14:paraId="2FF4D90D" w14:textId="5BC3643A">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4C5F5FC9" w:rsidP="4C5F5FC9" w:rsidRDefault="4C5F5FC9" w14:paraId="03BECE17" w14:textId="5C1F85C4">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4C5F5FC9" w:rsidP="4C5F5FC9" w:rsidRDefault="4C5F5FC9" w14:paraId="65392157" w14:textId="0C3B6974">
      <w:pPr>
        <w:jc w:val="center"/>
        <w:rPr>
          <w:rFonts w:ascii="Arial" w:hAnsi="Arial" w:eastAsia="Arial" w:cs="Arial"/>
          <w:b w:val="1"/>
          <w:bCs w:val="1"/>
          <w:i w:val="0"/>
          <w:iCs w:val="0"/>
          <w:caps w:val="0"/>
          <w:smallCaps w:val="0"/>
          <w:noProof w:val="0"/>
          <w:color w:val="000000" w:themeColor="text1" w:themeTint="FF" w:themeShade="FF"/>
          <w:sz w:val="28"/>
          <w:szCs w:val="28"/>
          <w:lang w:val="en-GB"/>
        </w:rPr>
      </w:pPr>
    </w:p>
    <w:p w:rsidR="38E8E9F1" w:rsidP="32B6A5EE" w:rsidRDefault="38E8E9F1" w14:paraId="2D911274" w14:textId="5772A6BC">
      <w:pPr>
        <w:pStyle w:val="Heading1"/>
        <w:jc w:val="center"/>
        <w:rPr>
          <w:ins w:author="Natasha McKinlay (2507264)" w:date="2026-03-09T16:18:54.363Z" w16du:dateUtc="2026-03-09T16:18:54.363Z" w:id="1604206198"/>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32B6A5EE" w:rsidR="38E8E9F1">
        <w:rPr>
          <w:noProof w:val="0"/>
          <w:lang w:val="en-GB"/>
        </w:rPr>
        <w:t>Contents</w:t>
      </w:r>
    </w:p>
    <w:p w:rsidR="4C5F5FC9" w:rsidP="4C5F5FC9" w:rsidRDefault="4C5F5FC9" w14:paraId="577CCBF3" w14:textId="53361961">
      <w:pPr>
        <w:pStyle w:val="Normal"/>
        <w:jc w:val="center"/>
        <w:rPr>
          <w:ins w:author="Natasha McKinlay (2507264)" w:date="2026-03-09T16:18:55.095Z" w16du:dateUtc="2026-03-09T16:18:55.095Z" w:id="1440731861"/>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4C5F5FC9" w:rsidP="4C5F5FC9" w:rsidRDefault="4C5F5FC9" w14:paraId="6F24AEDC" w14:textId="4E0E145D">
      <w:pPr>
        <w:pStyle w:val="Normal"/>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5ED516EB" w:rsidP="32B6A5EE" w:rsidRDefault="5ED516EB" w14:paraId="030D58AD" w14:textId="786D4D05">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32B6A5EE" w:rsidR="5ED516EB">
        <w:rPr>
          <w:rFonts w:ascii="Arial" w:hAnsi="Arial" w:eastAsia="Arial" w:cs="Arial"/>
          <w:b w:val="0"/>
          <w:bCs w:val="0"/>
          <w:i w:val="0"/>
          <w:iCs w:val="0"/>
          <w:caps w:val="0"/>
          <w:smallCaps w:val="0"/>
          <w:noProof w:val="0"/>
          <w:color w:val="000000" w:themeColor="text1" w:themeTint="FF" w:themeShade="FF"/>
          <w:sz w:val="28"/>
          <w:szCs w:val="28"/>
          <w:lang w:val="en-GB"/>
        </w:rPr>
        <w:t>Introduction...............................................................................................1Main</w:t>
      </w:r>
      <w:r w:rsidRPr="32B6A5EE" w:rsidR="2C5A6EE1">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32B6A5EE" w:rsidR="5ED516EB">
        <w:rPr>
          <w:rFonts w:ascii="Arial" w:hAnsi="Arial" w:eastAsia="Arial" w:cs="Arial"/>
          <w:b w:val="0"/>
          <w:bCs w:val="0"/>
          <w:i w:val="0"/>
          <w:iCs w:val="0"/>
          <w:caps w:val="0"/>
          <w:smallCaps w:val="0"/>
          <w:noProof w:val="0"/>
          <w:color w:val="000000" w:themeColor="text1" w:themeTint="FF" w:themeShade="FF"/>
          <w:sz w:val="28"/>
          <w:szCs w:val="28"/>
          <w:lang w:val="en-GB"/>
        </w:rPr>
        <w:t>discussion...............................................</w:t>
      </w:r>
      <w:r w:rsidRPr="32B6A5EE" w:rsidR="53EDCA18">
        <w:rPr>
          <w:rFonts w:ascii="Arial" w:hAnsi="Arial" w:eastAsia="Arial" w:cs="Arial"/>
          <w:b w:val="0"/>
          <w:bCs w:val="0"/>
          <w:i w:val="0"/>
          <w:iCs w:val="0"/>
          <w:caps w:val="0"/>
          <w:smallCaps w:val="0"/>
          <w:noProof w:val="0"/>
          <w:color w:val="000000" w:themeColor="text1" w:themeTint="FF" w:themeShade="FF"/>
          <w:sz w:val="28"/>
          <w:szCs w:val="28"/>
          <w:lang w:val="en-GB"/>
        </w:rPr>
        <w:t>........................................2</w:t>
      </w:r>
      <w:r w:rsidRPr="32B6A5EE" w:rsidR="5A845357">
        <w:rPr>
          <w:rFonts w:ascii="Arial" w:hAnsi="Arial" w:eastAsia="Arial" w:cs="Arial"/>
          <w:b w:val="0"/>
          <w:bCs w:val="0"/>
          <w:i w:val="0"/>
          <w:iCs w:val="0"/>
          <w:caps w:val="0"/>
          <w:smallCaps w:val="0"/>
          <w:noProof w:val="0"/>
          <w:color w:val="000000" w:themeColor="text1" w:themeTint="FF" w:themeShade="FF"/>
          <w:sz w:val="28"/>
          <w:szCs w:val="28"/>
          <w:lang w:val="en-GB"/>
        </w:rPr>
        <w:t xml:space="preserve"> Communication in Health and Social Care.............................</w:t>
      </w:r>
      <w:r w:rsidRPr="32B6A5EE" w:rsidR="5E6B7F47">
        <w:rPr>
          <w:rFonts w:ascii="Arial" w:hAnsi="Arial" w:eastAsia="Arial" w:cs="Arial"/>
          <w:b w:val="0"/>
          <w:bCs w:val="0"/>
          <w:i w:val="0"/>
          <w:iCs w:val="0"/>
          <w:caps w:val="0"/>
          <w:smallCaps w:val="0"/>
          <w:noProof w:val="0"/>
          <w:color w:val="000000" w:themeColor="text1" w:themeTint="FF" w:themeShade="FF"/>
          <w:sz w:val="28"/>
          <w:szCs w:val="28"/>
          <w:lang w:val="en-GB"/>
        </w:rPr>
        <w:t>.................2 Administrative Skills and Record Kee</w:t>
      </w:r>
      <w:r w:rsidRPr="32B6A5EE" w:rsidR="1AE82B53">
        <w:rPr>
          <w:rFonts w:ascii="Arial" w:hAnsi="Arial" w:eastAsia="Arial" w:cs="Arial"/>
          <w:b w:val="0"/>
          <w:bCs w:val="0"/>
          <w:i w:val="0"/>
          <w:iCs w:val="0"/>
          <w:caps w:val="0"/>
          <w:smallCaps w:val="0"/>
          <w:noProof w:val="0"/>
          <w:color w:val="000000" w:themeColor="text1" w:themeTint="FF" w:themeShade="FF"/>
          <w:sz w:val="28"/>
          <w:szCs w:val="28"/>
          <w:lang w:val="en-GB"/>
        </w:rPr>
        <w:t xml:space="preserve">ping...............................................3 Collaborative Working in Health and Social </w:t>
      </w:r>
      <w:r w:rsidRPr="32B6A5EE" w:rsidR="4458BA83">
        <w:rPr>
          <w:rFonts w:ascii="Arial" w:hAnsi="Arial" w:eastAsia="Arial" w:cs="Arial"/>
          <w:b w:val="0"/>
          <w:bCs w:val="0"/>
          <w:i w:val="0"/>
          <w:iCs w:val="0"/>
          <w:caps w:val="0"/>
          <w:smallCaps w:val="0"/>
          <w:noProof w:val="0"/>
          <w:color w:val="000000" w:themeColor="text1" w:themeTint="FF" w:themeShade="FF"/>
          <w:sz w:val="28"/>
          <w:szCs w:val="28"/>
          <w:lang w:val="en-GB"/>
        </w:rPr>
        <w:t>Care...................................4 Conclusion................................................................................................5 References</w:t>
      </w:r>
      <w:r w:rsidRPr="32B6A5EE" w:rsidR="7C77DD91">
        <w:rPr>
          <w:rFonts w:ascii="Arial" w:hAnsi="Arial" w:eastAsia="Arial" w:cs="Arial"/>
          <w:b w:val="0"/>
          <w:bCs w:val="0"/>
          <w:i w:val="0"/>
          <w:iCs w:val="0"/>
          <w:caps w:val="0"/>
          <w:smallCaps w:val="0"/>
          <w:noProof w:val="0"/>
          <w:color w:val="000000" w:themeColor="text1" w:themeTint="FF" w:themeShade="FF"/>
          <w:sz w:val="28"/>
          <w:szCs w:val="28"/>
          <w:lang w:val="en-GB"/>
        </w:rPr>
        <w:t>...............................................................................................</w:t>
      </w:r>
      <w:r w:rsidRPr="32B6A5EE" w:rsidR="12E2A9D3">
        <w:rPr>
          <w:rFonts w:ascii="Arial" w:hAnsi="Arial" w:eastAsia="Arial" w:cs="Arial"/>
          <w:b w:val="0"/>
          <w:bCs w:val="0"/>
          <w:i w:val="0"/>
          <w:iCs w:val="0"/>
          <w:caps w:val="0"/>
          <w:smallCaps w:val="0"/>
          <w:noProof w:val="0"/>
          <w:color w:val="000000" w:themeColor="text1" w:themeTint="FF" w:themeShade="FF"/>
          <w:sz w:val="28"/>
          <w:szCs w:val="28"/>
          <w:lang w:val="en-GB"/>
        </w:rPr>
        <w:t>6</w:t>
      </w:r>
    </w:p>
    <w:p w:rsidR="4C5F5FC9" w:rsidRDefault="4C5F5FC9" w14:paraId="080CEA22" w14:textId="1F294FA1">
      <w:r>
        <w:br w:type="page"/>
      </w:r>
    </w:p>
    <w:p w:rsidR="4C5F5FC9" w:rsidP="4C5F5FC9" w:rsidRDefault="4C5F5FC9" w14:paraId="0ADBC3D7" w14:textId="247E025F">
      <w:pPr>
        <w:pStyle w:val="Normal"/>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8105357" w:rsidP="4C5F5FC9" w:rsidRDefault="28105357" w14:paraId="15D3BC4A" w14:textId="2AEA2F20">
      <w:pPr>
        <w:pStyle w:val="Heading1"/>
      </w:pPr>
      <w:r w:rsidR="28105357">
        <w:rPr/>
        <w:t>Introduction</w:t>
      </w:r>
    </w:p>
    <w:p w:rsidR="5F1B80DB" w:rsidP="4C5F5FC9" w:rsidRDefault="5F1B80DB" w14:paraId="695B7B95" w14:textId="6E7FDE83">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C5F5FC9" w:rsidR="5F1B80DB">
        <w:rPr>
          <w:rFonts w:ascii="Arial" w:hAnsi="Arial" w:eastAsia="Arial" w:cs="Arial" w:asciiTheme="minorAscii" w:hAnsiTheme="minorAscii" w:eastAsiaTheme="minorAscii" w:cstheme="minorAscii"/>
          <w:noProof w:val="0"/>
          <w:sz w:val="22"/>
          <w:szCs w:val="22"/>
          <w:lang w:val="en-GB"/>
        </w:rPr>
        <w:t xml:space="preserve">Effective communication, </w:t>
      </w:r>
      <w:r w:rsidRPr="4C5F5FC9" w:rsidR="5F1B80DB">
        <w:rPr>
          <w:rFonts w:ascii="Arial" w:hAnsi="Arial" w:eastAsia="Arial" w:cs="Arial" w:asciiTheme="minorAscii" w:hAnsiTheme="minorAscii" w:eastAsiaTheme="minorAscii" w:cstheme="minorAscii"/>
          <w:noProof w:val="0"/>
          <w:sz w:val="22"/>
          <w:szCs w:val="22"/>
          <w:lang w:val="en-GB"/>
        </w:rPr>
        <w:t>accurate</w:t>
      </w:r>
      <w:r w:rsidRPr="4C5F5FC9" w:rsidR="5F1B80DB">
        <w:rPr>
          <w:rFonts w:ascii="Arial" w:hAnsi="Arial" w:eastAsia="Arial" w:cs="Arial" w:asciiTheme="minorAscii" w:hAnsiTheme="minorAscii" w:eastAsiaTheme="minorAscii" w:cstheme="minorAscii"/>
          <w:noProof w:val="0"/>
          <w:sz w:val="22"/>
          <w:szCs w:val="22"/>
          <w:lang w:val="en-GB"/>
        </w:rPr>
        <w:t xml:space="preserve"> administrative practice, and collaborative working are fundamental to delivering safe, high‑quality health and social care. These elements enable professionals to exchange information effectively, coordinate interventions, and ensure that service users receive support tailored to their individual needs. In the United Kingdom, healthcare practitioners must also </w:t>
      </w:r>
      <w:r w:rsidRPr="4C5F5FC9" w:rsidR="5F1B80DB">
        <w:rPr>
          <w:rFonts w:ascii="Arial" w:hAnsi="Arial" w:eastAsia="Arial" w:cs="Arial" w:asciiTheme="minorAscii" w:hAnsiTheme="minorAscii" w:eastAsiaTheme="minorAscii" w:cstheme="minorAscii"/>
          <w:noProof w:val="0"/>
          <w:sz w:val="22"/>
          <w:szCs w:val="22"/>
          <w:lang w:val="en-GB"/>
        </w:rPr>
        <w:t>comply with</w:t>
      </w:r>
      <w:r w:rsidRPr="4C5F5FC9" w:rsidR="5F1B80DB">
        <w:rPr>
          <w:rFonts w:ascii="Arial" w:hAnsi="Arial" w:eastAsia="Arial" w:cs="Arial" w:asciiTheme="minorAscii" w:hAnsiTheme="minorAscii" w:eastAsiaTheme="minorAscii" w:cstheme="minorAscii"/>
          <w:noProof w:val="0"/>
          <w:sz w:val="22"/>
          <w:szCs w:val="22"/>
          <w:lang w:val="en-GB"/>
        </w:rPr>
        <w:t xml:space="preserve"> legislation and professional standards designed to uphold equality, confidentiality, and patient safety.</w:t>
      </w:r>
    </w:p>
    <w:p w:rsidR="5F1B80DB" w:rsidP="4C5F5FC9" w:rsidRDefault="5F1B80DB" w14:paraId="6168F5BD" w14:textId="5CBB43F0">
      <w:pPr>
        <w:pStyle w:val="Normal"/>
        <w:spacing w:line="360" w:lineRule="auto"/>
        <w:rPr>
          <w:rFonts w:ascii="Arial" w:hAnsi="Arial" w:eastAsia="Arial" w:cs="Arial" w:asciiTheme="minorAscii" w:hAnsiTheme="minorAscii" w:eastAsiaTheme="minorAscii" w:cstheme="minorAscii"/>
          <w:noProof w:val="0"/>
          <w:sz w:val="22"/>
          <w:szCs w:val="22"/>
          <w:lang w:val="en-GB"/>
        </w:rPr>
      </w:pPr>
      <w:r w:rsidRPr="4C5F5FC9" w:rsidR="5F1B80DB">
        <w:rPr>
          <w:rFonts w:ascii="Arial" w:hAnsi="Arial" w:eastAsia="Arial" w:cs="Arial" w:asciiTheme="minorAscii" w:hAnsiTheme="minorAscii" w:eastAsiaTheme="minorAscii" w:cstheme="minorAscii"/>
          <w:noProof w:val="0"/>
          <w:sz w:val="22"/>
          <w:szCs w:val="22"/>
          <w:lang w:val="en-GB"/>
        </w:rPr>
        <w:t xml:space="preserve">This assignment explores these principles through the case study of Mr Ahmed, a 68‑year‑old man recently discharged from hospital following a stroke. Mr Ahmed lives with his wife and currently receives domiciliary care visits three times a day to support his daily living needs and medication. However, his first language is Bengali, and he finds complex English difficult to understand, which may contribute to communication barriers. Additionally, a recent missed care visit resulted in Mr Ahmed not receiving his medication on time, underscoring the significance of effective administration and </w:t>
      </w:r>
      <w:r w:rsidRPr="4C5F5FC9" w:rsidR="5F1B80DB">
        <w:rPr>
          <w:rFonts w:ascii="Arial" w:hAnsi="Arial" w:eastAsia="Arial" w:cs="Arial" w:asciiTheme="minorAscii" w:hAnsiTheme="minorAscii" w:eastAsiaTheme="minorAscii" w:cstheme="minorAscii"/>
          <w:noProof w:val="0"/>
          <w:sz w:val="22"/>
          <w:szCs w:val="22"/>
          <w:lang w:val="en-GB"/>
        </w:rPr>
        <w:t>accurate</w:t>
      </w:r>
      <w:r w:rsidRPr="4C5F5FC9" w:rsidR="5F1B80DB">
        <w:rPr>
          <w:rFonts w:ascii="Arial" w:hAnsi="Arial" w:eastAsia="Arial" w:cs="Arial" w:asciiTheme="minorAscii" w:hAnsiTheme="minorAscii" w:eastAsiaTheme="minorAscii" w:cstheme="minorAscii"/>
          <w:noProof w:val="0"/>
          <w:sz w:val="22"/>
          <w:szCs w:val="22"/>
          <w:lang w:val="en-GB"/>
        </w:rPr>
        <w:t xml:space="preserve"> record‑keeping. This assignment will therefore examine the role of communication, administrative competence, and collaborative working in ensuring safe and person‑centred care for Mr Ahmed.</w:t>
      </w:r>
    </w:p>
    <w:p w:rsidR="25116C96" w:rsidP="4C5F5FC9" w:rsidRDefault="25116C96" w14:paraId="1CE47FF9" w14:textId="2AB8503C">
      <w:pPr>
        <w:pStyle w:val="Heading1"/>
        <w:rPr>
          <w:noProof w:val="0"/>
          <w:lang w:val="en-GB"/>
        </w:rPr>
      </w:pPr>
      <w:r w:rsidRPr="32B6A5EE" w:rsidR="25116C96">
        <w:rPr>
          <w:noProof w:val="0"/>
          <w:lang w:val="en-GB"/>
        </w:rPr>
        <w:t>Main discussion</w:t>
      </w:r>
    </w:p>
    <w:p w:rsidR="5F1B80DB" w:rsidP="4C5F5FC9" w:rsidRDefault="5F1B80DB" w14:paraId="7A34018B" w14:textId="6515AD73">
      <w:pPr>
        <w:pStyle w:val="Heading2"/>
        <w:rPr>
          <w:rFonts w:ascii="Arial" w:hAnsi="Arial" w:eastAsia="Arial" w:cs="Arial" w:asciiTheme="minorAscii" w:hAnsiTheme="minorAscii" w:eastAsiaTheme="minorAscii" w:cstheme="minorAscii"/>
          <w:noProof w:val="0"/>
          <w:sz w:val="22"/>
          <w:szCs w:val="22"/>
          <w:lang w:val="en-GB"/>
        </w:rPr>
      </w:pPr>
      <w:r w:rsidRPr="32B6A5EE" w:rsidR="5F1B80DB">
        <w:rPr>
          <w:noProof w:val="0"/>
          <w:lang w:val="en-GB"/>
        </w:rPr>
        <w:t>Communication in Health and Social Care</w:t>
      </w:r>
      <w:r w:rsidRPr="32B6A5EE" w:rsidR="5F1B80DB">
        <w:rPr>
          <w:noProof w:val="0"/>
          <w:lang w:val="en-GB"/>
        </w:rPr>
        <w:t xml:space="preserve"> </w:t>
      </w:r>
    </w:p>
    <w:p w:rsidR="1A08967C" w:rsidP="140F4625" w:rsidRDefault="1A08967C" w14:paraId="14BC017A" w14:textId="6CBD9E8A">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40F4625" w:rsidR="1A0896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Communication is widely recognised as one of the most important skills in health and social care. It enables professionals to understand service users’ needs, explain treatment clearly, and ensure individuals are involved in decisions about their care (Glasby, 2017). Effective communication also helps build trust between professionals and service users, which can improve health outcomes and patient satisfaction.</w:t>
      </w:r>
    </w:p>
    <w:p w:rsidR="1A08967C" w:rsidP="140F4625" w:rsidRDefault="1A08967C" w14:paraId="1A9945DE" w14:textId="12D06FB8">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40F4625" w:rsidR="1A0896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Mr Ahmed’s situation, communication is especially important because of the language barrier he experiences. When service users are not fluent in English, it can be more difficult for them to understand healthcare instructions or express their concerns. Gault et al. (2016) note that language differences increase the risk of misunderstanding medical advice, which may lead to incorrect medication use or confusion about treatment plans. For Mr Ahmed, who is recovering from a stroke, clear and accessible communication is essential to ensure he understands how to manage his medication and daily care needs safely.</w:t>
      </w:r>
    </w:p>
    <w:p w:rsidR="7CAE05D4" w:rsidP="140F4625" w:rsidRDefault="7CAE05D4" w14:paraId="3344B7F6" w14:textId="6269F5D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40F4625" w:rsidR="7CAE05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Health professionals therefore need to adapt their communication methods to meet the needs of </w:t>
      </w:r>
      <w:bookmarkStart w:name="_Int_M88NyDvU" w:id="2023776992"/>
      <w:r w:rsidRPr="140F4625" w:rsidR="7CAE05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each individual</w:t>
      </w:r>
      <w:bookmarkEnd w:id="2023776992"/>
      <w:r w:rsidRPr="140F4625" w:rsidR="7CAE05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Person‑centred communication involves recognising the individual needs, cultural background, and preferences of service users (Barnard, 2017). In Mr Ahmed’s case, professionals may need to use interpreters, translated materials, or simplified language to ensure information is fully understood. Visual aids and demonstrations may also support explanations of medication or rehabilitation exercises.</w:t>
      </w:r>
    </w:p>
    <w:p w:rsidR="7CAE05D4" w:rsidP="140F4625" w:rsidRDefault="7CAE05D4" w14:paraId="7E067A26" w14:textId="2299287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40F4625" w:rsidR="7CAE05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Communication models can help professionals understand how messages are transmitted and where difficulties may arise. The Shannon and Weaver communication model describes communication as a process involving a sender, message, channel, and receiver. It also highlights how barriers, often referred to as “noise</w:t>
      </w:r>
      <w:r w:rsidRPr="140F4625" w:rsidR="7CAE05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40F4625" w:rsidR="7CAE05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disrupt the message and lead to misunderstandings (Gault et al., 2016). In Mr Ahmed’s case, language differences </w:t>
      </w:r>
      <w:r w:rsidRPr="140F4625" w:rsidR="7CAE05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w:t>
      </w:r>
      <w:r w:rsidRPr="140F4625" w:rsidR="7CAE05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communication barrier that may affect the clarity and accuracy of the information provided.</w:t>
      </w:r>
    </w:p>
    <w:p w:rsidR="1488D2DF" w:rsidP="140F4625" w:rsidRDefault="1488D2DF" w14:paraId="21FF0957" w14:textId="404A125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40F4625" w:rsidR="1488D2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Legislation also plays </w:t>
      </w:r>
      <w:r w:rsidRPr="140F4625" w:rsidR="1488D2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important role</w:t>
      </w:r>
      <w:r w:rsidRPr="140F4625" w:rsidR="1488D2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supporting effective communication. The Equality Act 2010 requires organisations to ensure that individuals are not disadvantaged due to language barriers, disabilities, or cultural differences (Equality Act, 2010). Consequently, healthcare providers must make reasonable adjustments, such as offering interpretation services or culturally </w:t>
      </w:r>
      <w:r w:rsidRPr="140F4625" w:rsidR="1488D2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information</w:t>
      </w:r>
      <w:r w:rsidRPr="140F4625" w:rsidR="1488D2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to ensure Mr Ahmed receives fair and equal access to care.</w:t>
      </w:r>
    </w:p>
    <w:p w:rsidR="7C59D061" w:rsidP="4C5F5FC9" w:rsidRDefault="7C59D061" w14:paraId="2D90BAE7" w14:textId="00124ADC">
      <w:pPr>
        <w:pStyle w:val="Normal"/>
        <w:spacing w:line="360" w:lineRule="auto"/>
        <w:rPr>
          <w:sz w:val="22"/>
          <w:szCs w:val="22"/>
        </w:rPr>
      </w:pPr>
      <w:r w:rsidRPr="4C5F5FC9" w:rsidR="7C59D061">
        <w:rPr>
          <w:sz w:val="22"/>
          <w:szCs w:val="22"/>
        </w:rPr>
        <w:t xml:space="preserve">Family members can also play </w:t>
      </w:r>
      <w:r w:rsidRPr="4C5F5FC9" w:rsidR="7C59D061">
        <w:rPr>
          <w:sz w:val="22"/>
          <w:szCs w:val="22"/>
        </w:rPr>
        <w:t>an important role</w:t>
      </w:r>
      <w:r w:rsidRPr="4C5F5FC9" w:rsidR="7C59D061">
        <w:rPr>
          <w:sz w:val="22"/>
          <w:szCs w:val="22"/>
        </w:rPr>
        <w:t xml:space="preserve"> in supporting communication between professionals and service users. Mr Ahmed’s wife may help him understand medical information or communicate his needs to healthcare professionals. Edwards and Best (2020) highlight that involving family members in discussions about care can strengthen communication and ensure that service users feel supported throughout the process.</w:t>
      </w:r>
    </w:p>
    <w:p w:rsidR="7C59D061" w:rsidP="4C5F5FC9" w:rsidRDefault="7C59D061" w14:paraId="660A7C23" w14:textId="5D7FA56B">
      <w:pPr>
        <w:pStyle w:val="Normal"/>
        <w:spacing w:line="360" w:lineRule="auto"/>
        <w:rPr>
          <w:sz w:val="22"/>
          <w:szCs w:val="22"/>
        </w:rPr>
      </w:pPr>
      <w:r w:rsidRPr="4C5F5FC9" w:rsidR="7C59D061">
        <w:rPr>
          <w:sz w:val="22"/>
          <w:szCs w:val="22"/>
        </w:rPr>
        <w:t>However, even when communication strategies are adapted, barriers may still arise. Cultural differences and varying levels of health literacy can shape how information is interpreted and understood. Professionals should therefore check Mr Ahmed’s comprehension of key instructions, such as medication guidance, by asking him to repeat essential information in his own words. This technique helps confirm that communication has been effective and that Mr Ahmed is able to manage his care safely (Barnard, 2017).</w:t>
      </w:r>
    </w:p>
    <w:p w:rsidR="7C59D061" w:rsidP="4C5F5FC9" w:rsidRDefault="7C59D061" w14:paraId="63A64DED" w14:textId="38627E88">
      <w:pPr>
        <w:pStyle w:val="Normal"/>
        <w:spacing w:line="360" w:lineRule="auto"/>
        <w:rPr>
          <w:sz w:val="22"/>
          <w:szCs w:val="22"/>
        </w:rPr>
      </w:pPr>
      <w:r w:rsidRPr="4C5F5FC9" w:rsidR="7C59D061">
        <w:rPr>
          <w:sz w:val="22"/>
          <w:szCs w:val="22"/>
        </w:rPr>
        <w:t xml:space="preserve">Overall, effective communication </w:t>
      </w:r>
      <w:r w:rsidRPr="4C5F5FC9" w:rsidR="7C59D061">
        <w:rPr>
          <w:sz w:val="22"/>
          <w:szCs w:val="22"/>
        </w:rPr>
        <w:t>remains</w:t>
      </w:r>
      <w:r w:rsidRPr="4C5F5FC9" w:rsidR="7C59D061">
        <w:rPr>
          <w:sz w:val="22"/>
          <w:szCs w:val="22"/>
        </w:rPr>
        <w:t xml:space="preserve"> essential to ensuring that Mr Ahmed receives safe, respectful, and person‑centred care.</w:t>
      </w:r>
    </w:p>
    <w:p w:rsidR="657DC5DB" w:rsidP="4C5F5FC9" w:rsidRDefault="657DC5DB" w14:paraId="2E46D8FF" w14:textId="49557F56">
      <w:pPr>
        <w:pStyle w:val="Heading2"/>
      </w:pPr>
      <w:r w:rsidR="657DC5DB">
        <w:rPr/>
        <w:t>Administrative Skills and Record Keeping</w:t>
      </w:r>
    </w:p>
    <w:p w:rsidR="6179BB99" w:rsidP="4C5F5FC9" w:rsidRDefault="6179BB99" w14:paraId="6EF8D7B4" w14:textId="01E80A88">
      <w:pPr>
        <w:pStyle w:val="Normal"/>
        <w:spacing w:line="360" w:lineRule="auto"/>
        <w:rPr>
          <w:sz w:val="22"/>
          <w:szCs w:val="22"/>
        </w:rPr>
      </w:pPr>
      <w:r w:rsidRPr="4C5F5FC9" w:rsidR="6179BB99">
        <w:rPr>
          <w:sz w:val="22"/>
          <w:szCs w:val="22"/>
        </w:rPr>
        <w:t xml:space="preserve">Administrative practice and </w:t>
      </w:r>
      <w:r w:rsidRPr="4C5F5FC9" w:rsidR="6179BB99">
        <w:rPr>
          <w:sz w:val="22"/>
          <w:szCs w:val="22"/>
        </w:rPr>
        <w:t>accurate</w:t>
      </w:r>
      <w:r w:rsidRPr="4C5F5FC9" w:rsidR="6179BB99">
        <w:rPr>
          <w:sz w:val="22"/>
          <w:szCs w:val="22"/>
        </w:rPr>
        <w:t xml:space="preserve"> record‑keeping are essential components of health and social care. Effective documentation enables professionals to record key information about a service user’s condition, treatment, and support needs. This information can then be shared across the multidisciplinary team to </w:t>
      </w:r>
      <w:r w:rsidRPr="4C5F5FC9" w:rsidR="6179BB99">
        <w:rPr>
          <w:sz w:val="22"/>
          <w:szCs w:val="22"/>
        </w:rPr>
        <w:t>maintain</w:t>
      </w:r>
      <w:r w:rsidRPr="4C5F5FC9" w:rsidR="6179BB99">
        <w:rPr>
          <w:sz w:val="22"/>
          <w:szCs w:val="22"/>
        </w:rPr>
        <w:t xml:space="preserve"> continuity, coordination, and safety of care (Edwards and Best, 2020).</w:t>
      </w:r>
    </w:p>
    <w:p w:rsidR="6179BB99" w:rsidP="4C5F5FC9" w:rsidRDefault="6179BB99" w14:paraId="2CE665C5" w14:textId="728F9C86">
      <w:pPr>
        <w:pStyle w:val="Normal"/>
        <w:spacing w:line="360" w:lineRule="auto"/>
        <w:rPr>
          <w:sz w:val="22"/>
          <w:szCs w:val="22"/>
        </w:rPr>
      </w:pPr>
      <w:r w:rsidRPr="4C5F5FC9" w:rsidR="6179BB99">
        <w:rPr>
          <w:sz w:val="22"/>
          <w:szCs w:val="22"/>
        </w:rPr>
        <w:t>The situation involving Mr Ahmed illustrates the consequences of ineffective administrative systems. A missed domiciliary care visit meant he did not receive his medication on time. For someone recovering from a stroke, delayed or missed medication can hinder recovery and increase the risk of further complications. Brotherton and Parker (2013) emphasise that poor administration, scheduling failures, or weak communication between services can place vulnerable individuals at significant risk.</w:t>
      </w:r>
    </w:p>
    <w:p w:rsidR="3307E44A" w:rsidP="4C5F5FC9" w:rsidRDefault="3307E44A" w14:paraId="60460643" w14:textId="1B3CF532">
      <w:pPr>
        <w:pStyle w:val="Normal"/>
        <w:spacing w:line="360" w:lineRule="auto"/>
        <w:rPr>
          <w:sz w:val="22"/>
          <w:szCs w:val="22"/>
        </w:rPr>
      </w:pPr>
      <w:r w:rsidRPr="4C5F5FC9" w:rsidR="3307E44A">
        <w:rPr>
          <w:sz w:val="22"/>
          <w:szCs w:val="22"/>
        </w:rPr>
        <w:t>Accurate record‑keeping enables professionals to monitor the care provided and identify any changes in a service user’s condition. Care workers supporting Mr Ahmed should document key details such as the time of each visit, medication administered, and any concerns about his health or wellbeing. These records ensure that other professionals involved in his care, including district nurses or general practitioners, can access up‑to‑date information and make informed, timely decisions that support safe and coordinated care.</w:t>
      </w:r>
    </w:p>
    <w:p w:rsidR="3307E44A" w:rsidP="4C5F5FC9" w:rsidRDefault="3307E44A" w14:paraId="34CB76C7" w14:textId="05232D48">
      <w:pPr>
        <w:pStyle w:val="Normal"/>
        <w:spacing w:line="360" w:lineRule="auto"/>
      </w:pPr>
      <w:r w:rsidRPr="4C5F5FC9" w:rsidR="3307E44A">
        <w:rPr>
          <w:sz w:val="22"/>
          <w:szCs w:val="22"/>
        </w:rPr>
        <w:t xml:space="preserve">Confidentiality is another fundamental aspect of administrative practice. Healthcare professionals have a legal duty to protect the personal information of service users. The Data Protection Act 2018 sets out strict requirements for how personal data must be stored, processed, and shared within organisations (Data Protection Act, 2018). This legislation ensures that sensitive information, such as Mr Ahmed’s medical records, is handled securely and accessed only by authorised individuals directly involved in his care, thereby </w:t>
      </w:r>
      <w:r w:rsidRPr="4C5F5FC9" w:rsidR="3307E44A">
        <w:rPr>
          <w:sz w:val="22"/>
          <w:szCs w:val="22"/>
        </w:rPr>
        <w:t>maintaining</w:t>
      </w:r>
      <w:r w:rsidRPr="4C5F5FC9" w:rsidR="3307E44A">
        <w:rPr>
          <w:sz w:val="22"/>
          <w:szCs w:val="22"/>
        </w:rPr>
        <w:t xml:space="preserve"> trust and safeguarding his rights.</w:t>
      </w:r>
    </w:p>
    <w:p w:rsidR="2CE45E71" w:rsidP="4C5F5FC9" w:rsidRDefault="2CE45E71" w14:paraId="0F1BDA9D" w14:textId="70A5EB6E">
      <w:pPr>
        <w:pStyle w:val="Normal"/>
        <w:spacing w:line="360" w:lineRule="auto"/>
        <w:rPr>
          <w:sz w:val="22"/>
          <w:szCs w:val="22"/>
        </w:rPr>
      </w:pPr>
      <w:r w:rsidRPr="4C5F5FC9" w:rsidR="2CE45E71">
        <w:rPr>
          <w:sz w:val="22"/>
          <w:szCs w:val="22"/>
        </w:rPr>
        <w:t>Regulatory organisations also play a key role in promoting high standards of record‑keeping. The Care Quality Commission (CQC) monitors health and social care providers in England and ensures that services meet required regulatory standards. According to the CQC (2023), organisations must maintain accurate, up‑to‑date records to demonstrate that care is safe, effective, and well managed. Strong documentation is therefore not only good practice but a core requirement for compliance and accountability.</w:t>
      </w:r>
    </w:p>
    <w:p w:rsidR="2CE45E71" w:rsidP="4C5F5FC9" w:rsidRDefault="2CE45E71" w14:paraId="63485BE6" w14:textId="0EF82C18">
      <w:pPr>
        <w:pStyle w:val="Normal"/>
        <w:spacing w:line="360" w:lineRule="auto"/>
      </w:pPr>
      <w:r w:rsidRPr="4C5F5FC9" w:rsidR="2CE45E71">
        <w:rPr>
          <w:sz w:val="22"/>
          <w:szCs w:val="22"/>
        </w:rPr>
        <w:t>Many healthcare organisations now use digital record systems to improve efficiency and communication between professionals. Digital records can reduce the risk of misplaced information and allow staff to access patient details quickly, supporting timely decision‑making. However, technology also introduces challenges, including system failures, data entry errors, or insufficient staff training. Chambers, Cantrell and Booth (2021) emphasise that organisations must ensure staff are properly trained and confident in using digital systems to maintain accurate, reliable documentation and prevent avoidable risks.</w:t>
      </w:r>
    </w:p>
    <w:p w:rsidR="2CE45E71" w:rsidP="4C5F5FC9" w:rsidRDefault="2CE45E71" w14:paraId="64DC3ECA" w14:textId="57D44AAD">
      <w:pPr>
        <w:pStyle w:val="Normal"/>
        <w:spacing w:line="360" w:lineRule="auto"/>
      </w:pPr>
      <w:r w:rsidRPr="4C5F5FC9" w:rsidR="2CE45E71">
        <w:rPr>
          <w:sz w:val="22"/>
          <w:szCs w:val="22"/>
        </w:rPr>
        <w:t>Overall, strong administrative practice and effective record‑keeping are essential to ensuring that Mr Ahmed receives safe, reliable, and well‑coordinated care, while also supporting organisational accountability and regulatory compliance.</w:t>
      </w:r>
    </w:p>
    <w:p w:rsidR="2CE45E71" w:rsidP="4C5F5FC9" w:rsidRDefault="2CE45E71" w14:paraId="6EA860F2" w14:textId="63652688">
      <w:pPr>
        <w:pStyle w:val="Heading2"/>
      </w:pPr>
      <w:r w:rsidR="2CE45E71">
        <w:rPr/>
        <w:t>Collaborative Working in Health and Social Care</w:t>
      </w:r>
    </w:p>
    <w:p w:rsidR="3093D747" w:rsidP="4C5F5FC9" w:rsidRDefault="3093D747" w14:paraId="240A8AD6" w14:textId="58AC4D59">
      <w:pPr>
        <w:pStyle w:val="Normal"/>
        <w:spacing w:line="360" w:lineRule="auto"/>
        <w:rPr>
          <w:sz w:val="22"/>
          <w:szCs w:val="22"/>
        </w:rPr>
      </w:pPr>
      <w:r w:rsidRPr="4C5F5FC9" w:rsidR="3093D747">
        <w:rPr>
          <w:sz w:val="22"/>
          <w:szCs w:val="22"/>
        </w:rPr>
        <w:t>Collaborative working is a crucial aspect of health and social care, as many service users require support from multiple professionals. Effective collaboration enables professionals to share information, combine their expertise, and deliver coordinated, person‑centred care (Glasby and Dickinson, 2014). Strong multidisciplinary working also reduces duplication, prevents gaps in care, and supports safer decision‑making.</w:t>
      </w:r>
    </w:p>
    <w:p w:rsidR="3093D747" w:rsidP="4C5F5FC9" w:rsidRDefault="3093D747" w14:paraId="41347B77" w14:textId="75BD4B45">
      <w:pPr>
        <w:pStyle w:val="Normal"/>
        <w:spacing w:line="360" w:lineRule="auto"/>
      </w:pPr>
      <w:r w:rsidRPr="4C5F5FC9" w:rsidR="3093D747">
        <w:rPr>
          <w:sz w:val="22"/>
          <w:szCs w:val="22"/>
        </w:rPr>
        <w:t>Mr Ahmed’s care is likely to involve several professionals, including a district nurse, domiciliary care workers, and potentially a speech and language therapist. Each professional contributes distinct skills and knowledge to support his recovery following a stroke. For example, the GP may monitor his overall health, the district nurse may assess his physical condition, domiciliary carers assist with daily activities and medication, and therapists support his rehabilitation. When these roles are integrated effectively, they help ensure that Mr Ahmed receives consistent, holistic care. However, if communication between professionals is weak, there is a risk of missed information, inconsistent advice, or delays in treatment, which can negatively affect his recovery.</w:t>
      </w:r>
    </w:p>
    <w:p w:rsidR="6855D08A" w:rsidP="4C5F5FC9" w:rsidRDefault="6855D08A" w14:paraId="150ED9F9" w14:textId="0C9D90C2">
      <w:pPr>
        <w:pStyle w:val="Normal"/>
        <w:spacing w:line="360" w:lineRule="auto"/>
        <w:rPr>
          <w:sz w:val="22"/>
          <w:szCs w:val="22"/>
        </w:rPr>
      </w:pPr>
      <w:r w:rsidRPr="4C5F5FC9" w:rsidR="6855D08A">
        <w:rPr>
          <w:sz w:val="22"/>
          <w:szCs w:val="22"/>
        </w:rPr>
        <w:t>Multidisciplinary teamwork enables professionals to develop coordinated care plans that address the varied and often complex needs of service users. Edwards and Best (2020) argue that collaboration between professionals can enhance outcomes because each practitioner contributes specialised knowledge that supports more comprehensive decision‑making.</w:t>
      </w:r>
    </w:p>
    <w:p w:rsidR="6855D08A" w:rsidP="4C5F5FC9" w:rsidRDefault="6855D08A" w14:paraId="0078D97A" w14:textId="48203211">
      <w:pPr>
        <w:pStyle w:val="Normal"/>
        <w:spacing w:line="360" w:lineRule="auto"/>
      </w:pPr>
      <w:r w:rsidRPr="4C5F5FC9" w:rsidR="6855D08A">
        <w:rPr>
          <w:sz w:val="22"/>
          <w:szCs w:val="22"/>
        </w:rPr>
        <w:t>The Care Act 2014 further emphasises the importance of cooperation between health and social care organisations when supporting individuals with care and support needs (Care Act, 2014). By promoting joint working, the legislation aims to ensure that individuals receive holistic, well‑coordinated care rather than fragmented or inconsistent support.</w:t>
      </w:r>
    </w:p>
    <w:p w:rsidR="6855D08A" w:rsidP="4C5F5FC9" w:rsidRDefault="6855D08A" w14:paraId="13344C98" w14:textId="5CFDEF41">
      <w:pPr>
        <w:pStyle w:val="Normal"/>
        <w:spacing w:line="360" w:lineRule="auto"/>
      </w:pPr>
      <w:r w:rsidRPr="4C5F5FC9" w:rsidR="6855D08A">
        <w:rPr>
          <w:sz w:val="22"/>
          <w:szCs w:val="22"/>
        </w:rPr>
        <w:t xml:space="preserve">Despite these benefits, collaborative working can also present challenges. Communication breakdowns, unclear professional boundaries, or inconsistent information sharing may lead to gaps in care. In Mr Ahmed’s situation, the missed domiciliary care visit suggests that communication between services may not have been fully effective. Chambers, </w:t>
      </w:r>
      <w:r w:rsidRPr="4C5F5FC9" w:rsidR="6855D08A">
        <w:rPr>
          <w:sz w:val="22"/>
          <w:szCs w:val="22"/>
        </w:rPr>
        <w:t>Cantrell</w:t>
      </w:r>
      <w:r w:rsidRPr="4C5F5FC9" w:rsidR="6855D08A">
        <w:rPr>
          <w:sz w:val="22"/>
          <w:szCs w:val="22"/>
        </w:rPr>
        <w:t xml:space="preserve"> and Booth (2021) highlight that poor information sharing can undermine multidisciplinary teamwork, increase the risk of errors and </w:t>
      </w:r>
      <w:r w:rsidRPr="4C5F5FC9" w:rsidR="6855D08A">
        <w:rPr>
          <w:sz w:val="22"/>
          <w:szCs w:val="22"/>
        </w:rPr>
        <w:t>compromise</w:t>
      </w:r>
      <w:r w:rsidRPr="4C5F5FC9" w:rsidR="6855D08A">
        <w:rPr>
          <w:sz w:val="22"/>
          <w:szCs w:val="22"/>
        </w:rPr>
        <w:t xml:space="preserve"> the quality and safety of care.</w:t>
      </w:r>
    </w:p>
    <w:p w:rsidR="1BD48B2F" w:rsidP="4C5F5FC9" w:rsidRDefault="1BD48B2F" w14:paraId="1CD48F2B" w14:textId="10A1CFDD">
      <w:pPr>
        <w:pStyle w:val="Normal"/>
        <w:spacing w:line="360" w:lineRule="auto"/>
        <w:rPr>
          <w:sz w:val="22"/>
          <w:szCs w:val="22"/>
        </w:rPr>
      </w:pPr>
      <w:r w:rsidRPr="4C5F5FC9" w:rsidR="1BD48B2F">
        <w:rPr>
          <w:sz w:val="22"/>
          <w:szCs w:val="22"/>
        </w:rPr>
        <w:t>To address these challenges, professionals should ensure that communication systems are clear and that records are shared appropriately between services. Consistent information‑sharing processes help reduce the risk of misunderstandings or missed tasks, particularly for service users with complex needs. Regular meetings between the professionals involved in Mr Ahmed’s care can also support effective coordination by ensuring that everyone has an up‑to‑date understanding of his needs, progress, and any emerging concerns. This kind of structured communication is essential for preventing gaps in care and promoting safe, well‑coordinated support.</w:t>
      </w:r>
    </w:p>
    <w:p w:rsidR="1BD48B2F" w:rsidP="4C5F5FC9" w:rsidRDefault="1BD48B2F" w14:paraId="2111E631" w14:textId="1015551F">
      <w:pPr>
        <w:pStyle w:val="Heading1"/>
      </w:pPr>
      <w:r w:rsidR="1BD48B2F">
        <w:rPr/>
        <w:t>Conclusion</w:t>
      </w:r>
    </w:p>
    <w:p w:rsidR="2C429A46" w:rsidP="4C5F5FC9" w:rsidRDefault="2C429A46" w14:paraId="2EAFADAC" w14:textId="098A35F7">
      <w:pPr>
        <w:pStyle w:val="Normal"/>
        <w:spacing w:line="360" w:lineRule="auto"/>
        <w:rPr>
          <w:sz w:val="22"/>
          <w:szCs w:val="22"/>
        </w:rPr>
      </w:pPr>
      <w:r w:rsidRPr="4C5F5FC9" w:rsidR="2C429A46">
        <w:rPr>
          <w:sz w:val="22"/>
          <w:szCs w:val="22"/>
        </w:rPr>
        <w:t>In</w:t>
      </w:r>
      <w:r w:rsidRPr="4C5F5FC9" w:rsidR="01103746">
        <w:rPr>
          <w:sz w:val="22"/>
          <w:szCs w:val="22"/>
        </w:rPr>
        <w:t xml:space="preserve"> conclusion, communication, administrative practice, and collaborative working are all essential to effective health and social care. For Mr Ahmed, communication is particularly important, as language barriers may affect his understanding of medical advice and medication instructions. Professionals must therefore adapt their communication approaches to ensure he can fully engage with his care.</w:t>
      </w:r>
    </w:p>
    <w:p w:rsidR="01103746" w:rsidP="4C5F5FC9" w:rsidRDefault="01103746" w14:paraId="56465876" w14:textId="322F74FA">
      <w:pPr>
        <w:pStyle w:val="Normal"/>
        <w:spacing w:line="360" w:lineRule="auto"/>
      </w:pPr>
      <w:r w:rsidRPr="4C5F5FC9" w:rsidR="01103746">
        <w:rPr>
          <w:sz w:val="22"/>
          <w:szCs w:val="22"/>
        </w:rPr>
        <w:t>Robust administrative systems and accurate record‑keeping are also vital for maintaining safety. The missed domiciliary care visit illustrates how administrative errors can disrupt care and place service users at risk. Legislation such as the Equality Act 2010 and the Data Protection Act 2018 provides a framework that guides professional practice and protects individuals’ rights.</w:t>
      </w:r>
    </w:p>
    <w:p w:rsidR="01103746" w:rsidP="4C5F5FC9" w:rsidRDefault="01103746" w14:paraId="087404C5" w14:textId="3DE46C3E">
      <w:pPr>
        <w:pStyle w:val="Normal"/>
        <w:spacing w:line="360" w:lineRule="auto"/>
      </w:pPr>
      <w:r w:rsidRPr="32B6A5EE" w:rsidR="01103746">
        <w:rPr>
          <w:sz w:val="22"/>
          <w:szCs w:val="22"/>
        </w:rPr>
        <w:t>Finally, collaborative working ensures that people with complex needs receive coordinated, holistic support. Strengthening communication, improving administrative processes, and promoting effective teamwork enables services to deliver safer, more reliable care for individuals such as Mr Ahmed.</w:t>
      </w:r>
      <w:r w:rsidRPr="32B6A5EE" w:rsidR="1CFA1952">
        <w:rPr>
          <w:sz w:val="22"/>
          <w:szCs w:val="22"/>
        </w:rPr>
        <w:t xml:space="preserve"> </w:t>
      </w:r>
    </w:p>
    <w:p w:rsidR="32B6A5EE" w:rsidRDefault="32B6A5EE" w14:paraId="43288F12" w14:textId="4F4CF1CA">
      <w:r>
        <w:br w:type="page"/>
      </w:r>
    </w:p>
    <w:p w:rsidR="63A2936F" w:rsidP="32B6A5EE" w:rsidRDefault="63A2936F" w14:paraId="664490F3" w14:textId="2878A6AE">
      <w:pPr>
        <w:pStyle w:val="Heading1"/>
        <w:rPr>
          <w:sz w:val="22"/>
          <w:szCs w:val="22"/>
        </w:rPr>
      </w:pPr>
      <w:r w:rsidR="63A2936F">
        <w:rPr/>
        <w:t>References</w:t>
      </w:r>
    </w:p>
    <w:p w:rsidR="32D9B3FB" w:rsidP="32B6A5EE" w:rsidRDefault="32D9B3FB" w14:paraId="763F77E3" w14:textId="5A69EDB3">
      <w:pPr>
        <w:pStyle w:val="Normal"/>
        <w:spacing w:line="360" w:lineRule="auto"/>
        <w:rPr>
          <w:sz w:val="22"/>
          <w:szCs w:val="22"/>
        </w:rPr>
      </w:pPr>
      <w:r w:rsidRPr="32B6A5EE" w:rsidR="32D9B3FB">
        <w:rPr>
          <w:sz w:val="22"/>
          <w:szCs w:val="22"/>
        </w:rPr>
        <w:t xml:space="preserve">Barnard, A. (2017) </w:t>
      </w:r>
      <w:r w:rsidRPr="32B6A5EE" w:rsidR="32D9B3FB">
        <w:rPr>
          <w:i w:val="1"/>
          <w:iCs w:val="1"/>
          <w:sz w:val="22"/>
          <w:szCs w:val="22"/>
        </w:rPr>
        <w:t>K</w:t>
      </w:r>
      <w:r w:rsidRPr="32B6A5EE" w:rsidR="2D993FC4">
        <w:rPr>
          <w:i w:val="1"/>
          <w:iCs w:val="1"/>
          <w:sz w:val="22"/>
          <w:szCs w:val="22"/>
        </w:rPr>
        <w:t>ey themes in health and social care: A companion to learning.</w:t>
      </w:r>
      <w:r w:rsidRPr="32B6A5EE" w:rsidR="7C72D4CF">
        <w:rPr>
          <w:i w:val="1"/>
          <w:iCs w:val="1"/>
          <w:sz w:val="22"/>
          <w:szCs w:val="22"/>
        </w:rPr>
        <w:t xml:space="preserve"> </w:t>
      </w:r>
      <w:r w:rsidRPr="32B6A5EE" w:rsidR="7C72D4CF">
        <w:rPr>
          <w:sz w:val="22"/>
          <w:szCs w:val="22"/>
        </w:rPr>
        <w:t>3</w:t>
      </w:r>
      <w:r w:rsidRPr="32B6A5EE" w:rsidR="7C72D4CF">
        <w:rPr>
          <w:sz w:val="22"/>
          <w:szCs w:val="22"/>
          <w:vertAlign w:val="superscript"/>
        </w:rPr>
        <w:t>rd</w:t>
      </w:r>
      <w:r w:rsidRPr="32B6A5EE" w:rsidR="7C72D4CF">
        <w:rPr>
          <w:sz w:val="22"/>
          <w:szCs w:val="22"/>
        </w:rPr>
        <w:t xml:space="preserve"> </w:t>
      </w:r>
      <w:r w:rsidRPr="32B6A5EE" w:rsidR="7C72D4CF">
        <w:rPr>
          <w:sz w:val="22"/>
          <w:szCs w:val="22"/>
        </w:rPr>
        <w:t>edn</w:t>
      </w:r>
      <w:r w:rsidRPr="32B6A5EE" w:rsidR="7C72D4CF">
        <w:rPr>
          <w:sz w:val="22"/>
          <w:szCs w:val="22"/>
        </w:rPr>
        <w:t>. London: Routledge.</w:t>
      </w:r>
    </w:p>
    <w:p w:rsidR="7C72D4CF" w:rsidP="32B6A5EE" w:rsidRDefault="7C72D4CF" w14:paraId="2211D9B1" w14:textId="427D1BB2">
      <w:pPr>
        <w:pStyle w:val="Normal"/>
        <w:spacing w:line="360" w:lineRule="auto"/>
        <w:rPr>
          <w:sz w:val="22"/>
          <w:szCs w:val="22"/>
        </w:rPr>
      </w:pPr>
      <w:r w:rsidRPr="32B6A5EE" w:rsidR="7C72D4CF">
        <w:rPr>
          <w:sz w:val="22"/>
          <w:szCs w:val="22"/>
        </w:rPr>
        <w:t xml:space="preserve">Brotherton, G. and Parker, S. (2013) </w:t>
      </w:r>
      <w:r w:rsidRPr="32B6A5EE" w:rsidR="7C72D4CF">
        <w:rPr>
          <w:i w:val="1"/>
          <w:iCs w:val="1"/>
          <w:sz w:val="22"/>
          <w:szCs w:val="22"/>
        </w:rPr>
        <w:t>Your foundation</w:t>
      </w:r>
      <w:r w:rsidRPr="32B6A5EE" w:rsidR="7DE035D5">
        <w:rPr>
          <w:i w:val="1"/>
          <w:iCs w:val="1"/>
          <w:sz w:val="22"/>
          <w:szCs w:val="22"/>
        </w:rPr>
        <w:t xml:space="preserve"> in health and social care.</w:t>
      </w:r>
      <w:r w:rsidRPr="32B6A5EE" w:rsidR="7DE035D5">
        <w:rPr>
          <w:sz w:val="22"/>
          <w:szCs w:val="22"/>
        </w:rPr>
        <w:t xml:space="preserve"> </w:t>
      </w:r>
      <w:r w:rsidRPr="32B6A5EE" w:rsidR="65B032A3">
        <w:rPr>
          <w:sz w:val="22"/>
          <w:szCs w:val="22"/>
        </w:rPr>
        <w:t xml:space="preserve">London: SAGE Publications. </w:t>
      </w:r>
    </w:p>
    <w:p w:rsidR="65B032A3" w:rsidP="32B6A5EE" w:rsidRDefault="65B032A3" w14:paraId="5407C9FC" w14:textId="2FFE8E5F">
      <w:pPr>
        <w:pStyle w:val="Normal"/>
        <w:spacing w:line="360" w:lineRule="auto"/>
        <w:rPr>
          <w:sz w:val="22"/>
          <w:szCs w:val="22"/>
        </w:rPr>
      </w:pPr>
      <w:r w:rsidRPr="32B6A5EE" w:rsidR="65B032A3">
        <w:rPr>
          <w:sz w:val="22"/>
          <w:szCs w:val="22"/>
        </w:rPr>
        <w:t>Care Act 2014. London: HMSO.</w:t>
      </w:r>
    </w:p>
    <w:p w:rsidR="65B032A3" w:rsidP="32B6A5EE" w:rsidRDefault="65B032A3" w14:paraId="328F0C1E" w14:textId="72BF77BB">
      <w:pPr>
        <w:pStyle w:val="Normal"/>
        <w:spacing w:line="360" w:lineRule="auto"/>
        <w:rPr>
          <w:i w:val="0"/>
          <w:iCs w:val="0"/>
          <w:sz w:val="22"/>
          <w:szCs w:val="22"/>
        </w:rPr>
      </w:pPr>
      <w:r w:rsidRPr="32B6A5EE" w:rsidR="65B032A3">
        <w:rPr>
          <w:sz w:val="22"/>
          <w:szCs w:val="22"/>
        </w:rPr>
        <w:t xml:space="preserve">Care Quality Commission (CQC) (2023) </w:t>
      </w:r>
      <w:r w:rsidRPr="32B6A5EE" w:rsidR="65B032A3">
        <w:rPr>
          <w:i w:val="1"/>
          <w:iCs w:val="1"/>
          <w:sz w:val="22"/>
          <w:szCs w:val="22"/>
        </w:rPr>
        <w:t>Guidance for providers on mee</w:t>
      </w:r>
      <w:r w:rsidRPr="32B6A5EE" w:rsidR="1A2B446E">
        <w:rPr>
          <w:i w:val="1"/>
          <w:iCs w:val="1"/>
          <w:sz w:val="22"/>
          <w:szCs w:val="22"/>
        </w:rPr>
        <w:t>ting regulations.</w:t>
      </w:r>
      <w:r w:rsidRPr="32B6A5EE" w:rsidR="1A2B446E">
        <w:rPr>
          <w:i w:val="0"/>
          <w:iCs w:val="0"/>
          <w:sz w:val="22"/>
          <w:szCs w:val="22"/>
        </w:rPr>
        <w:t xml:space="preserve"> Available at: </w:t>
      </w:r>
      <w:hyperlink r:id="Rb7d62729bbdc4a73">
        <w:r w:rsidRPr="32B6A5EE" w:rsidR="1A2B446E">
          <w:rPr>
            <w:rStyle w:val="Hyperlink"/>
            <w:i w:val="0"/>
            <w:iCs w:val="0"/>
            <w:sz w:val="22"/>
            <w:szCs w:val="22"/>
          </w:rPr>
          <w:t>htt</w:t>
        </w:r>
        <w:r w:rsidRPr="32B6A5EE" w:rsidR="0EC504DA">
          <w:rPr>
            <w:rStyle w:val="Hyperlink"/>
            <w:i w:val="0"/>
            <w:iCs w:val="0"/>
            <w:sz w:val="22"/>
            <w:szCs w:val="22"/>
          </w:rPr>
          <w:t>ps://www.cqc.org.uk</w:t>
        </w:r>
      </w:hyperlink>
      <w:r w:rsidRPr="32B6A5EE" w:rsidR="0EC504DA">
        <w:rPr>
          <w:i w:val="0"/>
          <w:iCs w:val="0"/>
          <w:sz w:val="22"/>
          <w:szCs w:val="22"/>
        </w:rPr>
        <w:t xml:space="preserve"> (Accessed: </w:t>
      </w:r>
      <w:r w:rsidRPr="32B6A5EE" w:rsidR="35099A6A">
        <w:rPr>
          <w:i w:val="0"/>
          <w:iCs w:val="0"/>
          <w:sz w:val="22"/>
          <w:szCs w:val="22"/>
        </w:rPr>
        <w:t>19 March 2026).</w:t>
      </w:r>
    </w:p>
    <w:p w:rsidR="35099A6A" w:rsidP="32B6A5EE" w:rsidRDefault="35099A6A" w14:paraId="72BA1084" w14:textId="1C09613F">
      <w:pPr>
        <w:pStyle w:val="Normal"/>
        <w:spacing w:line="360" w:lineRule="auto"/>
        <w:rPr>
          <w:i w:val="0"/>
          <w:iCs w:val="0"/>
          <w:sz w:val="22"/>
          <w:szCs w:val="22"/>
        </w:rPr>
      </w:pPr>
      <w:r w:rsidRPr="32B6A5EE" w:rsidR="35099A6A">
        <w:rPr>
          <w:i w:val="0"/>
          <w:iCs w:val="0"/>
          <w:sz w:val="22"/>
          <w:szCs w:val="22"/>
        </w:rPr>
        <w:t>Chambers, D., Cantrell, A. and Booth, A. (2021)</w:t>
      </w:r>
      <w:r w:rsidRPr="32B6A5EE" w:rsidR="35099A6A">
        <w:rPr>
          <w:i w:val="1"/>
          <w:iCs w:val="1"/>
          <w:sz w:val="22"/>
          <w:szCs w:val="22"/>
        </w:rPr>
        <w:t xml:space="preserve"> </w:t>
      </w:r>
      <w:r w:rsidRPr="32B6A5EE" w:rsidR="70B622C5">
        <w:rPr>
          <w:i w:val="1"/>
          <w:iCs w:val="1"/>
          <w:sz w:val="22"/>
          <w:szCs w:val="22"/>
        </w:rPr>
        <w:t xml:space="preserve">Digital technologies in health and social care. </w:t>
      </w:r>
      <w:r w:rsidRPr="32B6A5EE" w:rsidR="70B622C5">
        <w:rPr>
          <w:i w:val="0"/>
          <w:iCs w:val="0"/>
          <w:sz w:val="22"/>
          <w:szCs w:val="22"/>
        </w:rPr>
        <w:t>Shef</w:t>
      </w:r>
      <w:r w:rsidRPr="32B6A5EE" w:rsidR="3C0B9157">
        <w:rPr>
          <w:i w:val="0"/>
          <w:iCs w:val="0"/>
          <w:sz w:val="22"/>
          <w:szCs w:val="22"/>
        </w:rPr>
        <w:t>field: University of Sheffield.</w:t>
      </w:r>
    </w:p>
    <w:p w:rsidR="1D1F0A45" w:rsidP="32B6A5EE" w:rsidRDefault="1D1F0A45" w14:paraId="1507464E" w14:textId="741B1632">
      <w:pPr>
        <w:pStyle w:val="Normal"/>
        <w:spacing w:line="360" w:lineRule="auto"/>
        <w:rPr>
          <w:i w:val="0"/>
          <w:iCs w:val="0"/>
          <w:sz w:val="22"/>
          <w:szCs w:val="22"/>
        </w:rPr>
      </w:pPr>
      <w:r w:rsidRPr="32B6A5EE" w:rsidR="1D1F0A45">
        <w:rPr>
          <w:i w:val="0"/>
          <w:iCs w:val="0"/>
          <w:sz w:val="22"/>
          <w:szCs w:val="22"/>
        </w:rPr>
        <w:t>Data Protection Act 2018. London: HMSO.</w:t>
      </w:r>
    </w:p>
    <w:p w:rsidR="2CA63EB6" w:rsidP="32B6A5EE" w:rsidRDefault="2CA63EB6" w14:paraId="4F5A22E2" w14:textId="662249F6">
      <w:pPr>
        <w:pStyle w:val="Normal"/>
        <w:spacing w:line="360" w:lineRule="auto"/>
        <w:rPr>
          <w:i w:val="0"/>
          <w:iCs w:val="0"/>
          <w:sz w:val="22"/>
          <w:szCs w:val="22"/>
        </w:rPr>
      </w:pPr>
      <w:r w:rsidRPr="32B6A5EE" w:rsidR="2CA63EB6">
        <w:rPr>
          <w:i w:val="0"/>
          <w:iCs w:val="0"/>
          <w:sz w:val="22"/>
          <w:szCs w:val="22"/>
        </w:rPr>
        <w:t>Edwards, D. and Best, S. (2020)</w:t>
      </w:r>
      <w:r w:rsidRPr="32B6A5EE" w:rsidR="2CA63EB6">
        <w:rPr>
          <w:i w:val="1"/>
          <w:iCs w:val="1"/>
          <w:sz w:val="22"/>
          <w:szCs w:val="22"/>
        </w:rPr>
        <w:t xml:space="preserve"> The text</w:t>
      </w:r>
      <w:r w:rsidRPr="32B6A5EE" w:rsidR="4DCBF380">
        <w:rPr>
          <w:i w:val="1"/>
          <w:iCs w:val="1"/>
          <w:sz w:val="22"/>
          <w:szCs w:val="22"/>
        </w:rPr>
        <w:t>book of health and social care.</w:t>
      </w:r>
      <w:r w:rsidRPr="32B6A5EE" w:rsidR="4DCBF380">
        <w:rPr>
          <w:i w:val="0"/>
          <w:iCs w:val="0"/>
          <w:sz w:val="22"/>
          <w:szCs w:val="22"/>
        </w:rPr>
        <w:t xml:space="preserve"> London</w:t>
      </w:r>
      <w:r w:rsidRPr="32B6A5EE" w:rsidR="6DFEAE36">
        <w:rPr>
          <w:i w:val="0"/>
          <w:iCs w:val="0"/>
          <w:sz w:val="22"/>
          <w:szCs w:val="22"/>
        </w:rPr>
        <w:t>: SAGE Publications.</w:t>
      </w:r>
    </w:p>
    <w:p w:rsidR="1D1F0A45" w:rsidP="32B6A5EE" w:rsidRDefault="1D1F0A45" w14:paraId="0E919BF0" w14:textId="0DECC74D">
      <w:pPr>
        <w:pStyle w:val="Normal"/>
        <w:spacing w:line="360" w:lineRule="auto"/>
        <w:rPr>
          <w:i w:val="0"/>
          <w:iCs w:val="0"/>
          <w:sz w:val="22"/>
          <w:szCs w:val="22"/>
        </w:rPr>
      </w:pPr>
      <w:r w:rsidRPr="32B6A5EE" w:rsidR="1D1F0A45">
        <w:rPr>
          <w:i w:val="0"/>
          <w:iCs w:val="0"/>
          <w:sz w:val="22"/>
          <w:szCs w:val="22"/>
        </w:rPr>
        <w:t>Equality Act 2010. London: HMSO.</w:t>
      </w:r>
    </w:p>
    <w:p w:rsidR="1D1F0A45" w:rsidP="32B6A5EE" w:rsidRDefault="1D1F0A45" w14:paraId="0F7A4500" w14:textId="3A993A4B">
      <w:pPr>
        <w:pStyle w:val="Normal"/>
        <w:spacing w:line="360" w:lineRule="auto"/>
        <w:rPr>
          <w:i w:val="0"/>
          <w:iCs w:val="0"/>
          <w:sz w:val="22"/>
          <w:szCs w:val="22"/>
        </w:rPr>
      </w:pPr>
      <w:r w:rsidRPr="32B6A5EE" w:rsidR="1D1F0A45">
        <w:rPr>
          <w:i w:val="0"/>
          <w:iCs w:val="0"/>
          <w:sz w:val="22"/>
          <w:szCs w:val="22"/>
        </w:rPr>
        <w:t>Gault, I. et al. (2016)</w:t>
      </w:r>
      <w:r w:rsidRPr="32B6A5EE" w:rsidR="1D1F0A45">
        <w:rPr>
          <w:i w:val="1"/>
          <w:iCs w:val="1"/>
          <w:sz w:val="22"/>
          <w:szCs w:val="22"/>
        </w:rPr>
        <w:t xml:space="preserve"> Communication in nursing and </w:t>
      </w:r>
      <w:r w:rsidRPr="32B6A5EE" w:rsidR="108010CB">
        <w:rPr>
          <w:i w:val="1"/>
          <w:iCs w:val="1"/>
          <w:sz w:val="22"/>
          <w:szCs w:val="22"/>
        </w:rPr>
        <w:t xml:space="preserve">healthcare. </w:t>
      </w:r>
      <w:r w:rsidRPr="32B6A5EE" w:rsidR="108010CB">
        <w:rPr>
          <w:i w:val="0"/>
          <w:iCs w:val="0"/>
          <w:sz w:val="22"/>
          <w:szCs w:val="22"/>
        </w:rPr>
        <w:t>London: SAGE Publications.</w:t>
      </w:r>
    </w:p>
    <w:p w:rsidR="1A1A36A5" w:rsidP="32B6A5EE" w:rsidRDefault="1A1A36A5" w14:paraId="53FFD6C0" w14:textId="35E9B6C4">
      <w:pPr>
        <w:pStyle w:val="Normal"/>
        <w:spacing w:line="360" w:lineRule="auto"/>
        <w:rPr>
          <w:i w:val="0"/>
          <w:iCs w:val="0"/>
          <w:sz w:val="22"/>
          <w:szCs w:val="22"/>
        </w:rPr>
      </w:pPr>
      <w:r w:rsidRPr="32B6A5EE" w:rsidR="1A1A36A5">
        <w:rPr>
          <w:i w:val="0"/>
          <w:iCs w:val="0"/>
          <w:sz w:val="22"/>
          <w:szCs w:val="22"/>
        </w:rPr>
        <w:t xml:space="preserve">Glasby, J. (2017) </w:t>
      </w:r>
      <w:r w:rsidRPr="32B6A5EE" w:rsidR="1A1A36A5">
        <w:rPr>
          <w:i w:val="1"/>
          <w:iCs w:val="1"/>
          <w:sz w:val="22"/>
          <w:szCs w:val="22"/>
        </w:rPr>
        <w:t xml:space="preserve">Understanding health and social </w:t>
      </w:r>
      <w:r w:rsidRPr="32B6A5EE" w:rsidR="188979CF">
        <w:rPr>
          <w:i w:val="1"/>
          <w:iCs w:val="1"/>
          <w:sz w:val="22"/>
          <w:szCs w:val="22"/>
        </w:rPr>
        <w:t xml:space="preserve">care. </w:t>
      </w:r>
      <w:r w:rsidRPr="32B6A5EE" w:rsidR="188979CF">
        <w:rPr>
          <w:i w:val="0"/>
          <w:iCs w:val="0"/>
          <w:sz w:val="22"/>
          <w:szCs w:val="22"/>
        </w:rPr>
        <w:t>3</w:t>
      </w:r>
      <w:r w:rsidRPr="32B6A5EE" w:rsidR="188979CF">
        <w:rPr>
          <w:i w:val="0"/>
          <w:iCs w:val="0"/>
          <w:sz w:val="22"/>
          <w:szCs w:val="22"/>
          <w:vertAlign w:val="superscript"/>
        </w:rPr>
        <w:t>rd</w:t>
      </w:r>
      <w:r w:rsidRPr="32B6A5EE" w:rsidR="188979CF">
        <w:rPr>
          <w:i w:val="0"/>
          <w:iCs w:val="0"/>
          <w:sz w:val="22"/>
          <w:szCs w:val="22"/>
        </w:rPr>
        <w:t xml:space="preserve"> </w:t>
      </w:r>
      <w:r w:rsidRPr="32B6A5EE" w:rsidR="188979CF">
        <w:rPr>
          <w:i w:val="0"/>
          <w:iCs w:val="0"/>
          <w:sz w:val="22"/>
          <w:szCs w:val="22"/>
        </w:rPr>
        <w:t>edn</w:t>
      </w:r>
      <w:r w:rsidRPr="32B6A5EE" w:rsidR="188979CF">
        <w:rPr>
          <w:i w:val="0"/>
          <w:iCs w:val="0"/>
          <w:sz w:val="22"/>
          <w:szCs w:val="22"/>
        </w:rPr>
        <w:t>. Bristol: Policy P</w:t>
      </w:r>
      <w:r w:rsidRPr="32B6A5EE" w:rsidR="21E448A0">
        <w:rPr>
          <w:i w:val="0"/>
          <w:iCs w:val="0"/>
          <w:sz w:val="22"/>
          <w:szCs w:val="22"/>
        </w:rPr>
        <w:t>ress.</w:t>
      </w:r>
    </w:p>
    <w:p w:rsidR="21E448A0" w:rsidP="32B6A5EE" w:rsidRDefault="21E448A0" w14:paraId="17B8835A" w14:textId="44852392">
      <w:pPr>
        <w:pStyle w:val="Normal"/>
        <w:spacing w:line="360" w:lineRule="auto"/>
        <w:rPr>
          <w:i w:val="0"/>
          <w:iCs w:val="0"/>
          <w:sz w:val="22"/>
          <w:szCs w:val="22"/>
        </w:rPr>
      </w:pPr>
      <w:r w:rsidRPr="32B6A5EE" w:rsidR="21E448A0">
        <w:rPr>
          <w:i w:val="0"/>
          <w:iCs w:val="0"/>
          <w:sz w:val="22"/>
          <w:szCs w:val="22"/>
        </w:rPr>
        <w:t xml:space="preserve">Glasby, J. and Dickinson, H. (2014) </w:t>
      </w:r>
      <w:r w:rsidRPr="32B6A5EE" w:rsidR="21E448A0">
        <w:rPr>
          <w:i w:val="1"/>
          <w:iCs w:val="1"/>
          <w:sz w:val="22"/>
          <w:szCs w:val="22"/>
        </w:rPr>
        <w:t>Pa</w:t>
      </w:r>
      <w:r w:rsidRPr="32B6A5EE" w:rsidR="290CEF02">
        <w:rPr>
          <w:i w:val="1"/>
          <w:iCs w:val="1"/>
          <w:sz w:val="22"/>
          <w:szCs w:val="22"/>
        </w:rPr>
        <w:t>rtnership working in health and social care.</w:t>
      </w:r>
      <w:r w:rsidRPr="32B6A5EE" w:rsidR="290CEF02">
        <w:rPr>
          <w:i w:val="0"/>
          <w:iCs w:val="0"/>
          <w:sz w:val="22"/>
          <w:szCs w:val="22"/>
        </w:rPr>
        <w:t xml:space="preserve"> Bristol; Policy Press.</w:t>
      </w:r>
    </w:p>
    <w:p w:rsidR="32B6A5EE" w:rsidP="32B6A5EE" w:rsidRDefault="32B6A5EE" w14:paraId="1979D7D3" w14:textId="680D4B68">
      <w:pPr>
        <w:pStyle w:val="Normal"/>
        <w:rPr>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Qvsp9Xjs" int2:invalidationBookmarkName="" int2:hashCode="e0dMsLOcF3PXGS" int2:id="cS7wq3si">
      <int2:state int2:type="style" int2:value="Rejected"/>
    </int2:bookmark>
    <int2:bookmark int2:bookmarkName="_Int_M88NyDvU" int2:invalidationBookmarkName="" int2:hashCode="ZdGjZKcdQXLN1H" int2:id="Bo52E9mF">
      <int2:state int2:type="style" int2:value="Rejected"/>
    </int2:bookmark>
    <int2:bookmark int2:bookmarkName="_Int_QMilyPbj" int2:invalidationBookmarkName="" int2:hashCode="ZdGjZKcdQXLN1H" int2:id="CBh2FmNB">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4710BD"/>
    <w:rsid w:val="002782CE"/>
    <w:rsid w:val="0060AF5F"/>
    <w:rsid w:val="0106DF8D"/>
    <w:rsid w:val="0106DF8D"/>
    <w:rsid w:val="01103746"/>
    <w:rsid w:val="01D25895"/>
    <w:rsid w:val="02D27CEE"/>
    <w:rsid w:val="034AB4C7"/>
    <w:rsid w:val="034BD572"/>
    <w:rsid w:val="042FFC12"/>
    <w:rsid w:val="042FFC12"/>
    <w:rsid w:val="050EC362"/>
    <w:rsid w:val="0565FDE8"/>
    <w:rsid w:val="0565FDE8"/>
    <w:rsid w:val="056BB1D7"/>
    <w:rsid w:val="0574C1AB"/>
    <w:rsid w:val="058913F4"/>
    <w:rsid w:val="059FB7D3"/>
    <w:rsid w:val="059FB7D3"/>
    <w:rsid w:val="05CFA2FF"/>
    <w:rsid w:val="08B0A67E"/>
    <w:rsid w:val="0A1745E5"/>
    <w:rsid w:val="0AE10064"/>
    <w:rsid w:val="0B20D0AB"/>
    <w:rsid w:val="0B4DB358"/>
    <w:rsid w:val="0BAFC8AF"/>
    <w:rsid w:val="0BBC382B"/>
    <w:rsid w:val="0CD86722"/>
    <w:rsid w:val="0D4A9C7A"/>
    <w:rsid w:val="0E9785C6"/>
    <w:rsid w:val="0E9785C6"/>
    <w:rsid w:val="0EC504DA"/>
    <w:rsid w:val="0F741C2F"/>
    <w:rsid w:val="0F9CED06"/>
    <w:rsid w:val="106267A2"/>
    <w:rsid w:val="106267A2"/>
    <w:rsid w:val="1069A1DC"/>
    <w:rsid w:val="1069A1DC"/>
    <w:rsid w:val="108010CB"/>
    <w:rsid w:val="111014C0"/>
    <w:rsid w:val="115816E9"/>
    <w:rsid w:val="115816E9"/>
    <w:rsid w:val="117DE2A6"/>
    <w:rsid w:val="1215BA74"/>
    <w:rsid w:val="128C9613"/>
    <w:rsid w:val="128F2869"/>
    <w:rsid w:val="12C95AAD"/>
    <w:rsid w:val="12E2A9D3"/>
    <w:rsid w:val="1313DCA7"/>
    <w:rsid w:val="136ECF11"/>
    <w:rsid w:val="137C20A7"/>
    <w:rsid w:val="13998935"/>
    <w:rsid w:val="13998935"/>
    <w:rsid w:val="140F4625"/>
    <w:rsid w:val="140FA1F6"/>
    <w:rsid w:val="14585394"/>
    <w:rsid w:val="14585394"/>
    <w:rsid w:val="1488D2DF"/>
    <w:rsid w:val="14BE052F"/>
    <w:rsid w:val="14E793AC"/>
    <w:rsid w:val="15B266E5"/>
    <w:rsid w:val="15C93B64"/>
    <w:rsid w:val="15D45DBD"/>
    <w:rsid w:val="15D45DBD"/>
    <w:rsid w:val="1621356E"/>
    <w:rsid w:val="16A0494B"/>
    <w:rsid w:val="16FEED26"/>
    <w:rsid w:val="1745213F"/>
    <w:rsid w:val="1745213F"/>
    <w:rsid w:val="175E929D"/>
    <w:rsid w:val="17C66B6D"/>
    <w:rsid w:val="17F9C9DC"/>
    <w:rsid w:val="188979CF"/>
    <w:rsid w:val="18C26B63"/>
    <w:rsid w:val="18D4E220"/>
    <w:rsid w:val="19396E7A"/>
    <w:rsid w:val="196FA43B"/>
    <w:rsid w:val="1A08967C"/>
    <w:rsid w:val="1A1A36A5"/>
    <w:rsid w:val="1A2B446E"/>
    <w:rsid w:val="1A46F9AA"/>
    <w:rsid w:val="1A5264E1"/>
    <w:rsid w:val="1A817CD3"/>
    <w:rsid w:val="1A817CD3"/>
    <w:rsid w:val="1AE82B53"/>
    <w:rsid w:val="1BD07759"/>
    <w:rsid w:val="1BD48B2F"/>
    <w:rsid w:val="1BF77B4B"/>
    <w:rsid w:val="1C6EB08D"/>
    <w:rsid w:val="1C94303E"/>
    <w:rsid w:val="1CAA3968"/>
    <w:rsid w:val="1CE964A2"/>
    <w:rsid w:val="1CFA1952"/>
    <w:rsid w:val="1D1F0A45"/>
    <w:rsid w:val="1D4434E1"/>
    <w:rsid w:val="1D4A8D23"/>
    <w:rsid w:val="1D4A8D23"/>
    <w:rsid w:val="1E3FBBAA"/>
    <w:rsid w:val="1EC49BFC"/>
    <w:rsid w:val="1ECD2EA8"/>
    <w:rsid w:val="1F8528F8"/>
    <w:rsid w:val="1F8528F8"/>
    <w:rsid w:val="2061C899"/>
    <w:rsid w:val="2100C3F5"/>
    <w:rsid w:val="2158ED60"/>
    <w:rsid w:val="218B64C6"/>
    <w:rsid w:val="21B6F08E"/>
    <w:rsid w:val="21C0C777"/>
    <w:rsid w:val="21C0C777"/>
    <w:rsid w:val="21E448A0"/>
    <w:rsid w:val="2243ECED"/>
    <w:rsid w:val="2243ECED"/>
    <w:rsid w:val="2396F305"/>
    <w:rsid w:val="242053E3"/>
    <w:rsid w:val="247FF733"/>
    <w:rsid w:val="24D6C794"/>
    <w:rsid w:val="25116C96"/>
    <w:rsid w:val="2672F7DB"/>
    <w:rsid w:val="276D594A"/>
    <w:rsid w:val="27BE98B7"/>
    <w:rsid w:val="28105357"/>
    <w:rsid w:val="28DBC66B"/>
    <w:rsid w:val="28F15B70"/>
    <w:rsid w:val="290CEF02"/>
    <w:rsid w:val="295303EA"/>
    <w:rsid w:val="29E4F055"/>
    <w:rsid w:val="29E7714C"/>
    <w:rsid w:val="2A892DCE"/>
    <w:rsid w:val="2AEF281D"/>
    <w:rsid w:val="2B1B98A3"/>
    <w:rsid w:val="2B1B98A3"/>
    <w:rsid w:val="2B212AB3"/>
    <w:rsid w:val="2C429A46"/>
    <w:rsid w:val="2C5A6EE1"/>
    <w:rsid w:val="2CA63EB6"/>
    <w:rsid w:val="2CE45E71"/>
    <w:rsid w:val="2CF00DA0"/>
    <w:rsid w:val="2CF00DA0"/>
    <w:rsid w:val="2CFB07B6"/>
    <w:rsid w:val="2D073948"/>
    <w:rsid w:val="2D073948"/>
    <w:rsid w:val="2D0FAE9A"/>
    <w:rsid w:val="2D993FC4"/>
    <w:rsid w:val="2E1644D6"/>
    <w:rsid w:val="2E3588DB"/>
    <w:rsid w:val="2EA0BD1D"/>
    <w:rsid w:val="2F3B87F4"/>
    <w:rsid w:val="2F44B2DA"/>
    <w:rsid w:val="2F9A9FF0"/>
    <w:rsid w:val="2FD2BA57"/>
    <w:rsid w:val="2FD2BA57"/>
    <w:rsid w:val="2FF93512"/>
    <w:rsid w:val="30805BED"/>
    <w:rsid w:val="3093D747"/>
    <w:rsid w:val="327F4F05"/>
    <w:rsid w:val="32B6A5EE"/>
    <w:rsid w:val="32D9B3FB"/>
    <w:rsid w:val="3307E44A"/>
    <w:rsid w:val="330F9448"/>
    <w:rsid w:val="343B142B"/>
    <w:rsid w:val="34B6B244"/>
    <w:rsid w:val="34B6B244"/>
    <w:rsid w:val="35099A6A"/>
    <w:rsid w:val="353CB6E6"/>
    <w:rsid w:val="35959CCD"/>
    <w:rsid w:val="35959CCD"/>
    <w:rsid w:val="35B77BFC"/>
    <w:rsid w:val="35B79469"/>
    <w:rsid w:val="3638743B"/>
    <w:rsid w:val="3638743B"/>
    <w:rsid w:val="366BFD74"/>
    <w:rsid w:val="3683FCB4"/>
    <w:rsid w:val="368DE1F9"/>
    <w:rsid w:val="36A4B5CB"/>
    <w:rsid w:val="377DB61E"/>
    <w:rsid w:val="383E7677"/>
    <w:rsid w:val="38C17DAC"/>
    <w:rsid w:val="38E3B3FE"/>
    <w:rsid w:val="38E8E9F1"/>
    <w:rsid w:val="3938F3C0"/>
    <w:rsid w:val="3975E503"/>
    <w:rsid w:val="39C5734D"/>
    <w:rsid w:val="3A77A6DF"/>
    <w:rsid w:val="3A8D2471"/>
    <w:rsid w:val="3A8D2471"/>
    <w:rsid w:val="3AE42475"/>
    <w:rsid w:val="3AE42475"/>
    <w:rsid w:val="3B0358F7"/>
    <w:rsid w:val="3BAE6B92"/>
    <w:rsid w:val="3C0B9157"/>
    <w:rsid w:val="3C4B5A1E"/>
    <w:rsid w:val="3C4B6125"/>
    <w:rsid w:val="3C4DEB1D"/>
    <w:rsid w:val="3C866DCE"/>
    <w:rsid w:val="3C866DCE"/>
    <w:rsid w:val="3CAD1618"/>
    <w:rsid w:val="3D5474E3"/>
    <w:rsid w:val="3D77B3F7"/>
    <w:rsid w:val="3E3A33EF"/>
    <w:rsid w:val="3F07C511"/>
    <w:rsid w:val="3F36ACB6"/>
    <w:rsid w:val="3F92FD23"/>
    <w:rsid w:val="3FF559EB"/>
    <w:rsid w:val="3FF559EB"/>
    <w:rsid w:val="40A4E3C3"/>
    <w:rsid w:val="40A4E3C3"/>
    <w:rsid w:val="40DD7244"/>
    <w:rsid w:val="40DD7244"/>
    <w:rsid w:val="418C048B"/>
    <w:rsid w:val="419D9E3B"/>
    <w:rsid w:val="419FE3C1"/>
    <w:rsid w:val="41BBF537"/>
    <w:rsid w:val="41EF9044"/>
    <w:rsid w:val="42DAD487"/>
    <w:rsid w:val="4370DB8C"/>
    <w:rsid w:val="438C88A4"/>
    <w:rsid w:val="438C88A4"/>
    <w:rsid w:val="4393EEFB"/>
    <w:rsid w:val="4458BA83"/>
    <w:rsid w:val="448C6665"/>
    <w:rsid w:val="45872E21"/>
    <w:rsid w:val="45872E21"/>
    <w:rsid w:val="465CA341"/>
    <w:rsid w:val="46F9122C"/>
    <w:rsid w:val="46F9122C"/>
    <w:rsid w:val="4742FEE6"/>
    <w:rsid w:val="4895E9B0"/>
    <w:rsid w:val="4895E9B0"/>
    <w:rsid w:val="48FA741D"/>
    <w:rsid w:val="494710BD"/>
    <w:rsid w:val="496AFACD"/>
    <w:rsid w:val="4A690298"/>
    <w:rsid w:val="4A729379"/>
    <w:rsid w:val="4A729379"/>
    <w:rsid w:val="4A954D50"/>
    <w:rsid w:val="4AB7A88A"/>
    <w:rsid w:val="4AB7A88A"/>
    <w:rsid w:val="4AFEBAE3"/>
    <w:rsid w:val="4B25C7F0"/>
    <w:rsid w:val="4B25C7F0"/>
    <w:rsid w:val="4B6CEC0C"/>
    <w:rsid w:val="4BC4F8A4"/>
    <w:rsid w:val="4BFA0E6D"/>
    <w:rsid w:val="4C01F683"/>
    <w:rsid w:val="4C01F683"/>
    <w:rsid w:val="4C5F5FC9"/>
    <w:rsid w:val="4C7D4118"/>
    <w:rsid w:val="4CAE7B47"/>
    <w:rsid w:val="4CC8742F"/>
    <w:rsid w:val="4D2616CF"/>
    <w:rsid w:val="4D6288F5"/>
    <w:rsid w:val="4DCBF380"/>
    <w:rsid w:val="4E1C93C6"/>
    <w:rsid w:val="4E1D4928"/>
    <w:rsid w:val="4E25B6D9"/>
    <w:rsid w:val="4FEA9EDA"/>
    <w:rsid w:val="4FEA9EDA"/>
    <w:rsid w:val="502ACE6A"/>
    <w:rsid w:val="505A4016"/>
    <w:rsid w:val="50AB8870"/>
    <w:rsid w:val="50E84A42"/>
    <w:rsid w:val="50E84A42"/>
    <w:rsid w:val="51047FF9"/>
    <w:rsid w:val="51463A54"/>
    <w:rsid w:val="51B12D64"/>
    <w:rsid w:val="51C0ADDC"/>
    <w:rsid w:val="51F3CB8F"/>
    <w:rsid w:val="51F3CB8F"/>
    <w:rsid w:val="523D36B2"/>
    <w:rsid w:val="5276D9B3"/>
    <w:rsid w:val="529E9A0A"/>
    <w:rsid w:val="52E11228"/>
    <w:rsid w:val="53EDCA18"/>
    <w:rsid w:val="53FCD9F7"/>
    <w:rsid w:val="53FCD9F7"/>
    <w:rsid w:val="543FD021"/>
    <w:rsid w:val="54481844"/>
    <w:rsid w:val="54BCDF4E"/>
    <w:rsid w:val="54D0AE5F"/>
    <w:rsid w:val="54EDF07E"/>
    <w:rsid w:val="560242DE"/>
    <w:rsid w:val="56D2B877"/>
    <w:rsid w:val="56DADFA7"/>
    <w:rsid w:val="56FEB0D4"/>
    <w:rsid w:val="57363F86"/>
    <w:rsid w:val="5758F564"/>
    <w:rsid w:val="5758F564"/>
    <w:rsid w:val="58188362"/>
    <w:rsid w:val="58188362"/>
    <w:rsid w:val="58CC7AD2"/>
    <w:rsid w:val="58D927CF"/>
    <w:rsid w:val="58D927CF"/>
    <w:rsid w:val="5A845357"/>
    <w:rsid w:val="5AC1E559"/>
    <w:rsid w:val="5B0D05CE"/>
    <w:rsid w:val="5C90855F"/>
    <w:rsid w:val="5D604463"/>
    <w:rsid w:val="5D735271"/>
    <w:rsid w:val="5DD691A7"/>
    <w:rsid w:val="5DEF36C5"/>
    <w:rsid w:val="5E6B7F47"/>
    <w:rsid w:val="5E86171D"/>
    <w:rsid w:val="5ED516EB"/>
    <w:rsid w:val="5F1B80DB"/>
    <w:rsid w:val="5FC1194B"/>
    <w:rsid w:val="6060CA9A"/>
    <w:rsid w:val="6080E578"/>
    <w:rsid w:val="613F0164"/>
    <w:rsid w:val="6179BB99"/>
    <w:rsid w:val="61CA4356"/>
    <w:rsid w:val="6216F011"/>
    <w:rsid w:val="62844E00"/>
    <w:rsid w:val="6285C03A"/>
    <w:rsid w:val="63A2936F"/>
    <w:rsid w:val="63D93FF0"/>
    <w:rsid w:val="63E00168"/>
    <w:rsid w:val="63E00168"/>
    <w:rsid w:val="641D7EE0"/>
    <w:rsid w:val="64D800DB"/>
    <w:rsid w:val="655634D9"/>
    <w:rsid w:val="657DC5DB"/>
    <w:rsid w:val="65B032A3"/>
    <w:rsid w:val="65B27BF2"/>
    <w:rsid w:val="6613FB15"/>
    <w:rsid w:val="6613FB15"/>
    <w:rsid w:val="67849DCF"/>
    <w:rsid w:val="67B0D430"/>
    <w:rsid w:val="67B0D430"/>
    <w:rsid w:val="6855D08A"/>
    <w:rsid w:val="686DDEDD"/>
    <w:rsid w:val="68EC0CF0"/>
    <w:rsid w:val="69610F75"/>
    <w:rsid w:val="69E701EF"/>
    <w:rsid w:val="6A0DD2D4"/>
    <w:rsid w:val="6A0DD2D4"/>
    <w:rsid w:val="6A35ABE0"/>
    <w:rsid w:val="6A594C37"/>
    <w:rsid w:val="6A6B5F4B"/>
    <w:rsid w:val="6A6B5F4B"/>
    <w:rsid w:val="6A8BF4B1"/>
    <w:rsid w:val="6ADB04FF"/>
    <w:rsid w:val="6B44BBCD"/>
    <w:rsid w:val="6BAD407A"/>
    <w:rsid w:val="6BC78B75"/>
    <w:rsid w:val="6BDC59B2"/>
    <w:rsid w:val="6BDC59B2"/>
    <w:rsid w:val="6C3097D2"/>
    <w:rsid w:val="6C3097D2"/>
    <w:rsid w:val="6C6BFD83"/>
    <w:rsid w:val="6C7A4807"/>
    <w:rsid w:val="6C7A4807"/>
    <w:rsid w:val="6DAF669F"/>
    <w:rsid w:val="6DC60CFE"/>
    <w:rsid w:val="6DFEAE36"/>
    <w:rsid w:val="6E2146D2"/>
    <w:rsid w:val="6E30183C"/>
    <w:rsid w:val="6E352E7A"/>
    <w:rsid w:val="6E352E7A"/>
    <w:rsid w:val="6E6A105C"/>
    <w:rsid w:val="6EDABF6D"/>
    <w:rsid w:val="6EF68B51"/>
    <w:rsid w:val="6EF68B51"/>
    <w:rsid w:val="6F155572"/>
    <w:rsid w:val="6F8E578E"/>
    <w:rsid w:val="70140B1F"/>
    <w:rsid w:val="7015A5CD"/>
    <w:rsid w:val="7015A5CD"/>
    <w:rsid w:val="709B60F7"/>
    <w:rsid w:val="70B622C5"/>
    <w:rsid w:val="70D4C2E6"/>
    <w:rsid w:val="71213898"/>
    <w:rsid w:val="71832E07"/>
    <w:rsid w:val="71AB8616"/>
    <w:rsid w:val="71B30020"/>
    <w:rsid w:val="71EAA812"/>
    <w:rsid w:val="71EB1ACD"/>
    <w:rsid w:val="7216502E"/>
    <w:rsid w:val="7245C874"/>
    <w:rsid w:val="72A16A70"/>
    <w:rsid w:val="72BD32DD"/>
    <w:rsid w:val="733477CB"/>
    <w:rsid w:val="73BF601A"/>
    <w:rsid w:val="73BF601A"/>
    <w:rsid w:val="73F55C7A"/>
    <w:rsid w:val="74633783"/>
    <w:rsid w:val="749C12E4"/>
    <w:rsid w:val="75FBD661"/>
    <w:rsid w:val="7601D5D2"/>
    <w:rsid w:val="7601D5D2"/>
    <w:rsid w:val="760E7357"/>
    <w:rsid w:val="7611FB94"/>
    <w:rsid w:val="762E8C97"/>
    <w:rsid w:val="766DDD39"/>
    <w:rsid w:val="766F314E"/>
    <w:rsid w:val="7688D8A4"/>
    <w:rsid w:val="76F82664"/>
    <w:rsid w:val="77CFFD22"/>
    <w:rsid w:val="77D498D0"/>
    <w:rsid w:val="77D6D74F"/>
    <w:rsid w:val="7820846E"/>
    <w:rsid w:val="782774FE"/>
    <w:rsid w:val="78CC9C97"/>
    <w:rsid w:val="79085872"/>
    <w:rsid w:val="7951714C"/>
    <w:rsid w:val="7ACDFF84"/>
    <w:rsid w:val="7AEB9584"/>
    <w:rsid w:val="7AFAC3B8"/>
    <w:rsid w:val="7AFAC3B8"/>
    <w:rsid w:val="7B9C2660"/>
    <w:rsid w:val="7BC7AFD3"/>
    <w:rsid w:val="7C2FD105"/>
    <w:rsid w:val="7C59D061"/>
    <w:rsid w:val="7C639ECD"/>
    <w:rsid w:val="7C639ECD"/>
    <w:rsid w:val="7C72D4CF"/>
    <w:rsid w:val="7C77DD91"/>
    <w:rsid w:val="7C9B3DA6"/>
    <w:rsid w:val="7CAE05D4"/>
    <w:rsid w:val="7CBF3368"/>
    <w:rsid w:val="7CBF3368"/>
    <w:rsid w:val="7CC1BAF7"/>
    <w:rsid w:val="7CD4DB04"/>
    <w:rsid w:val="7CD4DB04"/>
    <w:rsid w:val="7D854733"/>
    <w:rsid w:val="7DB6FCCA"/>
    <w:rsid w:val="7DE035D5"/>
    <w:rsid w:val="7E840719"/>
    <w:rsid w:val="7E840719"/>
    <w:rsid w:val="7F24463E"/>
    <w:rsid w:val="7F24463E"/>
    <w:rsid w:val="7FA08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E155C"/>
  <w15:chartTrackingRefBased/>
  <w15:docId w15:val="{ED8D0093-E036-4644-92A1-79F2D4EDD0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C5F5FC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C5F5FC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C5F5FC9"/>
    <w:rPr>
      <w:color w:val="467886"/>
      <w:u w:val="single"/>
    </w:rPr>
  </w:style>
  <w:style w:type="paragraph" w:styleId="TOC1">
    <w:uiPriority w:val="39"/>
    <w:name w:val="toc 1"/>
    <w:basedOn w:val="Normal"/>
    <w:next w:val="Normal"/>
    <w:unhideWhenUsed/>
    <w:rsid w:val="4C5F5FC9"/>
    <w:pPr>
      <w:spacing w:after="100"/>
    </w:pPr>
  </w:style>
  <w:style w:type="paragraph" w:styleId="TOC2">
    <w:uiPriority w:val="39"/>
    <w:name w:val="toc 2"/>
    <w:basedOn w:val="Normal"/>
    <w:next w:val="Normal"/>
    <w:unhideWhenUsed/>
    <w:rsid w:val="4C5F5FC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82458560" /><Relationship Type="http://schemas.microsoft.com/office/2020/10/relationships/intelligence" Target="/word/intelligence2.xml" Id="Ra2a59806f1d440c3" /><Relationship Type="http://schemas.openxmlformats.org/officeDocument/2006/relationships/hyperlink" Target="https://www.cqc.org.uk" TargetMode="External" Id="Rb7d62729bbdc4a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McKinlay (2507264)</dc:creator>
  <keywords/>
  <dc:description/>
  <lastModifiedBy>Natasha McKinlay (2507264)</lastModifiedBy>
  <revision>4</revision>
  <dcterms:created xsi:type="dcterms:W3CDTF">2026-03-09T12:55:17.9229224Z</dcterms:created>
  <dcterms:modified xsi:type="dcterms:W3CDTF">2026-03-09T19:25:01.7819677Z</dcterms:modified>
</coreProperties>
</file>