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656DC24">
      <w:pPr>
        <w:pStyle w:val="51"/>
        <w:spacing w:before="1540" w:after="240"/>
        <w:jc w:val="center"/>
        <w:rPr>
          <w:color w:val="4472C4" w:themeColor="accent1"/>
          <w14:textFill>
            <w14:solidFill>
              <w14:schemeClr w14:val="accent1"/>
            </w14:solidFill>
          </w14:textFill>
        </w:rPr>
      </w:pPr>
      <w:bookmarkStart w:id="21" w:name="_GoBack"/>
      <w:r>
        <w:rPr>
          <w:color w:val="4472C4"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End w:id="21"/>
    </w:p>
    <w:p w14:paraId="3305008D">
      <w:pPr>
        <w:pStyle w:val="51"/>
        <w:jc w:val="center"/>
        <w:rPr>
          <w:rFonts w:asciiTheme="majorHAnsi" w:hAnsiTheme="majorHAnsi" w:eastAsiaTheme="majorEastAsia" w:cstheme="majorBidi"/>
          <w:caps/>
          <w:color w:val="4472C4" w:themeColor="accent1"/>
          <w:sz w:val="72"/>
          <w:szCs w:val="72"/>
          <w14:textFill>
            <w14:solidFill>
              <w14:schemeClr w14:val="accent1"/>
            </w14:solidFill>
          </w14:textFill>
        </w:rPr>
      </w:pPr>
      <w:r>
        <w:rPr>
          <w:rFonts w:asciiTheme="majorHAnsi" w:hAnsiTheme="majorHAnsi" w:eastAsiaTheme="majorEastAsia" w:cstheme="majorBidi"/>
          <w:caps/>
          <w:color w:val="4472C4" w:themeColor="accent1"/>
          <w:sz w:val="72"/>
          <w:szCs w:val="72"/>
          <w14:textFill>
            <w14:solidFill>
              <w14:schemeClr w14:val="accent1"/>
            </w14:solidFill>
          </w14:textFill>
        </w:rPr>
        <w:t xml:space="preserve">Finance for Business Managers </w:t>
      </w:r>
    </w:p>
    <w:p w14:paraId="5A1E0C01">
      <w:pPr>
        <w:pStyle w:val="51"/>
        <w:jc w:val="center"/>
        <w:rPr>
          <w:color w:val="4472C4" w:themeColor="accent1"/>
          <w:sz w:val="28"/>
          <w:szCs w:val="28"/>
          <w14:textFill>
            <w14:solidFill>
              <w14:schemeClr w14:val="accent1"/>
            </w14:solidFill>
          </w14:textFill>
        </w:rPr>
      </w:pPr>
      <w:sdt>
        <w:sdtPr>
          <w:rPr>
            <w:color w:val="4472C4" w:themeColor="accent1"/>
            <w:sz w:val="28"/>
            <w:szCs w:val="28"/>
            <w14:textFill>
              <w14:solidFill>
                <w14:schemeClr w14:val="accent1"/>
              </w14:solidFill>
            </w14:textFill>
          </w:rPr>
          <w:alias w:val="Subtitle"/>
          <w:id w:val="328029620"/>
          <w:text/>
        </w:sdtPr>
        <w:sdtEndPr>
          <w:rPr>
            <w:color w:val="4472C4" w:themeColor="accent1"/>
            <w:sz w:val="28"/>
            <w:szCs w:val="28"/>
            <w14:textFill>
              <w14:solidFill>
                <w14:schemeClr w14:val="accent1"/>
              </w14:solidFill>
            </w14:textFill>
          </w:rPr>
        </w:sdtEndPr>
        <w:sdtContent>
          <w:r>
            <w:rPr>
              <w:color w:val="4472C4" w:themeColor="accent1"/>
              <w:sz w:val="28"/>
              <w:szCs w:val="28"/>
              <w14:textFill>
                <w14:solidFill>
                  <w14:schemeClr w14:val="accent1"/>
                </w14:solidFill>
              </w14:textFill>
            </w:rPr>
            <w:t>Financial Performance and Investment Appraisal Report</w:t>
          </w:r>
        </w:sdtContent>
      </w:sdt>
    </w:p>
    <w:p w14:paraId="4DBF78F9">
      <w:pPr>
        <w:pStyle w:val="51"/>
        <w:spacing w:before="480"/>
        <w:jc w:val="center"/>
        <w:rPr>
          <w:color w:val="4472C4" w:themeColor="accent1"/>
          <w14:textFill>
            <w14:solidFill>
              <w14:schemeClr w14:val="accent1"/>
            </w14:solidFill>
          </w14:textFill>
        </w:rPr>
      </w:pPr>
      <w:r>
        <w:rPr>
          <w:color w:val="4472C4"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14:textFill>
                                  <w14:solidFill>
                                    <w14:schemeClr w14:val="accent1"/>
                                  </w14:solidFill>
                                </w14:textFill>
                              </w:rPr>
                              <w:alias w:val="Date"/>
                              <w:id w:val="197127006"/>
                              <w:showingPlcHdr/>
                              <w:date>
                                <w:dateFormat w:val="MMMM d, yyyy"/>
                                <w:lid w:val="en-US"/>
                                <w:storeMappedDataAs w:val="datetime"/>
                                <w:calendar w:val="gregorian"/>
                              </w:date>
                            </w:sdtPr>
                            <w:sdtEndPr>
                              <w:rPr>
                                <w:caps/>
                                <w:color w:val="4472C4" w:themeColor="accent1"/>
                                <w:sz w:val="28"/>
                                <w:szCs w:val="28"/>
                                <w14:textFill>
                                  <w14:solidFill>
                                    <w14:schemeClr w14:val="accent1"/>
                                  </w14:solidFill>
                                </w14:textFill>
                              </w:rPr>
                            </w:sdtEndPr>
                            <w:sdtContent>
                              <w:p w14:paraId="1C65AFDA">
                                <w:pPr>
                                  <w:pStyle w:val="51"/>
                                  <w:spacing w:after="40"/>
                                  <w:jc w:val="center"/>
                                  <w:rPr>
                                    <w:caps/>
                                    <w:color w:val="4472C4" w:themeColor="accent1"/>
                                    <w:sz w:val="28"/>
                                    <w:szCs w:val="28"/>
                                    <w14:textFill>
                                      <w14:solidFill>
                                        <w14:schemeClr w14:val="accent1"/>
                                      </w14:solidFill>
                                    </w14:textFill>
                                  </w:rPr>
                                </w:pPr>
                                <w:r>
                                  <w:rPr>
                                    <w:caps/>
                                    <w:color w:val="4472C4" w:themeColor="accent1"/>
                                    <w:sz w:val="28"/>
                                    <w:szCs w:val="28"/>
                                    <w14:textFill>
                                      <w14:solidFill>
                                        <w14:schemeClr w14:val="accent1"/>
                                      </w14:solidFill>
                                    </w14:textFill>
                                  </w:rPr>
                                  <w:t>[Date]</w:t>
                                </w:r>
                              </w:p>
                            </w:sdtContent>
                          </w:sdt>
                          <w:p w14:paraId="04180C59">
                            <w:pPr>
                              <w:pStyle w:val="51"/>
                              <w:jc w:val="center"/>
                              <w:rPr>
                                <w:color w:val="4472C4" w:themeColor="accent1"/>
                                <w14:textFill>
                                  <w14:solidFill>
                                    <w14:schemeClr w14:val="accent1"/>
                                  </w14:solidFill>
                                </w14:textFill>
                              </w:rPr>
                            </w:pPr>
                            <w:sdt>
                              <w:sdtPr>
                                <w:rPr>
                                  <w:caps/>
                                  <w:color w:val="4472C4" w:themeColor="accent1"/>
                                  <w14:textFill>
                                    <w14:solidFill>
                                      <w14:schemeClr w14:val="accent1"/>
                                    </w14:solidFill>
                                  </w14:textFill>
                                </w:rPr>
                                <w:alias w:val="Company"/>
                                <w:id w:val="1390145197"/>
                                <w:text/>
                              </w:sdtPr>
                              <w:sdtEndPr>
                                <w:rPr>
                                  <w:caps/>
                                  <w:color w:val="4472C4" w:themeColor="accent1"/>
                                  <w14:textFill>
                                    <w14:solidFill>
                                      <w14:schemeClr w14:val="accent1"/>
                                    </w14:solidFill>
                                  </w14:textFill>
                                </w:rPr>
                              </w:sdtEndPr>
                              <w:sdtContent>
                                <w:r>
                                  <w:rPr>
                                    <w:caps/>
                                    <w:color w:val="4472C4" w:themeColor="accent1"/>
                                    <w:lang w:val="en-GB"/>
                                    <w14:textFill>
                                      <w14:solidFill>
                                        <w14:schemeClr w14:val="accent1"/>
                                      </w14:solidFill>
                                    </w14:textFill>
                                  </w:rPr>
                                  <w:t>University of Wales Trinity Saint David</w:t>
                                </w:r>
                              </w:sdtContent>
                            </w:sdt>
                          </w:p>
                          <w:p w14:paraId="299E771E">
                            <w:pPr>
                              <w:pStyle w:val="51"/>
                              <w:jc w:val="center"/>
                              <w:rPr>
                                <w:color w:val="4472C4" w:themeColor="accent1"/>
                                <w14:textFill>
                                  <w14:solidFill>
                                    <w14:schemeClr w14:val="accent1"/>
                                  </w14:solidFill>
                                </w14:textFill>
                              </w:rPr>
                            </w:pPr>
                            <w:sdt>
                              <w:sdtPr>
                                <w:rPr>
                                  <w:color w:val="4472C4" w:themeColor="accent1"/>
                                  <w14:textFill>
                                    <w14:solidFill>
                                      <w14:schemeClr w14:val="accent1"/>
                                    </w14:solidFill>
                                  </w14:textFill>
                                </w:rPr>
                                <w:alias w:val="Address"/>
                                <w:id w:val="-1"/>
                                <w:showingPlcHdr/>
                                <w:text/>
                              </w:sdtPr>
                              <w:sdtEndPr>
                                <w:rPr>
                                  <w:color w:val="4472C4" w:themeColor="accent1"/>
                                  <w14:textFill>
                                    <w14:solidFill>
                                      <w14:schemeClr w14:val="accent1"/>
                                    </w14:solidFill>
                                  </w14:textFill>
                                </w:rPr>
                              </w:sdtEndPr>
                              <w:sdtContent>
                                <w:r>
                                  <w:rPr>
                                    <w:color w:val="4472C4"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90pt;margin-top:715.6pt;height:46.45pt;width:451.3pt;mso-position-horizontal-relative:page;mso-position-vertical-relative:page;z-index:251659264;v-text-anchor:bottom;mso-width-relative:margin;mso-height-relative:page;mso-width-percent:1000;" filled="f" stroked="f" coordsize="21600,21600" o:gfxdata="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JMIHEjWAAAABAEAAA8AAAAAAAAAAQAgAAAAIgAAAGRycy9kb3ducmV2LnhtbFBLAQIUABQA&#10;AAAIAIdO4kBmP0cWKwIAAGcEAAAOAAAAAAAAAAEAIAAAACUBAABkcnMvZTJvRG9jLnhtbFBLBQYA&#10;AAAABgAGAFkBAADCBQAAAAA=&#10;">
                <v:fill on="f" focussize="0,0"/>
                <v:stroke on="f" weight="0.5pt"/>
                <v:imagedata o:title=""/>
                <o:lock v:ext="edit" aspectratio="f"/>
                <v:textbox inset="0mm,0mm,0mm,0mm" style="mso-fit-shape-to-text:t;">
                  <w:txbxContent>
                    <w:sdt>
                      <w:sdtPr>
                        <w:rPr>
                          <w:caps/>
                          <w:color w:val="4472C4" w:themeColor="accent1"/>
                          <w:sz w:val="28"/>
                          <w:szCs w:val="28"/>
                          <w14:textFill>
                            <w14:solidFill>
                              <w14:schemeClr w14:val="accent1"/>
                            </w14:solidFill>
                          </w14:textFill>
                        </w:rPr>
                        <w:alias w:val="Date"/>
                        <w:id w:val="197127006"/>
                        <w:showingPlcHdr/>
                        <w:date>
                          <w:dateFormat w:val="MMMM d, yyyy"/>
                          <w:lid w:val="en-US"/>
                          <w:storeMappedDataAs w:val="datetime"/>
                          <w:calendar w:val="gregorian"/>
                        </w:date>
                      </w:sdtPr>
                      <w:sdtEndPr>
                        <w:rPr>
                          <w:caps/>
                          <w:color w:val="4472C4" w:themeColor="accent1"/>
                          <w:sz w:val="28"/>
                          <w:szCs w:val="28"/>
                          <w14:textFill>
                            <w14:solidFill>
                              <w14:schemeClr w14:val="accent1"/>
                            </w14:solidFill>
                          </w14:textFill>
                        </w:rPr>
                      </w:sdtEndPr>
                      <w:sdtContent>
                        <w:p w14:paraId="1C65AFDA">
                          <w:pPr>
                            <w:pStyle w:val="51"/>
                            <w:spacing w:after="40"/>
                            <w:jc w:val="center"/>
                            <w:rPr>
                              <w:caps/>
                              <w:color w:val="4472C4" w:themeColor="accent1"/>
                              <w:sz w:val="28"/>
                              <w:szCs w:val="28"/>
                              <w14:textFill>
                                <w14:solidFill>
                                  <w14:schemeClr w14:val="accent1"/>
                                </w14:solidFill>
                              </w14:textFill>
                            </w:rPr>
                          </w:pPr>
                          <w:r>
                            <w:rPr>
                              <w:caps/>
                              <w:color w:val="4472C4" w:themeColor="accent1"/>
                              <w:sz w:val="28"/>
                              <w:szCs w:val="28"/>
                              <w14:textFill>
                                <w14:solidFill>
                                  <w14:schemeClr w14:val="accent1"/>
                                </w14:solidFill>
                              </w14:textFill>
                            </w:rPr>
                            <w:t>[Date]</w:t>
                          </w:r>
                        </w:p>
                      </w:sdtContent>
                    </w:sdt>
                    <w:p w14:paraId="04180C59">
                      <w:pPr>
                        <w:pStyle w:val="51"/>
                        <w:jc w:val="center"/>
                        <w:rPr>
                          <w:color w:val="4472C4" w:themeColor="accent1"/>
                          <w14:textFill>
                            <w14:solidFill>
                              <w14:schemeClr w14:val="accent1"/>
                            </w14:solidFill>
                          </w14:textFill>
                        </w:rPr>
                      </w:pPr>
                      <w:sdt>
                        <w:sdtPr>
                          <w:rPr>
                            <w:caps/>
                            <w:color w:val="4472C4" w:themeColor="accent1"/>
                            <w14:textFill>
                              <w14:solidFill>
                                <w14:schemeClr w14:val="accent1"/>
                              </w14:solidFill>
                            </w14:textFill>
                          </w:rPr>
                          <w:alias w:val="Company"/>
                          <w:id w:val="1390145197"/>
                          <w:text/>
                        </w:sdtPr>
                        <w:sdtEndPr>
                          <w:rPr>
                            <w:caps/>
                            <w:color w:val="4472C4" w:themeColor="accent1"/>
                            <w14:textFill>
                              <w14:solidFill>
                                <w14:schemeClr w14:val="accent1"/>
                              </w14:solidFill>
                            </w14:textFill>
                          </w:rPr>
                        </w:sdtEndPr>
                        <w:sdtContent>
                          <w:r>
                            <w:rPr>
                              <w:caps/>
                              <w:color w:val="4472C4" w:themeColor="accent1"/>
                              <w:lang w:val="en-GB"/>
                              <w14:textFill>
                                <w14:solidFill>
                                  <w14:schemeClr w14:val="accent1"/>
                                </w14:solidFill>
                              </w14:textFill>
                            </w:rPr>
                            <w:t>University of Wales Trinity Saint David</w:t>
                          </w:r>
                        </w:sdtContent>
                      </w:sdt>
                    </w:p>
                    <w:p w14:paraId="299E771E">
                      <w:pPr>
                        <w:pStyle w:val="51"/>
                        <w:jc w:val="center"/>
                        <w:rPr>
                          <w:color w:val="4472C4" w:themeColor="accent1"/>
                          <w14:textFill>
                            <w14:solidFill>
                              <w14:schemeClr w14:val="accent1"/>
                            </w14:solidFill>
                          </w14:textFill>
                        </w:rPr>
                      </w:pPr>
                      <w:sdt>
                        <w:sdtPr>
                          <w:rPr>
                            <w:color w:val="4472C4" w:themeColor="accent1"/>
                            <w14:textFill>
                              <w14:solidFill>
                                <w14:schemeClr w14:val="accent1"/>
                              </w14:solidFill>
                            </w14:textFill>
                          </w:rPr>
                          <w:alias w:val="Address"/>
                          <w:id w:val="-1"/>
                          <w:showingPlcHdr/>
                          <w:text/>
                        </w:sdtPr>
                        <w:sdtEndPr>
                          <w:rPr>
                            <w:color w:val="4472C4" w:themeColor="accent1"/>
                            <w14:textFill>
                              <w14:solidFill>
                                <w14:schemeClr w14:val="accent1"/>
                              </w14:solidFill>
                            </w14:textFill>
                          </w:rPr>
                        </w:sdtEndPr>
                        <w:sdtContent>
                          <w:r>
                            <w:rPr>
                              <w:color w:val="4472C4" w:themeColor="accent1"/>
                              <w14:textFill>
                                <w14:solidFill>
                                  <w14:schemeClr w14:val="accent1"/>
                                </w14:solidFill>
                              </w14:textFill>
                            </w:rPr>
                            <w:t xml:space="preserve">     </w:t>
                          </w:r>
                        </w:sdtContent>
                      </w:sdt>
                    </w:p>
                  </w:txbxContent>
                </v:textbox>
              </v:shape>
            </w:pict>
          </mc:Fallback>
        </mc:AlternateContent>
      </w:r>
      <w:r>
        <w:rPr>
          <w:color w:val="4472C4"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6C76BA">
      <w:pPr>
        <w:widowControl/>
        <w:jc w:val="left"/>
      </w:pPr>
      <w:r>
        <w:br w:type="page"/>
      </w:r>
    </w:p>
    <w:p w14:paraId="05C768A2">
      <w:pPr>
        <w:spacing w:line="360" w:lineRule="auto"/>
        <w:contextualSpacing/>
        <w:outlineLvl w:val="0"/>
        <w:rPr>
          <w:b/>
          <w:bCs/>
          <w:sz w:val="28"/>
          <w:szCs w:val="22"/>
          <w:lang w:val="en-GB"/>
        </w:rPr>
      </w:pPr>
      <w:bookmarkStart w:id="0" w:name="_Toc218355791"/>
      <w:r>
        <w:rPr>
          <w:b/>
          <w:bCs/>
          <w:sz w:val="28"/>
          <w:szCs w:val="22"/>
          <w:lang w:val="en-GB"/>
        </w:rPr>
        <w:t>Execution Summary</w:t>
      </w:r>
      <w:bookmarkEnd w:id="0"/>
    </w:p>
    <w:p w14:paraId="36B48561">
      <w:pPr>
        <w:spacing w:line="360" w:lineRule="auto"/>
        <w:contextualSpacing/>
        <w:rPr>
          <w:lang w:val="en-GB"/>
        </w:rPr>
      </w:pPr>
      <w:r>
        <w:rPr>
          <w:lang w:val="en-GB"/>
        </w:rPr>
        <w:t xml:space="preserve">This report provides board level financial insight through two linked tasks. Task 1 evaluates Tesco PLC using </w:t>
      </w:r>
      <w:r>
        <w:rPr>
          <w:rFonts w:hint="eastAsia"/>
          <w:lang w:val="en-GB"/>
        </w:rPr>
        <w:t>2024 and 2025</w:t>
      </w:r>
      <w:r>
        <w:rPr>
          <w:lang w:val="en-GB"/>
        </w:rPr>
        <w:t xml:space="preserve"> of profitability, liquidity, efficiency, gearing, and investor ratios. The analysis shows broadly stable gross margin, but a weaker operating margin in 2025, which indicates higher operating cost pressure or planned reinvestment. ROCE remains stable and slightly higher, supported by stronger sales generation relative to capital employed. Liquidity ratios fall on a year</w:t>
      </w:r>
      <w:r>
        <w:rPr>
          <w:rStyle w:val="25"/>
        </w:rPr>
        <w:t>-</w:t>
      </w:r>
      <w:r>
        <w:rPr>
          <w:lang w:val="en-GB"/>
        </w:rPr>
        <w:t xml:space="preserve">end basis, but interpretation requires caution because the balance sheet is affected by classification changes linked to assets held for sale, and because large food retailers often operate with net current liabilities. Leverage indicators improve modestly and interest cover strengthens, yet long term </w:t>
      </w:r>
      <w:r>
        <w:t>obligations</w:t>
      </w:r>
      <w:r>
        <w:rPr>
          <w:lang w:val="en-GB"/>
        </w:rPr>
        <w:t xml:space="preserve"> such as leases remain material and should be monitored alongside borrowings. Investor outcomes are mixed because total EPS rises strongly due to discontinued items, while continuing EPS declines, so performance communication should distinguish recurring and non</w:t>
      </w:r>
      <w:r>
        <w:rPr>
          <w:rStyle w:val="25"/>
        </w:rPr>
        <w:t>-</w:t>
      </w:r>
      <w:r>
        <w:rPr>
          <w:lang w:val="en-GB"/>
        </w:rPr>
        <w:t>recurring drivers. Recommendations focus on tighter cost control linked to measurable outcomes, improved liquidity governance using adjusted measures and stress testing, and continued working capital discipline without weakening supplier resilience.</w:t>
      </w:r>
    </w:p>
    <w:p w14:paraId="49627CBE">
      <w:pPr>
        <w:spacing w:line="360" w:lineRule="auto"/>
        <w:contextualSpacing/>
        <w:rPr>
          <w:lang w:val="en-GB"/>
        </w:rPr>
      </w:pPr>
    </w:p>
    <w:p w14:paraId="466DA205">
      <w:pPr>
        <w:spacing w:line="360" w:lineRule="auto"/>
        <w:contextualSpacing/>
        <w:rPr>
          <w:lang w:val="en-GB"/>
        </w:rPr>
      </w:pPr>
      <w:r>
        <w:rPr>
          <w:lang w:val="en-GB"/>
        </w:rPr>
        <w:t>Task 2 appraises Westward Plc’s three growth options using after tax net present value at a 6%</w:t>
      </w:r>
      <w:r>
        <w:rPr>
          <w:rFonts w:hint="eastAsia"/>
          <w:lang w:val="en-GB"/>
        </w:rPr>
        <w:t xml:space="preserve"> </w:t>
      </w:r>
      <w:r>
        <w:rPr>
          <w:lang w:val="en-GB"/>
        </w:rPr>
        <w:t xml:space="preserve">cost of </w:t>
      </w:r>
      <w:r>
        <w:t>capital</w:t>
      </w:r>
      <w:r>
        <w:rPr>
          <w:lang w:val="en-GB"/>
        </w:rPr>
        <w:t xml:space="preserve"> and estimates IRR for the preferred option. All options generate positive NPV, with option B, internet sales, ranked highest and an IRR of about 33</w:t>
      </w:r>
      <w:r>
        <w:rPr>
          <w:rFonts w:hint="eastAsia"/>
          <w:lang w:val="en-GB"/>
        </w:rPr>
        <w:t>%</w:t>
      </w:r>
      <w:r>
        <w:rPr>
          <w:lang w:val="en-GB"/>
        </w:rPr>
        <w:t>. Under a £2.5 million funding limit with divisible projects, the optimal policy is to undertake A and B fully and part of C to maximise total NPV. The report concludes with financing guidance that balances internal funds, debt, leasing, and equity to preserve flexibility and manage risk during execution.</w:t>
      </w:r>
    </w:p>
    <w:p w14:paraId="7F97658A">
      <w:pPr>
        <w:widowControl/>
        <w:jc w:val="left"/>
      </w:pPr>
      <w:r>
        <w:br w:type="page"/>
      </w:r>
    </w:p>
    <w:sdt>
      <w:sdtPr>
        <w:rPr>
          <w:rFonts w:eastAsia="宋体" w:cstheme="minorBidi"/>
          <w:kern w:val="2"/>
          <w:sz w:val="24"/>
          <w:szCs w:val="21"/>
          <w:lang w:val="en-GB"/>
        </w:rPr>
        <w:id w:val="300895637"/>
        <w:docPartObj>
          <w:docPartGallery w:val="Table of Contents"/>
          <w:docPartUnique/>
        </w:docPartObj>
      </w:sdtPr>
      <w:sdtEndPr>
        <w:rPr>
          <w:rFonts w:eastAsia="宋体" w:cstheme="minorBidi"/>
          <w:b/>
          <w:bCs/>
          <w:kern w:val="2"/>
          <w:sz w:val="24"/>
          <w:szCs w:val="21"/>
          <w:lang w:val="en-US"/>
        </w:rPr>
      </w:sdtEndPr>
      <w:sdtContent>
        <w:p w14:paraId="68226530">
          <w:pPr>
            <w:pStyle w:val="36"/>
          </w:pPr>
          <w:r>
            <w:rPr>
              <w:lang w:val="en-GB"/>
            </w:rPr>
            <w:t>Contents</w:t>
          </w:r>
        </w:p>
        <w:p w14:paraId="27FDF8D4">
          <w:pPr>
            <w:pStyle w:val="16"/>
            <w:tabs>
              <w:tab w:val="right" w:leader="dot" w:pos="8296"/>
            </w:tabs>
            <w:rPr>
              <w:rFonts w:eastAsia="宋体" w:asciiTheme="minorHAnsi" w:hAnsiTheme="minorHAnsi"/>
              <w:szCs w:val="24"/>
              <w:lang w:val="en-GB"/>
              <w14:ligatures w14:val="standardContextual"/>
            </w:rPr>
          </w:pPr>
          <w:r>
            <w:fldChar w:fldCharType="begin"/>
          </w:r>
          <w:r>
            <w:instrText xml:space="preserve"> TOC \o "1-3" \h \z \u </w:instrText>
          </w:r>
          <w:r>
            <w:fldChar w:fldCharType="separate"/>
          </w:r>
          <w:r>
            <w:fldChar w:fldCharType="begin"/>
          </w:r>
          <w:r>
            <w:instrText xml:space="preserve"> HYPERLINK \l "_Toc218355791" </w:instrText>
          </w:r>
          <w:r>
            <w:fldChar w:fldCharType="separate"/>
          </w:r>
          <w:r>
            <w:rPr>
              <w:rStyle w:val="24"/>
              <w:b/>
              <w:bCs/>
              <w:lang w:val="en-GB"/>
            </w:rPr>
            <w:t>Execution Summary</w:t>
          </w:r>
          <w:r>
            <w:tab/>
          </w:r>
          <w:r>
            <w:fldChar w:fldCharType="begin"/>
          </w:r>
          <w:r>
            <w:instrText xml:space="preserve"> PAGEREF _Toc218355791 \h </w:instrText>
          </w:r>
          <w:r>
            <w:fldChar w:fldCharType="separate"/>
          </w:r>
          <w:r>
            <w:t>2</w:t>
          </w:r>
          <w:r>
            <w:fldChar w:fldCharType="end"/>
          </w:r>
          <w:r>
            <w:fldChar w:fldCharType="end"/>
          </w:r>
        </w:p>
        <w:p w14:paraId="553FB37B">
          <w:pPr>
            <w:pStyle w:val="16"/>
            <w:tabs>
              <w:tab w:val="right" w:leader="dot" w:pos="8296"/>
            </w:tabs>
            <w:rPr>
              <w:rFonts w:eastAsia="宋体" w:asciiTheme="minorHAnsi" w:hAnsiTheme="minorHAnsi"/>
              <w:szCs w:val="24"/>
              <w:lang w:val="en-GB"/>
              <w14:ligatures w14:val="standardContextual"/>
            </w:rPr>
          </w:pPr>
          <w:r>
            <w:fldChar w:fldCharType="begin"/>
          </w:r>
          <w:r>
            <w:instrText xml:space="preserve"> HYPERLINK \l "_Toc218355792" </w:instrText>
          </w:r>
          <w:r>
            <w:fldChar w:fldCharType="separate"/>
          </w:r>
          <w:r>
            <w:rPr>
              <w:rStyle w:val="24"/>
              <w:b/>
              <w:bCs/>
              <w:lang w:val="en-GB"/>
            </w:rPr>
            <w:t>1. Introduction</w:t>
          </w:r>
          <w:r>
            <w:tab/>
          </w:r>
          <w:r>
            <w:fldChar w:fldCharType="begin"/>
          </w:r>
          <w:r>
            <w:instrText xml:space="preserve"> PAGEREF _Toc218355792 \h </w:instrText>
          </w:r>
          <w:r>
            <w:fldChar w:fldCharType="separate"/>
          </w:r>
          <w:r>
            <w:t>4</w:t>
          </w:r>
          <w:r>
            <w:fldChar w:fldCharType="end"/>
          </w:r>
          <w:r>
            <w:fldChar w:fldCharType="end"/>
          </w:r>
        </w:p>
        <w:p w14:paraId="07D5670E">
          <w:pPr>
            <w:pStyle w:val="16"/>
            <w:tabs>
              <w:tab w:val="right" w:leader="dot" w:pos="8296"/>
            </w:tabs>
            <w:rPr>
              <w:rFonts w:eastAsia="宋体" w:asciiTheme="minorHAnsi" w:hAnsiTheme="minorHAnsi"/>
              <w:szCs w:val="24"/>
              <w:lang w:val="en-GB"/>
              <w14:ligatures w14:val="standardContextual"/>
            </w:rPr>
          </w:pPr>
          <w:r>
            <w:fldChar w:fldCharType="begin"/>
          </w:r>
          <w:r>
            <w:instrText xml:space="preserve"> HYPERLINK \l "_Toc218355793" </w:instrText>
          </w:r>
          <w:r>
            <w:fldChar w:fldCharType="separate"/>
          </w:r>
          <w:r>
            <w:rPr>
              <w:rStyle w:val="24"/>
              <w:b/>
              <w:bCs/>
              <w:lang w:val="en-GB"/>
            </w:rPr>
            <w:t>2. Task 1</w:t>
          </w:r>
          <w:r>
            <w:tab/>
          </w:r>
          <w:r>
            <w:fldChar w:fldCharType="begin"/>
          </w:r>
          <w:r>
            <w:instrText xml:space="preserve"> PAGEREF _Toc218355793 \h </w:instrText>
          </w:r>
          <w:r>
            <w:fldChar w:fldCharType="separate"/>
          </w:r>
          <w:r>
            <w:t>5</w:t>
          </w:r>
          <w:r>
            <w:fldChar w:fldCharType="end"/>
          </w:r>
          <w:r>
            <w:fldChar w:fldCharType="end"/>
          </w:r>
        </w:p>
        <w:p w14:paraId="20DF30BF">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"_Toc218355794" </w:instrText>
          </w:r>
          <w:r>
            <w:fldChar w:fldCharType="separate"/>
          </w:r>
          <w:r>
            <w:rPr>
              <w:rStyle w:val="24"/>
              <w:b/>
              <w:bCs/>
            </w:rPr>
            <w:t>2.1 Introduction</w:t>
          </w:r>
          <w:r>
            <w:tab/>
          </w:r>
          <w:r>
            <w:fldChar w:fldCharType="begin"/>
          </w:r>
          <w:r>
            <w:instrText xml:space="preserve"> PAGEREF _Toc218355794 \h </w:instrText>
          </w:r>
          <w:r>
            <w:fldChar w:fldCharType="separate"/>
          </w:r>
          <w:r>
            <w:t>5</w:t>
          </w:r>
          <w:r>
            <w:fldChar w:fldCharType="end"/>
          </w:r>
          <w:r>
            <w:fldChar w:fldCharType="end"/>
          </w:r>
        </w:p>
        <w:p w14:paraId="2D5DCCC1">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"_Toc218355795" </w:instrText>
          </w:r>
          <w:r>
            <w:fldChar w:fldCharType="separate"/>
          </w:r>
          <w:r>
            <w:rPr>
              <w:rStyle w:val="24"/>
              <w:b/>
              <w:bCs/>
            </w:rPr>
            <w:t>2.2 Methodology</w:t>
          </w:r>
          <w:r>
            <w:tab/>
          </w:r>
          <w:r>
            <w:fldChar w:fldCharType="begin"/>
          </w:r>
          <w:r>
            <w:instrText xml:space="preserve"> PAGEREF _Toc218355795 \h </w:instrText>
          </w:r>
          <w:r>
            <w:fldChar w:fldCharType="separate"/>
          </w:r>
          <w:r>
            <w:t>5</w:t>
          </w:r>
          <w:r>
            <w:fldChar w:fldCharType="end"/>
          </w:r>
          <w:r>
            <w:fldChar w:fldCharType="end"/>
          </w:r>
        </w:p>
        <w:p w14:paraId="0284D8E4">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"_Toc218355796" </w:instrText>
          </w:r>
          <w:r>
            <w:fldChar w:fldCharType="separate"/>
          </w:r>
          <w:r>
            <w:rPr>
              <w:rStyle w:val="24"/>
              <w:b/>
              <w:bCs/>
            </w:rPr>
            <w:t>2.3 Profitability analysis</w:t>
          </w:r>
          <w:r>
            <w:tab/>
          </w:r>
          <w:r>
            <w:fldChar w:fldCharType="begin"/>
          </w:r>
          <w:r>
            <w:instrText xml:space="preserve"> PAGEREF _Toc218355796 \h </w:instrText>
          </w:r>
          <w:r>
            <w:fldChar w:fldCharType="separate"/>
          </w:r>
          <w:r>
            <w:t>5</w:t>
          </w:r>
          <w:r>
            <w:fldChar w:fldCharType="end"/>
          </w:r>
          <w:r>
            <w:fldChar w:fldCharType="end"/>
          </w:r>
        </w:p>
        <w:p w14:paraId="3D814EF6">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"_Toc218355797" </w:instrText>
          </w:r>
          <w:r>
            <w:fldChar w:fldCharType="separate"/>
          </w:r>
          <w:r>
            <w:rPr>
              <w:rStyle w:val="24"/>
              <w:b/>
              <w:bCs/>
            </w:rPr>
            <w:t>2.4 Liquidity analysis</w:t>
          </w:r>
          <w:r>
            <w:tab/>
          </w:r>
          <w:r>
            <w:fldChar w:fldCharType="begin"/>
          </w:r>
          <w:r>
            <w:instrText xml:space="preserve"> PAGEREF _Toc218355797 \h </w:instrText>
          </w:r>
          <w:r>
            <w:fldChar w:fldCharType="separate"/>
          </w:r>
          <w:r>
            <w:t>7</w:t>
          </w:r>
          <w:r>
            <w:fldChar w:fldCharType="end"/>
          </w:r>
          <w:r>
            <w:fldChar w:fldCharType="end"/>
          </w:r>
        </w:p>
        <w:p w14:paraId="24BF0CB0">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"_Toc218355798" </w:instrText>
          </w:r>
          <w:r>
            <w:fldChar w:fldCharType="separate"/>
          </w:r>
          <w:r>
            <w:rPr>
              <w:rStyle w:val="24"/>
              <w:b/>
              <w:bCs/>
            </w:rPr>
            <w:t>2.5 Efficiency analysis</w:t>
          </w:r>
          <w:r>
            <w:tab/>
          </w:r>
          <w:r>
            <w:fldChar w:fldCharType="begin"/>
          </w:r>
          <w:r>
            <w:instrText xml:space="preserve"> PAGEREF _Toc218355798 \h </w:instrText>
          </w:r>
          <w:r>
            <w:fldChar w:fldCharType="separate"/>
          </w:r>
          <w:r>
            <w:t>8</w:t>
          </w:r>
          <w:r>
            <w:fldChar w:fldCharType="end"/>
          </w:r>
          <w:r>
            <w:fldChar w:fldCharType="end"/>
          </w:r>
        </w:p>
        <w:p w14:paraId="505673D5">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"_Toc218355799" </w:instrText>
          </w:r>
          <w:r>
            <w:fldChar w:fldCharType="separate"/>
          </w:r>
          <w:r>
            <w:rPr>
              <w:rStyle w:val="24"/>
              <w:b/>
              <w:bCs/>
            </w:rPr>
            <w:t>2.6 Gearing and coverage analysis</w:t>
          </w:r>
          <w:r>
            <w:tab/>
          </w:r>
          <w:r>
            <w:fldChar w:fldCharType="begin"/>
          </w:r>
          <w:r>
            <w:instrText xml:space="preserve"> PAGEREF _Toc218355799 \h </w:instrText>
          </w:r>
          <w:r>
            <w:fldChar w:fldCharType="separate"/>
          </w:r>
          <w:r>
            <w:t>9</w:t>
          </w:r>
          <w:r>
            <w:fldChar w:fldCharType="end"/>
          </w:r>
          <w:r>
            <w:fldChar w:fldCharType="end"/>
          </w:r>
        </w:p>
        <w:p w14:paraId="1FA69F8D">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"_Toc218355800" </w:instrText>
          </w:r>
          <w:r>
            <w:fldChar w:fldCharType="separate"/>
          </w:r>
          <w:r>
            <w:rPr>
              <w:rStyle w:val="24"/>
              <w:b/>
              <w:bCs/>
            </w:rPr>
            <w:t>2.7 Investor indicators</w:t>
          </w:r>
          <w:r>
            <w:tab/>
          </w:r>
          <w:r>
            <w:fldChar w:fldCharType="begin"/>
          </w:r>
          <w:r>
            <w:instrText xml:space="preserve"> PAGEREF _Toc218355800 \h </w:instrText>
          </w:r>
          <w:r>
            <w:fldChar w:fldCharType="separate"/>
          </w:r>
          <w:r>
            <w:t>10</w:t>
          </w:r>
          <w:r>
            <w:fldChar w:fldCharType="end"/>
          </w:r>
          <w:r>
            <w:fldChar w:fldCharType="end"/>
          </w:r>
        </w:p>
        <w:p w14:paraId="5643B0A6">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"_Toc218355801" </w:instrText>
          </w:r>
          <w:r>
            <w:fldChar w:fldCharType="separate"/>
          </w:r>
          <w:r>
            <w:rPr>
              <w:rStyle w:val="24"/>
              <w:b/>
              <w:bCs/>
            </w:rPr>
            <w:t>2.8 Limitations of ratio analysis</w:t>
          </w:r>
          <w:r>
            <w:tab/>
          </w:r>
          <w:r>
            <w:fldChar w:fldCharType="begin"/>
          </w:r>
          <w:r>
            <w:instrText xml:space="preserve"> PAGEREF _Toc218355801 \h </w:instrText>
          </w:r>
          <w:r>
            <w:fldChar w:fldCharType="separate"/>
          </w:r>
          <w:r>
            <w:t>11</w:t>
          </w:r>
          <w:r>
            <w:fldChar w:fldCharType="end"/>
          </w:r>
          <w:r>
            <w:fldChar w:fldCharType="end"/>
          </w:r>
        </w:p>
        <w:p w14:paraId="7DDCB4A1">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"_Toc218355802" </w:instrText>
          </w:r>
          <w:r>
            <w:fldChar w:fldCharType="separate"/>
          </w:r>
          <w:r>
            <w:rPr>
              <w:rStyle w:val="24"/>
              <w:b/>
              <w:bCs/>
            </w:rPr>
            <w:t>2.9 Recommendations</w:t>
          </w:r>
          <w:r>
            <w:tab/>
          </w:r>
          <w:r>
            <w:fldChar w:fldCharType="begin"/>
          </w:r>
          <w:r>
            <w:instrText xml:space="preserve"> PAGEREF _Toc218355802 \h </w:instrText>
          </w:r>
          <w:r>
            <w:fldChar w:fldCharType="separate"/>
          </w:r>
          <w:r>
            <w:t>11</w:t>
          </w:r>
          <w:r>
            <w:fldChar w:fldCharType="end"/>
          </w:r>
          <w:r>
            <w:fldChar w:fldCharType="end"/>
          </w:r>
        </w:p>
        <w:p w14:paraId="170A8D03">
          <w:pPr>
            <w:pStyle w:val="16"/>
            <w:tabs>
              <w:tab w:val="right" w:leader="dot" w:pos="8296"/>
            </w:tabs>
            <w:rPr>
              <w:rFonts w:eastAsia="宋体" w:asciiTheme="minorHAnsi" w:hAnsiTheme="minorHAnsi"/>
              <w:szCs w:val="24"/>
              <w:lang w:val="en-GB"/>
              <w14:ligatures w14:val="standardContextual"/>
            </w:rPr>
          </w:pPr>
          <w:r>
            <w:fldChar w:fldCharType="begin"/>
          </w:r>
          <w:r>
            <w:instrText xml:space="preserve"> HYPERLINK \l "_Toc218355803" </w:instrText>
          </w:r>
          <w:r>
            <w:fldChar w:fldCharType="separate"/>
          </w:r>
          <w:r>
            <w:rPr>
              <w:rStyle w:val="24"/>
              <w:b/>
              <w:bCs/>
              <w:lang w:val="en-GB"/>
            </w:rPr>
            <w:t>3. Task 2</w:t>
          </w:r>
          <w:r>
            <w:tab/>
          </w:r>
          <w:r>
            <w:fldChar w:fldCharType="begin"/>
          </w:r>
          <w:r>
            <w:instrText xml:space="preserve"> PAGEREF _Toc218355803 \h </w:instrText>
          </w:r>
          <w:r>
            <w:fldChar w:fldCharType="separate"/>
          </w:r>
          <w:r>
            <w:t>13</w:t>
          </w:r>
          <w:r>
            <w:fldChar w:fldCharType="end"/>
          </w:r>
          <w:r>
            <w:fldChar w:fldCharType="end"/>
          </w:r>
        </w:p>
        <w:p w14:paraId="0AD05DC5">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"_Toc218355804" </w:instrText>
          </w:r>
          <w:r>
            <w:fldChar w:fldCharType="separate"/>
          </w:r>
          <w:r>
            <w:rPr>
              <w:rStyle w:val="24"/>
              <w:b/>
              <w:bCs/>
            </w:rPr>
            <w:t>3.1 Introduction</w:t>
          </w:r>
          <w:r>
            <w:tab/>
          </w:r>
          <w:r>
            <w:fldChar w:fldCharType="begin"/>
          </w:r>
          <w:r>
            <w:instrText xml:space="preserve"> PAGEREF _Toc218355804 \h </w:instrText>
          </w:r>
          <w:r>
            <w:fldChar w:fldCharType="separate"/>
          </w:r>
          <w:r>
            <w:t>13</w:t>
          </w:r>
          <w:r>
            <w:fldChar w:fldCharType="end"/>
          </w:r>
          <w:r>
            <w:fldChar w:fldCharType="end"/>
          </w:r>
        </w:p>
        <w:p w14:paraId="76AA1273">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"_Toc218355805" </w:instrText>
          </w:r>
          <w:r>
            <w:fldChar w:fldCharType="separate"/>
          </w:r>
          <w:r>
            <w:rPr>
              <w:rStyle w:val="24"/>
              <w:b/>
              <w:bCs/>
            </w:rPr>
            <w:t>3.2 Assumptions and approach</w:t>
          </w:r>
          <w:r>
            <w:tab/>
          </w:r>
          <w:r>
            <w:fldChar w:fldCharType="begin"/>
          </w:r>
          <w:r>
            <w:instrText xml:space="preserve"> PAGEREF _Toc218355805 \h </w:instrText>
          </w:r>
          <w:r>
            <w:fldChar w:fldCharType="separate"/>
          </w:r>
          <w:r>
            <w:t>13</w:t>
          </w:r>
          <w:r>
            <w:fldChar w:fldCharType="end"/>
          </w:r>
          <w:r>
            <w:fldChar w:fldCharType="end"/>
          </w:r>
        </w:p>
        <w:p w14:paraId="7592B558">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"_Toc218355806" </w:instrText>
          </w:r>
          <w:r>
            <w:fldChar w:fldCharType="separate"/>
          </w:r>
          <w:r>
            <w:rPr>
              <w:rStyle w:val="24"/>
              <w:b/>
              <w:bCs/>
            </w:rPr>
            <w:t>3.3 Approximate IRR for the recommended option</w:t>
          </w:r>
          <w:r>
            <w:tab/>
          </w:r>
          <w:r>
            <w:fldChar w:fldCharType="begin"/>
          </w:r>
          <w:r>
            <w:instrText xml:space="preserve"> PAGEREF _Toc218355806 \h </w:instrText>
          </w:r>
          <w:r>
            <w:fldChar w:fldCharType="separate"/>
          </w:r>
          <w:r>
            <w:t>15</w:t>
          </w:r>
          <w:r>
            <w:fldChar w:fldCharType="end"/>
          </w:r>
          <w:r>
            <w:fldChar w:fldCharType="end"/>
          </w:r>
        </w:p>
        <w:p w14:paraId="1843DCA5">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"_Toc218355807" </w:instrText>
          </w:r>
          <w:r>
            <w:fldChar w:fldCharType="separate"/>
          </w:r>
          <w:r>
            <w:rPr>
              <w:rStyle w:val="24"/>
              <w:b/>
              <w:bCs/>
            </w:rPr>
            <w:t>3.4 Capital rationing with divisible projects</w:t>
          </w:r>
          <w:r>
            <w:tab/>
          </w:r>
          <w:r>
            <w:fldChar w:fldCharType="begin"/>
          </w:r>
          <w:r>
            <w:instrText xml:space="preserve"> PAGEREF _Toc218355807 \h </w:instrText>
          </w:r>
          <w:r>
            <w:fldChar w:fldCharType="separate"/>
          </w:r>
          <w:r>
            <w:t>17</w:t>
          </w:r>
          <w:r>
            <w:fldChar w:fldCharType="end"/>
          </w:r>
          <w:r>
            <w:fldChar w:fldCharType="end"/>
          </w:r>
        </w:p>
        <w:p w14:paraId="7E745A2A">
          <w:pPr>
            <w:pStyle w:val="18"/>
            <w:tabs>
              <w:tab w:val="right" w:leader="dot" w:pos="8296"/>
            </w:tabs>
            <w:ind w:left="480"/>
            <w:rPr>
              <w:rFonts w:eastAsia="宋体" w:asciiTheme="minorHAnsi" w:hAnsiTheme="minorHAnsi"/>
              <w:szCs w:val="24"/>
              <w:lang w:val="en-GB"/>
              <w14:ligatures w14:val="standardContextual"/>
            </w:rPr>
          </w:pPr>
          <w:r>
            <w:fldChar w:fldCharType="begin"/>
          </w:r>
          <w:r>
            <w:instrText xml:space="preserve"> HYPERLINK \l "_Toc218355808" </w:instrText>
          </w:r>
          <w:r>
            <w:fldChar w:fldCharType="separate"/>
          </w:r>
          <w:r>
            <w:rPr>
              <w:rStyle w:val="24"/>
              <w:b/>
              <w:bCs/>
            </w:rPr>
            <w:t>3.5 How the investment programme might be financed</w:t>
          </w:r>
          <w:r>
            <w:tab/>
          </w:r>
          <w:r>
            <w:fldChar w:fldCharType="begin"/>
          </w:r>
          <w:r>
            <w:instrText xml:space="preserve"> PAGEREF _Toc218355808 \h </w:instrText>
          </w:r>
          <w:r>
            <w:fldChar w:fldCharType="separate"/>
          </w:r>
          <w:r>
            <w:t>18</w:t>
          </w:r>
          <w:r>
            <w:fldChar w:fldCharType="end"/>
          </w:r>
          <w:r>
            <w:fldChar w:fldCharType="end"/>
          </w:r>
        </w:p>
        <w:p w14:paraId="50B3EE40">
          <w:pPr>
            <w:pStyle w:val="16"/>
            <w:tabs>
              <w:tab w:val="right" w:leader="dot" w:pos="8296"/>
            </w:tabs>
            <w:rPr>
              <w:rFonts w:eastAsia="宋体" w:asciiTheme="minorHAnsi" w:hAnsiTheme="minorHAnsi"/>
              <w:szCs w:val="24"/>
              <w:lang w:val="en-GB"/>
              <w14:ligatures w14:val="standardContextual"/>
            </w:rPr>
          </w:pPr>
          <w:r>
            <w:fldChar w:fldCharType="begin"/>
          </w:r>
          <w:r>
            <w:instrText xml:space="preserve"> HYPERLINK \l "_Toc218355809" </w:instrText>
          </w:r>
          <w:r>
            <w:fldChar w:fldCharType="separate"/>
          </w:r>
          <w:r>
            <w:rPr>
              <w:rStyle w:val="24"/>
              <w:b/>
              <w:bCs/>
              <w:lang w:val="en-GB"/>
            </w:rPr>
            <w:t>4. Conclusion</w:t>
          </w:r>
          <w:r>
            <w:tab/>
          </w:r>
          <w:r>
            <w:fldChar w:fldCharType="begin"/>
          </w:r>
          <w:r>
            <w:instrText xml:space="preserve"> PAGEREF _Toc218355809 \h </w:instrText>
          </w:r>
          <w:r>
            <w:fldChar w:fldCharType="separate"/>
          </w:r>
          <w:r>
            <w:t>19</w:t>
          </w:r>
          <w:r>
            <w:fldChar w:fldCharType="end"/>
          </w:r>
          <w:r>
            <w:fldChar w:fldCharType="end"/>
          </w:r>
        </w:p>
        <w:p w14:paraId="21C7E3CB">
          <w:pPr>
            <w:pStyle w:val="16"/>
            <w:tabs>
              <w:tab w:val="right" w:leader="dot" w:pos="8296"/>
            </w:tabs>
            <w:rPr>
              <w:rFonts w:eastAsia="宋体" w:asciiTheme="minorHAnsi" w:hAnsiTheme="minorHAnsi"/>
              <w:szCs w:val="24"/>
              <w:lang w:val="en-GB"/>
              <w14:ligatures w14:val="standardContextual"/>
            </w:rPr>
          </w:pPr>
          <w:r>
            <w:fldChar w:fldCharType="begin"/>
          </w:r>
          <w:r>
            <w:instrText xml:space="preserve"> HYPERLINK \l "_Toc218355810" </w:instrText>
          </w:r>
          <w:r>
            <w:fldChar w:fldCharType="separate"/>
          </w:r>
          <w:r>
            <w:rPr>
              <w:rStyle w:val="24"/>
              <w:b/>
              <w:bCs/>
              <w:lang w:val="en-GB"/>
            </w:rPr>
            <w:t>Reference</w:t>
          </w:r>
          <w:r>
            <w:tab/>
          </w:r>
          <w:r>
            <w:fldChar w:fldCharType="begin"/>
          </w:r>
          <w:r>
            <w:instrText xml:space="preserve"> PAGEREF _Toc218355810 \h </w:instrText>
          </w:r>
          <w:r>
            <w:fldChar w:fldCharType="separate"/>
          </w:r>
          <w:r>
            <w:t>22</w:t>
          </w:r>
          <w:r>
            <w:fldChar w:fldCharType="end"/>
          </w:r>
          <w:r>
            <w:fldChar w:fldCharType="end"/>
          </w:r>
        </w:p>
        <w:p w14:paraId="0C7AB4B9">
          <w:pPr>
            <w:pStyle w:val="16"/>
            <w:tabs>
              <w:tab w:val="right" w:leader="dot" w:pos="8296"/>
            </w:tabs>
            <w:rPr>
              <w:rFonts w:eastAsia="宋体" w:asciiTheme="minorHAnsi" w:hAnsiTheme="minorHAnsi"/>
              <w:szCs w:val="24"/>
              <w:lang w:val="en-GB"/>
              <w14:ligatures w14:val="standardContextual"/>
            </w:rPr>
          </w:pPr>
          <w:r>
            <w:fldChar w:fldCharType="begin"/>
          </w:r>
          <w:r>
            <w:instrText xml:space="preserve"> HYPERLINK \l "_Toc218355811" </w:instrText>
          </w:r>
          <w:r>
            <w:fldChar w:fldCharType="separate"/>
          </w:r>
          <w:r>
            <w:rPr>
              <w:rStyle w:val="24"/>
              <w:b/>
              <w:bCs/>
              <w:lang w:val="en-GB"/>
            </w:rPr>
            <w:t>Appendix</w:t>
          </w:r>
          <w:r>
            <w:tab/>
          </w:r>
          <w:r>
            <w:fldChar w:fldCharType="begin"/>
          </w:r>
          <w:r>
            <w:instrText xml:space="preserve"> PAGEREF _Toc218355811 \h </w:instrText>
          </w:r>
          <w:r>
            <w:fldChar w:fldCharType="separate"/>
          </w:r>
          <w:r>
            <w:t>26</w:t>
          </w:r>
          <w:r>
            <w:fldChar w:fldCharType="end"/>
          </w:r>
          <w:r>
            <w:fldChar w:fldCharType="end"/>
          </w:r>
        </w:p>
        <w:p w14:paraId="0A90D53B">
          <w:r>
            <w:rPr>
              <w:b/>
              <w:bCs/>
            </w:rPr>
            <w:fldChar w:fldCharType="end"/>
          </w:r>
        </w:p>
      </w:sdtContent>
    </w:sdt>
    <w:p w14:paraId="44A79744">
      <w:pPr>
        <w:widowControl/>
        <w:jc w:val="left"/>
      </w:pPr>
      <w:r>
        <w:br w:type="page"/>
      </w:r>
    </w:p>
    <w:p w14:paraId="03B43642">
      <w:pPr>
        <w:spacing w:line="360" w:lineRule="auto"/>
        <w:contextualSpacing/>
        <w:outlineLvl w:val="0"/>
        <w:rPr>
          <w:b/>
          <w:bCs/>
          <w:sz w:val="28"/>
          <w:szCs w:val="22"/>
          <w:lang w:val="en-GB"/>
        </w:rPr>
      </w:pPr>
      <w:bookmarkStart w:id="1" w:name="_Toc218355792"/>
      <w:r>
        <w:rPr>
          <w:rFonts w:hint="eastAsia"/>
          <w:b/>
          <w:bCs/>
          <w:sz w:val="28"/>
          <w:szCs w:val="22"/>
          <w:lang w:val="en-GB"/>
        </w:rPr>
        <w:t>1. I</w:t>
      </w:r>
      <w:r>
        <w:rPr>
          <w:b/>
          <w:bCs/>
          <w:sz w:val="28"/>
          <w:szCs w:val="22"/>
          <w:lang w:val="en-GB"/>
        </w:rPr>
        <w:t>ntroduction</w:t>
      </w:r>
      <w:bookmarkEnd w:id="1"/>
      <w:r>
        <w:rPr>
          <w:rFonts w:hint="eastAsia"/>
          <w:b/>
          <w:bCs/>
          <w:sz w:val="28"/>
          <w:szCs w:val="22"/>
          <w:lang w:val="en-GB"/>
        </w:rPr>
        <w:t xml:space="preserve"> </w:t>
      </w:r>
    </w:p>
    <w:p w14:paraId="15867CD0">
      <w:pPr>
        <w:spacing w:line="360" w:lineRule="auto"/>
        <w:contextualSpacing/>
      </w:pPr>
      <w:r>
        <w:t>This combined report supports board level decision making by applying two core areas of financial management. The first area is performance diagnosis through financial statement analysis. The second area is investment decision making through discounted cash flow appraisal. Together, these tasks reflect how directors translate accounting data and forecasts into judgements about value creation, risk exposure, and resource allocation. The report is written for directors and therefore focuses on decisions, drivers, and implications rather than only on calculation.</w:t>
      </w:r>
    </w:p>
    <w:p w14:paraId="31444FEB">
      <w:pPr>
        <w:spacing w:line="360" w:lineRule="auto"/>
        <w:contextualSpacing/>
      </w:pPr>
      <w:r>
        <w:t>Task 1 evaluates Tesco PLC using profitability, liquidity, efficiency, gearing, and investor ratios for two years. Ratio analysis is used because it converts large financial statements into indicators that can be compared across time and linked to business choices. The report does not treat ratios as isolated scores. Instead, it interprets movements through operational and financial explanations that are plausible for a large food retailer. The analysis also recognises that ratios can shift because of classification decisions, timing at the reporting date, and changes in accounting treatment. For that reason, Task 1 combines ratio trends with careful discussion of what the numbers can and cannot prove. The goal is to provide directors with a clear view of strengths, pressures, and management priorities that follow from the evidence.</w:t>
      </w:r>
    </w:p>
    <w:p w14:paraId="4D6D5DCA">
      <w:pPr>
        <w:spacing w:line="360" w:lineRule="auto"/>
        <w:contextualSpacing/>
      </w:pPr>
    </w:p>
    <w:p w14:paraId="35A4C97B">
      <w:pPr>
        <w:spacing w:line="360" w:lineRule="auto"/>
        <w:contextualSpacing/>
      </w:pPr>
      <w:r>
        <w:t>Task 2 moves from diagnosis to forward looking choice. Westward Plc faces three expansion options with different initial spending and cash flow patterns. The report uses net present value as the main decision criterion because it measures value added after allowing for the time value of money and the cost of capital. Internal rate of return is then estimated as a supporting metric that helps communication. Since real firms often face funding limits, the report also applies capital rationing with divisible projects, using a profit index logic to show how to allocate scarce capital in a way that maximises total value. The final element considers financing choices, because an attractive project can still fail if funding terms reduce flexibility or create excessive risk. The overall intention is to show a consistent decision process, from analysis of past results to selection and financing of future investments.</w:t>
      </w:r>
    </w:p>
    <w:p w14:paraId="04A18BAA">
      <w:pPr>
        <w:spacing w:line="360" w:lineRule="auto"/>
        <w:contextualSpacing/>
      </w:pPr>
    </w:p>
    <w:p w14:paraId="278BFA42">
      <w:pPr>
        <w:spacing w:line="360" w:lineRule="auto"/>
        <w:contextualSpacing/>
        <w:outlineLvl w:val="0"/>
        <w:rPr>
          <w:b/>
          <w:bCs/>
          <w:sz w:val="28"/>
          <w:szCs w:val="22"/>
          <w:lang w:val="en-GB"/>
        </w:rPr>
      </w:pPr>
      <w:bookmarkStart w:id="2" w:name="_Toc218355793"/>
      <w:r>
        <w:rPr>
          <w:rFonts w:hint="eastAsia"/>
          <w:b/>
          <w:bCs/>
          <w:sz w:val="28"/>
          <w:szCs w:val="22"/>
          <w:lang w:val="en-GB"/>
        </w:rPr>
        <w:t>2. Task 1</w:t>
      </w:r>
      <w:bookmarkEnd w:id="2"/>
    </w:p>
    <w:p w14:paraId="26E17D81">
      <w:pPr>
        <w:spacing w:line="360" w:lineRule="auto"/>
        <w:contextualSpacing/>
        <w:outlineLvl w:val="1"/>
        <w:rPr>
          <w:b/>
          <w:bCs/>
        </w:rPr>
      </w:pPr>
      <w:bookmarkStart w:id="3" w:name="_Toc218355794"/>
      <w:r>
        <w:rPr>
          <w:rFonts w:hint="eastAsia"/>
          <w:b/>
          <w:bCs/>
        </w:rPr>
        <w:t xml:space="preserve">2.1 </w:t>
      </w:r>
      <w:r>
        <w:rPr>
          <w:b/>
          <w:bCs/>
        </w:rPr>
        <w:t>I</w:t>
      </w:r>
      <w:r>
        <w:rPr>
          <w:rFonts w:hint="eastAsia"/>
          <w:b/>
          <w:bCs/>
        </w:rPr>
        <w:t>ntroduction</w:t>
      </w:r>
      <w:bookmarkEnd w:id="3"/>
    </w:p>
    <w:p w14:paraId="6487A486">
      <w:pPr>
        <w:spacing w:line="360" w:lineRule="auto"/>
        <w:contextualSpacing/>
        <w:rPr>
          <w:lang w:val="en-GB"/>
        </w:rPr>
      </w:pPr>
      <w:r>
        <w:rPr>
          <w:lang w:val="en-GB"/>
        </w:rPr>
        <w:t>This report evaluates Tesco PLC financial performance and financial position using ratio analysis for the last two reported years, with a focus on profitability, liquidity, efficiency, gearing, and investor outcomes (CFA Institute, 2023). The ratios are calculated from the Group income statement and statement of financial position that you supplied, which align with the Group reporting dates in the Annual Report 2025. The aim is to identify what has improved, what has weakened, why these movements may have occurred, and what actions can strengthen financial management.</w:t>
      </w:r>
    </w:p>
    <w:p w14:paraId="0C4D0E0E">
      <w:pPr>
        <w:spacing w:line="360" w:lineRule="auto"/>
        <w:contextualSpacing/>
        <w:rPr>
          <w:lang w:val="en-GB"/>
        </w:rPr>
      </w:pPr>
    </w:p>
    <w:p w14:paraId="59A45F2A">
      <w:pPr>
        <w:spacing w:line="360" w:lineRule="auto"/>
        <w:contextualSpacing/>
        <w:outlineLvl w:val="1"/>
        <w:rPr>
          <w:b/>
          <w:bCs/>
        </w:rPr>
      </w:pPr>
      <w:bookmarkStart w:id="4" w:name="_Toc218355795"/>
      <w:r>
        <w:rPr>
          <w:rFonts w:hint="eastAsia"/>
          <w:b/>
          <w:bCs/>
        </w:rPr>
        <w:t>2.</w:t>
      </w:r>
      <w:r>
        <w:rPr>
          <w:b/>
          <w:bCs/>
        </w:rPr>
        <w:t>2 Methodology</w:t>
      </w:r>
      <w:bookmarkEnd w:id="4"/>
    </w:p>
    <w:p w14:paraId="644A6839">
      <w:pPr>
        <w:spacing w:line="360" w:lineRule="auto"/>
        <w:contextualSpacing/>
      </w:pPr>
      <w:r>
        <w:t>Ratio analysis is a structured way to convert accounting numbers into comparable indicators, but results depend on definitions, accounting policies, and the balance sheet date used (CFA Institute, 2023). The two years are not fully like for like in liquidity presentation because the 2024 statement of financial position includes a large disposal group classified as held for sale, while the 2025 balance is minimal, which can mechanically change current assets and current liabilities (IFRS Foundation, 2025). This matters for interpretation because a sharp liquidity change can reflect reclassification and disposal timing, not only day to day trading cash generation.</w:t>
      </w:r>
    </w:p>
    <w:p w14:paraId="620B8AAF">
      <w:pPr>
        <w:spacing w:line="360" w:lineRule="auto"/>
        <w:contextualSpacing/>
      </w:pPr>
    </w:p>
    <w:p w14:paraId="6F18D6D6">
      <w:pPr>
        <w:spacing w:line="360" w:lineRule="auto"/>
        <w:contextualSpacing/>
        <w:outlineLvl w:val="1"/>
        <w:rPr>
          <w:b/>
          <w:bCs/>
        </w:rPr>
      </w:pPr>
      <w:bookmarkStart w:id="5" w:name="_Toc218355796"/>
      <w:r>
        <w:rPr>
          <w:rFonts w:hint="eastAsia"/>
          <w:b/>
          <w:bCs/>
        </w:rPr>
        <w:t xml:space="preserve">2.3 </w:t>
      </w:r>
      <w:r>
        <w:rPr>
          <w:b/>
          <w:bCs/>
        </w:rPr>
        <w:t>Profitability analysis</w:t>
      </w:r>
      <w:bookmarkEnd w:id="5"/>
      <w:r>
        <w:rPr>
          <w:b/>
          <w:bCs/>
        </w:rPr>
        <w:t xml:space="preserve"> </w:t>
      </w:r>
    </w:p>
    <w:p w14:paraId="001F22A9">
      <w:pPr>
        <w:spacing w:line="360" w:lineRule="auto"/>
        <w:contextualSpacing/>
        <w:rPr>
          <w:lang w:val="en-GB"/>
        </w:rPr>
      </w:pPr>
      <w:r>
        <w:rPr>
          <w:lang w:val="en-GB"/>
        </w:rPr>
        <w:t xml:space="preserve">Gross profit rose slightly from 7.11% to 7.22%, which suggests Tesco preserved product margin despite continued price and cost pressures in the UK grocery market (PwC, 2024). A small movement can still be meaningful at Tesco scale because it is applied to almost £70bn of revenue, so small basis point gains can offset large cost lines. The stability is also consistent with a market where food inflation was easing through early 2024, but price levels remained high relative to 2022, which affects both customer behaviour and input costs (Office for National Statistics, 2024). </w:t>
      </w:r>
    </w:p>
    <w:p w14:paraId="332EAAEC">
      <w:pPr>
        <w:spacing w:line="360" w:lineRule="auto"/>
        <w:contextualSpacing/>
      </w:pPr>
      <w:r>
        <w:t>Table 1. Key Profitability ratios (FY 2024 vs FY 2025)</w:t>
      </w:r>
    </w:p>
    <w:tbl>
      <w:tblPr>
        <w:tblStyle w:val="21"/>
        <w:tblW w:w="5000" w:type="pct"/>
        <w:tblCellSpacing w:w="15" w:type="dxa"/>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autofit"/>
        <w:tblCellMar>
          <w:top w:w="15" w:type="dxa"/>
          <w:left w:w="15" w:type="dxa"/>
          <w:bottom w:w="15" w:type="dxa"/>
          <w:right w:w="15" w:type="dxa"/>
        </w:tblCellMar>
      </w:tblPr>
      <w:tblGrid>
        <w:gridCol w:w="6081"/>
        <w:gridCol w:w="1150"/>
        <w:gridCol w:w="1165"/>
      </w:tblGrid>
      <w:tr w14:paraId="592BF6D9">
        <w:trPr>
          <w:tblHeader/>
          <w:tblCellSpacing w:w="15" w:type="dxa"/>
        </w:trPr>
        <w:tc>
          <w:tcPr>
            <w:tcW w:w="3594" w:type="pct"/>
            <w:tcBorders>
              <w:top w:val="nil"/>
              <w:bottom w:val="single" w:color="auto" w:sz="4" w:space="0"/>
            </w:tcBorders>
            <w:vAlign w:val="center"/>
          </w:tcPr>
          <w:p w14:paraId="5E04A6EA">
            <w:pPr>
              <w:spacing w:line="360" w:lineRule="auto"/>
              <w:contextualSpacing/>
              <w:rPr>
                <w:b/>
                <w:bCs/>
                <w:lang w:val="en-GB"/>
              </w:rPr>
            </w:pPr>
            <w:r>
              <w:rPr>
                <w:b/>
                <w:bCs/>
                <w:lang w:val="en-GB"/>
              </w:rPr>
              <w:t>Ratio</w:t>
            </w:r>
          </w:p>
        </w:tc>
        <w:tc>
          <w:tcPr>
            <w:tcW w:w="667" w:type="pct"/>
            <w:tcBorders>
              <w:top w:val="nil"/>
              <w:bottom w:val="single" w:color="auto" w:sz="4" w:space="0"/>
            </w:tcBorders>
            <w:vAlign w:val="center"/>
          </w:tcPr>
          <w:p w14:paraId="73843F4A">
            <w:pPr>
              <w:spacing w:line="360" w:lineRule="auto"/>
              <w:contextualSpacing/>
              <w:rPr>
                <w:b/>
                <w:bCs/>
                <w:lang w:val="en-GB"/>
              </w:rPr>
            </w:pPr>
            <w:r>
              <w:rPr>
                <w:b/>
                <w:bCs/>
                <w:lang w:val="en-GB"/>
              </w:rPr>
              <w:t>2024</w:t>
            </w:r>
          </w:p>
        </w:tc>
        <w:tc>
          <w:tcPr>
            <w:tcW w:w="667" w:type="pct"/>
            <w:tcBorders>
              <w:top w:val="nil"/>
              <w:bottom w:val="single" w:color="auto" w:sz="4" w:space="0"/>
            </w:tcBorders>
            <w:vAlign w:val="center"/>
          </w:tcPr>
          <w:p w14:paraId="337CE362">
            <w:pPr>
              <w:spacing w:line="360" w:lineRule="auto"/>
              <w:contextualSpacing/>
              <w:rPr>
                <w:b/>
                <w:bCs/>
                <w:lang w:val="en-GB"/>
              </w:rPr>
            </w:pPr>
            <w:r>
              <w:rPr>
                <w:b/>
                <w:bCs/>
                <w:lang w:val="en-GB"/>
              </w:rPr>
              <w:t>2025</w:t>
            </w:r>
          </w:p>
        </w:tc>
      </w:tr>
      <w:tr w14:paraId="2FA272B9">
        <w:trPr>
          <w:tblCellSpacing w:w="15" w:type="dxa"/>
        </w:trPr>
        <w:tc>
          <w:tcPr>
            <w:tcW w:w="3594" w:type="pct"/>
            <w:vAlign w:val="center"/>
          </w:tcPr>
          <w:p w14:paraId="06A9D148">
            <w:pPr>
              <w:spacing w:line="360" w:lineRule="auto"/>
              <w:contextualSpacing/>
              <w:rPr>
                <w:lang w:val="en-GB"/>
              </w:rPr>
            </w:pPr>
            <w:r>
              <w:rPr>
                <w:lang w:val="en-GB"/>
              </w:rPr>
              <w:t>Gross profit</w:t>
            </w:r>
          </w:p>
        </w:tc>
        <w:tc>
          <w:tcPr>
            <w:tcW w:w="667" w:type="pct"/>
            <w:vAlign w:val="center"/>
          </w:tcPr>
          <w:p w14:paraId="3BCE6098">
            <w:pPr>
              <w:spacing w:line="360" w:lineRule="auto"/>
              <w:contextualSpacing/>
              <w:rPr>
                <w:lang w:val="en-GB"/>
              </w:rPr>
            </w:pPr>
            <w:r>
              <w:rPr>
                <w:lang w:val="en-GB"/>
              </w:rPr>
              <w:t>7.11%</w:t>
            </w:r>
          </w:p>
        </w:tc>
        <w:tc>
          <w:tcPr>
            <w:tcW w:w="667" w:type="pct"/>
            <w:vAlign w:val="center"/>
          </w:tcPr>
          <w:p w14:paraId="775C6BDA">
            <w:pPr>
              <w:spacing w:line="360" w:lineRule="auto"/>
              <w:contextualSpacing/>
              <w:rPr>
                <w:lang w:val="en-GB"/>
              </w:rPr>
            </w:pPr>
            <w:r>
              <w:rPr>
                <w:lang w:val="en-GB"/>
              </w:rPr>
              <w:t>7.22%</w:t>
            </w:r>
          </w:p>
        </w:tc>
      </w:tr>
      <w:tr w14:paraId="4E38CD92">
        <w:trPr>
          <w:tblCellSpacing w:w="15" w:type="dxa"/>
        </w:trPr>
        <w:tc>
          <w:tcPr>
            <w:tcW w:w="3594" w:type="pct"/>
            <w:vAlign w:val="center"/>
          </w:tcPr>
          <w:p w14:paraId="0617E5AC">
            <w:pPr>
              <w:spacing w:line="360" w:lineRule="auto"/>
              <w:contextualSpacing/>
              <w:rPr>
                <w:lang w:val="en-GB"/>
              </w:rPr>
            </w:pPr>
            <w:r>
              <w:rPr>
                <w:lang w:val="en-GB"/>
              </w:rPr>
              <w:t>Operating profit</w:t>
            </w:r>
          </w:p>
        </w:tc>
        <w:tc>
          <w:tcPr>
            <w:tcW w:w="667" w:type="pct"/>
            <w:vAlign w:val="center"/>
          </w:tcPr>
          <w:p w14:paraId="5DD2AF61">
            <w:pPr>
              <w:spacing w:line="360" w:lineRule="auto"/>
              <w:contextualSpacing/>
              <w:rPr>
                <w:lang w:val="en-GB"/>
              </w:rPr>
            </w:pPr>
            <w:r>
              <w:rPr>
                <w:lang w:val="en-GB"/>
              </w:rPr>
              <w:t>4.14%</w:t>
            </w:r>
          </w:p>
        </w:tc>
        <w:tc>
          <w:tcPr>
            <w:tcW w:w="667" w:type="pct"/>
            <w:vAlign w:val="center"/>
          </w:tcPr>
          <w:p w14:paraId="769F0968">
            <w:pPr>
              <w:spacing w:line="360" w:lineRule="auto"/>
              <w:contextualSpacing/>
              <w:rPr>
                <w:lang w:val="en-GB"/>
              </w:rPr>
            </w:pPr>
            <w:r>
              <w:rPr>
                <w:lang w:val="en-GB"/>
              </w:rPr>
              <w:t>3.88%</w:t>
            </w:r>
          </w:p>
        </w:tc>
      </w:tr>
      <w:tr w14:paraId="37E9A333">
        <w:trPr>
          <w:tblCellSpacing w:w="15" w:type="dxa"/>
        </w:trPr>
        <w:tc>
          <w:tcPr>
            <w:tcW w:w="3594" w:type="pct"/>
            <w:vAlign w:val="center"/>
          </w:tcPr>
          <w:p w14:paraId="74333E5D">
            <w:pPr>
              <w:spacing w:line="360" w:lineRule="auto"/>
              <w:contextualSpacing/>
              <w:rPr>
                <w:lang w:val="en-GB"/>
              </w:rPr>
            </w:pPr>
            <w:r>
              <w:rPr>
                <w:lang w:val="en-GB"/>
              </w:rPr>
              <w:t>Net profit (including discontinued)</w:t>
            </w:r>
          </w:p>
        </w:tc>
        <w:tc>
          <w:tcPr>
            <w:tcW w:w="667" w:type="pct"/>
            <w:vAlign w:val="center"/>
          </w:tcPr>
          <w:p w14:paraId="6CEC7E4D">
            <w:pPr>
              <w:spacing w:line="360" w:lineRule="auto"/>
              <w:contextualSpacing/>
              <w:rPr>
                <w:lang w:val="en-GB"/>
              </w:rPr>
            </w:pPr>
            <w:r>
              <w:rPr>
                <w:lang w:val="en-GB"/>
              </w:rPr>
              <w:t>1.75%</w:t>
            </w:r>
          </w:p>
        </w:tc>
        <w:tc>
          <w:tcPr>
            <w:tcW w:w="667" w:type="pct"/>
            <w:vAlign w:val="center"/>
          </w:tcPr>
          <w:p w14:paraId="47B64E60">
            <w:pPr>
              <w:spacing w:line="360" w:lineRule="auto"/>
              <w:contextualSpacing/>
              <w:rPr>
                <w:lang w:val="en-GB"/>
              </w:rPr>
            </w:pPr>
            <w:r>
              <w:rPr>
                <w:lang w:val="en-GB"/>
              </w:rPr>
              <w:t>2.33%</w:t>
            </w:r>
          </w:p>
        </w:tc>
      </w:tr>
      <w:tr w14:paraId="4CA5CC47">
        <w:trPr>
          <w:tblCellSpacing w:w="15" w:type="dxa"/>
        </w:trPr>
        <w:tc>
          <w:tcPr>
            <w:tcW w:w="3594" w:type="pct"/>
            <w:vAlign w:val="center"/>
          </w:tcPr>
          <w:p w14:paraId="1926ABB4">
            <w:pPr>
              <w:spacing w:line="360" w:lineRule="auto"/>
              <w:contextualSpacing/>
              <w:rPr>
                <w:lang w:val="en-GB"/>
              </w:rPr>
            </w:pPr>
            <w:r>
              <w:rPr>
                <w:lang w:val="en-GB"/>
              </w:rPr>
              <w:t>ROCE</w:t>
            </w:r>
          </w:p>
        </w:tc>
        <w:tc>
          <w:tcPr>
            <w:tcW w:w="667" w:type="pct"/>
            <w:vAlign w:val="center"/>
          </w:tcPr>
          <w:p w14:paraId="7B95D980">
            <w:pPr>
              <w:spacing w:line="360" w:lineRule="auto"/>
              <w:contextualSpacing/>
              <w:rPr>
                <w:lang w:val="en-GB"/>
              </w:rPr>
            </w:pPr>
            <w:r>
              <w:rPr>
                <w:lang w:val="en-GB"/>
              </w:rPr>
              <w:t>10.62%</w:t>
            </w:r>
          </w:p>
        </w:tc>
        <w:tc>
          <w:tcPr>
            <w:tcW w:w="667" w:type="pct"/>
            <w:vAlign w:val="center"/>
          </w:tcPr>
          <w:p w14:paraId="3EC5FDC9">
            <w:pPr>
              <w:spacing w:line="360" w:lineRule="auto"/>
              <w:contextualSpacing/>
              <w:rPr>
                <w:lang w:val="en-GB"/>
              </w:rPr>
            </w:pPr>
            <w:r>
              <w:rPr>
                <w:lang w:val="en-GB"/>
              </w:rPr>
              <w:t>10.81%</w:t>
            </w:r>
          </w:p>
        </w:tc>
      </w:tr>
      <w:tr w14:paraId="462EED09">
        <w:trPr>
          <w:tblCellSpacing w:w="15" w:type="dxa"/>
        </w:trPr>
        <w:tc>
          <w:tcPr>
            <w:tcW w:w="3594" w:type="pct"/>
            <w:vAlign w:val="center"/>
          </w:tcPr>
          <w:p w14:paraId="0F9AABD8">
            <w:pPr>
              <w:spacing w:line="360" w:lineRule="auto"/>
              <w:contextualSpacing/>
              <w:rPr>
                <w:lang w:val="en-GB"/>
              </w:rPr>
            </w:pPr>
            <w:r>
              <w:rPr>
                <w:lang w:val="en-GB"/>
              </w:rPr>
              <w:t>ROE (profit for year)</w:t>
            </w:r>
          </w:p>
        </w:tc>
        <w:tc>
          <w:tcPr>
            <w:tcW w:w="667" w:type="pct"/>
            <w:vAlign w:val="center"/>
          </w:tcPr>
          <w:p w14:paraId="3BBF2E19">
            <w:pPr>
              <w:spacing w:line="360" w:lineRule="auto"/>
              <w:contextualSpacing/>
              <w:rPr>
                <w:lang w:val="en-GB"/>
              </w:rPr>
            </w:pPr>
            <w:r>
              <w:rPr>
                <w:lang w:val="en-GB"/>
              </w:rPr>
              <w:t>10.21%</w:t>
            </w:r>
          </w:p>
        </w:tc>
        <w:tc>
          <w:tcPr>
            <w:tcW w:w="667" w:type="pct"/>
            <w:vAlign w:val="center"/>
          </w:tcPr>
          <w:p w14:paraId="30584A80">
            <w:pPr>
              <w:spacing w:line="360" w:lineRule="auto"/>
              <w:contextualSpacing/>
              <w:rPr>
                <w:lang w:val="en-GB"/>
              </w:rPr>
            </w:pPr>
            <w:r>
              <w:rPr>
                <w:lang w:val="en-GB"/>
              </w:rPr>
              <w:t>13.97%</w:t>
            </w:r>
          </w:p>
        </w:tc>
      </w:tr>
      <w:tr w14:paraId="24466CCD">
        <w:trPr>
          <w:tblCellSpacing w:w="15" w:type="dxa"/>
        </w:trPr>
        <w:tc>
          <w:tcPr>
            <w:tcW w:w="3594" w:type="pct"/>
            <w:vAlign w:val="center"/>
          </w:tcPr>
          <w:p w14:paraId="4CB04FC3">
            <w:pPr>
              <w:spacing w:line="360" w:lineRule="auto"/>
              <w:contextualSpacing/>
              <w:rPr>
                <w:lang w:val="en-GB"/>
              </w:rPr>
            </w:pPr>
            <w:r>
              <w:rPr>
                <w:lang w:val="en-GB"/>
              </w:rPr>
              <w:t>Net profit (continuing only)</w:t>
            </w:r>
          </w:p>
        </w:tc>
        <w:tc>
          <w:tcPr>
            <w:tcW w:w="667" w:type="pct"/>
            <w:vAlign w:val="center"/>
          </w:tcPr>
          <w:p w14:paraId="22F0D74A">
            <w:pPr>
              <w:spacing w:line="360" w:lineRule="auto"/>
              <w:contextualSpacing/>
              <w:rPr>
                <w:lang w:val="en-GB"/>
              </w:rPr>
            </w:pPr>
            <w:r>
              <w:rPr>
                <w:lang w:val="en-GB"/>
              </w:rPr>
              <w:t>2.59%</w:t>
            </w:r>
          </w:p>
        </w:tc>
        <w:tc>
          <w:tcPr>
            <w:tcW w:w="667" w:type="pct"/>
            <w:vAlign w:val="center"/>
          </w:tcPr>
          <w:p w14:paraId="0C7FF77F">
            <w:pPr>
              <w:spacing w:line="360" w:lineRule="auto"/>
              <w:contextualSpacing/>
              <w:rPr>
                <w:lang w:val="en-GB"/>
              </w:rPr>
            </w:pPr>
            <w:r>
              <w:rPr>
                <w:lang w:val="en-GB"/>
              </w:rPr>
              <w:t>2.29%</w:t>
            </w:r>
          </w:p>
        </w:tc>
      </w:tr>
      <w:tr w14:paraId="20192E90">
        <w:trPr>
          <w:tblCellSpacing w:w="15" w:type="dxa"/>
        </w:trPr>
        <w:tc>
          <w:tcPr>
            <w:tcW w:w="3594" w:type="pct"/>
            <w:vAlign w:val="center"/>
          </w:tcPr>
          <w:p w14:paraId="0D661A9D">
            <w:pPr>
              <w:spacing w:line="360" w:lineRule="auto"/>
              <w:contextualSpacing/>
              <w:rPr>
                <w:lang w:val="en-GB"/>
              </w:rPr>
            </w:pPr>
            <w:r>
              <w:rPr>
                <w:lang w:val="en-GB"/>
              </w:rPr>
              <w:t>ROE (continuing only)</w:t>
            </w:r>
          </w:p>
        </w:tc>
        <w:tc>
          <w:tcPr>
            <w:tcW w:w="667" w:type="pct"/>
            <w:vAlign w:val="center"/>
          </w:tcPr>
          <w:p w14:paraId="2117B37B">
            <w:pPr>
              <w:spacing w:line="360" w:lineRule="auto"/>
              <w:contextualSpacing/>
              <w:rPr>
                <w:lang w:val="en-GB"/>
              </w:rPr>
            </w:pPr>
            <w:r>
              <w:rPr>
                <w:lang w:val="en-GB"/>
              </w:rPr>
              <w:t>15.11%</w:t>
            </w:r>
          </w:p>
        </w:tc>
        <w:tc>
          <w:tcPr>
            <w:tcW w:w="667" w:type="pct"/>
            <w:vAlign w:val="center"/>
          </w:tcPr>
          <w:p w14:paraId="254D433D">
            <w:pPr>
              <w:spacing w:line="360" w:lineRule="auto"/>
              <w:contextualSpacing/>
              <w:rPr>
                <w:lang w:val="en-GB"/>
              </w:rPr>
            </w:pPr>
            <w:r>
              <w:rPr>
                <w:lang w:val="en-GB"/>
              </w:rPr>
              <w:t>13.75%</w:t>
            </w:r>
          </w:p>
        </w:tc>
      </w:tr>
    </w:tbl>
    <w:p w14:paraId="3529C655">
      <w:pPr>
        <w:spacing w:line="360" w:lineRule="auto"/>
        <w:contextualSpacing/>
        <w:rPr>
          <w:lang w:val="en-GB"/>
        </w:rPr>
      </w:pPr>
    </w:p>
    <w:p w14:paraId="45814C0A">
      <w:pPr>
        <w:spacing w:line="360" w:lineRule="auto"/>
        <w:contextualSpacing/>
        <w:rPr>
          <w:lang w:val="en-GB"/>
        </w:rPr>
      </w:pPr>
      <w:r>
        <w:rPr>
          <w:lang w:val="en-GB"/>
        </w:rPr>
        <w:t>Operating profit fell from 4.14% to 3.88% even though gross margin improved, which indicates that operating costs rose faster than gross profit growth, or that Tesco chose to reinvest margin into service, pricing, or capability (Tesco PLC, 2025). This pattern is plausible in a year where retailers faced tighter competition for share and needed to spend to defend value perception and loyalty. External market evidence indicates that Tesco remained the largest grocer and grew sales in late 2024, which can be associated with promotional intensity and higher operating activity (Kantar, 2025). A key board focus should be whether the cost increase is structural, such as wage and energy baselines, or discretionary, such as investment spending that should generate future gains.</w:t>
      </w:r>
    </w:p>
    <w:p w14:paraId="0032A4B6">
      <w:pPr>
        <w:spacing w:line="360" w:lineRule="auto"/>
        <w:contextualSpacing/>
        <w:rPr>
          <w:lang w:val="en-GB"/>
        </w:rPr>
      </w:pPr>
    </w:p>
    <w:p w14:paraId="0C4F00A4">
      <w:pPr>
        <w:spacing w:line="360" w:lineRule="auto"/>
        <w:contextualSpacing/>
        <w:rPr>
          <w:lang w:val="en-GB"/>
        </w:rPr>
      </w:pPr>
      <w:r>
        <w:rPr>
          <w:lang w:val="en-GB"/>
        </w:rPr>
        <w:t>Net profit rises when discontinued items are included, from 1.75% to 2.33%, but the continuing only net profit falls from 2.59% to 2.29%. This divergence shows that the improvement in total net margin is not driven by core continuing trading profitability, but by the swing in discontinued results (Tesco PLC, 2025). For directors, the continuing measure is the better indicator of ongoing earning capacity because discontinued operations will not repeat at the same scale. IFRS based analysis guidance treats non recurring items as a major source of distortion in trend analysis, so continuing performance should anchor planning and targets (CFA Institute, 2023).</w:t>
      </w:r>
    </w:p>
    <w:p w14:paraId="4DD84FBF">
      <w:pPr>
        <w:spacing w:line="360" w:lineRule="auto"/>
        <w:contextualSpacing/>
        <w:rPr>
          <w:lang w:val="en-GB"/>
        </w:rPr>
      </w:pPr>
      <w:r>
        <w:rPr>
          <w:lang w:val="en-GB"/>
        </w:rPr>
        <w:t>ROCE is stable to slightly higher at 10.81% from 10.62%, which suggests Tesco maintained returns on long term capital even while operating margin softened. This is supported by the improvement in asset turnover from 2.57 times to 2.79 times, showing stronger revenue generation per unit of capital employed, which is typical of scale retail models (PwC, 2024). The interpretation should still be cautious because capital employed here is affected by classification choices and by the year-end balance sheet snapshot, not an average through the year (CFA Institute, 2023).</w:t>
      </w:r>
    </w:p>
    <w:p w14:paraId="43936FC6">
      <w:pPr>
        <w:spacing w:line="360" w:lineRule="auto"/>
        <w:contextualSpacing/>
        <w:rPr>
          <w:lang w:val="en-GB"/>
        </w:rPr>
      </w:pPr>
    </w:p>
    <w:p w14:paraId="7E7826C1">
      <w:pPr>
        <w:spacing w:line="360" w:lineRule="auto"/>
        <w:contextualSpacing/>
        <w:rPr>
          <w:lang w:val="en-GB"/>
        </w:rPr>
      </w:pPr>
      <w:r>
        <w:rPr>
          <w:lang w:val="en-GB"/>
        </w:rPr>
        <w:t>ROE using total profit for the year rises from 10.21% to 13.97%, but ROE for continuing only falls from 15.11% to 13.75%. The increase in total ROE is driven mainly by the improvement in profit for the year that includes discontinued performance, rather than improved continuing profitability (Tesco PLC, 2025). This reinforces the need to track both measures in board reporting, because shareholder returns will be influenced by both strategic disposals and the continuing retail model. Under governance expectations, directors should explain performance drivers clearly and ensure investors can distinguish core results from one off movements (Financial Reporting Council, 2024).</w:t>
      </w:r>
    </w:p>
    <w:p w14:paraId="207BD8FD">
      <w:pPr>
        <w:spacing w:line="360" w:lineRule="auto"/>
        <w:contextualSpacing/>
        <w:rPr>
          <w:lang w:val="en-GB"/>
        </w:rPr>
      </w:pPr>
    </w:p>
    <w:p w14:paraId="1CC28C1D">
      <w:pPr>
        <w:spacing w:line="360" w:lineRule="auto"/>
        <w:contextualSpacing/>
        <w:outlineLvl w:val="1"/>
        <w:rPr>
          <w:lang w:val="en-GB"/>
        </w:rPr>
      </w:pPr>
      <w:bookmarkStart w:id="6" w:name="_Toc218355797"/>
      <w:r>
        <w:rPr>
          <w:rFonts w:hint="eastAsia"/>
          <w:b/>
          <w:bCs/>
        </w:rPr>
        <w:t>2.4</w:t>
      </w:r>
      <w:r>
        <w:rPr>
          <w:b/>
          <w:bCs/>
        </w:rPr>
        <w:t xml:space="preserve"> Liquidity analysis</w:t>
      </w:r>
      <w:bookmarkEnd w:id="6"/>
    </w:p>
    <w:p w14:paraId="25F1FCF4">
      <w:pPr>
        <w:spacing w:line="360" w:lineRule="auto"/>
        <w:contextualSpacing/>
        <w:rPr>
          <w:lang w:val="en-GB"/>
        </w:rPr>
      </w:pPr>
      <w:r>
        <w:rPr>
          <w:lang w:val="en-GB"/>
        </w:rPr>
        <w:t>The current ratio fell from 0.81 to 0.64 and the quick ratio fell from 0.68 to 0.44, which is a significant weakening on a year-end basis. A major mechanical driver is visible in the balance sheet: assets held for sale were £7,783m in 2024 but only £50m in 2025, so current assets reduced sharply year on year in this presentation (IFRS Foundation, 2025). This does not necessarily mean Tesco lost cash generating power in day-to-day retail, but it does mean the headline current ratio is not directly comparable without adjusting for disposal group classification.</w:t>
      </w:r>
    </w:p>
    <w:p w14:paraId="217A32A2">
      <w:pPr>
        <w:spacing w:line="360" w:lineRule="auto"/>
        <w:contextualSpacing/>
        <w:rPr>
          <w:lang w:val="en-GB"/>
        </w:rPr>
      </w:pPr>
    </w:p>
    <w:p w14:paraId="6532DE83">
      <w:pPr>
        <w:spacing w:line="360" w:lineRule="auto"/>
        <w:contextualSpacing/>
      </w:pPr>
      <w:r>
        <w:t xml:space="preserve">Table </w:t>
      </w:r>
      <w:r>
        <w:rPr>
          <w:rFonts w:hint="eastAsia"/>
        </w:rPr>
        <w:t>2</w:t>
      </w:r>
      <w:r>
        <w:t>. Key Liquidity ratios (FY 2024 vs FY 2025)</w:t>
      </w:r>
    </w:p>
    <w:tbl>
      <w:tblPr>
        <w:tblStyle w:val="21"/>
        <w:tblW w:w="5000" w:type="pct"/>
        <w:tblCellSpacing w:w="15" w:type="dxa"/>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autofit"/>
        <w:tblCellMar>
          <w:top w:w="15" w:type="dxa"/>
          <w:left w:w="15" w:type="dxa"/>
          <w:bottom w:w="15" w:type="dxa"/>
          <w:right w:w="15" w:type="dxa"/>
        </w:tblCellMar>
      </w:tblPr>
      <w:tblGrid>
        <w:gridCol w:w="4623"/>
        <w:gridCol w:w="1879"/>
        <w:gridCol w:w="1894"/>
      </w:tblGrid>
      <w:tr w14:paraId="5C43BD54">
        <w:trPr>
          <w:tblHeader/>
          <w:tblCellSpacing w:w="15" w:type="dxa"/>
        </w:trPr>
        <w:tc>
          <w:tcPr>
            <w:tcW w:w="2628" w:type="pct"/>
            <w:tcBorders>
              <w:top w:val="nil"/>
              <w:bottom w:val="single" w:color="auto" w:sz="4" w:space="0"/>
            </w:tcBorders>
            <w:vAlign w:val="center"/>
          </w:tcPr>
          <w:p w14:paraId="16C2A99B">
            <w:pPr>
              <w:spacing w:line="360" w:lineRule="auto"/>
              <w:contextualSpacing/>
              <w:rPr>
                <w:b/>
                <w:bCs/>
                <w:lang w:val="en-GB"/>
              </w:rPr>
            </w:pPr>
            <w:r>
              <w:rPr>
                <w:b/>
                <w:bCs/>
                <w:lang w:val="en-GB"/>
              </w:rPr>
              <w:t>Ratio</w:t>
            </w:r>
          </w:p>
        </w:tc>
        <w:tc>
          <w:tcPr>
            <w:tcW w:w="1061" w:type="pct"/>
            <w:tcBorders>
              <w:top w:val="nil"/>
              <w:bottom w:val="single" w:color="auto" w:sz="4" w:space="0"/>
            </w:tcBorders>
            <w:vAlign w:val="center"/>
          </w:tcPr>
          <w:p w14:paraId="44F151A9">
            <w:pPr>
              <w:spacing w:line="360" w:lineRule="auto"/>
              <w:contextualSpacing/>
              <w:rPr>
                <w:b/>
                <w:bCs/>
                <w:lang w:val="en-GB"/>
              </w:rPr>
            </w:pPr>
            <w:r>
              <w:rPr>
                <w:b/>
                <w:bCs/>
                <w:lang w:val="en-GB"/>
              </w:rPr>
              <w:t>2024</w:t>
            </w:r>
          </w:p>
        </w:tc>
        <w:tc>
          <w:tcPr>
            <w:tcW w:w="1061" w:type="pct"/>
            <w:tcBorders>
              <w:top w:val="nil"/>
              <w:bottom w:val="single" w:color="auto" w:sz="4" w:space="0"/>
            </w:tcBorders>
            <w:vAlign w:val="center"/>
          </w:tcPr>
          <w:p w14:paraId="78D69CA1">
            <w:pPr>
              <w:spacing w:line="360" w:lineRule="auto"/>
              <w:contextualSpacing/>
              <w:rPr>
                <w:b/>
                <w:bCs/>
                <w:lang w:val="en-GB"/>
              </w:rPr>
            </w:pPr>
            <w:r>
              <w:rPr>
                <w:b/>
                <w:bCs/>
                <w:lang w:val="en-GB"/>
              </w:rPr>
              <w:t>2025</w:t>
            </w:r>
          </w:p>
        </w:tc>
      </w:tr>
      <w:tr w14:paraId="52E5B47B">
        <w:trPr>
          <w:tblCellSpacing w:w="15" w:type="dxa"/>
        </w:trPr>
        <w:tc>
          <w:tcPr>
            <w:tcW w:w="2628" w:type="pct"/>
            <w:vAlign w:val="center"/>
          </w:tcPr>
          <w:p w14:paraId="620A52BC">
            <w:pPr>
              <w:spacing w:line="360" w:lineRule="auto"/>
              <w:contextualSpacing/>
              <w:rPr>
                <w:lang w:val="en-GB"/>
              </w:rPr>
            </w:pPr>
            <w:r>
              <w:rPr>
                <w:lang w:val="en-GB"/>
              </w:rPr>
              <w:t>Current ratio</w:t>
            </w:r>
          </w:p>
        </w:tc>
        <w:tc>
          <w:tcPr>
            <w:tcW w:w="1061" w:type="pct"/>
            <w:vAlign w:val="center"/>
          </w:tcPr>
          <w:p w14:paraId="4114F1A1">
            <w:pPr>
              <w:spacing w:line="360" w:lineRule="auto"/>
              <w:contextualSpacing/>
              <w:rPr>
                <w:lang w:val="en-GB"/>
              </w:rPr>
            </w:pPr>
            <w:r>
              <w:rPr>
                <w:lang w:val="en-GB"/>
              </w:rPr>
              <w:t>0.81</w:t>
            </w:r>
          </w:p>
        </w:tc>
        <w:tc>
          <w:tcPr>
            <w:tcW w:w="1061" w:type="pct"/>
            <w:vAlign w:val="center"/>
          </w:tcPr>
          <w:p w14:paraId="5B868694">
            <w:pPr>
              <w:spacing w:line="360" w:lineRule="auto"/>
              <w:contextualSpacing/>
              <w:rPr>
                <w:lang w:val="en-GB"/>
              </w:rPr>
            </w:pPr>
            <w:r>
              <w:rPr>
                <w:lang w:val="en-GB"/>
              </w:rPr>
              <w:t>0.64</w:t>
            </w:r>
          </w:p>
        </w:tc>
      </w:tr>
      <w:tr w14:paraId="5F6250B4">
        <w:trPr>
          <w:tblCellSpacing w:w="15" w:type="dxa"/>
        </w:trPr>
        <w:tc>
          <w:tcPr>
            <w:tcW w:w="2628" w:type="pct"/>
            <w:vAlign w:val="center"/>
          </w:tcPr>
          <w:p w14:paraId="5149AEEB">
            <w:pPr>
              <w:spacing w:line="360" w:lineRule="auto"/>
              <w:contextualSpacing/>
              <w:rPr>
                <w:lang w:val="en-GB"/>
              </w:rPr>
            </w:pPr>
            <w:r>
              <w:rPr>
                <w:lang w:val="en-GB"/>
              </w:rPr>
              <w:t>Quick ratio</w:t>
            </w:r>
          </w:p>
        </w:tc>
        <w:tc>
          <w:tcPr>
            <w:tcW w:w="1061" w:type="pct"/>
            <w:vAlign w:val="center"/>
          </w:tcPr>
          <w:p w14:paraId="12C85E37">
            <w:pPr>
              <w:spacing w:line="360" w:lineRule="auto"/>
              <w:contextualSpacing/>
              <w:rPr>
                <w:lang w:val="en-GB"/>
              </w:rPr>
            </w:pPr>
            <w:r>
              <w:rPr>
                <w:lang w:val="en-GB"/>
              </w:rPr>
              <w:t>0.68</w:t>
            </w:r>
          </w:p>
        </w:tc>
        <w:tc>
          <w:tcPr>
            <w:tcW w:w="1061" w:type="pct"/>
            <w:vAlign w:val="center"/>
          </w:tcPr>
          <w:p w14:paraId="2BD32C96">
            <w:pPr>
              <w:spacing w:line="360" w:lineRule="auto"/>
              <w:contextualSpacing/>
              <w:rPr>
                <w:lang w:val="en-GB"/>
              </w:rPr>
            </w:pPr>
            <w:r>
              <w:rPr>
                <w:lang w:val="en-GB"/>
              </w:rPr>
              <w:t>0.44</w:t>
            </w:r>
          </w:p>
        </w:tc>
      </w:tr>
    </w:tbl>
    <w:p w14:paraId="4AFED5C3">
      <w:pPr>
        <w:spacing w:line="360" w:lineRule="auto"/>
        <w:contextualSpacing/>
        <w:rPr>
          <w:lang w:val="en-GB"/>
        </w:rPr>
      </w:pPr>
    </w:p>
    <w:p w14:paraId="4F81F20F">
      <w:pPr>
        <w:spacing w:line="360" w:lineRule="auto"/>
        <w:contextualSpacing/>
        <w:rPr>
          <w:lang w:val="en-GB"/>
        </w:rPr>
      </w:pPr>
      <w:r>
        <w:rPr>
          <w:lang w:val="en-GB"/>
        </w:rPr>
        <w:t>Even after allowing for classification effects, the ratios confirm that Tesco runs with net current liabilities, which is common for large food retailers due to rapid cash sales and extended supplier terms (Deloitte, 2024). This model can be efficient because it reduces the need for working capital funding, but it increases sensitivity to shocks such as demand swings, supplier disruption, or unexpected cash outflows. In a higher interest rate environment, liquidity resilience matters more because refinancing and short-term funding can become more expensive even when rates start to ease (Bank of England, 2025). The board should therefore interpret low liquidity ratios alongside cash flow, committed facilities, and stress testing, rather than treating the ratios as standalone pass-fail metrics.</w:t>
      </w:r>
    </w:p>
    <w:p w14:paraId="438E4856">
      <w:pPr>
        <w:spacing w:line="360" w:lineRule="auto"/>
        <w:contextualSpacing/>
        <w:rPr>
          <w:lang w:val="en-GB"/>
        </w:rPr>
      </w:pPr>
    </w:p>
    <w:p w14:paraId="200F7541">
      <w:pPr>
        <w:spacing w:line="360" w:lineRule="auto"/>
        <w:contextualSpacing/>
        <w:outlineLvl w:val="1"/>
        <w:rPr>
          <w:b/>
          <w:bCs/>
        </w:rPr>
      </w:pPr>
      <w:bookmarkStart w:id="7" w:name="_Toc218355798"/>
      <w:r>
        <w:rPr>
          <w:rFonts w:hint="eastAsia"/>
          <w:b/>
          <w:bCs/>
        </w:rPr>
        <w:t>2.5</w:t>
      </w:r>
      <w:r>
        <w:rPr>
          <w:b/>
          <w:bCs/>
        </w:rPr>
        <w:t xml:space="preserve"> Efficiency analysis</w:t>
      </w:r>
      <w:bookmarkEnd w:id="7"/>
      <w:r>
        <w:rPr>
          <w:b/>
          <w:bCs/>
        </w:rPr>
        <w:t xml:space="preserve"> </w:t>
      </w:r>
    </w:p>
    <w:p w14:paraId="0C1204F9">
      <w:pPr>
        <w:spacing w:line="360" w:lineRule="auto"/>
        <w:contextualSpacing/>
        <w:rPr>
          <w:lang w:val="en-GB"/>
        </w:rPr>
      </w:pPr>
      <w:r>
        <w:rPr>
          <w:lang w:val="en-GB"/>
        </w:rPr>
        <w:t>Inventory days increased slightly from 15.31 to 15.74, which implies marginally slower stock turnover. This may reflect range changes, more general merchandise exposure, or a deliberate choice to protect availability and service levels during uncertain demand (PwC, 2024). The increase is small, but at Tesco scale it can still tie up meaningful cash, so inventory discipline should remain a priority. Research on working capital management often finds that small changes in inventory and receivables can affect profitability through cash costs and operational flexibility, even when revenue is stable (Huynh, 2025).</w:t>
      </w:r>
    </w:p>
    <w:p w14:paraId="3C4EF726">
      <w:pPr>
        <w:spacing w:line="360" w:lineRule="auto"/>
        <w:contextualSpacing/>
        <w:rPr>
          <w:lang w:val="en-GB"/>
        </w:rPr>
      </w:pPr>
    </w:p>
    <w:p w14:paraId="3C360AC1">
      <w:pPr>
        <w:spacing w:line="360" w:lineRule="auto"/>
        <w:contextualSpacing/>
      </w:pPr>
      <w:r>
        <w:t xml:space="preserve">Table </w:t>
      </w:r>
      <w:r>
        <w:rPr>
          <w:rFonts w:hint="eastAsia"/>
        </w:rPr>
        <w:t>3</w:t>
      </w:r>
      <w:r>
        <w:t>. Key</w:t>
      </w:r>
      <w:r>
        <w:rPr>
          <w:b/>
          <w:bCs/>
          <w:lang w:val="en-GB"/>
        </w:rPr>
        <w:t xml:space="preserve"> Efficiency</w:t>
      </w:r>
      <w:r>
        <w:t xml:space="preserve"> ratios (FY 2024 vs FY 2025)</w:t>
      </w:r>
    </w:p>
    <w:tbl>
      <w:tblPr>
        <w:tblStyle w:val="21"/>
        <w:tblW w:w="5000" w:type="pct"/>
        <w:tblCellSpacing w:w="15" w:type="dxa"/>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autofit"/>
        <w:tblCellMar>
          <w:top w:w="15" w:type="dxa"/>
          <w:left w:w="15" w:type="dxa"/>
          <w:bottom w:w="15" w:type="dxa"/>
          <w:right w:w="15" w:type="dxa"/>
        </w:tblCellMar>
      </w:tblPr>
      <w:tblGrid>
        <w:gridCol w:w="5647"/>
        <w:gridCol w:w="1367"/>
        <w:gridCol w:w="1382"/>
      </w:tblGrid>
      <w:tr w14:paraId="21FB27F0">
        <w:trPr>
          <w:tblHeader/>
          <w:tblCellSpacing w:w="15" w:type="dxa"/>
        </w:trPr>
        <w:tc>
          <w:tcPr>
            <w:tcW w:w="3322" w:type="pct"/>
            <w:tcBorders>
              <w:top w:val="nil"/>
              <w:bottom w:val="single" w:color="auto" w:sz="4" w:space="0"/>
            </w:tcBorders>
            <w:vAlign w:val="center"/>
          </w:tcPr>
          <w:p w14:paraId="7806FA78">
            <w:pPr>
              <w:spacing w:line="360" w:lineRule="auto"/>
              <w:contextualSpacing/>
              <w:rPr>
                <w:b/>
                <w:bCs/>
                <w:lang w:val="en-GB"/>
              </w:rPr>
            </w:pPr>
            <w:r>
              <w:rPr>
                <w:b/>
                <w:bCs/>
                <w:lang w:val="en-GB"/>
              </w:rPr>
              <w:t>Ratio</w:t>
            </w:r>
          </w:p>
        </w:tc>
        <w:tc>
          <w:tcPr>
            <w:tcW w:w="793" w:type="pct"/>
            <w:tcBorders>
              <w:top w:val="nil"/>
              <w:bottom w:val="single" w:color="auto" w:sz="4" w:space="0"/>
            </w:tcBorders>
            <w:vAlign w:val="center"/>
          </w:tcPr>
          <w:p w14:paraId="3EC3CDDF">
            <w:pPr>
              <w:spacing w:line="360" w:lineRule="auto"/>
              <w:contextualSpacing/>
              <w:rPr>
                <w:b/>
                <w:bCs/>
                <w:lang w:val="en-GB"/>
              </w:rPr>
            </w:pPr>
            <w:r>
              <w:rPr>
                <w:b/>
                <w:bCs/>
                <w:lang w:val="en-GB"/>
              </w:rPr>
              <w:t>2024</w:t>
            </w:r>
          </w:p>
        </w:tc>
        <w:tc>
          <w:tcPr>
            <w:tcW w:w="793" w:type="pct"/>
            <w:tcBorders>
              <w:top w:val="nil"/>
              <w:bottom w:val="single" w:color="auto" w:sz="4" w:space="0"/>
            </w:tcBorders>
            <w:vAlign w:val="center"/>
          </w:tcPr>
          <w:p w14:paraId="78BDBCA6">
            <w:pPr>
              <w:spacing w:line="360" w:lineRule="auto"/>
              <w:contextualSpacing/>
              <w:rPr>
                <w:b/>
                <w:bCs/>
                <w:lang w:val="en-GB"/>
              </w:rPr>
            </w:pPr>
            <w:r>
              <w:rPr>
                <w:b/>
                <w:bCs/>
                <w:lang w:val="en-GB"/>
              </w:rPr>
              <w:t>2025</w:t>
            </w:r>
          </w:p>
        </w:tc>
      </w:tr>
      <w:tr w14:paraId="31A448AA">
        <w:trPr>
          <w:tblCellSpacing w:w="15" w:type="dxa"/>
        </w:trPr>
        <w:tc>
          <w:tcPr>
            <w:tcW w:w="3322" w:type="pct"/>
            <w:vAlign w:val="center"/>
          </w:tcPr>
          <w:p w14:paraId="762D5048">
            <w:pPr>
              <w:spacing w:line="360" w:lineRule="auto"/>
              <w:contextualSpacing/>
              <w:rPr>
                <w:lang w:val="en-GB"/>
              </w:rPr>
            </w:pPr>
            <w:r>
              <w:rPr>
                <w:lang w:val="en-GB"/>
              </w:rPr>
              <w:t>Inventory days</w:t>
            </w:r>
          </w:p>
        </w:tc>
        <w:tc>
          <w:tcPr>
            <w:tcW w:w="793" w:type="pct"/>
            <w:vAlign w:val="center"/>
          </w:tcPr>
          <w:p w14:paraId="436DD676">
            <w:pPr>
              <w:spacing w:line="360" w:lineRule="auto"/>
              <w:contextualSpacing/>
              <w:rPr>
                <w:lang w:val="en-GB"/>
              </w:rPr>
            </w:pPr>
            <w:r>
              <w:rPr>
                <w:lang w:val="en-GB"/>
              </w:rPr>
              <w:t>15.31</w:t>
            </w:r>
          </w:p>
        </w:tc>
        <w:tc>
          <w:tcPr>
            <w:tcW w:w="793" w:type="pct"/>
            <w:vAlign w:val="center"/>
          </w:tcPr>
          <w:p w14:paraId="67C953E4">
            <w:pPr>
              <w:spacing w:line="360" w:lineRule="auto"/>
              <w:contextualSpacing/>
              <w:rPr>
                <w:lang w:val="en-GB"/>
              </w:rPr>
            </w:pPr>
            <w:r>
              <w:rPr>
                <w:lang w:val="en-GB"/>
              </w:rPr>
              <w:t>15.74</w:t>
            </w:r>
          </w:p>
        </w:tc>
      </w:tr>
      <w:tr w14:paraId="0CF3561C">
        <w:trPr>
          <w:tblCellSpacing w:w="15" w:type="dxa"/>
        </w:trPr>
        <w:tc>
          <w:tcPr>
            <w:tcW w:w="3322" w:type="pct"/>
            <w:vAlign w:val="center"/>
          </w:tcPr>
          <w:p w14:paraId="06847EBF">
            <w:pPr>
              <w:spacing w:line="360" w:lineRule="auto"/>
              <w:contextualSpacing/>
              <w:rPr>
                <w:lang w:val="en-GB"/>
              </w:rPr>
            </w:pPr>
            <w:r>
              <w:rPr>
                <w:lang w:val="en-GB"/>
              </w:rPr>
              <w:t>Receivable days</w:t>
            </w:r>
          </w:p>
        </w:tc>
        <w:tc>
          <w:tcPr>
            <w:tcW w:w="793" w:type="pct"/>
            <w:vAlign w:val="center"/>
          </w:tcPr>
          <w:p w14:paraId="23FF28D3">
            <w:pPr>
              <w:spacing w:line="360" w:lineRule="auto"/>
              <w:contextualSpacing/>
              <w:rPr>
                <w:lang w:val="en-GB"/>
              </w:rPr>
            </w:pPr>
            <w:r>
              <w:rPr>
                <w:lang w:val="en-GB"/>
              </w:rPr>
              <w:t>7.41</w:t>
            </w:r>
          </w:p>
        </w:tc>
        <w:tc>
          <w:tcPr>
            <w:tcW w:w="793" w:type="pct"/>
            <w:vAlign w:val="center"/>
          </w:tcPr>
          <w:p w14:paraId="0ECDEC6A">
            <w:pPr>
              <w:spacing w:line="360" w:lineRule="auto"/>
              <w:contextualSpacing/>
              <w:rPr>
                <w:lang w:val="en-GB"/>
              </w:rPr>
            </w:pPr>
            <w:r>
              <w:rPr>
                <w:lang w:val="en-GB"/>
              </w:rPr>
              <w:t>7.14</w:t>
            </w:r>
          </w:p>
        </w:tc>
      </w:tr>
      <w:tr w14:paraId="6304E6CD">
        <w:trPr>
          <w:tblCellSpacing w:w="15" w:type="dxa"/>
        </w:trPr>
        <w:tc>
          <w:tcPr>
            <w:tcW w:w="3322" w:type="pct"/>
            <w:vAlign w:val="center"/>
          </w:tcPr>
          <w:p w14:paraId="6E3B1B1A">
            <w:pPr>
              <w:spacing w:line="360" w:lineRule="auto"/>
              <w:contextualSpacing/>
              <w:rPr>
                <w:lang w:val="en-GB"/>
              </w:rPr>
            </w:pPr>
            <w:r>
              <w:rPr>
                <w:lang w:val="en-GB"/>
              </w:rPr>
              <w:t>Payable days</w:t>
            </w:r>
          </w:p>
        </w:tc>
        <w:tc>
          <w:tcPr>
            <w:tcW w:w="793" w:type="pct"/>
            <w:vAlign w:val="center"/>
          </w:tcPr>
          <w:p w14:paraId="6C8BB7B8">
            <w:pPr>
              <w:spacing w:line="360" w:lineRule="auto"/>
              <w:contextualSpacing/>
              <w:rPr>
                <w:lang w:val="en-GB"/>
              </w:rPr>
            </w:pPr>
            <w:r>
              <w:rPr>
                <w:lang w:val="en-GB"/>
              </w:rPr>
              <w:t>59.85</w:t>
            </w:r>
          </w:p>
        </w:tc>
        <w:tc>
          <w:tcPr>
            <w:tcW w:w="793" w:type="pct"/>
            <w:vAlign w:val="center"/>
          </w:tcPr>
          <w:p w14:paraId="4713F0AD">
            <w:pPr>
              <w:spacing w:line="360" w:lineRule="auto"/>
              <w:contextualSpacing/>
              <w:rPr>
                <w:lang w:val="en-GB"/>
              </w:rPr>
            </w:pPr>
            <w:r>
              <w:rPr>
                <w:lang w:val="en-GB"/>
              </w:rPr>
              <w:t>59.15</w:t>
            </w:r>
          </w:p>
        </w:tc>
      </w:tr>
      <w:tr w14:paraId="22257323">
        <w:trPr>
          <w:tblCellSpacing w:w="15" w:type="dxa"/>
        </w:trPr>
        <w:tc>
          <w:tcPr>
            <w:tcW w:w="3322" w:type="pct"/>
            <w:vAlign w:val="center"/>
          </w:tcPr>
          <w:p w14:paraId="3180ED34">
            <w:pPr>
              <w:spacing w:line="360" w:lineRule="auto"/>
              <w:contextualSpacing/>
              <w:rPr>
                <w:lang w:val="en-GB"/>
              </w:rPr>
            </w:pPr>
            <w:r>
              <w:rPr>
                <w:lang w:val="en-GB"/>
              </w:rPr>
              <w:t>Asset turnover</w:t>
            </w:r>
          </w:p>
        </w:tc>
        <w:tc>
          <w:tcPr>
            <w:tcW w:w="793" w:type="pct"/>
            <w:vAlign w:val="center"/>
          </w:tcPr>
          <w:p w14:paraId="3A18B8A3">
            <w:pPr>
              <w:spacing w:line="360" w:lineRule="auto"/>
              <w:contextualSpacing/>
              <w:rPr>
                <w:lang w:val="en-GB"/>
              </w:rPr>
            </w:pPr>
            <w:r>
              <w:rPr>
                <w:lang w:val="en-GB"/>
              </w:rPr>
              <w:t>2.57 times</w:t>
            </w:r>
          </w:p>
        </w:tc>
        <w:tc>
          <w:tcPr>
            <w:tcW w:w="793" w:type="pct"/>
            <w:vAlign w:val="center"/>
          </w:tcPr>
          <w:p w14:paraId="61700966">
            <w:pPr>
              <w:spacing w:line="360" w:lineRule="auto"/>
              <w:contextualSpacing/>
              <w:rPr>
                <w:lang w:val="en-GB"/>
              </w:rPr>
            </w:pPr>
            <w:r>
              <w:rPr>
                <w:lang w:val="en-GB"/>
              </w:rPr>
              <w:t>2.79 times</w:t>
            </w:r>
          </w:p>
        </w:tc>
      </w:tr>
    </w:tbl>
    <w:p w14:paraId="0DA73BF4">
      <w:pPr>
        <w:spacing w:line="360" w:lineRule="auto"/>
        <w:contextualSpacing/>
        <w:rPr>
          <w:lang w:val="en-GB"/>
        </w:rPr>
      </w:pPr>
    </w:p>
    <w:p w14:paraId="2A558D70">
      <w:pPr>
        <w:spacing w:line="360" w:lineRule="auto"/>
        <w:contextualSpacing/>
        <w:rPr>
          <w:lang w:val="en-GB"/>
        </w:rPr>
      </w:pPr>
      <w:r>
        <w:rPr>
          <w:lang w:val="en-GB"/>
        </w:rPr>
        <w:t>Receivable days improved from 7.41 to 7.14, which indicates tighter collection or a shift in mix toward faster settling channels. In supermarkets, receivables can reflect card settlement timing and business customer exposures, so the improvement may indicate smoother payment processing and reduced credit exposure (CFA Institute, 2023). Payable days shortened slightly from 59.85 to 59.15, which could mean Tesco paid suppliers slightly faster or had a different mix of supplier terms. A very long payable period supports negative working capital, but it must be balanced against supplier resilience and reputation risk, especially when the sector is managing cost inflation and supply chain disruption (Deloitte, 2024).</w:t>
      </w:r>
    </w:p>
    <w:p w14:paraId="1287319E">
      <w:pPr>
        <w:spacing w:line="360" w:lineRule="auto"/>
        <w:contextualSpacing/>
        <w:rPr>
          <w:lang w:val="en-GB"/>
        </w:rPr>
      </w:pPr>
    </w:p>
    <w:p w14:paraId="34655DDA">
      <w:pPr>
        <w:spacing w:line="360" w:lineRule="auto"/>
        <w:contextualSpacing/>
        <w:outlineLvl w:val="1"/>
        <w:rPr>
          <w:b/>
          <w:bCs/>
        </w:rPr>
      </w:pPr>
      <w:bookmarkStart w:id="8" w:name="_Toc218355799"/>
      <w:r>
        <w:rPr>
          <w:rFonts w:hint="eastAsia"/>
          <w:b/>
          <w:bCs/>
        </w:rPr>
        <w:t>2.6</w:t>
      </w:r>
      <w:r>
        <w:rPr>
          <w:b/>
          <w:bCs/>
        </w:rPr>
        <w:t xml:space="preserve"> Gearing and coverage analysis</w:t>
      </w:r>
      <w:bookmarkEnd w:id="8"/>
      <w:r>
        <w:rPr>
          <w:b/>
          <w:bCs/>
        </w:rPr>
        <w:t xml:space="preserve"> </w:t>
      </w:r>
    </w:p>
    <w:p w14:paraId="2FCE3E73">
      <w:pPr>
        <w:spacing w:line="360" w:lineRule="auto"/>
        <w:contextualSpacing/>
        <w:rPr>
          <w:lang w:val="en-GB"/>
        </w:rPr>
      </w:pPr>
      <w:r>
        <w:rPr>
          <w:lang w:val="en-GB"/>
        </w:rPr>
        <w:t xml:space="preserve">Both gearing measures improved, with debt to equity based on non current borrowings falling from 48.72% to 43.64% and debt over debt plus equity falling from 32.76% to 30.38%. This suggests a modest improvement in balance sheet resilience, either through lower borrowings, stronger equity, or both (Tesco PLC, 2025). Interest cover rose from 3.50 times to 3.63 times, which indicates slightly stronger capacity to meet finance costs from operating profit. This movement is consistent with the reduction in Bank Rate that began during 2024 and continued into 2025, which can gradually ease interest expense on floating rate exposures and new refinancing (Bank of England, 2025). </w:t>
      </w:r>
    </w:p>
    <w:p w14:paraId="5B107DC2">
      <w:pPr>
        <w:spacing w:line="360" w:lineRule="auto"/>
        <w:contextualSpacing/>
        <w:rPr>
          <w:lang w:val="en-GB"/>
        </w:rPr>
      </w:pPr>
    </w:p>
    <w:p w14:paraId="40E96531">
      <w:pPr>
        <w:spacing w:line="360" w:lineRule="auto"/>
        <w:contextualSpacing/>
        <w:rPr>
          <w:lang w:val="en-GB"/>
        </w:rPr>
      </w:pPr>
      <w:r>
        <w:t xml:space="preserve">Table </w:t>
      </w:r>
      <w:r>
        <w:rPr>
          <w:rFonts w:hint="eastAsia"/>
        </w:rPr>
        <w:t>4</w:t>
      </w:r>
      <w:r>
        <w:t>. Key</w:t>
      </w:r>
      <w:r>
        <w:rPr>
          <w:b/>
          <w:bCs/>
          <w:lang w:val="en-GB"/>
        </w:rPr>
        <w:t xml:space="preserve"> Gearing and coverage</w:t>
      </w:r>
      <w:r>
        <w:t xml:space="preserve"> ratios (FY 2024 vs FY 2025)</w:t>
      </w:r>
    </w:p>
    <w:tbl>
      <w:tblPr>
        <w:tblStyle w:val="21"/>
        <w:tblW w:w="5000" w:type="pct"/>
        <w:tblCellSpacing w:w="15" w:type="dxa"/>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autofit"/>
        <w:tblCellMar>
          <w:top w:w="15" w:type="dxa"/>
          <w:left w:w="15" w:type="dxa"/>
          <w:bottom w:w="15" w:type="dxa"/>
          <w:right w:w="15" w:type="dxa"/>
        </w:tblCellMar>
      </w:tblPr>
      <w:tblGrid>
        <w:gridCol w:w="5969"/>
        <w:gridCol w:w="1206"/>
        <w:gridCol w:w="1221"/>
      </w:tblGrid>
      <w:tr w14:paraId="3765AB27">
        <w:trPr>
          <w:tblHeader/>
          <w:tblCellSpacing w:w="15" w:type="dxa"/>
        </w:trPr>
        <w:tc>
          <w:tcPr>
            <w:tcW w:w="3521" w:type="pct"/>
            <w:tcBorders>
              <w:top w:val="nil"/>
              <w:bottom w:val="single" w:color="auto" w:sz="4" w:space="0"/>
            </w:tcBorders>
            <w:vAlign w:val="center"/>
          </w:tcPr>
          <w:p w14:paraId="796B47A5">
            <w:pPr>
              <w:spacing w:line="360" w:lineRule="auto"/>
              <w:contextualSpacing/>
              <w:rPr>
                <w:b/>
                <w:bCs/>
                <w:lang w:val="en-GB"/>
              </w:rPr>
            </w:pPr>
            <w:r>
              <w:rPr>
                <w:b/>
                <w:bCs/>
                <w:lang w:val="en-GB"/>
              </w:rPr>
              <w:t>Ratio</w:t>
            </w:r>
          </w:p>
        </w:tc>
        <w:tc>
          <w:tcPr>
            <w:tcW w:w="699" w:type="pct"/>
            <w:tcBorders>
              <w:top w:val="nil"/>
              <w:bottom w:val="single" w:color="auto" w:sz="4" w:space="0"/>
            </w:tcBorders>
            <w:vAlign w:val="center"/>
          </w:tcPr>
          <w:p w14:paraId="23A886DE">
            <w:pPr>
              <w:spacing w:line="360" w:lineRule="auto"/>
              <w:contextualSpacing/>
              <w:rPr>
                <w:b/>
                <w:bCs/>
                <w:lang w:val="en-GB"/>
              </w:rPr>
            </w:pPr>
            <w:r>
              <w:rPr>
                <w:b/>
                <w:bCs/>
                <w:lang w:val="en-GB"/>
              </w:rPr>
              <w:t>2024</w:t>
            </w:r>
          </w:p>
        </w:tc>
        <w:tc>
          <w:tcPr>
            <w:tcW w:w="699" w:type="pct"/>
            <w:tcBorders>
              <w:top w:val="nil"/>
              <w:bottom w:val="single" w:color="auto" w:sz="4" w:space="0"/>
            </w:tcBorders>
            <w:vAlign w:val="center"/>
          </w:tcPr>
          <w:p w14:paraId="134ACB4B">
            <w:pPr>
              <w:spacing w:line="360" w:lineRule="auto"/>
              <w:contextualSpacing/>
              <w:rPr>
                <w:b/>
                <w:bCs/>
                <w:lang w:val="en-GB"/>
              </w:rPr>
            </w:pPr>
            <w:r>
              <w:rPr>
                <w:b/>
                <w:bCs/>
                <w:lang w:val="en-GB"/>
              </w:rPr>
              <w:t>2025</w:t>
            </w:r>
          </w:p>
        </w:tc>
      </w:tr>
      <w:tr w14:paraId="017E198B">
        <w:trPr>
          <w:tblCellSpacing w:w="15" w:type="dxa"/>
        </w:trPr>
        <w:tc>
          <w:tcPr>
            <w:tcW w:w="3521" w:type="pct"/>
            <w:vAlign w:val="center"/>
          </w:tcPr>
          <w:p w14:paraId="50B154E9">
            <w:pPr>
              <w:spacing w:line="360" w:lineRule="auto"/>
              <w:contextualSpacing/>
              <w:rPr>
                <w:lang w:val="en-GB"/>
              </w:rPr>
            </w:pPr>
            <w:r>
              <w:rPr>
                <w:lang w:val="en-GB"/>
              </w:rPr>
              <w:t>Interest cover</w:t>
            </w:r>
          </w:p>
        </w:tc>
        <w:tc>
          <w:tcPr>
            <w:tcW w:w="699" w:type="pct"/>
            <w:vAlign w:val="center"/>
          </w:tcPr>
          <w:p w14:paraId="3E133DFE">
            <w:pPr>
              <w:spacing w:line="360" w:lineRule="auto"/>
              <w:contextualSpacing/>
              <w:rPr>
                <w:lang w:val="en-GB"/>
              </w:rPr>
            </w:pPr>
            <w:r>
              <w:rPr>
                <w:lang w:val="en-GB"/>
              </w:rPr>
              <w:t>3.50 times</w:t>
            </w:r>
          </w:p>
        </w:tc>
        <w:tc>
          <w:tcPr>
            <w:tcW w:w="699" w:type="pct"/>
            <w:vAlign w:val="center"/>
          </w:tcPr>
          <w:p w14:paraId="033E20D4">
            <w:pPr>
              <w:spacing w:line="360" w:lineRule="auto"/>
              <w:contextualSpacing/>
              <w:rPr>
                <w:lang w:val="en-GB"/>
              </w:rPr>
            </w:pPr>
            <w:r>
              <w:rPr>
                <w:lang w:val="en-GB"/>
              </w:rPr>
              <w:t>3.63 times</w:t>
            </w:r>
          </w:p>
        </w:tc>
      </w:tr>
      <w:tr w14:paraId="4581065C">
        <w:trPr>
          <w:tblCellSpacing w:w="15" w:type="dxa"/>
        </w:trPr>
        <w:tc>
          <w:tcPr>
            <w:tcW w:w="3521" w:type="pct"/>
            <w:vAlign w:val="center"/>
          </w:tcPr>
          <w:p w14:paraId="5DA6A9A3">
            <w:pPr>
              <w:spacing w:line="360" w:lineRule="auto"/>
              <w:contextualSpacing/>
              <w:rPr>
                <w:lang w:val="en-GB"/>
              </w:rPr>
            </w:pPr>
            <w:r>
              <w:rPr>
                <w:lang w:val="en-GB"/>
              </w:rPr>
              <w:t>Gearing (non-current borrowings over equity)</w:t>
            </w:r>
          </w:p>
        </w:tc>
        <w:tc>
          <w:tcPr>
            <w:tcW w:w="699" w:type="pct"/>
            <w:vAlign w:val="center"/>
          </w:tcPr>
          <w:p w14:paraId="5DC6AF45">
            <w:pPr>
              <w:spacing w:line="360" w:lineRule="auto"/>
              <w:contextualSpacing/>
              <w:rPr>
                <w:lang w:val="en-GB"/>
              </w:rPr>
            </w:pPr>
            <w:r>
              <w:rPr>
                <w:lang w:val="en-GB"/>
              </w:rPr>
              <w:t>48.72%</w:t>
            </w:r>
          </w:p>
        </w:tc>
        <w:tc>
          <w:tcPr>
            <w:tcW w:w="699" w:type="pct"/>
            <w:vAlign w:val="center"/>
          </w:tcPr>
          <w:p w14:paraId="2A3EC7BA">
            <w:pPr>
              <w:spacing w:line="360" w:lineRule="auto"/>
              <w:contextualSpacing/>
              <w:rPr>
                <w:lang w:val="en-GB"/>
              </w:rPr>
            </w:pPr>
            <w:r>
              <w:rPr>
                <w:lang w:val="en-GB"/>
              </w:rPr>
              <w:t>43.64%</w:t>
            </w:r>
          </w:p>
        </w:tc>
      </w:tr>
      <w:tr w14:paraId="0D651E05">
        <w:trPr>
          <w:tblCellSpacing w:w="15" w:type="dxa"/>
        </w:trPr>
        <w:tc>
          <w:tcPr>
            <w:tcW w:w="3521" w:type="pct"/>
            <w:vAlign w:val="center"/>
          </w:tcPr>
          <w:p w14:paraId="01DDBE75">
            <w:pPr>
              <w:spacing w:line="360" w:lineRule="auto"/>
              <w:contextualSpacing/>
              <w:rPr>
                <w:lang w:val="en-GB"/>
              </w:rPr>
            </w:pPr>
            <w:r>
              <w:rPr>
                <w:lang w:val="en-GB"/>
              </w:rPr>
              <w:t>Gearing (debt over debt plus equity)</w:t>
            </w:r>
          </w:p>
        </w:tc>
        <w:tc>
          <w:tcPr>
            <w:tcW w:w="699" w:type="pct"/>
            <w:vAlign w:val="center"/>
          </w:tcPr>
          <w:p w14:paraId="32E04979">
            <w:pPr>
              <w:spacing w:line="360" w:lineRule="auto"/>
              <w:contextualSpacing/>
              <w:rPr>
                <w:lang w:val="en-GB"/>
              </w:rPr>
            </w:pPr>
            <w:r>
              <w:rPr>
                <w:lang w:val="en-GB"/>
              </w:rPr>
              <w:t>32.76%</w:t>
            </w:r>
          </w:p>
        </w:tc>
        <w:tc>
          <w:tcPr>
            <w:tcW w:w="699" w:type="pct"/>
            <w:vAlign w:val="center"/>
          </w:tcPr>
          <w:p w14:paraId="616F7EEC">
            <w:pPr>
              <w:spacing w:line="360" w:lineRule="auto"/>
              <w:contextualSpacing/>
              <w:rPr>
                <w:lang w:val="en-GB"/>
              </w:rPr>
            </w:pPr>
            <w:r>
              <w:rPr>
                <w:lang w:val="en-GB"/>
              </w:rPr>
              <w:t>30.38%</w:t>
            </w:r>
          </w:p>
        </w:tc>
      </w:tr>
    </w:tbl>
    <w:p w14:paraId="3EB2A686">
      <w:pPr>
        <w:spacing w:line="360" w:lineRule="auto"/>
        <w:contextualSpacing/>
        <w:rPr>
          <w:lang w:val="en-GB"/>
        </w:rPr>
      </w:pPr>
    </w:p>
    <w:p w14:paraId="163E9BD8">
      <w:pPr>
        <w:spacing w:line="360" w:lineRule="auto"/>
        <w:contextualSpacing/>
        <w:rPr>
          <w:lang w:val="en-GB"/>
        </w:rPr>
      </w:pPr>
      <w:r>
        <w:rPr>
          <w:lang w:val="en-GB"/>
        </w:rPr>
        <w:t>A limitation of the gearing ratios as calculated is that they exclude lease liabilities, even though Tesco has very large lease obligations in the statement of financial position. IFRS 16 requires recognition of lease liabilities and right of use assets, which increases reported liabilities and affects leverage and liquidity interpretation (IFRS Foundation, 2019). Evidence from post adoption research shows that IFRS 16 can materially change balance sheet structure and some liquidity ratios, which complicates time trend comparisons if analysts do not adjust definitions consistently (Lopes and Penela, 2024). For internal management, it is therefore helpful to track both borrowings based leverage and total obligations-based leverage, including leases, to avoid blind spots.</w:t>
      </w:r>
    </w:p>
    <w:p w14:paraId="5133B480">
      <w:pPr>
        <w:spacing w:line="360" w:lineRule="auto"/>
        <w:contextualSpacing/>
        <w:rPr>
          <w:lang w:val="en-GB"/>
        </w:rPr>
      </w:pPr>
    </w:p>
    <w:p w14:paraId="6755FE55">
      <w:pPr>
        <w:spacing w:line="360" w:lineRule="auto"/>
        <w:contextualSpacing/>
        <w:outlineLvl w:val="1"/>
        <w:rPr>
          <w:b/>
          <w:bCs/>
        </w:rPr>
      </w:pPr>
      <w:bookmarkStart w:id="9" w:name="_Toc218355800"/>
      <w:r>
        <w:rPr>
          <w:rFonts w:hint="eastAsia"/>
          <w:b/>
          <w:bCs/>
        </w:rPr>
        <w:t>2.7</w:t>
      </w:r>
      <w:r>
        <w:rPr>
          <w:b/>
          <w:bCs/>
        </w:rPr>
        <w:t xml:space="preserve"> Investor indicators</w:t>
      </w:r>
      <w:bookmarkEnd w:id="9"/>
      <w:r>
        <w:rPr>
          <w:b/>
          <w:bCs/>
        </w:rPr>
        <w:t xml:space="preserve"> </w:t>
      </w:r>
    </w:p>
    <w:p w14:paraId="690AECD3">
      <w:pPr>
        <w:spacing w:line="360" w:lineRule="auto"/>
        <w:contextualSpacing/>
        <w:rPr>
          <w:lang w:val="en-GB"/>
        </w:rPr>
      </w:pPr>
      <w:r>
        <w:rPr>
          <w:lang w:val="en-GB"/>
        </w:rPr>
        <w:t>Total basic EPS increased strongly to 23.79p from 16.74p, but continuing basic EPS fell to 23.41p from 24.80p. The message is that shareholder reported earnings improved mainly because the discontinued segment swung from loss to profit, not because continuing earnings grew (Tesco PLC, 2025). This is important for valuation and dividend capacity because sustainable distributions should be grounded in continuing cash generation. Governance guidance emphasises transparent explanation of performance outcomes and the strength of internal controls that support reliable reporting, which is relevant when large strategic disposals create headline volatility (Financial Reporting Council, 2024).</w:t>
      </w:r>
    </w:p>
    <w:p w14:paraId="6837409D">
      <w:pPr>
        <w:spacing w:line="360" w:lineRule="auto"/>
        <w:contextualSpacing/>
        <w:rPr>
          <w:lang w:val="en-GB"/>
        </w:rPr>
      </w:pPr>
    </w:p>
    <w:p w14:paraId="3AF2A1BB">
      <w:pPr>
        <w:spacing w:line="360" w:lineRule="auto"/>
        <w:contextualSpacing/>
      </w:pPr>
      <w:r>
        <w:t xml:space="preserve">Table </w:t>
      </w:r>
      <w:r>
        <w:rPr>
          <w:rFonts w:hint="eastAsia"/>
        </w:rPr>
        <w:t>5</w:t>
      </w:r>
      <w:r>
        <w:t>. Earnings per share (EPS) movement</w:t>
      </w:r>
    </w:p>
    <w:tbl>
      <w:tblPr>
        <w:tblStyle w:val="21"/>
        <w:tblW w:w="5000" w:type="pct"/>
        <w:tblCellSpacing w:w="15" w:type="dxa"/>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autofit"/>
        <w:tblCellMar>
          <w:top w:w="15" w:type="dxa"/>
          <w:left w:w="15" w:type="dxa"/>
          <w:bottom w:w="15" w:type="dxa"/>
          <w:right w:w="15" w:type="dxa"/>
        </w:tblCellMar>
      </w:tblPr>
      <w:tblGrid>
        <w:gridCol w:w="4293"/>
        <w:gridCol w:w="727"/>
        <w:gridCol w:w="727"/>
        <w:gridCol w:w="2649"/>
      </w:tblGrid>
      <w:tr w14:paraId="69225C6D">
        <w:trPr>
          <w:tblHeader/>
          <w:tblCellSpacing w:w="15" w:type="dxa"/>
        </w:trPr>
        <w:tc>
          <w:tcPr>
            <w:tcW w:w="2529" w:type="pct"/>
            <w:tcBorders>
              <w:top w:val="nil"/>
              <w:bottom w:val="single" w:color="auto" w:sz="4" w:space="0"/>
            </w:tcBorders>
            <w:vAlign w:val="center"/>
          </w:tcPr>
          <w:p w14:paraId="787D622A">
            <w:pPr>
              <w:spacing w:line="360" w:lineRule="auto"/>
              <w:contextualSpacing/>
              <w:rPr>
                <w:b/>
                <w:bCs/>
                <w:lang w:val="en-GB"/>
              </w:rPr>
            </w:pPr>
            <w:r>
              <w:rPr>
                <w:b/>
                <w:bCs/>
                <w:lang w:val="en-GB"/>
              </w:rPr>
              <w:t>EPS</w:t>
            </w:r>
          </w:p>
        </w:tc>
        <w:tc>
          <w:tcPr>
            <w:tcW w:w="415" w:type="pct"/>
            <w:tcBorders>
              <w:top w:val="nil"/>
              <w:bottom w:val="single" w:color="auto" w:sz="4" w:space="0"/>
            </w:tcBorders>
            <w:vAlign w:val="center"/>
          </w:tcPr>
          <w:p w14:paraId="7D2BE9CD">
            <w:pPr>
              <w:spacing w:line="360" w:lineRule="auto"/>
              <w:contextualSpacing/>
              <w:rPr>
                <w:b/>
                <w:bCs/>
                <w:lang w:val="en-GB"/>
              </w:rPr>
            </w:pPr>
            <w:r>
              <w:rPr>
                <w:b/>
                <w:bCs/>
                <w:lang w:val="en-GB"/>
              </w:rPr>
              <w:t>2025</w:t>
            </w:r>
          </w:p>
        </w:tc>
        <w:tc>
          <w:tcPr>
            <w:tcW w:w="415" w:type="pct"/>
            <w:tcBorders>
              <w:top w:val="nil"/>
              <w:bottom w:val="single" w:color="auto" w:sz="4" w:space="0"/>
            </w:tcBorders>
            <w:vAlign w:val="center"/>
          </w:tcPr>
          <w:p w14:paraId="18B56A1E">
            <w:pPr>
              <w:spacing w:line="360" w:lineRule="auto"/>
              <w:contextualSpacing/>
              <w:rPr>
                <w:b/>
                <w:bCs/>
                <w:lang w:val="en-GB"/>
              </w:rPr>
            </w:pPr>
            <w:r>
              <w:rPr>
                <w:b/>
                <w:bCs/>
                <w:lang w:val="en-GB"/>
              </w:rPr>
              <w:t>2024</w:t>
            </w:r>
          </w:p>
        </w:tc>
        <w:tc>
          <w:tcPr>
            <w:tcW w:w="1550" w:type="pct"/>
            <w:tcBorders>
              <w:top w:val="nil"/>
              <w:bottom w:val="single" w:color="auto" w:sz="4" w:space="0"/>
            </w:tcBorders>
            <w:vAlign w:val="center"/>
          </w:tcPr>
          <w:p w14:paraId="02B4B221">
            <w:pPr>
              <w:spacing w:line="360" w:lineRule="auto"/>
              <w:contextualSpacing/>
              <w:rPr>
                <w:b/>
                <w:bCs/>
                <w:lang w:val="en-GB"/>
              </w:rPr>
            </w:pPr>
            <w:r>
              <w:rPr>
                <w:b/>
                <w:bCs/>
                <w:lang w:val="en-GB"/>
              </w:rPr>
              <w:t>Change</w:t>
            </w:r>
          </w:p>
        </w:tc>
      </w:tr>
      <w:tr w14:paraId="7FFC4F3C">
        <w:trPr>
          <w:tblCellSpacing w:w="15" w:type="dxa"/>
        </w:trPr>
        <w:tc>
          <w:tcPr>
            <w:tcW w:w="2529" w:type="pct"/>
            <w:vAlign w:val="center"/>
          </w:tcPr>
          <w:p w14:paraId="6640A387">
            <w:pPr>
              <w:spacing w:line="360" w:lineRule="auto"/>
              <w:contextualSpacing/>
              <w:rPr>
                <w:lang w:val="en-GB"/>
              </w:rPr>
            </w:pPr>
            <w:r>
              <w:rPr>
                <w:lang w:val="en-GB"/>
              </w:rPr>
              <w:t>Basic EPS (continuing plus discontinued)</w:t>
            </w:r>
          </w:p>
        </w:tc>
        <w:tc>
          <w:tcPr>
            <w:tcW w:w="415" w:type="pct"/>
            <w:vAlign w:val="center"/>
          </w:tcPr>
          <w:p w14:paraId="58CE7265">
            <w:pPr>
              <w:spacing w:line="360" w:lineRule="auto"/>
              <w:contextualSpacing/>
              <w:rPr>
                <w:lang w:val="en-GB"/>
              </w:rPr>
            </w:pPr>
            <w:r>
              <w:rPr>
                <w:lang w:val="en-GB"/>
              </w:rPr>
              <w:t>23.79p</w:t>
            </w:r>
          </w:p>
        </w:tc>
        <w:tc>
          <w:tcPr>
            <w:tcW w:w="415" w:type="pct"/>
            <w:vAlign w:val="center"/>
          </w:tcPr>
          <w:p w14:paraId="03076C4E">
            <w:pPr>
              <w:spacing w:line="360" w:lineRule="auto"/>
              <w:contextualSpacing/>
              <w:rPr>
                <w:lang w:val="en-GB"/>
              </w:rPr>
            </w:pPr>
            <w:r>
              <w:rPr>
                <w:lang w:val="en-GB"/>
              </w:rPr>
              <w:t>16.74p</w:t>
            </w:r>
          </w:p>
        </w:tc>
        <w:tc>
          <w:tcPr>
            <w:tcW w:w="1550" w:type="pct"/>
            <w:vAlign w:val="center"/>
          </w:tcPr>
          <w:p w14:paraId="4ED2971F">
            <w:pPr>
              <w:spacing w:line="360" w:lineRule="auto"/>
              <w:contextualSpacing/>
              <w:rPr>
                <w:lang w:val="en-GB"/>
              </w:rPr>
            </w:pPr>
            <w:r>
              <w:rPr>
                <w:lang w:val="en-GB"/>
              </w:rPr>
              <w:t>+7.05p (+42.1%)</w:t>
            </w:r>
          </w:p>
        </w:tc>
      </w:tr>
      <w:tr w14:paraId="74C8D7EB">
        <w:trPr>
          <w:tblCellSpacing w:w="15" w:type="dxa"/>
        </w:trPr>
        <w:tc>
          <w:tcPr>
            <w:tcW w:w="2529" w:type="pct"/>
            <w:vAlign w:val="center"/>
          </w:tcPr>
          <w:p w14:paraId="0D78B2E0">
            <w:pPr>
              <w:spacing w:line="360" w:lineRule="auto"/>
              <w:contextualSpacing/>
              <w:rPr>
                <w:lang w:val="en-GB"/>
              </w:rPr>
            </w:pPr>
            <w:r>
              <w:rPr>
                <w:lang w:val="en-GB"/>
              </w:rPr>
              <w:t>Diluted EPS (continuing plus discontinued)</w:t>
            </w:r>
          </w:p>
        </w:tc>
        <w:tc>
          <w:tcPr>
            <w:tcW w:w="415" w:type="pct"/>
            <w:vAlign w:val="center"/>
          </w:tcPr>
          <w:p w14:paraId="6A72FB70">
            <w:pPr>
              <w:spacing w:line="360" w:lineRule="auto"/>
              <w:contextualSpacing/>
              <w:rPr>
                <w:lang w:val="en-GB"/>
              </w:rPr>
            </w:pPr>
            <w:r>
              <w:rPr>
                <w:lang w:val="en-GB"/>
              </w:rPr>
              <w:t>23.51p</w:t>
            </w:r>
          </w:p>
        </w:tc>
        <w:tc>
          <w:tcPr>
            <w:tcW w:w="415" w:type="pct"/>
            <w:vAlign w:val="center"/>
          </w:tcPr>
          <w:p w14:paraId="5824DD24">
            <w:pPr>
              <w:spacing w:line="360" w:lineRule="auto"/>
              <w:contextualSpacing/>
              <w:rPr>
                <w:lang w:val="en-GB"/>
              </w:rPr>
            </w:pPr>
            <w:r>
              <w:rPr>
                <w:lang w:val="en-GB"/>
              </w:rPr>
              <w:t>16.56p</w:t>
            </w:r>
          </w:p>
        </w:tc>
        <w:tc>
          <w:tcPr>
            <w:tcW w:w="1550" w:type="pct"/>
            <w:vAlign w:val="center"/>
          </w:tcPr>
          <w:p w14:paraId="194485AC">
            <w:pPr>
              <w:spacing w:line="360" w:lineRule="auto"/>
              <w:contextualSpacing/>
              <w:rPr>
                <w:lang w:val="en-GB"/>
              </w:rPr>
            </w:pPr>
            <w:r>
              <w:rPr>
                <w:lang w:val="en-GB"/>
              </w:rPr>
              <w:t>+6.95p (+42.0%)</w:t>
            </w:r>
          </w:p>
        </w:tc>
      </w:tr>
      <w:tr w14:paraId="49E809C3">
        <w:trPr>
          <w:tblCellSpacing w:w="15" w:type="dxa"/>
        </w:trPr>
        <w:tc>
          <w:tcPr>
            <w:tcW w:w="2529" w:type="pct"/>
            <w:vAlign w:val="center"/>
          </w:tcPr>
          <w:p w14:paraId="58105AAA">
            <w:pPr>
              <w:spacing w:line="360" w:lineRule="auto"/>
              <w:contextualSpacing/>
              <w:rPr>
                <w:lang w:val="en-GB"/>
              </w:rPr>
            </w:pPr>
            <w:r>
              <w:rPr>
                <w:lang w:val="en-GB"/>
              </w:rPr>
              <w:t>Basic EPS (continuing only)</w:t>
            </w:r>
          </w:p>
        </w:tc>
        <w:tc>
          <w:tcPr>
            <w:tcW w:w="415" w:type="pct"/>
            <w:vAlign w:val="center"/>
          </w:tcPr>
          <w:p w14:paraId="06731530">
            <w:pPr>
              <w:spacing w:line="360" w:lineRule="auto"/>
              <w:contextualSpacing/>
              <w:rPr>
                <w:lang w:val="en-GB"/>
              </w:rPr>
            </w:pPr>
            <w:r>
              <w:rPr>
                <w:lang w:val="en-GB"/>
              </w:rPr>
              <w:t>23.41p</w:t>
            </w:r>
          </w:p>
        </w:tc>
        <w:tc>
          <w:tcPr>
            <w:tcW w:w="415" w:type="pct"/>
            <w:vAlign w:val="center"/>
          </w:tcPr>
          <w:p w14:paraId="0800755C">
            <w:pPr>
              <w:spacing w:line="360" w:lineRule="auto"/>
              <w:contextualSpacing/>
              <w:rPr>
                <w:lang w:val="en-GB"/>
              </w:rPr>
            </w:pPr>
            <w:r>
              <w:rPr>
                <w:lang w:val="en-GB"/>
              </w:rPr>
              <w:t>24.80p</w:t>
            </w:r>
          </w:p>
        </w:tc>
        <w:tc>
          <w:tcPr>
            <w:tcW w:w="1550" w:type="pct"/>
            <w:vAlign w:val="center"/>
          </w:tcPr>
          <w:p w14:paraId="14A2F043">
            <w:pPr>
              <w:spacing w:line="360" w:lineRule="auto"/>
              <w:contextualSpacing/>
              <w:rPr>
                <w:lang w:val="en-GB"/>
              </w:rPr>
            </w:pPr>
            <w:r>
              <w:rPr>
                <w:lang w:val="en-GB"/>
              </w:rPr>
              <w:t>minus 1.39p (minus 5.6%)</w:t>
            </w:r>
          </w:p>
        </w:tc>
      </w:tr>
      <w:tr w14:paraId="4DC61798">
        <w:trPr>
          <w:tblCellSpacing w:w="15" w:type="dxa"/>
        </w:trPr>
        <w:tc>
          <w:tcPr>
            <w:tcW w:w="2529" w:type="pct"/>
            <w:vAlign w:val="center"/>
          </w:tcPr>
          <w:p w14:paraId="65CB6C5B">
            <w:pPr>
              <w:spacing w:line="360" w:lineRule="auto"/>
              <w:contextualSpacing/>
              <w:rPr>
                <w:lang w:val="en-GB"/>
              </w:rPr>
            </w:pPr>
            <w:r>
              <w:rPr>
                <w:lang w:val="en-GB"/>
              </w:rPr>
              <w:t>Diluted EPS (continuing only)</w:t>
            </w:r>
          </w:p>
        </w:tc>
        <w:tc>
          <w:tcPr>
            <w:tcW w:w="415" w:type="pct"/>
            <w:vAlign w:val="center"/>
          </w:tcPr>
          <w:p w14:paraId="4808DC30">
            <w:pPr>
              <w:spacing w:line="360" w:lineRule="auto"/>
              <w:contextualSpacing/>
              <w:rPr>
                <w:lang w:val="en-GB"/>
              </w:rPr>
            </w:pPr>
            <w:r>
              <w:rPr>
                <w:lang w:val="en-GB"/>
              </w:rPr>
              <w:t>23.13p</w:t>
            </w:r>
          </w:p>
        </w:tc>
        <w:tc>
          <w:tcPr>
            <w:tcW w:w="415" w:type="pct"/>
            <w:vAlign w:val="center"/>
          </w:tcPr>
          <w:p w14:paraId="16F40451">
            <w:pPr>
              <w:spacing w:line="360" w:lineRule="auto"/>
              <w:contextualSpacing/>
              <w:rPr>
                <w:lang w:val="en-GB"/>
              </w:rPr>
            </w:pPr>
            <w:r>
              <w:rPr>
                <w:lang w:val="en-GB"/>
              </w:rPr>
              <w:t>24.53p</w:t>
            </w:r>
          </w:p>
        </w:tc>
        <w:tc>
          <w:tcPr>
            <w:tcW w:w="1550" w:type="pct"/>
            <w:vAlign w:val="center"/>
          </w:tcPr>
          <w:p w14:paraId="2A5659F7">
            <w:pPr>
              <w:spacing w:line="360" w:lineRule="auto"/>
              <w:contextualSpacing/>
              <w:rPr>
                <w:lang w:val="en-GB"/>
              </w:rPr>
            </w:pPr>
            <w:r>
              <w:rPr>
                <w:lang w:val="en-GB"/>
              </w:rPr>
              <w:t>minus 1.40p (minus 5.7%)</w:t>
            </w:r>
          </w:p>
        </w:tc>
      </w:tr>
    </w:tbl>
    <w:p w14:paraId="35BC30B3">
      <w:pPr>
        <w:spacing w:line="360" w:lineRule="auto"/>
        <w:contextualSpacing/>
        <w:rPr>
          <w:lang w:val="en-GB"/>
        </w:rPr>
      </w:pPr>
    </w:p>
    <w:p w14:paraId="632C54B5">
      <w:pPr>
        <w:spacing w:line="360" w:lineRule="auto"/>
        <w:contextualSpacing/>
        <w:rPr>
          <w:lang w:val="en-GB"/>
        </w:rPr>
      </w:pPr>
      <w:r>
        <w:rPr>
          <w:lang w:val="en-GB"/>
        </w:rPr>
        <w:t>The small gap between basic and diluted EPS in both years suggests limited dilution effects, so capital structure complexity is not the main driver of EPS change. For the board, the key investor narrative should therefore focus on continuing operating performance, cash flow, and capital allocation choices following the disposal, rather than on share count effects alone (CFA Institute, 2023). If you wish to extend investor ratio coverage, price earnings and dividend yield calculations can be added using year end market price and declared dividends, but those inputs were not included in the dataset used here.</w:t>
      </w:r>
    </w:p>
    <w:p w14:paraId="4DEB9E60">
      <w:pPr>
        <w:spacing w:line="360" w:lineRule="auto"/>
        <w:contextualSpacing/>
        <w:rPr>
          <w:lang w:val="en-GB"/>
        </w:rPr>
      </w:pPr>
    </w:p>
    <w:p w14:paraId="71ABDAA0">
      <w:pPr>
        <w:spacing w:line="360" w:lineRule="auto"/>
        <w:contextualSpacing/>
        <w:outlineLvl w:val="1"/>
        <w:rPr>
          <w:b/>
          <w:bCs/>
        </w:rPr>
      </w:pPr>
      <w:bookmarkStart w:id="10" w:name="_Toc218355801"/>
      <w:r>
        <w:rPr>
          <w:rFonts w:hint="eastAsia"/>
          <w:b/>
          <w:bCs/>
        </w:rPr>
        <w:t>2.8</w:t>
      </w:r>
      <w:r>
        <w:rPr>
          <w:b/>
          <w:bCs/>
        </w:rPr>
        <w:t xml:space="preserve"> Limitations of ratio analysis</w:t>
      </w:r>
      <w:bookmarkEnd w:id="10"/>
      <w:r>
        <w:rPr>
          <w:b/>
          <w:bCs/>
        </w:rPr>
        <w:t xml:space="preserve"> </w:t>
      </w:r>
    </w:p>
    <w:p w14:paraId="68EF291A">
      <w:pPr>
        <w:spacing w:line="360" w:lineRule="auto"/>
        <w:contextualSpacing/>
        <w:rPr>
          <w:lang w:val="en-GB"/>
        </w:rPr>
      </w:pPr>
      <w:r>
        <w:rPr>
          <w:lang w:val="en-GB"/>
        </w:rPr>
        <w:t>The first limitation is comparability across years, because the 2024-year end includes a large held for sale disposal group and the 2025-year end does not, which distorts liquidity and leverage trend interpretation (IFRS Foundation, 2025). The second limitation is that a year-end balance sheet is a snapshot, while Tesco’s working capital swings materially within the year around seasonal trading and supplier settlement cycles (Deloitte, 2024). The third limitation is accounting policy impact, because lease accounting under IFRS 16 increases reported assets and liabilities and can alter leverage and liquidity ratios even if underlying cash economics do not change (Lopes and Penela, 2024). The fourth limitation is that retail performance is sensitive to price inflation and customer trade down, so revenue growth may partly reflect price level change rather than volume or real margin improvement (Office for National Statistics, 2024). The final limitation is that ratios are high level and do not replace segment level analysis across UK and non-UK units, or across retail and financial services activities, which can have different risk profiles (CFA Institute, 2023).</w:t>
      </w:r>
    </w:p>
    <w:p w14:paraId="63103A67">
      <w:pPr>
        <w:spacing w:line="360" w:lineRule="auto"/>
        <w:contextualSpacing/>
        <w:rPr>
          <w:lang w:val="en-GB"/>
        </w:rPr>
      </w:pPr>
    </w:p>
    <w:p w14:paraId="009D67ED">
      <w:pPr>
        <w:spacing w:line="360" w:lineRule="auto"/>
        <w:contextualSpacing/>
        <w:outlineLvl w:val="1"/>
        <w:rPr>
          <w:b/>
          <w:bCs/>
        </w:rPr>
      </w:pPr>
      <w:bookmarkStart w:id="11" w:name="_Toc218355802"/>
      <w:r>
        <w:rPr>
          <w:rFonts w:hint="eastAsia"/>
          <w:b/>
          <w:bCs/>
        </w:rPr>
        <w:t>2.9</w:t>
      </w:r>
      <w:r>
        <w:rPr>
          <w:b/>
          <w:bCs/>
        </w:rPr>
        <w:t xml:space="preserve"> Recommendations</w:t>
      </w:r>
      <w:bookmarkEnd w:id="11"/>
      <w:r>
        <w:rPr>
          <w:b/>
          <w:bCs/>
        </w:rPr>
        <w:t xml:space="preserve"> </w:t>
      </w:r>
    </w:p>
    <w:p w14:paraId="31A88ECB">
      <w:pPr>
        <w:spacing w:line="360" w:lineRule="auto"/>
        <w:contextualSpacing/>
        <w:rPr>
          <w:lang w:val="en-GB"/>
        </w:rPr>
      </w:pPr>
      <w:r>
        <w:rPr>
          <w:lang w:val="en-GB"/>
        </w:rPr>
        <w:t>The first recommendation is to strengthen liquidity governance using adjusted measures that remove held for sale distortions and that track weekly cash and facility headroom. This should include stress tests for adverse scenarios, such as a sharp sales decline or supplier disruption, because low headline current ratios can mask vulnerability when shocks hit (Deloitte, 2024). It should also include board level monitoring of the internal control environment that supports accurate cash forecasting and working capital reporting, aligned with the updated governance expectations on internal controls (Financial Reporting Council, 2024).</w:t>
      </w:r>
    </w:p>
    <w:p w14:paraId="6298AD69">
      <w:pPr>
        <w:spacing w:line="360" w:lineRule="auto"/>
        <w:contextualSpacing/>
        <w:rPr>
          <w:lang w:val="en-GB"/>
        </w:rPr>
      </w:pPr>
    </w:p>
    <w:p w14:paraId="2A7AD538">
      <w:pPr>
        <w:spacing w:line="360" w:lineRule="auto"/>
        <w:contextualSpacing/>
        <w:rPr>
          <w:lang w:val="en-GB"/>
        </w:rPr>
      </w:pPr>
      <w:r>
        <w:rPr>
          <w:rFonts w:hint="eastAsia"/>
          <w:lang w:val="en-GB"/>
        </w:rPr>
        <w:t>T</w:t>
      </w:r>
      <w:r>
        <w:rPr>
          <w:lang w:val="en-GB"/>
        </w:rPr>
        <w:t>o protect operating margin by separating cost growth into unavoidable inflation driven elements and discretionary investment, then linking each discretionary cost line to measurable operational outcomes. Retail sector analysis highlights that customers remain value conscious and that winning retailers combine strong value perception with reliable execution, so cost control needs to be paired with service and availability discipline (PwC, 2024). Management reporting should make reinvestment choices visible, so the board can judge whether margin pressure is a planned trade-off for long term advantage or an unmanaged drift.</w:t>
      </w:r>
    </w:p>
    <w:p w14:paraId="37C5A337">
      <w:pPr>
        <w:spacing w:line="360" w:lineRule="auto"/>
        <w:contextualSpacing/>
        <w:rPr>
          <w:lang w:val="en-GB"/>
        </w:rPr>
      </w:pPr>
    </w:p>
    <w:p w14:paraId="455291A9">
      <w:pPr>
        <w:spacing w:line="360" w:lineRule="auto"/>
        <w:contextualSpacing/>
        <w:rPr>
          <w:lang w:val="en-GB"/>
        </w:rPr>
      </w:pPr>
      <w:r>
        <w:rPr>
          <w:lang w:val="en-GB"/>
        </w:rPr>
        <w:t>The</w:t>
      </w:r>
      <w:r>
        <w:rPr>
          <w:rFonts w:hint="eastAsia"/>
          <w:lang w:val="en-GB"/>
        </w:rPr>
        <w:t>n the</w:t>
      </w:r>
      <w:r>
        <w:rPr>
          <w:lang w:val="en-GB"/>
        </w:rPr>
        <w:t xml:space="preserve"> recommendation is to tighten working capital levers in a way that protects supplier relationships and resilience. Inventory days rose slightly, so actions such as better demand forecasting, improved replenishment parameters, and tighter slow moving stock controls can release cash without harming availability (Deloitte, 2024). Evidence from recent empirical work continues to support the view that working capital efficiency is linked to firm performance, which strengthens the business case for sustained focus on inventory, receivables, and payables discipline (Huynh, 2025). The board should also consider supplier health metrics alongside payable days, so cash optimisation does not create hidden supply risk.</w:t>
      </w:r>
    </w:p>
    <w:p w14:paraId="4D36F1AD">
      <w:pPr>
        <w:spacing w:line="360" w:lineRule="auto"/>
        <w:contextualSpacing/>
        <w:rPr>
          <w:lang w:val="en-GB"/>
        </w:rPr>
      </w:pPr>
    </w:p>
    <w:p w14:paraId="0BAAC718">
      <w:pPr>
        <w:spacing w:line="360" w:lineRule="auto"/>
        <w:contextualSpacing/>
        <w:rPr>
          <w:lang w:val="en-GB"/>
        </w:rPr>
      </w:pPr>
      <w:r>
        <w:rPr>
          <w:rFonts w:hint="eastAsia"/>
          <w:lang w:val="en-GB"/>
        </w:rPr>
        <w:t>T</w:t>
      </w:r>
      <w:r>
        <w:rPr>
          <w:lang w:val="en-GB"/>
        </w:rPr>
        <w:t>o broaden leverage monitoring beyond borrowings to include lease obligations and interest rate sensitivity. IFRS 16 confirms that leases create recognised liabilities, and in a large store estate business this exposure is material for long term solvency and covenant headroom (IFRS Foundation, 2019). The interest rate environment has been easing since 2024, but the path can change, so Tesco should continue to manage refinancing timing, fixed versus floating mix, and hedge effectiveness under board approved risk appetite (Bank of England, 2025). A combined dashboard that links lease profile, debt maturity, and interest cover would give the board a clearer view of resilience.</w:t>
      </w:r>
    </w:p>
    <w:p w14:paraId="2EA3F79C">
      <w:pPr>
        <w:spacing w:line="360" w:lineRule="auto"/>
        <w:contextualSpacing/>
        <w:rPr>
          <w:lang w:val="en-GB"/>
        </w:rPr>
      </w:pPr>
    </w:p>
    <w:p w14:paraId="31A4927A">
      <w:pPr>
        <w:spacing w:line="360" w:lineRule="auto"/>
        <w:contextualSpacing/>
        <w:rPr>
          <w:lang w:val="en-GB"/>
        </w:rPr>
      </w:pPr>
      <w:r>
        <w:rPr>
          <w:rFonts w:hint="eastAsia"/>
          <w:lang w:val="en-GB"/>
        </w:rPr>
        <w:t>Finlly</w:t>
      </w:r>
      <w:r>
        <w:rPr>
          <w:lang w:val="en-GB"/>
        </w:rPr>
        <w:t xml:space="preserve"> is to improve external and internal performance communication in preparation for the newer presentation standard that aims to enhance comparability of performance subtotals and management defined measures (ICAEW, 2024). This is relevant because Tesco’s headline profit and EPS were heavily affected by discontinued operations, and clearer recurring performance measures can support investor confidence and internal accountability. The board should ensure that any adjusted performance measures are reconciled transparently to IFRS numbers and are consistently defined across periods.</w:t>
      </w:r>
    </w:p>
    <w:p w14:paraId="406DB14F">
      <w:pPr>
        <w:spacing w:line="360" w:lineRule="auto"/>
        <w:contextualSpacing/>
        <w:rPr>
          <w:lang w:val="en-GB"/>
        </w:rPr>
      </w:pPr>
    </w:p>
    <w:p w14:paraId="3B5767B7">
      <w:pPr>
        <w:spacing w:line="360" w:lineRule="auto"/>
        <w:contextualSpacing/>
        <w:outlineLvl w:val="0"/>
        <w:rPr>
          <w:lang w:val="en-GB"/>
        </w:rPr>
      </w:pPr>
      <w:bookmarkStart w:id="12" w:name="_Toc218355803"/>
      <w:r>
        <w:rPr>
          <w:rFonts w:hint="eastAsia"/>
          <w:b/>
          <w:bCs/>
          <w:sz w:val="28"/>
          <w:szCs w:val="22"/>
          <w:lang w:val="en-GB"/>
        </w:rPr>
        <w:t>3. Task 2</w:t>
      </w:r>
      <w:bookmarkEnd w:id="12"/>
    </w:p>
    <w:p w14:paraId="009CBE3B">
      <w:pPr>
        <w:spacing w:line="360" w:lineRule="auto"/>
        <w:contextualSpacing/>
        <w:outlineLvl w:val="1"/>
        <w:rPr>
          <w:b/>
          <w:bCs/>
        </w:rPr>
      </w:pPr>
      <w:bookmarkStart w:id="13" w:name="_Toc218355804"/>
      <w:r>
        <w:rPr>
          <w:rFonts w:hint="eastAsia"/>
          <w:b/>
          <w:bCs/>
        </w:rPr>
        <w:t xml:space="preserve">3.1 </w:t>
      </w:r>
      <w:r>
        <w:rPr>
          <w:b/>
          <w:bCs/>
        </w:rPr>
        <w:t>I</w:t>
      </w:r>
      <w:r>
        <w:rPr>
          <w:rFonts w:hint="eastAsia"/>
          <w:b/>
          <w:bCs/>
        </w:rPr>
        <w:t>ntroduction</w:t>
      </w:r>
      <w:bookmarkEnd w:id="13"/>
    </w:p>
    <w:p w14:paraId="18231F1B">
      <w:pPr>
        <w:spacing w:line="360" w:lineRule="auto"/>
        <w:contextualSpacing/>
        <w:rPr>
          <w:lang w:val="en-GB"/>
        </w:rPr>
      </w:pPr>
      <w:r>
        <w:t xml:space="preserve">This </w:t>
      </w:r>
      <w:r>
        <w:rPr>
          <w:rFonts w:hint="eastAsia"/>
        </w:rPr>
        <w:t>task</w:t>
      </w:r>
      <w:r>
        <w:t xml:space="preserve"> evaluates </w:t>
      </w:r>
      <w:r>
        <w:rPr>
          <w:rFonts w:hint="eastAsia"/>
        </w:rPr>
        <w:t>3</w:t>
      </w:r>
      <w:r>
        <w:t xml:space="preserve"> four</w:t>
      </w:r>
      <w:r>
        <w:rPr>
          <w:rFonts w:hint="eastAsia"/>
        </w:rPr>
        <w:t>-</w:t>
      </w:r>
      <w:r>
        <w:t>years investment options using net present value at a 6 cost of capital, then estimates the internal rate of return for the preferred option. The analysis applies a 25-corporation tax rate and capital allowances at 20 per year on a straight-line basis, as required in the brief. These methods aim to support an objective choice that increases firm value while recognizing that investment decisions also depend on strategy, risk, and delivery capability.</w:t>
      </w:r>
    </w:p>
    <w:p w14:paraId="110442D5">
      <w:pPr>
        <w:spacing w:line="360" w:lineRule="auto"/>
        <w:contextualSpacing/>
        <w:rPr>
          <w:lang w:val="en-GB"/>
        </w:rPr>
      </w:pPr>
    </w:p>
    <w:p w14:paraId="59C81168">
      <w:pPr>
        <w:spacing w:line="360" w:lineRule="auto"/>
        <w:contextualSpacing/>
        <w:outlineLvl w:val="1"/>
        <w:rPr>
          <w:b/>
          <w:bCs/>
        </w:rPr>
      </w:pPr>
      <w:bookmarkStart w:id="14" w:name="_Toc218355805"/>
      <w:r>
        <w:rPr>
          <w:rFonts w:hint="eastAsia"/>
          <w:b/>
          <w:bCs/>
        </w:rPr>
        <w:t xml:space="preserve">3.2 </w:t>
      </w:r>
      <w:r>
        <w:rPr>
          <w:b/>
          <w:bCs/>
        </w:rPr>
        <w:t>Assumptions and approach</w:t>
      </w:r>
      <w:bookmarkEnd w:id="14"/>
    </w:p>
    <w:p w14:paraId="6B509C8B">
      <w:pPr>
        <w:spacing w:line="360" w:lineRule="auto"/>
        <w:contextualSpacing/>
        <w:rPr>
          <w:lang w:val="en-GB"/>
        </w:rPr>
      </w:pPr>
      <w:r>
        <w:rPr>
          <w:lang w:val="en-GB"/>
        </w:rPr>
        <w:t>The cash inflows provided are treated as pre-tax operating cash inflows arising at each year end. Tax is paid in the same year as the cash flow arises, and capital allowances reduce taxable profit each year, which creates a tax saving. This is consistent with standard investment appraisal practice where after-tax cash flows are the correct basis for discounting (Atrill and McLaney, 2024). The annual capital allowance is 20 of the initial investment, and the annual tax saving from allowances equals initial investment times 20 times 25 percent.</w:t>
      </w:r>
    </w:p>
    <w:p w14:paraId="579476AF">
      <w:pPr>
        <w:spacing w:line="360" w:lineRule="auto"/>
        <w:contextualSpacing/>
        <w:rPr>
          <w:lang w:val="en-GB"/>
        </w:rPr>
      </w:pPr>
    </w:p>
    <w:p w14:paraId="0E927191">
      <w:pPr>
        <w:spacing w:line="360" w:lineRule="auto"/>
        <w:contextualSpacing/>
        <w:rPr>
          <w:lang w:val="en-GB"/>
        </w:rPr>
      </w:pPr>
      <w:r>
        <w:rPr>
          <w:lang w:val="en-GB"/>
        </w:rPr>
        <w:t>A convenient way to calculate annual after-tax cash flow is:</w:t>
      </w:r>
    </w:p>
    <w:p w14:paraId="231B7EE6">
      <w:pPr>
        <w:spacing w:line="360" w:lineRule="auto"/>
        <w:contextualSpacing/>
        <w:rPr>
          <w:lang w:val="en-GB"/>
        </w:rPr>
      </w:pPr>
      <w:r>
        <w:rPr>
          <w:lang w:val="en-GB"/>
        </w:rPr>
        <w:t>After tax cash flow = 0.75 × cash inflow + 0.25 × (0.20 × initial investment)</w:t>
      </w:r>
    </w:p>
    <w:p w14:paraId="70E0125F">
      <w:pPr>
        <w:spacing w:line="360" w:lineRule="auto"/>
        <w:contextualSpacing/>
        <w:rPr>
          <w:lang w:val="en-GB"/>
        </w:rPr>
      </w:pPr>
      <w:r>
        <w:rPr>
          <w:lang w:val="en-GB"/>
        </w:rPr>
        <w:t>This structure reflects the role of tax and allowances in project appraisal, while noting that actual UK capital allowance rules are more complex than the simplified assumption used here (HMRC, 2025). The calculations below use £000 units for consistency with the inflow table. These assumptions make the appraisal transparent and comparable across options.</w:t>
      </w:r>
    </w:p>
    <w:p w14:paraId="02AE63B1">
      <w:pPr>
        <w:spacing w:line="360" w:lineRule="auto"/>
        <w:contextualSpacing/>
        <w:rPr>
          <w:lang w:val="en-GB"/>
        </w:rPr>
      </w:pPr>
    </w:p>
    <w:p w14:paraId="6723A89F">
      <w:pPr>
        <w:spacing w:line="360" w:lineRule="auto"/>
        <w:contextualSpacing/>
      </w:pPr>
      <w:r>
        <w:rPr>
          <w:lang w:val="en-GB"/>
        </w:rPr>
        <w:t>A</w:t>
      </w:r>
      <w:r>
        <w:rPr>
          <w:rFonts w:hint="eastAsia"/>
          <w:lang w:val="en-GB"/>
        </w:rPr>
        <w:t xml:space="preserve">. </w:t>
      </w:r>
      <w:r>
        <w:t>NPV calculations and results</w:t>
      </w:r>
    </w:p>
    <w:p w14:paraId="4141F70D">
      <w:pPr>
        <w:spacing w:line="360" w:lineRule="auto"/>
        <w:contextualSpacing/>
        <w:rPr>
          <w:lang w:val="en-GB"/>
        </w:rPr>
      </w:pPr>
      <w:r>
        <w:rPr>
          <w:b/>
          <w:bCs/>
          <w:lang w:val="en-GB"/>
        </w:rPr>
        <w:t>Option A: Expand retail outlet</w:t>
      </w:r>
      <w:r>
        <w:rPr>
          <w:lang w:val="en-GB"/>
        </w:rPr>
        <w:br w:type="textWrapping"/>
      </w:r>
      <w:r>
        <w:rPr>
          <w:lang w:val="en-GB"/>
        </w:rPr>
        <w:t>Initial investment = 600</w:t>
      </w:r>
    </w:p>
    <w:p w14:paraId="1AAF76C8">
      <w:pPr>
        <w:spacing w:line="360" w:lineRule="auto"/>
        <w:contextualSpacing/>
        <w:rPr>
          <w:lang w:val="en-GB"/>
        </w:rPr>
      </w:pPr>
      <w:r>
        <w:rPr>
          <w:lang w:val="en-GB"/>
        </w:rPr>
        <w:t>Annual allowance tax saving = 600 × 0.20 × 0.25 = 30 each year</w:t>
      </w:r>
    </w:p>
    <w:tbl>
      <w:tblPr>
        <w:tblStyle w:val="21"/>
        <w:tblW w:w="5000" w:type="pct"/>
        <w:tblCellSpacing w:w="15" w:type="dxa"/>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autofit"/>
        <w:tblCellMar>
          <w:top w:w="15" w:type="dxa"/>
          <w:left w:w="15" w:type="dxa"/>
          <w:bottom w:w="15" w:type="dxa"/>
          <w:right w:w="15" w:type="dxa"/>
        </w:tblCellMar>
      </w:tblPr>
      <w:tblGrid>
        <w:gridCol w:w="864"/>
        <w:gridCol w:w="2039"/>
        <w:gridCol w:w="3189"/>
        <w:gridCol w:w="2304"/>
      </w:tblGrid>
      <w:tr w14:paraId="48DF52A7">
        <w:trPr>
          <w:tblHeader/>
          <w:tblCellSpacing w:w="15" w:type="dxa"/>
        </w:trPr>
        <w:tc>
          <w:tcPr>
            <w:tcW w:w="488" w:type="pct"/>
            <w:tcBorders>
              <w:top w:val="nil"/>
              <w:bottom w:val="single" w:color="auto" w:sz="4" w:space="0"/>
            </w:tcBorders>
            <w:vAlign w:val="center"/>
          </w:tcPr>
          <w:p w14:paraId="77701461">
            <w:pPr>
              <w:spacing w:line="360" w:lineRule="auto"/>
              <w:contextualSpacing/>
              <w:rPr>
                <w:b/>
                <w:bCs/>
                <w:lang w:val="en-GB"/>
              </w:rPr>
            </w:pPr>
            <w:r>
              <w:rPr>
                <w:b/>
                <w:bCs/>
                <w:lang w:val="en-GB"/>
              </w:rPr>
              <w:t>Year</w:t>
            </w:r>
          </w:p>
        </w:tc>
        <w:tc>
          <w:tcPr>
            <w:tcW w:w="1196" w:type="pct"/>
            <w:tcBorders>
              <w:top w:val="nil"/>
              <w:bottom w:val="single" w:color="auto" w:sz="4" w:space="0"/>
            </w:tcBorders>
            <w:vAlign w:val="center"/>
          </w:tcPr>
          <w:p w14:paraId="21CAD324">
            <w:pPr>
              <w:spacing w:line="360" w:lineRule="auto"/>
              <w:contextualSpacing/>
              <w:rPr>
                <w:b/>
                <w:bCs/>
                <w:lang w:val="en-GB"/>
              </w:rPr>
            </w:pPr>
            <w:r>
              <w:rPr>
                <w:b/>
                <w:bCs/>
                <w:lang w:val="en-GB"/>
              </w:rPr>
              <w:t>Cash inflow</w:t>
            </w:r>
          </w:p>
        </w:tc>
        <w:tc>
          <w:tcPr>
            <w:tcW w:w="1881" w:type="pct"/>
            <w:tcBorders>
              <w:top w:val="nil"/>
              <w:bottom w:val="single" w:color="auto" w:sz="4" w:space="0"/>
            </w:tcBorders>
            <w:vAlign w:val="center"/>
          </w:tcPr>
          <w:p w14:paraId="7D12C6E5">
            <w:pPr>
              <w:spacing w:line="360" w:lineRule="auto"/>
              <w:contextualSpacing/>
              <w:rPr>
                <w:b/>
                <w:bCs/>
                <w:lang w:val="en-GB"/>
              </w:rPr>
            </w:pPr>
            <w:r>
              <w:rPr>
                <w:b/>
                <w:bCs/>
                <w:lang w:val="en-GB"/>
              </w:rPr>
              <w:t>After tax cash flow</w:t>
            </w:r>
          </w:p>
        </w:tc>
        <w:tc>
          <w:tcPr>
            <w:tcW w:w="1345" w:type="pct"/>
            <w:tcBorders>
              <w:top w:val="nil"/>
              <w:bottom w:val="single" w:color="auto" w:sz="4" w:space="0"/>
            </w:tcBorders>
            <w:vAlign w:val="center"/>
          </w:tcPr>
          <w:p w14:paraId="54652F95">
            <w:pPr>
              <w:spacing w:line="360" w:lineRule="auto"/>
              <w:contextualSpacing/>
              <w:rPr>
                <w:b/>
                <w:bCs/>
                <w:lang w:val="en-GB"/>
              </w:rPr>
            </w:pPr>
            <w:r>
              <w:rPr>
                <w:b/>
                <w:bCs/>
                <w:lang w:val="en-GB"/>
              </w:rPr>
              <w:t>Present value</w:t>
            </w:r>
          </w:p>
        </w:tc>
      </w:tr>
      <w:tr w14:paraId="2696E885">
        <w:trPr>
          <w:tblCellSpacing w:w="15" w:type="dxa"/>
        </w:trPr>
        <w:tc>
          <w:tcPr>
            <w:tcW w:w="488" w:type="pct"/>
            <w:vAlign w:val="center"/>
          </w:tcPr>
          <w:p w14:paraId="3A729D3F">
            <w:pPr>
              <w:spacing w:line="360" w:lineRule="auto"/>
              <w:contextualSpacing/>
              <w:rPr>
                <w:lang w:val="en-GB"/>
              </w:rPr>
            </w:pPr>
            <w:r>
              <w:rPr>
                <w:lang w:val="en-GB"/>
              </w:rPr>
              <w:t>1</w:t>
            </w:r>
          </w:p>
        </w:tc>
        <w:tc>
          <w:tcPr>
            <w:tcW w:w="1196" w:type="pct"/>
            <w:vAlign w:val="center"/>
          </w:tcPr>
          <w:p w14:paraId="5A0745CA">
            <w:pPr>
              <w:spacing w:line="360" w:lineRule="auto"/>
              <w:contextualSpacing/>
              <w:rPr>
                <w:lang w:val="en-GB"/>
              </w:rPr>
            </w:pPr>
            <w:r>
              <w:rPr>
                <w:lang w:val="en-GB"/>
              </w:rPr>
              <w:t>200</w:t>
            </w:r>
          </w:p>
        </w:tc>
        <w:tc>
          <w:tcPr>
            <w:tcW w:w="1881" w:type="pct"/>
            <w:vAlign w:val="center"/>
          </w:tcPr>
          <w:p w14:paraId="640D304B">
            <w:pPr>
              <w:spacing w:line="360" w:lineRule="auto"/>
              <w:contextualSpacing/>
              <w:rPr>
                <w:lang w:val="en-GB"/>
              </w:rPr>
            </w:pPr>
            <w:r>
              <w:rPr>
                <w:lang w:val="en-GB"/>
              </w:rPr>
              <w:t>180.0</w:t>
            </w:r>
          </w:p>
        </w:tc>
        <w:tc>
          <w:tcPr>
            <w:tcW w:w="1345" w:type="pct"/>
            <w:vAlign w:val="center"/>
          </w:tcPr>
          <w:p w14:paraId="6902AC3F">
            <w:pPr>
              <w:spacing w:line="360" w:lineRule="auto"/>
              <w:contextualSpacing/>
              <w:rPr>
                <w:lang w:val="en-GB"/>
              </w:rPr>
            </w:pPr>
            <w:r>
              <w:rPr>
                <w:lang w:val="en-GB"/>
              </w:rPr>
              <w:t>169.81</w:t>
            </w:r>
          </w:p>
        </w:tc>
      </w:tr>
      <w:tr w14:paraId="29766602">
        <w:trPr>
          <w:tblCellSpacing w:w="15" w:type="dxa"/>
        </w:trPr>
        <w:tc>
          <w:tcPr>
            <w:tcW w:w="488" w:type="pct"/>
            <w:vAlign w:val="center"/>
          </w:tcPr>
          <w:p w14:paraId="066304EC">
            <w:pPr>
              <w:spacing w:line="360" w:lineRule="auto"/>
              <w:contextualSpacing/>
              <w:rPr>
                <w:lang w:val="en-GB"/>
              </w:rPr>
            </w:pPr>
            <w:r>
              <w:rPr>
                <w:lang w:val="en-GB"/>
              </w:rPr>
              <w:t>2</w:t>
            </w:r>
          </w:p>
        </w:tc>
        <w:tc>
          <w:tcPr>
            <w:tcW w:w="1196" w:type="pct"/>
            <w:vAlign w:val="center"/>
          </w:tcPr>
          <w:p w14:paraId="1FC0739B">
            <w:pPr>
              <w:spacing w:line="360" w:lineRule="auto"/>
              <w:contextualSpacing/>
              <w:rPr>
                <w:lang w:val="en-GB"/>
              </w:rPr>
            </w:pPr>
            <w:r>
              <w:rPr>
                <w:lang w:val="en-GB"/>
              </w:rPr>
              <w:t>400</w:t>
            </w:r>
          </w:p>
        </w:tc>
        <w:tc>
          <w:tcPr>
            <w:tcW w:w="1881" w:type="pct"/>
            <w:vAlign w:val="center"/>
          </w:tcPr>
          <w:p w14:paraId="351FB8AE">
            <w:pPr>
              <w:spacing w:line="360" w:lineRule="auto"/>
              <w:contextualSpacing/>
              <w:rPr>
                <w:lang w:val="en-GB"/>
              </w:rPr>
            </w:pPr>
            <w:r>
              <w:rPr>
                <w:lang w:val="en-GB"/>
              </w:rPr>
              <w:t>330.0</w:t>
            </w:r>
          </w:p>
        </w:tc>
        <w:tc>
          <w:tcPr>
            <w:tcW w:w="1345" w:type="pct"/>
            <w:vAlign w:val="center"/>
          </w:tcPr>
          <w:p w14:paraId="1CFCCDF8">
            <w:pPr>
              <w:spacing w:line="360" w:lineRule="auto"/>
              <w:contextualSpacing/>
              <w:rPr>
                <w:lang w:val="en-GB"/>
              </w:rPr>
            </w:pPr>
            <w:r>
              <w:rPr>
                <w:lang w:val="en-GB"/>
              </w:rPr>
              <w:t>293.70</w:t>
            </w:r>
          </w:p>
        </w:tc>
      </w:tr>
      <w:tr w14:paraId="5308E8B6">
        <w:trPr>
          <w:tblCellSpacing w:w="15" w:type="dxa"/>
        </w:trPr>
        <w:tc>
          <w:tcPr>
            <w:tcW w:w="488" w:type="pct"/>
            <w:vAlign w:val="center"/>
          </w:tcPr>
          <w:p w14:paraId="3E341612">
            <w:pPr>
              <w:spacing w:line="360" w:lineRule="auto"/>
              <w:contextualSpacing/>
              <w:rPr>
                <w:lang w:val="en-GB"/>
              </w:rPr>
            </w:pPr>
            <w:r>
              <w:rPr>
                <w:lang w:val="en-GB"/>
              </w:rPr>
              <w:t>3</w:t>
            </w:r>
          </w:p>
        </w:tc>
        <w:tc>
          <w:tcPr>
            <w:tcW w:w="1196" w:type="pct"/>
            <w:vAlign w:val="center"/>
          </w:tcPr>
          <w:p w14:paraId="6F3F84FB">
            <w:pPr>
              <w:spacing w:line="360" w:lineRule="auto"/>
              <w:contextualSpacing/>
              <w:rPr>
                <w:lang w:val="en-GB"/>
              </w:rPr>
            </w:pPr>
            <w:r>
              <w:rPr>
                <w:lang w:val="en-GB"/>
              </w:rPr>
              <w:t>500</w:t>
            </w:r>
          </w:p>
        </w:tc>
        <w:tc>
          <w:tcPr>
            <w:tcW w:w="1881" w:type="pct"/>
            <w:vAlign w:val="center"/>
          </w:tcPr>
          <w:p w14:paraId="72DD8638">
            <w:pPr>
              <w:spacing w:line="360" w:lineRule="auto"/>
              <w:contextualSpacing/>
              <w:rPr>
                <w:lang w:val="en-GB"/>
              </w:rPr>
            </w:pPr>
            <w:r>
              <w:rPr>
                <w:lang w:val="en-GB"/>
              </w:rPr>
              <w:t>405.0</w:t>
            </w:r>
          </w:p>
        </w:tc>
        <w:tc>
          <w:tcPr>
            <w:tcW w:w="1345" w:type="pct"/>
            <w:vAlign w:val="center"/>
          </w:tcPr>
          <w:p w14:paraId="3773080F">
            <w:pPr>
              <w:spacing w:line="360" w:lineRule="auto"/>
              <w:contextualSpacing/>
              <w:rPr>
                <w:lang w:val="en-GB"/>
              </w:rPr>
            </w:pPr>
            <w:r>
              <w:rPr>
                <w:lang w:val="en-GB"/>
              </w:rPr>
              <w:t>340.05</w:t>
            </w:r>
          </w:p>
        </w:tc>
      </w:tr>
      <w:tr w14:paraId="40EAC533">
        <w:trPr>
          <w:tblCellSpacing w:w="15" w:type="dxa"/>
        </w:trPr>
        <w:tc>
          <w:tcPr>
            <w:tcW w:w="488" w:type="pct"/>
            <w:vAlign w:val="center"/>
          </w:tcPr>
          <w:p w14:paraId="17D46FFA">
            <w:pPr>
              <w:spacing w:line="360" w:lineRule="auto"/>
              <w:contextualSpacing/>
              <w:rPr>
                <w:lang w:val="en-GB"/>
              </w:rPr>
            </w:pPr>
            <w:r>
              <w:rPr>
                <w:lang w:val="en-GB"/>
              </w:rPr>
              <w:t>4</w:t>
            </w:r>
          </w:p>
        </w:tc>
        <w:tc>
          <w:tcPr>
            <w:tcW w:w="1196" w:type="pct"/>
            <w:vAlign w:val="center"/>
          </w:tcPr>
          <w:p w14:paraId="4BD885D6">
            <w:pPr>
              <w:spacing w:line="360" w:lineRule="auto"/>
              <w:contextualSpacing/>
              <w:rPr>
                <w:lang w:val="en-GB"/>
              </w:rPr>
            </w:pPr>
            <w:r>
              <w:rPr>
                <w:lang w:val="en-GB"/>
              </w:rPr>
              <w:t>700</w:t>
            </w:r>
          </w:p>
        </w:tc>
        <w:tc>
          <w:tcPr>
            <w:tcW w:w="1881" w:type="pct"/>
            <w:vAlign w:val="center"/>
          </w:tcPr>
          <w:p w14:paraId="4C934F8A">
            <w:pPr>
              <w:spacing w:line="360" w:lineRule="auto"/>
              <w:contextualSpacing/>
              <w:rPr>
                <w:lang w:val="en-GB"/>
              </w:rPr>
            </w:pPr>
            <w:r>
              <w:rPr>
                <w:lang w:val="en-GB"/>
              </w:rPr>
              <w:t>555.0</w:t>
            </w:r>
          </w:p>
        </w:tc>
        <w:tc>
          <w:tcPr>
            <w:tcW w:w="1345" w:type="pct"/>
            <w:vAlign w:val="center"/>
          </w:tcPr>
          <w:p w14:paraId="4A5F3115">
            <w:pPr>
              <w:spacing w:line="360" w:lineRule="auto"/>
              <w:contextualSpacing/>
              <w:rPr>
                <w:lang w:val="en-GB"/>
              </w:rPr>
            </w:pPr>
            <w:r>
              <w:rPr>
                <w:lang w:val="en-GB"/>
              </w:rPr>
              <w:t>439.61</w:t>
            </w:r>
          </w:p>
        </w:tc>
      </w:tr>
      <w:tr w14:paraId="67B40652">
        <w:trPr>
          <w:tblCellSpacing w:w="15" w:type="dxa"/>
        </w:trPr>
        <w:tc>
          <w:tcPr>
            <w:tcW w:w="488" w:type="pct"/>
            <w:vAlign w:val="center"/>
          </w:tcPr>
          <w:p w14:paraId="099C15D0">
            <w:pPr>
              <w:spacing w:line="360" w:lineRule="auto"/>
              <w:contextualSpacing/>
              <w:rPr>
                <w:lang w:val="en-GB"/>
              </w:rPr>
            </w:pPr>
          </w:p>
        </w:tc>
        <w:tc>
          <w:tcPr>
            <w:tcW w:w="1196" w:type="pct"/>
            <w:vAlign w:val="center"/>
          </w:tcPr>
          <w:p w14:paraId="43FD8FB3">
            <w:pPr>
              <w:spacing w:line="360" w:lineRule="auto"/>
              <w:contextualSpacing/>
              <w:rPr>
                <w:lang w:val="en-GB"/>
              </w:rPr>
            </w:pPr>
          </w:p>
        </w:tc>
        <w:tc>
          <w:tcPr>
            <w:tcW w:w="1881" w:type="pct"/>
            <w:vAlign w:val="center"/>
          </w:tcPr>
          <w:p w14:paraId="717E9646">
            <w:pPr>
              <w:spacing w:line="360" w:lineRule="auto"/>
              <w:contextualSpacing/>
              <w:rPr>
                <w:lang w:val="en-GB"/>
              </w:rPr>
            </w:pPr>
            <w:r>
              <w:rPr>
                <w:b/>
                <w:bCs/>
                <w:lang w:val="en-GB"/>
              </w:rPr>
              <w:t>PV of inflows</w:t>
            </w:r>
          </w:p>
        </w:tc>
        <w:tc>
          <w:tcPr>
            <w:tcW w:w="1345" w:type="pct"/>
            <w:vAlign w:val="center"/>
          </w:tcPr>
          <w:p w14:paraId="2057E9E0">
            <w:pPr>
              <w:spacing w:line="360" w:lineRule="auto"/>
              <w:contextualSpacing/>
              <w:rPr>
                <w:lang w:val="en-GB"/>
              </w:rPr>
            </w:pPr>
            <w:r>
              <w:rPr>
                <w:b/>
                <w:bCs/>
                <w:lang w:val="en-GB"/>
              </w:rPr>
              <w:t>1243.17</w:t>
            </w:r>
          </w:p>
        </w:tc>
      </w:tr>
      <w:tr w14:paraId="44C6506D">
        <w:trPr>
          <w:tblCellSpacing w:w="15" w:type="dxa"/>
        </w:trPr>
        <w:tc>
          <w:tcPr>
            <w:tcW w:w="488" w:type="pct"/>
            <w:vAlign w:val="center"/>
          </w:tcPr>
          <w:p w14:paraId="006370BA">
            <w:pPr>
              <w:spacing w:line="360" w:lineRule="auto"/>
              <w:contextualSpacing/>
              <w:rPr>
                <w:lang w:val="en-GB"/>
              </w:rPr>
            </w:pPr>
          </w:p>
        </w:tc>
        <w:tc>
          <w:tcPr>
            <w:tcW w:w="1196" w:type="pct"/>
            <w:vAlign w:val="center"/>
          </w:tcPr>
          <w:p w14:paraId="01E8497E">
            <w:pPr>
              <w:spacing w:line="360" w:lineRule="auto"/>
              <w:contextualSpacing/>
              <w:rPr>
                <w:lang w:val="en-GB"/>
              </w:rPr>
            </w:pPr>
          </w:p>
        </w:tc>
        <w:tc>
          <w:tcPr>
            <w:tcW w:w="1881" w:type="pct"/>
            <w:vAlign w:val="center"/>
          </w:tcPr>
          <w:p w14:paraId="475829E9">
            <w:pPr>
              <w:spacing w:line="360" w:lineRule="auto"/>
              <w:contextualSpacing/>
              <w:rPr>
                <w:lang w:val="en-GB"/>
              </w:rPr>
            </w:pPr>
            <w:r>
              <w:rPr>
                <w:b/>
                <w:bCs/>
                <w:lang w:val="en-GB"/>
              </w:rPr>
              <w:t>NPV</w:t>
            </w:r>
          </w:p>
        </w:tc>
        <w:tc>
          <w:tcPr>
            <w:tcW w:w="1345" w:type="pct"/>
            <w:vAlign w:val="center"/>
          </w:tcPr>
          <w:p w14:paraId="1C4CAE45">
            <w:pPr>
              <w:spacing w:line="360" w:lineRule="auto"/>
              <w:contextualSpacing/>
              <w:rPr>
                <w:lang w:val="en-GB"/>
              </w:rPr>
            </w:pPr>
            <w:r>
              <w:rPr>
                <w:b/>
                <w:bCs/>
                <w:lang w:val="en-GB"/>
              </w:rPr>
              <w:t>643.17</w:t>
            </w:r>
          </w:p>
        </w:tc>
      </w:tr>
    </w:tbl>
    <w:p w14:paraId="0A0B9E35">
      <w:pPr>
        <w:spacing w:line="360" w:lineRule="auto"/>
        <w:contextualSpacing/>
        <w:rPr>
          <w:b/>
          <w:bCs/>
          <w:lang w:val="en-GB"/>
        </w:rPr>
      </w:pPr>
    </w:p>
    <w:p w14:paraId="2D1609B9">
      <w:pPr>
        <w:spacing w:line="360" w:lineRule="auto"/>
        <w:contextualSpacing/>
        <w:rPr>
          <w:lang w:val="en-GB"/>
        </w:rPr>
      </w:pPr>
      <w:r>
        <w:rPr>
          <w:b/>
          <w:bCs/>
          <w:lang w:val="en-GB"/>
        </w:rPr>
        <w:t>Option B: Develop internet sales</w:t>
      </w:r>
      <w:r>
        <w:rPr>
          <w:lang w:val="en-GB"/>
        </w:rPr>
        <w:br w:type="textWrapping"/>
      </w:r>
      <w:r>
        <w:rPr>
          <w:lang w:val="en-GB"/>
        </w:rPr>
        <w:t>Initial investment = 1000</w:t>
      </w:r>
    </w:p>
    <w:p w14:paraId="417FBA26">
      <w:pPr>
        <w:spacing w:line="360" w:lineRule="auto"/>
        <w:contextualSpacing/>
        <w:rPr>
          <w:lang w:val="en-GB"/>
        </w:rPr>
      </w:pPr>
      <w:r>
        <w:rPr>
          <w:lang w:val="en-GB"/>
        </w:rPr>
        <w:t>Annual allowance tax saving = 1000 × 0.20 × 0.25 = 50 each year</w:t>
      </w:r>
    </w:p>
    <w:tbl>
      <w:tblPr>
        <w:tblStyle w:val="21"/>
        <w:tblW w:w="5000" w:type="pct"/>
        <w:tblCellSpacing w:w="15" w:type="dxa"/>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autofit"/>
        <w:tblCellMar>
          <w:top w:w="15" w:type="dxa"/>
          <w:left w:w="15" w:type="dxa"/>
          <w:bottom w:w="15" w:type="dxa"/>
          <w:right w:w="15" w:type="dxa"/>
        </w:tblCellMar>
      </w:tblPr>
      <w:tblGrid>
        <w:gridCol w:w="864"/>
        <w:gridCol w:w="2039"/>
        <w:gridCol w:w="3189"/>
        <w:gridCol w:w="2304"/>
      </w:tblGrid>
      <w:tr w14:paraId="4E0BC06B">
        <w:trPr>
          <w:tblHeader/>
          <w:tblCellSpacing w:w="15" w:type="dxa"/>
        </w:trPr>
        <w:tc>
          <w:tcPr>
            <w:tcW w:w="488" w:type="pct"/>
            <w:tcBorders>
              <w:top w:val="nil"/>
              <w:bottom w:val="single" w:color="auto" w:sz="4" w:space="0"/>
            </w:tcBorders>
            <w:vAlign w:val="center"/>
          </w:tcPr>
          <w:p w14:paraId="7F0A2AB7">
            <w:pPr>
              <w:spacing w:line="360" w:lineRule="auto"/>
              <w:contextualSpacing/>
              <w:rPr>
                <w:b/>
                <w:bCs/>
                <w:lang w:val="en-GB"/>
              </w:rPr>
            </w:pPr>
            <w:r>
              <w:rPr>
                <w:b/>
                <w:bCs/>
                <w:lang w:val="en-GB"/>
              </w:rPr>
              <w:t>Year</w:t>
            </w:r>
          </w:p>
        </w:tc>
        <w:tc>
          <w:tcPr>
            <w:tcW w:w="1196" w:type="pct"/>
            <w:tcBorders>
              <w:top w:val="nil"/>
              <w:bottom w:val="single" w:color="auto" w:sz="4" w:space="0"/>
            </w:tcBorders>
            <w:vAlign w:val="center"/>
          </w:tcPr>
          <w:p w14:paraId="4415AC49">
            <w:pPr>
              <w:spacing w:line="360" w:lineRule="auto"/>
              <w:contextualSpacing/>
              <w:rPr>
                <w:b/>
                <w:bCs/>
                <w:lang w:val="en-GB"/>
              </w:rPr>
            </w:pPr>
            <w:r>
              <w:rPr>
                <w:b/>
                <w:bCs/>
                <w:lang w:val="en-GB"/>
              </w:rPr>
              <w:t>Cash inflow</w:t>
            </w:r>
          </w:p>
        </w:tc>
        <w:tc>
          <w:tcPr>
            <w:tcW w:w="1881" w:type="pct"/>
            <w:tcBorders>
              <w:top w:val="nil"/>
              <w:bottom w:val="single" w:color="auto" w:sz="4" w:space="0"/>
            </w:tcBorders>
            <w:vAlign w:val="center"/>
          </w:tcPr>
          <w:p w14:paraId="0E7F4576">
            <w:pPr>
              <w:spacing w:line="360" w:lineRule="auto"/>
              <w:contextualSpacing/>
              <w:rPr>
                <w:b/>
                <w:bCs/>
                <w:lang w:val="en-GB"/>
              </w:rPr>
            </w:pPr>
            <w:r>
              <w:rPr>
                <w:b/>
                <w:bCs/>
                <w:lang w:val="en-GB"/>
              </w:rPr>
              <w:t>After tax cash flow</w:t>
            </w:r>
          </w:p>
        </w:tc>
        <w:tc>
          <w:tcPr>
            <w:tcW w:w="1345" w:type="pct"/>
            <w:tcBorders>
              <w:top w:val="nil"/>
              <w:bottom w:val="single" w:color="auto" w:sz="4" w:space="0"/>
            </w:tcBorders>
            <w:vAlign w:val="center"/>
          </w:tcPr>
          <w:p w14:paraId="43988AA5">
            <w:pPr>
              <w:spacing w:line="360" w:lineRule="auto"/>
              <w:contextualSpacing/>
              <w:rPr>
                <w:b/>
                <w:bCs/>
                <w:lang w:val="en-GB"/>
              </w:rPr>
            </w:pPr>
            <w:r>
              <w:rPr>
                <w:b/>
                <w:bCs/>
                <w:lang w:val="en-GB"/>
              </w:rPr>
              <w:t>Present value</w:t>
            </w:r>
          </w:p>
        </w:tc>
      </w:tr>
      <w:tr w14:paraId="3660FB9E">
        <w:trPr>
          <w:tblCellSpacing w:w="15" w:type="dxa"/>
        </w:trPr>
        <w:tc>
          <w:tcPr>
            <w:tcW w:w="488" w:type="pct"/>
            <w:vAlign w:val="center"/>
          </w:tcPr>
          <w:p w14:paraId="33E1B8F7">
            <w:pPr>
              <w:spacing w:line="360" w:lineRule="auto"/>
              <w:contextualSpacing/>
              <w:rPr>
                <w:lang w:val="en-GB"/>
              </w:rPr>
            </w:pPr>
            <w:r>
              <w:rPr>
                <w:lang w:val="en-GB"/>
              </w:rPr>
              <w:t>1</w:t>
            </w:r>
          </w:p>
        </w:tc>
        <w:tc>
          <w:tcPr>
            <w:tcW w:w="1196" w:type="pct"/>
            <w:vAlign w:val="center"/>
          </w:tcPr>
          <w:p w14:paraId="7581AB60">
            <w:pPr>
              <w:spacing w:line="360" w:lineRule="auto"/>
              <w:contextualSpacing/>
              <w:rPr>
                <w:lang w:val="en-GB"/>
              </w:rPr>
            </w:pPr>
            <w:r>
              <w:rPr>
                <w:lang w:val="en-GB"/>
              </w:rPr>
              <w:t>400</w:t>
            </w:r>
          </w:p>
        </w:tc>
        <w:tc>
          <w:tcPr>
            <w:tcW w:w="1881" w:type="pct"/>
            <w:vAlign w:val="center"/>
          </w:tcPr>
          <w:p w14:paraId="0A98854E">
            <w:pPr>
              <w:spacing w:line="360" w:lineRule="auto"/>
              <w:contextualSpacing/>
              <w:rPr>
                <w:lang w:val="en-GB"/>
              </w:rPr>
            </w:pPr>
            <w:r>
              <w:rPr>
                <w:lang w:val="en-GB"/>
              </w:rPr>
              <w:t>350.0</w:t>
            </w:r>
          </w:p>
        </w:tc>
        <w:tc>
          <w:tcPr>
            <w:tcW w:w="1345" w:type="pct"/>
            <w:vAlign w:val="center"/>
          </w:tcPr>
          <w:p w14:paraId="183EA587">
            <w:pPr>
              <w:spacing w:line="360" w:lineRule="auto"/>
              <w:contextualSpacing/>
              <w:rPr>
                <w:lang w:val="en-GB"/>
              </w:rPr>
            </w:pPr>
            <w:r>
              <w:rPr>
                <w:lang w:val="en-GB"/>
              </w:rPr>
              <w:t>330.19</w:t>
            </w:r>
          </w:p>
        </w:tc>
      </w:tr>
      <w:tr w14:paraId="186570EC">
        <w:trPr>
          <w:tblCellSpacing w:w="15" w:type="dxa"/>
        </w:trPr>
        <w:tc>
          <w:tcPr>
            <w:tcW w:w="488" w:type="pct"/>
            <w:vAlign w:val="center"/>
          </w:tcPr>
          <w:p w14:paraId="41A1B27E">
            <w:pPr>
              <w:spacing w:line="360" w:lineRule="auto"/>
              <w:contextualSpacing/>
              <w:rPr>
                <w:lang w:val="en-GB"/>
              </w:rPr>
            </w:pPr>
            <w:r>
              <w:rPr>
                <w:lang w:val="en-GB"/>
              </w:rPr>
              <w:t>2</w:t>
            </w:r>
          </w:p>
        </w:tc>
        <w:tc>
          <w:tcPr>
            <w:tcW w:w="1196" w:type="pct"/>
            <w:vAlign w:val="center"/>
          </w:tcPr>
          <w:p w14:paraId="73495A4C">
            <w:pPr>
              <w:spacing w:line="360" w:lineRule="auto"/>
              <w:contextualSpacing/>
              <w:rPr>
                <w:lang w:val="en-GB"/>
              </w:rPr>
            </w:pPr>
            <w:r>
              <w:rPr>
                <w:lang w:val="en-GB"/>
              </w:rPr>
              <w:t>450</w:t>
            </w:r>
          </w:p>
        </w:tc>
        <w:tc>
          <w:tcPr>
            <w:tcW w:w="1881" w:type="pct"/>
            <w:vAlign w:val="center"/>
          </w:tcPr>
          <w:p w14:paraId="6019FD3C">
            <w:pPr>
              <w:spacing w:line="360" w:lineRule="auto"/>
              <w:contextualSpacing/>
              <w:rPr>
                <w:lang w:val="en-GB"/>
              </w:rPr>
            </w:pPr>
            <w:r>
              <w:rPr>
                <w:lang w:val="en-GB"/>
              </w:rPr>
              <w:t>387.5</w:t>
            </w:r>
          </w:p>
        </w:tc>
        <w:tc>
          <w:tcPr>
            <w:tcW w:w="1345" w:type="pct"/>
            <w:vAlign w:val="center"/>
          </w:tcPr>
          <w:p w14:paraId="6014C8BA">
            <w:pPr>
              <w:spacing w:line="360" w:lineRule="auto"/>
              <w:contextualSpacing/>
              <w:rPr>
                <w:lang w:val="en-GB"/>
              </w:rPr>
            </w:pPr>
            <w:r>
              <w:rPr>
                <w:lang w:val="en-GB"/>
              </w:rPr>
              <w:t>344.87</w:t>
            </w:r>
          </w:p>
        </w:tc>
      </w:tr>
      <w:tr w14:paraId="4FCE58D8">
        <w:trPr>
          <w:tblCellSpacing w:w="15" w:type="dxa"/>
        </w:trPr>
        <w:tc>
          <w:tcPr>
            <w:tcW w:w="488" w:type="pct"/>
            <w:vAlign w:val="center"/>
          </w:tcPr>
          <w:p w14:paraId="06A9D00D">
            <w:pPr>
              <w:spacing w:line="360" w:lineRule="auto"/>
              <w:contextualSpacing/>
              <w:rPr>
                <w:lang w:val="en-GB"/>
              </w:rPr>
            </w:pPr>
            <w:r>
              <w:rPr>
                <w:lang w:val="en-GB"/>
              </w:rPr>
              <w:t>3</w:t>
            </w:r>
          </w:p>
        </w:tc>
        <w:tc>
          <w:tcPr>
            <w:tcW w:w="1196" w:type="pct"/>
            <w:vAlign w:val="center"/>
          </w:tcPr>
          <w:p w14:paraId="3B9F2CAF">
            <w:pPr>
              <w:spacing w:line="360" w:lineRule="auto"/>
              <w:contextualSpacing/>
              <w:rPr>
                <w:lang w:val="en-GB"/>
              </w:rPr>
            </w:pPr>
            <w:r>
              <w:rPr>
                <w:lang w:val="en-GB"/>
              </w:rPr>
              <w:t>720</w:t>
            </w:r>
          </w:p>
        </w:tc>
        <w:tc>
          <w:tcPr>
            <w:tcW w:w="1881" w:type="pct"/>
            <w:vAlign w:val="center"/>
          </w:tcPr>
          <w:p w14:paraId="6482049F">
            <w:pPr>
              <w:spacing w:line="360" w:lineRule="auto"/>
              <w:contextualSpacing/>
              <w:rPr>
                <w:lang w:val="en-GB"/>
              </w:rPr>
            </w:pPr>
            <w:r>
              <w:rPr>
                <w:lang w:val="en-GB"/>
              </w:rPr>
              <w:t>590.0</w:t>
            </w:r>
          </w:p>
        </w:tc>
        <w:tc>
          <w:tcPr>
            <w:tcW w:w="1345" w:type="pct"/>
            <w:vAlign w:val="center"/>
          </w:tcPr>
          <w:p w14:paraId="6AF839CD">
            <w:pPr>
              <w:spacing w:line="360" w:lineRule="auto"/>
              <w:contextualSpacing/>
              <w:rPr>
                <w:lang w:val="en-GB"/>
              </w:rPr>
            </w:pPr>
            <w:r>
              <w:rPr>
                <w:lang w:val="en-GB"/>
              </w:rPr>
              <w:t>495.38</w:t>
            </w:r>
          </w:p>
        </w:tc>
      </w:tr>
      <w:tr w14:paraId="382CB98B">
        <w:trPr>
          <w:tblCellSpacing w:w="15" w:type="dxa"/>
        </w:trPr>
        <w:tc>
          <w:tcPr>
            <w:tcW w:w="488" w:type="pct"/>
            <w:vAlign w:val="center"/>
          </w:tcPr>
          <w:p w14:paraId="3A333B8C">
            <w:pPr>
              <w:spacing w:line="360" w:lineRule="auto"/>
              <w:contextualSpacing/>
              <w:rPr>
                <w:lang w:val="en-GB"/>
              </w:rPr>
            </w:pPr>
            <w:r>
              <w:rPr>
                <w:lang w:val="en-GB"/>
              </w:rPr>
              <w:t>4</w:t>
            </w:r>
          </w:p>
        </w:tc>
        <w:tc>
          <w:tcPr>
            <w:tcW w:w="1196" w:type="pct"/>
            <w:vAlign w:val="center"/>
          </w:tcPr>
          <w:p w14:paraId="5A8044F9">
            <w:pPr>
              <w:spacing w:line="360" w:lineRule="auto"/>
              <w:contextualSpacing/>
              <w:rPr>
                <w:lang w:val="en-GB"/>
              </w:rPr>
            </w:pPr>
            <w:r>
              <w:rPr>
                <w:lang w:val="en-GB"/>
              </w:rPr>
              <w:t>980</w:t>
            </w:r>
          </w:p>
        </w:tc>
        <w:tc>
          <w:tcPr>
            <w:tcW w:w="1881" w:type="pct"/>
            <w:vAlign w:val="center"/>
          </w:tcPr>
          <w:p w14:paraId="05E2D981">
            <w:pPr>
              <w:spacing w:line="360" w:lineRule="auto"/>
              <w:contextualSpacing/>
              <w:rPr>
                <w:lang w:val="en-GB"/>
              </w:rPr>
            </w:pPr>
            <w:r>
              <w:rPr>
                <w:lang w:val="en-GB"/>
              </w:rPr>
              <w:t>785.0</w:t>
            </w:r>
          </w:p>
        </w:tc>
        <w:tc>
          <w:tcPr>
            <w:tcW w:w="1345" w:type="pct"/>
            <w:vAlign w:val="center"/>
          </w:tcPr>
          <w:p w14:paraId="6ABEE38E">
            <w:pPr>
              <w:spacing w:line="360" w:lineRule="auto"/>
              <w:contextualSpacing/>
              <w:rPr>
                <w:lang w:val="en-GB"/>
              </w:rPr>
            </w:pPr>
            <w:r>
              <w:rPr>
                <w:lang w:val="en-GB"/>
              </w:rPr>
              <w:t>621.79</w:t>
            </w:r>
          </w:p>
        </w:tc>
      </w:tr>
      <w:tr w14:paraId="663AA28F">
        <w:trPr>
          <w:tblCellSpacing w:w="15" w:type="dxa"/>
        </w:trPr>
        <w:tc>
          <w:tcPr>
            <w:tcW w:w="488" w:type="pct"/>
            <w:vAlign w:val="center"/>
          </w:tcPr>
          <w:p w14:paraId="26D6E61C">
            <w:pPr>
              <w:spacing w:line="360" w:lineRule="auto"/>
              <w:contextualSpacing/>
              <w:rPr>
                <w:lang w:val="en-GB"/>
              </w:rPr>
            </w:pPr>
          </w:p>
        </w:tc>
        <w:tc>
          <w:tcPr>
            <w:tcW w:w="1196" w:type="pct"/>
            <w:vAlign w:val="center"/>
          </w:tcPr>
          <w:p w14:paraId="1D468722">
            <w:pPr>
              <w:spacing w:line="360" w:lineRule="auto"/>
              <w:contextualSpacing/>
              <w:rPr>
                <w:lang w:val="en-GB"/>
              </w:rPr>
            </w:pPr>
          </w:p>
        </w:tc>
        <w:tc>
          <w:tcPr>
            <w:tcW w:w="1881" w:type="pct"/>
            <w:vAlign w:val="center"/>
          </w:tcPr>
          <w:p w14:paraId="35BAD75A">
            <w:pPr>
              <w:spacing w:line="360" w:lineRule="auto"/>
              <w:contextualSpacing/>
              <w:rPr>
                <w:lang w:val="en-GB"/>
              </w:rPr>
            </w:pPr>
            <w:r>
              <w:rPr>
                <w:b/>
                <w:bCs/>
                <w:lang w:val="en-GB"/>
              </w:rPr>
              <w:t>PV of inflows</w:t>
            </w:r>
          </w:p>
        </w:tc>
        <w:tc>
          <w:tcPr>
            <w:tcW w:w="1345" w:type="pct"/>
            <w:vAlign w:val="center"/>
          </w:tcPr>
          <w:p w14:paraId="5BE473C8">
            <w:pPr>
              <w:spacing w:line="360" w:lineRule="auto"/>
              <w:contextualSpacing/>
              <w:rPr>
                <w:lang w:val="en-GB"/>
              </w:rPr>
            </w:pPr>
            <w:r>
              <w:rPr>
                <w:b/>
                <w:bCs/>
                <w:lang w:val="en-GB"/>
              </w:rPr>
              <w:t>1792.23</w:t>
            </w:r>
          </w:p>
        </w:tc>
      </w:tr>
      <w:tr w14:paraId="328CA6E9">
        <w:trPr>
          <w:tblCellSpacing w:w="15" w:type="dxa"/>
        </w:trPr>
        <w:tc>
          <w:tcPr>
            <w:tcW w:w="488" w:type="pct"/>
            <w:vAlign w:val="center"/>
          </w:tcPr>
          <w:p w14:paraId="727B3F28">
            <w:pPr>
              <w:spacing w:line="360" w:lineRule="auto"/>
              <w:contextualSpacing/>
              <w:rPr>
                <w:lang w:val="en-GB"/>
              </w:rPr>
            </w:pPr>
          </w:p>
        </w:tc>
        <w:tc>
          <w:tcPr>
            <w:tcW w:w="1196" w:type="pct"/>
            <w:vAlign w:val="center"/>
          </w:tcPr>
          <w:p w14:paraId="7D32E15B">
            <w:pPr>
              <w:spacing w:line="360" w:lineRule="auto"/>
              <w:contextualSpacing/>
              <w:rPr>
                <w:lang w:val="en-GB"/>
              </w:rPr>
            </w:pPr>
          </w:p>
        </w:tc>
        <w:tc>
          <w:tcPr>
            <w:tcW w:w="1881" w:type="pct"/>
            <w:vAlign w:val="center"/>
          </w:tcPr>
          <w:p w14:paraId="23FC5BC4">
            <w:pPr>
              <w:spacing w:line="360" w:lineRule="auto"/>
              <w:contextualSpacing/>
              <w:rPr>
                <w:lang w:val="en-GB"/>
              </w:rPr>
            </w:pPr>
            <w:r>
              <w:rPr>
                <w:b/>
                <w:bCs/>
                <w:lang w:val="en-GB"/>
              </w:rPr>
              <w:t>NPV</w:t>
            </w:r>
          </w:p>
        </w:tc>
        <w:tc>
          <w:tcPr>
            <w:tcW w:w="1345" w:type="pct"/>
            <w:vAlign w:val="center"/>
          </w:tcPr>
          <w:p w14:paraId="235943D9">
            <w:pPr>
              <w:spacing w:line="360" w:lineRule="auto"/>
              <w:contextualSpacing/>
              <w:rPr>
                <w:lang w:val="en-GB"/>
              </w:rPr>
            </w:pPr>
            <w:r>
              <w:rPr>
                <w:b/>
                <w:bCs/>
                <w:lang w:val="en-GB"/>
              </w:rPr>
              <w:t>792.23</w:t>
            </w:r>
          </w:p>
        </w:tc>
      </w:tr>
    </w:tbl>
    <w:p w14:paraId="7B7D20A5">
      <w:pPr>
        <w:spacing w:line="360" w:lineRule="auto"/>
        <w:contextualSpacing/>
        <w:rPr>
          <w:lang w:val="en-GB"/>
        </w:rPr>
      </w:pPr>
    </w:p>
    <w:p w14:paraId="1C77A0AA">
      <w:pPr>
        <w:spacing w:line="360" w:lineRule="auto"/>
        <w:contextualSpacing/>
        <w:rPr>
          <w:lang w:val="en-GB"/>
        </w:rPr>
      </w:pPr>
      <w:r>
        <w:rPr>
          <w:b/>
          <w:bCs/>
          <w:lang w:val="en-GB"/>
        </w:rPr>
        <w:t>Option C: Produce wooden and Roman blinds</w:t>
      </w:r>
      <w:r>
        <w:rPr>
          <w:lang w:val="en-GB"/>
        </w:rPr>
        <w:br w:type="textWrapping"/>
      </w:r>
      <w:r>
        <w:rPr>
          <w:lang w:val="en-GB"/>
        </w:rPr>
        <w:t>Initial investment = 1600</w:t>
      </w:r>
    </w:p>
    <w:p w14:paraId="345B57B9">
      <w:pPr>
        <w:spacing w:line="360" w:lineRule="auto"/>
        <w:contextualSpacing/>
        <w:rPr>
          <w:lang w:val="en-GB"/>
        </w:rPr>
      </w:pPr>
      <w:r>
        <w:rPr>
          <w:lang w:val="en-GB"/>
        </w:rPr>
        <w:t>Annual allowance tax saving = 1600 × 0.20 × 0.25 = 80 each year</w:t>
      </w:r>
    </w:p>
    <w:tbl>
      <w:tblPr>
        <w:tblStyle w:val="21"/>
        <w:tblW w:w="5000" w:type="pct"/>
        <w:tblCellSpacing w:w="15" w:type="dxa"/>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autofit"/>
        <w:tblCellMar>
          <w:top w:w="15" w:type="dxa"/>
          <w:left w:w="15" w:type="dxa"/>
          <w:bottom w:w="15" w:type="dxa"/>
          <w:right w:w="15" w:type="dxa"/>
        </w:tblCellMar>
      </w:tblPr>
      <w:tblGrid>
        <w:gridCol w:w="865"/>
        <w:gridCol w:w="2039"/>
        <w:gridCol w:w="3188"/>
        <w:gridCol w:w="2304"/>
      </w:tblGrid>
      <w:tr w14:paraId="20DC3A98">
        <w:trPr>
          <w:tblHeader/>
          <w:tblCellSpacing w:w="15" w:type="dxa"/>
        </w:trPr>
        <w:tc>
          <w:tcPr>
            <w:tcW w:w="483" w:type="pct"/>
            <w:tcBorders>
              <w:top w:val="nil"/>
              <w:bottom w:val="single" w:color="auto" w:sz="4" w:space="0"/>
            </w:tcBorders>
            <w:vAlign w:val="center"/>
          </w:tcPr>
          <w:p w14:paraId="0B9F1EAB">
            <w:pPr>
              <w:spacing w:line="360" w:lineRule="auto"/>
              <w:contextualSpacing/>
              <w:rPr>
                <w:b/>
                <w:bCs/>
                <w:lang w:val="en-GB"/>
              </w:rPr>
            </w:pPr>
            <w:r>
              <w:rPr>
                <w:b/>
                <w:bCs/>
                <w:lang w:val="en-GB"/>
              </w:rPr>
              <w:t>Year</w:t>
            </w:r>
          </w:p>
        </w:tc>
        <w:tc>
          <w:tcPr>
            <w:tcW w:w="1184" w:type="pct"/>
            <w:tcBorders>
              <w:top w:val="nil"/>
              <w:bottom w:val="single" w:color="auto" w:sz="4" w:space="0"/>
            </w:tcBorders>
            <w:vAlign w:val="center"/>
          </w:tcPr>
          <w:p w14:paraId="7268480E">
            <w:pPr>
              <w:spacing w:line="360" w:lineRule="auto"/>
              <w:contextualSpacing/>
              <w:rPr>
                <w:b/>
                <w:bCs/>
                <w:lang w:val="en-GB"/>
              </w:rPr>
            </w:pPr>
            <w:r>
              <w:rPr>
                <w:b/>
                <w:bCs/>
                <w:lang w:val="en-GB"/>
              </w:rPr>
              <w:t>Cash inflow</w:t>
            </w:r>
          </w:p>
        </w:tc>
        <w:tc>
          <w:tcPr>
            <w:tcW w:w="1861" w:type="pct"/>
            <w:tcBorders>
              <w:top w:val="nil"/>
              <w:bottom w:val="single" w:color="auto" w:sz="4" w:space="0"/>
            </w:tcBorders>
            <w:vAlign w:val="center"/>
          </w:tcPr>
          <w:p w14:paraId="25A13B4C">
            <w:pPr>
              <w:spacing w:line="360" w:lineRule="auto"/>
              <w:contextualSpacing/>
              <w:rPr>
                <w:b/>
                <w:bCs/>
                <w:lang w:val="en-GB"/>
              </w:rPr>
            </w:pPr>
            <w:r>
              <w:rPr>
                <w:b/>
                <w:bCs/>
                <w:lang w:val="en-GB"/>
              </w:rPr>
              <w:t>After tax cash flow</w:t>
            </w:r>
          </w:p>
        </w:tc>
        <w:tc>
          <w:tcPr>
            <w:tcW w:w="1331" w:type="pct"/>
            <w:tcBorders>
              <w:top w:val="nil"/>
              <w:bottom w:val="single" w:color="auto" w:sz="4" w:space="0"/>
            </w:tcBorders>
            <w:vAlign w:val="center"/>
          </w:tcPr>
          <w:p w14:paraId="356C8FFA">
            <w:pPr>
              <w:spacing w:line="360" w:lineRule="auto"/>
              <w:contextualSpacing/>
              <w:rPr>
                <w:b/>
                <w:bCs/>
                <w:lang w:val="en-GB"/>
              </w:rPr>
            </w:pPr>
            <w:r>
              <w:rPr>
                <w:b/>
                <w:bCs/>
                <w:lang w:val="en-GB"/>
              </w:rPr>
              <w:t>Present value</w:t>
            </w:r>
          </w:p>
        </w:tc>
      </w:tr>
      <w:tr w14:paraId="387F14C8">
        <w:trPr>
          <w:tblCellSpacing w:w="15" w:type="dxa"/>
        </w:trPr>
        <w:tc>
          <w:tcPr>
            <w:tcW w:w="483" w:type="pct"/>
            <w:vAlign w:val="center"/>
          </w:tcPr>
          <w:p w14:paraId="3BC0ABB7">
            <w:pPr>
              <w:spacing w:line="360" w:lineRule="auto"/>
              <w:contextualSpacing/>
              <w:rPr>
                <w:lang w:val="en-GB"/>
              </w:rPr>
            </w:pPr>
            <w:r>
              <w:rPr>
                <w:lang w:val="en-GB"/>
              </w:rPr>
              <w:t>1</w:t>
            </w:r>
          </w:p>
        </w:tc>
        <w:tc>
          <w:tcPr>
            <w:tcW w:w="1184" w:type="pct"/>
            <w:vAlign w:val="center"/>
          </w:tcPr>
          <w:p w14:paraId="698864CB">
            <w:pPr>
              <w:spacing w:line="360" w:lineRule="auto"/>
              <w:contextualSpacing/>
              <w:rPr>
                <w:lang w:val="en-GB"/>
              </w:rPr>
            </w:pPr>
            <w:r>
              <w:rPr>
                <w:lang w:val="en-GB"/>
              </w:rPr>
              <w:t>450</w:t>
            </w:r>
          </w:p>
        </w:tc>
        <w:tc>
          <w:tcPr>
            <w:tcW w:w="1861" w:type="pct"/>
            <w:vAlign w:val="center"/>
          </w:tcPr>
          <w:p w14:paraId="308FAD5E">
            <w:pPr>
              <w:spacing w:line="360" w:lineRule="auto"/>
              <w:contextualSpacing/>
              <w:rPr>
                <w:lang w:val="en-GB"/>
              </w:rPr>
            </w:pPr>
            <w:r>
              <w:rPr>
                <w:lang w:val="en-GB"/>
              </w:rPr>
              <w:t>417.5</w:t>
            </w:r>
          </w:p>
        </w:tc>
        <w:tc>
          <w:tcPr>
            <w:tcW w:w="1331" w:type="pct"/>
            <w:vAlign w:val="center"/>
          </w:tcPr>
          <w:p w14:paraId="12FABF06">
            <w:pPr>
              <w:spacing w:line="360" w:lineRule="auto"/>
              <w:contextualSpacing/>
              <w:rPr>
                <w:lang w:val="en-GB"/>
              </w:rPr>
            </w:pPr>
            <w:r>
              <w:rPr>
                <w:lang w:val="en-GB"/>
              </w:rPr>
              <w:t>393.87</w:t>
            </w:r>
          </w:p>
        </w:tc>
      </w:tr>
      <w:tr w14:paraId="4D90AE2C">
        <w:trPr>
          <w:tblCellSpacing w:w="15" w:type="dxa"/>
        </w:trPr>
        <w:tc>
          <w:tcPr>
            <w:tcW w:w="483" w:type="pct"/>
            <w:vAlign w:val="center"/>
          </w:tcPr>
          <w:p w14:paraId="7E4D210F">
            <w:pPr>
              <w:spacing w:line="360" w:lineRule="auto"/>
              <w:contextualSpacing/>
              <w:rPr>
                <w:lang w:val="en-GB"/>
              </w:rPr>
            </w:pPr>
            <w:r>
              <w:rPr>
                <w:lang w:val="en-GB"/>
              </w:rPr>
              <w:t>2</w:t>
            </w:r>
          </w:p>
        </w:tc>
        <w:tc>
          <w:tcPr>
            <w:tcW w:w="1184" w:type="pct"/>
            <w:vAlign w:val="center"/>
          </w:tcPr>
          <w:p w14:paraId="6FFA2592">
            <w:pPr>
              <w:spacing w:line="360" w:lineRule="auto"/>
              <w:contextualSpacing/>
              <w:rPr>
                <w:lang w:val="en-GB"/>
              </w:rPr>
            </w:pPr>
            <w:r>
              <w:rPr>
                <w:lang w:val="en-GB"/>
              </w:rPr>
              <w:t>700</w:t>
            </w:r>
          </w:p>
        </w:tc>
        <w:tc>
          <w:tcPr>
            <w:tcW w:w="1861" w:type="pct"/>
            <w:vAlign w:val="center"/>
          </w:tcPr>
          <w:p w14:paraId="6A804C3F">
            <w:pPr>
              <w:spacing w:line="360" w:lineRule="auto"/>
              <w:contextualSpacing/>
              <w:rPr>
                <w:lang w:val="en-GB"/>
              </w:rPr>
            </w:pPr>
            <w:r>
              <w:rPr>
                <w:lang w:val="en-GB"/>
              </w:rPr>
              <w:t>605.0</w:t>
            </w:r>
          </w:p>
        </w:tc>
        <w:tc>
          <w:tcPr>
            <w:tcW w:w="1331" w:type="pct"/>
            <w:vAlign w:val="center"/>
          </w:tcPr>
          <w:p w14:paraId="56F9F09D">
            <w:pPr>
              <w:spacing w:line="360" w:lineRule="auto"/>
              <w:contextualSpacing/>
              <w:rPr>
                <w:lang w:val="en-GB"/>
              </w:rPr>
            </w:pPr>
            <w:r>
              <w:rPr>
                <w:lang w:val="en-GB"/>
              </w:rPr>
              <w:t>538.45</w:t>
            </w:r>
          </w:p>
        </w:tc>
      </w:tr>
      <w:tr w14:paraId="4306C4CC">
        <w:trPr>
          <w:tblCellSpacing w:w="15" w:type="dxa"/>
        </w:trPr>
        <w:tc>
          <w:tcPr>
            <w:tcW w:w="483" w:type="pct"/>
            <w:vAlign w:val="center"/>
          </w:tcPr>
          <w:p w14:paraId="4276A07B">
            <w:pPr>
              <w:spacing w:line="360" w:lineRule="auto"/>
              <w:contextualSpacing/>
              <w:rPr>
                <w:lang w:val="en-GB"/>
              </w:rPr>
            </w:pPr>
            <w:r>
              <w:rPr>
                <w:lang w:val="en-GB"/>
              </w:rPr>
              <w:t>3</w:t>
            </w:r>
          </w:p>
        </w:tc>
        <w:tc>
          <w:tcPr>
            <w:tcW w:w="1184" w:type="pct"/>
            <w:vAlign w:val="center"/>
          </w:tcPr>
          <w:p w14:paraId="5BF767FF">
            <w:pPr>
              <w:spacing w:line="360" w:lineRule="auto"/>
              <w:contextualSpacing/>
              <w:rPr>
                <w:lang w:val="en-GB"/>
              </w:rPr>
            </w:pPr>
            <w:r>
              <w:rPr>
                <w:lang w:val="en-GB"/>
              </w:rPr>
              <w:t>900</w:t>
            </w:r>
          </w:p>
        </w:tc>
        <w:tc>
          <w:tcPr>
            <w:tcW w:w="1861" w:type="pct"/>
            <w:vAlign w:val="center"/>
          </w:tcPr>
          <w:p w14:paraId="3D5D8F42">
            <w:pPr>
              <w:spacing w:line="360" w:lineRule="auto"/>
              <w:contextualSpacing/>
              <w:rPr>
                <w:lang w:val="en-GB"/>
              </w:rPr>
            </w:pPr>
            <w:r>
              <w:rPr>
                <w:lang w:val="en-GB"/>
              </w:rPr>
              <w:t>755.0</w:t>
            </w:r>
          </w:p>
        </w:tc>
        <w:tc>
          <w:tcPr>
            <w:tcW w:w="1331" w:type="pct"/>
            <w:vAlign w:val="center"/>
          </w:tcPr>
          <w:p w14:paraId="494DA6DA">
            <w:pPr>
              <w:spacing w:line="360" w:lineRule="auto"/>
              <w:contextualSpacing/>
              <w:rPr>
                <w:lang w:val="en-GB"/>
              </w:rPr>
            </w:pPr>
            <w:r>
              <w:rPr>
                <w:lang w:val="en-GB"/>
              </w:rPr>
              <w:t>633.91</w:t>
            </w:r>
          </w:p>
        </w:tc>
      </w:tr>
      <w:tr w14:paraId="5926B201">
        <w:trPr>
          <w:tblCellSpacing w:w="15" w:type="dxa"/>
        </w:trPr>
        <w:tc>
          <w:tcPr>
            <w:tcW w:w="483" w:type="pct"/>
            <w:vAlign w:val="center"/>
          </w:tcPr>
          <w:p w14:paraId="75B8AA83">
            <w:pPr>
              <w:spacing w:line="360" w:lineRule="auto"/>
              <w:contextualSpacing/>
              <w:rPr>
                <w:lang w:val="en-GB"/>
              </w:rPr>
            </w:pPr>
            <w:r>
              <w:rPr>
                <w:lang w:val="en-GB"/>
              </w:rPr>
              <w:t>4</w:t>
            </w:r>
          </w:p>
        </w:tc>
        <w:tc>
          <w:tcPr>
            <w:tcW w:w="1184" w:type="pct"/>
            <w:vAlign w:val="center"/>
          </w:tcPr>
          <w:p w14:paraId="48724CB7">
            <w:pPr>
              <w:spacing w:line="360" w:lineRule="auto"/>
              <w:contextualSpacing/>
              <w:rPr>
                <w:lang w:val="en-GB"/>
              </w:rPr>
            </w:pPr>
            <w:r>
              <w:rPr>
                <w:lang w:val="en-GB"/>
              </w:rPr>
              <w:t>1200</w:t>
            </w:r>
          </w:p>
        </w:tc>
        <w:tc>
          <w:tcPr>
            <w:tcW w:w="1861" w:type="pct"/>
            <w:vAlign w:val="center"/>
          </w:tcPr>
          <w:p w14:paraId="63F5DC53">
            <w:pPr>
              <w:spacing w:line="360" w:lineRule="auto"/>
              <w:contextualSpacing/>
              <w:rPr>
                <w:lang w:val="en-GB"/>
              </w:rPr>
            </w:pPr>
            <w:r>
              <w:rPr>
                <w:lang w:val="en-GB"/>
              </w:rPr>
              <w:t>980.0</w:t>
            </w:r>
          </w:p>
        </w:tc>
        <w:tc>
          <w:tcPr>
            <w:tcW w:w="1331" w:type="pct"/>
            <w:vAlign w:val="center"/>
          </w:tcPr>
          <w:p w14:paraId="6A123FCE">
            <w:pPr>
              <w:spacing w:line="360" w:lineRule="auto"/>
              <w:contextualSpacing/>
              <w:rPr>
                <w:lang w:val="en-GB"/>
              </w:rPr>
            </w:pPr>
            <w:r>
              <w:rPr>
                <w:lang w:val="en-GB"/>
              </w:rPr>
              <w:t>776.25</w:t>
            </w:r>
          </w:p>
        </w:tc>
      </w:tr>
      <w:tr w14:paraId="440D025C">
        <w:trPr>
          <w:tblCellSpacing w:w="15" w:type="dxa"/>
        </w:trPr>
        <w:tc>
          <w:tcPr>
            <w:tcW w:w="483" w:type="pct"/>
            <w:vAlign w:val="center"/>
          </w:tcPr>
          <w:p w14:paraId="3C87A6FB">
            <w:pPr>
              <w:spacing w:line="360" w:lineRule="auto"/>
              <w:contextualSpacing/>
              <w:rPr>
                <w:lang w:val="en-GB"/>
              </w:rPr>
            </w:pPr>
          </w:p>
        </w:tc>
        <w:tc>
          <w:tcPr>
            <w:tcW w:w="1184" w:type="pct"/>
            <w:vAlign w:val="center"/>
          </w:tcPr>
          <w:p w14:paraId="3B1DC420">
            <w:pPr>
              <w:spacing w:line="360" w:lineRule="auto"/>
              <w:contextualSpacing/>
              <w:rPr>
                <w:lang w:val="en-GB"/>
              </w:rPr>
            </w:pPr>
          </w:p>
        </w:tc>
        <w:tc>
          <w:tcPr>
            <w:tcW w:w="1861" w:type="pct"/>
            <w:vAlign w:val="center"/>
          </w:tcPr>
          <w:p w14:paraId="7FF9CA66">
            <w:pPr>
              <w:spacing w:line="360" w:lineRule="auto"/>
              <w:contextualSpacing/>
              <w:rPr>
                <w:lang w:val="en-GB"/>
              </w:rPr>
            </w:pPr>
            <w:r>
              <w:rPr>
                <w:b/>
                <w:bCs/>
                <w:lang w:val="en-GB"/>
              </w:rPr>
              <w:t>PV of inflows</w:t>
            </w:r>
          </w:p>
        </w:tc>
        <w:tc>
          <w:tcPr>
            <w:tcW w:w="1331" w:type="pct"/>
            <w:vAlign w:val="center"/>
          </w:tcPr>
          <w:p w14:paraId="2CD6B5E6">
            <w:pPr>
              <w:spacing w:line="360" w:lineRule="auto"/>
              <w:contextualSpacing/>
              <w:rPr>
                <w:lang w:val="en-GB"/>
              </w:rPr>
            </w:pPr>
            <w:r>
              <w:rPr>
                <w:b/>
                <w:bCs/>
                <w:lang w:val="en-GB"/>
              </w:rPr>
              <w:t>2342.48</w:t>
            </w:r>
          </w:p>
        </w:tc>
      </w:tr>
      <w:tr w14:paraId="1727FA46">
        <w:trPr>
          <w:tblCellSpacing w:w="15" w:type="dxa"/>
        </w:trPr>
        <w:tc>
          <w:tcPr>
            <w:tcW w:w="483" w:type="pct"/>
            <w:vAlign w:val="center"/>
          </w:tcPr>
          <w:p w14:paraId="42205A0A">
            <w:pPr>
              <w:spacing w:line="360" w:lineRule="auto"/>
              <w:contextualSpacing/>
              <w:rPr>
                <w:lang w:val="en-GB"/>
              </w:rPr>
            </w:pPr>
          </w:p>
        </w:tc>
        <w:tc>
          <w:tcPr>
            <w:tcW w:w="1184" w:type="pct"/>
            <w:vAlign w:val="center"/>
          </w:tcPr>
          <w:p w14:paraId="6E2B0A92">
            <w:pPr>
              <w:spacing w:line="360" w:lineRule="auto"/>
              <w:contextualSpacing/>
              <w:rPr>
                <w:lang w:val="en-GB"/>
              </w:rPr>
            </w:pPr>
          </w:p>
        </w:tc>
        <w:tc>
          <w:tcPr>
            <w:tcW w:w="1861" w:type="pct"/>
            <w:vAlign w:val="center"/>
          </w:tcPr>
          <w:p w14:paraId="0441742F">
            <w:pPr>
              <w:spacing w:line="360" w:lineRule="auto"/>
              <w:contextualSpacing/>
              <w:rPr>
                <w:lang w:val="en-GB"/>
              </w:rPr>
            </w:pPr>
            <w:r>
              <w:rPr>
                <w:b/>
                <w:bCs/>
                <w:lang w:val="en-GB"/>
              </w:rPr>
              <w:t>NPV</w:t>
            </w:r>
          </w:p>
        </w:tc>
        <w:tc>
          <w:tcPr>
            <w:tcW w:w="1331" w:type="pct"/>
            <w:vAlign w:val="center"/>
          </w:tcPr>
          <w:p w14:paraId="5E12ED57">
            <w:pPr>
              <w:spacing w:line="360" w:lineRule="auto"/>
              <w:contextualSpacing/>
              <w:rPr>
                <w:lang w:val="en-GB"/>
              </w:rPr>
            </w:pPr>
            <w:r>
              <w:rPr>
                <w:b/>
                <w:bCs/>
                <w:lang w:val="en-GB"/>
              </w:rPr>
              <w:t>742.48</w:t>
            </w:r>
          </w:p>
        </w:tc>
      </w:tr>
    </w:tbl>
    <w:p w14:paraId="7F3740D6">
      <w:pPr>
        <w:spacing w:line="360" w:lineRule="auto"/>
        <w:contextualSpacing/>
        <w:rPr>
          <w:lang w:val="en-GB"/>
        </w:rPr>
      </w:pPr>
    </w:p>
    <w:p w14:paraId="05B96A18">
      <w:pPr>
        <w:spacing w:line="360" w:lineRule="auto"/>
        <w:contextualSpacing/>
        <w:rPr>
          <w:lang w:val="en-GB"/>
        </w:rPr>
      </w:pPr>
      <w:r>
        <w:rPr>
          <w:lang w:val="en-GB"/>
        </w:rPr>
        <w:t>At a 6</w:t>
      </w:r>
      <w:r>
        <w:rPr>
          <w:rFonts w:hint="eastAsia"/>
          <w:lang w:val="en-GB"/>
        </w:rPr>
        <w:t>%</w:t>
      </w:r>
      <w:r>
        <w:rPr>
          <w:lang w:val="en-GB"/>
        </w:rPr>
        <w:t xml:space="preserve"> discount rate, all three options create positive net present value, so each is expected to add value under the stated assumptions. Option B has the highest NPV at 792.23, followed by option C at 742.48 and option A at 643.17, all in £000. Under value maximisation logic, the primary recommendation is to choose option B because it delivers the largest increase in present value for shareholders (Brealey et al., 2023). The ranking is clear on the numbers.</w:t>
      </w:r>
    </w:p>
    <w:p w14:paraId="3853E19B">
      <w:pPr>
        <w:spacing w:line="360" w:lineRule="auto"/>
        <w:contextualSpacing/>
        <w:rPr>
          <w:lang w:val="en-GB"/>
        </w:rPr>
      </w:pPr>
    </w:p>
    <w:p w14:paraId="5049C66D">
      <w:pPr>
        <w:spacing w:line="360" w:lineRule="auto"/>
        <w:contextualSpacing/>
        <w:rPr>
          <w:lang w:val="en-GB"/>
        </w:rPr>
      </w:pPr>
      <w:r>
        <w:rPr>
          <w:lang w:val="en-GB"/>
        </w:rPr>
        <w:t>Option B should be selected because it provides the highest net present value and the strongest present value of inflows relative to its cost among the non-rationed choices. A practical interpretation is that the internet channel creates larger growth in years 3 and 4, which carries high weight even after discounting because the scale of inflows dominates the discount effect. This pattern aligns with the idea that value creation is driven by the timing and scale of future free cash generation rather than accounting profit measures (Koller et al., 2025). The decision should still be paired with delivery planning, since channel build and customer acquisition execution will drive whether the forecast is achieved.</w:t>
      </w:r>
    </w:p>
    <w:p w14:paraId="34CC6C84">
      <w:pPr>
        <w:spacing w:line="360" w:lineRule="auto"/>
        <w:contextualSpacing/>
        <w:rPr>
          <w:lang w:val="en-GB"/>
        </w:rPr>
      </w:pPr>
    </w:p>
    <w:p w14:paraId="54AEF7DB">
      <w:pPr>
        <w:spacing w:line="360" w:lineRule="auto"/>
        <w:contextualSpacing/>
        <w:outlineLvl w:val="1"/>
        <w:rPr>
          <w:b/>
          <w:bCs/>
        </w:rPr>
      </w:pPr>
      <w:bookmarkStart w:id="15" w:name="_Toc218355806"/>
      <w:r>
        <w:rPr>
          <w:rFonts w:hint="eastAsia"/>
          <w:b/>
          <w:bCs/>
        </w:rPr>
        <w:t xml:space="preserve">3.3 </w:t>
      </w:r>
      <w:r>
        <w:rPr>
          <w:b/>
          <w:bCs/>
        </w:rPr>
        <w:t>Approximate IRR for the recommended option</w:t>
      </w:r>
      <w:bookmarkEnd w:id="15"/>
    </w:p>
    <w:p w14:paraId="57677D79">
      <w:pPr>
        <w:spacing w:line="360" w:lineRule="auto"/>
        <w:contextualSpacing/>
        <w:rPr>
          <w:lang w:val="en-GB"/>
        </w:rPr>
      </w:pPr>
      <w:r>
        <w:rPr>
          <w:lang w:val="en-GB"/>
        </w:rPr>
        <w:t>IRR is the discount rate that sets NPV to zero, so it can be compared with the 6% cost of capital as a hurdle rate (ICAEW, 2019). Using the after-tax cash flows for option B of 350.0, 387.5, 590.0, and 785.0, NPV is positive at 32% and negative at 33%:</w:t>
      </w:r>
    </w:p>
    <w:p w14:paraId="384580E5">
      <w:pPr>
        <w:spacing w:line="360" w:lineRule="auto"/>
        <w:contextualSpacing/>
        <w:rPr>
          <w:lang w:val="en-GB"/>
        </w:rPr>
      </w:pPr>
      <w:r>
        <w:rPr>
          <w:lang w:val="en-GB"/>
        </w:rPr>
        <w:t>NPV at 32% = +2.64 (£000)</w:t>
      </w:r>
      <w:r>
        <w:rPr>
          <w:lang w:val="en-GB"/>
        </w:rPr>
        <w:br w:type="textWrapping"/>
      </w:r>
      <w:r>
        <w:rPr>
          <w:lang w:val="en-GB"/>
        </w:rPr>
        <w:t>NPV at 33% = −16.12 (£000)</w:t>
      </w:r>
    </w:p>
    <w:p w14:paraId="5D6EA748">
      <w:pPr>
        <w:spacing w:line="360" w:lineRule="auto"/>
        <w:contextualSpacing/>
        <w:rPr>
          <w:lang w:val="en-GB"/>
        </w:rPr>
      </w:pPr>
      <w:r>
        <w:rPr>
          <w:lang w:val="en-GB"/>
        </w:rPr>
        <w:t>Linear interpolation gives:</w:t>
      </w:r>
    </w:p>
    <w:p w14:paraId="79146A0B">
      <w:pPr>
        <w:spacing w:line="360" w:lineRule="auto"/>
        <w:contextualSpacing/>
        <w:rPr>
          <w:lang w:val="en-GB"/>
        </w:rPr>
      </w:pPr>
      <w:r>
        <w:rPr>
          <w:lang w:val="en-GB"/>
        </w:rPr>
        <w:t>IRR ≈ 32% + [2.64 / (2.64 + 16.12)] × 1% = 32.14%</w:t>
      </w:r>
    </w:p>
    <w:p w14:paraId="1F350FA0">
      <w:pPr>
        <w:spacing w:line="360" w:lineRule="auto"/>
        <w:contextualSpacing/>
        <w:rPr>
          <w:lang w:val="en-GB"/>
        </w:rPr>
      </w:pPr>
      <w:r>
        <w:rPr>
          <w:lang w:val="en-GB"/>
        </w:rPr>
        <w:t>This implies the project return is far above the 6% cost of capital under the stated cash flow assumptions, which indicates a wide value cushion. IRR should not replace NPV for ranking, but it provides a useful communication metric for directors. The result is economically attractive.</w:t>
      </w:r>
    </w:p>
    <w:p w14:paraId="7AC27F45">
      <w:pPr>
        <w:spacing w:line="360" w:lineRule="auto"/>
        <w:contextualSpacing/>
        <w:rPr>
          <w:lang w:val="en-GB"/>
        </w:rPr>
      </w:pPr>
    </w:p>
    <w:p w14:paraId="03729F10">
      <w:pPr>
        <w:spacing w:line="360" w:lineRule="auto"/>
        <w:contextualSpacing/>
        <w:rPr>
          <w:b/>
          <w:bCs/>
          <w:lang w:val="en-GB"/>
        </w:rPr>
      </w:pPr>
      <w:r>
        <w:rPr>
          <w:rFonts w:hint="eastAsia"/>
          <w:b/>
          <w:bCs/>
          <w:lang w:val="en-GB"/>
        </w:rPr>
        <w:t xml:space="preserve">3.4 </w:t>
      </w:r>
      <w:r>
        <w:rPr>
          <w:b/>
          <w:bCs/>
          <w:lang w:val="en-GB"/>
        </w:rPr>
        <w:t>Interpret your results for management</w:t>
      </w:r>
    </w:p>
    <w:p w14:paraId="04622A0B">
      <w:pPr>
        <w:spacing w:line="360" w:lineRule="auto"/>
        <w:contextualSpacing/>
        <w:rPr>
          <w:b/>
          <w:bCs/>
          <w:lang w:val="en-GB"/>
        </w:rPr>
      </w:pPr>
      <w:r>
        <w:rPr>
          <w:rFonts w:hint="eastAsia"/>
          <w:b/>
          <w:bCs/>
          <w:lang w:val="en-GB"/>
        </w:rPr>
        <w:t xml:space="preserve">3.4.1 </w:t>
      </w:r>
      <w:r>
        <w:rPr>
          <w:b/>
          <w:bCs/>
          <w:lang w:val="en-GB"/>
        </w:rPr>
        <w:t>Why NPV is the preferred appraisal method</w:t>
      </w:r>
    </w:p>
    <w:p w14:paraId="44F3AB6E">
      <w:pPr>
        <w:spacing w:line="360" w:lineRule="auto"/>
        <w:contextualSpacing/>
        <w:rPr>
          <w:lang w:val="en-GB"/>
        </w:rPr>
      </w:pPr>
      <w:r>
        <w:rPr>
          <w:lang w:val="en-GB"/>
        </w:rPr>
        <w:t>NPV is preferred because it directly measures value added today after covering the full opportunity cost of capital, so it aligns with shareholder value creation as a decision objective (Brealey et al., 2023). NPV also handles the time value of money correctly by discounting later cash more heavily than earlier cash, which matters when options have different timing patterns. A further advantage is additivity: NPVs can be summed across projects, which supports portfolio planning and capital allocation when the firm faces multiple investment opportunities (Berk and DeMarzo, 2023). This additivity property is not shared by IRR when projects differ in scale or have non-standard cash patterns.</w:t>
      </w:r>
    </w:p>
    <w:p w14:paraId="19E590CF">
      <w:pPr>
        <w:spacing w:line="360" w:lineRule="auto"/>
        <w:contextualSpacing/>
        <w:rPr>
          <w:lang w:val="en-GB"/>
        </w:rPr>
      </w:pPr>
    </w:p>
    <w:p w14:paraId="53048715">
      <w:pPr>
        <w:spacing w:line="360" w:lineRule="auto"/>
        <w:contextualSpacing/>
        <w:rPr>
          <w:lang w:val="en-GB"/>
        </w:rPr>
      </w:pPr>
      <w:r>
        <w:rPr>
          <w:lang w:val="en-GB"/>
        </w:rPr>
        <w:t>NPV is also consistent with wider appraisal guidance that uses discounted values to compare options across time, even though the Green Book is designed for public projects rather than private firms (HM Treasury, 2022). The key principle is the same: compare alternatives on a discounted basis using a consistent discount rate. This gives a defensible economic ranking. The method is therefore a strong foundation for the board’s choice.</w:t>
      </w:r>
    </w:p>
    <w:p w14:paraId="6A478B6E">
      <w:pPr>
        <w:spacing w:line="360" w:lineRule="auto"/>
        <w:contextualSpacing/>
        <w:rPr>
          <w:lang w:val="en-GB"/>
        </w:rPr>
      </w:pPr>
    </w:p>
    <w:p w14:paraId="6FBF0E96">
      <w:pPr>
        <w:spacing w:line="360" w:lineRule="auto"/>
        <w:contextualSpacing/>
        <w:rPr>
          <w:b/>
          <w:bCs/>
          <w:lang w:val="en-GB"/>
        </w:rPr>
      </w:pPr>
      <w:r>
        <w:rPr>
          <w:rFonts w:hint="eastAsia"/>
          <w:b/>
          <w:bCs/>
          <w:lang w:val="en-GB"/>
        </w:rPr>
        <w:t xml:space="preserve">3.4.2 </w:t>
      </w:r>
      <w:r>
        <w:rPr>
          <w:b/>
          <w:bCs/>
          <w:lang w:val="en-GB"/>
        </w:rPr>
        <w:t>Why methods without discounting remain popular</w:t>
      </w:r>
    </w:p>
    <w:p w14:paraId="0F9F8828">
      <w:pPr>
        <w:spacing w:line="360" w:lineRule="auto"/>
        <w:contextualSpacing/>
        <w:rPr>
          <w:lang w:val="en-GB"/>
        </w:rPr>
      </w:pPr>
      <w:r>
        <w:rPr>
          <w:lang w:val="en-GB"/>
        </w:rPr>
        <w:t>Despite the strengths of NPV, many managers still use payback or accounting rate measures because they are simple to calculate and easy to explain without requiring a discount rate estimate. Payback can be attractive when managers care about liquidity and short-term risk, especially under uncertainty about later year forecasts (Atrill and McLaney, 2024). Survey evidence also shows that payback remains widely used in practice alongside discounted methods, especially in smaller firms and in situations where uncertainty is high (Graham and Harvey, 2001). This suggests that decision makers often combine formal valuation with simpler screening tools.</w:t>
      </w:r>
    </w:p>
    <w:p w14:paraId="0E805C2C">
      <w:pPr>
        <w:spacing w:line="360" w:lineRule="auto"/>
        <w:contextualSpacing/>
        <w:rPr>
          <w:lang w:val="en-GB"/>
        </w:rPr>
      </w:pPr>
    </w:p>
    <w:p w14:paraId="76371D27">
      <w:pPr>
        <w:spacing w:line="360" w:lineRule="auto"/>
        <w:contextualSpacing/>
        <w:rPr>
          <w:lang w:val="en-GB"/>
        </w:rPr>
      </w:pPr>
      <w:r>
        <w:rPr>
          <w:lang w:val="en-GB"/>
        </w:rPr>
        <w:t>Non discounting methods also fit behavioural and organisational realities, such as performance targets, budget cycles, and accountability for short horizon outcomes. They can support early rejection of clearly weak projects before spending time on more complex modelling. However, they can systematically bias decisions against longer term value creation because they underweight later cash generation. This risk is important for Westward Plc because options B and C rely on growth later in the four year period.</w:t>
      </w:r>
    </w:p>
    <w:p w14:paraId="65623CD0">
      <w:pPr>
        <w:spacing w:line="360" w:lineRule="auto"/>
        <w:contextualSpacing/>
        <w:rPr>
          <w:lang w:val="en-GB"/>
        </w:rPr>
      </w:pPr>
    </w:p>
    <w:p w14:paraId="3B664AF8">
      <w:pPr>
        <w:spacing w:line="360" w:lineRule="auto"/>
        <w:contextualSpacing/>
        <w:rPr>
          <w:b/>
          <w:bCs/>
          <w:lang w:val="en-GB"/>
        </w:rPr>
      </w:pPr>
      <w:r>
        <w:rPr>
          <w:rFonts w:hint="eastAsia"/>
          <w:b/>
          <w:bCs/>
          <w:lang w:val="en-GB"/>
        </w:rPr>
        <w:t xml:space="preserve">3.4.3 </w:t>
      </w:r>
      <w:r>
        <w:rPr>
          <w:b/>
          <w:bCs/>
          <w:lang w:val="en-GB"/>
        </w:rPr>
        <w:t>Other factors to consider before a final investment decision</w:t>
      </w:r>
    </w:p>
    <w:p w14:paraId="5E56D1DA">
      <w:pPr>
        <w:spacing w:line="360" w:lineRule="auto"/>
        <w:contextualSpacing/>
        <w:rPr>
          <w:lang w:val="en-GB"/>
        </w:rPr>
      </w:pPr>
      <w:r>
        <w:rPr>
          <w:lang w:val="en-GB"/>
        </w:rPr>
        <w:t>Before committing, Westward Plc should complement the base case NPVs with sensitivity analysis on the most uncertain inputs, such as demand growth, gross margin, fulfilment cost, and competitive response. This is consistent with good risk practice that treats uncertainty as a core element of decision quality rather than an afterthought (ISO, 2018). For option B, customer acquisition costs, platform reliability, cyber risk, and returns handling can materially shift realised cash flows. For option C, supply chain capacity, product quality control, and retailer acceptance can change the sales ramp.</w:t>
      </w:r>
    </w:p>
    <w:p w14:paraId="7B7124D4">
      <w:pPr>
        <w:spacing w:line="360" w:lineRule="auto"/>
        <w:contextualSpacing/>
        <w:rPr>
          <w:lang w:val="en-GB"/>
        </w:rPr>
      </w:pPr>
    </w:p>
    <w:p w14:paraId="43BD7628">
      <w:pPr>
        <w:spacing w:line="360" w:lineRule="auto"/>
        <w:contextualSpacing/>
        <w:rPr>
          <w:lang w:val="en-GB"/>
        </w:rPr>
      </w:pPr>
      <w:r>
        <w:rPr>
          <w:lang w:val="en-GB"/>
        </w:rPr>
        <w:t>The board should also evaluate strategic fit and organisational capability, including whether management has the skills to run online operations at scale and whether existing systems can support stock visibility and delivery promises. Investment appraisal guidance stresses that financial appraisal should be integrated with strategic and operational assessment (ICAEW, 2019). The firm should also consider real options such as staging, piloting, and the ability to pause or expand depending on early performance. These governance choices can reduce downside risk while retaining upside potential. A robust implementation plan is essential.</w:t>
      </w:r>
    </w:p>
    <w:p w14:paraId="3A00B85C">
      <w:pPr>
        <w:spacing w:line="360" w:lineRule="auto"/>
        <w:contextualSpacing/>
        <w:rPr>
          <w:lang w:val="en-GB"/>
        </w:rPr>
      </w:pPr>
    </w:p>
    <w:p w14:paraId="41A5885C">
      <w:pPr>
        <w:spacing w:line="360" w:lineRule="auto"/>
        <w:contextualSpacing/>
        <w:outlineLvl w:val="1"/>
        <w:rPr>
          <w:b/>
          <w:bCs/>
        </w:rPr>
      </w:pPr>
      <w:bookmarkStart w:id="16" w:name="_Toc218355807"/>
      <w:r>
        <w:rPr>
          <w:rFonts w:hint="eastAsia"/>
          <w:b/>
          <w:bCs/>
        </w:rPr>
        <w:t xml:space="preserve">3.4 </w:t>
      </w:r>
      <w:r>
        <w:rPr>
          <w:b/>
          <w:bCs/>
        </w:rPr>
        <w:t>Capital rationing with divisible projects</w:t>
      </w:r>
      <w:bookmarkEnd w:id="16"/>
    </w:p>
    <w:p w14:paraId="066CF8FB">
      <w:pPr>
        <w:spacing w:line="360" w:lineRule="auto"/>
        <w:contextualSpacing/>
        <w:rPr>
          <w:lang w:val="en-GB"/>
        </w:rPr>
      </w:pPr>
      <w:r>
        <w:rPr>
          <w:lang w:val="en-GB"/>
        </w:rPr>
        <w:t>If funds are limited to £2,500,000 and projects are divisible, the optimal policy is to maximise total NPV within the budget by ranking projects using a profit index, defined as present value of inflows divided by initial cost (Berk and DeMarzo, 2023). Using the PV of inflows above:</w:t>
      </w:r>
    </w:p>
    <w:p w14:paraId="1D987A92">
      <w:pPr>
        <w:spacing w:line="360" w:lineRule="auto"/>
        <w:contextualSpacing/>
        <w:rPr>
          <w:lang w:val="en-GB"/>
        </w:rPr>
      </w:pPr>
      <w:r>
        <w:rPr>
          <w:lang w:val="en-GB"/>
        </w:rPr>
        <w:t>Option A profit index = 1243.17 / 600 = 2.072</w:t>
      </w:r>
      <w:r>
        <w:rPr>
          <w:lang w:val="en-GB"/>
        </w:rPr>
        <w:br w:type="textWrapping"/>
      </w:r>
      <w:r>
        <w:rPr>
          <w:lang w:val="en-GB"/>
        </w:rPr>
        <w:t>Option B profit index = 1792.23 / 1000 = 1.792</w:t>
      </w:r>
      <w:r>
        <w:rPr>
          <w:lang w:val="en-GB"/>
        </w:rPr>
        <w:br w:type="textWrapping"/>
      </w:r>
      <w:r>
        <w:rPr>
          <w:lang w:val="en-GB"/>
        </w:rPr>
        <w:t>Option C profit index = 2342.48 / 1600 = 1.464</w:t>
      </w:r>
    </w:p>
    <w:p w14:paraId="7DA2EE27">
      <w:pPr>
        <w:spacing w:line="360" w:lineRule="auto"/>
        <w:contextualSpacing/>
        <w:rPr>
          <w:lang w:val="en-GB"/>
        </w:rPr>
      </w:pPr>
      <w:r>
        <w:rPr>
          <w:lang w:val="en-GB"/>
        </w:rPr>
        <w:t>The ranking is therefore A, then B, then C. Invest fully in A (600) and B (1000), leaving 900 of the 2500 budget. Use the remaining 900 to fund 900/1600 = 0.5625 of option C.</w:t>
      </w:r>
    </w:p>
    <w:p w14:paraId="6E975A6E">
      <w:pPr>
        <w:spacing w:line="360" w:lineRule="auto"/>
        <w:contextualSpacing/>
        <w:rPr>
          <w:lang w:val="en-GB"/>
        </w:rPr>
      </w:pPr>
      <w:r>
        <w:rPr>
          <w:lang w:val="en-GB"/>
        </w:rPr>
        <w:t>Total NPV under this policy:</w:t>
      </w:r>
    </w:p>
    <w:p w14:paraId="3F752F5D">
      <w:pPr>
        <w:spacing w:line="360" w:lineRule="auto"/>
        <w:contextualSpacing/>
        <w:rPr>
          <w:lang w:val="en-GB"/>
        </w:rPr>
      </w:pPr>
      <w:r>
        <w:rPr>
          <w:lang w:val="en-GB"/>
        </w:rPr>
        <w:t>NPV(A) + NPV(B) + 0.5625 × NPV(C)</w:t>
      </w:r>
      <w:r>
        <w:rPr>
          <w:lang w:val="en-GB"/>
        </w:rPr>
        <w:br w:type="textWrapping"/>
      </w:r>
      <w:r>
        <w:rPr>
          <w:lang w:val="en-GB"/>
        </w:rPr>
        <w:t>= 643.17 + 792.23 + 0.5625 × 742.48</w:t>
      </w:r>
      <w:r>
        <w:rPr>
          <w:lang w:val="en-GB"/>
        </w:rPr>
        <w:br w:type="textWrapping"/>
      </w:r>
      <w:r>
        <w:rPr>
          <w:lang w:val="en-GB"/>
        </w:rPr>
        <w:t>= 1853.04 (£000)</w:t>
      </w:r>
    </w:p>
    <w:p w14:paraId="6D25C080">
      <w:pPr>
        <w:spacing w:line="360" w:lineRule="auto"/>
        <w:contextualSpacing/>
        <w:rPr>
          <w:lang w:val="en-GB"/>
        </w:rPr>
      </w:pPr>
    </w:p>
    <w:p w14:paraId="0DA6D0F0">
      <w:pPr>
        <w:spacing w:line="360" w:lineRule="auto"/>
        <w:contextualSpacing/>
        <w:rPr>
          <w:lang w:val="en-GB"/>
        </w:rPr>
      </w:pPr>
      <w:r>
        <w:rPr>
          <w:lang w:val="en-GB"/>
        </w:rPr>
        <w:t>This policy produces a higher total NPV than choosing only whole projects under the same budget, because divisibility allows the firm to take the best value per pound first. The board should still confirm that partial implementation of option C is operationally feasible. This keeps the policy realistic.</w:t>
      </w:r>
    </w:p>
    <w:p w14:paraId="3200DF80">
      <w:pPr>
        <w:spacing w:line="360" w:lineRule="auto"/>
        <w:contextualSpacing/>
        <w:rPr>
          <w:lang w:val="en-GB"/>
        </w:rPr>
      </w:pPr>
    </w:p>
    <w:p w14:paraId="53AA4BF9">
      <w:pPr>
        <w:spacing w:line="360" w:lineRule="auto"/>
        <w:contextualSpacing/>
        <w:outlineLvl w:val="1"/>
        <w:rPr>
          <w:b/>
          <w:bCs/>
        </w:rPr>
      </w:pPr>
      <w:bookmarkStart w:id="17" w:name="_Toc218355808"/>
      <w:r>
        <w:rPr>
          <w:rFonts w:hint="eastAsia"/>
          <w:b/>
          <w:bCs/>
        </w:rPr>
        <w:t xml:space="preserve">3.5 </w:t>
      </w:r>
      <w:r>
        <w:rPr>
          <w:b/>
          <w:bCs/>
        </w:rPr>
        <w:t>How the investment programme might be financed</w:t>
      </w:r>
      <w:bookmarkEnd w:id="17"/>
    </w:p>
    <w:p w14:paraId="47315F8E">
      <w:pPr>
        <w:spacing w:line="360" w:lineRule="auto"/>
        <w:contextualSpacing/>
        <w:rPr>
          <w:lang w:val="en-GB"/>
        </w:rPr>
      </w:pPr>
      <w:r>
        <w:rPr>
          <w:lang w:val="en-GB"/>
        </w:rPr>
        <w:t>Financing should balance cost, flexibility, and risk, while maintaining adequate liquidity and resilience. Internal finance through retained earnings avoids interest obligations and reduces exposure to refinancing risk, so it is often the first choice when funds are available (Atrill and McLaney, 2024). The drawback is opportunity cost, because using internal funds can crowd out other projects, and it concentrates risk if cash buffers become too thin. The board should set a minimum liquidity buffer and only commit surplus cash beyond that level.</w:t>
      </w:r>
    </w:p>
    <w:p w14:paraId="1118282F">
      <w:pPr>
        <w:spacing w:line="360" w:lineRule="auto"/>
        <w:contextualSpacing/>
        <w:rPr>
          <w:lang w:val="en-GB"/>
        </w:rPr>
      </w:pPr>
    </w:p>
    <w:p w14:paraId="4C2BAB18">
      <w:pPr>
        <w:spacing w:line="360" w:lineRule="auto"/>
        <w:contextualSpacing/>
        <w:rPr>
          <w:lang w:val="en-GB"/>
        </w:rPr>
      </w:pPr>
      <w:r>
        <w:rPr>
          <w:lang w:val="en-GB"/>
        </w:rPr>
        <w:t>Debt finance through a bank term loan can be suitable because interest is predictable and ownership is not diluted, which may be attractive for a firm seeking to keep control with existing shareholders (Brealey et al., 2023). Debt can also be tax efficient in general, although the exact benefit depends on the tax position and rules on interest deductibility. UK corporation tax rates have been stable at a main rate of 25% in recent years, which reinforces the need to model tax effects consistently in planning. The risk is that higher leverage increases financial distress costs and reduces flexibility if trading conditions weaken.</w:t>
      </w:r>
    </w:p>
    <w:p w14:paraId="2EB5DFAE">
      <w:pPr>
        <w:spacing w:line="360" w:lineRule="auto"/>
        <w:contextualSpacing/>
        <w:rPr>
          <w:lang w:val="en-GB"/>
        </w:rPr>
      </w:pPr>
    </w:p>
    <w:p w14:paraId="424F8FC2">
      <w:pPr>
        <w:spacing w:line="360" w:lineRule="auto"/>
        <w:contextualSpacing/>
        <w:rPr>
          <w:lang w:val="en-GB"/>
        </w:rPr>
      </w:pPr>
      <w:r>
        <w:rPr>
          <w:lang w:val="en-GB"/>
        </w:rPr>
        <w:t>Leasing or asset finance can match payments to the use of assets, which can support cash management for options that require equipment or fit out spending. This can be helpful when the firm wants to preserve cash for working capital and marketing in early years (ICAEW, 2019). The disadvantage is that total financing cost can be higher than secured bank borrowing, and contracts can reduce flexibility if strategy changes. The board should compare effective interest rates and covenant terms carefully.</w:t>
      </w:r>
    </w:p>
    <w:p w14:paraId="76892649">
      <w:pPr>
        <w:spacing w:line="360" w:lineRule="auto"/>
        <w:contextualSpacing/>
        <w:rPr>
          <w:lang w:val="en-GB"/>
        </w:rPr>
      </w:pPr>
    </w:p>
    <w:p w14:paraId="014AEFBB">
      <w:pPr>
        <w:spacing w:line="360" w:lineRule="auto"/>
        <w:contextualSpacing/>
        <w:rPr>
          <w:lang w:val="en-GB"/>
        </w:rPr>
      </w:pPr>
      <w:r>
        <w:rPr>
          <w:lang w:val="en-GB"/>
        </w:rPr>
        <w:t>Equity finance through a rights issue can provide permanent capital and reduce insolvency risk, which can be valuable if the firm expects volatile cash flows during expansion (Berk and DeMarzo, 2023). The main downside is dilution and issue costs, and managers may worry about market timing and signalling. In practice, many managers show strong concern for earnings per share effects and dilution, which can shape financing choices beyond pure theory (Graham and Harvey, 2001). A balanced approach is often to fund a core portion with internal cash, then add moderate debt to avoid excessive dilution.</w:t>
      </w:r>
    </w:p>
    <w:p w14:paraId="5D8D601D">
      <w:pPr>
        <w:spacing w:line="360" w:lineRule="auto"/>
        <w:contextualSpacing/>
        <w:rPr>
          <w:lang w:val="en-GB"/>
        </w:rPr>
      </w:pPr>
    </w:p>
    <w:p w14:paraId="32DB7BC7">
      <w:pPr>
        <w:spacing w:line="360" w:lineRule="auto"/>
        <w:contextualSpacing/>
        <w:rPr>
          <w:lang w:val="en-GB"/>
        </w:rPr>
      </w:pPr>
      <w:r>
        <w:rPr>
          <w:lang w:val="en-GB"/>
        </w:rPr>
        <w:t>Under the scale of funding required here, a practical financing plan would be to prioritise internal funds for part of the outlay, then use a bank facility or leasing for the remainder to preserve liquidity. This approach can also align with simplified capital allowance assumptions used in appraisal, while noting that real UK allowance regimes differ and should be checked during detailed tax planning (HMRC, 2025). The final package should match the chosen option’s risk profile. Financing should support execution rather than constrain it.</w:t>
      </w:r>
    </w:p>
    <w:p w14:paraId="1DE9CF6A">
      <w:pPr>
        <w:spacing w:line="360" w:lineRule="auto"/>
        <w:contextualSpacing/>
        <w:rPr>
          <w:lang w:val="en-GB"/>
        </w:rPr>
      </w:pPr>
    </w:p>
    <w:p w14:paraId="3ED414D0">
      <w:pPr>
        <w:spacing w:line="360" w:lineRule="auto"/>
        <w:contextualSpacing/>
        <w:outlineLvl w:val="0"/>
        <w:rPr>
          <w:lang w:val="en-GB"/>
        </w:rPr>
      </w:pPr>
      <w:bookmarkStart w:id="18" w:name="_Toc218355809"/>
      <w:r>
        <w:rPr>
          <w:rFonts w:hint="eastAsia"/>
          <w:b/>
          <w:bCs/>
          <w:sz w:val="28"/>
          <w:szCs w:val="22"/>
          <w:lang w:val="en-GB"/>
        </w:rPr>
        <w:t>4. Conclusion</w:t>
      </w:r>
      <w:bookmarkEnd w:id="18"/>
      <w:r>
        <w:rPr>
          <w:rFonts w:hint="eastAsia"/>
          <w:b/>
          <w:bCs/>
          <w:sz w:val="28"/>
          <w:szCs w:val="22"/>
          <w:lang w:val="en-GB"/>
        </w:rPr>
        <w:t xml:space="preserve"> </w:t>
      </w:r>
    </w:p>
    <w:p w14:paraId="061EB57B">
      <w:pPr>
        <w:spacing w:line="360" w:lineRule="auto"/>
        <w:contextualSpacing/>
        <w:rPr>
          <w:lang w:val="en-GB"/>
        </w:rPr>
      </w:pPr>
      <w:r>
        <w:rPr>
          <w:lang w:val="en-GB"/>
        </w:rPr>
        <w:t>Across both tasks, the central message is that good financial management is a joined-up process. Directors need reliable measurement of current performance, but they also need disciplined appraisal of future opportunities. Task 1 shows how ratio analysis can reveal patterns behind headline profit and growth. Task 2 shows how discounted cash flow methods can turn forecasts into a defensible project choice. When used together, these tools improve decision quality because they connect past performance, current capacity, and future value creation.</w:t>
      </w:r>
    </w:p>
    <w:p w14:paraId="1DBA1A55">
      <w:pPr>
        <w:spacing w:line="360" w:lineRule="auto"/>
        <w:contextualSpacing/>
        <w:rPr>
          <w:lang w:val="en-GB"/>
        </w:rPr>
      </w:pPr>
    </w:p>
    <w:p w14:paraId="6324D61F">
      <w:pPr>
        <w:spacing w:line="360" w:lineRule="auto"/>
        <w:contextualSpacing/>
        <w:rPr>
          <w:lang w:val="en-GB"/>
        </w:rPr>
      </w:pPr>
      <w:r>
        <w:rPr>
          <w:lang w:val="en-GB"/>
        </w:rPr>
        <w:t>In Task 1, Tesco shows a mixed picture that is typical of a large mature retailer. Profitability at the gross level is broadly stable, while operating margin weakens, which suggests cost pressure or planned reinvestment that needs board oversight. Returns on capital remain stable, supported by strong sales generation relative to capital employed. Liquidity ratios fall at the reporting date, but the interpretation needs care because the retail model often operates with net current liabilities and because classification effects can change the current section of the balance sheet. Gearing and interest cover improve modestly, which supports resilience, yet lease obligations remain a major long-term commitment that directors should monitor alongside borrowings. Investor outcomes also require split interpretation because total earnings per share are lifted by discontinued items while continuing earnings per share soften. The recommendations that follow from this pattern focus on cost discipline tied to measurable outcomes, stronger liquidity governance through adjusted monitoring, and tighter working capital control without harming supply stability.</w:t>
      </w:r>
    </w:p>
    <w:p w14:paraId="2BE6E39C">
      <w:pPr>
        <w:spacing w:line="360" w:lineRule="auto"/>
        <w:contextualSpacing/>
        <w:rPr>
          <w:lang w:val="en-GB"/>
        </w:rPr>
      </w:pPr>
    </w:p>
    <w:p w14:paraId="17374412">
      <w:pPr>
        <w:spacing w:line="360" w:lineRule="auto"/>
        <w:contextualSpacing/>
        <w:rPr>
          <w:lang w:val="en-GB"/>
        </w:rPr>
      </w:pPr>
      <w:r>
        <w:rPr>
          <w:lang w:val="en-GB"/>
        </w:rPr>
        <w:t>In Task 2, the investment appraisal results indicate that each option generates positive net present value at a 6%cost of capital, so all can add value under the assumptions. The preferred option is the internet sales route because it delivers the highest net present value and a high internal rate of return, which suggests substantial value headroom. Under a funding limit with divisible projects, the optimal policy is to allocate capital first to the options with the highest value per pound and then to invest a fraction of the remaining option. This portfolio view is important because it reflects how boards actually allocate scarce resources. The final financing discussion highlights that internal funds, debt, leasing, and equity each offer different trade-offs between cost, control, and risk. The board should match the funding mix to the risk profile of the chosen investment and preserve operational flexibility during execution.</w:t>
      </w:r>
    </w:p>
    <w:p w14:paraId="0763D913">
      <w:pPr>
        <w:spacing w:line="360" w:lineRule="auto"/>
        <w:contextualSpacing/>
        <w:rPr>
          <w:lang w:val="en-GB"/>
        </w:rPr>
      </w:pPr>
    </w:p>
    <w:p w14:paraId="3E3B3417">
      <w:pPr>
        <w:spacing w:line="360" w:lineRule="auto"/>
        <w:contextualSpacing/>
        <w:rPr>
          <w:lang w:val="en-GB"/>
        </w:rPr>
      </w:pPr>
      <w:r>
        <w:rPr>
          <w:lang w:val="en-GB"/>
        </w:rPr>
        <w:t>Overall, the combined work supports a board approach that is evidence based and balanced. Ratios guide attention to where performance and risk are moving, but they do not replace judgement. Discounted cash flow supports value-based choice, but it depends on the realism of forecasts and the strength of delivery plans. The best decisions come from combining these methods with sensitivity testing, capability assessment, and governance controls that keep the firm resilient while it pursues growth.</w:t>
      </w:r>
    </w:p>
    <w:p w14:paraId="39E2164D">
      <w:pPr>
        <w:spacing w:line="360" w:lineRule="auto"/>
        <w:contextualSpacing/>
        <w:rPr>
          <w:lang w:val="en-GB"/>
        </w:rPr>
      </w:pPr>
    </w:p>
    <w:p w14:paraId="5C6C1467">
      <w:pPr>
        <w:widowControl/>
        <w:jc w:val="left"/>
        <w:rPr>
          <w:lang w:val="en-GB"/>
        </w:rPr>
      </w:pPr>
      <w:r>
        <w:rPr>
          <w:lang w:val="en-GB"/>
        </w:rPr>
        <w:br w:type="page"/>
      </w:r>
    </w:p>
    <w:p w14:paraId="24B62D8C">
      <w:pPr>
        <w:spacing w:line="360" w:lineRule="auto"/>
        <w:contextualSpacing/>
        <w:outlineLvl w:val="0"/>
        <w:rPr>
          <w:b/>
          <w:bCs/>
          <w:sz w:val="28"/>
          <w:szCs w:val="22"/>
          <w:lang w:val="en-GB"/>
        </w:rPr>
      </w:pPr>
      <w:bookmarkStart w:id="19" w:name="_Toc218355810"/>
      <w:r>
        <w:rPr>
          <w:b/>
          <w:bCs/>
          <w:sz w:val="28"/>
          <w:szCs w:val="22"/>
          <w:lang w:val="en-GB"/>
        </w:rPr>
        <w:t>R</w:t>
      </w:r>
      <w:r>
        <w:rPr>
          <w:rFonts w:hint="eastAsia"/>
          <w:b/>
          <w:bCs/>
          <w:sz w:val="28"/>
          <w:szCs w:val="22"/>
          <w:lang w:val="en-GB"/>
        </w:rPr>
        <w:t>eference</w:t>
      </w:r>
      <w:bookmarkEnd w:id="19"/>
      <w:r>
        <w:rPr>
          <w:rFonts w:hint="eastAsia"/>
          <w:b/>
          <w:bCs/>
          <w:sz w:val="28"/>
          <w:szCs w:val="22"/>
          <w:lang w:val="en-GB"/>
        </w:rPr>
        <w:t xml:space="preserve">s </w:t>
      </w:r>
    </w:p>
    <w:p w14:paraId="35E320A3">
      <w:pPr>
        <w:widowControl/>
        <w:spacing w:line="360" w:lineRule="auto"/>
        <w:jc w:val="left"/>
        <w:rPr>
          <w:lang w:val="en-GB"/>
        </w:rPr>
      </w:pPr>
      <w:r>
        <w:rPr>
          <w:lang w:val="en-GB"/>
        </w:rPr>
        <w:t xml:space="preserve">Atrill, P. and McLaney, E. (2024) </w:t>
      </w:r>
      <w:r>
        <w:rPr>
          <w:i/>
          <w:iCs/>
          <w:lang w:val="en-GB"/>
        </w:rPr>
        <w:t>Accounting and Finance for Non-Specialists</w:t>
      </w:r>
      <w:r>
        <w:rPr>
          <w:lang w:val="en-GB"/>
        </w:rPr>
        <w:t xml:space="preserve">. 12th edn. Harlow: Pearson. Available at: </w:t>
      </w:r>
      <w:r>
        <w:fldChar w:fldCharType="begin"/>
      </w:r>
      <w:r>
        <w:instrText xml:space="preserve"> HYPERLINK "https://www.pearson.com/en-gb/subject-catalog/p/accounting-and-finance-for-non-specialists/P200000003619/9781292741734" \t "_new" </w:instrText>
      </w:r>
      <w:r>
        <w:fldChar w:fldCharType="separate"/>
      </w:r>
      <w:r>
        <w:rPr>
          <w:rStyle w:val="24"/>
          <w:lang w:val="en-GB"/>
        </w:rPr>
        <w:t>https://www.pearson.com/en-gb/subject-catalog/p/accounting-and-finance-for-non-specialists/P200000003619/9781292741734</w:t>
      </w:r>
      <w:r>
        <w:rPr>
          <w:rStyle w:val="24"/>
          <w:lang w:val="en-GB"/>
        </w:rPr>
        <w:fldChar w:fldCharType="end"/>
      </w:r>
      <w:r>
        <w:rPr>
          <w:lang w:val="en-GB"/>
        </w:rPr>
        <w:t xml:space="preserve"> (Accessed: 6 January 2026).</w:t>
      </w:r>
    </w:p>
    <w:p w14:paraId="6567E82D">
      <w:pPr>
        <w:widowControl/>
        <w:spacing w:line="360" w:lineRule="auto"/>
        <w:jc w:val="left"/>
        <w:rPr>
          <w:lang w:val="en-GB"/>
        </w:rPr>
      </w:pPr>
      <w:r>
        <w:rPr>
          <w:lang w:val="en-GB"/>
        </w:rPr>
        <w:t xml:space="preserve">Bank of England (2025a) </w:t>
      </w:r>
      <w:r>
        <w:rPr>
          <w:i/>
          <w:iCs/>
          <w:lang w:val="en-GB"/>
        </w:rPr>
        <w:t>Bank Rate reduced to 4.5% February 2025</w:t>
      </w:r>
      <w:r>
        <w:rPr>
          <w:lang w:val="en-GB"/>
        </w:rPr>
        <w:t xml:space="preserve">. Available at: </w:t>
      </w:r>
      <w:r>
        <w:fldChar w:fldCharType="begin"/>
      </w:r>
      <w:r>
        <w:instrText xml:space="preserve"> HYPERLINK "https://www.bankofengland.co.uk/monetary-policy-summary-and-minutes/2025/february-2025" \t "_new" </w:instrText>
      </w:r>
      <w:r>
        <w:fldChar w:fldCharType="separate"/>
      </w:r>
      <w:r>
        <w:rPr>
          <w:rStyle w:val="24"/>
          <w:lang w:val="en-GB"/>
        </w:rPr>
        <w:t>https://www.bankofengland.co.uk/monetary-policy-summary-and-minutes/2025/february-2025</w:t>
      </w:r>
      <w:r>
        <w:rPr>
          <w:rStyle w:val="24"/>
          <w:lang w:val="en-GB"/>
        </w:rPr>
        <w:fldChar w:fldCharType="end"/>
      </w:r>
      <w:r>
        <w:rPr>
          <w:lang w:val="en-GB"/>
        </w:rPr>
        <w:t xml:space="preserve"> (Accessed: 7 January 2026).</w:t>
      </w:r>
    </w:p>
    <w:p w14:paraId="5E42F3D1">
      <w:pPr>
        <w:widowControl/>
        <w:spacing w:line="360" w:lineRule="auto"/>
        <w:jc w:val="left"/>
        <w:rPr>
          <w:lang w:val="en-GB"/>
        </w:rPr>
      </w:pPr>
      <w:r>
        <w:rPr>
          <w:lang w:val="en-GB"/>
        </w:rPr>
        <w:t xml:space="preserve">Bank of England (2025b) </w:t>
      </w:r>
      <w:r>
        <w:rPr>
          <w:i/>
          <w:iCs/>
          <w:lang w:val="en-GB"/>
        </w:rPr>
        <w:t>Bank Rate history and data</w:t>
      </w:r>
      <w:r>
        <w:rPr>
          <w:lang w:val="en-GB"/>
        </w:rPr>
        <w:t xml:space="preserve">. Available at: </w:t>
      </w:r>
      <w:r>
        <w:fldChar w:fldCharType="begin"/>
      </w:r>
      <w:r>
        <w:instrText xml:space="preserve"> HYPERLINK "https://www.bankofengland.co.uk/boeapps/database/Bank-Rate.asp" \t "_new" </w:instrText>
      </w:r>
      <w:r>
        <w:fldChar w:fldCharType="separate"/>
      </w:r>
      <w:r>
        <w:rPr>
          <w:rStyle w:val="24"/>
          <w:lang w:val="en-GB"/>
        </w:rPr>
        <w:t>https://www.bankofengland.co.uk/boeapps/database/Bank-Rate.asp</w:t>
      </w:r>
      <w:r>
        <w:rPr>
          <w:rStyle w:val="24"/>
          <w:lang w:val="en-GB"/>
        </w:rPr>
        <w:fldChar w:fldCharType="end"/>
      </w:r>
      <w:r>
        <w:rPr>
          <w:lang w:val="en-GB"/>
        </w:rPr>
        <w:t xml:space="preserve"> (Accessed: 20 December 2025).</w:t>
      </w:r>
    </w:p>
    <w:p w14:paraId="4990813A">
      <w:pPr>
        <w:widowControl/>
        <w:spacing w:line="360" w:lineRule="auto"/>
        <w:jc w:val="left"/>
        <w:rPr>
          <w:lang w:val="en-GB"/>
        </w:rPr>
      </w:pPr>
      <w:r>
        <w:rPr>
          <w:lang w:val="en-GB"/>
        </w:rPr>
        <w:t xml:space="preserve">Berk, J. and DeMarzo, P. (2023) </w:t>
      </w:r>
      <w:r>
        <w:rPr>
          <w:i/>
          <w:iCs/>
          <w:lang w:val="en-GB"/>
        </w:rPr>
        <w:t>Corporate Finance: Global Edition</w:t>
      </w:r>
      <w:r>
        <w:rPr>
          <w:lang w:val="en-GB"/>
        </w:rPr>
        <w:t xml:space="preserve">. 6th edn. Harlow: Pearson. Available at: </w:t>
      </w:r>
      <w:r>
        <w:fldChar w:fldCharType="begin"/>
      </w:r>
      <w:r>
        <w:instrText xml:space="preserve"> HYPERLINK "https://www.pearson.com/en-gb/subject-catalog/p/corporate-finance-global-edition/P200000009910/9781292740522" \t "_new" </w:instrText>
      </w:r>
      <w:r>
        <w:fldChar w:fldCharType="separate"/>
      </w:r>
      <w:r>
        <w:rPr>
          <w:rStyle w:val="24"/>
          <w:lang w:val="en-GB"/>
        </w:rPr>
        <w:t>https://www.pearson.com/en-gb/subject-catalog/p/corporate-finance-global-edition/P200000009910/9781292740522</w:t>
      </w:r>
      <w:r>
        <w:rPr>
          <w:rStyle w:val="24"/>
          <w:lang w:val="en-GB"/>
        </w:rPr>
        <w:fldChar w:fldCharType="end"/>
      </w:r>
      <w:r>
        <w:rPr>
          <w:lang w:val="en-GB"/>
        </w:rPr>
        <w:t xml:space="preserve"> (Accessed: 4 January 2026).</w:t>
      </w:r>
    </w:p>
    <w:p w14:paraId="47BA61EA">
      <w:pPr>
        <w:widowControl/>
        <w:spacing w:line="360" w:lineRule="auto"/>
        <w:jc w:val="left"/>
        <w:rPr>
          <w:lang w:val="en-GB"/>
        </w:rPr>
      </w:pPr>
      <w:r>
        <w:rPr>
          <w:lang w:val="en-GB"/>
        </w:rPr>
        <w:t xml:space="preserve">Brealey, R.A., Myers, S.C., Allen, F. and Edmans, A. (2022) </w:t>
      </w:r>
      <w:r>
        <w:rPr>
          <w:i/>
          <w:iCs/>
          <w:lang w:val="en-GB"/>
        </w:rPr>
        <w:t>Principles of Corporate Finance</w:t>
      </w:r>
      <w:r>
        <w:rPr>
          <w:lang w:val="en-GB"/>
        </w:rPr>
        <w:t xml:space="preserve">. 14th edn. New York: McGraw Hill. Available at: </w:t>
      </w:r>
      <w:r>
        <w:fldChar w:fldCharType="begin"/>
      </w:r>
      <w:r>
        <w:instrText xml:space="preserve"> HYPERLINK "https://www.mheducation.co.uk/higher-education/feature/brealey/principles-14" \t "_new" </w:instrText>
      </w:r>
      <w:r>
        <w:fldChar w:fldCharType="separate"/>
      </w:r>
      <w:r>
        <w:rPr>
          <w:rStyle w:val="24"/>
          <w:lang w:val="en-GB"/>
        </w:rPr>
        <w:t>https://www.mheducation.co.uk/higher-education/feature/brealey/principles-14</w:t>
      </w:r>
      <w:r>
        <w:rPr>
          <w:rStyle w:val="24"/>
          <w:lang w:val="en-GB"/>
        </w:rPr>
        <w:fldChar w:fldCharType="end"/>
      </w:r>
      <w:r>
        <w:rPr>
          <w:lang w:val="en-GB"/>
        </w:rPr>
        <w:t xml:space="preserve"> (Accessed: 30 December 2025).</w:t>
      </w:r>
    </w:p>
    <w:p w14:paraId="544B31A9">
      <w:pPr>
        <w:widowControl/>
        <w:spacing w:line="360" w:lineRule="auto"/>
        <w:jc w:val="left"/>
        <w:rPr>
          <w:lang w:val="en-GB"/>
        </w:rPr>
      </w:pPr>
      <w:r>
        <w:rPr>
          <w:lang w:val="en-GB"/>
        </w:rPr>
        <w:t xml:space="preserve">CFA Institute (2023) </w:t>
      </w:r>
      <w:r>
        <w:rPr>
          <w:i/>
          <w:iCs/>
          <w:lang w:val="en-GB"/>
        </w:rPr>
        <w:t>Financial Statement Analysis: Learning Outcomes Level I</w:t>
      </w:r>
      <w:r>
        <w:rPr>
          <w:lang w:val="en-GB"/>
        </w:rPr>
        <w:t xml:space="preserve">. Available at: </w:t>
      </w:r>
      <w:r>
        <w:fldChar w:fldCharType="begin"/>
      </w:r>
      <w:r>
        <w:instrText xml:space="preserve"> HYPERLINK "https://www.cfainstitute.org/sites/default/files/-/media/documents/study-session/2023-l1-los-t3.pdf" \t "_new" </w:instrText>
      </w:r>
      <w:r>
        <w:fldChar w:fldCharType="separate"/>
      </w:r>
      <w:r>
        <w:rPr>
          <w:rStyle w:val="24"/>
          <w:lang w:val="en-GB"/>
        </w:rPr>
        <w:t>https://www.cfainstitute.org/sites/default/files/-/media/documents/study-session/2023-l1-los-t3.pdf</w:t>
      </w:r>
      <w:r>
        <w:rPr>
          <w:rStyle w:val="24"/>
          <w:lang w:val="en-GB"/>
        </w:rPr>
        <w:fldChar w:fldCharType="end"/>
      </w:r>
      <w:r>
        <w:rPr>
          <w:lang w:val="en-GB"/>
        </w:rPr>
        <w:t xml:space="preserve"> (Accessed: 19 December 2025).</w:t>
      </w:r>
    </w:p>
    <w:p w14:paraId="63BD108F">
      <w:pPr>
        <w:widowControl/>
        <w:spacing w:line="360" w:lineRule="auto"/>
        <w:jc w:val="left"/>
        <w:rPr>
          <w:lang w:val="en-GB"/>
        </w:rPr>
      </w:pPr>
      <w:r>
        <w:rPr>
          <w:lang w:val="en-GB"/>
        </w:rPr>
        <w:t xml:space="preserve">Deloitte (2024) </w:t>
      </w:r>
      <w:r>
        <w:rPr>
          <w:i/>
          <w:iCs/>
          <w:lang w:val="en-GB"/>
        </w:rPr>
        <w:t>Unveiling 2024 working capital trends and what is coming next</w:t>
      </w:r>
      <w:r>
        <w:rPr>
          <w:lang w:val="en-GB"/>
        </w:rPr>
        <w:t xml:space="preserve">. Available at: </w:t>
      </w:r>
      <w:r>
        <w:fldChar w:fldCharType="begin"/>
      </w:r>
      <w:r>
        <w:instrText xml:space="preserve"> HYPERLINK "https://www.deloitte.com/us/en/services/consulting/articles/working-capital-management-report.html" \t "_new" </w:instrText>
      </w:r>
      <w:r>
        <w:fldChar w:fldCharType="separate"/>
      </w:r>
      <w:r>
        <w:rPr>
          <w:rStyle w:val="24"/>
          <w:lang w:val="en-GB"/>
        </w:rPr>
        <w:t>https://www.deloitte.com/us/en/services/consulting/articles/working-capital-management-report.html</w:t>
      </w:r>
      <w:r>
        <w:rPr>
          <w:rStyle w:val="24"/>
          <w:lang w:val="en-GB"/>
        </w:rPr>
        <w:fldChar w:fldCharType="end"/>
      </w:r>
      <w:r>
        <w:rPr>
          <w:lang w:val="en-GB"/>
        </w:rPr>
        <w:t xml:space="preserve"> (Accessed: 22 December 2025).</w:t>
      </w:r>
    </w:p>
    <w:p w14:paraId="67313AED">
      <w:pPr>
        <w:widowControl/>
        <w:spacing w:line="360" w:lineRule="auto"/>
        <w:jc w:val="left"/>
        <w:rPr>
          <w:lang w:val="en-GB"/>
        </w:rPr>
      </w:pPr>
      <w:r>
        <w:rPr>
          <w:lang w:val="en-GB"/>
        </w:rPr>
        <w:t xml:space="preserve">Financial Reporting Council (2024) </w:t>
      </w:r>
      <w:r>
        <w:rPr>
          <w:i/>
          <w:iCs/>
          <w:lang w:val="en-GB"/>
        </w:rPr>
        <w:t>UK Corporate Governance Code 2024</w:t>
      </w:r>
      <w:r>
        <w:rPr>
          <w:lang w:val="en-GB"/>
        </w:rPr>
        <w:t xml:space="preserve">. Available at: </w:t>
      </w:r>
      <w:r>
        <w:fldChar w:fldCharType="begin"/>
      </w:r>
      <w:r>
        <w:instrText xml:space="preserve"> HYPERLINK "https://www.frc.org.uk/library/standards-codes-policy/corporate-governance/uk-corporate-governance-code/" \t "_new" </w:instrText>
      </w:r>
      <w:r>
        <w:fldChar w:fldCharType="separate"/>
      </w:r>
      <w:r>
        <w:rPr>
          <w:rStyle w:val="24"/>
          <w:lang w:val="en-GB"/>
        </w:rPr>
        <w:t>https://www.frc.org.uk/library/standards-codes-policy/corporate-governance/uk-corporate-governance-code/</w:t>
      </w:r>
      <w:r>
        <w:rPr>
          <w:rStyle w:val="24"/>
          <w:lang w:val="en-GB"/>
        </w:rPr>
        <w:fldChar w:fldCharType="end"/>
      </w:r>
      <w:r>
        <w:rPr>
          <w:lang w:val="en-GB"/>
        </w:rPr>
        <w:t xml:space="preserve"> (Accessed: 5 January 2026).</w:t>
      </w:r>
    </w:p>
    <w:p w14:paraId="66AE9566">
      <w:pPr>
        <w:widowControl/>
        <w:spacing w:line="360" w:lineRule="auto"/>
        <w:jc w:val="left"/>
        <w:rPr>
          <w:lang w:val="en-GB"/>
        </w:rPr>
      </w:pPr>
      <w:r>
        <w:rPr>
          <w:lang w:val="en-GB"/>
        </w:rPr>
        <w:t xml:space="preserve">Graham, J.R. and Harvey, C.R. (2001) The theory and practice of corporate finance: evidence from the field, </w:t>
      </w:r>
      <w:r>
        <w:rPr>
          <w:i/>
          <w:iCs/>
          <w:lang w:val="en-GB"/>
        </w:rPr>
        <w:t>Journal of Financial Economics</w:t>
      </w:r>
      <w:r>
        <w:rPr>
          <w:lang w:val="en-GB"/>
        </w:rPr>
        <w:t xml:space="preserve">, 60(2–3), pp. 187 to 243. </w:t>
      </w:r>
    </w:p>
    <w:p w14:paraId="52A65B32">
      <w:pPr>
        <w:widowControl/>
        <w:spacing w:line="360" w:lineRule="auto"/>
        <w:jc w:val="left"/>
        <w:rPr>
          <w:lang w:val="en-GB"/>
        </w:rPr>
      </w:pPr>
      <w:r>
        <w:rPr>
          <w:lang w:val="en-GB"/>
        </w:rPr>
        <w:t xml:space="preserve">HM Revenue and Customs (2025) </w:t>
      </w:r>
      <w:r>
        <w:rPr>
          <w:i/>
          <w:iCs/>
          <w:lang w:val="en-GB"/>
        </w:rPr>
        <w:t>Rates and allowances: Corporation Tax</w:t>
      </w:r>
      <w:r>
        <w:rPr>
          <w:lang w:val="en-GB"/>
        </w:rPr>
        <w:t xml:space="preserve">. Available at: </w:t>
      </w:r>
      <w:r>
        <w:fldChar w:fldCharType="begin"/>
      </w:r>
      <w:r>
        <w:instrText xml:space="preserve"> HYPERLINK "https://www.gov.uk/government/publications/rates-and-allowances-corporation-tax/rates-and-allowances-corporation-tax" \t "_new" </w:instrText>
      </w:r>
      <w:r>
        <w:fldChar w:fldCharType="separate"/>
      </w:r>
      <w:r>
        <w:rPr>
          <w:rStyle w:val="24"/>
          <w:lang w:val="en-GB"/>
        </w:rPr>
        <w:t>https://www.gov.uk/government/publications/rates-and-allowances-corporation-tax/rates-and-allowances-corporation-tax</w:t>
      </w:r>
      <w:r>
        <w:rPr>
          <w:rStyle w:val="24"/>
          <w:lang w:val="en-GB"/>
        </w:rPr>
        <w:fldChar w:fldCharType="end"/>
      </w:r>
      <w:r>
        <w:rPr>
          <w:lang w:val="en-GB"/>
        </w:rPr>
        <w:t xml:space="preserve"> (Accessed: 3 January 2026).</w:t>
      </w:r>
    </w:p>
    <w:p w14:paraId="530571A4">
      <w:pPr>
        <w:widowControl/>
        <w:spacing w:line="360" w:lineRule="auto"/>
        <w:jc w:val="left"/>
        <w:rPr>
          <w:lang w:val="en-GB"/>
        </w:rPr>
      </w:pPr>
      <w:r>
        <w:rPr>
          <w:lang w:val="en-GB"/>
        </w:rPr>
        <w:t xml:space="preserve">HM Revenue and Customs (n.d.) </w:t>
      </w:r>
      <w:r>
        <w:rPr>
          <w:i/>
          <w:iCs/>
          <w:lang w:val="en-GB"/>
        </w:rPr>
        <w:t>Work out your writing down allowances: Rates and pools</w:t>
      </w:r>
      <w:r>
        <w:rPr>
          <w:lang w:val="en-GB"/>
        </w:rPr>
        <w:t xml:space="preserve">. Available at: </w:t>
      </w:r>
      <w:r>
        <w:fldChar w:fldCharType="begin"/>
      </w:r>
      <w:r>
        <w:instrText xml:space="preserve"> HYPERLINK "https://www.gov.uk/work-out-capital-allowances/rates-and-pools" \t "_new" </w:instrText>
      </w:r>
      <w:r>
        <w:fldChar w:fldCharType="separate"/>
      </w:r>
      <w:r>
        <w:rPr>
          <w:rStyle w:val="24"/>
          <w:lang w:val="en-GB"/>
        </w:rPr>
        <w:t>https://www.gov.uk/work-out-capital-allowances/rates-and-pools</w:t>
      </w:r>
      <w:r>
        <w:rPr>
          <w:rStyle w:val="24"/>
          <w:lang w:val="en-GB"/>
        </w:rPr>
        <w:fldChar w:fldCharType="end"/>
      </w:r>
      <w:r>
        <w:rPr>
          <w:lang w:val="en-GB"/>
        </w:rPr>
        <w:t xml:space="preserve"> (Accessed: 16 December 2025).</w:t>
      </w:r>
    </w:p>
    <w:p w14:paraId="12E590AD">
      <w:pPr>
        <w:widowControl/>
        <w:spacing w:line="360" w:lineRule="auto"/>
        <w:jc w:val="left"/>
        <w:rPr>
          <w:lang w:val="en-GB"/>
        </w:rPr>
      </w:pPr>
      <w:r>
        <w:rPr>
          <w:lang w:val="en-GB"/>
        </w:rPr>
        <w:t xml:space="preserve">HM Treasury (2022) </w:t>
      </w:r>
      <w:r>
        <w:rPr>
          <w:i/>
          <w:iCs/>
          <w:lang w:val="en-GB"/>
        </w:rPr>
        <w:t>The Green Book: Central Government guidance on appraisal and evaluation (Green Book 2022, updated links)</w:t>
      </w:r>
      <w:r>
        <w:rPr>
          <w:lang w:val="en-GB"/>
        </w:rPr>
        <w:t xml:space="preserve">. London: HM Treasury. Available at: </w:t>
      </w:r>
      <w:r>
        <w:fldChar w:fldCharType="begin"/>
      </w:r>
      <w:r>
        <w:instrText xml:space="preserve"> HYPERLINK "https://assets.publishing.service.gov.uk/media/6645c709bd01f5ed32793cbc/Green_Book_2022__updated_links_.pdf" \t "_new" </w:instrText>
      </w:r>
      <w:r>
        <w:fldChar w:fldCharType="separate"/>
      </w:r>
      <w:r>
        <w:rPr>
          <w:rStyle w:val="24"/>
          <w:lang w:val="en-GB"/>
        </w:rPr>
        <w:t>https://assets.publishing.service.gov.uk/media/6645c709bd01f5ed32793cbc/Green_Book_2022__updated_links_.pdf</w:t>
      </w:r>
      <w:r>
        <w:rPr>
          <w:rStyle w:val="24"/>
          <w:lang w:val="en-GB"/>
        </w:rPr>
        <w:fldChar w:fldCharType="end"/>
      </w:r>
      <w:r>
        <w:rPr>
          <w:lang w:val="en-GB"/>
        </w:rPr>
        <w:t xml:space="preserve"> (Accessed: 29 December 2025).</w:t>
      </w:r>
    </w:p>
    <w:p w14:paraId="0BEBE623">
      <w:pPr>
        <w:widowControl/>
        <w:spacing w:line="360" w:lineRule="auto"/>
        <w:jc w:val="left"/>
        <w:rPr>
          <w:lang w:val="en-GB"/>
        </w:rPr>
      </w:pPr>
      <w:r>
        <w:rPr>
          <w:lang w:val="en-GB"/>
        </w:rPr>
        <w:t xml:space="preserve">Huynh, T.X.T. (2025) The impact of working capital management on the financial performance of listed enterprises: an empirical evidence from Vietnam, </w:t>
      </w:r>
      <w:r>
        <w:rPr>
          <w:i/>
          <w:iCs/>
          <w:lang w:val="en-GB"/>
        </w:rPr>
        <w:t>Cogent Business and Management</w:t>
      </w:r>
      <w:r>
        <w:rPr>
          <w:lang w:val="en-GB"/>
        </w:rPr>
        <w:t xml:space="preserve">. Available at: </w:t>
      </w:r>
      <w:r>
        <w:fldChar w:fldCharType="begin"/>
      </w:r>
      <w:r>
        <w:instrText xml:space="preserve"> HYPERLINK "https://www.tandfonline.com/doi/full/10.1080/23311975.2025.2473033" \t "_new" </w:instrText>
      </w:r>
      <w:r>
        <w:fldChar w:fldCharType="separate"/>
      </w:r>
      <w:r>
        <w:rPr>
          <w:rStyle w:val="24"/>
          <w:lang w:val="en-GB"/>
        </w:rPr>
        <w:t>https://www.tandfonline.com/doi/full/10.1080/23311975.2025.2473033</w:t>
      </w:r>
      <w:r>
        <w:rPr>
          <w:rStyle w:val="24"/>
          <w:lang w:val="en-GB"/>
        </w:rPr>
        <w:fldChar w:fldCharType="end"/>
      </w:r>
      <w:r>
        <w:rPr>
          <w:lang w:val="en-GB"/>
        </w:rPr>
        <w:t xml:space="preserve"> (Accessed: 8 January 2026).</w:t>
      </w:r>
    </w:p>
    <w:p w14:paraId="73E88369">
      <w:pPr>
        <w:widowControl/>
        <w:spacing w:line="360" w:lineRule="auto"/>
        <w:jc w:val="left"/>
        <w:rPr>
          <w:lang w:val="en-GB"/>
        </w:rPr>
      </w:pPr>
      <w:r>
        <w:rPr>
          <w:lang w:val="en-GB"/>
        </w:rPr>
        <w:t xml:space="preserve">Institute of Chartered Accountants in England and Wales (ICAEW) (2009) </w:t>
      </w:r>
      <w:r>
        <w:rPr>
          <w:i/>
          <w:iCs/>
          <w:lang w:val="en-GB"/>
        </w:rPr>
        <w:t>Special report: Investment appraisal</w:t>
      </w:r>
      <w:r>
        <w:rPr>
          <w:lang w:val="en-GB"/>
        </w:rPr>
        <w:t xml:space="preserve">. London: ICAEW. Available at: </w:t>
      </w:r>
      <w:r>
        <w:fldChar w:fldCharType="begin"/>
      </w:r>
      <w:r>
        <w:instrText xml:space="preserve"> HYPERLINK "https://www.icaew.com/technical/business/financial-management/special-report-investment-appraisal" \t "_new" </w:instrText>
      </w:r>
      <w:r>
        <w:fldChar w:fldCharType="separate"/>
      </w:r>
      <w:r>
        <w:rPr>
          <w:rStyle w:val="24"/>
          <w:lang w:val="en-GB"/>
        </w:rPr>
        <w:t>https://www.icaew.com/technical/business/financial-management/special-report-investment-appraisal</w:t>
      </w:r>
      <w:r>
        <w:rPr>
          <w:rStyle w:val="24"/>
          <w:lang w:val="en-GB"/>
        </w:rPr>
        <w:fldChar w:fldCharType="end"/>
      </w:r>
      <w:r>
        <w:rPr>
          <w:lang w:val="en-GB"/>
        </w:rPr>
        <w:t xml:space="preserve"> (Accessed: 18 December 2025).</w:t>
      </w:r>
    </w:p>
    <w:p w14:paraId="3A0643EA">
      <w:pPr>
        <w:widowControl/>
        <w:spacing w:line="360" w:lineRule="auto"/>
        <w:jc w:val="left"/>
        <w:rPr>
          <w:lang w:val="en-GB"/>
        </w:rPr>
      </w:pPr>
      <w:r>
        <w:rPr>
          <w:lang w:val="en-GB"/>
        </w:rPr>
        <w:t xml:space="preserve">Institute of Chartered Accountants in England and Wales (ICAEW) (2024) </w:t>
      </w:r>
      <w:r>
        <w:rPr>
          <w:i/>
          <w:iCs/>
          <w:lang w:val="en-GB"/>
        </w:rPr>
        <w:t>New IFRS Accounting Standard to aid analysis of financial performance</w:t>
      </w:r>
      <w:r>
        <w:rPr>
          <w:lang w:val="en-GB"/>
        </w:rPr>
        <w:t xml:space="preserve">. Available at: </w:t>
      </w:r>
      <w:r>
        <w:fldChar w:fldCharType="begin"/>
      </w:r>
      <w:r>
        <w:instrText xml:space="preserve"> HYPERLINK "https://www.icaew.com/technical/corporate-reporting/corporate-reporting-resources/by-all-accounts/articles/2024/new-ifrs-accounting-standard-to-aid-analysis-of-financial-performance" \t "_new" </w:instrText>
      </w:r>
      <w:r>
        <w:fldChar w:fldCharType="separate"/>
      </w:r>
      <w:r>
        <w:rPr>
          <w:rStyle w:val="24"/>
          <w:lang w:val="en-GB"/>
        </w:rPr>
        <w:t>https://www.icaew.com/technical/corporate-reporting/corporate-reporting-resources/by-all-accounts/articles/2024/new-ifrs-accounting-standard-to-aid-analysis-of-financial-performance</w:t>
      </w:r>
      <w:r>
        <w:rPr>
          <w:rStyle w:val="24"/>
          <w:lang w:val="en-GB"/>
        </w:rPr>
        <w:fldChar w:fldCharType="end"/>
      </w:r>
      <w:r>
        <w:rPr>
          <w:lang w:val="en-GB"/>
        </w:rPr>
        <w:t xml:space="preserve"> (Accessed: 9 January 2026).</w:t>
      </w:r>
    </w:p>
    <w:p w14:paraId="1D6829B9">
      <w:pPr>
        <w:widowControl/>
        <w:spacing w:line="360" w:lineRule="auto"/>
        <w:jc w:val="left"/>
        <w:rPr>
          <w:lang w:val="en-GB"/>
        </w:rPr>
      </w:pPr>
      <w:r>
        <w:rPr>
          <w:lang w:val="en-GB"/>
        </w:rPr>
        <w:t xml:space="preserve">Institute of Chartered Accountants in England and Wales (ICAEW) (n.d.) </w:t>
      </w:r>
      <w:r>
        <w:rPr>
          <w:i/>
          <w:iCs/>
          <w:lang w:val="en-GB"/>
        </w:rPr>
        <w:t>Carrying out investment appraisals</w:t>
      </w:r>
      <w:r>
        <w:rPr>
          <w:lang w:val="en-GB"/>
        </w:rPr>
        <w:t xml:space="preserve">. Available at: </w:t>
      </w:r>
      <w:r>
        <w:fldChar w:fldCharType="begin"/>
      </w:r>
      <w:r>
        <w:instrText xml:space="preserve"> HYPERLINK "https://www.icaew.com/technical/business/financial-management/carrying-out-investment-appraisals" \t "_new" </w:instrText>
      </w:r>
      <w:r>
        <w:fldChar w:fldCharType="separate"/>
      </w:r>
      <w:r>
        <w:rPr>
          <w:rStyle w:val="24"/>
          <w:lang w:val="en-GB"/>
        </w:rPr>
        <w:t>https://www.icaew.com/technical/business/financial-management/carrying-out-investment-appraisals</w:t>
      </w:r>
      <w:r>
        <w:rPr>
          <w:rStyle w:val="24"/>
          <w:lang w:val="en-GB"/>
        </w:rPr>
        <w:fldChar w:fldCharType="end"/>
      </w:r>
      <w:r>
        <w:rPr>
          <w:lang w:val="en-GB"/>
        </w:rPr>
        <w:t xml:space="preserve"> (Accessed: 26 December 2025).</w:t>
      </w:r>
    </w:p>
    <w:p w14:paraId="40155D26">
      <w:pPr>
        <w:widowControl/>
        <w:spacing w:line="360" w:lineRule="auto"/>
        <w:jc w:val="left"/>
        <w:rPr>
          <w:lang w:val="en-GB"/>
        </w:rPr>
      </w:pPr>
      <w:r>
        <w:rPr>
          <w:lang w:val="en-GB"/>
        </w:rPr>
        <w:t xml:space="preserve">Institute of Chartered Accountants in England and Wales (ICAEW) (n.d.) </w:t>
      </w:r>
      <w:r>
        <w:rPr>
          <w:i/>
          <w:iCs/>
          <w:lang w:val="en-GB"/>
        </w:rPr>
        <w:t>Investment appraisal</w:t>
      </w:r>
      <w:r>
        <w:rPr>
          <w:lang w:val="en-GB"/>
        </w:rPr>
        <w:t xml:space="preserve">. Available at: </w:t>
      </w:r>
      <w:r>
        <w:fldChar w:fldCharType="begin"/>
      </w:r>
      <w:r>
        <w:instrText xml:space="preserve"> HYPERLINK "https://www.icaew.com/technical/business/financial-management/investment-appraisal" \t "_new" </w:instrText>
      </w:r>
      <w:r>
        <w:fldChar w:fldCharType="separate"/>
      </w:r>
      <w:r>
        <w:rPr>
          <w:rStyle w:val="24"/>
          <w:lang w:val="en-GB"/>
        </w:rPr>
        <w:t>https://www.icaew.com/technical/business/financial-management/investment-appraisal</w:t>
      </w:r>
      <w:r>
        <w:rPr>
          <w:rStyle w:val="24"/>
          <w:lang w:val="en-GB"/>
        </w:rPr>
        <w:fldChar w:fldCharType="end"/>
      </w:r>
      <w:r>
        <w:rPr>
          <w:lang w:val="en-GB"/>
        </w:rPr>
        <w:t xml:space="preserve"> (Accessed: 10 January 2026).</w:t>
      </w:r>
    </w:p>
    <w:p w14:paraId="0EA34476">
      <w:pPr>
        <w:widowControl/>
        <w:spacing w:line="360" w:lineRule="auto"/>
        <w:jc w:val="left"/>
        <w:rPr>
          <w:lang w:val="en-GB"/>
        </w:rPr>
      </w:pPr>
      <w:r>
        <w:rPr>
          <w:lang w:val="en-GB"/>
        </w:rPr>
        <w:t xml:space="preserve">IFRS Foundation (2019) </w:t>
      </w:r>
      <w:r>
        <w:rPr>
          <w:i/>
          <w:iCs/>
          <w:lang w:val="en-GB"/>
        </w:rPr>
        <w:t>IFRS 16 Leases</w:t>
      </w:r>
      <w:r>
        <w:rPr>
          <w:lang w:val="en-GB"/>
        </w:rPr>
        <w:t xml:space="preserve">. Available at: </w:t>
      </w:r>
      <w:r>
        <w:fldChar w:fldCharType="begin"/>
      </w:r>
      <w:r>
        <w:instrText xml:space="preserve"> HYPERLINK "https://www.ifrs.org/issued-standards/list-of-standards/ifrs-16-leases/" \t "_new" </w:instrText>
      </w:r>
      <w:r>
        <w:fldChar w:fldCharType="separate"/>
      </w:r>
      <w:r>
        <w:rPr>
          <w:rStyle w:val="24"/>
          <w:lang w:val="en-GB"/>
        </w:rPr>
        <w:t>https://www.ifrs.org/issued-standards/list-of-standards/ifrs-16-leases/</w:t>
      </w:r>
      <w:r>
        <w:rPr>
          <w:rStyle w:val="24"/>
          <w:lang w:val="en-GB"/>
        </w:rPr>
        <w:fldChar w:fldCharType="end"/>
      </w:r>
      <w:r>
        <w:rPr>
          <w:lang w:val="en-GB"/>
        </w:rPr>
        <w:t xml:space="preserve"> (Accessed: 21 December 2025).</w:t>
      </w:r>
    </w:p>
    <w:p w14:paraId="28862B8D">
      <w:pPr>
        <w:widowControl/>
        <w:spacing w:line="360" w:lineRule="auto"/>
        <w:jc w:val="left"/>
        <w:rPr>
          <w:lang w:val="en-GB"/>
        </w:rPr>
      </w:pPr>
      <w:r>
        <w:rPr>
          <w:lang w:val="en-GB"/>
        </w:rPr>
        <w:t xml:space="preserve">IFRS Foundation (2025) </w:t>
      </w:r>
      <w:r>
        <w:rPr>
          <w:i/>
          <w:iCs/>
          <w:lang w:val="en-GB"/>
        </w:rPr>
        <w:t>IFRS 5 Non current assets held for sale and discontinued operations</w:t>
      </w:r>
      <w:r>
        <w:rPr>
          <w:lang w:val="en-GB"/>
        </w:rPr>
        <w:t xml:space="preserve">. Available at: </w:t>
      </w:r>
      <w:r>
        <w:fldChar w:fldCharType="begin"/>
      </w:r>
      <w:r>
        <w:instrText xml:space="preserve"> HYPERLINK "https://www.ifrs.org/issued-standards/list-of-standards/ifrs-5-non-current-assets-held-for-sale-and-discontinued-operations/" \t "_new" </w:instrText>
      </w:r>
      <w:r>
        <w:fldChar w:fldCharType="separate"/>
      </w:r>
      <w:r>
        <w:rPr>
          <w:rStyle w:val="24"/>
          <w:lang w:val="en-GB"/>
        </w:rPr>
        <w:t>https://www.ifrs.org/issued-standards/list-of-standards/ifrs-5-non-current-assets-held-for-sale-and-discontinued-operations/</w:t>
      </w:r>
      <w:r>
        <w:rPr>
          <w:rStyle w:val="24"/>
          <w:lang w:val="en-GB"/>
        </w:rPr>
        <w:fldChar w:fldCharType="end"/>
      </w:r>
      <w:r>
        <w:rPr>
          <w:lang w:val="en-GB"/>
        </w:rPr>
        <w:t xml:space="preserve"> (Accessed: 2 January 2026).</w:t>
      </w:r>
    </w:p>
    <w:p w14:paraId="3E417B0B">
      <w:pPr>
        <w:widowControl/>
        <w:spacing w:line="360" w:lineRule="auto"/>
        <w:jc w:val="left"/>
        <w:rPr>
          <w:lang w:val="en-GB"/>
        </w:rPr>
      </w:pPr>
      <w:r>
        <w:rPr>
          <w:lang w:val="en-GB"/>
        </w:rPr>
        <w:t xml:space="preserve">International Organization for Standardization (ISO) (2018) </w:t>
      </w:r>
      <w:r>
        <w:rPr>
          <w:i/>
          <w:iCs/>
          <w:lang w:val="en-GB"/>
        </w:rPr>
        <w:t>ISO 31000:2018 Risk management: Guidelines</w:t>
      </w:r>
      <w:r>
        <w:rPr>
          <w:lang w:val="en-GB"/>
        </w:rPr>
        <w:t xml:space="preserve">. Geneva: ISO. Available at: </w:t>
      </w:r>
      <w:r>
        <w:fldChar w:fldCharType="begin"/>
      </w:r>
      <w:r>
        <w:instrText xml:space="preserve"> HYPERLINK "https://www.iso.org/standard/65694.html" \t "_new" </w:instrText>
      </w:r>
      <w:r>
        <w:fldChar w:fldCharType="separate"/>
      </w:r>
      <w:r>
        <w:rPr>
          <w:rStyle w:val="24"/>
          <w:lang w:val="en-GB"/>
        </w:rPr>
        <w:t>https://www.iso.org/standard/65694.html</w:t>
      </w:r>
      <w:r>
        <w:rPr>
          <w:rStyle w:val="24"/>
          <w:lang w:val="en-GB"/>
        </w:rPr>
        <w:fldChar w:fldCharType="end"/>
      </w:r>
      <w:r>
        <w:rPr>
          <w:lang w:val="en-GB"/>
        </w:rPr>
        <w:t xml:space="preserve"> (Accessed: 17 December 2025).</w:t>
      </w:r>
    </w:p>
    <w:p w14:paraId="711A1F06">
      <w:pPr>
        <w:widowControl/>
        <w:spacing w:line="360" w:lineRule="auto"/>
        <w:jc w:val="left"/>
        <w:rPr>
          <w:lang w:val="en-GB"/>
        </w:rPr>
      </w:pPr>
      <w:r>
        <w:rPr>
          <w:lang w:val="en-GB"/>
        </w:rPr>
        <w:t xml:space="preserve">Kantar (2025) </w:t>
      </w:r>
      <w:r>
        <w:rPr>
          <w:i/>
          <w:iCs/>
          <w:lang w:val="en-GB"/>
        </w:rPr>
        <w:t>Grocery price rises slow as retailers roll out festive deals</w:t>
      </w:r>
      <w:r>
        <w:rPr>
          <w:lang w:val="en-GB"/>
        </w:rPr>
        <w:t xml:space="preserve">. Available at: </w:t>
      </w:r>
      <w:r>
        <w:fldChar w:fldCharType="begin"/>
      </w:r>
      <w:r>
        <w:instrText xml:space="preserve"> HYPERLINK "https://www.kantar.com/uki/inspiration/fmcg/2025-wp-grocery-price-rises-slow-as-retailers-roll-out-festive-deals" \t "_new" </w:instrText>
      </w:r>
      <w:r>
        <w:fldChar w:fldCharType="separate"/>
      </w:r>
      <w:r>
        <w:rPr>
          <w:rStyle w:val="24"/>
          <w:lang w:val="en-GB"/>
        </w:rPr>
        <w:t>https://www.kantar.com/uki/inspiration/fmcg/2025-wp-grocery-price-rises-slow-as-retailers-roll-out-festive-deals</w:t>
      </w:r>
      <w:r>
        <w:rPr>
          <w:rStyle w:val="24"/>
          <w:lang w:val="en-GB"/>
        </w:rPr>
        <w:fldChar w:fldCharType="end"/>
      </w:r>
      <w:r>
        <w:rPr>
          <w:lang w:val="en-GB"/>
        </w:rPr>
        <w:t xml:space="preserve"> (Accessed: 24 December 2025).</w:t>
      </w:r>
    </w:p>
    <w:p w14:paraId="122514B4">
      <w:pPr>
        <w:widowControl/>
        <w:spacing w:line="360" w:lineRule="auto"/>
        <w:jc w:val="left"/>
        <w:rPr>
          <w:lang w:val="en-GB"/>
        </w:rPr>
      </w:pPr>
      <w:r>
        <w:rPr>
          <w:lang w:val="en-GB"/>
        </w:rPr>
        <w:t xml:space="preserve">Koller, T., Goedhart, M. and Wessels, D. (2025) </w:t>
      </w:r>
      <w:r>
        <w:rPr>
          <w:i/>
          <w:iCs/>
          <w:lang w:val="en-GB"/>
        </w:rPr>
        <w:t>Valuation: Measuring and Managing the Value of Companies (University Edition)</w:t>
      </w:r>
      <w:r>
        <w:rPr>
          <w:lang w:val="en-GB"/>
        </w:rPr>
        <w:t xml:space="preserve">. 8th edn. Hoboken, NJ: John Wiley and Sons. Available at: </w:t>
      </w:r>
      <w:r>
        <w:fldChar w:fldCharType="begin"/>
      </w:r>
      <w:r>
        <w:instrText xml:space="preserve"> HYPERLINK "https://www.amazon.co.uk/Valuation-Measuring-Managing-Companies-University/dp/1394279477" \t "_new" </w:instrText>
      </w:r>
      <w:r>
        <w:fldChar w:fldCharType="separate"/>
      </w:r>
      <w:r>
        <w:rPr>
          <w:rStyle w:val="24"/>
          <w:lang w:val="en-GB"/>
        </w:rPr>
        <w:t>https://www.amazon.co.uk/Valuation-Measuring-Managing-Companies-University/dp/1394279477</w:t>
      </w:r>
      <w:r>
        <w:rPr>
          <w:rStyle w:val="24"/>
          <w:lang w:val="en-GB"/>
        </w:rPr>
        <w:fldChar w:fldCharType="end"/>
      </w:r>
      <w:r>
        <w:rPr>
          <w:lang w:val="en-GB"/>
        </w:rPr>
        <w:t xml:space="preserve"> (Accessed: 6 January 2026).</w:t>
      </w:r>
    </w:p>
    <w:p w14:paraId="33980A0B">
      <w:pPr>
        <w:widowControl/>
        <w:spacing w:line="360" w:lineRule="auto"/>
        <w:jc w:val="left"/>
        <w:rPr>
          <w:lang w:val="en-GB"/>
        </w:rPr>
      </w:pPr>
      <w:r>
        <w:rPr>
          <w:lang w:val="en-GB"/>
        </w:rPr>
        <w:t xml:space="preserve">Lopes, A.I. and Penela, D. (2024) The impact of IFRS 16 on lessees financial information: A single industry study, </w:t>
      </w:r>
      <w:r>
        <w:rPr>
          <w:i/>
          <w:iCs/>
          <w:lang w:val="en-GB"/>
        </w:rPr>
        <w:t>Advances in Accounting</w:t>
      </w:r>
      <w:r>
        <w:rPr>
          <w:lang w:val="en-GB"/>
        </w:rPr>
        <w:t xml:space="preserve">, 100803. </w:t>
      </w:r>
    </w:p>
    <w:p w14:paraId="6AC61ADD">
      <w:pPr>
        <w:widowControl/>
        <w:spacing w:line="360" w:lineRule="auto"/>
        <w:jc w:val="left"/>
        <w:rPr>
          <w:lang w:val="en-GB"/>
        </w:rPr>
      </w:pPr>
      <w:r>
        <w:rPr>
          <w:lang w:val="en-GB"/>
        </w:rPr>
        <w:t xml:space="preserve">Office for National Statistics (2024) </w:t>
      </w:r>
      <w:r>
        <w:rPr>
          <w:i/>
          <w:iCs/>
          <w:lang w:val="en-GB"/>
        </w:rPr>
        <w:t>Cost of living insights: Food</w:t>
      </w:r>
      <w:r>
        <w:rPr>
          <w:lang w:val="en-GB"/>
        </w:rPr>
        <w:t xml:space="preserve">. Available at: </w:t>
      </w:r>
      <w:r>
        <w:fldChar w:fldCharType="begin"/>
      </w:r>
      <w:r>
        <w:instrText xml:space="preserve"> HYPERLINK "https://www.ons.gov.uk/economy/inflationandpriceindices/articles/costoflivinginsights/food" \t "_new" </w:instrText>
      </w:r>
      <w:r>
        <w:fldChar w:fldCharType="separate"/>
      </w:r>
      <w:r>
        <w:rPr>
          <w:rStyle w:val="24"/>
          <w:lang w:val="en-GB"/>
        </w:rPr>
        <w:t>https://www.ons.gov.uk/economy/inflationandpriceindices/articles/costoflivinginsights/food</w:t>
      </w:r>
      <w:r>
        <w:rPr>
          <w:rStyle w:val="24"/>
          <w:lang w:val="en-GB"/>
        </w:rPr>
        <w:fldChar w:fldCharType="end"/>
      </w:r>
      <w:r>
        <w:rPr>
          <w:lang w:val="en-GB"/>
        </w:rPr>
        <w:t xml:space="preserve"> (Accessed: 15 December 2025).</w:t>
      </w:r>
    </w:p>
    <w:p w14:paraId="4D018C71">
      <w:pPr>
        <w:widowControl/>
        <w:spacing w:line="360" w:lineRule="auto"/>
        <w:jc w:val="left"/>
        <w:rPr>
          <w:lang w:val="en-GB"/>
        </w:rPr>
      </w:pPr>
      <w:r>
        <w:rPr>
          <w:lang w:val="en-GB"/>
        </w:rPr>
        <w:t xml:space="preserve">PwC (2024) </w:t>
      </w:r>
      <w:r>
        <w:rPr>
          <w:i/>
          <w:iCs/>
          <w:lang w:val="en-GB"/>
        </w:rPr>
        <w:t>Retail Outlook 2024</w:t>
      </w:r>
      <w:r>
        <w:rPr>
          <w:lang w:val="en-GB"/>
        </w:rPr>
        <w:t xml:space="preserve">. Available at: </w:t>
      </w:r>
      <w:r>
        <w:fldChar w:fldCharType="begin"/>
      </w:r>
      <w:r>
        <w:instrText xml:space="preserve"> HYPERLINK "https://www.pwc.co.uk/industries/retail-consumer/insights/retail-outlook-2024.html" \t "_new" </w:instrText>
      </w:r>
      <w:r>
        <w:fldChar w:fldCharType="separate"/>
      </w:r>
      <w:r>
        <w:rPr>
          <w:rStyle w:val="24"/>
          <w:lang w:val="en-GB"/>
        </w:rPr>
        <w:t>https://www.pwc.co.uk/industries/retail-consumer/insights/retail-outlook-2024.html</w:t>
      </w:r>
      <w:r>
        <w:rPr>
          <w:rStyle w:val="24"/>
          <w:lang w:val="en-GB"/>
        </w:rPr>
        <w:fldChar w:fldCharType="end"/>
      </w:r>
      <w:r>
        <w:rPr>
          <w:lang w:val="en-GB"/>
        </w:rPr>
        <w:t xml:space="preserve"> (Accessed: 31 December 2025).</w:t>
      </w:r>
    </w:p>
    <w:p w14:paraId="4F75A424">
      <w:pPr>
        <w:widowControl/>
        <w:spacing w:line="360" w:lineRule="auto"/>
        <w:jc w:val="left"/>
        <w:rPr>
          <w:lang w:val="en-GB"/>
        </w:rPr>
      </w:pPr>
      <w:r>
        <w:rPr>
          <w:lang w:val="en-GB"/>
        </w:rPr>
        <w:t xml:space="preserve">Tesco PLC (2024) </w:t>
      </w:r>
      <w:r>
        <w:rPr>
          <w:i/>
          <w:iCs/>
          <w:lang w:val="en-GB"/>
        </w:rPr>
        <w:t>Annual Report 2024</w:t>
      </w:r>
      <w:r>
        <w:rPr>
          <w:lang w:val="en-GB"/>
        </w:rPr>
        <w:t xml:space="preserve">. Available at: </w:t>
      </w:r>
      <w:r>
        <w:fldChar w:fldCharType="begin"/>
      </w:r>
      <w:r>
        <w:instrText xml:space="preserve"> HYPERLINK "https://www.tescoplc.com/investors/reports-results-and-presentations/annual-report-2024" \t "_new" </w:instrText>
      </w:r>
      <w:r>
        <w:fldChar w:fldCharType="separate"/>
      </w:r>
      <w:r>
        <w:rPr>
          <w:rStyle w:val="24"/>
          <w:lang w:val="en-GB"/>
        </w:rPr>
        <w:t>https://www.tescoplc.com/investors/reports-results-and-presentations/annual-report-2024</w:t>
      </w:r>
      <w:r>
        <w:rPr>
          <w:rStyle w:val="24"/>
          <w:lang w:val="en-GB"/>
        </w:rPr>
        <w:fldChar w:fldCharType="end"/>
      </w:r>
      <w:r>
        <w:rPr>
          <w:lang w:val="en-GB"/>
        </w:rPr>
        <w:t xml:space="preserve"> (Accessed: 23 December 2025).</w:t>
      </w:r>
    </w:p>
    <w:p w14:paraId="6F26D1CA">
      <w:pPr>
        <w:widowControl/>
        <w:spacing w:line="360" w:lineRule="auto"/>
        <w:jc w:val="left"/>
        <w:rPr>
          <w:lang w:val="en-GB"/>
        </w:rPr>
      </w:pPr>
      <w:r>
        <w:rPr>
          <w:lang w:val="en-GB"/>
        </w:rPr>
        <w:t xml:space="preserve">Tesco PLC (2025) </w:t>
      </w:r>
      <w:r>
        <w:rPr>
          <w:i/>
          <w:iCs/>
          <w:lang w:val="en-GB"/>
        </w:rPr>
        <w:t>Annual Report and Financial Statements 2025</w:t>
      </w:r>
      <w:r>
        <w:rPr>
          <w:lang w:val="en-GB"/>
        </w:rPr>
        <w:t xml:space="preserve">. Available at: </w:t>
      </w:r>
      <w:r>
        <w:fldChar w:fldCharType="begin"/>
      </w:r>
      <w:r>
        <w:instrText xml:space="preserve"> HYPERLINK "https://www.tescoplc.com/media/ky0bfwpo/tesco_ar25_interactive.pdf" \t "_new" </w:instrText>
      </w:r>
      <w:r>
        <w:fldChar w:fldCharType="separate"/>
      </w:r>
      <w:r>
        <w:rPr>
          <w:rStyle w:val="24"/>
          <w:lang w:val="en-GB"/>
        </w:rPr>
        <w:t>https://www.tescoplc.com/media/ky0bfwpo/tesco_ar25_interactive.pdf</w:t>
      </w:r>
      <w:r>
        <w:rPr>
          <w:rStyle w:val="24"/>
          <w:lang w:val="en-GB"/>
        </w:rPr>
        <w:fldChar w:fldCharType="end"/>
      </w:r>
      <w:r>
        <w:rPr>
          <w:lang w:val="en-GB"/>
        </w:rPr>
        <w:t xml:space="preserve"> (Accessed: 3 January 2026).</w:t>
      </w:r>
    </w:p>
    <w:p w14:paraId="542E2499">
      <w:pPr>
        <w:widowControl/>
        <w:jc w:val="left"/>
        <w:rPr>
          <w:lang w:val="en-GB"/>
        </w:rPr>
      </w:pPr>
      <w:r>
        <w:rPr>
          <w:lang w:val="en-GB"/>
        </w:rPr>
        <w:br w:type="page"/>
      </w:r>
    </w:p>
    <w:p w14:paraId="159D2C1E">
      <w:pPr>
        <w:spacing w:line="360" w:lineRule="auto"/>
        <w:contextualSpacing/>
        <w:outlineLvl w:val="0"/>
        <w:rPr>
          <w:b/>
          <w:bCs/>
          <w:sz w:val="28"/>
          <w:szCs w:val="22"/>
          <w:lang w:val="en-GB"/>
        </w:rPr>
      </w:pPr>
      <w:bookmarkStart w:id="20" w:name="_Toc218355811"/>
      <w:r>
        <w:rPr>
          <w:b/>
          <w:bCs/>
          <w:sz w:val="28"/>
          <w:szCs w:val="22"/>
          <w:lang w:val="en-GB"/>
        </w:rPr>
        <w:t>A</w:t>
      </w:r>
      <w:r>
        <w:rPr>
          <w:rFonts w:hint="eastAsia"/>
          <w:b/>
          <w:bCs/>
          <w:sz w:val="28"/>
          <w:szCs w:val="22"/>
          <w:lang w:val="en-GB"/>
        </w:rPr>
        <w:t>ppendix</w:t>
      </w:r>
      <w:bookmarkEnd w:id="20"/>
      <w:r>
        <w:rPr>
          <w:rFonts w:hint="eastAsia"/>
          <w:b/>
          <w:bCs/>
          <w:sz w:val="28"/>
          <w:szCs w:val="22"/>
          <w:lang w:val="en-GB"/>
        </w:rPr>
        <w:t xml:space="preserve">s </w:t>
      </w:r>
    </w:p>
    <w:p w14:paraId="6B1D096F">
      <w:pPr>
        <w:spacing w:line="360" w:lineRule="auto"/>
        <w:contextualSpacing/>
        <w:rPr>
          <w:b/>
          <w:bCs/>
          <w:lang w:val="en-GB"/>
        </w:rPr>
      </w:pPr>
      <w:r>
        <w:rPr>
          <w:b/>
          <w:bCs/>
          <w:lang w:val="en-GB"/>
        </w:rPr>
        <w:t>Profitability</w:t>
      </w:r>
    </w:p>
    <w:p w14:paraId="53FFE26E">
      <w:pPr>
        <w:spacing w:line="360" w:lineRule="auto"/>
        <w:contextualSpacing/>
        <w:rPr>
          <w:lang w:val="en-GB"/>
        </w:rPr>
      </w:pPr>
      <w:r>
        <w:rPr>
          <w:b/>
          <w:bCs/>
          <w:lang w:val="en-GB"/>
        </w:rPr>
        <w:t>Gross profit %</w:t>
      </w:r>
    </w:p>
    <w:p w14:paraId="1A9E8096">
      <w:pPr>
        <w:numPr>
          <w:ilvl w:val="0"/>
          <w:numId w:val="2"/>
        </w:numPr>
        <w:spacing w:line="360" w:lineRule="auto"/>
        <w:contextualSpacing/>
        <w:rPr>
          <w:lang w:val="en-GB"/>
        </w:rPr>
      </w:pPr>
      <w:r>
        <w:rPr>
          <w:lang w:val="en-GB"/>
        </w:rPr>
        <w:t xml:space="preserve">2025 = 5,051 / 69,916 × 100 = </w:t>
      </w:r>
      <w:r>
        <w:rPr>
          <w:b/>
          <w:bCs/>
          <w:lang w:val="en-GB"/>
        </w:rPr>
        <w:t>7.22%</w:t>
      </w:r>
    </w:p>
    <w:p w14:paraId="4DB7C02D">
      <w:pPr>
        <w:numPr>
          <w:ilvl w:val="0"/>
          <w:numId w:val="2"/>
        </w:numPr>
        <w:spacing w:line="360" w:lineRule="auto"/>
        <w:contextualSpacing/>
        <w:rPr>
          <w:lang w:val="en-GB"/>
        </w:rPr>
      </w:pPr>
      <w:r>
        <w:rPr>
          <w:lang w:val="en-GB"/>
        </w:rPr>
        <w:t xml:space="preserve">2024 = 4,849 / 68,187 × 100 = </w:t>
      </w:r>
      <w:r>
        <w:rPr>
          <w:b/>
          <w:bCs/>
          <w:lang w:val="en-GB"/>
        </w:rPr>
        <w:t>7.11%</w:t>
      </w:r>
    </w:p>
    <w:p w14:paraId="1D545558">
      <w:pPr>
        <w:spacing w:line="360" w:lineRule="auto"/>
        <w:contextualSpacing/>
        <w:rPr>
          <w:lang w:val="en-GB"/>
        </w:rPr>
      </w:pPr>
      <w:r>
        <w:rPr>
          <w:b/>
          <w:bCs/>
          <w:lang w:val="en-GB"/>
        </w:rPr>
        <w:t>Operating profit %</w:t>
      </w:r>
    </w:p>
    <w:p w14:paraId="475AC006">
      <w:pPr>
        <w:numPr>
          <w:ilvl w:val="0"/>
          <w:numId w:val="3"/>
        </w:numPr>
        <w:spacing w:line="360" w:lineRule="auto"/>
        <w:contextualSpacing/>
        <w:rPr>
          <w:lang w:val="en-GB"/>
        </w:rPr>
      </w:pPr>
      <w:r>
        <w:rPr>
          <w:lang w:val="en-GB"/>
        </w:rPr>
        <w:t xml:space="preserve">2025 = 2,711 / 69,916 × 100 = </w:t>
      </w:r>
      <w:r>
        <w:rPr>
          <w:b/>
          <w:bCs/>
          <w:lang w:val="en-GB"/>
        </w:rPr>
        <w:t>3.88%</w:t>
      </w:r>
    </w:p>
    <w:p w14:paraId="7F8582B6">
      <w:pPr>
        <w:numPr>
          <w:ilvl w:val="0"/>
          <w:numId w:val="3"/>
        </w:numPr>
        <w:spacing w:line="360" w:lineRule="auto"/>
        <w:contextualSpacing/>
        <w:rPr>
          <w:lang w:val="en-GB"/>
        </w:rPr>
      </w:pPr>
      <w:r>
        <w:rPr>
          <w:lang w:val="en-GB"/>
        </w:rPr>
        <w:t xml:space="preserve">2024 = 2,821 / 68,187 × 100 = </w:t>
      </w:r>
      <w:r>
        <w:rPr>
          <w:b/>
          <w:bCs/>
          <w:lang w:val="en-GB"/>
        </w:rPr>
        <w:t>4.14%</w:t>
      </w:r>
    </w:p>
    <w:p w14:paraId="3FF48CD5">
      <w:pPr>
        <w:spacing w:line="360" w:lineRule="auto"/>
        <w:contextualSpacing/>
        <w:rPr>
          <w:lang w:val="en-GB"/>
        </w:rPr>
      </w:pPr>
      <w:r>
        <w:rPr>
          <w:b/>
          <w:bCs/>
          <w:lang w:val="en-GB"/>
        </w:rPr>
        <w:t>Net profit %</w:t>
      </w:r>
    </w:p>
    <w:p w14:paraId="23CBA604">
      <w:pPr>
        <w:numPr>
          <w:ilvl w:val="0"/>
          <w:numId w:val="4"/>
        </w:numPr>
        <w:spacing w:line="360" w:lineRule="auto"/>
        <w:contextualSpacing/>
        <w:rPr>
          <w:lang w:val="en-GB"/>
        </w:rPr>
      </w:pPr>
      <w:r>
        <w:rPr>
          <w:lang w:val="en-GB"/>
        </w:rPr>
        <w:t xml:space="preserve">2025 = 1,630 / 69,916 × 100 = </w:t>
      </w:r>
      <w:r>
        <w:rPr>
          <w:b/>
          <w:bCs/>
          <w:lang w:val="en-GB"/>
        </w:rPr>
        <w:t>2.33%</w:t>
      </w:r>
    </w:p>
    <w:p w14:paraId="56ACAABD">
      <w:pPr>
        <w:numPr>
          <w:ilvl w:val="0"/>
          <w:numId w:val="4"/>
        </w:numPr>
        <w:spacing w:line="360" w:lineRule="auto"/>
        <w:contextualSpacing/>
        <w:rPr>
          <w:lang w:val="en-GB"/>
        </w:rPr>
      </w:pPr>
      <w:r>
        <w:rPr>
          <w:lang w:val="en-GB"/>
        </w:rPr>
        <w:t xml:space="preserve">2024 = 1,192 / 68,187 × 100 = </w:t>
      </w:r>
      <w:r>
        <w:rPr>
          <w:b/>
          <w:bCs/>
          <w:lang w:val="en-GB"/>
        </w:rPr>
        <w:t>1.75%</w:t>
      </w:r>
    </w:p>
    <w:p w14:paraId="391EF2D9">
      <w:pPr>
        <w:spacing w:line="360" w:lineRule="auto"/>
        <w:contextualSpacing/>
        <w:rPr>
          <w:lang w:val="en-GB"/>
        </w:rPr>
      </w:pPr>
      <w:r>
        <w:rPr>
          <w:b/>
          <w:bCs/>
          <w:lang w:val="en-GB"/>
        </w:rPr>
        <w:t>ROCE</w:t>
      </w:r>
    </w:p>
    <w:p w14:paraId="73572EAB">
      <w:pPr>
        <w:numPr>
          <w:ilvl w:val="0"/>
          <w:numId w:val="5"/>
        </w:numPr>
        <w:spacing w:line="360" w:lineRule="auto"/>
        <w:contextualSpacing/>
        <w:rPr>
          <w:lang w:val="en-GB"/>
        </w:rPr>
      </w:pPr>
      <w:r>
        <w:rPr>
          <w:lang w:val="en-GB"/>
        </w:rPr>
        <w:t>2025 Capital employed = 38,890 − 13,820 = 25,070</w:t>
      </w:r>
      <w:r>
        <w:rPr>
          <w:lang w:val="en-GB"/>
        </w:rPr>
        <w:br w:type="textWrapping"/>
      </w:r>
      <w:r>
        <w:rPr>
          <w:lang w:val="en-GB"/>
        </w:rPr>
        <w:t xml:space="preserve">ROCE = 2,711 / 25,070 × 100 = </w:t>
      </w:r>
      <w:r>
        <w:rPr>
          <w:b/>
          <w:bCs/>
          <w:lang w:val="en-GB"/>
        </w:rPr>
        <w:t>10.81%</w:t>
      </w:r>
    </w:p>
    <w:p w14:paraId="72A64D08">
      <w:pPr>
        <w:numPr>
          <w:ilvl w:val="0"/>
          <w:numId w:val="5"/>
        </w:numPr>
        <w:spacing w:line="360" w:lineRule="auto"/>
        <w:contextualSpacing/>
        <w:rPr>
          <w:lang w:val="en-GB"/>
        </w:rPr>
      </w:pPr>
      <w:r>
        <w:rPr>
          <w:lang w:val="en-GB"/>
        </w:rPr>
        <w:t>2024 Capital employed = 47,039 − 20,472 = 26,567</w:t>
      </w:r>
      <w:r>
        <w:rPr>
          <w:lang w:val="en-GB"/>
        </w:rPr>
        <w:br w:type="textWrapping"/>
      </w:r>
      <w:r>
        <w:rPr>
          <w:lang w:val="en-GB"/>
        </w:rPr>
        <w:t xml:space="preserve">ROCE = 2,821 / 26,567 × 100 = </w:t>
      </w:r>
      <w:r>
        <w:rPr>
          <w:b/>
          <w:bCs/>
          <w:lang w:val="en-GB"/>
        </w:rPr>
        <w:t>10.62%</w:t>
      </w:r>
    </w:p>
    <w:p w14:paraId="70E60FEF">
      <w:pPr>
        <w:spacing w:line="360" w:lineRule="auto"/>
        <w:contextualSpacing/>
        <w:rPr>
          <w:lang w:val="en-GB"/>
        </w:rPr>
      </w:pPr>
      <w:r>
        <w:rPr>
          <w:b/>
          <w:bCs/>
          <w:lang w:val="en-GB"/>
        </w:rPr>
        <w:t>ROE</w:t>
      </w:r>
    </w:p>
    <w:p w14:paraId="44FE308C">
      <w:pPr>
        <w:numPr>
          <w:ilvl w:val="0"/>
          <w:numId w:val="6"/>
        </w:numPr>
        <w:spacing w:line="360" w:lineRule="auto"/>
        <w:contextualSpacing/>
        <w:rPr>
          <w:lang w:val="en-GB"/>
        </w:rPr>
      </w:pPr>
      <w:r>
        <w:rPr>
          <w:lang w:val="en-GB"/>
        </w:rPr>
        <w:t xml:space="preserve">2025 = 1,630 / 11,666 × 100 = </w:t>
      </w:r>
      <w:r>
        <w:rPr>
          <w:b/>
          <w:bCs/>
          <w:lang w:val="en-GB"/>
        </w:rPr>
        <w:t>13.97%</w:t>
      </w:r>
    </w:p>
    <w:p w14:paraId="669933EA">
      <w:pPr>
        <w:numPr>
          <w:ilvl w:val="0"/>
          <w:numId w:val="6"/>
        </w:numPr>
        <w:spacing w:line="360" w:lineRule="auto"/>
        <w:contextualSpacing/>
        <w:rPr>
          <w:lang w:val="en-GB"/>
        </w:rPr>
      </w:pPr>
      <w:r>
        <w:rPr>
          <w:lang w:val="en-GB"/>
        </w:rPr>
        <w:t xml:space="preserve">2024 = 1,192 / 11,671 × 100 = </w:t>
      </w:r>
      <w:r>
        <w:rPr>
          <w:b/>
          <w:bCs/>
          <w:lang w:val="en-GB"/>
        </w:rPr>
        <w:t>10.21%</w:t>
      </w:r>
    </w:p>
    <w:p w14:paraId="1E6975AC">
      <w:pPr>
        <w:spacing w:line="360" w:lineRule="auto"/>
        <w:contextualSpacing/>
        <w:rPr>
          <w:b/>
          <w:bCs/>
          <w:lang w:val="en-GB"/>
        </w:rPr>
      </w:pPr>
      <w:r>
        <w:rPr>
          <w:b/>
          <w:bCs/>
          <w:lang w:val="en-GB"/>
        </w:rPr>
        <w:t>Liquidity</w:t>
      </w:r>
    </w:p>
    <w:p w14:paraId="4ED3FCE8">
      <w:pPr>
        <w:spacing w:line="360" w:lineRule="auto"/>
        <w:contextualSpacing/>
        <w:rPr>
          <w:lang w:val="en-GB"/>
        </w:rPr>
      </w:pPr>
      <w:r>
        <w:rPr>
          <w:b/>
          <w:bCs/>
          <w:lang w:val="en-GB"/>
        </w:rPr>
        <w:t>Current ratio</w:t>
      </w:r>
    </w:p>
    <w:p w14:paraId="359A3DAD">
      <w:pPr>
        <w:numPr>
          <w:ilvl w:val="0"/>
          <w:numId w:val="7"/>
        </w:numPr>
        <w:spacing w:line="360" w:lineRule="auto"/>
        <w:contextualSpacing/>
        <w:rPr>
          <w:lang w:val="en-GB"/>
        </w:rPr>
      </w:pPr>
      <w:r>
        <w:rPr>
          <w:lang w:val="en-GB"/>
        </w:rPr>
        <w:t xml:space="preserve">2025 = 8,856 / 13,820 = </w:t>
      </w:r>
      <w:r>
        <w:rPr>
          <w:b/>
          <w:bCs/>
          <w:lang w:val="en-GB"/>
        </w:rPr>
        <w:t>0.64</w:t>
      </w:r>
    </w:p>
    <w:p w14:paraId="793CF72D">
      <w:pPr>
        <w:numPr>
          <w:ilvl w:val="0"/>
          <w:numId w:val="7"/>
        </w:numPr>
        <w:spacing w:line="360" w:lineRule="auto"/>
        <w:contextualSpacing/>
        <w:rPr>
          <w:lang w:val="en-GB"/>
        </w:rPr>
      </w:pPr>
      <w:r>
        <w:rPr>
          <w:lang w:val="en-GB"/>
        </w:rPr>
        <w:t xml:space="preserve">2024 = 16,606 / 20,472 = </w:t>
      </w:r>
      <w:r>
        <w:rPr>
          <w:b/>
          <w:bCs/>
          <w:lang w:val="en-GB"/>
        </w:rPr>
        <w:t>0.81</w:t>
      </w:r>
    </w:p>
    <w:p w14:paraId="32E377AE">
      <w:pPr>
        <w:spacing w:line="360" w:lineRule="auto"/>
        <w:contextualSpacing/>
        <w:rPr>
          <w:lang w:val="en-GB"/>
        </w:rPr>
      </w:pPr>
      <w:r>
        <w:rPr>
          <w:b/>
          <w:bCs/>
          <w:lang w:val="en-GB"/>
        </w:rPr>
        <w:t>Quick ratio</w:t>
      </w:r>
    </w:p>
    <w:p w14:paraId="5B730B47">
      <w:pPr>
        <w:numPr>
          <w:ilvl w:val="0"/>
          <w:numId w:val="8"/>
        </w:numPr>
        <w:spacing w:line="360" w:lineRule="auto"/>
        <w:contextualSpacing/>
        <w:rPr>
          <w:lang w:val="en-GB"/>
        </w:rPr>
      </w:pPr>
      <w:r>
        <w:rPr>
          <w:lang w:val="en-GB"/>
        </w:rPr>
        <w:t xml:space="preserve">2025 = (8,856 − 2,768) / 13,820 = 6,088 / 13,820 = </w:t>
      </w:r>
      <w:r>
        <w:rPr>
          <w:b/>
          <w:bCs/>
          <w:lang w:val="en-GB"/>
        </w:rPr>
        <w:t>0.44</w:t>
      </w:r>
    </w:p>
    <w:p w14:paraId="67847E0E">
      <w:pPr>
        <w:numPr>
          <w:ilvl w:val="0"/>
          <w:numId w:val="8"/>
        </w:numPr>
        <w:spacing w:line="360" w:lineRule="auto"/>
        <w:contextualSpacing/>
        <w:rPr>
          <w:lang w:val="en-GB"/>
        </w:rPr>
      </w:pPr>
      <w:r>
        <w:rPr>
          <w:lang w:val="en-GB"/>
        </w:rPr>
        <w:t xml:space="preserve">2024 = (16,606 − 2,635) / 20,472 = 13,971 / 20,472 = </w:t>
      </w:r>
      <w:r>
        <w:rPr>
          <w:b/>
          <w:bCs/>
          <w:lang w:val="en-GB"/>
        </w:rPr>
        <w:t>0.68</w:t>
      </w:r>
    </w:p>
    <w:p w14:paraId="60E4C211">
      <w:pPr>
        <w:spacing w:line="360" w:lineRule="auto"/>
        <w:contextualSpacing/>
        <w:rPr>
          <w:b/>
          <w:bCs/>
          <w:lang w:val="en-GB"/>
        </w:rPr>
      </w:pPr>
      <w:r>
        <w:rPr>
          <w:b/>
          <w:bCs/>
          <w:lang w:val="en-GB"/>
        </w:rPr>
        <w:t>Efficiency</w:t>
      </w:r>
    </w:p>
    <w:p w14:paraId="42F5DDFE">
      <w:pPr>
        <w:spacing w:line="360" w:lineRule="auto"/>
        <w:contextualSpacing/>
        <w:rPr>
          <w:lang w:val="en-GB"/>
        </w:rPr>
      </w:pPr>
      <w:r>
        <w:rPr>
          <w:b/>
          <w:bCs/>
          <w:lang w:val="en-GB"/>
        </w:rPr>
        <w:t>Inventory days</w:t>
      </w:r>
    </w:p>
    <w:p w14:paraId="6D522E9D">
      <w:pPr>
        <w:numPr>
          <w:ilvl w:val="0"/>
          <w:numId w:val="9"/>
        </w:numPr>
        <w:spacing w:line="360" w:lineRule="auto"/>
        <w:contextualSpacing/>
        <w:rPr>
          <w:lang w:val="en-GB"/>
        </w:rPr>
      </w:pPr>
      <w:r>
        <w:rPr>
          <w:lang w:val="en-GB"/>
        </w:rPr>
        <w:t xml:space="preserve">2025 = 2,768 × 365 / 64,205 = </w:t>
      </w:r>
      <w:r>
        <w:rPr>
          <w:b/>
          <w:bCs/>
          <w:lang w:val="en-GB"/>
        </w:rPr>
        <w:t>15.74</w:t>
      </w:r>
    </w:p>
    <w:p w14:paraId="04D338F8">
      <w:pPr>
        <w:numPr>
          <w:ilvl w:val="0"/>
          <w:numId w:val="9"/>
        </w:numPr>
        <w:spacing w:line="360" w:lineRule="auto"/>
        <w:contextualSpacing/>
        <w:rPr>
          <w:lang w:val="en-GB"/>
        </w:rPr>
      </w:pPr>
      <w:r>
        <w:rPr>
          <w:lang w:val="en-GB"/>
        </w:rPr>
        <w:t xml:space="preserve">2024 = 2,635 × 365 / 62,836 = </w:t>
      </w:r>
      <w:r>
        <w:rPr>
          <w:b/>
          <w:bCs/>
          <w:lang w:val="en-GB"/>
        </w:rPr>
        <w:t>15.31</w:t>
      </w:r>
    </w:p>
    <w:p w14:paraId="363D465B">
      <w:pPr>
        <w:spacing w:line="360" w:lineRule="auto"/>
        <w:contextualSpacing/>
        <w:rPr>
          <w:lang w:val="en-GB"/>
        </w:rPr>
      </w:pPr>
      <w:r>
        <w:rPr>
          <w:b/>
          <w:bCs/>
          <w:lang w:val="en-GB"/>
        </w:rPr>
        <w:t>Receivable days</w:t>
      </w:r>
    </w:p>
    <w:p w14:paraId="67C0D6BD">
      <w:pPr>
        <w:numPr>
          <w:ilvl w:val="0"/>
          <w:numId w:val="10"/>
        </w:numPr>
        <w:spacing w:line="360" w:lineRule="auto"/>
        <w:contextualSpacing/>
        <w:rPr>
          <w:lang w:val="en-GB"/>
        </w:rPr>
      </w:pPr>
      <w:r>
        <w:rPr>
          <w:lang w:val="en-GB"/>
        </w:rPr>
        <w:t xml:space="preserve">2025 = 1,368 × 365 / 69,916 = </w:t>
      </w:r>
      <w:r>
        <w:rPr>
          <w:b/>
          <w:bCs/>
          <w:lang w:val="en-GB"/>
        </w:rPr>
        <w:t>7.14</w:t>
      </w:r>
    </w:p>
    <w:p w14:paraId="6BFB0E03">
      <w:pPr>
        <w:numPr>
          <w:ilvl w:val="0"/>
          <w:numId w:val="10"/>
        </w:numPr>
        <w:spacing w:line="360" w:lineRule="auto"/>
        <w:contextualSpacing/>
        <w:rPr>
          <w:lang w:val="en-GB"/>
        </w:rPr>
      </w:pPr>
      <w:r>
        <w:rPr>
          <w:lang w:val="en-GB"/>
        </w:rPr>
        <w:t xml:space="preserve">2024 = 1,385 × 365 / 68,187 = </w:t>
      </w:r>
      <w:r>
        <w:rPr>
          <w:b/>
          <w:bCs/>
          <w:lang w:val="en-GB"/>
        </w:rPr>
        <w:t>7.41</w:t>
      </w:r>
    </w:p>
    <w:p w14:paraId="195584E0">
      <w:pPr>
        <w:spacing w:line="360" w:lineRule="auto"/>
        <w:contextualSpacing/>
        <w:rPr>
          <w:lang w:val="en-GB"/>
        </w:rPr>
      </w:pPr>
      <w:r>
        <w:rPr>
          <w:b/>
          <w:bCs/>
          <w:lang w:val="en-GB"/>
        </w:rPr>
        <w:t>Payable days</w:t>
      </w:r>
    </w:p>
    <w:p w14:paraId="00D73B8D">
      <w:pPr>
        <w:numPr>
          <w:ilvl w:val="0"/>
          <w:numId w:val="11"/>
        </w:numPr>
        <w:spacing w:line="360" w:lineRule="auto"/>
        <w:contextualSpacing/>
        <w:rPr>
          <w:lang w:val="en-GB"/>
        </w:rPr>
      </w:pPr>
      <w:r>
        <w:rPr>
          <w:lang w:val="en-GB"/>
        </w:rPr>
        <w:t xml:space="preserve">2025 = 10,404 × 365 / 64,205 = </w:t>
      </w:r>
      <w:r>
        <w:rPr>
          <w:b/>
          <w:bCs/>
          <w:lang w:val="en-GB"/>
        </w:rPr>
        <w:t>59.15</w:t>
      </w:r>
    </w:p>
    <w:p w14:paraId="5C145036">
      <w:pPr>
        <w:numPr>
          <w:ilvl w:val="0"/>
          <w:numId w:val="11"/>
        </w:numPr>
        <w:spacing w:line="360" w:lineRule="auto"/>
        <w:contextualSpacing/>
        <w:rPr>
          <w:lang w:val="en-GB"/>
        </w:rPr>
      </w:pPr>
      <w:r>
        <w:rPr>
          <w:lang w:val="en-GB"/>
        </w:rPr>
        <w:t xml:space="preserve">2024 = 10,303 × 365 / 62,836 = </w:t>
      </w:r>
      <w:r>
        <w:rPr>
          <w:b/>
          <w:bCs/>
          <w:lang w:val="en-GB"/>
        </w:rPr>
        <w:t>59.85</w:t>
      </w:r>
    </w:p>
    <w:p w14:paraId="1256061B">
      <w:pPr>
        <w:spacing w:line="360" w:lineRule="auto"/>
        <w:contextualSpacing/>
        <w:rPr>
          <w:b/>
          <w:bCs/>
          <w:lang w:val="en-GB"/>
        </w:rPr>
      </w:pPr>
      <w:r>
        <w:rPr>
          <w:b/>
          <w:bCs/>
          <w:lang w:val="en-GB"/>
        </w:rPr>
        <w:t>Gearing</w:t>
      </w:r>
    </w:p>
    <w:p w14:paraId="0934FAA0">
      <w:pPr>
        <w:spacing w:line="360" w:lineRule="auto"/>
        <w:contextualSpacing/>
        <w:rPr>
          <w:lang w:val="en-GB"/>
        </w:rPr>
      </w:pPr>
      <w:r>
        <w:rPr>
          <w:b/>
          <w:bCs/>
          <w:lang w:val="en-GB"/>
        </w:rPr>
        <w:t>Gearing（Debt/Equity）</w:t>
      </w:r>
    </w:p>
    <w:p w14:paraId="507F842C">
      <w:pPr>
        <w:numPr>
          <w:ilvl w:val="0"/>
          <w:numId w:val="12"/>
        </w:numPr>
        <w:spacing w:line="360" w:lineRule="auto"/>
        <w:contextualSpacing/>
        <w:rPr>
          <w:lang w:val="en-GB"/>
        </w:rPr>
      </w:pPr>
      <w:r>
        <w:rPr>
          <w:lang w:val="en-GB"/>
        </w:rPr>
        <w:t xml:space="preserve">2025 = 5,089 / 11,662 × 100 = </w:t>
      </w:r>
      <w:r>
        <w:rPr>
          <w:b/>
          <w:bCs/>
          <w:lang w:val="en-GB"/>
        </w:rPr>
        <w:t>43.64%</w:t>
      </w:r>
    </w:p>
    <w:p w14:paraId="46FE60BA">
      <w:pPr>
        <w:numPr>
          <w:ilvl w:val="0"/>
          <w:numId w:val="12"/>
        </w:numPr>
        <w:spacing w:line="360" w:lineRule="auto"/>
        <w:contextualSpacing/>
        <w:rPr>
          <w:lang w:val="en-GB"/>
        </w:rPr>
      </w:pPr>
      <w:r>
        <w:rPr>
          <w:lang w:val="en-GB"/>
        </w:rPr>
        <w:t xml:space="preserve">2024 = 5,683 / 11,665 × 100 = </w:t>
      </w:r>
      <w:r>
        <w:rPr>
          <w:b/>
          <w:bCs/>
          <w:lang w:val="en-GB"/>
        </w:rPr>
        <w:t>48.72%</w:t>
      </w:r>
    </w:p>
    <w:p w14:paraId="27D1AA1F">
      <w:pPr>
        <w:spacing w:line="360" w:lineRule="auto"/>
        <w:contextualSpacing/>
        <w:rPr>
          <w:lang w:val="en-GB"/>
        </w:rPr>
      </w:pPr>
      <w:r>
        <w:rPr>
          <w:b/>
          <w:bCs/>
          <w:lang w:val="en-GB"/>
        </w:rPr>
        <w:t>Gearing（Debt/(Debt+Equity)</w:t>
      </w:r>
    </w:p>
    <w:p w14:paraId="317825FA">
      <w:pPr>
        <w:numPr>
          <w:ilvl w:val="0"/>
          <w:numId w:val="13"/>
        </w:numPr>
        <w:spacing w:line="360" w:lineRule="auto"/>
        <w:contextualSpacing/>
        <w:rPr>
          <w:lang w:val="en-GB"/>
        </w:rPr>
      </w:pPr>
      <w:r>
        <w:rPr>
          <w:lang w:val="en-GB"/>
        </w:rPr>
        <w:t xml:space="preserve">2025 = 5,089 / (5,089 + 11,662) × 100 = </w:t>
      </w:r>
      <w:r>
        <w:rPr>
          <w:b/>
          <w:bCs/>
          <w:lang w:val="en-GB"/>
        </w:rPr>
        <w:t>30.38%</w:t>
      </w:r>
    </w:p>
    <w:p w14:paraId="6955C2EE">
      <w:pPr>
        <w:numPr>
          <w:ilvl w:val="0"/>
          <w:numId w:val="13"/>
        </w:numPr>
        <w:spacing w:line="360" w:lineRule="auto"/>
        <w:contextualSpacing/>
        <w:rPr>
          <w:lang w:val="en-GB"/>
        </w:rPr>
      </w:pPr>
      <w:r>
        <w:rPr>
          <w:lang w:val="en-GB"/>
        </w:rPr>
        <w:t xml:space="preserve">2024 = 5,683 / (5,683 + 11,665) × 100 = </w:t>
      </w:r>
      <w:r>
        <w:rPr>
          <w:b/>
          <w:bCs/>
          <w:lang w:val="en-GB"/>
        </w:rPr>
        <w:t>32.76%</w:t>
      </w:r>
    </w:p>
    <w:p w14:paraId="1A241FDF">
      <w:pPr>
        <w:spacing w:line="360" w:lineRule="auto"/>
        <w:contextualSpacing/>
        <w:rPr>
          <w:lang w:val="en-GB"/>
        </w:rPr>
      </w:pPr>
      <w:r>
        <w:rPr>
          <w:b/>
          <w:bCs/>
          <w:lang w:val="en-GB"/>
        </w:rPr>
        <w:t>Interest cover</w:t>
      </w:r>
    </w:p>
    <w:p w14:paraId="76E767B4">
      <w:pPr>
        <w:numPr>
          <w:ilvl w:val="0"/>
          <w:numId w:val="14"/>
        </w:numPr>
        <w:spacing w:line="360" w:lineRule="auto"/>
        <w:contextualSpacing/>
        <w:rPr>
          <w:lang w:val="en-GB"/>
        </w:rPr>
      </w:pPr>
      <w:r>
        <w:rPr>
          <w:lang w:val="en-GB"/>
        </w:rPr>
        <w:t xml:space="preserve">2025 = 2,711 / 746 = </w:t>
      </w:r>
      <w:r>
        <w:rPr>
          <w:b/>
          <w:bCs/>
          <w:lang w:val="en-GB"/>
        </w:rPr>
        <w:t>3.63x</w:t>
      </w:r>
    </w:p>
    <w:p w14:paraId="26825F5A">
      <w:pPr>
        <w:numPr>
          <w:ilvl w:val="0"/>
          <w:numId w:val="14"/>
        </w:numPr>
        <w:spacing w:line="360" w:lineRule="auto"/>
        <w:contextualSpacing/>
        <w:rPr>
          <w:lang w:val="en-GB"/>
        </w:rPr>
      </w:pPr>
      <w:r>
        <w:rPr>
          <w:lang w:val="en-GB"/>
        </w:rPr>
        <w:t xml:space="preserve">2024 = 2,821 / 805 = </w:t>
      </w:r>
      <w:r>
        <w:rPr>
          <w:b/>
          <w:bCs/>
          <w:lang w:val="en-GB"/>
        </w:rPr>
        <w:t>3.50x</w:t>
      </w:r>
    </w:p>
    <w:p w14:paraId="7290B604">
      <w:pPr>
        <w:spacing w:line="360" w:lineRule="auto"/>
        <w:contextualSpacing/>
        <w:rPr>
          <w:b/>
          <w:bCs/>
          <w:lang w:val="en-GB"/>
        </w:rPr>
      </w:pPr>
      <w:r>
        <w:rPr>
          <w:b/>
          <w:bCs/>
          <w:lang w:val="en-GB"/>
        </w:rPr>
        <w:t>Asset turnover</w:t>
      </w:r>
    </w:p>
    <w:p w14:paraId="34A3ABBE">
      <w:pPr>
        <w:numPr>
          <w:ilvl w:val="0"/>
          <w:numId w:val="15"/>
        </w:numPr>
        <w:spacing w:line="360" w:lineRule="auto"/>
        <w:contextualSpacing/>
        <w:rPr>
          <w:lang w:val="en-GB"/>
        </w:rPr>
      </w:pPr>
      <w:r>
        <w:rPr>
          <w:lang w:val="en-GB"/>
        </w:rPr>
        <w:t xml:space="preserve">2025 = 69,916 / 25,070 = </w:t>
      </w:r>
      <w:r>
        <w:rPr>
          <w:b/>
          <w:bCs/>
          <w:lang w:val="en-GB"/>
        </w:rPr>
        <w:t>2.79x</w:t>
      </w:r>
    </w:p>
    <w:p w14:paraId="06006E45">
      <w:pPr>
        <w:numPr>
          <w:ilvl w:val="0"/>
          <w:numId w:val="15"/>
        </w:numPr>
        <w:spacing w:line="360" w:lineRule="auto"/>
        <w:contextualSpacing/>
        <w:rPr>
          <w:lang w:val="en-GB"/>
        </w:rPr>
      </w:pPr>
      <w:r>
        <w:rPr>
          <w:lang w:val="en-GB"/>
        </w:rPr>
        <w:t xml:space="preserve">2024 = 68,187 / 26,567 = </w:t>
      </w:r>
      <w:r>
        <w:rPr>
          <w:b/>
          <w:bCs/>
          <w:lang w:val="en-GB"/>
        </w:rPr>
        <w:t>2.57x</w:t>
      </w:r>
    </w:p>
    <w:p w14:paraId="2EFF4B71">
      <w:pPr>
        <w:spacing w:line="360" w:lineRule="auto"/>
        <w:contextualSpacing/>
        <w:rPr>
          <w:lang w:val="en-GB"/>
        </w:rPr>
      </w:pPr>
    </w:p>
    <w:p w14:paraId="519D7407">
      <w:pPr>
        <w:spacing w:line="360" w:lineRule="auto"/>
        <w:contextualSpacing/>
        <w:rPr>
          <w:lang w:val="en-GB"/>
        </w:rPr>
      </w:pPr>
    </w:p>
    <w:p w14:paraId="7538230A">
      <w:pPr>
        <w:spacing w:line="360" w:lineRule="auto"/>
        <w:contextualSpacing/>
        <w:rPr>
          <w:lang w:val="en-GB"/>
        </w:rPr>
      </w:pPr>
      <w:r>
        <w:drawing>
          <wp:inline distT="0" distB="0" distL="0" distR="0">
            <wp:extent cx="5274310" cy="3415030"/>
            <wp:effectExtent l="0" t="0" r="2540" b="0"/>
            <wp:docPr id="1839742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742474" name="Picture 1"/>
                    <pic:cNvPicPr>
                      <a:picLocks noChangeAspect="1"/>
                    </pic:cNvPicPr>
                  </pic:nvPicPr>
                  <pic:blipFill>
                    <a:blip r:embed="rId6"/>
                    <a:stretch>
                      <a:fillRect/>
                    </a:stretch>
                  </pic:blipFill>
                  <pic:spPr>
                    <a:xfrm>
                      <a:off x="0" y="0"/>
                      <a:ext cx="5274310" cy="3415030"/>
                    </a:xfrm>
                    <a:prstGeom prst="rect">
                      <a:avLst/>
                    </a:prstGeom>
                  </pic:spPr>
                </pic:pic>
              </a:graphicData>
            </a:graphic>
          </wp:inline>
        </w:drawing>
      </w:r>
      <w:r>
        <w:t xml:space="preserve"> </w:t>
      </w:r>
      <w:r>
        <w:drawing>
          <wp:inline distT="0" distB="0" distL="0" distR="0">
            <wp:extent cx="5274310" cy="3016250"/>
            <wp:effectExtent l="0" t="0" r="2540" b="0"/>
            <wp:docPr id="2112882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82765" name="Picture 1"/>
                    <pic:cNvPicPr>
                      <a:picLocks noChangeAspect="1"/>
                    </pic:cNvPicPr>
                  </pic:nvPicPr>
                  <pic:blipFill>
                    <a:blip r:embed="rId7"/>
                    <a:stretch>
                      <a:fillRect/>
                    </a:stretch>
                  </pic:blipFill>
                  <pic:spPr>
                    <a:xfrm>
                      <a:off x="0" y="0"/>
                      <a:ext cx="5274310" cy="3016250"/>
                    </a:xfrm>
                    <a:prstGeom prst="rect">
                      <a:avLst/>
                    </a:prstGeom>
                  </pic:spPr>
                </pic:pic>
              </a:graphicData>
            </a:graphic>
          </wp:inline>
        </w:drawing>
      </w:r>
      <w:r>
        <w:t xml:space="preserve"> </w:t>
      </w:r>
      <w:r>
        <w:drawing>
          <wp:inline distT="0" distB="0" distL="0" distR="0">
            <wp:extent cx="5274310" cy="3318510"/>
            <wp:effectExtent l="0" t="0" r="2540" b="0"/>
            <wp:docPr id="473448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448553" name="Picture 1"/>
                    <pic:cNvPicPr>
                      <a:picLocks noChangeAspect="1"/>
                    </pic:cNvPicPr>
                  </pic:nvPicPr>
                  <pic:blipFill>
                    <a:blip r:embed="rId8"/>
                    <a:stretch>
                      <a:fillRect/>
                    </a:stretch>
                  </pic:blipFill>
                  <pic:spPr>
                    <a:xfrm>
                      <a:off x="0" y="0"/>
                      <a:ext cx="5274310" cy="3318510"/>
                    </a:xfrm>
                    <a:prstGeom prst="rect">
                      <a:avLst/>
                    </a:prstGeom>
                  </pic:spPr>
                </pic:pic>
              </a:graphicData>
            </a:graphic>
          </wp:inline>
        </w:drawing>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汉仪书宋二KW">
    <w:panose1 w:val="00020600040101010101"/>
    <w:charset w:val="86"/>
    <w:family w:val="auto"/>
    <w:pitch w:val="default"/>
    <w:sig w:usb0="A00002BF" w:usb1="18EF7CFA" w:usb2="00000016" w:usb3="00000000" w:csb0="0004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等线 Light">
    <w:altName w:val="汉仪中等线KW"/>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21633E7"/>
    <w:multiLevelType w:val="multilevel"/>
    <w:tmpl w:val="021633E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0255228C"/>
    <w:multiLevelType w:val="multilevel"/>
    <w:tmpl w:val="0255228C"/>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05EE3535"/>
    <w:multiLevelType w:val="multilevel"/>
    <w:tmpl w:val="05EE353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3">
    <w:nsid w:val="07CB143C"/>
    <w:multiLevelType w:val="multilevel"/>
    <w:tmpl w:val="07CB143C"/>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4">
    <w:nsid w:val="206C0797"/>
    <w:multiLevelType w:val="multilevel"/>
    <w:tmpl w:val="206C079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5">
    <w:nsid w:val="211E2CC6"/>
    <w:multiLevelType w:val="multilevel"/>
    <w:tmpl w:val="211E2CC6"/>
    <w:lvl w:ilvl="0" w:tentative="0">
      <w:start w:val="1"/>
      <w:numFmt w:val="chineseCounting"/>
      <w:pStyle w:val="2"/>
      <w:suff w:val="space"/>
      <w:lvlText w:val="第%1节"/>
      <w:lvlJc w:val="left"/>
      <w:pPr>
        <w:ind w:left="0" w:firstLine="0"/>
      </w:pPr>
      <w:rPr>
        <w:rFonts w:hint="eastAsia" w:ascii="黑体" w:hAnsi="黑体" w:eastAsia="黑体"/>
        <w:b w:val="0"/>
        <w:i w:val="0"/>
        <w:sz w:val="32"/>
      </w:rPr>
    </w:lvl>
    <w:lvl w:ilvl="1" w:tentative="0">
      <w:start w:val="1"/>
      <w:numFmt w:val="chineseCounting"/>
      <w:pStyle w:val="4"/>
      <w:suff w:val="nothing"/>
      <w:lvlText w:val="%2、"/>
      <w:lvlJc w:val="left"/>
      <w:pPr>
        <w:ind w:left="0" w:firstLine="0"/>
      </w:pPr>
      <w:rPr>
        <w:rFonts w:hint="default"/>
        <w:b w:val="0"/>
        <w:i w:val="0"/>
        <w:sz w:val="28"/>
      </w:rPr>
    </w:lvl>
    <w:lvl w:ilvl="2" w:tentative="0">
      <w:start w:val="1"/>
      <w:numFmt w:val="chineseCounting"/>
      <w:pStyle w:val="5"/>
      <w:suff w:val="nothing"/>
      <w:lvlText w:val="（%3）"/>
      <w:lvlJc w:val="left"/>
      <w:pPr>
        <w:ind w:left="0" w:firstLine="0"/>
      </w:pPr>
      <w:rPr>
        <w:rFonts w:hint="default" w:ascii="Times New Roman" w:hAnsi="Times New Roman" w:cs="Times New Roman"/>
        <w:b w:val="0"/>
        <w:bCs w:val="0"/>
        <w:i w:val="0"/>
        <w:iCs w:val="0"/>
        <w:caps w:val="0"/>
        <w:smallCaps w:val="0"/>
        <w:strike w:val="0"/>
        <w:dstrike w:val="0"/>
        <w:outline w:val="0"/>
        <w:shadow w:val="0"/>
        <w:emboss w:val="0"/>
        <w:imprint w:val="0"/>
        <w:vanish w:val="0"/>
        <w:spacing w:val="0"/>
        <w:position w:val="0"/>
        <w:sz w:val="24"/>
        <w:u w:val="none"/>
        <w:vertAlign w:val="baseline"/>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props3d w14:extrusionH="0" w14:contourW="0" w14:prstMaterial="none"/>
        <w14:scene3d>
          <w14:lightRig w14:rig="threePt" w14:dir="t">
            <w14:rot w14:lat="0" w14:lon="0" w14:rev="0"/>
          </w14:lightRig>
        </w14:scene3d>
        <w14:ligatures w14:val="none"/>
        <w14:numForm w14:val="default"/>
        <w14:numSpacing w14:val="default"/>
        <w14:cntxtalts w14:val="0"/>
      </w:rPr>
    </w:lvl>
    <w:lvl w:ilvl="3" w:tentative="0">
      <w:start w:val="1"/>
      <w:numFmt w:val="decimal"/>
      <w:pStyle w:val="6"/>
      <w:suff w:val="nothing"/>
      <w:lvlText w:val="%4、"/>
      <w:lvlJc w:val="left"/>
      <w:pPr>
        <w:ind w:left="0" w:firstLine="0"/>
      </w:pPr>
      <w:rPr>
        <w:rFonts w:hint="default" w:ascii="Times New Roman" w:hAnsi="Times New Roman" w:cs="Times New Roman"/>
        <w:b/>
        <w:i w:val="0"/>
        <w:sz w:val="24"/>
      </w:rPr>
    </w:lvl>
    <w:lvl w:ilvl="4" w:tentative="0">
      <w:start w:val="1"/>
      <w:numFmt w:val="decimal"/>
      <w:pStyle w:val="7"/>
      <w:suff w:val="nothing"/>
      <w:lvlText w:val="（%5）"/>
      <w:lvlJc w:val="left"/>
      <w:pPr>
        <w:ind w:left="0" w:firstLine="0"/>
      </w:pPr>
      <w:rPr>
        <w:rFonts w:hint="default"/>
        <w:b w:val="0"/>
        <w:bCs w:val="0"/>
        <w:i w:val="0"/>
        <w:iCs w:val="0"/>
        <w:caps w:val="0"/>
        <w:smallCaps w:val="0"/>
        <w:strike w:val="0"/>
        <w:dstrike w:val="0"/>
        <w:outline w:val="0"/>
        <w:shadow w:val="0"/>
        <w:emboss w:val="0"/>
        <w:imprint w:val="0"/>
        <w:vanish w:val="0"/>
        <w:spacing w:val="0"/>
        <w:position w:val="0"/>
        <w:sz w:val="24"/>
        <w:u w:val="none"/>
        <w:vertAlign w:val="baseline"/>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props3d w14:extrusionH="0" w14:contourW="0" w14:prstMaterial="none"/>
        <w14:scene3d>
          <w14:lightRig w14:rig="threePt" w14:dir="t">
            <w14:rot w14:lat="0" w14:lon="0" w14:rev="0"/>
          </w14:lightRig>
        </w14:scene3d>
        <w14:ligatures w14:val="none"/>
        <w14:numForm w14:val="default"/>
        <w14:numSpacing w14:val="default"/>
        <w14:cntxtalts w14:val="0"/>
      </w:rPr>
    </w:lvl>
    <w:lvl w:ilvl="5" w:tentative="0">
      <w:start w:val="1"/>
      <w:numFmt w:val="decimal"/>
      <w:pStyle w:val="8"/>
      <w:suff w:val="nothing"/>
      <w:lvlText w:val="%6）"/>
      <w:lvlJc w:val="left"/>
      <w:pPr>
        <w:ind w:left="0" w:firstLine="0"/>
      </w:pPr>
      <w:rPr>
        <w:rFonts w:hint="default" w:ascii="Times New Roman" w:hAnsi="Times New Roman" w:cs="Times New Roman"/>
        <w:b w:val="0"/>
        <w:i w:val="0"/>
        <w:sz w:val="24"/>
        <w:u w:val="none"/>
      </w:rPr>
    </w:lvl>
    <w:lvl w:ilvl="6" w:tentative="0">
      <w:start w:val="1"/>
      <w:numFmt w:val="decimalEnclosedCircle"/>
      <w:pStyle w:val="9"/>
      <w:suff w:val="nothing"/>
      <w:lvlText w:val="%7"/>
      <w:lvlJc w:val="left"/>
      <w:pPr>
        <w:ind w:left="0" w:firstLine="0"/>
      </w:pPr>
      <w:rPr>
        <w:rFonts w:hint="default" w:ascii="Times New Roman" w:hAnsi="Times New Roman" w:cs="Times New Roman"/>
        <w:b w:val="0"/>
        <w:i w:val="0"/>
        <w:sz w:val="24"/>
        <w:lang w:val="en-US"/>
      </w:rPr>
    </w:lvl>
    <w:lvl w:ilvl="7" w:tentative="0">
      <w:start w:val="1"/>
      <w:numFmt w:val="decimal"/>
      <w:lvlText w:val="%1.%2.%3.%4.%5.%6.%7.%8"/>
      <w:lvlJc w:val="left"/>
      <w:pPr>
        <w:ind w:left="4394" w:hanging="1418"/>
      </w:pPr>
      <w:rPr>
        <w:rFonts w:hint="eastAsia"/>
      </w:rPr>
    </w:lvl>
    <w:lvl w:ilvl="8" w:tentative="0">
      <w:start w:val="1"/>
      <w:numFmt w:val="decimal"/>
      <w:lvlText w:val="%1.%2.%3.%4.%5.%6.%7.%8.%9"/>
      <w:lvlJc w:val="left"/>
      <w:pPr>
        <w:ind w:left="5102" w:hanging="1700"/>
      </w:pPr>
      <w:rPr>
        <w:rFonts w:hint="eastAsia"/>
      </w:rPr>
    </w:lvl>
  </w:abstractNum>
  <w:abstractNum w:abstractNumId="6">
    <w:nsid w:val="36EB1E65"/>
    <w:multiLevelType w:val="multilevel"/>
    <w:tmpl w:val="36EB1E6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7">
    <w:nsid w:val="400419E8"/>
    <w:multiLevelType w:val="multilevel"/>
    <w:tmpl w:val="400419E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8">
    <w:nsid w:val="5EF3614B"/>
    <w:multiLevelType w:val="multilevel"/>
    <w:tmpl w:val="5EF3614B"/>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9">
    <w:nsid w:val="62C72D91"/>
    <w:multiLevelType w:val="multilevel"/>
    <w:tmpl w:val="62C72D9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0">
    <w:nsid w:val="6464225F"/>
    <w:multiLevelType w:val="multilevel"/>
    <w:tmpl w:val="6464225F"/>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1">
    <w:nsid w:val="65DF56A1"/>
    <w:multiLevelType w:val="multilevel"/>
    <w:tmpl w:val="65DF56A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2">
    <w:nsid w:val="71521A4E"/>
    <w:multiLevelType w:val="multilevel"/>
    <w:tmpl w:val="71521A4E"/>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3">
    <w:nsid w:val="791A1E98"/>
    <w:multiLevelType w:val="multilevel"/>
    <w:tmpl w:val="791A1E9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4">
    <w:nsid w:val="7B4257FD"/>
    <w:multiLevelType w:val="multilevel"/>
    <w:tmpl w:val="7B4257FD"/>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5"/>
  </w:num>
  <w:num w:numId="2">
    <w:abstractNumId w:val="12"/>
  </w:num>
  <w:num w:numId="3">
    <w:abstractNumId w:val="10"/>
  </w:num>
  <w:num w:numId="4">
    <w:abstractNumId w:val="1"/>
  </w:num>
  <w:num w:numId="5">
    <w:abstractNumId w:val="7"/>
  </w:num>
  <w:num w:numId="6">
    <w:abstractNumId w:val="11"/>
  </w:num>
  <w:num w:numId="7">
    <w:abstractNumId w:val="3"/>
  </w:num>
  <w:num w:numId="8">
    <w:abstractNumId w:val="6"/>
  </w:num>
  <w:num w:numId="9">
    <w:abstractNumId w:val="0"/>
  </w:num>
  <w:num w:numId="10">
    <w:abstractNumId w:val="14"/>
  </w:num>
  <w:num w:numId="11">
    <w:abstractNumId w:val="4"/>
  </w:num>
  <w:num w:numId="12">
    <w:abstractNumId w:val="2"/>
  </w:num>
  <w:num w:numId="13">
    <w:abstractNumId w:val="8"/>
  </w:num>
  <w:num w:numId="14">
    <w:abstractNumId w:val="13"/>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9"/>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39C5"/>
    <w:rsid w:val="00003434"/>
    <w:rsid w:val="0002084A"/>
    <w:rsid w:val="00036448"/>
    <w:rsid w:val="00041924"/>
    <w:rsid w:val="0005625F"/>
    <w:rsid w:val="00065638"/>
    <w:rsid w:val="00074818"/>
    <w:rsid w:val="00075A78"/>
    <w:rsid w:val="00084958"/>
    <w:rsid w:val="000866CD"/>
    <w:rsid w:val="00087737"/>
    <w:rsid w:val="000B39C5"/>
    <w:rsid w:val="000B52A6"/>
    <w:rsid w:val="000D1A48"/>
    <w:rsid w:val="000E0A9B"/>
    <w:rsid w:val="000F00D0"/>
    <w:rsid w:val="00113812"/>
    <w:rsid w:val="001161D9"/>
    <w:rsid w:val="00116F1D"/>
    <w:rsid w:val="00121EA6"/>
    <w:rsid w:val="00130732"/>
    <w:rsid w:val="001340E8"/>
    <w:rsid w:val="00141ED8"/>
    <w:rsid w:val="00157571"/>
    <w:rsid w:val="001C2304"/>
    <w:rsid w:val="001D2C73"/>
    <w:rsid w:val="001D37AA"/>
    <w:rsid w:val="00221BF8"/>
    <w:rsid w:val="00241AE9"/>
    <w:rsid w:val="00252422"/>
    <w:rsid w:val="00253EE1"/>
    <w:rsid w:val="00262261"/>
    <w:rsid w:val="00263407"/>
    <w:rsid w:val="0028136B"/>
    <w:rsid w:val="00283AE1"/>
    <w:rsid w:val="00285824"/>
    <w:rsid w:val="002A2063"/>
    <w:rsid w:val="002A7A8E"/>
    <w:rsid w:val="002A7F78"/>
    <w:rsid w:val="002B1C8B"/>
    <w:rsid w:val="002C0384"/>
    <w:rsid w:val="002E1AC0"/>
    <w:rsid w:val="00301862"/>
    <w:rsid w:val="0030207D"/>
    <w:rsid w:val="00306978"/>
    <w:rsid w:val="0031037B"/>
    <w:rsid w:val="00313C89"/>
    <w:rsid w:val="00320CFB"/>
    <w:rsid w:val="0032182D"/>
    <w:rsid w:val="00340763"/>
    <w:rsid w:val="00344F9C"/>
    <w:rsid w:val="00346BDF"/>
    <w:rsid w:val="00347DF0"/>
    <w:rsid w:val="00351392"/>
    <w:rsid w:val="00353012"/>
    <w:rsid w:val="00365F5D"/>
    <w:rsid w:val="0038063B"/>
    <w:rsid w:val="003A3A4D"/>
    <w:rsid w:val="003B624F"/>
    <w:rsid w:val="003B6FC2"/>
    <w:rsid w:val="003C0DEC"/>
    <w:rsid w:val="003C1E07"/>
    <w:rsid w:val="003C35C7"/>
    <w:rsid w:val="003C5EDD"/>
    <w:rsid w:val="003E2E84"/>
    <w:rsid w:val="003F3307"/>
    <w:rsid w:val="003F39C2"/>
    <w:rsid w:val="003F691B"/>
    <w:rsid w:val="0042019D"/>
    <w:rsid w:val="004366EA"/>
    <w:rsid w:val="00441EA5"/>
    <w:rsid w:val="00461BEF"/>
    <w:rsid w:val="00483DBE"/>
    <w:rsid w:val="004A09A3"/>
    <w:rsid w:val="004A3E27"/>
    <w:rsid w:val="004B1074"/>
    <w:rsid w:val="004B52B0"/>
    <w:rsid w:val="004D56C8"/>
    <w:rsid w:val="004D73FF"/>
    <w:rsid w:val="004F4AE7"/>
    <w:rsid w:val="00510AEF"/>
    <w:rsid w:val="0051232E"/>
    <w:rsid w:val="00514D83"/>
    <w:rsid w:val="00544407"/>
    <w:rsid w:val="00547573"/>
    <w:rsid w:val="00556977"/>
    <w:rsid w:val="00582F8F"/>
    <w:rsid w:val="0058418D"/>
    <w:rsid w:val="005A3212"/>
    <w:rsid w:val="005B25CF"/>
    <w:rsid w:val="005B27FF"/>
    <w:rsid w:val="005C06FD"/>
    <w:rsid w:val="005D1064"/>
    <w:rsid w:val="005D2F41"/>
    <w:rsid w:val="005D7001"/>
    <w:rsid w:val="005E7C15"/>
    <w:rsid w:val="00601C4E"/>
    <w:rsid w:val="0060243D"/>
    <w:rsid w:val="006055FA"/>
    <w:rsid w:val="00607CB7"/>
    <w:rsid w:val="00614719"/>
    <w:rsid w:val="00630214"/>
    <w:rsid w:val="00636360"/>
    <w:rsid w:val="00647AB5"/>
    <w:rsid w:val="00654281"/>
    <w:rsid w:val="00671642"/>
    <w:rsid w:val="00673ADE"/>
    <w:rsid w:val="00697D6A"/>
    <w:rsid w:val="006A3D53"/>
    <w:rsid w:val="006B2AAC"/>
    <w:rsid w:val="006B6478"/>
    <w:rsid w:val="006D093B"/>
    <w:rsid w:val="006D6815"/>
    <w:rsid w:val="006E15DD"/>
    <w:rsid w:val="00716387"/>
    <w:rsid w:val="00734BE6"/>
    <w:rsid w:val="0075351B"/>
    <w:rsid w:val="0076144B"/>
    <w:rsid w:val="007650DC"/>
    <w:rsid w:val="00773D19"/>
    <w:rsid w:val="00780D66"/>
    <w:rsid w:val="00782C02"/>
    <w:rsid w:val="00797315"/>
    <w:rsid w:val="007D36E9"/>
    <w:rsid w:val="007D6E41"/>
    <w:rsid w:val="007E1548"/>
    <w:rsid w:val="007E3E86"/>
    <w:rsid w:val="007F3296"/>
    <w:rsid w:val="0081071A"/>
    <w:rsid w:val="00812593"/>
    <w:rsid w:val="008132E7"/>
    <w:rsid w:val="008308A2"/>
    <w:rsid w:val="00831F24"/>
    <w:rsid w:val="0085062D"/>
    <w:rsid w:val="008640A5"/>
    <w:rsid w:val="00866732"/>
    <w:rsid w:val="008712C2"/>
    <w:rsid w:val="0088027A"/>
    <w:rsid w:val="0088215C"/>
    <w:rsid w:val="00884F91"/>
    <w:rsid w:val="00895C59"/>
    <w:rsid w:val="008E4294"/>
    <w:rsid w:val="008F6361"/>
    <w:rsid w:val="0090352B"/>
    <w:rsid w:val="00903C11"/>
    <w:rsid w:val="009109C5"/>
    <w:rsid w:val="00911B37"/>
    <w:rsid w:val="00914F4F"/>
    <w:rsid w:val="00922E69"/>
    <w:rsid w:val="00934D41"/>
    <w:rsid w:val="00935C8B"/>
    <w:rsid w:val="00960F14"/>
    <w:rsid w:val="00972FAD"/>
    <w:rsid w:val="00973026"/>
    <w:rsid w:val="009820A6"/>
    <w:rsid w:val="009A051F"/>
    <w:rsid w:val="009B5DEF"/>
    <w:rsid w:val="009B65D6"/>
    <w:rsid w:val="009B667D"/>
    <w:rsid w:val="009B7D80"/>
    <w:rsid w:val="009D1834"/>
    <w:rsid w:val="009D71E1"/>
    <w:rsid w:val="009E33F5"/>
    <w:rsid w:val="009E74FC"/>
    <w:rsid w:val="009F3182"/>
    <w:rsid w:val="00A0229E"/>
    <w:rsid w:val="00A10F3E"/>
    <w:rsid w:val="00A209A0"/>
    <w:rsid w:val="00A21B70"/>
    <w:rsid w:val="00A3142C"/>
    <w:rsid w:val="00A31D67"/>
    <w:rsid w:val="00A362F9"/>
    <w:rsid w:val="00A36504"/>
    <w:rsid w:val="00A5531A"/>
    <w:rsid w:val="00A730E8"/>
    <w:rsid w:val="00A73D06"/>
    <w:rsid w:val="00A81128"/>
    <w:rsid w:val="00A85F6F"/>
    <w:rsid w:val="00A92B0C"/>
    <w:rsid w:val="00A9664B"/>
    <w:rsid w:val="00A96E71"/>
    <w:rsid w:val="00AA47C9"/>
    <w:rsid w:val="00AB66D7"/>
    <w:rsid w:val="00AB78C1"/>
    <w:rsid w:val="00AC1637"/>
    <w:rsid w:val="00AC2DA3"/>
    <w:rsid w:val="00AC7233"/>
    <w:rsid w:val="00AC7502"/>
    <w:rsid w:val="00AD0821"/>
    <w:rsid w:val="00AF2045"/>
    <w:rsid w:val="00B05663"/>
    <w:rsid w:val="00B16710"/>
    <w:rsid w:val="00B27007"/>
    <w:rsid w:val="00B30954"/>
    <w:rsid w:val="00B45C73"/>
    <w:rsid w:val="00B51C96"/>
    <w:rsid w:val="00B776D2"/>
    <w:rsid w:val="00B82254"/>
    <w:rsid w:val="00B90824"/>
    <w:rsid w:val="00BA65E3"/>
    <w:rsid w:val="00BC2851"/>
    <w:rsid w:val="00BF02AE"/>
    <w:rsid w:val="00C04602"/>
    <w:rsid w:val="00C05E7E"/>
    <w:rsid w:val="00C1198B"/>
    <w:rsid w:val="00C17DB6"/>
    <w:rsid w:val="00C25474"/>
    <w:rsid w:val="00C31E43"/>
    <w:rsid w:val="00C33045"/>
    <w:rsid w:val="00C41742"/>
    <w:rsid w:val="00C4322A"/>
    <w:rsid w:val="00C504F7"/>
    <w:rsid w:val="00C51877"/>
    <w:rsid w:val="00C54068"/>
    <w:rsid w:val="00C641AC"/>
    <w:rsid w:val="00C75F43"/>
    <w:rsid w:val="00C7638F"/>
    <w:rsid w:val="00C865BD"/>
    <w:rsid w:val="00C9266D"/>
    <w:rsid w:val="00C94ED7"/>
    <w:rsid w:val="00C97EBD"/>
    <w:rsid w:val="00CA5081"/>
    <w:rsid w:val="00CB011E"/>
    <w:rsid w:val="00CB2601"/>
    <w:rsid w:val="00CE44A7"/>
    <w:rsid w:val="00CE58AA"/>
    <w:rsid w:val="00CF6BE0"/>
    <w:rsid w:val="00CF7E09"/>
    <w:rsid w:val="00D0340A"/>
    <w:rsid w:val="00D03BFF"/>
    <w:rsid w:val="00D11D28"/>
    <w:rsid w:val="00D151B9"/>
    <w:rsid w:val="00D2644F"/>
    <w:rsid w:val="00D318DD"/>
    <w:rsid w:val="00D50A29"/>
    <w:rsid w:val="00D513F4"/>
    <w:rsid w:val="00D64EA7"/>
    <w:rsid w:val="00D96BA1"/>
    <w:rsid w:val="00DA0CEA"/>
    <w:rsid w:val="00DA2385"/>
    <w:rsid w:val="00DB2C31"/>
    <w:rsid w:val="00DC5057"/>
    <w:rsid w:val="00DC5D00"/>
    <w:rsid w:val="00DD3A6C"/>
    <w:rsid w:val="00DD56CE"/>
    <w:rsid w:val="00DD7829"/>
    <w:rsid w:val="00DF44C1"/>
    <w:rsid w:val="00E04454"/>
    <w:rsid w:val="00E0761D"/>
    <w:rsid w:val="00E26158"/>
    <w:rsid w:val="00E3283D"/>
    <w:rsid w:val="00E44838"/>
    <w:rsid w:val="00E62D22"/>
    <w:rsid w:val="00E7035E"/>
    <w:rsid w:val="00E80272"/>
    <w:rsid w:val="00E811E6"/>
    <w:rsid w:val="00E852C4"/>
    <w:rsid w:val="00E85E9B"/>
    <w:rsid w:val="00E87B64"/>
    <w:rsid w:val="00E91B64"/>
    <w:rsid w:val="00E95950"/>
    <w:rsid w:val="00EA14F1"/>
    <w:rsid w:val="00EB3A40"/>
    <w:rsid w:val="00EB49FF"/>
    <w:rsid w:val="00EC5E36"/>
    <w:rsid w:val="00ED5B83"/>
    <w:rsid w:val="00EE0117"/>
    <w:rsid w:val="00EE522F"/>
    <w:rsid w:val="00EF249C"/>
    <w:rsid w:val="00EF67B7"/>
    <w:rsid w:val="00F03CE5"/>
    <w:rsid w:val="00F05EF2"/>
    <w:rsid w:val="00F1454F"/>
    <w:rsid w:val="00F22152"/>
    <w:rsid w:val="00F23340"/>
    <w:rsid w:val="00F24D6C"/>
    <w:rsid w:val="00F24FBB"/>
    <w:rsid w:val="00F3061A"/>
    <w:rsid w:val="00F310C3"/>
    <w:rsid w:val="00F419F9"/>
    <w:rsid w:val="00F6493D"/>
    <w:rsid w:val="00F67168"/>
    <w:rsid w:val="00F75F2B"/>
    <w:rsid w:val="00F763BF"/>
    <w:rsid w:val="00FA238B"/>
    <w:rsid w:val="00FA36D7"/>
    <w:rsid w:val="00FA5D2C"/>
    <w:rsid w:val="00FA61D7"/>
    <w:rsid w:val="00FB32FD"/>
    <w:rsid w:val="00FB6F56"/>
    <w:rsid w:val="00FC283B"/>
    <w:rsid w:val="00FC2ACB"/>
    <w:rsid w:val="00FD666B"/>
    <w:rsid w:val="00FE3A01"/>
    <w:rsid w:val="00FE6A72"/>
    <w:rsid w:val="00FE7BEF"/>
    <w:rsid w:val="7FBFF79B"/>
    <w:rsid w:val="D65F8B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1" w:semiHidden="0" w:name="heading 1"/>
    <w:lsdException w:qFormat="1" w:unhideWhenUsed="0" w:uiPriority="1" w:semiHidden="0" w:name="heading 2"/>
    <w:lsdException w:qFormat="1" w:unhideWhenUsed="0" w:uiPriority="1" w:semiHidden="0" w:name="heading 3"/>
    <w:lsdException w:qFormat="1" w:unhideWhenUsed="0" w:uiPriority="1" w:semiHidden="0" w:name="heading 4"/>
    <w:lsdException w:qFormat="1" w:unhideWhenUsed="0" w:uiPriority="1" w:semiHidden="0" w:name="heading 5"/>
    <w:lsdException w:qFormat="1" w:unhideWhenUsed="0" w:uiPriority="1" w:semiHidden="0" w:name="heading 6"/>
    <w:lsdException w:qFormat="1" w:uiPriority="2" w:semiHidden="0"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qFormat="1" w:unhideWhenUsed="0" w:uiPriority="0" w:semiHidden="0"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heme="minorBidi"/>
      <w:kern w:val="2"/>
      <w:sz w:val="24"/>
      <w:szCs w:val="21"/>
      <w:lang w:val="en-US" w:eastAsia="zh-CN" w:bidi="ar-SA"/>
    </w:rPr>
  </w:style>
  <w:style w:type="paragraph" w:styleId="2">
    <w:name w:val="heading 1"/>
    <w:next w:val="3"/>
    <w:link w:val="26"/>
    <w:autoRedefine/>
    <w:qFormat/>
    <w:uiPriority w:val="1"/>
    <w:pPr>
      <w:keepNext/>
      <w:keepLines/>
      <w:pageBreakBefore/>
      <w:numPr>
        <w:ilvl w:val="0"/>
        <w:numId w:val="1"/>
      </w:numPr>
      <w:spacing w:before="50" w:beforeLines="50" w:after="50" w:afterLines="50" w:line="360" w:lineRule="auto"/>
      <w:jc w:val="center"/>
      <w:outlineLvl w:val="0"/>
    </w:pPr>
    <w:rPr>
      <w:rFonts w:ascii="Times New Roman" w:hAnsi="Times New Roman" w:eastAsia="黑体" w:cs="Times New Roman"/>
      <w:bCs/>
      <w:kern w:val="0"/>
      <w:sz w:val="32"/>
      <w:szCs w:val="44"/>
      <w:lang w:val="en-US" w:eastAsia="zh-CN" w:bidi="ar-SA"/>
    </w:rPr>
  </w:style>
  <w:style w:type="paragraph" w:styleId="4">
    <w:name w:val="heading 2"/>
    <w:next w:val="3"/>
    <w:link w:val="27"/>
    <w:autoRedefine/>
    <w:qFormat/>
    <w:uiPriority w:val="1"/>
    <w:pPr>
      <w:keepNext/>
      <w:keepLines/>
      <w:numPr>
        <w:ilvl w:val="1"/>
        <w:numId w:val="1"/>
      </w:numPr>
      <w:spacing w:before="50" w:beforeLines="50" w:afterLines="50" w:line="360" w:lineRule="auto"/>
      <w:jc w:val="both"/>
      <w:outlineLvl w:val="1"/>
    </w:pPr>
    <w:rPr>
      <w:rFonts w:ascii="Times New Roman" w:hAnsi="Times New Roman" w:eastAsia="黑体" w:cs="Times New Roman"/>
      <w:bCs/>
      <w:kern w:val="2"/>
      <w:sz w:val="28"/>
      <w:szCs w:val="32"/>
      <w:lang w:val="en-US" w:eastAsia="zh-CN" w:bidi="ar-SA"/>
    </w:rPr>
  </w:style>
  <w:style w:type="paragraph" w:styleId="5">
    <w:name w:val="heading 3"/>
    <w:next w:val="3"/>
    <w:link w:val="28"/>
    <w:autoRedefine/>
    <w:qFormat/>
    <w:uiPriority w:val="1"/>
    <w:pPr>
      <w:keepNext/>
      <w:keepLines/>
      <w:numPr>
        <w:ilvl w:val="2"/>
        <w:numId w:val="1"/>
      </w:numPr>
      <w:spacing w:before="50" w:beforeLines="50" w:afterLines="50" w:line="360" w:lineRule="auto"/>
      <w:jc w:val="both"/>
      <w:outlineLvl w:val="2"/>
    </w:pPr>
    <w:rPr>
      <w:rFonts w:ascii="Times New Roman" w:hAnsi="Times New Roman" w:eastAsia="黑体" w:cs="Times New Roman"/>
      <w:bCs/>
      <w:color w:val="000000"/>
      <w:kern w:val="0"/>
      <w:sz w:val="24"/>
      <w:szCs w:val="24"/>
      <w:lang w:val="en-US" w:eastAsia="ar-SA" w:bidi="ar-SA"/>
    </w:rPr>
  </w:style>
  <w:style w:type="paragraph" w:styleId="6">
    <w:name w:val="heading 4"/>
    <w:next w:val="3"/>
    <w:link w:val="29"/>
    <w:autoRedefine/>
    <w:qFormat/>
    <w:uiPriority w:val="1"/>
    <w:pPr>
      <w:keepNext/>
      <w:keepLines/>
      <w:numPr>
        <w:ilvl w:val="3"/>
        <w:numId w:val="1"/>
      </w:numPr>
      <w:spacing w:before="50" w:beforeLines="50" w:after="50" w:afterLines="50" w:line="360" w:lineRule="auto"/>
      <w:jc w:val="both"/>
      <w:outlineLvl w:val="3"/>
    </w:pPr>
    <w:rPr>
      <w:rFonts w:ascii="Times New Roman" w:hAnsi="Times New Roman" w:eastAsia="宋体" w:cs="Times New Roman"/>
      <w:b/>
      <w:bCs/>
      <w:kern w:val="2"/>
      <w:sz w:val="24"/>
      <w:szCs w:val="28"/>
      <w:lang w:val="en-US" w:eastAsia="zh-CN" w:bidi="ar-SA"/>
    </w:rPr>
  </w:style>
  <w:style w:type="paragraph" w:styleId="7">
    <w:name w:val="heading 5"/>
    <w:next w:val="3"/>
    <w:link w:val="30"/>
    <w:autoRedefine/>
    <w:qFormat/>
    <w:uiPriority w:val="1"/>
    <w:pPr>
      <w:keepNext/>
      <w:keepLines/>
      <w:numPr>
        <w:ilvl w:val="4"/>
        <w:numId w:val="1"/>
      </w:numPr>
      <w:spacing w:before="50" w:beforeLines="50" w:after="50" w:afterLines="50" w:line="360" w:lineRule="auto"/>
      <w:ind w:firstLine="482"/>
      <w:outlineLvl w:val="4"/>
    </w:pPr>
    <w:rPr>
      <w:rFonts w:ascii="Times New Roman" w:hAnsi="Times New Roman" w:eastAsia="宋体" w:cs="Times New Roman"/>
      <w:bCs/>
      <w:kern w:val="2"/>
      <w:sz w:val="24"/>
      <w:szCs w:val="28"/>
      <w:lang w:val="en-US" w:eastAsia="zh-CN" w:bidi="ar-SA"/>
    </w:rPr>
  </w:style>
  <w:style w:type="paragraph" w:styleId="8">
    <w:name w:val="heading 6"/>
    <w:next w:val="3"/>
    <w:link w:val="31"/>
    <w:autoRedefine/>
    <w:qFormat/>
    <w:uiPriority w:val="1"/>
    <w:pPr>
      <w:numPr>
        <w:ilvl w:val="5"/>
        <w:numId w:val="1"/>
      </w:numPr>
      <w:spacing w:before="50" w:beforeLines="50" w:after="50" w:afterLines="50" w:line="360" w:lineRule="auto"/>
      <w:jc w:val="both"/>
      <w:outlineLvl w:val="5"/>
    </w:pPr>
    <w:rPr>
      <w:rFonts w:ascii="Times New Roman" w:hAnsi="Times New Roman" w:eastAsia="宋体" w:cs="Times New Roman"/>
      <w:bCs/>
      <w:kern w:val="2"/>
      <w:sz w:val="24"/>
      <w:szCs w:val="24"/>
      <w:lang w:val="en-US" w:eastAsia="zh-CN" w:bidi="ar-SA"/>
    </w:rPr>
  </w:style>
  <w:style w:type="paragraph" w:styleId="9">
    <w:name w:val="heading 7"/>
    <w:next w:val="3"/>
    <w:link w:val="32"/>
    <w:autoRedefine/>
    <w:unhideWhenUsed/>
    <w:qFormat/>
    <w:uiPriority w:val="2"/>
    <w:pPr>
      <w:keepNext/>
      <w:keepLines/>
      <w:numPr>
        <w:ilvl w:val="6"/>
        <w:numId w:val="1"/>
      </w:numPr>
      <w:spacing w:before="50" w:beforeLines="50" w:after="50" w:afterLines="50" w:line="360" w:lineRule="auto"/>
      <w:outlineLvl w:val="6"/>
    </w:pPr>
    <w:rPr>
      <w:rFonts w:ascii="Times New Roman" w:hAnsi="Times New Roman" w:eastAsia="宋体" w:cs="Times New Roman"/>
      <w:bCs/>
      <w:kern w:val="2"/>
      <w:sz w:val="24"/>
      <w:szCs w:val="24"/>
      <w:lang w:val="en-US" w:eastAsia="zh-CN" w:bidi="ar-SA"/>
    </w:rPr>
  </w:style>
  <w:style w:type="paragraph" w:styleId="10">
    <w:name w:val="heading 8"/>
    <w:basedOn w:val="1"/>
    <w:next w:val="1"/>
    <w:link w:val="37"/>
    <w:semiHidden/>
    <w:unhideWhenUsed/>
    <w:qFormat/>
    <w:uiPriority w:val="9"/>
    <w:pPr>
      <w:keepNext/>
      <w:keepLines/>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1">
    <w:name w:val="heading 9"/>
    <w:basedOn w:val="1"/>
    <w:next w:val="1"/>
    <w:link w:val="38"/>
    <w:semiHidden/>
    <w:unhideWhenUsed/>
    <w:qFormat/>
    <w:uiPriority w:val="9"/>
    <w:pPr>
      <w:keepNext/>
      <w:keepLines/>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22">
    <w:name w:val="Default Paragraph Font"/>
    <w:semiHidden/>
    <w:unhideWhenUsed/>
    <w:uiPriority w:val="1"/>
  </w:style>
  <w:style w:type="table" w:default="1" w:styleId="21">
    <w:name w:val="Normal Table"/>
    <w:semiHidden/>
    <w:unhideWhenUsed/>
    <w:uiPriority w:val="99"/>
    <w:tblPr>
      <w:tblCellMar>
        <w:top w:w="0" w:type="dxa"/>
        <w:left w:w="108" w:type="dxa"/>
        <w:bottom w:w="0" w:type="dxa"/>
        <w:right w:w="108" w:type="dxa"/>
      </w:tblCellMar>
    </w:tblPr>
  </w:style>
  <w:style w:type="paragraph" w:styleId="3">
    <w:name w:val="Normal Indent"/>
    <w:autoRedefine/>
    <w:qFormat/>
    <w:uiPriority w:val="0"/>
    <w:pPr>
      <w:spacing w:before="50" w:beforeLines="50" w:line="360" w:lineRule="auto"/>
      <w:ind w:firstLine="200" w:firstLineChars="200"/>
      <w:jc w:val="both"/>
    </w:pPr>
    <w:rPr>
      <w:rFonts w:ascii="Times New Roman" w:hAnsi="Times New Roman" w:eastAsia="宋体" w:cs="Times New Roman"/>
      <w:kern w:val="2"/>
      <w:sz w:val="24"/>
      <w:szCs w:val="23"/>
      <w:lang w:val="en-US" w:eastAsia="zh-CN" w:bidi="ar-SA"/>
    </w:rPr>
  </w:style>
  <w:style w:type="paragraph" w:styleId="12">
    <w:name w:val="annotation text"/>
    <w:basedOn w:val="1"/>
    <w:link w:val="53"/>
    <w:semiHidden/>
    <w:unhideWhenUsed/>
    <w:uiPriority w:val="99"/>
    <w:pPr>
      <w:jc w:val="left"/>
    </w:pPr>
  </w:style>
  <w:style w:type="paragraph" w:styleId="13">
    <w:name w:val="toc 3"/>
    <w:basedOn w:val="1"/>
    <w:next w:val="1"/>
    <w:autoRedefine/>
    <w:unhideWhenUsed/>
    <w:uiPriority w:val="39"/>
    <w:pPr>
      <w:ind w:left="840" w:leftChars="400"/>
    </w:pPr>
    <w:rPr>
      <w:rFonts w:eastAsia="黑体"/>
    </w:rPr>
  </w:style>
  <w:style w:type="paragraph" w:styleId="14">
    <w:name w:val="footer"/>
    <w:basedOn w:val="1"/>
    <w:link w:val="49"/>
    <w:unhideWhenUsed/>
    <w:uiPriority w:val="99"/>
    <w:pPr>
      <w:tabs>
        <w:tab w:val="center" w:pos="4153"/>
        <w:tab w:val="right" w:pos="8306"/>
      </w:tabs>
    </w:pPr>
  </w:style>
  <w:style w:type="paragraph" w:styleId="15">
    <w:name w:val="header"/>
    <w:basedOn w:val="1"/>
    <w:link w:val="48"/>
    <w:unhideWhenUsed/>
    <w:uiPriority w:val="99"/>
    <w:pPr>
      <w:tabs>
        <w:tab w:val="center" w:pos="4153"/>
        <w:tab w:val="right" w:pos="8306"/>
      </w:tabs>
    </w:pPr>
  </w:style>
  <w:style w:type="paragraph" w:styleId="16">
    <w:name w:val="toc 1"/>
    <w:basedOn w:val="1"/>
    <w:next w:val="1"/>
    <w:autoRedefine/>
    <w:unhideWhenUsed/>
    <w:uiPriority w:val="39"/>
    <w:rPr>
      <w:rFonts w:eastAsia="黑体"/>
    </w:rPr>
  </w:style>
  <w:style w:type="paragraph" w:styleId="17">
    <w:name w:val="Subtitle"/>
    <w:basedOn w:val="1"/>
    <w:next w:val="1"/>
    <w:link w:val="40"/>
    <w:qFormat/>
    <w:uiPriority w:val="11"/>
    <w:pPr>
      <w:spacing w:after="160"/>
    </w:pPr>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oc 2"/>
    <w:basedOn w:val="1"/>
    <w:next w:val="1"/>
    <w:autoRedefine/>
    <w:unhideWhenUsed/>
    <w:uiPriority w:val="39"/>
    <w:pPr>
      <w:ind w:left="420" w:leftChars="200"/>
    </w:pPr>
    <w:rPr>
      <w:rFonts w:eastAsia="黑体"/>
    </w:rPr>
  </w:style>
  <w:style w:type="paragraph" w:styleId="19">
    <w:name w:val="Title"/>
    <w:basedOn w:val="1"/>
    <w:next w:val="1"/>
    <w:link w:val="39"/>
    <w:qFormat/>
    <w:uiPriority w:val="10"/>
    <w:pPr>
      <w:spacing w:after="80"/>
      <w:contextualSpacing/>
    </w:pPr>
    <w:rPr>
      <w:rFonts w:asciiTheme="majorHAnsi" w:hAnsiTheme="majorHAnsi" w:eastAsiaTheme="majorEastAsia" w:cstheme="majorBidi"/>
      <w:spacing w:val="-10"/>
      <w:kern w:val="28"/>
      <w:sz w:val="56"/>
      <w:szCs w:val="56"/>
    </w:rPr>
  </w:style>
  <w:style w:type="paragraph" w:styleId="20">
    <w:name w:val="annotation subject"/>
    <w:basedOn w:val="12"/>
    <w:next w:val="12"/>
    <w:link w:val="54"/>
    <w:semiHidden/>
    <w:unhideWhenUsed/>
    <w:uiPriority w:val="99"/>
    <w:rPr>
      <w:b/>
      <w:bCs/>
    </w:rPr>
  </w:style>
  <w:style w:type="character" w:styleId="23">
    <w:name w:val="FollowedHyperlink"/>
    <w:basedOn w:val="22"/>
    <w:semiHidden/>
    <w:unhideWhenUsed/>
    <w:uiPriority w:val="99"/>
    <w:rPr>
      <w:color w:val="954F72" w:themeColor="followedHyperlink"/>
      <w:u w:val="single"/>
      <w14:textFill>
        <w14:solidFill>
          <w14:schemeClr w14:val="folHlink"/>
        </w14:solidFill>
      </w14:textFill>
    </w:rPr>
  </w:style>
  <w:style w:type="character" w:styleId="24">
    <w:name w:val="Hyperlink"/>
    <w:basedOn w:val="22"/>
    <w:unhideWhenUsed/>
    <w:uiPriority w:val="99"/>
    <w:rPr>
      <w:color w:val="0563C1" w:themeColor="hyperlink"/>
      <w:u w:val="single"/>
      <w14:textFill>
        <w14:solidFill>
          <w14:schemeClr w14:val="hlink"/>
        </w14:solidFill>
      </w14:textFill>
    </w:rPr>
  </w:style>
  <w:style w:type="character" w:styleId="25">
    <w:name w:val="annotation reference"/>
    <w:basedOn w:val="22"/>
    <w:semiHidden/>
    <w:unhideWhenUsed/>
    <w:uiPriority w:val="99"/>
    <w:rPr>
      <w:sz w:val="21"/>
      <w:szCs w:val="21"/>
    </w:rPr>
  </w:style>
  <w:style w:type="character" w:customStyle="1" w:styleId="26">
    <w:name w:val="Heading 1 Char"/>
    <w:basedOn w:val="22"/>
    <w:link w:val="2"/>
    <w:uiPriority w:val="1"/>
    <w:rPr>
      <w:rFonts w:ascii="Times New Roman" w:hAnsi="Times New Roman" w:eastAsia="黑体" w:cs="Times New Roman"/>
      <w:bCs/>
      <w:kern w:val="0"/>
      <w:sz w:val="32"/>
      <w:szCs w:val="44"/>
    </w:rPr>
  </w:style>
  <w:style w:type="character" w:customStyle="1" w:styleId="27">
    <w:name w:val="Heading 2 Char"/>
    <w:basedOn w:val="22"/>
    <w:link w:val="4"/>
    <w:uiPriority w:val="1"/>
    <w:rPr>
      <w:rFonts w:ascii="Times New Roman" w:hAnsi="Times New Roman" w:eastAsia="黑体" w:cs="Times New Roman"/>
      <w:bCs/>
      <w:sz w:val="28"/>
      <w:szCs w:val="32"/>
    </w:rPr>
  </w:style>
  <w:style w:type="character" w:customStyle="1" w:styleId="28">
    <w:name w:val="Heading 3 Char"/>
    <w:basedOn w:val="22"/>
    <w:link w:val="5"/>
    <w:uiPriority w:val="1"/>
    <w:rPr>
      <w:rFonts w:ascii="Times New Roman" w:hAnsi="Times New Roman" w:eastAsia="黑体" w:cs="Times New Roman"/>
      <w:bCs/>
      <w:color w:val="000000"/>
      <w:kern w:val="0"/>
      <w:sz w:val="24"/>
      <w:szCs w:val="24"/>
      <w:lang w:eastAsia="ar-SA"/>
    </w:rPr>
  </w:style>
  <w:style w:type="character" w:customStyle="1" w:styleId="29">
    <w:name w:val="Heading 4 Char"/>
    <w:basedOn w:val="22"/>
    <w:link w:val="6"/>
    <w:uiPriority w:val="1"/>
    <w:rPr>
      <w:rFonts w:ascii="Times New Roman" w:hAnsi="Times New Roman" w:eastAsia="宋体" w:cs="Times New Roman"/>
      <w:b/>
      <w:bCs/>
      <w:sz w:val="24"/>
      <w:szCs w:val="28"/>
    </w:rPr>
  </w:style>
  <w:style w:type="character" w:customStyle="1" w:styleId="30">
    <w:name w:val="Heading 5 Char"/>
    <w:basedOn w:val="22"/>
    <w:link w:val="7"/>
    <w:uiPriority w:val="1"/>
    <w:rPr>
      <w:rFonts w:ascii="Times New Roman" w:hAnsi="Times New Roman" w:eastAsia="宋体" w:cs="Times New Roman"/>
      <w:bCs/>
      <w:sz w:val="24"/>
      <w:szCs w:val="28"/>
    </w:rPr>
  </w:style>
  <w:style w:type="character" w:customStyle="1" w:styleId="31">
    <w:name w:val="Heading 6 Char"/>
    <w:basedOn w:val="22"/>
    <w:link w:val="8"/>
    <w:uiPriority w:val="1"/>
    <w:rPr>
      <w:rFonts w:ascii="Times New Roman" w:hAnsi="Times New Roman" w:eastAsia="宋体" w:cs="Times New Roman"/>
      <w:bCs/>
      <w:sz w:val="24"/>
      <w:szCs w:val="24"/>
    </w:rPr>
  </w:style>
  <w:style w:type="character" w:customStyle="1" w:styleId="32">
    <w:name w:val="Heading 7 Char"/>
    <w:basedOn w:val="22"/>
    <w:link w:val="9"/>
    <w:uiPriority w:val="2"/>
    <w:rPr>
      <w:rFonts w:ascii="Times New Roman" w:hAnsi="Times New Roman" w:eastAsia="宋体" w:cs="Times New Roman"/>
      <w:bCs/>
      <w:sz w:val="24"/>
      <w:szCs w:val="24"/>
    </w:rPr>
  </w:style>
  <w:style w:type="paragraph" w:customStyle="1" w:styleId="33">
    <w:name w:val="表格后说明"/>
    <w:next w:val="3"/>
    <w:autoRedefine/>
    <w:qFormat/>
    <w:uiPriority w:val="3"/>
    <w:pPr>
      <w:jc w:val="both"/>
    </w:pPr>
    <w:rPr>
      <w:rFonts w:ascii="Times New Roman" w:hAnsi="Times New Roman" w:eastAsia="宋体" w:cs="Times New Roman"/>
      <w:kern w:val="2"/>
      <w:sz w:val="24"/>
      <w:szCs w:val="24"/>
      <w:lang w:val="en-US" w:eastAsia="zh-CN" w:bidi="ar-SA"/>
    </w:rPr>
  </w:style>
  <w:style w:type="paragraph" w:customStyle="1" w:styleId="34">
    <w:name w:val="表格前单位"/>
    <w:next w:val="3"/>
    <w:autoRedefine/>
    <w:qFormat/>
    <w:uiPriority w:val="2"/>
    <w:pPr>
      <w:keepNext/>
      <w:jc w:val="right"/>
    </w:pPr>
    <w:rPr>
      <w:rFonts w:ascii="Times New Roman" w:hAnsi="Times New Roman" w:eastAsia="宋体" w:cs="Times New Roman"/>
      <w:kern w:val="2"/>
      <w:sz w:val="24"/>
      <w:szCs w:val="24"/>
      <w:lang w:val="en-US" w:eastAsia="zh-CN" w:bidi="ar-SA"/>
    </w:rPr>
  </w:style>
  <w:style w:type="table" w:customStyle="1" w:styleId="35">
    <w:name w:val="报告表格"/>
    <w:basedOn w:val="21"/>
    <w:uiPriority w:val="99"/>
    <w:rPr>
      <w:sz w:val="18"/>
    </w:rPr>
  </w:style>
  <w:style w:type="paragraph" w:customStyle="1" w:styleId="36">
    <w:name w:val="TOC Heading"/>
    <w:basedOn w:val="2"/>
    <w:next w:val="1"/>
    <w:unhideWhenUsed/>
    <w:qFormat/>
    <w:uiPriority w:val="39"/>
    <w:pPr>
      <w:pageBreakBefore w:val="0"/>
      <w:numPr>
        <w:numId w:val="0"/>
      </w:numPr>
      <w:snapToGrid w:val="0"/>
      <w:spacing w:before="240" w:beforeLines="0" w:after="0" w:afterLines="0" w:line="259" w:lineRule="auto"/>
      <w:outlineLvl w:val="9"/>
    </w:pPr>
    <w:rPr>
      <w:bCs w:val="0"/>
      <w:szCs w:val="32"/>
    </w:rPr>
  </w:style>
  <w:style w:type="character" w:customStyle="1" w:styleId="37">
    <w:name w:val="Heading 8 Char"/>
    <w:basedOn w:val="22"/>
    <w:link w:val="10"/>
    <w:semiHidden/>
    <w:uiPriority w:val="9"/>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8">
    <w:name w:val="Heading 9 Char"/>
    <w:basedOn w:val="22"/>
    <w:link w:val="11"/>
    <w:semiHidden/>
    <w:uiPriority w:val="9"/>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9">
    <w:name w:val="Title Char"/>
    <w:basedOn w:val="22"/>
    <w:link w:val="19"/>
    <w:uiPriority w:val="10"/>
    <w:rPr>
      <w:rFonts w:asciiTheme="majorHAnsi" w:hAnsiTheme="majorHAnsi" w:eastAsiaTheme="majorEastAsia" w:cstheme="majorBidi"/>
      <w:spacing w:val="-10"/>
      <w:kern w:val="28"/>
      <w:sz w:val="56"/>
      <w:szCs w:val="56"/>
    </w:rPr>
  </w:style>
  <w:style w:type="character" w:customStyle="1" w:styleId="40">
    <w:name w:val="Subtitle Char"/>
    <w:basedOn w:val="22"/>
    <w:link w:val="17"/>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41">
    <w:name w:val="Quote"/>
    <w:basedOn w:val="1"/>
    <w:next w:val="1"/>
    <w:link w:val="42"/>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42">
    <w:name w:val="Quote Char"/>
    <w:basedOn w:val="22"/>
    <w:link w:val="41"/>
    <w:uiPriority w:val="29"/>
    <w:rPr>
      <w:i/>
      <w:iCs/>
      <w:color w:val="404040" w:themeColor="text1" w:themeTint="BF"/>
      <w14:textFill>
        <w14:solidFill>
          <w14:schemeClr w14:val="tx1">
            <w14:lumMod w14:val="75000"/>
            <w14:lumOff w14:val="25000"/>
          </w14:schemeClr>
        </w14:solidFill>
      </w14:textFill>
    </w:rPr>
  </w:style>
  <w:style w:type="paragraph" w:styleId="43">
    <w:name w:val="List Paragraph"/>
    <w:basedOn w:val="1"/>
    <w:qFormat/>
    <w:uiPriority w:val="34"/>
    <w:pPr>
      <w:ind w:left="720"/>
      <w:contextualSpacing/>
    </w:pPr>
  </w:style>
  <w:style w:type="character" w:customStyle="1" w:styleId="44">
    <w:name w:val="Intense Emphasis"/>
    <w:basedOn w:val="22"/>
    <w:qFormat/>
    <w:uiPriority w:val="21"/>
    <w:rPr>
      <w:i/>
      <w:iCs/>
      <w:color w:val="2F5597" w:themeColor="accent1" w:themeShade="BF"/>
    </w:rPr>
  </w:style>
  <w:style w:type="paragraph" w:styleId="45">
    <w:name w:val="Intense Quote"/>
    <w:basedOn w:val="1"/>
    <w:next w:val="1"/>
    <w:link w:val="46"/>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6">
    <w:name w:val="Intense Quote Char"/>
    <w:basedOn w:val="22"/>
    <w:link w:val="45"/>
    <w:uiPriority w:val="30"/>
    <w:rPr>
      <w:i/>
      <w:iCs/>
      <w:color w:val="2F5597" w:themeColor="accent1" w:themeShade="BF"/>
    </w:rPr>
  </w:style>
  <w:style w:type="character" w:customStyle="1" w:styleId="47">
    <w:name w:val="Intense Reference"/>
    <w:basedOn w:val="22"/>
    <w:qFormat/>
    <w:uiPriority w:val="32"/>
    <w:rPr>
      <w:b/>
      <w:bCs/>
      <w:smallCaps/>
      <w:color w:val="2F5597" w:themeColor="accent1" w:themeShade="BF"/>
      <w:spacing w:val="5"/>
    </w:rPr>
  </w:style>
  <w:style w:type="character" w:customStyle="1" w:styleId="48">
    <w:name w:val="Header Char"/>
    <w:basedOn w:val="22"/>
    <w:link w:val="15"/>
    <w:uiPriority w:val="99"/>
  </w:style>
  <w:style w:type="character" w:customStyle="1" w:styleId="49">
    <w:name w:val="Footer Char"/>
    <w:basedOn w:val="22"/>
    <w:link w:val="14"/>
    <w:uiPriority w:val="99"/>
  </w:style>
  <w:style w:type="character" w:customStyle="1" w:styleId="50">
    <w:name w:val="Unresolved Mention"/>
    <w:basedOn w:val="22"/>
    <w:semiHidden/>
    <w:unhideWhenUsed/>
    <w:uiPriority w:val="99"/>
    <w:rPr>
      <w:color w:val="605E5C"/>
      <w:shd w:val="clear" w:color="auto" w:fill="E1DFDD"/>
    </w:rPr>
  </w:style>
  <w:style w:type="paragraph" w:styleId="51">
    <w:name w:val="No Spacing"/>
    <w:link w:val="52"/>
    <w:qFormat/>
    <w:uiPriority w:val="1"/>
    <w:rPr>
      <w:rFonts w:asciiTheme="minorHAnsi" w:hAnsiTheme="minorHAnsi" w:eastAsiaTheme="minorEastAsia" w:cstheme="minorBidi"/>
      <w:kern w:val="0"/>
      <w:sz w:val="22"/>
      <w:szCs w:val="22"/>
      <w:lang w:val="en-US" w:eastAsia="en-US" w:bidi="ar-SA"/>
    </w:rPr>
  </w:style>
  <w:style w:type="character" w:customStyle="1" w:styleId="52">
    <w:name w:val="No Spacing Char"/>
    <w:basedOn w:val="22"/>
    <w:link w:val="51"/>
    <w:uiPriority w:val="1"/>
    <w:rPr>
      <w:rFonts w:asciiTheme="minorHAnsi" w:hAnsiTheme="minorHAnsi" w:eastAsiaTheme="minorEastAsia"/>
      <w:kern w:val="0"/>
      <w:sz w:val="22"/>
      <w:szCs w:val="22"/>
      <w:lang w:eastAsia="en-US"/>
    </w:rPr>
  </w:style>
  <w:style w:type="character" w:customStyle="1" w:styleId="53">
    <w:name w:val="Comment Text Char"/>
    <w:basedOn w:val="22"/>
    <w:link w:val="12"/>
    <w:semiHidden/>
    <w:uiPriority w:val="99"/>
  </w:style>
  <w:style w:type="character" w:customStyle="1" w:styleId="54">
    <w:name w:val="Comment Subject Char"/>
    <w:basedOn w:val="53"/>
    <w:link w:val="20"/>
    <w:semiHidden/>
    <w:uiPriority w:val="99"/>
    <w:rPr>
      <w:b/>
      <w:bC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30</Pages>
  <Words>6803</Words>
  <Characters>41096</Characters>
  <Lines>805</Lines>
  <Paragraphs>137</Paragraphs>
  <TotalTime>13</TotalTime>
  <ScaleCrop>false</ScaleCrop>
  <LinksUpToDate>false</LinksUpToDate>
  <CharactersWithSpaces>47762</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2026-01-09T23:02:00Z</dcterms:created>
  <dc:creator>博智 胡</dc:creator>
  <cp:lastModifiedBy>。</cp:lastModifiedBy>
  <dcterms:modified xsi:type="dcterms:W3CDTF">2026-01-11T09:53:50Z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2052-6.12.0.8899</vt:lpwstr>
  </property>
  <property fmtid="{D5CDD505-2E9C-101B-9397-08002B2CF9AE}" pid="3" name="ICV">
    <vt:lpwstr>B37EA3386C4A3A4A1E65636951D7A640_43</vt:lpwstr>
  </property>
</Properties>
</file>