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2999" w14:textId="77777777" w:rsidR="00ED1344" w:rsidRDefault="00ED1344">
      <w:pPr>
        <w:spacing w:before="1200"/>
      </w:pPr>
    </w:p>
    <w:p w14:paraId="6523BD5A" w14:textId="77777777" w:rsidR="00ED1344" w:rsidRDefault="00000000">
      <w:pPr>
        <w:spacing w:after="400" w:line="360" w:lineRule="auto"/>
        <w:jc w:val="center"/>
      </w:pPr>
      <w:r>
        <w:rPr>
          <w:b/>
          <w:bCs/>
          <w:sz w:val="44"/>
          <w:szCs w:val="44"/>
        </w:rPr>
        <w:t>Research Report</w:t>
      </w:r>
    </w:p>
    <w:p w14:paraId="27241FC1" w14:textId="77777777" w:rsidR="00ED1344" w:rsidRDefault="00000000">
      <w:pPr>
        <w:spacing w:after="800" w:line="360" w:lineRule="auto"/>
        <w:jc w:val="center"/>
      </w:pPr>
      <w:r>
        <w:rPr>
          <w:i/>
          <w:iCs/>
          <w:sz w:val="24"/>
          <w:szCs w:val="24"/>
        </w:rPr>
        <w:t>A Research Literacy Analysis of McDonald, Lester and Michelson (2023)</w:t>
      </w:r>
    </w:p>
    <w:p w14:paraId="2FE304D5" w14:textId="2E68541F" w:rsidR="00ED1344" w:rsidRDefault="00000000">
      <w:pPr>
        <w:spacing w:after="120" w:line="360" w:lineRule="auto"/>
        <w:jc w:val="center"/>
      </w:pPr>
      <w:r>
        <w:rPr>
          <w:b/>
          <w:bCs/>
        </w:rPr>
        <w:t xml:space="preserve">Student name:  </w:t>
      </w:r>
      <w:r w:rsidR="00064B90" w:rsidRPr="00064B90">
        <w:t>Fareen Akhtar</w:t>
      </w:r>
    </w:p>
    <w:p w14:paraId="333D316D" w14:textId="015D55D2" w:rsidR="00ED1344" w:rsidRDefault="00000000">
      <w:pPr>
        <w:spacing w:after="120" w:line="360" w:lineRule="auto"/>
        <w:jc w:val="center"/>
      </w:pPr>
      <w:r>
        <w:rPr>
          <w:b/>
          <w:bCs/>
        </w:rPr>
        <w:t xml:space="preserve">Student number:  </w:t>
      </w:r>
      <w:r w:rsidR="00064B90" w:rsidRPr="00064B90">
        <w:t>2533713</w:t>
      </w:r>
    </w:p>
    <w:p w14:paraId="4D9DF877" w14:textId="77777777" w:rsidR="00ED1344" w:rsidRDefault="00000000">
      <w:pPr>
        <w:spacing w:after="120" w:line="360" w:lineRule="auto"/>
        <w:jc w:val="center"/>
      </w:pPr>
      <w:r>
        <w:rPr>
          <w:b/>
          <w:bCs/>
        </w:rPr>
        <w:t xml:space="preserve">Module code:  </w:t>
      </w:r>
      <w:r>
        <w:t>LCHS4007</w:t>
      </w:r>
    </w:p>
    <w:p w14:paraId="4051CD37" w14:textId="77777777" w:rsidR="00ED1344" w:rsidRDefault="00000000">
      <w:pPr>
        <w:spacing w:after="120" w:line="360" w:lineRule="auto"/>
        <w:jc w:val="center"/>
      </w:pPr>
      <w:r>
        <w:rPr>
          <w:b/>
          <w:bCs/>
        </w:rPr>
        <w:t xml:space="preserve">Module title:  </w:t>
      </w:r>
      <w:r>
        <w:t>Digital Skills and Research Methods</w:t>
      </w:r>
    </w:p>
    <w:p w14:paraId="1D3A849C" w14:textId="77777777" w:rsidR="00ED1344" w:rsidRDefault="00000000">
      <w:pPr>
        <w:spacing w:after="120" w:line="360" w:lineRule="auto"/>
        <w:jc w:val="center"/>
      </w:pPr>
      <w:r>
        <w:rPr>
          <w:b/>
          <w:bCs/>
        </w:rPr>
        <w:t xml:space="preserve">Lecturer:  </w:t>
      </w:r>
      <w:r>
        <w:t xml:space="preserve">Hajra </w:t>
      </w:r>
      <w:proofErr w:type="spellStart"/>
      <w:r>
        <w:t>Mustasim</w:t>
      </w:r>
      <w:proofErr w:type="spellEnd"/>
    </w:p>
    <w:p w14:paraId="68FE0F0A" w14:textId="77777777" w:rsidR="00ED1344" w:rsidRDefault="00000000">
      <w:pPr>
        <w:spacing w:after="120" w:line="360" w:lineRule="auto"/>
        <w:jc w:val="center"/>
      </w:pPr>
      <w:r>
        <w:rPr>
          <w:b/>
          <w:bCs/>
        </w:rPr>
        <w:t xml:space="preserve">Assignment title:  </w:t>
      </w:r>
      <w:r>
        <w:t>Component 2 – Research Report</w:t>
      </w:r>
    </w:p>
    <w:p w14:paraId="77F10F1A" w14:textId="6392F00B" w:rsidR="00C51BBB" w:rsidRDefault="001529F8">
      <w:pPr>
        <w:spacing w:after="120" w:line="360" w:lineRule="auto"/>
        <w:jc w:val="center"/>
      </w:pPr>
      <w:r>
        <w:t xml:space="preserve">Word count: </w:t>
      </w:r>
      <w:r w:rsidRPr="001529F8">
        <w:t>approx. 1,600 words</w:t>
      </w:r>
    </w:p>
    <w:p w14:paraId="46C433E1" w14:textId="77777777" w:rsidR="00C51BBB" w:rsidRDefault="00C51BBB">
      <w:pPr>
        <w:spacing w:after="120" w:line="360" w:lineRule="auto"/>
        <w:jc w:val="center"/>
      </w:pPr>
    </w:p>
    <w:p w14:paraId="5D352131" w14:textId="77777777" w:rsidR="00C51BBB" w:rsidRDefault="00C51BBB">
      <w:pPr>
        <w:spacing w:after="120" w:line="360" w:lineRule="auto"/>
        <w:jc w:val="center"/>
      </w:pPr>
    </w:p>
    <w:p w14:paraId="7ACBF91B" w14:textId="77777777" w:rsidR="00C51BBB" w:rsidRDefault="00C51BBB">
      <w:pPr>
        <w:spacing w:after="120" w:line="360" w:lineRule="auto"/>
        <w:jc w:val="center"/>
      </w:pPr>
    </w:p>
    <w:p w14:paraId="3DDFFA69" w14:textId="77777777" w:rsidR="00C51BBB" w:rsidRDefault="00C51BBB">
      <w:pPr>
        <w:spacing w:after="120" w:line="360" w:lineRule="auto"/>
        <w:jc w:val="center"/>
      </w:pPr>
    </w:p>
    <w:p w14:paraId="26B8DBE5" w14:textId="77777777" w:rsidR="00C51BBB" w:rsidRDefault="00C51BBB">
      <w:pPr>
        <w:spacing w:after="120" w:line="360" w:lineRule="auto"/>
        <w:jc w:val="center"/>
      </w:pPr>
    </w:p>
    <w:p w14:paraId="41431821" w14:textId="77777777" w:rsidR="00C51BBB" w:rsidRDefault="00C51BBB">
      <w:pPr>
        <w:spacing w:after="120" w:line="360" w:lineRule="auto"/>
        <w:jc w:val="center"/>
      </w:pPr>
    </w:p>
    <w:p w14:paraId="44C35B53" w14:textId="77777777" w:rsidR="00C51BBB" w:rsidRDefault="00C51BBB">
      <w:pPr>
        <w:spacing w:after="120" w:line="360" w:lineRule="auto"/>
        <w:jc w:val="center"/>
      </w:pPr>
    </w:p>
    <w:p w14:paraId="4F42EB88" w14:textId="77777777" w:rsidR="00C51BBB" w:rsidRDefault="00C51BBB">
      <w:pPr>
        <w:spacing w:after="120" w:line="360" w:lineRule="auto"/>
        <w:jc w:val="center"/>
      </w:pPr>
    </w:p>
    <w:p w14:paraId="6063CCFC" w14:textId="77777777" w:rsidR="00C51BBB" w:rsidRDefault="00C51BBB">
      <w:pPr>
        <w:spacing w:after="120" w:line="360" w:lineRule="auto"/>
        <w:jc w:val="center"/>
      </w:pPr>
    </w:p>
    <w:p w14:paraId="107054E1" w14:textId="77777777" w:rsidR="00C51BBB" w:rsidRDefault="00C51BBB">
      <w:pPr>
        <w:spacing w:after="120" w:line="360" w:lineRule="auto"/>
        <w:jc w:val="center"/>
      </w:pPr>
    </w:p>
    <w:p w14:paraId="15D4DC6E" w14:textId="77777777" w:rsidR="00C51BBB" w:rsidRDefault="00C51BBB">
      <w:pPr>
        <w:spacing w:after="120" w:line="360" w:lineRule="auto"/>
        <w:jc w:val="center"/>
      </w:pPr>
    </w:p>
    <w:p w14:paraId="44F50EA7" w14:textId="7EEABCAA" w:rsidR="00ED1344" w:rsidRDefault="00000000">
      <w:r>
        <w:br w:type="page"/>
      </w:r>
    </w:p>
    <w:sdt>
      <w:sdtPr>
        <w:id w:val="-1578273438"/>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5A8ADF41" w14:textId="053E9960" w:rsidR="00093CF5" w:rsidRDefault="00093CF5">
          <w:pPr>
            <w:pStyle w:val="TOCHeading"/>
          </w:pPr>
          <w:r>
            <w:t>Table of Contents</w:t>
          </w:r>
        </w:p>
        <w:p w14:paraId="2A76C28C" w14:textId="5F5B2264" w:rsidR="00093CF5" w:rsidRDefault="00093CF5">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006077" w:history="1">
            <w:r w:rsidRPr="004457E2">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_Toc234006077 \h </w:instrText>
            </w:r>
            <w:r>
              <w:rPr>
                <w:noProof/>
                <w:webHidden/>
              </w:rPr>
            </w:r>
            <w:r>
              <w:rPr>
                <w:noProof/>
                <w:webHidden/>
              </w:rPr>
              <w:fldChar w:fldCharType="separate"/>
            </w:r>
            <w:r>
              <w:rPr>
                <w:noProof/>
                <w:webHidden/>
              </w:rPr>
              <w:t>3</w:t>
            </w:r>
            <w:r>
              <w:rPr>
                <w:noProof/>
                <w:webHidden/>
              </w:rPr>
              <w:fldChar w:fldCharType="end"/>
            </w:r>
          </w:hyperlink>
        </w:p>
        <w:p w14:paraId="291237FF" w14:textId="1EF7011E" w:rsidR="00093CF5" w:rsidRDefault="00093CF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006078" w:history="1">
            <w:r w:rsidRPr="004457E2">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_Toc234006078 \h </w:instrText>
            </w:r>
            <w:r>
              <w:rPr>
                <w:noProof/>
                <w:webHidden/>
              </w:rPr>
            </w:r>
            <w:r>
              <w:rPr>
                <w:noProof/>
                <w:webHidden/>
              </w:rPr>
              <w:fldChar w:fldCharType="separate"/>
            </w:r>
            <w:r>
              <w:rPr>
                <w:noProof/>
                <w:webHidden/>
              </w:rPr>
              <w:t>4</w:t>
            </w:r>
            <w:r>
              <w:rPr>
                <w:noProof/>
                <w:webHidden/>
              </w:rPr>
              <w:fldChar w:fldCharType="end"/>
            </w:r>
          </w:hyperlink>
        </w:p>
        <w:p w14:paraId="3AFB01E3" w14:textId="6A39531C" w:rsidR="00093CF5" w:rsidRDefault="00093CF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006079" w:history="1">
            <w:r w:rsidRPr="004457E2">
              <w:rPr>
                <w:rStyle w:val="Hyperlink"/>
                <w:noProof/>
              </w:rPr>
              <w:t>Section 3: Understanding the Research Methods</w:t>
            </w:r>
            <w:r>
              <w:rPr>
                <w:noProof/>
                <w:webHidden/>
              </w:rPr>
              <w:tab/>
            </w:r>
            <w:r>
              <w:rPr>
                <w:noProof/>
                <w:webHidden/>
              </w:rPr>
              <w:fldChar w:fldCharType="begin"/>
            </w:r>
            <w:r>
              <w:rPr>
                <w:noProof/>
                <w:webHidden/>
              </w:rPr>
              <w:instrText xml:space="preserve"> PAGEREF _Toc234006079 \h </w:instrText>
            </w:r>
            <w:r>
              <w:rPr>
                <w:noProof/>
                <w:webHidden/>
              </w:rPr>
            </w:r>
            <w:r>
              <w:rPr>
                <w:noProof/>
                <w:webHidden/>
              </w:rPr>
              <w:fldChar w:fldCharType="separate"/>
            </w:r>
            <w:r>
              <w:rPr>
                <w:noProof/>
                <w:webHidden/>
              </w:rPr>
              <w:t>4</w:t>
            </w:r>
            <w:r>
              <w:rPr>
                <w:noProof/>
                <w:webHidden/>
              </w:rPr>
              <w:fldChar w:fldCharType="end"/>
            </w:r>
          </w:hyperlink>
        </w:p>
        <w:p w14:paraId="4A84298C" w14:textId="24268884" w:rsidR="00093CF5" w:rsidRDefault="00093CF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006080" w:history="1">
            <w:r w:rsidRPr="004457E2">
              <w:rPr>
                <w:rStyle w:val="Hyperlink"/>
                <w:noProof/>
              </w:rPr>
              <w:t>Section 4: Conclusion</w:t>
            </w:r>
            <w:r>
              <w:rPr>
                <w:noProof/>
                <w:webHidden/>
              </w:rPr>
              <w:tab/>
            </w:r>
            <w:r>
              <w:rPr>
                <w:noProof/>
                <w:webHidden/>
              </w:rPr>
              <w:fldChar w:fldCharType="begin"/>
            </w:r>
            <w:r>
              <w:rPr>
                <w:noProof/>
                <w:webHidden/>
              </w:rPr>
              <w:instrText xml:space="preserve"> PAGEREF _Toc234006080 \h </w:instrText>
            </w:r>
            <w:r>
              <w:rPr>
                <w:noProof/>
                <w:webHidden/>
              </w:rPr>
            </w:r>
            <w:r>
              <w:rPr>
                <w:noProof/>
                <w:webHidden/>
              </w:rPr>
              <w:fldChar w:fldCharType="separate"/>
            </w:r>
            <w:r>
              <w:rPr>
                <w:noProof/>
                <w:webHidden/>
              </w:rPr>
              <w:t>6</w:t>
            </w:r>
            <w:r>
              <w:rPr>
                <w:noProof/>
                <w:webHidden/>
              </w:rPr>
              <w:fldChar w:fldCharType="end"/>
            </w:r>
          </w:hyperlink>
        </w:p>
        <w:p w14:paraId="4B3AAFA8" w14:textId="15927C1A" w:rsidR="00093CF5" w:rsidRDefault="00093CF5">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006081" w:history="1">
            <w:r w:rsidRPr="004457E2">
              <w:rPr>
                <w:rStyle w:val="Hyperlink"/>
                <w:noProof/>
              </w:rPr>
              <w:t>Reference List</w:t>
            </w:r>
            <w:r>
              <w:rPr>
                <w:noProof/>
                <w:webHidden/>
              </w:rPr>
              <w:tab/>
            </w:r>
            <w:r>
              <w:rPr>
                <w:noProof/>
                <w:webHidden/>
              </w:rPr>
              <w:fldChar w:fldCharType="begin"/>
            </w:r>
            <w:r>
              <w:rPr>
                <w:noProof/>
                <w:webHidden/>
              </w:rPr>
              <w:instrText xml:space="preserve"> PAGEREF _Toc234006081 \h </w:instrText>
            </w:r>
            <w:r>
              <w:rPr>
                <w:noProof/>
                <w:webHidden/>
              </w:rPr>
            </w:r>
            <w:r>
              <w:rPr>
                <w:noProof/>
                <w:webHidden/>
              </w:rPr>
              <w:fldChar w:fldCharType="separate"/>
            </w:r>
            <w:r>
              <w:rPr>
                <w:noProof/>
                <w:webHidden/>
              </w:rPr>
              <w:t>7</w:t>
            </w:r>
            <w:r>
              <w:rPr>
                <w:noProof/>
                <w:webHidden/>
              </w:rPr>
              <w:fldChar w:fldCharType="end"/>
            </w:r>
          </w:hyperlink>
        </w:p>
        <w:p w14:paraId="1CA3A88B" w14:textId="2571AB08" w:rsidR="00093CF5" w:rsidRDefault="00093CF5">
          <w:r>
            <w:rPr>
              <w:b/>
              <w:bCs/>
              <w:noProof/>
            </w:rPr>
            <w:fldChar w:fldCharType="end"/>
          </w:r>
        </w:p>
      </w:sdtContent>
    </w:sdt>
    <w:p w14:paraId="11331B20" w14:textId="6DA1A340" w:rsidR="00ED1344" w:rsidRDefault="00ED1344" w:rsidP="00093CF5">
      <w:pPr>
        <w:tabs>
          <w:tab w:val="left" w:pos="1665"/>
        </w:tabs>
      </w:pPr>
    </w:p>
    <w:p w14:paraId="081F193A" w14:textId="2C178742" w:rsidR="00C51BBB" w:rsidRDefault="00000000" w:rsidP="00C51BBB">
      <w:r>
        <w:br w:type="page"/>
      </w:r>
      <w:bookmarkStart w:id="0" w:name="_Toc234005037"/>
    </w:p>
    <w:p w14:paraId="50F2C274" w14:textId="09284D7C" w:rsidR="00093CF5" w:rsidRDefault="00093CF5" w:rsidP="00093CF5">
      <w:pPr>
        <w:spacing w:line="360" w:lineRule="auto"/>
      </w:pPr>
      <w:r>
        <w:lastRenderedPageBreak/>
        <w:t>This report analyses the research paper by McDonald, Lester and Michelson (2023) to show how a research paper can be understood and evaluated. It explains the topic, purpose, research questions, methods, data collection and analysis used in the study. The report also reflects on how understanding research methods can support future study and professional practice in health and social care.</w:t>
      </w:r>
    </w:p>
    <w:p w14:paraId="6CB391D4" w14:textId="44466AB3" w:rsidR="00ED1344" w:rsidRDefault="00000000">
      <w:pPr>
        <w:pStyle w:val="Heading1"/>
        <w:spacing w:before="240" w:after="160" w:line="360" w:lineRule="auto"/>
      </w:pPr>
      <w:bookmarkStart w:id="1" w:name="_Toc234006077"/>
      <w:r>
        <w:t>Section 1: Introducing the Research Paper and Topic Development</w:t>
      </w:r>
      <w:bookmarkEnd w:id="0"/>
      <w:bookmarkEnd w:id="1"/>
    </w:p>
    <w:p w14:paraId="3FEE584B" w14:textId="77777777" w:rsidR="00ED1344" w:rsidRDefault="00000000">
      <w:pPr>
        <w:spacing w:after="200" w:line="360" w:lineRule="auto"/>
        <w:jc w:val="both"/>
      </w:pPr>
      <w:r>
        <w:t>The research paper examined in this report is 'She didn't know how to go back': School attendance problems in the context of the COVID-19 pandemic – A multiple stakeholder qualitative study with parents and professionals, written by Brontë McDonald, Kathryn J. Lester and Daniel Michelson and published in the British Journal of Educational Psychology in 2023 (McDonald, Lester and Michelson, 2023).</w:t>
      </w:r>
    </w:p>
    <w:p w14:paraId="35BE0CD7" w14:textId="77777777" w:rsidR="00ED1344" w:rsidRDefault="00000000">
      <w:pPr>
        <w:spacing w:after="200" w:line="360" w:lineRule="auto"/>
        <w:jc w:val="both"/>
      </w:pPr>
      <w:r>
        <w:t>The paper explores school attendance problems (SAPs) among primary-school-aged children during and after the COVID-19 pandemic. SAPs describe situations where children struggle to attend school regularly, often because of anxiety rather than physical illness or truancy. The study set out to understand how these difficulties developed against the background of repeated national school closures, and to identify community-based ways of supporting the families affected.</w:t>
      </w:r>
    </w:p>
    <w:p w14:paraId="56FF548B" w14:textId="77777777" w:rsidR="00ED1344" w:rsidRDefault="00000000">
      <w:pPr>
        <w:spacing w:after="200" w:line="360" w:lineRule="auto"/>
        <w:jc w:val="both"/>
      </w:pPr>
      <w:r>
        <w:t>The research focuses on two groups of people. The first is parents of primary-school children who had experienced attendance difficulties across the 2020–2021 academic year. The second is professionals who work with these children and families, including headteachers, educational psychologists, Education Mental Health Practitioners, class teachers, special educational needs coordinators and attendance service officers. Both groups were based in Southern England.</w:t>
      </w:r>
    </w:p>
    <w:p w14:paraId="1C5B3A6E" w14:textId="77777777" w:rsidR="00ED1344" w:rsidRDefault="00000000">
      <w:pPr>
        <w:spacing w:after="200" w:line="360" w:lineRule="auto"/>
        <w:jc w:val="both"/>
      </w:pPr>
      <w:r>
        <w:t xml:space="preserve">This topic matters to UK health and social care because poor school attendance is linked to a range of harmful long-term outcomes, including low academic attainment, school drop-out, unemployment and mental health difficulties (McDonald, Lester and Michelson, 2023). Persistent absence rose sharply after the pandemic, and children with special educational needs or existing anxiety were among the worst affected (Department for Education, 2022). Because attendance sits at the point where education, mental health services and social care overlap, it is a shared concern for many practitioners. The authors also point out that specialist services such as child mental health teams are already overstretched, so support that is easy to access within the community is badly needed. The topic itself grew out of a gap in existing research, which had concentrated mainly on secondary schools, relied largely on numerical </w:t>
      </w:r>
      <w:r>
        <w:lastRenderedPageBreak/>
        <w:t>methods, and rarely captured the views of several different stakeholder groups at the same time.</w:t>
      </w:r>
    </w:p>
    <w:p w14:paraId="72DD50F2" w14:textId="77777777" w:rsidR="00ED1344" w:rsidRDefault="00000000">
      <w:pPr>
        <w:pStyle w:val="Heading1"/>
        <w:spacing w:before="240" w:after="160" w:line="360" w:lineRule="auto"/>
      </w:pPr>
      <w:bookmarkStart w:id="2" w:name="_Toc234005038"/>
      <w:bookmarkStart w:id="3" w:name="_Toc234006078"/>
      <w:r>
        <w:t>Section 2: Understanding the Purpose and Research Question</w:t>
      </w:r>
      <w:bookmarkEnd w:id="2"/>
      <w:bookmarkEnd w:id="3"/>
    </w:p>
    <w:p w14:paraId="2F773C97" w14:textId="77777777" w:rsidR="00ED1344" w:rsidRDefault="00000000">
      <w:pPr>
        <w:spacing w:after="200" w:line="360" w:lineRule="auto"/>
        <w:jc w:val="both"/>
      </w:pPr>
      <w:r>
        <w:t>The overall purpose of the study was twofold: to build a detailed understanding of how SAPs affected primary-aged children during COVID-19, and to identify promising community-based support strategies (McDonald, Lester and Michelson, 2023). To meet this aim, the researchers set three research questions. The first asked what factors were associated with SAPs for primary-aged children during the pandemic. The second asked what formal and informal support had been offered before and during the pandemic, and how effective it had been. The third asked what other approaches might help affected families, and how these could realistically be put into practice.</w:t>
      </w:r>
    </w:p>
    <w:p w14:paraId="0C5C3D42" w14:textId="77777777" w:rsidR="00ED1344" w:rsidRDefault="00000000">
      <w:pPr>
        <w:pStyle w:val="Heading1"/>
        <w:spacing w:before="240" w:after="160" w:line="360" w:lineRule="auto"/>
      </w:pPr>
      <w:bookmarkStart w:id="4" w:name="_Toc234005039"/>
      <w:bookmarkStart w:id="5" w:name="_Toc234006079"/>
      <w:r>
        <w:t>Section 3: Understanding the Research Methods</w:t>
      </w:r>
      <w:bookmarkEnd w:id="4"/>
      <w:bookmarkEnd w:id="5"/>
    </w:p>
    <w:p w14:paraId="49A6BCA1" w14:textId="77777777" w:rsidR="00ED1344" w:rsidRDefault="00000000">
      <w:pPr>
        <w:spacing w:after="200" w:line="360" w:lineRule="auto"/>
        <w:jc w:val="both"/>
      </w:pPr>
      <w:r>
        <w:t xml:space="preserve">Research methods are the tools and procedures a researcher uses to gather and make sense of information. Broadly, they fall into three approaches. Quantitative research collects numerical data and analyses it using statistics; it is useful for measuring how often something happens or for testing relationships between variables (Bryman, 2016). Qualitative research collects non-numerical data such as words, experiences and opinions, usually through interviews, focus groups or open questions, and is better suited to understanding meaning and the reasons behind people's behaviour (Braun and Clarke, 2021). </w:t>
      </w:r>
      <w:proofErr w:type="gramStart"/>
      <w:r>
        <w:t>Mixed-methods</w:t>
      </w:r>
      <w:proofErr w:type="gramEnd"/>
      <w:r>
        <w:t xml:space="preserve"> research deliberately combines quantitative and qualitative approaches within a single study, so that the strengths of one can offset the weaknesses of the other (Creswell and Creswell, 2018). Choosing between them depends on the research question: numbers answer “how many” or “how much”, whereas words answer “why” and “how”.</w:t>
      </w:r>
    </w:p>
    <w:p w14:paraId="1C9F5A69" w14:textId="77777777" w:rsidR="00ED1344" w:rsidRDefault="00000000">
      <w:pPr>
        <w:spacing w:after="200" w:line="360" w:lineRule="auto"/>
        <w:jc w:val="both"/>
      </w:pPr>
      <w:r>
        <w:t xml:space="preserve">The study by McDonald, Lester and Michelson (2023) is qualitative. The researchers were interested in people's experiences, feelings and explanations rather than in measuring or counting, which is why they gathered detailed written and spoken accounts from parents and professionals. This choice suits the topic well, because attendance problems are complex and emotional, and statistics alone could not capture the fear, guilt and frustration that families described. It is worth noting that the authors label their design “qualitative, </w:t>
      </w:r>
      <w:proofErr w:type="gramStart"/>
      <w:r>
        <w:t>mixed-method</w:t>
      </w:r>
      <w:proofErr w:type="gramEnd"/>
      <w:r>
        <w:t>”. In this case the term does not mean a mix of numbers and words; it refers instead to combining two different qualitative methods – surveys followed by interviews – across two sequential phases (Morse, 2010, cited in McDonald, Lester and Michelson, 2023). Recognising this distinction matters, because the study is not a true quantitative–qualitative mix but a layered qualitative design.</w:t>
      </w:r>
    </w:p>
    <w:p w14:paraId="285C3388" w14:textId="4E11F7C7" w:rsidR="00ED1344" w:rsidRDefault="00000000">
      <w:pPr>
        <w:spacing w:after="200" w:line="360" w:lineRule="auto"/>
        <w:jc w:val="both"/>
      </w:pPr>
      <w:r>
        <w:lastRenderedPageBreak/>
        <w:t xml:space="preserve">The method can be explained simply. In Phase 1, parents and professionals completed online surveys made up of open-ended, free-text questions. Parents were recruited through parent and community social media groups, while professionals were reached through local authorities and by approaching schools with high absence rates. These early responses were used to generate insight and to shape the questions asked later. In Phase 2, a smaller number of participants took part in in-depth, semi-structured interviews conducted by telephone or video call, which allowed the researchers to explore the survey findings in greater depth. This two-stage design let the team hear from a larger group first and then focus closely on the issues that mattered most to families. </w:t>
      </w:r>
      <w:r w:rsidR="00093CF5" w:rsidRPr="00093CF5">
        <w:t>A strength of this two-phase approach is that the survey stage allowed the researchers to collect a wider range of views, while the interview stage allowed them to explore important issues in more depth. This made the method suitable for a sensitive topic such as school attendance problems, where parents and professionals may have different experiences and explanations.</w:t>
      </w:r>
      <w:r w:rsidR="00093CF5">
        <w:t xml:space="preserve"> </w:t>
      </w:r>
      <w:r>
        <w:t>Before any data was gathered, the study was approved by a UK Research Ethics Committee, and participants gave informed consent and received small vouchers for their time, which shows that the research followed accepted ethical standards for working with families.</w:t>
      </w:r>
    </w:p>
    <w:p w14:paraId="7431A386" w14:textId="77777777" w:rsidR="00ED1344" w:rsidRDefault="00000000">
      <w:pPr>
        <w:spacing w:after="200" w:line="360" w:lineRule="auto"/>
        <w:jc w:val="both"/>
      </w:pPr>
      <w:r>
        <w:t>A further important distinction is between primary and secondary data. Primary data is information collected first-hand by the researcher for their own specific study, whereas secondary data is information that already exists and was gathered by someone else for another purpose, such as official statistics or existing records (Moule, 2018). This study relied on primary data: the surveys and interviews were designed and carried out by the research team specifically to answer their research questions. The data was collected directly from twenty-nine parents and nineteen professionals in Phase 1, and from ten parents and twelve professionals in Phase 2. All interviews were recorded, transcribed word for word and anonymised to protect the identities of those taking part.</w:t>
      </w:r>
    </w:p>
    <w:p w14:paraId="2F5B3195" w14:textId="77777777" w:rsidR="00ED1344" w:rsidRDefault="00000000">
      <w:pPr>
        <w:spacing w:after="200" w:line="360" w:lineRule="auto"/>
        <w:jc w:val="both"/>
      </w:pPr>
      <w:r>
        <w:t xml:space="preserve">The data was analysed using thematic framework analysis, a structured method for organising and interpreting qualitative data (Gale et al., 2013). The researchers combined deductive coding, where some categories were decided in advance from the research questions, with inductive coding, where fresh categories emerged from the data itself. The analysis moved through recognised stages: becoming familiar with the transcripts through repeated reading, building a framework of categories, indexing the data against that framework, charting it into a more manageable format, and finally mapping and interpreting the themes across the whole data set (Ritchie and Lewis, 2003). This produced three overarching themes: the factors contributing to SAPs, the ways parents and professionals responded to them, and the areas where additional support was needed. Drawing on two stakeholder groups also let the </w:t>
      </w:r>
      <w:r>
        <w:lastRenderedPageBreak/>
        <w:t>researchers compare where parents and professionals agreed and disagreed, which strengthens the trustworthiness of the findings.</w:t>
      </w:r>
    </w:p>
    <w:p w14:paraId="5889FC2A" w14:textId="77777777" w:rsidR="00ED1344" w:rsidRDefault="00000000">
      <w:pPr>
        <w:spacing w:after="200" w:line="360" w:lineRule="auto"/>
        <w:jc w:val="both"/>
      </w:pPr>
      <w:r>
        <w:t>Overall, the methods were well matched to the aims of the study. A qualitative, two-phase design was an appropriate choice for a sensitive and under-researched topic, because it prioritised depth and lived experience over numbers. The main limitation the authors acknowledge is that the parent sample was made up only of mothers and was mostly White British, so the findings may not reflect the experiences of fathers or of families from other ethnic backgrounds. Even so, the clear, staged method and the use of primary data collected directly from those involved make the study a credible source for informing practice.</w:t>
      </w:r>
    </w:p>
    <w:p w14:paraId="409BCBB2" w14:textId="77777777" w:rsidR="00ED1344" w:rsidRDefault="00000000">
      <w:pPr>
        <w:pStyle w:val="Heading1"/>
        <w:spacing w:before="240" w:after="160" w:line="360" w:lineRule="auto"/>
      </w:pPr>
      <w:bookmarkStart w:id="6" w:name="_Toc234005040"/>
      <w:bookmarkStart w:id="7" w:name="_Toc234006080"/>
      <w:r>
        <w:t>Section 4: Conclusion</w:t>
      </w:r>
      <w:bookmarkEnd w:id="6"/>
      <w:bookmarkEnd w:id="7"/>
    </w:p>
    <w:p w14:paraId="33E24FD8" w14:textId="77777777" w:rsidR="00ED1344" w:rsidRDefault="00000000">
      <w:pPr>
        <w:spacing w:after="200" w:line="360" w:lineRule="auto"/>
        <w:jc w:val="both"/>
      </w:pPr>
      <w:r>
        <w:t xml:space="preserve">This report has broken a qualitative study down into its key parts </w:t>
      </w:r>
      <w:proofErr w:type="gramStart"/>
      <w:r>
        <w:t>in order to</w:t>
      </w:r>
      <w:proofErr w:type="gramEnd"/>
      <w:r>
        <w:t xml:space="preserve"> understand how research is designed and reported. The paper by McDonald, Lester and Michelson (2023) investigated school attendance problems among primary-school children during the COVID-19 pandemic, drawing on the views of both parents and professionals in Southern England. Its purpose was to understand how these difficulties arose and to identify accessible, community-based ways of supporting families. The study used a two-phase qualitative design, collecting primary data through open-ended surveys and semi-structured interviews, which were then examined using thematic framework analysis. From this, the researchers identified the factors behind attendance problems, the responses of families and schools, and the priorities for future support.</w:t>
      </w:r>
    </w:p>
    <w:p w14:paraId="477F32A9" w14:textId="3FC49DE0" w:rsidR="00064B90" w:rsidRDefault="00000000">
      <w:pPr>
        <w:spacing w:after="200" w:line="360" w:lineRule="auto"/>
        <w:jc w:val="both"/>
      </w:pPr>
      <w:r>
        <w:t xml:space="preserve">Working through this paper has developed several research skills that will be useful in future study and practice. I have learned how to identify a study's aims and research questions quickly, how to tell qualitative, quantitative and </w:t>
      </w:r>
      <w:proofErr w:type="gramStart"/>
      <w:r>
        <w:t>mixed-methods</w:t>
      </w:r>
      <w:proofErr w:type="gramEnd"/>
      <w:r>
        <w:t xml:space="preserve"> approaches apart, and how to recognise the difference between primary and secondary data. I have also seen why the choice of method must match the research question, and how a clear, well-described analysis process makes findings more trustworthy. In health and social care, being able to read and judge research in this way is an essential skill, because practice and policy should be built on sound evidence. These skills will help me to evaluate sources more critically, to support my own written work with credible evidence, and to make better-informed decisions in a professional setting.</w:t>
      </w:r>
    </w:p>
    <w:p w14:paraId="23FB0CC3" w14:textId="77777777" w:rsidR="0054787B" w:rsidRDefault="0054787B">
      <w:pPr>
        <w:spacing w:after="200" w:line="360" w:lineRule="auto"/>
        <w:jc w:val="both"/>
      </w:pPr>
    </w:p>
    <w:p w14:paraId="3EB018F6" w14:textId="77777777" w:rsidR="0054787B" w:rsidRDefault="0054787B">
      <w:pPr>
        <w:spacing w:after="200" w:line="360" w:lineRule="auto"/>
        <w:jc w:val="both"/>
      </w:pPr>
    </w:p>
    <w:p w14:paraId="7EF3BFF6" w14:textId="77777777" w:rsidR="0054787B" w:rsidRDefault="0054787B">
      <w:pPr>
        <w:spacing w:after="200" w:line="360" w:lineRule="auto"/>
        <w:jc w:val="both"/>
      </w:pPr>
    </w:p>
    <w:p w14:paraId="72017111" w14:textId="0D3079FE" w:rsidR="00ED1344" w:rsidRDefault="00000000">
      <w:pPr>
        <w:pStyle w:val="Heading1"/>
        <w:spacing w:before="240" w:after="160" w:line="360" w:lineRule="auto"/>
      </w:pPr>
      <w:bookmarkStart w:id="8" w:name="_Toc234005041"/>
      <w:bookmarkStart w:id="9" w:name="_Toc234006081"/>
      <w:r>
        <w:lastRenderedPageBreak/>
        <w:t>Reference List</w:t>
      </w:r>
      <w:bookmarkEnd w:id="8"/>
      <w:bookmarkEnd w:id="9"/>
    </w:p>
    <w:p w14:paraId="3C5B9B1A" w14:textId="77777777" w:rsidR="00ED1344" w:rsidRDefault="00000000" w:rsidP="00064B90">
      <w:pPr>
        <w:spacing w:after="200" w:line="360" w:lineRule="auto"/>
      </w:pPr>
      <w:r>
        <w:t>Braun, V. and Clarke, V. (2021) Thematic Analysis: A Practical Guide. London: SAGE.</w:t>
      </w:r>
    </w:p>
    <w:p w14:paraId="215A0D16" w14:textId="77777777" w:rsidR="00ED1344" w:rsidRDefault="00000000" w:rsidP="00064B90">
      <w:pPr>
        <w:spacing w:after="200" w:line="360" w:lineRule="auto"/>
      </w:pPr>
      <w:r>
        <w:t xml:space="preserve">Bryman, A. (2016) Social Research Methods. 5th </w:t>
      </w:r>
      <w:proofErr w:type="spellStart"/>
      <w:r>
        <w:t>edn</w:t>
      </w:r>
      <w:proofErr w:type="spellEnd"/>
      <w:r>
        <w:t>. Oxford: Oxford University Press.</w:t>
      </w:r>
    </w:p>
    <w:p w14:paraId="16B4DA43" w14:textId="77777777" w:rsidR="00ED1344" w:rsidRDefault="00000000" w:rsidP="00064B90">
      <w:pPr>
        <w:spacing w:after="200" w:line="360" w:lineRule="auto"/>
      </w:pPr>
      <w:r>
        <w:t xml:space="preserve">Creswell, J.W. and Creswell, J.D. (2018) Research Design: Qualitative, Quantitative, and Mixed Methods Approaches. 5th </w:t>
      </w:r>
      <w:proofErr w:type="spellStart"/>
      <w:r>
        <w:t>edn</w:t>
      </w:r>
      <w:proofErr w:type="spellEnd"/>
      <w:r>
        <w:t>. Thousand Oaks, CA: SAGE.</w:t>
      </w:r>
    </w:p>
    <w:p w14:paraId="33260AF1" w14:textId="322D0566" w:rsidR="00ED1344" w:rsidRDefault="00000000" w:rsidP="00064B90">
      <w:pPr>
        <w:spacing w:after="200" w:line="360" w:lineRule="auto"/>
      </w:pPr>
      <w:r>
        <w:t xml:space="preserve">Department for Education (2022) Pupil absence in schools in England. Available at: </w:t>
      </w:r>
      <w:hyperlink r:id="rId7" w:history="1">
        <w:r w:rsidR="00072951" w:rsidRPr="00577E1B">
          <w:rPr>
            <w:rStyle w:val="Hyperlink"/>
          </w:rPr>
          <w:t>https://explore-education-statistics.service.gov.uk/find-statistics/pupil-absence-in-schools-in-england</w:t>
        </w:r>
      </w:hyperlink>
      <w:r w:rsidR="00072951">
        <w:t xml:space="preserve"> </w:t>
      </w:r>
    </w:p>
    <w:p w14:paraId="557E87C8" w14:textId="77777777" w:rsidR="00ED1344" w:rsidRDefault="00000000" w:rsidP="00064B90">
      <w:pPr>
        <w:spacing w:after="200" w:line="360" w:lineRule="auto"/>
      </w:pPr>
      <w:r>
        <w:t>Gale, N.K., Heath, G., Cameron, E., Rashid, S. and Redwood, S. (2013) 'Using the framework method for the analysis of qualitative data in multi-disciplinary health research', BMC Medical Research Methodology, 13(1), 117.</w:t>
      </w:r>
    </w:p>
    <w:p w14:paraId="722BE164" w14:textId="77777777" w:rsidR="00ED1344" w:rsidRDefault="00000000" w:rsidP="00064B90">
      <w:pPr>
        <w:spacing w:after="200" w:line="360" w:lineRule="auto"/>
      </w:pPr>
      <w:r>
        <w:t>McDonald, B., Lester, K.J. and Michelson, D. (2023) '“She didn't know how to go back”: school attendance problems in the context of the COVID-19 pandemic – a multiple stakeholder qualitative study with parents and professionals', British Journal of Educational Psychology, 93(1), pp. 386–401.</w:t>
      </w:r>
    </w:p>
    <w:p w14:paraId="18729C16" w14:textId="77777777" w:rsidR="00ED1344" w:rsidRDefault="00000000" w:rsidP="00064B90">
      <w:pPr>
        <w:spacing w:after="200" w:line="360" w:lineRule="auto"/>
      </w:pPr>
      <w:r>
        <w:t xml:space="preserve">Moule, P. (2018) Making Sense of Research in Nursing, Health and Social Care. 6th </w:t>
      </w:r>
      <w:proofErr w:type="spellStart"/>
      <w:r>
        <w:t>edn</w:t>
      </w:r>
      <w:proofErr w:type="spellEnd"/>
      <w:r>
        <w:t>. London: SAGE.</w:t>
      </w:r>
    </w:p>
    <w:p w14:paraId="7FDABB0D" w14:textId="77777777" w:rsidR="00ED1344" w:rsidRDefault="00000000" w:rsidP="00064B90">
      <w:pPr>
        <w:spacing w:after="200" w:line="360" w:lineRule="auto"/>
      </w:pPr>
      <w:r>
        <w:t>Ritchie, J. and Lewis, J. (2003) Qualitative Research Practice: A Guide for Social Science Students and Researchers. London: SAGE.</w:t>
      </w:r>
    </w:p>
    <w:sectPr w:rsidR="00ED1344">
      <w:footerReference w:type="default" r:id="rId8"/>
      <w:footerReference w:type="first" r:id="rId9"/>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26360" w14:textId="77777777" w:rsidR="00E25131" w:rsidRDefault="00E25131">
      <w:r>
        <w:separator/>
      </w:r>
    </w:p>
  </w:endnote>
  <w:endnote w:type="continuationSeparator" w:id="0">
    <w:p w14:paraId="24F93027" w14:textId="77777777" w:rsidR="00E25131" w:rsidRDefault="00E25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8A3ED" w14:textId="77777777" w:rsidR="00ED1344" w:rsidRDefault="00000000">
    <w:pPr>
      <w:jc w:val="center"/>
    </w:pPr>
    <w:r>
      <w:rPr>
        <w:sz w:val="20"/>
        <w:szCs w:val="20"/>
      </w:rPr>
      <w:fldChar w:fldCharType="begin"/>
    </w:r>
    <w:r>
      <w:rPr>
        <w:sz w:val="20"/>
        <w:szCs w:val="20"/>
      </w:rPr>
      <w:instrText>PAGE</w:instrText>
    </w:r>
    <w:r>
      <w:rPr>
        <w:sz w:val="20"/>
        <w:szCs w:val="20"/>
      </w:rPr>
      <w:fldChar w:fldCharType="separate"/>
    </w:r>
    <w:r w:rsidR="00064B90">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980A7" w14:textId="77777777" w:rsidR="00ED1344" w:rsidRDefault="00ED13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18EA1" w14:textId="77777777" w:rsidR="00E25131" w:rsidRDefault="00E25131">
      <w:r>
        <w:separator/>
      </w:r>
    </w:p>
  </w:footnote>
  <w:footnote w:type="continuationSeparator" w:id="0">
    <w:p w14:paraId="3AF325EA" w14:textId="77777777" w:rsidR="00E25131" w:rsidRDefault="00E25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23806"/>
    <w:multiLevelType w:val="hybridMultilevel"/>
    <w:tmpl w:val="E9481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5E2B36"/>
    <w:multiLevelType w:val="hybridMultilevel"/>
    <w:tmpl w:val="D35E3402"/>
    <w:lvl w:ilvl="0" w:tplc="79005596">
      <w:start w:val="1"/>
      <w:numFmt w:val="bullet"/>
      <w:lvlText w:val="●"/>
      <w:lvlJc w:val="left"/>
      <w:pPr>
        <w:ind w:left="720" w:hanging="360"/>
      </w:pPr>
    </w:lvl>
    <w:lvl w:ilvl="1" w:tplc="F0DE14C6">
      <w:start w:val="1"/>
      <w:numFmt w:val="bullet"/>
      <w:lvlText w:val="○"/>
      <w:lvlJc w:val="left"/>
      <w:pPr>
        <w:ind w:left="1440" w:hanging="360"/>
      </w:pPr>
    </w:lvl>
    <w:lvl w:ilvl="2" w:tplc="5CE05B8A">
      <w:start w:val="1"/>
      <w:numFmt w:val="bullet"/>
      <w:lvlText w:val="■"/>
      <w:lvlJc w:val="left"/>
      <w:pPr>
        <w:ind w:left="2160" w:hanging="360"/>
      </w:pPr>
    </w:lvl>
    <w:lvl w:ilvl="3" w:tplc="2AD0D06E">
      <w:start w:val="1"/>
      <w:numFmt w:val="bullet"/>
      <w:lvlText w:val="●"/>
      <w:lvlJc w:val="left"/>
      <w:pPr>
        <w:ind w:left="2880" w:hanging="360"/>
      </w:pPr>
    </w:lvl>
    <w:lvl w:ilvl="4" w:tplc="985EFE76">
      <w:start w:val="1"/>
      <w:numFmt w:val="bullet"/>
      <w:lvlText w:val="○"/>
      <w:lvlJc w:val="left"/>
      <w:pPr>
        <w:ind w:left="3600" w:hanging="360"/>
      </w:pPr>
    </w:lvl>
    <w:lvl w:ilvl="5" w:tplc="B48AB382">
      <w:start w:val="1"/>
      <w:numFmt w:val="bullet"/>
      <w:lvlText w:val="■"/>
      <w:lvlJc w:val="left"/>
      <w:pPr>
        <w:ind w:left="4320" w:hanging="360"/>
      </w:pPr>
    </w:lvl>
    <w:lvl w:ilvl="6" w:tplc="FD3EE9CC">
      <w:start w:val="1"/>
      <w:numFmt w:val="bullet"/>
      <w:lvlText w:val="●"/>
      <w:lvlJc w:val="left"/>
      <w:pPr>
        <w:ind w:left="5040" w:hanging="360"/>
      </w:pPr>
    </w:lvl>
    <w:lvl w:ilvl="7" w:tplc="E7F07248">
      <w:start w:val="1"/>
      <w:numFmt w:val="bullet"/>
      <w:lvlText w:val="●"/>
      <w:lvlJc w:val="left"/>
      <w:pPr>
        <w:ind w:left="5760" w:hanging="360"/>
      </w:pPr>
    </w:lvl>
    <w:lvl w:ilvl="8" w:tplc="D7D23570">
      <w:start w:val="1"/>
      <w:numFmt w:val="bullet"/>
      <w:lvlText w:val="●"/>
      <w:lvlJc w:val="left"/>
      <w:pPr>
        <w:ind w:left="6480" w:hanging="360"/>
      </w:pPr>
    </w:lvl>
  </w:abstractNum>
  <w:num w:numId="1" w16cid:durableId="325086026">
    <w:abstractNumId w:val="1"/>
    <w:lvlOverride w:ilvl="0">
      <w:startOverride w:val="1"/>
    </w:lvlOverride>
  </w:num>
  <w:num w:numId="2" w16cid:durableId="775714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344"/>
    <w:rsid w:val="00064B90"/>
    <w:rsid w:val="00072951"/>
    <w:rsid w:val="00093CF5"/>
    <w:rsid w:val="001529F8"/>
    <w:rsid w:val="0054787B"/>
    <w:rsid w:val="008802A8"/>
    <w:rsid w:val="00942CBF"/>
    <w:rsid w:val="00C51BBB"/>
    <w:rsid w:val="00C77DB2"/>
    <w:rsid w:val="00E25131"/>
    <w:rsid w:val="00ED1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81D6"/>
  <w15:docId w15:val="{25B099D4-006B-4759-941B-B3965936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26"/>
      <w:szCs w:val="2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064B90"/>
    <w:pPr>
      <w:spacing w:after="100"/>
    </w:pPr>
  </w:style>
  <w:style w:type="character" w:styleId="UnresolvedMention">
    <w:name w:val="Unresolved Mention"/>
    <w:basedOn w:val="DefaultParagraphFont"/>
    <w:uiPriority w:val="99"/>
    <w:semiHidden/>
    <w:unhideWhenUsed/>
    <w:rsid w:val="00064B90"/>
    <w:rPr>
      <w:color w:val="605E5C"/>
      <w:shd w:val="clear" w:color="auto" w:fill="E1DFDD"/>
    </w:rPr>
  </w:style>
  <w:style w:type="character" w:styleId="FollowedHyperlink">
    <w:name w:val="FollowedHyperlink"/>
    <w:basedOn w:val="DefaultParagraphFont"/>
    <w:uiPriority w:val="99"/>
    <w:semiHidden/>
    <w:unhideWhenUsed/>
    <w:rsid w:val="00093CF5"/>
    <w:rPr>
      <w:color w:val="96607D" w:themeColor="followedHyperlink"/>
      <w:u w:val="single"/>
    </w:rPr>
  </w:style>
  <w:style w:type="paragraph" w:styleId="TOCHeading">
    <w:name w:val="TOC Heading"/>
    <w:basedOn w:val="Heading1"/>
    <w:next w:val="Normal"/>
    <w:uiPriority w:val="39"/>
    <w:unhideWhenUsed/>
    <w:qFormat/>
    <w:rsid w:val="00093CF5"/>
    <w:pPr>
      <w:keepNext/>
      <w:keepLines/>
      <w:spacing w:before="24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xplore-education-statistics.service.gov.uk/find-statistics/pupil-absence-in-schools-in-engl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Burhan Tahir Muhammad</cp:lastModifiedBy>
  <cp:revision>9</cp:revision>
  <dcterms:created xsi:type="dcterms:W3CDTF">2026-07-03T19:17:00Z</dcterms:created>
  <dcterms:modified xsi:type="dcterms:W3CDTF">2026-07-03T20:34:00Z</dcterms:modified>
</cp:coreProperties>
</file>