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52A4A" w14:textId="77777777" w:rsidR="00FB402C" w:rsidRPr="00FB402C" w:rsidRDefault="00FB402C" w:rsidP="002A149F">
      <w:pPr>
        <w:spacing w:line="360" w:lineRule="auto"/>
        <w:rPr>
          <w:rStyle w:val="Hyperlink"/>
          <w:b/>
          <w:bCs/>
          <w:color w:val="auto"/>
        </w:rPr>
      </w:pPr>
      <w:r w:rsidRPr="00FB402C">
        <w:rPr>
          <w:b/>
          <w:bCs/>
        </w:rPr>
        <w:fldChar w:fldCharType="begin"/>
      </w:r>
      <w:r w:rsidRPr="00FB402C">
        <w:rPr>
          <w:b/>
          <w:bCs/>
        </w:rPr>
        <w:instrText xml:space="preserve"> HYPERLINK "https://moodle.uwtsd.ac.uk/course/view.php?id=8269" </w:instrText>
      </w:r>
      <w:r w:rsidRPr="00FB402C">
        <w:rPr>
          <w:b/>
          <w:bCs/>
        </w:rPr>
        <w:fldChar w:fldCharType="separate"/>
      </w:r>
    </w:p>
    <w:p w14:paraId="2FA437E5" w14:textId="77777777" w:rsidR="00FB402C" w:rsidRPr="00FB402C" w:rsidRDefault="00FB402C" w:rsidP="002A149F">
      <w:pPr>
        <w:spacing w:line="360" w:lineRule="auto"/>
        <w:rPr>
          <w:rStyle w:val="Hyperlink"/>
          <w:b/>
          <w:bCs/>
          <w:color w:val="auto"/>
        </w:rPr>
      </w:pPr>
      <w:r w:rsidRPr="00FB402C">
        <w:rPr>
          <w:rStyle w:val="Hyperlink"/>
          <w:b/>
          <w:bCs/>
          <w:color w:val="auto"/>
        </w:rPr>
        <w:t>Bodily Distempers and Passions of the Mind: Shakespeare and Donne (HPEN7010)</w:t>
      </w:r>
    </w:p>
    <w:p w14:paraId="7A44FB19" w14:textId="12463351" w:rsidR="00887F13" w:rsidRPr="006E4BC8" w:rsidRDefault="00FB402C" w:rsidP="002A149F">
      <w:pPr>
        <w:spacing w:line="360" w:lineRule="auto"/>
        <w:rPr>
          <w:b/>
          <w:bCs/>
        </w:rPr>
      </w:pPr>
      <w:r w:rsidRPr="00FB402C">
        <w:rPr>
          <w:b/>
          <w:bCs/>
        </w:rPr>
        <w:fldChar w:fldCharType="end"/>
      </w:r>
      <w:r w:rsidR="00AC1F5D">
        <w:rPr>
          <w:b/>
          <w:bCs/>
        </w:rPr>
        <w:t>Assignment two</w:t>
      </w:r>
    </w:p>
    <w:p w14:paraId="1346A869" w14:textId="64891705" w:rsidR="005F3602" w:rsidRPr="00887F13" w:rsidRDefault="00887F13" w:rsidP="002A149F">
      <w:pPr>
        <w:spacing w:line="360" w:lineRule="auto"/>
        <w:rPr>
          <w:b/>
          <w:bCs/>
          <w:i/>
          <w:iCs/>
        </w:rPr>
      </w:pPr>
      <w:r w:rsidRPr="00887F13">
        <w:rPr>
          <w:b/>
          <w:bCs/>
          <w:i/>
          <w:iCs/>
        </w:rPr>
        <w:t>Compare and contrast the approaches of Shakespeare and Donne in their portrayal of spiritual sickness in their respective sonnets.</w:t>
      </w:r>
    </w:p>
    <w:p w14:paraId="52A87298" w14:textId="77777777" w:rsidR="005F3602" w:rsidRDefault="005F3602" w:rsidP="002A149F">
      <w:pPr>
        <w:spacing w:line="360" w:lineRule="auto"/>
      </w:pPr>
    </w:p>
    <w:p w14:paraId="7A1E491B" w14:textId="18B77FA4" w:rsidR="00500B70" w:rsidRDefault="005074F7" w:rsidP="002A149F">
      <w:pPr>
        <w:spacing w:line="360" w:lineRule="auto"/>
      </w:pPr>
      <w:r>
        <w:t xml:space="preserve">This assignment will take </w:t>
      </w:r>
      <w:r w:rsidR="00420E8B">
        <w:t xml:space="preserve">a sonnet from </w:t>
      </w:r>
      <w:r w:rsidR="004A6ECD">
        <w:t>Shakespeare</w:t>
      </w:r>
      <w:r w:rsidR="00420E8B">
        <w:t xml:space="preserve"> and Donne to examine how each approach </w:t>
      </w:r>
      <w:r w:rsidR="007955F8">
        <w:t xml:space="preserve">the concept of spiritual sickness. </w:t>
      </w:r>
      <w:r w:rsidR="00500B70">
        <w:t xml:space="preserve">I will start with an examination of Shakespeare’s sonnet 146 before considering John Donne’s Holy Sonnet number 2. </w:t>
      </w:r>
      <w:r w:rsidR="00AA0C9A">
        <w:t xml:space="preserve">By focussing on </w:t>
      </w:r>
      <w:proofErr w:type="gramStart"/>
      <w:r w:rsidR="00AA0C9A">
        <w:t>some</w:t>
      </w:r>
      <w:proofErr w:type="gramEnd"/>
      <w:r w:rsidR="00AA0C9A">
        <w:t xml:space="preserve"> key lines in each poem I will examine the</w:t>
      </w:r>
      <w:r w:rsidR="00B94662">
        <w:t xml:space="preserve">ir respective </w:t>
      </w:r>
      <w:r w:rsidR="00AA0C9A">
        <w:t>portrayal</w:t>
      </w:r>
      <w:r w:rsidR="00B94662">
        <w:t>s</w:t>
      </w:r>
      <w:r w:rsidR="00AA0C9A">
        <w:t xml:space="preserve"> of spiritual sickness</w:t>
      </w:r>
      <w:r w:rsidR="00B94662">
        <w:t xml:space="preserve">, the theological and </w:t>
      </w:r>
      <w:r w:rsidR="002F5409">
        <w:t xml:space="preserve">aesthetic critical readings from a range of critics, and </w:t>
      </w:r>
      <w:r w:rsidR="00594C34">
        <w:t xml:space="preserve">some of the </w:t>
      </w:r>
      <w:r w:rsidR="00866707">
        <w:t>contemporaneous</w:t>
      </w:r>
      <w:r w:rsidR="00594C34">
        <w:t xml:space="preserve"> influences on each poem.</w:t>
      </w:r>
      <w:r w:rsidR="001D05FC">
        <w:t xml:space="preserve"> I will take time to examine just how religious</w:t>
      </w:r>
      <w:r w:rsidR="00A403FF">
        <w:t xml:space="preserve">, and particularly Christian, each poem is before concluding </w:t>
      </w:r>
      <w:r w:rsidR="00594C34">
        <w:t xml:space="preserve">by discussing the way the poems </w:t>
      </w:r>
      <w:r w:rsidR="00667257">
        <w:t xml:space="preserve">vary </w:t>
      </w:r>
      <w:r w:rsidR="00594C34">
        <w:t xml:space="preserve">in their final couplets and the </w:t>
      </w:r>
      <w:r w:rsidR="00667257">
        <w:t xml:space="preserve">differing </w:t>
      </w:r>
      <w:r w:rsidR="00A167BD">
        <w:t xml:space="preserve">spiritual </w:t>
      </w:r>
      <w:r w:rsidR="00A403FF">
        <w:t xml:space="preserve">resolution </w:t>
      </w:r>
      <w:r w:rsidR="00A167BD">
        <w:t xml:space="preserve">in the conclusions to the poem. I will particularly highlight the difference between the </w:t>
      </w:r>
      <w:r w:rsidR="004A6ECD">
        <w:t xml:space="preserve">clearly defined Calvinist/Reformed doctrines </w:t>
      </w:r>
      <w:r w:rsidR="001C2DB4">
        <w:t xml:space="preserve">in Donne </w:t>
      </w:r>
      <w:r w:rsidR="002A5029">
        <w:t xml:space="preserve">compared to the </w:t>
      </w:r>
      <w:proofErr w:type="gramStart"/>
      <w:r w:rsidR="002A5029">
        <w:t>more opaque</w:t>
      </w:r>
      <w:proofErr w:type="gramEnd"/>
      <w:r w:rsidR="002A5029">
        <w:t xml:space="preserve"> religious </w:t>
      </w:r>
      <w:r w:rsidR="00866707">
        <w:t xml:space="preserve">depiction </w:t>
      </w:r>
      <w:r w:rsidR="002A5029">
        <w:t>in Shakespeare</w:t>
      </w:r>
      <w:r w:rsidR="0090201B">
        <w:t xml:space="preserve"> and how this offers varying ‘cures’ to the spiritual sickness portrayed with Donne </w:t>
      </w:r>
      <w:r w:rsidR="001D05FC">
        <w:t xml:space="preserve">moving </w:t>
      </w:r>
      <w:r w:rsidR="005177E8">
        <w:t xml:space="preserve">quickly in the poem to </w:t>
      </w:r>
      <w:r w:rsidR="00A97B5D">
        <w:t xml:space="preserve">a divine resolution </w:t>
      </w:r>
      <w:r w:rsidR="008B122B">
        <w:t>which contrasts with the conclusions of Shakespeare’s sonnet</w:t>
      </w:r>
      <w:r w:rsidR="0090201B">
        <w:t>.</w:t>
      </w:r>
    </w:p>
    <w:p w14:paraId="080F04DA" w14:textId="5180E211" w:rsidR="00994471" w:rsidRDefault="00994471" w:rsidP="002A149F">
      <w:pPr>
        <w:spacing w:line="360" w:lineRule="auto"/>
      </w:pPr>
      <w:r>
        <w:t xml:space="preserve">Shakespeare’s use of the phrase ‘poor soul’ </w:t>
      </w:r>
      <w:r w:rsidR="001C088E">
        <w:t xml:space="preserve">in </w:t>
      </w:r>
      <w:r>
        <w:t xml:space="preserve">the opening </w:t>
      </w:r>
      <w:r w:rsidR="001C088E">
        <w:t xml:space="preserve">lines </w:t>
      </w:r>
      <w:r>
        <w:t>to this sonnet</w:t>
      </w:r>
      <w:r w:rsidR="0000691B">
        <w:t xml:space="preserve">, </w:t>
      </w:r>
      <w:r w:rsidR="001C088E">
        <w:t>“</w:t>
      </w:r>
      <w:r w:rsidR="001C088E">
        <w:t>Poor soul, the centre of my sinful earth,</w:t>
      </w:r>
      <w:r w:rsidR="001C088E">
        <w:t xml:space="preserve">/ </w:t>
      </w:r>
      <w:r w:rsidR="001C088E">
        <w:t>...... these rebel powers that thee array,</w:t>
      </w:r>
      <w:r w:rsidR="001C088E">
        <w:t>”</w:t>
      </w:r>
      <w:r w:rsidR="005E5D3B">
        <w:rPr>
          <w:rStyle w:val="FootnoteReference"/>
        </w:rPr>
        <w:footnoteReference w:id="1"/>
      </w:r>
      <w:r>
        <w:t xml:space="preserve"> has been the subject of considerable debate</w:t>
      </w:r>
      <w:r w:rsidR="00A53D23">
        <w:t xml:space="preserve"> and this essay will consider contributions from a range of scholars including </w:t>
      </w:r>
      <w:r w:rsidR="00667D4A">
        <w:t>B C Southam, Charles Huttar, and Stephen Booth to illustrate this</w:t>
      </w:r>
      <w:r>
        <w:t xml:space="preserve">. The assumption </w:t>
      </w:r>
      <w:r w:rsidR="00773131">
        <w:t xml:space="preserve">has </w:t>
      </w:r>
      <w:proofErr w:type="gramStart"/>
      <w:r w:rsidR="00773131">
        <w:t xml:space="preserve">been </w:t>
      </w:r>
      <w:r w:rsidR="00B539CF">
        <w:t>made</w:t>
      </w:r>
      <w:proofErr w:type="gramEnd"/>
      <w:r w:rsidR="00B539CF">
        <w:t xml:space="preserve"> that </w:t>
      </w:r>
      <w:r w:rsidR="00BB66E8">
        <w:t xml:space="preserve">these opening lines </w:t>
      </w:r>
      <w:r w:rsidR="00B539CF">
        <w:t xml:space="preserve">refer to the Christian conception of the soul, an assumption both highlighted and challenged by B. C. Southam in his reading of the sonnet </w:t>
      </w:r>
      <w:r w:rsidR="00BB66E8">
        <w:t>that challenges many other interpretations</w:t>
      </w:r>
      <w:r w:rsidR="00BB66E8">
        <w:rPr>
          <w:rStyle w:val="FootnoteReference"/>
        </w:rPr>
        <w:footnoteReference w:id="2"/>
      </w:r>
      <w:r w:rsidR="00BB66E8">
        <w:t xml:space="preserve"> </w:t>
      </w:r>
      <w:r w:rsidR="006C1CAF">
        <w:t>arguing</w:t>
      </w:r>
      <w:r w:rsidR="00B539CF">
        <w:t xml:space="preserve"> that it is Shakespeare as humanist rather </w:t>
      </w:r>
      <w:r w:rsidR="009873DA">
        <w:t>t</w:t>
      </w:r>
      <w:r w:rsidR="00B539CF">
        <w:t xml:space="preserve">han orthodox Christian that is seen. This </w:t>
      </w:r>
      <w:proofErr w:type="gramStart"/>
      <w:r w:rsidR="00B539CF">
        <w:t>is explored</w:t>
      </w:r>
      <w:proofErr w:type="gramEnd"/>
      <w:r w:rsidR="00B539CF">
        <w:t xml:space="preserve"> in more detail below.</w:t>
      </w:r>
    </w:p>
    <w:p w14:paraId="0CC407AD" w14:textId="7A1D1EE9" w:rsidR="00B539CF" w:rsidRDefault="00B539CF" w:rsidP="002A149F">
      <w:pPr>
        <w:spacing w:line="360" w:lineRule="auto"/>
      </w:pPr>
      <w:r>
        <w:t>However, in looking at other uses of this phrase or similar within Shakespeare’s work Stephen Booth notes the use of ‘poor</w:t>
      </w:r>
      <w:r w:rsidR="00CD7D28">
        <w:t xml:space="preserve"> soul</w:t>
      </w:r>
      <w:r>
        <w:t xml:space="preserve">’ in </w:t>
      </w:r>
      <w:r w:rsidR="00CD7D28">
        <w:rPr>
          <w:i/>
          <w:iCs/>
        </w:rPr>
        <w:t>The Taming of the Shrew</w:t>
      </w:r>
      <w:r w:rsidR="00CD7D28">
        <w:t xml:space="preserve"> </w:t>
      </w:r>
      <w:proofErr w:type="gramStart"/>
      <w:r w:rsidR="00CD7D28">
        <w:t>IV:i</w:t>
      </w:r>
      <w:proofErr w:type="gramEnd"/>
      <w:r w:rsidR="00CD7D28">
        <w:t>:168 – 171:</w:t>
      </w:r>
    </w:p>
    <w:p w14:paraId="203C43FE" w14:textId="45DC408F" w:rsidR="00CD7D28" w:rsidRDefault="00CD7D28" w:rsidP="002A149F">
      <w:pPr>
        <w:spacing w:after="0" w:line="360" w:lineRule="auto"/>
      </w:pPr>
      <w:r>
        <w:lastRenderedPageBreak/>
        <w:tab/>
        <w:t>In her chamber,</w:t>
      </w:r>
    </w:p>
    <w:p w14:paraId="2DA57E20" w14:textId="24C0154F" w:rsidR="00CD7D28" w:rsidRDefault="00CD7D28" w:rsidP="002A149F">
      <w:pPr>
        <w:spacing w:after="0" w:line="360" w:lineRule="auto"/>
        <w:ind w:firstLine="720"/>
      </w:pPr>
      <w:r>
        <w:t>Making a sermon of continency to her,</w:t>
      </w:r>
    </w:p>
    <w:p w14:paraId="211EA02E" w14:textId="719977AA" w:rsidR="00CD7D28" w:rsidRDefault="00CD7D28" w:rsidP="002A149F">
      <w:pPr>
        <w:spacing w:after="0" w:line="360" w:lineRule="auto"/>
        <w:ind w:firstLine="720"/>
      </w:pPr>
      <w:r>
        <w:t>And rails, and swears, and rates, that she, poor soul,</w:t>
      </w:r>
    </w:p>
    <w:p w14:paraId="14498E47" w14:textId="772366EF" w:rsidR="00CD7D28" w:rsidRPr="00CD7D28" w:rsidRDefault="00CD7D28" w:rsidP="002A149F">
      <w:pPr>
        <w:spacing w:after="0" w:line="360" w:lineRule="auto"/>
        <w:ind w:firstLine="720"/>
      </w:pPr>
      <w:r>
        <w:t>Knows not which way to stand, to look, to speak.</w:t>
      </w:r>
      <w:r w:rsidR="00C705E8">
        <w:rPr>
          <w:rStyle w:val="FootnoteReference"/>
        </w:rPr>
        <w:footnoteReference w:id="3"/>
      </w:r>
    </w:p>
    <w:p w14:paraId="1577B9A7" w14:textId="77777777" w:rsidR="00A52615" w:rsidRDefault="00A52615" w:rsidP="002A149F">
      <w:pPr>
        <w:spacing w:line="360" w:lineRule="auto"/>
      </w:pPr>
    </w:p>
    <w:p w14:paraId="14470333" w14:textId="23A12588" w:rsidR="00B539CF" w:rsidRDefault="00A52615" w:rsidP="002A149F">
      <w:pPr>
        <w:spacing w:line="360" w:lineRule="auto"/>
      </w:pPr>
      <w:r>
        <w:t xml:space="preserve">This use of the phrase to express sympathy can be seen in other plays </w:t>
      </w:r>
      <w:r w:rsidR="00A41E46">
        <w:t xml:space="preserve">such as in </w:t>
      </w:r>
      <w:r>
        <w:rPr>
          <w:i/>
          <w:iCs/>
        </w:rPr>
        <w:t>A Comedy of Errors</w:t>
      </w:r>
      <w:r>
        <w:t xml:space="preserve"> </w:t>
      </w:r>
      <w:r w:rsidR="006D7B69">
        <w:t>(</w:t>
      </w:r>
      <w:r w:rsidR="00C2481D">
        <w:t xml:space="preserve">I:i:108 </w:t>
      </w:r>
      <w:r w:rsidR="006D7B69">
        <w:t>–</w:t>
      </w:r>
      <w:r w:rsidR="00C2481D">
        <w:t xml:space="preserve"> 109</w:t>
      </w:r>
      <w:r w:rsidR="006D7B69">
        <w:t>)</w:t>
      </w:r>
      <w:r w:rsidR="00C2481D">
        <w:t xml:space="preserve"> </w:t>
      </w:r>
      <w:r w:rsidR="00EF1A9C">
        <w:t>,</w:t>
      </w:r>
      <w:r w:rsidR="00A41E46">
        <w:t>“</w:t>
      </w:r>
      <w:r w:rsidR="00A41E46">
        <w:t>Her part, poor soul! seeming as burdened</w:t>
      </w:r>
      <w:r w:rsidR="002D2B28">
        <w:t xml:space="preserve">/ </w:t>
      </w:r>
      <w:r w:rsidR="00A41E46">
        <w:t>With lesser weight but not with lesser woe</w:t>
      </w:r>
      <w:r w:rsidR="002D2B28">
        <w:t>,”</w:t>
      </w:r>
      <w:r w:rsidR="00EF1A9C">
        <w:rPr>
          <w:rStyle w:val="FootnoteReference"/>
        </w:rPr>
        <w:footnoteReference w:id="4"/>
      </w:r>
      <w:r>
        <w:t xml:space="preserve"> and </w:t>
      </w:r>
      <w:r>
        <w:rPr>
          <w:i/>
          <w:iCs/>
        </w:rPr>
        <w:t>Julius Ceasar</w:t>
      </w:r>
      <w:r w:rsidR="00EF1A9C">
        <w:rPr>
          <w:i/>
          <w:iCs/>
        </w:rPr>
        <w:t xml:space="preserve"> </w:t>
      </w:r>
      <w:r w:rsidR="006D7B69">
        <w:t>(</w:t>
      </w:r>
      <w:r w:rsidR="00EF1A9C">
        <w:t>III:ii:116</w:t>
      </w:r>
      <w:r w:rsidR="006D7B69">
        <w:t>)</w:t>
      </w:r>
      <w:r w:rsidR="00EF1A9C">
        <w:t>,</w:t>
      </w:r>
      <w:r>
        <w:t xml:space="preserve"> </w:t>
      </w:r>
      <w:r w:rsidR="009873DA">
        <w:t>“</w:t>
      </w:r>
      <w:r w:rsidR="009873DA" w:rsidRPr="007E1B72">
        <w:rPr>
          <w:rFonts w:cstheme="minorHAnsi"/>
          <w:color w:val="000000"/>
        </w:rPr>
        <w:t>Poor soul! his eyes are red as fire with weepin</w:t>
      </w:r>
      <w:r w:rsidR="00832090">
        <w:rPr>
          <w:rFonts w:cstheme="minorHAnsi"/>
          <w:color w:val="000000"/>
        </w:rPr>
        <w:t>g.”</w:t>
      </w:r>
      <w:r w:rsidR="0038438A">
        <w:rPr>
          <w:rStyle w:val="FootnoteReference"/>
          <w:rFonts w:cstheme="minorHAnsi"/>
          <w:color w:val="000000"/>
        </w:rPr>
        <w:footnoteReference w:id="5"/>
      </w:r>
      <w:r w:rsidR="009873DA" w:rsidRPr="007E1B72">
        <w:rPr>
          <w:rFonts w:cstheme="minorHAnsi"/>
          <w:color w:val="000000"/>
        </w:rPr>
        <w:t>.</w:t>
      </w:r>
      <w:r>
        <w:t xml:space="preserve"> </w:t>
      </w:r>
      <w:r w:rsidR="006F31C0">
        <w:t>It should be noted that</w:t>
      </w:r>
      <w:r>
        <w:t xml:space="preserve"> these references to the soul do not make the distinction between that and the </w:t>
      </w:r>
      <w:r w:rsidR="00990887">
        <w:t>body,</w:t>
      </w:r>
      <w:r>
        <w:t xml:space="preserve"> which is seen in Sonnet 146, rather </w:t>
      </w:r>
      <w:proofErr w:type="gramStart"/>
      <w:r>
        <w:t>making reference</w:t>
      </w:r>
      <w:proofErr w:type="gramEnd"/>
      <w:r>
        <w:t xml:space="preserve"> to the “well established idiom meaning ‘</w:t>
      </w:r>
      <w:proofErr w:type="spellStart"/>
      <w:r>
        <w:t>poore</w:t>
      </w:r>
      <w:proofErr w:type="spellEnd"/>
      <w:r>
        <w:t xml:space="preserve"> creature’” [ref – Booth p. 502]. </w:t>
      </w:r>
      <w:r w:rsidR="00B67127">
        <w:t>However, a</w:t>
      </w:r>
      <w:r w:rsidR="0044746C">
        <w:t xml:space="preserve"> similar expression to that seen in this sonnet </w:t>
      </w:r>
      <w:proofErr w:type="gramStart"/>
      <w:r w:rsidR="0044746C">
        <w:t>is also found</w:t>
      </w:r>
      <w:proofErr w:type="gramEnd"/>
      <w:r w:rsidR="0044746C">
        <w:t xml:space="preserve"> in </w:t>
      </w:r>
      <w:r w:rsidR="0044746C" w:rsidRPr="0044746C">
        <w:rPr>
          <w:i/>
          <w:iCs/>
        </w:rPr>
        <w:t>Edward III</w:t>
      </w:r>
      <w:r w:rsidR="0044746C">
        <w:t xml:space="preserve"> in which (the question of authorship notwithstanding) the distinction between body and soul is found with a similar expression to this sonnet:</w:t>
      </w:r>
    </w:p>
    <w:p w14:paraId="3E3D7E36" w14:textId="26DE0E00" w:rsidR="0044746C" w:rsidRDefault="0044746C" w:rsidP="002A149F">
      <w:pPr>
        <w:spacing w:after="0" w:line="360" w:lineRule="auto"/>
        <w:ind w:firstLine="720"/>
      </w:pPr>
      <w:r>
        <w:t>My body is her bower, her court, her abbey,</w:t>
      </w:r>
    </w:p>
    <w:p w14:paraId="581FBD13" w14:textId="2FCBD205" w:rsidR="0044746C" w:rsidRDefault="0044746C" w:rsidP="002A149F">
      <w:pPr>
        <w:spacing w:after="0" w:line="360" w:lineRule="auto"/>
        <w:ind w:firstLine="720"/>
      </w:pPr>
      <w:r>
        <w:t>And she an angel, pure, divine, unspotted:</w:t>
      </w:r>
    </w:p>
    <w:p w14:paraId="54A56B7A" w14:textId="1FF5F733" w:rsidR="0044746C" w:rsidRDefault="0044746C" w:rsidP="002A149F">
      <w:pPr>
        <w:spacing w:after="0" w:line="360" w:lineRule="auto"/>
        <w:ind w:firstLine="720"/>
      </w:pPr>
      <w:r>
        <w:t>If I should leave her house, my lord, to thee,</w:t>
      </w:r>
    </w:p>
    <w:p w14:paraId="7D7D9987" w14:textId="521AD1D6" w:rsidR="0044746C" w:rsidRPr="0044746C" w:rsidRDefault="0044746C" w:rsidP="002A149F">
      <w:pPr>
        <w:spacing w:after="0" w:line="360" w:lineRule="auto"/>
        <w:ind w:firstLine="720"/>
      </w:pPr>
      <w:r>
        <w:t>I kill my poor soul and my poor soul me</w:t>
      </w:r>
      <w:proofErr w:type="gramStart"/>
      <w:r>
        <w:t xml:space="preserve">.  </w:t>
      </w:r>
      <w:proofErr w:type="gramEnd"/>
      <w:r>
        <w:t xml:space="preserve">[Edward III – </w:t>
      </w:r>
      <w:proofErr w:type="gramStart"/>
      <w:r>
        <w:t>II:i</w:t>
      </w:r>
      <w:proofErr w:type="gramEnd"/>
      <w:r>
        <w:t>:237 – 243]</w:t>
      </w:r>
      <w:r w:rsidR="00D214A9">
        <w:rPr>
          <w:rStyle w:val="FootnoteReference"/>
        </w:rPr>
        <w:footnoteReference w:id="6"/>
      </w:r>
      <w:r>
        <w:t xml:space="preserve"> </w:t>
      </w:r>
    </w:p>
    <w:p w14:paraId="1AE3F2B6" w14:textId="77777777" w:rsidR="00994471" w:rsidRDefault="00994471" w:rsidP="002A149F">
      <w:pPr>
        <w:spacing w:line="360" w:lineRule="auto"/>
      </w:pPr>
    </w:p>
    <w:p w14:paraId="6B9C90C4" w14:textId="45386008" w:rsidR="00184C84" w:rsidRDefault="0044746C" w:rsidP="002A149F">
      <w:pPr>
        <w:spacing w:line="360" w:lineRule="auto"/>
      </w:pPr>
      <w:r>
        <w:t xml:space="preserve">The sense of conflict between body and soul can also </w:t>
      </w:r>
      <w:proofErr w:type="gramStart"/>
      <w:r>
        <w:t>be seen</w:t>
      </w:r>
      <w:proofErr w:type="gramEnd"/>
      <w:r>
        <w:t xml:space="preserve"> here, except in this the soul is killing the </w:t>
      </w:r>
      <w:r w:rsidR="00352AA0">
        <w:t>countess</w:t>
      </w:r>
      <w:r w:rsidR="001F25A9">
        <w:t>, and her body, rather than the inverse of this in the sonnet</w:t>
      </w:r>
      <w:r w:rsidR="00074182">
        <w:t>.</w:t>
      </w:r>
      <w:r w:rsidR="00FD5A2E">
        <w:t xml:space="preserve"> Charles Huttar argues that the sympathy the reader is encourages to feel for the soul </w:t>
      </w:r>
      <w:r w:rsidR="00600753">
        <w:t xml:space="preserve">contrasts to </w:t>
      </w:r>
      <w:proofErr w:type="gramStart"/>
      <w:r w:rsidR="00600753">
        <w:t>all of</w:t>
      </w:r>
      <w:proofErr w:type="gramEnd"/>
      <w:r w:rsidR="00600753">
        <w:t xml:space="preserve"> these examples as it, “is not for </w:t>
      </w:r>
      <w:r w:rsidR="000E701D">
        <w:t>the</w:t>
      </w:r>
      <w:r w:rsidR="00600753">
        <w:t xml:space="preserve"> soul victimized, but for the soul self-deceived</w:t>
      </w:r>
      <w:r w:rsidR="00195153">
        <w:t xml:space="preserve"> – or at least deceived – and self-destroying.</w:t>
      </w:r>
      <w:r w:rsidR="004E6F9D">
        <w:rPr>
          <w:rStyle w:val="FootnoteReference"/>
        </w:rPr>
        <w:footnoteReference w:id="7"/>
      </w:r>
    </w:p>
    <w:p w14:paraId="041B2215" w14:textId="0060CB27" w:rsidR="00B97027" w:rsidRDefault="005E74E6" w:rsidP="002A149F">
      <w:pPr>
        <w:spacing w:line="360" w:lineRule="auto"/>
      </w:pPr>
      <w:r>
        <w:t xml:space="preserve">Michael West notes the various earlier instances of the body/soul </w:t>
      </w:r>
      <w:r w:rsidR="002C34F8">
        <w:t xml:space="preserve">debate or complaint </w:t>
      </w:r>
      <w:r>
        <w:t>in poetry</w:t>
      </w:r>
      <w:r w:rsidR="006A51FB">
        <w:t xml:space="preserve">, noting especially the revival in </w:t>
      </w:r>
      <w:r w:rsidR="00FA24A4">
        <w:t>the early 17</w:t>
      </w:r>
      <w:r w:rsidR="00FA24A4" w:rsidRPr="00FA24A4">
        <w:rPr>
          <w:vertAlign w:val="superscript"/>
        </w:rPr>
        <w:t>th</w:t>
      </w:r>
      <w:r w:rsidR="00FA24A4">
        <w:t xml:space="preserve"> century </w:t>
      </w:r>
      <w:r w:rsidR="0025050B">
        <w:t>in which many earlier examples</w:t>
      </w:r>
      <w:r w:rsidR="002C34F8">
        <w:t xml:space="preserve"> </w:t>
      </w:r>
      <w:r w:rsidR="00FA03A9">
        <w:t xml:space="preserve">were translated </w:t>
      </w:r>
      <w:r w:rsidR="00DE50D7">
        <w:t>from Latin.</w:t>
      </w:r>
      <w:r w:rsidR="00DE50D7">
        <w:rPr>
          <w:rStyle w:val="FootnoteReference"/>
        </w:rPr>
        <w:footnoteReference w:id="8"/>
      </w:r>
      <w:r w:rsidR="00EF327C">
        <w:t xml:space="preserve"> </w:t>
      </w:r>
      <w:r w:rsidR="000258D5">
        <w:t>West raises the question as to whether Shakespeare could have been influenced by these earlier examples, pint out that the medieval manuscripts were “largely unread</w:t>
      </w:r>
      <w:r w:rsidR="00C72C06">
        <w:t xml:space="preserve"> by </w:t>
      </w:r>
      <w:r w:rsidR="00C72C06">
        <w:lastRenderedPageBreak/>
        <w:t xml:space="preserve">Elizabethans” and that many of the contemporaneous </w:t>
      </w:r>
      <w:r w:rsidR="00FB647D">
        <w:t xml:space="preserve">examples post-dated the </w:t>
      </w:r>
      <w:r w:rsidR="00FB647D" w:rsidRPr="006657FF">
        <w:t>Sonnets</w:t>
      </w:r>
      <w:r w:rsidR="00715AF6">
        <w:rPr>
          <w:rStyle w:val="FootnoteReference"/>
          <w:i/>
          <w:iCs/>
        </w:rPr>
        <w:footnoteReference w:id="9"/>
      </w:r>
      <w:r w:rsidR="00FB647D">
        <w:t xml:space="preserve"> [ref – West]</w:t>
      </w:r>
      <w:r w:rsidR="004A1468">
        <w:t xml:space="preserve">. The exception, pointed out by both West and </w:t>
      </w:r>
      <w:r w:rsidR="004C3F7C">
        <w:t xml:space="preserve">Stephen Booth, is the </w:t>
      </w:r>
      <w:r w:rsidR="00B97027">
        <w:t>anonymous</w:t>
      </w:r>
      <w:r w:rsidR="004C3F7C">
        <w:t xml:space="preserve"> </w:t>
      </w:r>
      <w:r w:rsidR="00B97027">
        <w:rPr>
          <w:i/>
          <w:iCs/>
        </w:rPr>
        <w:t>A Dialogue between the Soule and Body</w:t>
      </w:r>
      <w:r w:rsidR="00B97027">
        <w:t xml:space="preserve">, </w:t>
      </w:r>
    </w:p>
    <w:p w14:paraId="4D722B4D" w14:textId="77777777" w:rsidR="000048EF" w:rsidRDefault="00656EA3" w:rsidP="002A149F">
      <w:pPr>
        <w:spacing w:line="360" w:lineRule="auto"/>
        <w:ind w:left="1440"/>
      </w:pPr>
      <w:r w:rsidRPr="000048EF">
        <w:rPr>
          <w:b/>
          <w:bCs/>
        </w:rPr>
        <w:t>Soule:</w:t>
      </w:r>
      <w:r>
        <w:t xml:space="preserve"> Ay me, </w:t>
      </w:r>
      <w:proofErr w:type="spellStart"/>
      <w:r>
        <w:t>poore</w:t>
      </w:r>
      <w:proofErr w:type="spellEnd"/>
      <w:r>
        <w:t xml:space="preserve"> Soule, </w:t>
      </w:r>
      <w:proofErr w:type="gramStart"/>
      <w:r>
        <w:t>whom</w:t>
      </w:r>
      <w:proofErr w:type="gramEnd"/>
      <w:r>
        <w:t xml:space="preserve"> bound in sinful chains This wretched body </w:t>
      </w:r>
      <w:proofErr w:type="spellStart"/>
      <w:r>
        <w:t>keepes</w:t>
      </w:r>
      <w:proofErr w:type="spellEnd"/>
      <w:r>
        <w:t xml:space="preserve"> against my will! </w:t>
      </w:r>
    </w:p>
    <w:p w14:paraId="49C80723" w14:textId="7A003C70" w:rsidR="000258D5" w:rsidRDefault="00656EA3" w:rsidP="002A149F">
      <w:pPr>
        <w:spacing w:line="360" w:lineRule="auto"/>
        <w:ind w:left="1440"/>
      </w:pPr>
      <w:r w:rsidRPr="000048EF">
        <w:rPr>
          <w:b/>
          <w:bCs/>
        </w:rPr>
        <w:t>Body:</w:t>
      </w:r>
      <w:r>
        <w:t xml:space="preserve"> Aye mee </w:t>
      </w:r>
      <w:proofErr w:type="spellStart"/>
      <w:r>
        <w:t>poore</w:t>
      </w:r>
      <w:proofErr w:type="spellEnd"/>
      <w:r>
        <w:t xml:space="preserve"> Body, whom for all my </w:t>
      </w:r>
      <w:proofErr w:type="spellStart"/>
      <w:r>
        <w:t>paines</w:t>
      </w:r>
      <w:proofErr w:type="spellEnd"/>
      <w:r>
        <w:t xml:space="preserve">, This froward </w:t>
      </w:r>
      <w:proofErr w:type="spellStart"/>
      <w:r>
        <w:t>soule</w:t>
      </w:r>
      <w:proofErr w:type="spellEnd"/>
      <w:r>
        <w:t xml:space="preserve"> </w:t>
      </w:r>
      <w:proofErr w:type="spellStart"/>
      <w:r>
        <w:t>causlesse</w:t>
      </w:r>
      <w:proofErr w:type="spellEnd"/>
      <w:r>
        <w:t xml:space="preserve"> </w:t>
      </w:r>
      <w:proofErr w:type="spellStart"/>
      <w:r>
        <w:t>condemneth</w:t>
      </w:r>
      <w:proofErr w:type="spellEnd"/>
      <w:r>
        <w:t xml:space="preserve"> </w:t>
      </w:r>
      <w:proofErr w:type="spellStart"/>
      <w:r>
        <w:t>sti</w:t>
      </w:r>
      <w:r w:rsidR="00793DF0">
        <w:t>l</w:t>
      </w:r>
      <w:proofErr w:type="spellEnd"/>
      <w:r w:rsidR="00793DF0">
        <w:t>.</w:t>
      </w:r>
      <w:r w:rsidR="00B8041D">
        <w:rPr>
          <w:rStyle w:val="FootnoteReference"/>
        </w:rPr>
        <w:footnoteReference w:id="10"/>
      </w:r>
      <w:r w:rsidR="00FB647D">
        <w:t xml:space="preserve"> </w:t>
      </w:r>
    </w:p>
    <w:p w14:paraId="1AAF1F6B" w14:textId="78D272E6" w:rsidR="00AE1D45" w:rsidRDefault="00E323A8" w:rsidP="002A149F">
      <w:pPr>
        <w:spacing w:line="360" w:lineRule="auto"/>
      </w:pPr>
      <w:r>
        <w:t xml:space="preserve">The parallel with Sonnet 146 is immediately seen in the </w:t>
      </w:r>
      <w:r w:rsidR="004F7F72">
        <w:t xml:space="preserve">duplicated </w:t>
      </w:r>
      <w:r>
        <w:t>openin</w:t>
      </w:r>
      <w:r w:rsidR="00B6498D">
        <w:t>g words</w:t>
      </w:r>
      <w:r w:rsidR="004F7F72">
        <w:t xml:space="preserve"> ‘</w:t>
      </w:r>
      <w:proofErr w:type="spellStart"/>
      <w:r w:rsidR="004F7F72">
        <w:t>poore</w:t>
      </w:r>
      <w:proofErr w:type="spellEnd"/>
      <w:r w:rsidR="004F7F72">
        <w:t xml:space="preserve"> </w:t>
      </w:r>
      <w:proofErr w:type="spellStart"/>
      <w:r w:rsidR="004F7F72">
        <w:t>soule</w:t>
      </w:r>
      <w:proofErr w:type="spellEnd"/>
      <w:r w:rsidR="004F7F72">
        <w:t>’</w:t>
      </w:r>
      <w:r w:rsidR="006D362E">
        <w:t xml:space="preserve">. However, the sense of spiritual sickness is more immediately obvious in these anonymous lines. The soul is </w:t>
      </w:r>
      <w:r w:rsidR="00793DF0">
        <w:t>‘bound in sinful chains’ by the ‘wretched body’</w:t>
      </w:r>
      <w:r w:rsidR="004F7F72">
        <w:t xml:space="preserve"> </w:t>
      </w:r>
      <w:r w:rsidR="00E86870">
        <w:t>and the sickness here seems located in the body. Whereas the soul is ‘bound</w:t>
      </w:r>
      <w:proofErr w:type="gramStart"/>
      <w:r w:rsidR="00E86870">
        <w:t>’,</w:t>
      </w:r>
      <w:proofErr w:type="gramEnd"/>
      <w:r w:rsidR="00E86870">
        <w:t xml:space="preserve"> the body talks of ‘all my </w:t>
      </w:r>
      <w:proofErr w:type="spellStart"/>
      <w:r w:rsidR="00E86870">
        <w:t>paines</w:t>
      </w:r>
      <w:proofErr w:type="spellEnd"/>
      <w:r w:rsidR="00E86870">
        <w:t>’</w:t>
      </w:r>
      <w:r w:rsidR="00AA7078">
        <w:t xml:space="preserve"> which are blamed on the condemnation from the soul. </w:t>
      </w:r>
      <w:r w:rsidR="00575554">
        <w:t xml:space="preserve">In contrast Sonnet 146 </w:t>
      </w:r>
      <w:r w:rsidR="000D5700">
        <w:t>portrays the body as the necessary, but temporal, home for the soul during the time on earth</w:t>
      </w:r>
      <w:r w:rsidR="00F7545D">
        <w:t xml:space="preserve"> describing it as being ‘so short a lease’ </w:t>
      </w:r>
      <w:r w:rsidR="00B8041D">
        <w:t xml:space="preserve">(See line 5) </w:t>
      </w:r>
      <w:r w:rsidR="0005337A">
        <w:t xml:space="preserve">but the sense of </w:t>
      </w:r>
      <w:proofErr w:type="gramStart"/>
      <w:r w:rsidR="0005337A">
        <w:t>being kept</w:t>
      </w:r>
      <w:proofErr w:type="gramEnd"/>
      <w:r w:rsidR="0005337A">
        <w:t xml:space="preserve"> against its will is absent</w:t>
      </w:r>
      <w:r w:rsidR="001634D9">
        <w:t>. However, conflict does exis</w:t>
      </w:r>
      <w:r w:rsidR="003945BF">
        <w:t>t, but it directed at the soul for</w:t>
      </w:r>
      <w:r w:rsidR="00A17300">
        <w:t xml:space="preserve"> the waste in spending on the body rather than on what may outlast </w:t>
      </w:r>
      <w:r w:rsidR="00A255FE">
        <w:t xml:space="preserve">it, “Why so large cost, having </w:t>
      </w:r>
      <w:r w:rsidR="009F6C39">
        <w:t xml:space="preserve">so short a </w:t>
      </w:r>
      <w:proofErr w:type="gramStart"/>
      <w:r w:rsidR="009F6C39">
        <w:t>lease,/</w:t>
      </w:r>
      <w:proofErr w:type="gramEnd"/>
      <w:r w:rsidR="009F6C39">
        <w:t xml:space="preserve"> Dost thou upon thy fading mansion spend.”</w:t>
      </w:r>
      <w:r w:rsidR="009F6C39">
        <w:rPr>
          <w:rStyle w:val="FootnoteReference"/>
        </w:rPr>
        <w:footnoteReference w:id="11"/>
      </w:r>
      <w:r w:rsidR="00A255FE">
        <w:t xml:space="preserve"> </w:t>
      </w:r>
      <w:r w:rsidR="001634D9">
        <w:t>.</w:t>
      </w:r>
      <w:r w:rsidR="000D5700">
        <w:t xml:space="preserve"> </w:t>
      </w:r>
    </w:p>
    <w:p w14:paraId="1F4177F4" w14:textId="3A5FA8CE" w:rsidR="003121FE" w:rsidRDefault="0085198F" w:rsidP="002A149F">
      <w:pPr>
        <w:spacing w:line="360" w:lineRule="auto"/>
      </w:pPr>
      <w:r>
        <w:t xml:space="preserve">Unlike </w:t>
      </w:r>
      <w:proofErr w:type="gramStart"/>
      <w:r>
        <w:t>most of</w:t>
      </w:r>
      <w:proofErr w:type="gramEnd"/>
      <w:r>
        <w:t xml:space="preserve"> the</w:t>
      </w:r>
      <w:r w:rsidR="00A514D6">
        <w:t>se</w:t>
      </w:r>
      <w:r>
        <w:t xml:space="preserve"> earlier examples</w:t>
      </w:r>
      <w:r w:rsidR="009F6C39">
        <w:t xml:space="preserve"> translated from Latin and cited by West (see above)</w:t>
      </w:r>
      <w:r>
        <w:t xml:space="preserve">, Sonnet 146 and John Donne’s Holy Sonnet number 2, </w:t>
      </w:r>
      <w:r>
        <w:rPr>
          <w:i/>
          <w:iCs/>
        </w:rPr>
        <w:t xml:space="preserve">Oh my </w:t>
      </w:r>
      <w:r w:rsidR="00BC7BD7">
        <w:rPr>
          <w:i/>
          <w:iCs/>
        </w:rPr>
        <w:t xml:space="preserve">black </w:t>
      </w:r>
      <w:r>
        <w:rPr>
          <w:i/>
          <w:iCs/>
        </w:rPr>
        <w:t xml:space="preserve">soul, </w:t>
      </w:r>
      <w:r w:rsidR="00B24E16">
        <w:rPr>
          <w:i/>
          <w:iCs/>
        </w:rPr>
        <w:t xml:space="preserve">now </w:t>
      </w:r>
      <w:r>
        <w:rPr>
          <w:i/>
          <w:iCs/>
        </w:rPr>
        <w:t>thou art summoned</w:t>
      </w:r>
      <w:r>
        <w:t xml:space="preserve"> </w:t>
      </w:r>
      <w:r w:rsidR="00883BBF">
        <w:t xml:space="preserve">both have </w:t>
      </w:r>
      <w:r>
        <w:t>the poet addressing the soul directly. This gives the read</w:t>
      </w:r>
      <w:r w:rsidR="00A514D6">
        <w:t>er</w:t>
      </w:r>
      <w:r>
        <w:t xml:space="preserve"> the sense that there is a ‘self’ that is not the body (at least in Sonnet 146 where both soul and body are referred to in the third person) and not the soul as that is the subject being addressed, and this metaphysical sense of self serves as a challenge to the Platonic dichotomy of body and soul</w:t>
      </w:r>
      <w:r w:rsidR="003121FE">
        <w:t xml:space="preserve"> and to the argument of B C Southam discussed below. </w:t>
      </w:r>
    </w:p>
    <w:p w14:paraId="1C6CF051" w14:textId="40095BD4" w:rsidR="0085198F" w:rsidRDefault="0085198F" w:rsidP="002A149F">
      <w:pPr>
        <w:spacing w:line="360" w:lineRule="auto"/>
      </w:pPr>
      <w:r>
        <w:t>Both poems open with an invocative cry directed at the soul. Shakespeare’s “</w:t>
      </w:r>
      <w:proofErr w:type="spellStart"/>
      <w:r>
        <w:t>poore</w:t>
      </w:r>
      <w:proofErr w:type="spellEnd"/>
      <w:r>
        <w:t xml:space="preserve"> </w:t>
      </w:r>
      <w:proofErr w:type="spellStart"/>
      <w:r>
        <w:t>soule</w:t>
      </w:r>
      <w:proofErr w:type="spellEnd"/>
      <w:proofErr w:type="gramStart"/>
      <w:r>
        <w:t>”</w:t>
      </w:r>
      <w:r w:rsidR="0054595F">
        <w:t>,</w:t>
      </w:r>
      <w:proofErr w:type="gramEnd"/>
      <w:r w:rsidR="0054595F">
        <w:t xml:space="preserve"> as discussed above,</w:t>
      </w:r>
      <w:r>
        <w:t xml:space="preserve"> and Donne’s “Oh my black soul!” Line two tells us that is it “sickness” that is the cause of this blackness, that is, “burdened by sin, and … about to die,” and, using the Italian sonnet form, Donne </w:t>
      </w:r>
      <w:proofErr w:type="gramStart"/>
      <w:r>
        <w:t>continues on</w:t>
      </w:r>
      <w:proofErr w:type="gramEnd"/>
      <w:r>
        <w:t xml:space="preserve"> this theme for the opening octave</w:t>
      </w:r>
      <w:r w:rsidR="006721BB">
        <w:t xml:space="preserve"> while Shakespeare’s sonnet form continues the theme until the final couplet</w:t>
      </w:r>
      <w:r>
        <w:t>.</w:t>
      </w:r>
    </w:p>
    <w:p w14:paraId="4F655AE8" w14:textId="541178EA" w:rsidR="00A82B5A" w:rsidRDefault="0045210C" w:rsidP="002A149F">
      <w:pPr>
        <w:spacing w:line="360" w:lineRule="auto"/>
      </w:pPr>
      <w:r>
        <w:lastRenderedPageBreak/>
        <w:t xml:space="preserve">Charles Huttar notes the connotation of ‘starvation’ </w:t>
      </w:r>
      <w:r w:rsidR="00E41967">
        <w:t>a</w:t>
      </w:r>
      <w:r w:rsidR="00074C4D">
        <w:t>n</w:t>
      </w:r>
      <w:r w:rsidR="00E41967">
        <w:t xml:space="preserve">d specifically spiritual starvation </w:t>
      </w:r>
      <w:r>
        <w:t>in the use of ‘</w:t>
      </w:r>
      <w:proofErr w:type="spellStart"/>
      <w:r>
        <w:t>poore</w:t>
      </w:r>
      <w:proofErr w:type="spellEnd"/>
      <w:r>
        <w:t>’</w:t>
      </w:r>
      <w:r w:rsidR="00066359">
        <w:rPr>
          <w:rStyle w:val="FootnoteReference"/>
        </w:rPr>
        <w:footnoteReference w:id="12"/>
      </w:r>
      <w:r>
        <w:t xml:space="preserve"> </w:t>
      </w:r>
      <w:r w:rsidR="0054595F">
        <w:t xml:space="preserve">by </w:t>
      </w:r>
      <w:r w:rsidR="000D2464">
        <w:t>Shakespeare</w:t>
      </w:r>
      <w:r w:rsidR="0054595F">
        <w:t xml:space="preserve"> </w:t>
      </w:r>
      <w:r>
        <w:t>in the opening line</w:t>
      </w:r>
      <w:r w:rsidR="00E06576">
        <w:t xml:space="preserve"> </w:t>
      </w:r>
      <w:r w:rsidR="00CD70C7">
        <w:t xml:space="preserve">of </w:t>
      </w:r>
      <w:r w:rsidR="000D2464">
        <w:t>his</w:t>
      </w:r>
      <w:r w:rsidR="00CD70C7">
        <w:t xml:space="preserve"> sonnet and the similar use </w:t>
      </w:r>
      <w:r w:rsidR="00E41967">
        <w:t>in</w:t>
      </w:r>
      <w:r w:rsidR="00392FF7">
        <w:t xml:space="preserve"> Matthew 5:3 in</w:t>
      </w:r>
      <w:r w:rsidR="00E41967">
        <w:t xml:space="preserve"> the Geneva Bible of 15</w:t>
      </w:r>
      <w:r w:rsidR="007278FE">
        <w:t>70</w:t>
      </w:r>
      <w:r w:rsidR="001F6A16">
        <w:t>, “</w:t>
      </w:r>
      <w:r w:rsidR="001F6A16" w:rsidRPr="001F6A16">
        <w:t xml:space="preserve">Blessed are the </w:t>
      </w:r>
      <w:proofErr w:type="spellStart"/>
      <w:r w:rsidR="001F6A16" w:rsidRPr="001F6A16">
        <w:t>poore</w:t>
      </w:r>
      <w:proofErr w:type="spellEnd"/>
      <w:r w:rsidR="001F6A16" w:rsidRPr="001F6A16">
        <w:t xml:space="preserve"> in spirit, for theirs is the </w:t>
      </w:r>
      <w:proofErr w:type="spellStart"/>
      <w:r w:rsidR="001F6A16" w:rsidRPr="001F6A16">
        <w:t>kingdome</w:t>
      </w:r>
      <w:proofErr w:type="spellEnd"/>
      <w:r w:rsidR="001F6A16" w:rsidRPr="001F6A16">
        <w:t xml:space="preserve"> of </w:t>
      </w:r>
      <w:proofErr w:type="spellStart"/>
      <w:r w:rsidR="001F6A16" w:rsidRPr="001F6A16">
        <w:t>heauen</w:t>
      </w:r>
      <w:proofErr w:type="spellEnd"/>
      <w:r w:rsidR="00C411DF">
        <w:t>”</w:t>
      </w:r>
      <w:r w:rsidR="00066359">
        <w:rPr>
          <w:rStyle w:val="FootnoteReference"/>
        </w:rPr>
        <w:footnoteReference w:id="13"/>
      </w:r>
      <w:r w:rsidR="009B73CF">
        <w:t>. The footnote in the 15</w:t>
      </w:r>
      <w:r w:rsidR="007278FE">
        <w:t>70</w:t>
      </w:r>
      <w:r w:rsidR="009B73CF">
        <w:t xml:space="preserve"> edition</w:t>
      </w:r>
      <w:r w:rsidR="00DF03D8">
        <w:t xml:space="preserve"> of the Geneva Bible, that was contemporaneous and available when </w:t>
      </w:r>
      <w:r w:rsidR="00C95A75">
        <w:t xml:space="preserve">Shakespeare </w:t>
      </w:r>
      <w:r w:rsidR="00DF03D8">
        <w:t>was writing</w:t>
      </w:r>
      <w:r w:rsidR="007278FE">
        <w:rPr>
          <w:rStyle w:val="FootnoteReference"/>
        </w:rPr>
        <w:footnoteReference w:id="14"/>
      </w:r>
      <w:r w:rsidR="00DB3CF0">
        <w:t>,</w:t>
      </w:r>
      <w:r w:rsidR="009A03F5">
        <w:t xml:space="preserve"> provides a commentary on the Biblical passage </w:t>
      </w:r>
      <w:r w:rsidR="00865CDA">
        <w:t xml:space="preserve">expanding the sense of </w:t>
      </w:r>
      <w:r w:rsidR="00CB50BB">
        <w:t>poverty beyond the material</w:t>
      </w:r>
      <w:r w:rsidR="00CD1995">
        <w:t>, “Under the name of poverty are all such miseries meant, that are joined with poverty</w:t>
      </w:r>
      <w:r w:rsidR="00300668">
        <w:t>.”</w:t>
      </w:r>
      <w:r w:rsidR="00B53E7E">
        <w:rPr>
          <w:rStyle w:val="FootnoteReference"/>
        </w:rPr>
        <w:footnoteReference w:id="15"/>
      </w:r>
      <w:r w:rsidR="00A7252C">
        <w:t xml:space="preserve"> </w:t>
      </w:r>
      <w:r w:rsidR="00B53E7E">
        <w:t>H</w:t>
      </w:r>
      <w:r w:rsidR="00300668">
        <w:t xml:space="preserve">uttar argues that the same sense of spiritual starvation and poverty is to be </w:t>
      </w:r>
      <w:r w:rsidR="00490CF5">
        <w:t>found</w:t>
      </w:r>
      <w:r w:rsidR="00300668">
        <w:t xml:space="preserve"> in the opening line of sonnet 146, </w:t>
      </w:r>
      <w:r w:rsidR="00ED356A">
        <w:t>“It is just what it says, dearth, spiritual starvation, the lack of the kind of nourishment which is proper</w:t>
      </w:r>
      <w:r w:rsidR="007A217D">
        <w:t xml:space="preserve"> to the soul.”</w:t>
      </w:r>
      <w:r w:rsidR="00B53E7E">
        <w:rPr>
          <w:rStyle w:val="FootnoteReference"/>
        </w:rPr>
        <w:footnoteReference w:id="16"/>
      </w:r>
      <w:r w:rsidR="007A217D">
        <w:t>.</w:t>
      </w:r>
    </w:p>
    <w:p w14:paraId="19D40605" w14:textId="4B0DC4AE" w:rsidR="00BB4A83" w:rsidRDefault="00BB4A83" w:rsidP="002A149F">
      <w:pPr>
        <w:spacing w:line="360" w:lineRule="auto"/>
      </w:pPr>
      <w:r>
        <w:t xml:space="preserve">Helen Vendler </w:t>
      </w:r>
      <w:r w:rsidR="00FB5CB3">
        <w:t xml:space="preserve">writes </w:t>
      </w:r>
      <w:r>
        <w:t>that the sonnet is more than just a reworking of the familiar genre of discourse between soul and body,</w:t>
      </w:r>
      <w:r w:rsidR="00B03AE7">
        <w:t xml:space="preserve"> and that the poem is not only clearly a religious poem (although she argues the aesthetic aspects are of greater consideration), but by </w:t>
      </w:r>
      <w:r w:rsidR="00221CD2">
        <w:t>remarking on the “homiletic solemnity”</w:t>
      </w:r>
      <w:r w:rsidR="00E937BC">
        <w:rPr>
          <w:rStyle w:val="FootnoteReference"/>
        </w:rPr>
        <w:footnoteReference w:id="17"/>
      </w:r>
      <w:r w:rsidR="009B22BF">
        <w:t xml:space="preserve"> </w:t>
      </w:r>
      <w:r w:rsidR="00221CD2">
        <w:t>she is placing it in a position of providing moral or religious instruction</w:t>
      </w:r>
      <w:r w:rsidR="0063645A">
        <w:t>, “It certainly pronounces itself to be by a homily to the soul (leading the reader to expect</w:t>
      </w:r>
      <w:r w:rsidR="00825243">
        <w:t xml:space="preserve"> moral or religious content).”</w:t>
      </w:r>
      <w:r w:rsidR="000A6998">
        <w:rPr>
          <w:rStyle w:val="FootnoteReference"/>
        </w:rPr>
        <w:footnoteReference w:id="18"/>
      </w:r>
      <w:r w:rsidR="00825243">
        <w:t xml:space="preserve"> </w:t>
      </w:r>
    </w:p>
    <w:p w14:paraId="57984D78" w14:textId="3B378DC2" w:rsidR="0013606D" w:rsidRDefault="009B22BF" w:rsidP="002A149F">
      <w:pPr>
        <w:spacing w:line="360" w:lineRule="auto"/>
      </w:pPr>
      <w:r>
        <w:t>This emphasises that c</w:t>
      </w:r>
      <w:r w:rsidR="00C52B55">
        <w:t xml:space="preserve">entral to the consideration of this sonnet as reflecting spiritual sickness is whether this is </w:t>
      </w:r>
      <w:proofErr w:type="gramStart"/>
      <w:r w:rsidR="00C52B55">
        <w:t>actually a</w:t>
      </w:r>
      <w:proofErr w:type="gramEnd"/>
      <w:r w:rsidR="00C52B55">
        <w:t xml:space="preserve"> religious poem. </w:t>
      </w:r>
      <w:r w:rsidR="00F930B1">
        <w:t xml:space="preserve">B. C. Southam’s essay </w:t>
      </w:r>
      <w:r w:rsidR="00F930B1">
        <w:rPr>
          <w:i/>
          <w:iCs/>
        </w:rPr>
        <w:t xml:space="preserve">Shakespeare’s Christian Sonnet? </w:t>
      </w:r>
      <w:r w:rsidR="00F930B1" w:rsidRPr="00F930B1">
        <w:t>c</w:t>
      </w:r>
      <w:r w:rsidR="00F930B1">
        <w:t xml:space="preserve">hallenges </w:t>
      </w:r>
      <w:r w:rsidR="00B22DBD">
        <w:t>the common interpretation of the sonnet as a Christian poem</w:t>
      </w:r>
      <w:r w:rsidR="001574DF">
        <w:t>, as a</w:t>
      </w:r>
      <w:r w:rsidR="008A6FB1">
        <w:t>n “unqualified statement of orthodox Christian belief</w:t>
      </w:r>
      <w:r w:rsidR="00FB3CD8">
        <w:t>.” If this is so, argued Southam, then it would be “a unique document in the Shakespeare canon.”</w:t>
      </w:r>
      <w:r w:rsidR="00B22DBD">
        <w:t xml:space="preserve"> </w:t>
      </w:r>
      <w:r w:rsidR="004F20AD">
        <w:t>Southam arg</w:t>
      </w:r>
      <w:r w:rsidR="00B31E43">
        <w:t xml:space="preserve">ues that the </w:t>
      </w:r>
      <w:r w:rsidR="001B781C">
        <w:t xml:space="preserve">movement for the reader in </w:t>
      </w:r>
      <w:r w:rsidR="00B31E43">
        <w:t xml:space="preserve">the first quatrain </w:t>
      </w:r>
      <w:r w:rsidR="001B781C">
        <w:t xml:space="preserve">is from sympathy with the soul </w:t>
      </w:r>
      <w:r w:rsidR="002F3EB1">
        <w:t>t</w:t>
      </w:r>
      <w:r w:rsidR="001B781C">
        <w:t>o seeing the soul</w:t>
      </w:r>
      <w:r w:rsidR="0009793F">
        <w:t>, “almost as</w:t>
      </w:r>
      <w:r w:rsidR="002F3EB1">
        <w:t xml:space="preserve"> if it were a guilt accomplice” in line 4.</w:t>
      </w:r>
      <w:r w:rsidR="00086D7B" w:rsidRPr="00086D7B">
        <w:rPr>
          <w:rStyle w:val="FootnoteReference"/>
        </w:rPr>
        <w:t xml:space="preserve"> </w:t>
      </w:r>
      <w:r w:rsidR="00ED3DA0">
        <w:t xml:space="preserve">Southam argues that as the poem proceeds it becomes </w:t>
      </w:r>
      <w:r w:rsidR="001E304C">
        <w:t xml:space="preserve">clear </w:t>
      </w:r>
      <w:r w:rsidR="00C67BC1">
        <w:t xml:space="preserve">that </w:t>
      </w:r>
      <w:r w:rsidR="00723979">
        <w:t xml:space="preserve">“it is </w:t>
      </w:r>
      <w:r w:rsidR="00C67BC1">
        <w:t xml:space="preserve">Shakespeare </w:t>
      </w:r>
      <w:r w:rsidR="00723979">
        <w:t xml:space="preserve">the humanist speaking, pleading for the life of the body as against the rigorous asceticism </w:t>
      </w:r>
      <w:r w:rsidR="001776FE">
        <w:t xml:space="preserve">which glorifies the </w:t>
      </w:r>
      <w:r w:rsidR="00FE31C5">
        <w:t xml:space="preserve">life of </w:t>
      </w:r>
      <w:r w:rsidR="009E40A1">
        <w:t>t</w:t>
      </w:r>
      <w:r w:rsidR="00FE31C5">
        <w:t xml:space="preserve">he </w:t>
      </w:r>
      <w:r w:rsidR="009E40A1">
        <w:t>spirit</w:t>
      </w:r>
      <w:r w:rsidR="00FE31C5">
        <w:t xml:space="preserve"> at the expense of the vitality and richness of sensuous experience”</w:t>
      </w:r>
      <w:r w:rsidR="009E40A1" w:rsidRPr="009E40A1">
        <w:rPr>
          <w:rStyle w:val="FootnoteReference"/>
        </w:rPr>
        <w:t xml:space="preserve"> </w:t>
      </w:r>
      <w:r w:rsidR="009E40A1">
        <w:rPr>
          <w:rStyle w:val="FootnoteReference"/>
        </w:rPr>
        <w:footnoteReference w:id="19"/>
      </w:r>
      <w:r w:rsidR="009E40A1">
        <w:t xml:space="preserve"> </w:t>
      </w:r>
      <w:r w:rsidR="00FE31C5">
        <w:t xml:space="preserve"> </w:t>
      </w:r>
      <w:r w:rsidR="00AC015E">
        <w:t xml:space="preserve">Huttar, in his response summarises Southam’s </w:t>
      </w:r>
      <w:r w:rsidR="003C75AB">
        <w:t xml:space="preserve">reading of the </w:t>
      </w:r>
      <w:r w:rsidR="00AC015E">
        <w:t>movement</w:t>
      </w:r>
      <w:r w:rsidR="003C75AB">
        <w:t xml:space="preserve"> in the sonnet as, “a movement from </w:t>
      </w:r>
      <w:r w:rsidR="003C75AB">
        <w:lastRenderedPageBreak/>
        <w:t xml:space="preserve">pity for the soul in line one to the strong suspicion </w:t>
      </w:r>
      <w:r w:rsidR="00EB2751">
        <w:t>by line four that the soul is a ‘guilty accomplice’ of the body.</w:t>
      </w:r>
      <w:r w:rsidR="007C43F3">
        <w:rPr>
          <w:rStyle w:val="FootnoteReference"/>
        </w:rPr>
        <w:footnoteReference w:id="20"/>
      </w:r>
    </w:p>
    <w:p w14:paraId="568BA2E5" w14:textId="7FA24549" w:rsidR="00151E7F" w:rsidRDefault="00957B2A" w:rsidP="002A149F">
      <w:pPr>
        <w:spacing w:line="360" w:lineRule="auto"/>
      </w:pPr>
      <w:proofErr w:type="gramStart"/>
      <w:r>
        <w:t>M</w:t>
      </w:r>
      <w:r w:rsidR="000064F3">
        <w:t>any</w:t>
      </w:r>
      <w:proofErr w:type="gramEnd"/>
      <w:r w:rsidR="000064F3">
        <w:t xml:space="preserve"> critics, including Huttar, Booth, Southam and</w:t>
      </w:r>
      <w:r>
        <w:t>, to a lesser extent as explored below,</w:t>
      </w:r>
      <w:r w:rsidR="000064F3">
        <w:t xml:space="preserve"> Vend</w:t>
      </w:r>
      <w:r w:rsidR="00FE55F2">
        <w:t>l</w:t>
      </w:r>
      <w:r w:rsidR="000064F3">
        <w:t>er</w:t>
      </w:r>
      <w:r w:rsidR="00FE55F2">
        <w:t>,</w:t>
      </w:r>
      <w:r w:rsidR="000064F3">
        <w:t xml:space="preserve"> have pointed out, Sonnet 146 is unusual in </w:t>
      </w:r>
      <w:r w:rsidR="00285FAB">
        <w:t>being explicit in the apparent Christian themes</w:t>
      </w:r>
      <w:r w:rsidR="00CE2AA6">
        <w:t xml:space="preserve">, and it could be this exceptional quality that </w:t>
      </w:r>
      <w:r w:rsidR="00CE293E">
        <w:t xml:space="preserve">allows an alternate reading such as Southam. </w:t>
      </w:r>
      <w:r w:rsidR="00392E38">
        <w:t>The argument</w:t>
      </w:r>
      <w:r w:rsidR="00F43386">
        <w:t xml:space="preserve"> that would justify Southam’s approach</w:t>
      </w:r>
      <w:r w:rsidR="000A591A">
        <w:t xml:space="preserve"> (that the poem contains </w:t>
      </w:r>
      <w:proofErr w:type="gramStart"/>
      <w:r w:rsidR="000A591A">
        <w:t>an,</w:t>
      </w:r>
      <w:proofErr w:type="gramEnd"/>
      <w:r w:rsidR="000A591A">
        <w:t xml:space="preserve"> “</w:t>
      </w:r>
      <w:r w:rsidR="000A591A">
        <w:t>unqualified statement of orthodox Christian belief</w:t>
      </w:r>
      <w:r w:rsidR="000A591A">
        <w:t>,</w:t>
      </w:r>
      <w:r w:rsidR="000A591A">
        <w:t>”</w:t>
      </w:r>
      <w:r w:rsidR="000A591A">
        <w:t xml:space="preserve"> as cited above)</w:t>
      </w:r>
      <w:r w:rsidR="000A591A">
        <w:rPr>
          <w:rStyle w:val="FootnoteReference"/>
        </w:rPr>
        <w:footnoteReference w:id="21"/>
      </w:r>
      <w:r w:rsidR="000A591A">
        <w:t xml:space="preserve"> </w:t>
      </w:r>
      <w:r w:rsidR="001C1F1D">
        <w:t xml:space="preserve">is </w:t>
      </w:r>
      <w:r w:rsidR="00392E38">
        <w:t xml:space="preserve">that if such an explicitly religious, and particularly Christian, poem would be unusual then perhaps such a reading of the sonnet </w:t>
      </w:r>
      <w:r w:rsidR="00CD197A">
        <w:t xml:space="preserve">is mistaken. </w:t>
      </w:r>
      <w:r w:rsidR="00151E7F">
        <w:t xml:space="preserve">West </w:t>
      </w:r>
      <w:r w:rsidR="001B7609">
        <w:t>acknowledges this as a minority view, “Occasionally other dissidents like Santayana and John Crowe Ransom</w:t>
      </w:r>
      <w:r w:rsidR="00BD2DCA">
        <w:t xml:space="preserve"> have been tempted to view the body-soul dichotomy as less Christian than Platonic in inspiration</w:t>
      </w:r>
      <w:r w:rsidR="009B7FF7">
        <w:t xml:space="preserve"> … the Platonizing critic </w:t>
      </w:r>
      <w:r w:rsidR="007B27B2">
        <w:t xml:space="preserve">thus accentuates </w:t>
      </w:r>
      <w:r w:rsidR="00781653">
        <w:t>Shakespeare’s</w:t>
      </w:r>
      <w:r w:rsidR="007B27B2">
        <w:t xml:space="preserve"> supposed hostility too the body in order to exalt the concerns of the soul.</w:t>
      </w:r>
      <w:r w:rsidR="00FC43E7">
        <w:t>”</w:t>
      </w:r>
      <w:r w:rsidR="00FC1604">
        <w:rPr>
          <w:rStyle w:val="FootnoteReference"/>
        </w:rPr>
        <w:footnoteReference w:id="22"/>
      </w:r>
      <w:r w:rsidR="00781653">
        <w:t xml:space="preserve"> </w:t>
      </w:r>
    </w:p>
    <w:p w14:paraId="7C07985D" w14:textId="30FBD8CE" w:rsidR="00EB2751" w:rsidRDefault="00CE293E" w:rsidP="002A149F">
      <w:pPr>
        <w:spacing w:line="360" w:lineRule="auto"/>
      </w:pPr>
      <w:r>
        <w:t xml:space="preserve">Don Paterson, in </w:t>
      </w:r>
      <w:r>
        <w:rPr>
          <w:i/>
          <w:iCs/>
        </w:rPr>
        <w:t xml:space="preserve">Reading </w:t>
      </w:r>
      <w:r w:rsidR="00781653">
        <w:rPr>
          <w:i/>
          <w:iCs/>
        </w:rPr>
        <w:t>Shakespeare’s</w:t>
      </w:r>
      <w:r>
        <w:rPr>
          <w:i/>
          <w:iCs/>
        </w:rPr>
        <w:t xml:space="preserve"> Sonnets</w:t>
      </w:r>
      <w:r>
        <w:t xml:space="preserve">, </w:t>
      </w:r>
      <w:r w:rsidR="00FD19DB">
        <w:t xml:space="preserve">follows this same </w:t>
      </w:r>
      <w:r w:rsidR="0087007B">
        <w:t xml:space="preserve">Platonic </w:t>
      </w:r>
      <w:r w:rsidR="00FD19DB">
        <w:t>interpretation in his reading of Sonnet 146</w:t>
      </w:r>
      <w:r w:rsidR="00781653">
        <w:t xml:space="preserve">. He takes </w:t>
      </w:r>
      <w:r w:rsidR="00F86223">
        <w:t xml:space="preserve">a different approach to </w:t>
      </w:r>
      <w:r>
        <w:t>Southam</w:t>
      </w:r>
      <w:r w:rsidR="00F86223">
        <w:t xml:space="preserve">, </w:t>
      </w:r>
      <w:r w:rsidR="002B1773">
        <w:t xml:space="preserve">(whom West </w:t>
      </w:r>
      <w:r w:rsidR="001376F4">
        <w:t>contrasts</w:t>
      </w:r>
      <w:r w:rsidR="002B1773">
        <w:t xml:space="preserve"> to Charles Huttar’s</w:t>
      </w:r>
      <w:r w:rsidR="001376F4">
        <w:t>, “non-ascetic Christian view,”</w:t>
      </w:r>
      <w:r w:rsidR="00FC1604">
        <w:rPr>
          <w:rStyle w:val="FootnoteReference"/>
        </w:rPr>
        <w:footnoteReference w:id="23"/>
      </w:r>
      <w:r w:rsidR="001376F4">
        <w:t xml:space="preserve"> </w:t>
      </w:r>
      <w:r w:rsidR="00F86223">
        <w:t xml:space="preserve">exploring what he sees as the existential </w:t>
      </w:r>
      <w:r w:rsidR="0022226D">
        <w:t xml:space="preserve">and </w:t>
      </w:r>
      <w:proofErr w:type="gramStart"/>
      <w:r w:rsidR="0022226D">
        <w:t>somewhat nihilistic</w:t>
      </w:r>
      <w:proofErr w:type="gramEnd"/>
      <w:r w:rsidR="0022226D">
        <w:t xml:space="preserve"> tone </w:t>
      </w:r>
      <w:r>
        <w:t xml:space="preserve">when he writes, </w:t>
      </w:r>
    </w:p>
    <w:p w14:paraId="19F2F8FC" w14:textId="6801C425" w:rsidR="00ED0147" w:rsidRDefault="00ED0147" w:rsidP="002A149F">
      <w:pPr>
        <w:spacing w:line="360" w:lineRule="auto"/>
        <w:ind w:left="720"/>
      </w:pPr>
      <w:r>
        <w:t xml:space="preserve">“It has the reputation of being WS’s most religious poem, which is both a wonderful </w:t>
      </w:r>
      <w:proofErr w:type="gramStart"/>
      <w:r>
        <w:t>indictment</w:t>
      </w:r>
      <w:proofErr w:type="gramEnd"/>
      <w:r>
        <w:t xml:space="preserve"> of the competition and a total misdiagnosis. This poem is not religious at all. </w:t>
      </w:r>
      <w:proofErr w:type="gramStart"/>
      <w:r>
        <w:t>It’s</w:t>
      </w:r>
      <w:proofErr w:type="gramEnd"/>
      <w:r>
        <w:t xml:space="preserve"> an angry poem, a self-disgusted poem: it says the body is a lousy home for the soul, which ends enslaved to its gaudy, pointless, sensual, self-consuming worldliness.”</w:t>
      </w:r>
      <w:r w:rsidR="007316E5">
        <w:rPr>
          <w:rStyle w:val="FootnoteReference"/>
        </w:rPr>
        <w:footnoteReference w:id="24"/>
      </w:r>
    </w:p>
    <w:p w14:paraId="68CD5456" w14:textId="48B91C98" w:rsidR="00CE293E" w:rsidRDefault="0022226D" w:rsidP="002A149F">
      <w:pPr>
        <w:spacing w:line="360" w:lineRule="auto"/>
      </w:pPr>
      <w:r>
        <w:t>Nevertheless, there is a similarity to Southam in both identifying an asceticism in the poem</w:t>
      </w:r>
      <w:r w:rsidR="009E4B8C">
        <w:t xml:space="preserve">, although </w:t>
      </w:r>
      <w:r w:rsidR="0033092B">
        <w:t xml:space="preserve">Paterson sees disgust at the </w:t>
      </w:r>
      <w:r w:rsidR="009D7D25">
        <w:t>physical,</w:t>
      </w:r>
      <w:r w:rsidR="00FA51CD">
        <w:t xml:space="preserve"> but</w:t>
      </w:r>
      <w:r w:rsidR="0033092B">
        <w:t xml:space="preserve"> Southam suggests that </w:t>
      </w:r>
      <w:r w:rsidR="00201FFD">
        <w:t>it is,</w:t>
      </w:r>
      <w:r w:rsidR="00CB5407">
        <w:t xml:space="preserve"> “not merely </w:t>
      </w:r>
      <w:r w:rsidR="009D569E">
        <w:t>an endorsement of Christian asceticism</w:t>
      </w:r>
      <w:r w:rsidR="00201FFD">
        <w:t>,” and that, “a more penetrating reading is possible.”</w:t>
      </w:r>
      <w:r>
        <w:t xml:space="preserve"> </w:t>
      </w:r>
      <w:r w:rsidR="00201FFD">
        <w:t xml:space="preserve">This penetrating reading, as identified above, </w:t>
      </w:r>
      <w:r w:rsidR="00BD3181">
        <w:t xml:space="preserve">argues that the poem interrogates orthodox Christian belief </w:t>
      </w:r>
      <w:r w:rsidR="00453798">
        <w:t xml:space="preserve">and that, </w:t>
      </w:r>
      <w:r w:rsidR="00AA0C86">
        <w:t xml:space="preserve">“it is Shakespeare the humanist speaking, pleading for the life of the body as against the rigorous </w:t>
      </w:r>
      <w:r w:rsidR="00AA0C86">
        <w:lastRenderedPageBreak/>
        <w:t>asceticism which glorifies the life of the spirit at the expense of the vitality and richness of sensuous experience.”</w:t>
      </w:r>
      <w:r w:rsidR="009D7D25">
        <w:rPr>
          <w:rStyle w:val="FootnoteReference"/>
        </w:rPr>
        <w:footnoteReference w:id="25"/>
      </w:r>
    </w:p>
    <w:p w14:paraId="784C2DDA" w14:textId="7F7FFE80" w:rsidR="000B4CEE" w:rsidRDefault="002062B8" w:rsidP="002A149F">
      <w:pPr>
        <w:spacing w:line="360" w:lineRule="auto"/>
      </w:pPr>
      <w:r>
        <w:t>Huttar takes issue with South</w:t>
      </w:r>
      <w:r w:rsidR="0082745F">
        <w:t>a</w:t>
      </w:r>
      <w:r>
        <w:t xml:space="preserve">m’s </w:t>
      </w:r>
      <w:r w:rsidR="00DE3A42">
        <w:t>argument that, “Shakespeare … is calling attention to these contradictions and asserting a humanis</w:t>
      </w:r>
      <w:r w:rsidR="00F85F60">
        <w:t>tic ethic in which these contradictions do not exist,”</w:t>
      </w:r>
      <w:r w:rsidR="001808EA">
        <w:rPr>
          <w:rStyle w:val="FootnoteReference"/>
        </w:rPr>
        <w:footnoteReference w:id="26"/>
      </w:r>
      <w:r w:rsidR="00F85F60">
        <w:t xml:space="preserve"> and </w:t>
      </w:r>
      <w:r w:rsidR="0087007B">
        <w:t>Southam’s</w:t>
      </w:r>
      <w:r w:rsidR="00F85F60">
        <w:t xml:space="preserve"> </w:t>
      </w:r>
      <w:r w:rsidR="003E0281">
        <w:t xml:space="preserve">assumptions concerning </w:t>
      </w:r>
      <w:r w:rsidR="002B6E22">
        <w:t>what const</w:t>
      </w:r>
      <w:r w:rsidR="008C217A">
        <w:t>itutes</w:t>
      </w:r>
      <w:r w:rsidR="002B6E22">
        <w:t xml:space="preserve"> </w:t>
      </w:r>
      <w:r w:rsidR="003E0281">
        <w:t>Christian orthodoxy</w:t>
      </w:r>
      <w:r w:rsidR="002B6E22">
        <w:t xml:space="preserve"> which Huttar summarises in </w:t>
      </w:r>
      <w:proofErr w:type="gramStart"/>
      <w:r w:rsidR="002B6E22">
        <w:t>5</w:t>
      </w:r>
      <w:proofErr w:type="gramEnd"/>
      <w:r w:rsidR="002B6E22">
        <w:t xml:space="preserve"> points</w:t>
      </w:r>
      <w:r w:rsidR="000B4CEE">
        <w:t>,</w:t>
      </w:r>
    </w:p>
    <w:p w14:paraId="4F5E997F" w14:textId="788F4D1C" w:rsidR="00A35ADC" w:rsidRDefault="00A35ADC" w:rsidP="002A149F">
      <w:pPr>
        <w:spacing w:line="360" w:lineRule="auto"/>
        <w:ind w:left="720"/>
      </w:pPr>
      <w:r>
        <w:t>“</w:t>
      </w:r>
      <w:r w:rsidR="000B4CEE">
        <w:t xml:space="preserve">(1) that soul and body are at odds, the soul and its desires being good and the body and its desires evil; (2) that "rigorous asceticism" or "bodily subjugation" is the best rule of life; (3) that "the gentleness of Christian charity" requires a master to allow his servant to exploit him; (4) that </w:t>
      </w:r>
      <w:r>
        <w:t>‘</w:t>
      </w:r>
      <w:proofErr w:type="spellStart"/>
      <w:r w:rsidR="000B4CEE" w:rsidRPr="00DA7196">
        <w:rPr>
          <w:i/>
          <w:iCs/>
        </w:rPr>
        <w:t>Beatitudo</w:t>
      </w:r>
      <w:proofErr w:type="spellEnd"/>
      <w:r w:rsidR="000B4CEE" w:rsidRPr="00DA7196">
        <w:rPr>
          <w:i/>
          <w:iCs/>
        </w:rPr>
        <w:t xml:space="preserve"> non </w:t>
      </w:r>
      <w:proofErr w:type="spellStart"/>
      <w:r w:rsidR="000B4CEE" w:rsidRPr="00DA7196">
        <w:rPr>
          <w:i/>
          <w:iCs/>
        </w:rPr>
        <w:t>est</w:t>
      </w:r>
      <w:proofErr w:type="spellEnd"/>
      <w:r w:rsidR="000B4CEE" w:rsidRPr="00DA7196">
        <w:rPr>
          <w:i/>
          <w:iCs/>
        </w:rPr>
        <w:t xml:space="preserve"> virtutis </w:t>
      </w:r>
      <w:proofErr w:type="spellStart"/>
      <w:r w:rsidR="000B4CEE" w:rsidRPr="00DA7196">
        <w:rPr>
          <w:i/>
          <w:iCs/>
        </w:rPr>
        <w:t>praemium</w:t>
      </w:r>
      <w:proofErr w:type="spellEnd"/>
      <w:r w:rsidR="000B4CEE" w:rsidRPr="00DA7196">
        <w:rPr>
          <w:i/>
          <w:iCs/>
        </w:rPr>
        <w:t xml:space="preserve">, </w:t>
      </w:r>
      <w:proofErr w:type="spellStart"/>
      <w:r w:rsidR="000B4CEE" w:rsidRPr="00DA7196">
        <w:rPr>
          <w:i/>
          <w:iCs/>
        </w:rPr>
        <w:t>sed</w:t>
      </w:r>
      <w:proofErr w:type="spellEnd"/>
      <w:r w:rsidR="000B4CEE" w:rsidRPr="00DA7196">
        <w:rPr>
          <w:i/>
          <w:iCs/>
        </w:rPr>
        <w:t xml:space="preserve"> </w:t>
      </w:r>
      <w:proofErr w:type="spellStart"/>
      <w:r w:rsidR="000B4CEE" w:rsidRPr="00DA7196">
        <w:rPr>
          <w:i/>
          <w:iCs/>
        </w:rPr>
        <w:t>ipsa</w:t>
      </w:r>
      <w:proofErr w:type="spellEnd"/>
      <w:r w:rsidR="000B4CEE" w:rsidRPr="00DA7196">
        <w:rPr>
          <w:i/>
          <w:iCs/>
        </w:rPr>
        <w:t xml:space="preserve"> </w:t>
      </w:r>
      <w:proofErr w:type="spellStart"/>
      <w:r w:rsidR="000B4CEE" w:rsidRPr="00DA7196">
        <w:rPr>
          <w:i/>
          <w:iCs/>
        </w:rPr>
        <w:t>virtus</w:t>
      </w:r>
      <w:proofErr w:type="spellEnd"/>
      <w:r>
        <w:rPr>
          <w:i/>
          <w:iCs/>
        </w:rPr>
        <w:t>’</w:t>
      </w:r>
      <w:r w:rsidR="000B4CEE">
        <w:t xml:space="preserve"> is the Christian </w:t>
      </w:r>
      <w:r w:rsidR="000B4CEE" w:rsidRPr="00DA7196">
        <w:t xml:space="preserve">ethic; and (5) that, in keeping with the </w:t>
      </w:r>
      <w:r>
        <w:t>‘</w:t>
      </w:r>
      <w:r w:rsidR="000B4CEE" w:rsidRPr="00DA7196">
        <w:t>rigorous ascetic in heaven is the reward for bodily privation on earth.</w:t>
      </w:r>
      <w:r>
        <w:t>’”</w:t>
      </w:r>
      <w:r w:rsidR="001808EA">
        <w:rPr>
          <w:rStyle w:val="FootnoteReference"/>
        </w:rPr>
        <w:footnoteReference w:id="27"/>
      </w:r>
      <w:r w:rsidR="00EC7EFD">
        <w:t xml:space="preserve"> </w:t>
      </w:r>
    </w:p>
    <w:p w14:paraId="7B631931" w14:textId="371204A5" w:rsidR="00B07F60" w:rsidRPr="00D0704F" w:rsidRDefault="00EC7EFD" w:rsidP="002A149F">
      <w:pPr>
        <w:spacing w:line="360" w:lineRule="auto"/>
      </w:pPr>
      <w:r>
        <w:t>He concludes that</w:t>
      </w:r>
      <w:r w:rsidR="00046D44">
        <w:t xml:space="preserve">, “it is not necessary, therefore, to discover in this sonnet </w:t>
      </w:r>
      <w:r w:rsidR="00135E20">
        <w:t xml:space="preserve">a humanism which avoids these </w:t>
      </w:r>
      <w:proofErr w:type="gramStart"/>
      <w:r w:rsidR="00135E20">
        <w:t>supposed contradictions</w:t>
      </w:r>
      <w:proofErr w:type="gramEnd"/>
      <w:r w:rsidR="00135E20">
        <w:t xml:space="preserve"> of Christianity. </w:t>
      </w:r>
      <w:r w:rsidR="00135E20" w:rsidRPr="00DB053A">
        <w:rPr>
          <w:i/>
          <w:iCs/>
        </w:rPr>
        <w:t>For Christianity itself avoids these contradictions</w:t>
      </w:r>
      <w:r w:rsidR="00135E20">
        <w:t>.”</w:t>
      </w:r>
      <w:r w:rsidR="00DB053A">
        <w:t xml:space="preserve"> [Emphasis mine]</w:t>
      </w:r>
      <w:r w:rsidR="009A1F91">
        <w:rPr>
          <w:rStyle w:val="FootnoteReference"/>
        </w:rPr>
        <w:footnoteReference w:id="28"/>
      </w:r>
      <w:r w:rsidR="00F93909">
        <w:t xml:space="preserve"> Paterson goes further than either </w:t>
      </w:r>
      <w:r w:rsidR="001D2CDA">
        <w:t xml:space="preserve">Southam or Huttar, arguing for an asceticism in the sonnet that </w:t>
      </w:r>
      <w:r w:rsidR="00776FD2">
        <w:t xml:space="preserve">these two critics argue is absent, </w:t>
      </w:r>
      <w:r w:rsidR="00B07F60">
        <w:t xml:space="preserve">“WS proposes a radical solution, something akin to old-school Christian or Hindu asceticism; starve the flesh to feed the soul, </w:t>
      </w:r>
      <w:r w:rsidR="00B07F60">
        <w:rPr>
          <w:i/>
          <w:iCs/>
        </w:rPr>
        <w:t>Buy terms divine in selling hours of dross</w:t>
      </w:r>
      <w:r w:rsidR="00B07F60">
        <w:t>, for which you might read ‘exchange wasteful earthly pursuits for spiritual ones.”</w:t>
      </w:r>
      <w:r w:rsidR="009A1F91">
        <w:rPr>
          <w:rStyle w:val="FootnoteReference"/>
        </w:rPr>
        <w:footnoteReference w:id="29"/>
      </w:r>
    </w:p>
    <w:p w14:paraId="75EE0D0B" w14:textId="4004D185" w:rsidR="00AC5A5E" w:rsidRDefault="00362F4C" w:rsidP="002A149F">
      <w:pPr>
        <w:spacing w:line="360" w:lineRule="auto"/>
      </w:pPr>
      <w:r>
        <w:t>Huttar’s argument rests upon an understanding of the language of religion within the Sonnet that is</w:t>
      </w:r>
      <w:r w:rsidR="002F312C">
        <w:t>, according to his own argument,</w:t>
      </w:r>
      <w:r>
        <w:t xml:space="preserve"> more complex than understood by critics such as Southam</w:t>
      </w:r>
      <w:r w:rsidR="002F312C">
        <w:t xml:space="preserve">. </w:t>
      </w:r>
      <w:r w:rsidR="00B73319">
        <w:t xml:space="preserve">However, it could </w:t>
      </w:r>
      <w:proofErr w:type="gramStart"/>
      <w:r w:rsidR="00B73319">
        <w:t>be argued</w:t>
      </w:r>
      <w:proofErr w:type="gramEnd"/>
      <w:r w:rsidR="00B73319">
        <w:t xml:space="preserve"> that </w:t>
      </w:r>
      <w:r w:rsidR="00DE58DC">
        <w:t xml:space="preserve">this rests on Shakespeare being as theologically conversant </w:t>
      </w:r>
      <w:r w:rsidR="00194BC5">
        <w:t xml:space="preserve">with the use of such words </w:t>
      </w:r>
      <w:r w:rsidR="00DE58DC">
        <w:t xml:space="preserve">as might be found in the </w:t>
      </w:r>
      <w:r w:rsidR="00194BC5">
        <w:t xml:space="preserve">contemporary </w:t>
      </w:r>
      <w:r w:rsidR="00DE58DC">
        <w:t xml:space="preserve">Academy </w:t>
      </w:r>
      <w:r w:rsidR="00194BC5">
        <w:t>or by religious scholars</w:t>
      </w:r>
      <w:r w:rsidR="00AC5A5E">
        <w:t xml:space="preserve">. Huttar wrote that, </w:t>
      </w:r>
    </w:p>
    <w:p w14:paraId="02F9A301" w14:textId="129BB3F6" w:rsidR="002062B8" w:rsidRDefault="006B33CC" w:rsidP="002A149F">
      <w:pPr>
        <w:spacing w:line="360" w:lineRule="auto"/>
        <w:ind w:left="720"/>
      </w:pPr>
      <w:r>
        <w:t>“Mr. Southam's misunderstanding of Christian teaching springs, I think, from a failure to appreciate the complexity</w:t>
      </w:r>
      <w:r w:rsidR="006F1BFB">
        <w:t xml:space="preserve"> – </w:t>
      </w:r>
      <w:r>
        <w:t>in</w:t>
      </w:r>
      <w:r w:rsidR="006F1BFB">
        <w:t xml:space="preserve"> </w:t>
      </w:r>
      <w:r>
        <w:t>the sense of the word taught us by that school of criticism to which Mr. Southam adheres</w:t>
      </w:r>
      <w:r w:rsidR="006F1BFB">
        <w:t xml:space="preserve"> – </w:t>
      </w:r>
      <w:r>
        <w:t>of</w:t>
      </w:r>
      <w:r w:rsidR="006F1BFB">
        <w:t xml:space="preserve"> </w:t>
      </w:r>
      <w:r>
        <w:t xml:space="preserve">Christian thought. In the Christian tradition such terms as </w:t>
      </w:r>
      <w:r>
        <w:lastRenderedPageBreak/>
        <w:t xml:space="preserve">"soul", "body", and "death", all key words in this poem, </w:t>
      </w:r>
      <w:proofErr w:type="gramStart"/>
      <w:r>
        <w:t>are used</w:t>
      </w:r>
      <w:proofErr w:type="gramEnd"/>
      <w:r>
        <w:t xml:space="preserve"> with a texture of meaning and associations quite beyond the simple sense manifest to the common reader</w:t>
      </w:r>
      <w:r w:rsidR="006F1BFB">
        <w:t>.</w:t>
      </w:r>
      <w:r w:rsidR="00B73319">
        <w:rPr>
          <w:rStyle w:val="FootnoteReference"/>
        </w:rPr>
        <w:footnoteReference w:id="30"/>
      </w:r>
    </w:p>
    <w:p w14:paraId="053B8456" w14:textId="1AFFEC50" w:rsidR="00D82DAE" w:rsidRDefault="00C50EFF" w:rsidP="002A149F">
      <w:pPr>
        <w:spacing w:line="360" w:lineRule="auto"/>
      </w:pPr>
      <w:r>
        <w:t>Whereas Shakespeare’s only expli</w:t>
      </w:r>
      <w:r w:rsidR="00D03B5E">
        <w:t>ci</w:t>
      </w:r>
      <w:r>
        <w:t xml:space="preserve">tly religious sonnet is sufficiently </w:t>
      </w:r>
      <w:r w:rsidR="005562AF">
        <w:t xml:space="preserve">equivocal </w:t>
      </w:r>
      <w:r w:rsidR="00D03B5E">
        <w:t>that conclusions concerning the actual religious nature of the poem can, and have, varied wildly</w:t>
      </w:r>
      <w:r w:rsidR="00D82DAE">
        <w:t xml:space="preserve">, Donne’s Holy Sonnet number 2 is more firmly Christian in language and </w:t>
      </w:r>
      <w:r w:rsidR="00944C53">
        <w:t xml:space="preserve">imagery. There is little scholarly debate to found on the question of whether this sonnet is a Christian poem or not. </w:t>
      </w:r>
      <w:r w:rsidR="0061123F">
        <w:t xml:space="preserve">The </w:t>
      </w:r>
      <w:r w:rsidR="00550C75">
        <w:t>opening</w:t>
      </w:r>
      <w:r w:rsidR="0061123F">
        <w:t xml:space="preserve"> octave’s angst is firmly rooted in the Reformed view of humanity as </w:t>
      </w:r>
      <w:proofErr w:type="gramStart"/>
      <w:r w:rsidR="0061123F">
        <w:t>is explored</w:t>
      </w:r>
      <w:proofErr w:type="gramEnd"/>
      <w:r w:rsidR="0061123F">
        <w:t xml:space="preserve"> in further detail below.</w:t>
      </w:r>
    </w:p>
    <w:p w14:paraId="099C813A" w14:textId="1028D380" w:rsidR="00467E22" w:rsidRDefault="00467E22" w:rsidP="002A149F">
      <w:pPr>
        <w:spacing w:line="360" w:lineRule="auto"/>
      </w:pPr>
      <w:r>
        <w:t xml:space="preserve">The sestet in Donne’s Holy Sonnet number 2 seeks to offer an answer to </w:t>
      </w:r>
      <w:r w:rsidR="00550C75">
        <w:t>the existential</w:t>
      </w:r>
      <w:r>
        <w:t xml:space="preserve"> angst in the opening octave with the line, “Yet grace, if thou repent, thou </w:t>
      </w:r>
      <w:proofErr w:type="gramStart"/>
      <w:r>
        <w:t>can’t not</w:t>
      </w:r>
      <w:proofErr w:type="gramEnd"/>
      <w:r>
        <w:t xml:space="preserve"> lack,” but this is qualified by the next line, “But who shall give the grace to begin?” Here Donne </w:t>
      </w:r>
      <w:proofErr w:type="gramStart"/>
      <w:r>
        <w:t>enters into</w:t>
      </w:r>
      <w:proofErr w:type="gramEnd"/>
      <w:r>
        <w:t xml:space="preserve"> the contemporary </w:t>
      </w:r>
      <w:r w:rsidR="00550C75">
        <w:t>discourse</w:t>
      </w:r>
      <w:r>
        <w:t xml:space="preserve"> concerning prevenient or irresistible grace. Calvin, in his </w:t>
      </w:r>
      <w:r>
        <w:rPr>
          <w:i/>
          <w:iCs/>
        </w:rPr>
        <w:t>Institute of Christian Religion</w:t>
      </w:r>
      <w:r w:rsidRPr="00005DD0">
        <w:t>, when commenting on</w:t>
      </w:r>
      <w:r>
        <w:rPr>
          <w:i/>
          <w:iCs/>
        </w:rPr>
        <w:t xml:space="preserve"> </w:t>
      </w:r>
      <w:r>
        <w:t>The Gospel of St John 6.44 wrote,</w:t>
      </w:r>
    </w:p>
    <w:p w14:paraId="54165600" w14:textId="77777777" w:rsidR="00467E22" w:rsidRDefault="00467E22" w:rsidP="002A149F">
      <w:pPr>
        <w:spacing w:line="360" w:lineRule="auto"/>
        <w:ind w:left="720"/>
      </w:pPr>
      <w:r w:rsidRPr="00005DD0">
        <w:t xml:space="preserve">The statement amounts to this, that we ought not to wonder if many refuse to embrace the Gospel; because no man will ever of himself be able to come to Christ, but God must first approach him by his Spirit; and hence it follows that all are not drawn, but that God bestows this grace on those whom he has elected. True, indeed, as to the kind of drawing, it is not violent, </w:t>
      </w:r>
      <w:proofErr w:type="gramStart"/>
      <w:r w:rsidRPr="00005DD0">
        <w:t>so as to</w:t>
      </w:r>
      <w:proofErr w:type="gramEnd"/>
      <w:r w:rsidRPr="00005DD0">
        <w:t xml:space="preserve"> compel men by external force; but still it is a powerful impulse of the Holy Spirit, which makes men willing who formerly were unwilling and reluctant.</w:t>
      </w:r>
      <w:r>
        <w:rPr>
          <w:rStyle w:val="FootnoteReference"/>
        </w:rPr>
        <w:footnoteReference w:id="31"/>
      </w:r>
    </w:p>
    <w:p w14:paraId="77EE2639" w14:textId="60EBC763" w:rsidR="00467E22" w:rsidRDefault="00467E22" w:rsidP="002A149F">
      <w:pPr>
        <w:spacing w:line="360" w:lineRule="auto"/>
      </w:pPr>
      <w:r>
        <w:t xml:space="preserve">However, as Danielle A. St. Hilaire, in citing Catherine </w:t>
      </w:r>
      <w:proofErr w:type="spellStart"/>
      <w:r>
        <w:t>Gimelli</w:t>
      </w:r>
      <w:proofErr w:type="spellEnd"/>
      <w:r>
        <w:t xml:space="preserve"> Martin, notes that the immediate followers of Calvin started to question this, “Martin notes that Calvinism after Calvin, and particularly the Calvinism of William Perkins, a likely influence on Donne’s thinking, ran into a ‘confusion about the </w:t>
      </w:r>
      <w:r>
        <w:rPr>
          <w:i/>
          <w:iCs/>
        </w:rPr>
        <w:t xml:space="preserve">ordo </w:t>
      </w:r>
      <w:proofErr w:type="spellStart"/>
      <w:r>
        <w:rPr>
          <w:i/>
          <w:iCs/>
        </w:rPr>
        <w:t>salutis</w:t>
      </w:r>
      <w:proofErr w:type="spellEnd"/>
      <w:r>
        <w:t>’.”</w:t>
      </w:r>
      <w:r>
        <w:rPr>
          <w:rStyle w:val="FootnoteReference"/>
        </w:rPr>
        <w:footnoteReference w:id="32"/>
      </w:r>
      <w:r>
        <w:t xml:space="preserve"> Martin’s explanation of the difference links directly to the uncertainty we read in Donne’s line</w:t>
      </w:r>
      <w:r w:rsidR="00DA1067">
        <w:t>, (</w:t>
      </w:r>
      <w:r w:rsidR="00B257D5">
        <w:t>“But who shall give thee that grace to begin?”)</w:t>
      </w:r>
      <w:r w:rsidR="00C925AA">
        <w:t xml:space="preserve"> and the </w:t>
      </w:r>
      <w:r w:rsidR="00DA1067">
        <w:t>debate that existed among the immediate followers of Calvin</w:t>
      </w:r>
      <w:r>
        <w:t xml:space="preserve">, “To repeat, Calvin considered repentance the fruit of faith, while his follower Beza believed that faith is the </w:t>
      </w:r>
      <w:r>
        <w:rPr>
          <w:i/>
          <w:iCs/>
        </w:rPr>
        <w:t>result</w:t>
      </w:r>
      <w:r>
        <w:t xml:space="preserve"> of repentance.”</w:t>
      </w:r>
      <w:r>
        <w:rPr>
          <w:rStyle w:val="FootnoteReference"/>
        </w:rPr>
        <w:footnoteReference w:id="33"/>
      </w:r>
    </w:p>
    <w:p w14:paraId="7B15C90F" w14:textId="2D276526" w:rsidR="00152F30" w:rsidRDefault="00152F30" w:rsidP="002A149F">
      <w:pPr>
        <w:spacing w:line="360" w:lineRule="auto"/>
      </w:pPr>
      <w:r>
        <w:t xml:space="preserve">The use of death in the final </w:t>
      </w:r>
      <w:r w:rsidR="0075441F">
        <w:t>couplet of sonnet 146</w:t>
      </w:r>
      <w:r w:rsidR="009333F4">
        <w:t xml:space="preserve">, with its </w:t>
      </w:r>
      <w:r w:rsidR="00645FF1">
        <w:t xml:space="preserve">echoes of </w:t>
      </w:r>
      <w:r w:rsidR="00BA6E05">
        <w:t>1 Corinthian 15:26 (“</w:t>
      </w:r>
      <w:r w:rsidR="00BA6E05" w:rsidRPr="00BA6E05">
        <w:t xml:space="preserve">The last </w:t>
      </w:r>
      <w:proofErr w:type="spellStart"/>
      <w:r w:rsidR="00BA6E05" w:rsidRPr="00BA6E05">
        <w:t>enemie</w:t>
      </w:r>
      <w:proofErr w:type="spellEnd"/>
      <w:r w:rsidR="00BA6E05" w:rsidRPr="00BA6E05">
        <w:t xml:space="preserve"> that shal</w:t>
      </w:r>
      <w:r w:rsidR="00BA6E05">
        <w:t xml:space="preserve">l </w:t>
      </w:r>
      <w:r w:rsidR="00BA6E05" w:rsidRPr="00BA6E05">
        <w:t>be destroyed, is death.</w:t>
      </w:r>
      <w:r w:rsidR="00BA6E05">
        <w:t>”) and 15:54</w:t>
      </w:r>
      <w:r w:rsidR="004A087C">
        <w:t>-55 (“</w:t>
      </w:r>
      <w:r w:rsidR="004A087C" w:rsidRPr="004A087C">
        <w:t xml:space="preserve">Death </w:t>
      </w:r>
      <w:proofErr w:type="gramStart"/>
      <w:r w:rsidR="004A087C" w:rsidRPr="004A087C">
        <w:t>is swallowed</w:t>
      </w:r>
      <w:proofErr w:type="gramEnd"/>
      <w:r w:rsidR="004A087C" w:rsidRPr="004A087C">
        <w:t xml:space="preserve"> </w:t>
      </w:r>
      <w:r w:rsidR="004B7149">
        <w:t>u</w:t>
      </w:r>
      <w:r w:rsidR="004A087C" w:rsidRPr="004A087C">
        <w:t xml:space="preserve">p into </w:t>
      </w:r>
      <w:proofErr w:type="spellStart"/>
      <w:r w:rsidR="004A087C" w:rsidRPr="004A087C">
        <w:t>victorie</w:t>
      </w:r>
      <w:proofErr w:type="spellEnd"/>
      <w:r w:rsidR="004A087C" w:rsidRPr="004A087C">
        <w:t xml:space="preserve">. O </w:t>
      </w:r>
      <w:r w:rsidR="004A087C" w:rsidRPr="004A087C">
        <w:lastRenderedPageBreak/>
        <w:t>death where is thy sting? O gra</w:t>
      </w:r>
      <w:r w:rsidR="004B7149">
        <w:t>v</w:t>
      </w:r>
      <w:r w:rsidR="004A087C" w:rsidRPr="004A087C">
        <w:t xml:space="preserve">e where is thy </w:t>
      </w:r>
      <w:proofErr w:type="spellStart"/>
      <w:r w:rsidR="004A087C" w:rsidRPr="004A087C">
        <w:t>victorie</w:t>
      </w:r>
      <w:proofErr w:type="spellEnd"/>
      <w:r w:rsidR="004A087C" w:rsidRPr="004A087C">
        <w:t>?</w:t>
      </w:r>
      <w:r w:rsidR="004A087C">
        <w:t>”</w:t>
      </w:r>
      <w:r w:rsidR="004B7149">
        <w:t>)</w:t>
      </w:r>
      <w:r w:rsidR="00B73319">
        <w:rPr>
          <w:rStyle w:val="FootnoteReference"/>
        </w:rPr>
        <w:footnoteReference w:id="34"/>
      </w:r>
      <w:r w:rsidR="00D758F0">
        <w:t xml:space="preserve"> </w:t>
      </w:r>
      <w:r w:rsidR="00736685">
        <w:t xml:space="preserve">has </w:t>
      </w:r>
      <w:proofErr w:type="gramStart"/>
      <w:r w:rsidR="00736685">
        <w:t>been used</w:t>
      </w:r>
      <w:proofErr w:type="gramEnd"/>
      <w:r w:rsidR="00736685">
        <w:t xml:space="preserve"> by commentators including Booth</w:t>
      </w:r>
      <w:r w:rsidR="00B73319">
        <w:rPr>
          <w:rStyle w:val="FootnoteReference"/>
        </w:rPr>
        <w:footnoteReference w:id="35"/>
      </w:r>
      <w:r w:rsidR="00B86234">
        <w:t xml:space="preserve"> </w:t>
      </w:r>
      <w:r w:rsidR="00736685">
        <w:t>and Huttar</w:t>
      </w:r>
      <w:r w:rsidR="0013364B">
        <w:t xml:space="preserve"> to bolster </w:t>
      </w:r>
      <w:r w:rsidR="00E31F01">
        <w:t>their arguments for the Christian basis of the sonnet</w:t>
      </w:r>
      <w:r w:rsidR="00A35EAC">
        <w:t>,</w:t>
      </w:r>
      <w:r w:rsidR="000F00DB">
        <w:t xml:space="preserve"> </w:t>
      </w:r>
      <w:r w:rsidR="00A35EAC">
        <w:t>where he describes the final couplet as, “sound Christian doctrine,”</w:t>
      </w:r>
      <w:r w:rsidR="00B86234">
        <w:rPr>
          <w:rStyle w:val="FootnoteReference"/>
        </w:rPr>
        <w:footnoteReference w:id="36"/>
      </w:r>
      <w:r w:rsidR="00A35EAC">
        <w:t xml:space="preserve"> </w:t>
      </w:r>
      <w:r w:rsidR="009E462E">
        <w:t xml:space="preserve">as justification for a Christian interpretation. Helen Vendler, despite acknowledging the religious </w:t>
      </w:r>
      <w:r w:rsidR="00EB64FE">
        <w:t xml:space="preserve">tone in the poem is more hesitant, </w:t>
      </w:r>
      <w:r w:rsidR="006B1649">
        <w:t>criticising</w:t>
      </w:r>
      <w:r w:rsidR="008F3FF9">
        <w:t xml:space="preserve"> fellow </w:t>
      </w:r>
      <w:r w:rsidR="006B1649">
        <w:t xml:space="preserve">scholars for </w:t>
      </w:r>
      <w:r w:rsidR="00D8009E">
        <w:t>relying, “rather too heavily for their orthodox views of the sonnet”</w:t>
      </w:r>
      <w:r w:rsidR="008F3FF9">
        <w:t xml:space="preserve"> </w:t>
      </w:r>
      <w:r w:rsidR="00F157B0">
        <w:t xml:space="preserve">on the </w:t>
      </w:r>
      <w:r w:rsidR="00F46D4F">
        <w:t xml:space="preserve">apparent </w:t>
      </w:r>
      <w:r w:rsidR="00D429C7">
        <w:t xml:space="preserve">link </w:t>
      </w:r>
      <w:r w:rsidR="00F46D4F">
        <w:t xml:space="preserve">with </w:t>
      </w:r>
      <w:r w:rsidR="00036078">
        <w:t>Pauline</w:t>
      </w:r>
      <w:r w:rsidR="00D429C7">
        <w:t xml:space="preserve"> passages</w:t>
      </w:r>
      <w:r w:rsidR="00D8009E">
        <w:t xml:space="preserve"> in the New Testament although </w:t>
      </w:r>
      <w:r w:rsidR="008B264A">
        <w:t>she doesn’t offer a justification for that view</w:t>
      </w:r>
      <w:r w:rsidR="00151584">
        <w:t xml:space="preserve"> in her commentary</w:t>
      </w:r>
      <w:r w:rsidR="004E7093">
        <w:t xml:space="preserve"> other than her comment that, “</w:t>
      </w:r>
      <w:r w:rsidR="007A6AB9">
        <w:t>The gloominess of this sonnet has little of the radiance of Christian hope</w:t>
      </w:r>
      <w:r w:rsidR="005D0221">
        <w:t>.</w:t>
      </w:r>
      <w:r w:rsidR="007A6AB9">
        <w:t>”</w:t>
      </w:r>
      <w:r w:rsidR="005D0221">
        <w:t xml:space="preserve"> </w:t>
      </w:r>
      <w:r w:rsidR="005D0221">
        <w:rPr>
          <w:rStyle w:val="FootnoteReference"/>
        </w:rPr>
        <w:footnoteReference w:id="37"/>
      </w:r>
    </w:p>
    <w:p w14:paraId="22617102" w14:textId="0F67EDB3" w:rsidR="00485FC7" w:rsidRPr="00990AD3" w:rsidRDefault="00485FC7" w:rsidP="002A149F">
      <w:pPr>
        <w:spacing w:line="360" w:lineRule="auto"/>
        <w:rPr>
          <w:rFonts w:cstheme="minorHAnsi"/>
        </w:rPr>
      </w:pPr>
      <w:r>
        <w:t>As Southam and others have pointed out</w:t>
      </w:r>
      <w:r w:rsidR="00C966CC">
        <w:rPr>
          <w:rStyle w:val="FootnoteReference"/>
        </w:rPr>
        <w:footnoteReference w:id="38"/>
      </w:r>
      <w:r>
        <w:t xml:space="preserve">, it could be argued that there is a lack of eschatological hope in the final couplet of sonnet 146 argues against an orthodox Christian reading, in contrast to Donne’s sonnet with the final couplet, “Or wash thee in Christ’s blood, which hath this might/ That being red, it dyes red souls to white.” The echoes of various Bible passages including </w:t>
      </w:r>
      <w:r w:rsidRPr="00990AD3">
        <w:rPr>
          <w:rFonts w:cstheme="minorHAnsi"/>
        </w:rPr>
        <w:t>1 John 1.7 (“</w:t>
      </w:r>
      <w:r w:rsidRPr="00990AD3">
        <w:rPr>
          <w:rFonts w:cstheme="minorHAnsi"/>
          <w:color w:val="000000"/>
          <w:shd w:val="clear" w:color="auto" w:fill="FFFFFF"/>
        </w:rPr>
        <w:t xml:space="preserve">But if we walk in the light as he is in the light, we have fellowship one with another, and the blood of Jesus Christ his Son </w:t>
      </w:r>
      <w:proofErr w:type="spellStart"/>
      <w:r w:rsidRPr="00990AD3">
        <w:rPr>
          <w:rFonts w:cstheme="minorHAnsi"/>
          <w:color w:val="000000"/>
          <w:shd w:val="clear" w:color="auto" w:fill="FFFFFF"/>
        </w:rPr>
        <w:t>cleanseth</w:t>
      </w:r>
      <w:proofErr w:type="spellEnd"/>
      <w:r w:rsidRPr="00990AD3">
        <w:rPr>
          <w:rFonts w:cstheme="minorHAnsi"/>
          <w:color w:val="000000"/>
          <w:shd w:val="clear" w:color="auto" w:fill="FFFFFF"/>
        </w:rPr>
        <w:t xml:space="preserve"> us from all sin.”) and Psalm 51.7 (“Purge me with hyssop, and I shall be clean: wash me, and I shall be whiter than snow.”)</w:t>
      </w:r>
      <w:r w:rsidR="00990AD3">
        <w:rPr>
          <w:rStyle w:val="FootnoteReference"/>
          <w:rFonts w:cstheme="minorHAnsi"/>
          <w:color w:val="000000"/>
          <w:shd w:val="clear" w:color="auto" w:fill="FFFFFF"/>
        </w:rPr>
        <w:footnoteReference w:id="39"/>
      </w:r>
      <w:r w:rsidRPr="00990AD3">
        <w:rPr>
          <w:rFonts w:cstheme="minorHAnsi"/>
          <w:color w:val="000000"/>
          <w:shd w:val="clear" w:color="auto" w:fill="FFFFFF"/>
        </w:rPr>
        <w:t xml:space="preserve"> emphasising a redemptive hope </w:t>
      </w:r>
      <w:r w:rsidR="000254CA">
        <w:rPr>
          <w:rFonts w:cstheme="minorHAnsi"/>
          <w:color w:val="000000"/>
          <w:shd w:val="clear" w:color="auto" w:fill="FFFFFF"/>
        </w:rPr>
        <w:t>in contrast to</w:t>
      </w:r>
      <w:r w:rsidRPr="00990AD3">
        <w:rPr>
          <w:rFonts w:cstheme="minorHAnsi"/>
          <w:color w:val="000000"/>
          <w:shd w:val="clear" w:color="auto" w:fill="FFFFFF"/>
        </w:rPr>
        <w:t xml:space="preserve"> the tone of the final couplet of sonnet 146 in which the only promise is the end of ‘dying’ which could be interpreted as a materialist view in which the poet simply ceases to exist, “So shalt thou feed on death that feeds on men,/ And death once dead, there’s no more dying then.”</w:t>
      </w:r>
    </w:p>
    <w:p w14:paraId="1FE979F2" w14:textId="77777777" w:rsidR="00485FC7" w:rsidRDefault="00485FC7" w:rsidP="002A149F">
      <w:pPr>
        <w:spacing w:line="360" w:lineRule="auto"/>
      </w:pPr>
      <w:r>
        <w:t>Both poems describe a spiritual sickness, Donne literally, “By sickness, death’s herald” and Shakespeare through the use of the word ‘dearth’ in line 3 as considered by Huttar, “It is just what it says, dearth, spiritual starvation, lack of the kind of nourishment which is proper to the soul,” and its proximity to ‘death’ as he wrote in his footnote, “It is not necessary to join Gildon (1714) in substituting "Death" for "dearth", in order to appreciate the associative effect of the near homonymy.”</w:t>
      </w:r>
      <w:r>
        <w:rPr>
          <w:rStyle w:val="FootnoteReference"/>
        </w:rPr>
        <w:footnoteReference w:id="40"/>
      </w:r>
      <w:r>
        <w:t xml:space="preserve"> But both poems offer radically different cures to this sickness.</w:t>
      </w:r>
    </w:p>
    <w:p w14:paraId="5AF7FE4C" w14:textId="45CDB49C" w:rsidR="00485FC7" w:rsidRDefault="00485FC7" w:rsidP="002A149F">
      <w:pPr>
        <w:spacing w:line="360" w:lineRule="auto"/>
      </w:pPr>
      <w:r>
        <w:t xml:space="preserve">The Calvinism discussed above is central to Donne’s soteriology in Holy Sonnet number 2, where the Calvinist doctrine of total depravity is reinterpreted as a hopeless sense of loss and hope, “Thou art </w:t>
      </w:r>
      <w:r>
        <w:lastRenderedPageBreak/>
        <w:t>like a pilgrim, which abroad hath done/ Treason, and durst not turn to whence he is fled.”</w:t>
      </w:r>
      <w:r>
        <w:rPr>
          <w:rStyle w:val="FootnoteReference"/>
        </w:rPr>
        <w:footnoteReference w:id="41"/>
      </w:r>
      <w:r>
        <w:t xml:space="preserve"> The hope of salvation doesn’t come from acts of discipline, sacrifice, or asceticism but from ‘grace’, “Yet grace, if thou repent, thou canst not lack;/ But who shall give thee the grace to begin?” Alongside the uncertainty of prevenient or irresistible grace present in these lines, reflecting much of the contemporary debate,</w:t>
      </w:r>
      <w:r>
        <w:rPr>
          <w:rStyle w:val="FootnoteReference"/>
        </w:rPr>
        <w:footnoteReference w:id="42"/>
      </w:r>
      <w:r>
        <w:t xml:space="preserve"> we see a sharp contrast to the </w:t>
      </w:r>
      <w:r w:rsidR="00DB5031">
        <w:t>presumptions</w:t>
      </w:r>
      <w:r>
        <w:t xml:space="preserve"> of </w:t>
      </w:r>
      <w:r w:rsidR="00DB5031">
        <w:t xml:space="preserve">what defines </w:t>
      </w:r>
      <w:r>
        <w:t xml:space="preserve">Christian beliefs as expressed by B. C. Southam in his analysis of sonnet 146 where he assumes a works-based salvation </w:t>
      </w:r>
      <w:r w:rsidR="00E51BB5">
        <w:t>i</w:t>
      </w:r>
      <w:r>
        <w:t xml:space="preserve">s orthodox doctrine. </w:t>
      </w:r>
      <w:r>
        <w:rPr>
          <w:rStyle w:val="FootnoteReference"/>
        </w:rPr>
        <w:footnoteReference w:id="43"/>
      </w:r>
      <w:r>
        <w:t xml:space="preserve"> </w:t>
      </w:r>
    </w:p>
    <w:p w14:paraId="76E38B17" w14:textId="61A13CF9" w:rsidR="00485FC7" w:rsidRDefault="00485FC7" w:rsidP="002A149F">
      <w:pPr>
        <w:spacing w:line="360" w:lineRule="auto"/>
      </w:pPr>
      <w:r>
        <w:t xml:space="preserve">This sense of depravity can be seen in other writings by Donne, such as in the </w:t>
      </w:r>
      <w:r w:rsidR="00E51BB5" w:rsidRPr="00E51BB5">
        <w:rPr>
          <w:i/>
          <w:iCs/>
        </w:rPr>
        <w:t>S</w:t>
      </w:r>
      <w:r w:rsidRPr="00E51BB5">
        <w:rPr>
          <w:i/>
          <w:iCs/>
        </w:rPr>
        <w:t xml:space="preserve">ermon </w:t>
      </w:r>
      <w:r w:rsidR="00E51BB5" w:rsidRPr="00E51BB5">
        <w:rPr>
          <w:i/>
          <w:iCs/>
        </w:rPr>
        <w:t>P</w:t>
      </w:r>
      <w:r w:rsidRPr="00E51BB5">
        <w:rPr>
          <w:i/>
          <w:iCs/>
        </w:rPr>
        <w:t>reached upon the Penitential Psalms (April, May, or June 1623)</w:t>
      </w:r>
      <w:r>
        <w:t xml:space="preserve"> where he describes the sick souls possessing a “</w:t>
      </w:r>
      <w:proofErr w:type="spellStart"/>
      <w:r>
        <w:t>blacknesse</w:t>
      </w:r>
      <w:proofErr w:type="spellEnd"/>
      <w:r>
        <w:t xml:space="preserve">, a </w:t>
      </w:r>
      <w:proofErr w:type="spellStart"/>
      <w:r>
        <w:t>sootinesse</w:t>
      </w:r>
      <w:proofErr w:type="spellEnd"/>
      <w:r>
        <w:t>,” and that such a soul displays, “anger, and vehemency, and distemper.”</w:t>
      </w:r>
      <w:r>
        <w:rPr>
          <w:rStyle w:val="FootnoteReference"/>
        </w:rPr>
        <w:footnoteReference w:id="44"/>
      </w:r>
      <w:r>
        <w:t xml:space="preserve"> The clearly protestant, Calvinist, beliefs of Donne (which may </w:t>
      </w:r>
      <w:r w:rsidR="005647AB">
        <w:t>reflect</w:t>
      </w:r>
      <w:r>
        <w:t xml:space="preserve"> the zeal of a convert raised by Catholic parents and who chose the protestant faith as an adult, as described by Alison Shell and Arnold Hunt</w:t>
      </w:r>
      <w:r>
        <w:rPr>
          <w:rStyle w:val="FootnoteReference"/>
        </w:rPr>
        <w:footnoteReference w:id="45"/>
      </w:r>
      <w:r>
        <w:t xml:space="preserve">), with the emphasis on grace as the cure for this sickness, contrasts with the need to ‘buy terms divine’ and the lack if this same grace in </w:t>
      </w:r>
      <w:r w:rsidR="00D64405">
        <w:t>Shakespeare</w:t>
      </w:r>
      <w:r>
        <w:t>.</w:t>
      </w:r>
    </w:p>
    <w:p w14:paraId="125BD743" w14:textId="2F15F4B7" w:rsidR="00485FC7" w:rsidRDefault="00E53AE3" w:rsidP="002A149F">
      <w:pPr>
        <w:spacing w:line="360" w:lineRule="auto"/>
      </w:pPr>
      <w:r>
        <w:t>This difference</w:t>
      </w:r>
      <w:r w:rsidR="00D63792">
        <w:t xml:space="preserve">, as outlined in the introduction, emphasises the difference between these two poems, and the approach of the two poets. Even though both poems </w:t>
      </w:r>
      <w:r w:rsidR="009F16B8">
        <w:t xml:space="preserve">start with the same sense of spiritual sickness, and the cry of </w:t>
      </w:r>
      <w:r w:rsidR="007F1358">
        <w:t>“</w:t>
      </w:r>
      <w:r w:rsidR="009F16B8">
        <w:t>poor soul</w:t>
      </w:r>
      <w:r w:rsidR="007F1358">
        <w:t xml:space="preserve">” in Shakespeare </w:t>
      </w:r>
      <w:r w:rsidR="009F16B8">
        <w:t xml:space="preserve">and </w:t>
      </w:r>
      <w:r w:rsidR="007F1358">
        <w:t>“Oh my black soul!”</w:t>
      </w:r>
      <w:r w:rsidR="007F1358">
        <w:t xml:space="preserve"> in Donne</w:t>
      </w:r>
      <w:r w:rsidR="00D64405">
        <w:t xml:space="preserve">, as they move, according to their respective sonnet forms, from the cry of sickness to the hope of salvation their departure from each other is stark. As stated in the introduction I have analysed the religious nature of each sonnet, the </w:t>
      </w:r>
      <w:r w:rsidR="00371ED0">
        <w:t xml:space="preserve">way that spiritual sickness </w:t>
      </w:r>
      <w:proofErr w:type="gramStart"/>
      <w:r w:rsidR="00371ED0">
        <w:t>is depicted</w:t>
      </w:r>
      <w:proofErr w:type="gramEnd"/>
      <w:r w:rsidR="00371ED0">
        <w:t xml:space="preserve">, and the solutions offered. Despite the differing conclusions, the </w:t>
      </w:r>
      <w:r w:rsidR="00DC7B0A">
        <w:t xml:space="preserve">similarity of the sickness portrayed shows a commonality of the concerns of </w:t>
      </w:r>
      <w:r w:rsidR="00520C13">
        <w:t>citizens in England in the late 16</w:t>
      </w:r>
      <w:r w:rsidR="00520C13" w:rsidRPr="00520C13">
        <w:rPr>
          <w:vertAlign w:val="superscript"/>
        </w:rPr>
        <w:t>th</w:t>
      </w:r>
      <w:r w:rsidR="00520C13">
        <w:t xml:space="preserve"> and </w:t>
      </w:r>
      <w:r w:rsidR="00CA0A87">
        <w:t>early 17</w:t>
      </w:r>
      <w:r w:rsidR="00CA0A87" w:rsidRPr="00CA0A87">
        <w:rPr>
          <w:vertAlign w:val="superscript"/>
        </w:rPr>
        <w:t>th</w:t>
      </w:r>
      <w:r w:rsidR="00520C13">
        <w:t>.</w:t>
      </w:r>
    </w:p>
    <w:p w14:paraId="64FF31F3" w14:textId="2D2C2499" w:rsidR="00FA5A6F" w:rsidRDefault="00FA5A6F" w:rsidP="002A149F">
      <w:pPr>
        <w:spacing w:line="360" w:lineRule="auto"/>
      </w:pPr>
    </w:p>
    <w:p w14:paraId="4F664D02" w14:textId="4F9259EE" w:rsidR="00CE7D1D" w:rsidRDefault="00CE7D1D" w:rsidP="002A149F">
      <w:pPr>
        <w:spacing w:line="360" w:lineRule="auto"/>
        <w:rPr>
          <w:b/>
          <w:bCs/>
        </w:rPr>
      </w:pPr>
      <w:r>
        <w:rPr>
          <w:b/>
          <w:bCs/>
        </w:rPr>
        <w:t>Bibliography</w:t>
      </w:r>
    </w:p>
    <w:p w14:paraId="3C90D3FB" w14:textId="7A031EEE" w:rsidR="00CE7D1D" w:rsidRDefault="00CE7D1D" w:rsidP="002A149F">
      <w:pPr>
        <w:spacing w:after="0" w:line="360" w:lineRule="auto"/>
      </w:pPr>
      <w:r>
        <w:t xml:space="preserve">Booth, S. </w:t>
      </w:r>
      <w:r>
        <w:rPr>
          <w:i/>
          <w:iCs/>
        </w:rPr>
        <w:t>Shakespeare’s Sonnets.</w:t>
      </w:r>
      <w:r>
        <w:t xml:space="preserve"> (New Haven: Yale University Press, 1977)</w:t>
      </w:r>
    </w:p>
    <w:p w14:paraId="2765C5BE" w14:textId="13BAA375" w:rsidR="00AA142F" w:rsidRDefault="00AA142F" w:rsidP="002A149F">
      <w:pPr>
        <w:spacing w:after="0" w:line="360" w:lineRule="auto"/>
      </w:pPr>
      <w:r w:rsidRPr="00AA142F">
        <w:t xml:space="preserve">Calvin, </w:t>
      </w:r>
      <w:r w:rsidR="009F3EE1">
        <w:t xml:space="preserve">C. </w:t>
      </w:r>
      <w:r w:rsidRPr="00BC477B">
        <w:rPr>
          <w:i/>
          <w:iCs/>
        </w:rPr>
        <w:t>The Institutes of the Christian Religion</w:t>
      </w:r>
      <w:r w:rsidRPr="00AA142F">
        <w:t xml:space="preserve"> (Peabody: Hendrickson, 2007)</w:t>
      </w:r>
    </w:p>
    <w:p w14:paraId="7A1D7633" w14:textId="1874D6FE" w:rsidR="00980042" w:rsidRDefault="00980042" w:rsidP="002A149F">
      <w:pPr>
        <w:spacing w:after="0" w:line="360" w:lineRule="auto"/>
      </w:pPr>
      <w:r>
        <w:lastRenderedPageBreak/>
        <w:t xml:space="preserve">Coles, K. A. </w:t>
      </w:r>
      <w:r w:rsidR="002352BC">
        <w:t xml:space="preserve">‘The Matter of Belief in John Donne’s Holy Sonnets’ IN </w:t>
      </w:r>
      <w:r w:rsidR="002352BC">
        <w:rPr>
          <w:i/>
          <w:iCs/>
        </w:rPr>
        <w:t>Renaissance Quarterly</w:t>
      </w:r>
      <w:r w:rsidR="002352BC">
        <w:t xml:space="preserve">, </w:t>
      </w:r>
      <w:r w:rsidR="00D82673">
        <w:t xml:space="preserve">Autumn 2015, </w:t>
      </w:r>
      <w:r w:rsidR="009A5072">
        <w:t>Vol. 63, No. 3</w:t>
      </w:r>
    </w:p>
    <w:p w14:paraId="5568990D" w14:textId="4C3C73E2" w:rsidR="003E4B43" w:rsidRPr="006C384C" w:rsidRDefault="003E4B43" w:rsidP="002A149F">
      <w:pPr>
        <w:spacing w:after="0" w:line="360" w:lineRule="auto"/>
      </w:pPr>
      <w:r>
        <w:t xml:space="preserve">Cothran, A. F. </w:t>
      </w:r>
      <w:r w:rsidR="006C384C">
        <w:t xml:space="preserve">‘John Donne and the Art of Adaptation’ IN </w:t>
      </w:r>
      <w:r w:rsidR="006C384C">
        <w:rPr>
          <w:i/>
          <w:iCs/>
        </w:rPr>
        <w:t>Anglican Theological Review</w:t>
      </w:r>
      <w:r w:rsidR="006C384C">
        <w:t>, Winter 2005, Vol. 87, No. 1.</w:t>
      </w:r>
    </w:p>
    <w:p w14:paraId="23A4979C" w14:textId="48085989" w:rsidR="00CE7D1D" w:rsidRPr="00CE7D1D" w:rsidRDefault="00CE7D1D" w:rsidP="002A149F">
      <w:pPr>
        <w:spacing w:after="0" w:line="360" w:lineRule="auto"/>
      </w:pPr>
      <w:r w:rsidRPr="00CE7D1D">
        <w:t xml:space="preserve">Donne, J. </w:t>
      </w:r>
      <w:r w:rsidRPr="00BC477B">
        <w:rPr>
          <w:i/>
          <w:iCs/>
        </w:rPr>
        <w:t>The Major Works</w:t>
      </w:r>
      <w:r w:rsidRPr="00CE7D1D">
        <w:t>, (Oxford: Oxford University Press, 2000)</w:t>
      </w:r>
    </w:p>
    <w:p w14:paraId="58D270A2" w14:textId="12A2F6C7" w:rsidR="00ED40F0" w:rsidRPr="00ED5C59" w:rsidRDefault="00ED40F0" w:rsidP="002A149F">
      <w:pPr>
        <w:spacing w:after="0" w:line="360" w:lineRule="auto"/>
      </w:pPr>
      <w:r>
        <w:t>Duncan-Jones</w:t>
      </w:r>
      <w:r w:rsidR="007E47DD">
        <w:t xml:space="preserve">, K. </w:t>
      </w:r>
      <w:r w:rsidR="007E47DD">
        <w:rPr>
          <w:i/>
          <w:iCs/>
        </w:rPr>
        <w:t>Shake</w:t>
      </w:r>
      <w:r w:rsidR="00ED5C59">
        <w:rPr>
          <w:i/>
          <w:iCs/>
        </w:rPr>
        <w:t>speare’s Sonnets</w:t>
      </w:r>
      <w:r w:rsidR="00ED5C59">
        <w:t>, (London: Bloomsbury, The Arden Shakespeare</w:t>
      </w:r>
      <w:r w:rsidR="00A13514">
        <w:t>, 2010)</w:t>
      </w:r>
    </w:p>
    <w:p w14:paraId="62538A7F" w14:textId="5F2B6308" w:rsidR="00CE7D1D" w:rsidRDefault="00CE7D1D" w:rsidP="002A149F">
      <w:pPr>
        <w:spacing w:after="0" w:line="360" w:lineRule="auto"/>
      </w:pPr>
      <w:r w:rsidRPr="00BC477B">
        <w:rPr>
          <w:i/>
          <w:iCs/>
        </w:rPr>
        <w:t>The Geneva Bible</w:t>
      </w:r>
      <w:r w:rsidRPr="00CE7D1D">
        <w:t>, (Peabody: Hendrickson, 2007)</w:t>
      </w:r>
    </w:p>
    <w:p w14:paraId="1E8310C9" w14:textId="2B5499DE" w:rsidR="00786416" w:rsidRPr="00CE7D1D" w:rsidRDefault="00786416" w:rsidP="002A149F">
      <w:pPr>
        <w:spacing w:after="0" w:line="360" w:lineRule="auto"/>
      </w:pPr>
      <w:r>
        <w:t xml:space="preserve">Ferguson, M. H. ‘The Structure of the </w:t>
      </w:r>
      <w:r w:rsidR="004C3FED">
        <w:t xml:space="preserve">“Soul’s Address to the Body” in Old English’ IN </w:t>
      </w:r>
      <w:r w:rsidR="004C3FED">
        <w:rPr>
          <w:i/>
          <w:iCs/>
        </w:rPr>
        <w:t>The Journal of English and German Philology</w:t>
      </w:r>
      <w:r w:rsidR="003E1D21">
        <w:t>, Jan. 1970, Vol. 69, No. 1</w:t>
      </w:r>
      <w:r>
        <w:t xml:space="preserve"> </w:t>
      </w:r>
    </w:p>
    <w:p w14:paraId="0A05CE81" w14:textId="77777777" w:rsidR="00AA142F" w:rsidRDefault="00AA142F" w:rsidP="002A149F">
      <w:pPr>
        <w:spacing w:after="0" w:line="360" w:lineRule="auto"/>
      </w:pPr>
      <w:r w:rsidRPr="00CE7D1D">
        <w:t>Hilaire, Danielle A, ‘The Grammar of Salvation and the Poetics of Possibility in Donne’s Holy Sonnets</w:t>
      </w:r>
      <w:proofErr w:type="gramStart"/>
      <w:r w:rsidRPr="00CE7D1D">
        <w:t>’,</w:t>
      </w:r>
      <w:proofErr w:type="gramEnd"/>
      <w:r w:rsidRPr="00CE7D1D">
        <w:t xml:space="preserve"> </w:t>
      </w:r>
      <w:r w:rsidRPr="00BC477B">
        <w:rPr>
          <w:i/>
          <w:iCs/>
        </w:rPr>
        <w:t>Studies in Philology</w:t>
      </w:r>
      <w:r w:rsidRPr="00CE7D1D">
        <w:t>, 114.3 (2017)</w:t>
      </w:r>
    </w:p>
    <w:p w14:paraId="284EF8D2" w14:textId="13345E0E" w:rsidR="00CE7D1D" w:rsidRDefault="00CE7D1D" w:rsidP="002A149F">
      <w:pPr>
        <w:spacing w:after="0" w:line="360" w:lineRule="auto"/>
      </w:pPr>
      <w:r w:rsidRPr="00CE7D1D">
        <w:t xml:space="preserve">Huttar, </w:t>
      </w:r>
      <w:r>
        <w:t xml:space="preserve">C. </w:t>
      </w:r>
      <w:r w:rsidRPr="00CE7D1D">
        <w:t xml:space="preserve">‘The Christian Basis of Shakespeare’s Sonnet 146’ IN </w:t>
      </w:r>
      <w:r w:rsidRPr="00052AC4">
        <w:rPr>
          <w:i/>
          <w:iCs/>
        </w:rPr>
        <w:t>Shakespeare Quarterly</w:t>
      </w:r>
      <w:r w:rsidRPr="00CE7D1D">
        <w:t>, Autumn 1968, Vol. 19, No 4</w:t>
      </w:r>
    </w:p>
    <w:p w14:paraId="5B08EFB7" w14:textId="1933E46A" w:rsidR="0030110B" w:rsidRDefault="0030110B" w:rsidP="002A149F">
      <w:pPr>
        <w:spacing w:after="0" w:line="360" w:lineRule="auto"/>
      </w:pPr>
      <w:r>
        <w:t xml:space="preserve">Kermode, F. </w:t>
      </w:r>
      <w:r>
        <w:rPr>
          <w:i/>
          <w:iCs/>
        </w:rPr>
        <w:t>Shakespeare</w:t>
      </w:r>
      <w:r w:rsidR="00D379B2">
        <w:rPr>
          <w:i/>
          <w:iCs/>
        </w:rPr>
        <w:t>, Spenser, Donne</w:t>
      </w:r>
      <w:r w:rsidR="00D379B2">
        <w:t xml:space="preserve"> (New York: Viking Press, 1971)</w:t>
      </w:r>
    </w:p>
    <w:p w14:paraId="76CE76F1" w14:textId="0C6C7A05" w:rsidR="00394C01" w:rsidRPr="009705EE" w:rsidRDefault="00394C01" w:rsidP="002A149F">
      <w:pPr>
        <w:spacing w:after="0" w:line="360" w:lineRule="auto"/>
      </w:pPr>
      <w:r>
        <w:t xml:space="preserve">Krieger, M. </w:t>
      </w:r>
      <w:r>
        <w:rPr>
          <w:i/>
          <w:iCs/>
        </w:rPr>
        <w:t xml:space="preserve">A Window to Criticism: </w:t>
      </w:r>
      <w:r w:rsidR="009705EE">
        <w:rPr>
          <w:i/>
          <w:iCs/>
        </w:rPr>
        <w:t>Shakespeare’s</w:t>
      </w:r>
      <w:r>
        <w:rPr>
          <w:i/>
          <w:iCs/>
        </w:rPr>
        <w:t xml:space="preserve"> Sonnets and Modern Poetics</w:t>
      </w:r>
      <w:r w:rsidR="009705EE">
        <w:t xml:space="preserve"> (Princeton: Princeton University Press, 1964</w:t>
      </w:r>
    </w:p>
    <w:p w14:paraId="70186C7A" w14:textId="0EF78E26" w:rsidR="009F3EE1" w:rsidRDefault="009F3EE1" w:rsidP="002A149F">
      <w:pPr>
        <w:spacing w:after="0" w:line="360" w:lineRule="auto"/>
      </w:pPr>
      <w:r w:rsidRPr="00B6646B">
        <w:t xml:space="preserve">Martin, </w:t>
      </w:r>
      <w:proofErr w:type="gramStart"/>
      <w:r>
        <w:t>C.</w:t>
      </w:r>
      <w:r w:rsidRPr="00B6646B">
        <w:t>.</w:t>
      </w:r>
      <w:proofErr w:type="gramEnd"/>
      <w:r w:rsidRPr="00B6646B">
        <w:t xml:space="preserve"> “Experimental Predestination in Donne’s Holy Sonnets: Self-Ministry and the Early Seventeenth-Century ‘Via Media.’” </w:t>
      </w:r>
      <w:r w:rsidRPr="00052AC4">
        <w:rPr>
          <w:i/>
          <w:iCs/>
        </w:rPr>
        <w:t>Studies in Philology</w:t>
      </w:r>
      <w:r w:rsidRPr="00B6646B">
        <w:t xml:space="preserve"> 110, no. 2 (2013)</w:t>
      </w:r>
    </w:p>
    <w:p w14:paraId="4122431C" w14:textId="061C5D13" w:rsidR="00384711" w:rsidRDefault="00384711" w:rsidP="002A149F">
      <w:pPr>
        <w:spacing w:after="0" w:line="360" w:lineRule="auto"/>
      </w:pPr>
      <w:r>
        <w:t xml:space="preserve">Paterson, </w:t>
      </w:r>
      <w:r>
        <w:t xml:space="preserve">D. </w:t>
      </w:r>
      <w:r>
        <w:rPr>
          <w:i/>
          <w:iCs/>
        </w:rPr>
        <w:t>Reading Shakespeare’s Sonnets</w:t>
      </w:r>
      <w:r w:rsidRPr="00D254FC">
        <w:t>, (London: Faber &amp; Faber, 2012</w:t>
      </w:r>
      <w:r>
        <w:t>)</w:t>
      </w:r>
    </w:p>
    <w:p w14:paraId="4D215DDC" w14:textId="1F09417E" w:rsidR="00CE7D1D" w:rsidRDefault="00CE7D1D" w:rsidP="002A149F">
      <w:pPr>
        <w:spacing w:after="0" w:line="360" w:lineRule="auto"/>
      </w:pPr>
      <w:r w:rsidRPr="00CE7D1D">
        <w:t>Southam, B. C. ‘Shakespeare’s Christian Sonnet? Number 146’ in Shakespeare Quarterly, Winter 1960, Vol 11, No. 1</w:t>
      </w:r>
    </w:p>
    <w:p w14:paraId="5954DE8A" w14:textId="20173F79" w:rsidR="00CE7D1D" w:rsidRDefault="00CE7D1D" w:rsidP="002A149F">
      <w:pPr>
        <w:spacing w:after="0" w:line="360" w:lineRule="auto"/>
      </w:pPr>
      <w:r w:rsidRPr="00CE7D1D">
        <w:t>Vendler,</w:t>
      </w:r>
      <w:r>
        <w:t xml:space="preserve"> H.</w:t>
      </w:r>
      <w:r w:rsidRPr="00CE7D1D">
        <w:t xml:space="preserve"> </w:t>
      </w:r>
      <w:r w:rsidRPr="00052AC4">
        <w:rPr>
          <w:i/>
          <w:iCs/>
        </w:rPr>
        <w:t>The Art of Shakespeare’s Sonnets</w:t>
      </w:r>
      <w:r w:rsidRPr="00CE7D1D">
        <w:t xml:space="preserve"> (Cambridge, Massachusetts: Harvard University Press, 1997)</w:t>
      </w:r>
    </w:p>
    <w:p w14:paraId="36EAC685" w14:textId="7FD01278" w:rsidR="00091479" w:rsidRPr="00CE7D1D" w:rsidRDefault="00091479" w:rsidP="002A149F">
      <w:pPr>
        <w:spacing w:after="0" w:line="360" w:lineRule="auto"/>
        <w:rPr>
          <w:b/>
          <w:bCs/>
        </w:rPr>
      </w:pPr>
      <w:r>
        <w:t xml:space="preserve">Wells, S. (Ed.) </w:t>
      </w:r>
      <w:r>
        <w:rPr>
          <w:i/>
          <w:iCs/>
        </w:rPr>
        <w:t>William Shakespeare: The Complete Works</w:t>
      </w:r>
      <w:r>
        <w:t>. (Oxford, Oxford University Press, 1988)</w:t>
      </w:r>
    </w:p>
    <w:p w14:paraId="6AFB1CED" w14:textId="643E6365" w:rsidR="00CE7D1D" w:rsidRPr="00052AC4" w:rsidRDefault="00052AC4" w:rsidP="002A149F">
      <w:pPr>
        <w:spacing w:after="0" w:line="360" w:lineRule="auto"/>
      </w:pPr>
      <w:r w:rsidRPr="00052AC4">
        <w:t xml:space="preserve">Michael West, ‘The Internal Dialogue of Shakespeare’s Sonnet 146’ in </w:t>
      </w:r>
      <w:r w:rsidRPr="00052AC4">
        <w:rPr>
          <w:i/>
          <w:iCs/>
        </w:rPr>
        <w:t>Shakespeare Quarterly</w:t>
      </w:r>
      <w:r w:rsidRPr="00052AC4">
        <w:t>, Winter 1974, Vol 25, No. 1</w:t>
      </w:r>
    </w:p>
    <w:sectPr w:rsidR="00CE7D1D" w:rsidRPr="00052AC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59F43" w14:textId="77777777" w:rsidR="004243EF" w:rsidRDefault="004243EF" w:rsidP="005E5D3B">
      <w:pPr>
        <w:spacing w:after="0" w:line="240" w:lineRule="auto"/>
      </w:pPr>
      <w:r>
        <w:separator/>
      </w:r>
    </w:p>
  </w:endnote>
  <w:endnote w:type="continuationSeparator" w:id="0">
    <w:p w14:paraId="43D434BA" w14:textId="77777777" w:rsidR="004243EF" w:rsidRDefault="004243EF" w:rsidP="005E5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29BF1" w14:textId="77777777" w:rsidR="004243EF" w:rsidRDefault="004243EF" w:rsidP="005E5D3B">
      <w:pPr>
        <w:spacing w:after="0" w:line="240" w:lineRule="auto"/>
      </w:pPr>
      <w:r>
        <w:separator/>
      </w:r>
    </w:p>
  </w:footnote>
  <w:footnote w:type="continuationSeparator" w:id="0">
    <w:p w14:paraId="23573B06" w14:textId="77777777" w:rsidR="004243EF" w:rsidRDefault="004243EF" w:rsidP="005E5D3B">
      <w:pPr>
        <w:spacing w:after="0" w:line="240" w:lineRule="auto"/>
      </w:pPr>
      <w:r>
        <w:continuationSeparator/>
      </w:r>
    </w:p>
  </w:footnote>
  <w:footnote w:id="1">
    <w:p w14:paraId="674341F8" w14:textId="60FFB37C" w:rsidR="005E5D3B" w:rsidRPr="001C2115" w:rsidRDefault="005E5D3B">
      <w:pPr>
        <w:pStyle w:val="FootnoteText"/>
      </w:pPr>
      <w:r>
        <w:rPr>
          <w:rStyle w:val="FootnoteReference"/>
        </w:rPr>
        <w:footnoteRef/>
      </w:r>
      <w:r>
        <w:t xml:space="preserve"> </w:t>
      </w:r>
      <w:r w:rsidR="00FE0484">
        <w:t xml:space="preserve">Booth, S. </w:t>
      </w:r>
      <w:r w:rsidR="000A1F0C">
        <w:rPr>
          <w:i/>
          <w:iCs/>
        </w:rPr>
        <w:t>Shakespeare’s Sonnets.</w:t>
      </w:r>
      <w:r w:rsidR="001C2115">
        <w:t xml:space="preserve"> </w:t>
      </w:r>
      <w:r w:rsidR="00F910D3">
        <w:t>(</w:t>
      </w:r>
      <w:r w:rsidR="00BF5632">
        <w:t>New Haven: Yale University Press</w:t>
      </w:r>
      <w:r w:rsidR="00CA1529">
        <w:t>, 1977</w:t>
      </w:r>
      <w:r w:rsidR="00BF5632">
        <w:t>)</w:t>
      </w:r>
      <w:r w:rsidR="007F5C3E">
        <w:t xml:space="preserve">, </w:t>
      </w:r>
      <w:r w:rsidR="00C705E8">
        <w:t>p.125</w:t>
      </w:r>
    </w:p>
  </w:footnote>
  <w:footnote w:id="2">
    <w:p w14:paraId="7E7C2016" w14:textId="7D7A3D79" w:rsidR="00BB66E8" w:rsidRDefault="00BB66E8">
      <w:pPr>
        <w:pStyle w:val="FootnoteText"/>
      </w:pPr>
      <w:r>
        <w:rPr>
          <w:rStyle w:val="FootnoteReference"/>
        </w:rPr>
        <w:footnoteRef/>
      </w:r>
      <w:r>
        <w:t xml:space="preserve"> </w:t>
      </w:r>
      <w:r>
        <w:t xml:space="preserve">B. C. Southam, ‘Shakespeare’s Christian Sonnet? Number 146’ in </w:t>
      </w:r>
      <w:r>
        <w:rPr>
          <w:i/>
          <w:iCs/>
        </w:rPr>
        <w:t>Shakespeare Quarterly, Winter 1960, Vol 11, No. 1, p. 67</w:t>
      </w:r>
    </w:p>
  </w:footnote>
  <w:footnote w:id="3">
    <w:p w14:paraId="2430C7A7" w14:textId="55EEF239" w:rsidR="00C705E8" w:rsidRPr="00CF2F31" w:rsidRDefault="00C705E8">
      <w:pPr>
        <w:pStyle w:val="FootnoteText"/>
      </w:pPr>
      <w:r>
        <w:rPr>
          <w:rStyle w:val="FootnoteReference"/>
        </w:rPr>
        <w:footnoteRef/>
      </w:r>
      <w:r>
        <w:t xml:space="preserve"> </w:t>
      </w:r>
      <w:r w:rsidR="00CF2F31">
        <w:t xml:space="preserve">Wells, S. (Ed.) </w:t>
      </w:r>
      <w:r w:rsidR="00CF2F31">
        <w:rPr>
          <w:i/>
          <w:iCs/>
        </w:rPr>
        <w:t>William Shakespeare: The Complete Works</w:t>
      </w:r>
      <w:r w:rsidR="00CF2F31">
        <w:t>. (Oxford, Oxford University Press</w:t>
      </w:r>
      <w:r w:rsidR="008167F7">
        <w:t>, 1988</w:t>
      </w:r>
      <w:r w:rsidR="00CF2F31">
        <w:t xml:space="preserve">), p. </w:t>
      </w:r>
      <w:r w:rsidR="00275F35">
        <w:t>43</w:t>
      </w:r>
    </w:p>
  </w:footnote>
  <w:footnote w:id="4">
    <w:p w14:paraId="72DDF4A8" w14:textId="6DF5222A" w:rsidR="00EF1A9C" w:rsidRDefault="00EF1A9C">
      <w:pPr>
        <w:pStyle w:val="FootnoteText"/>
      </w:pPr>
      <w:r>
        <w:rPr>
          <w:rStyle w:val="FootnoteReference"/>
        </w:rPr>
        <w:footnoteRef/>
      </w:r>
      <w:r>
        <w:t xml:space="preserve"> Ibid, p. </w:t>
      </w:r>
      <w:r w:rsidR="0038438A">
        <w:t>262</w:t>
      </w:r>
    </w:p>
  </w:footnote>
  <w:footnote w:id="5">
    <w:p w14:paraId="779BA23D" w14:textId="46F03348" w:rsidR="0038438A" w:rsidRDefault="0038438A">
      <w:pPr>
        <w:pStyle w:val="FootnoteText"/>
      </w:pPr>
      <w:r>
        <w:rPr>
          <w:rStyle w:val="FootnoteReference"/>
        </w:rPr>
        <w:footnoteRef/>
      </w:r>
      <w:r>
        <w:t xml:space="preserve"> Ibid, p. </w:t>
      </w:r>
      <w:r w:rsidR="00620D7E">
        <w:t>615</w:t>
      </w:r>
    </w:p>
  </w:footnote>
  <w:footnote w:id="6">
    <w:p w14:paraId="69F0DB6D" w14:textId="334F67BB" w:rsidR="00D214A9" w:rsidRDefault="00D214A9">
      <w:pPr>
        <w:pStyle w:val="FootnoteText"/>
      </w:pPr>
      <w:r>
        <w:rPr>
          <w:rStyle w:val="FootnoteReference"/>
        </w:rPr>
        <w:footnoteRef/>
      </w:r>
      <w:r>
        <w:t xml:space="preserve"> </w:t>
      </w:r>
      <w:hyperlink r:id="rId1" w:history="1">
        <w:r w:rsidRPr="007B3CD2">
          <w:rPr>
            <w:rStyle w:val="Hyperlink"/>
          </w:rPr>
          <w:t>https://shakespearestudyguide.com/EdwardIIItext.html</w:t>
        </w:r>
      </w:hyperlink>
      <w:r>
        <w:t xml:space="preserve"> </w:t>
      </w:r>
      <w:r w:rsidR="00006A8E">
        <w:t xml:space="preserve">[Accessed </w:t>
      </w:r>
      <w:r w:rsidR="00F35C91">
        <w:t>11/05/2022]</w:t>
      </w:r>
      <w:r>
        <w:t xml:space="preserve"> </w:t>
      </w:r>
    </w:p>
  </w:footnote>
  <w:footnote w:id="7">
    <w:p w14:paraId="41148EFF" w14:textId="663BF20C" w:rsidR="004E6F9D" w:rsidRPr="00581E05" w:rsidRDefault="004E6F9D">
      <w:pPr>
        <w:pStyle w:val="FootnoteText"/>
      </w:pPr>
      <w:r>
        <w:rPr>
          <w:rStyle w:val="FootnoteReference"/>
        </w:rPr>
        <w:footnoteRef/>
      </w:r>
      <w:r>
        <w:t xml:space="preserve"> Charles Huttar, ‘The Christian Basis of Shake</w:t>
      </w:r>
      <w:r w:rsidR="00DF2349">
        <w:t>spe</w:t>
      </w:r>
      <w:r>
        <w:t xml:space="preserve">are’s Sonnet </w:t>
      </w:r>
      <w:r w:rsidR="00DF2349">
        <w:t xml:space="preserve">146’ </w:t>
      </w:r>
      <w:r w:rsidR="00262ACF">
        <w:t xml:space="preserve">IN </w:t>
      </w:r>
      <w:r w:rsidR="00262ACF">
        <w:rPr>
          <w:i/>
          <w:iCs/>
        </w:rPr>
        <w:t>Shakespeare Quarterly</w:t>
      </w:r>
      <w:r w:rsidR="003944EB">
        <w:rPr>
          <w:i/>
          <w:iCs/>
        </w:rPr>
        <w:t>,</w:t>
      </w:r>
      <w:r w:rsidR="00262ACF">
        <w:t xml:space="preserve"> </w:t>
      </w:r>
      <w:r w:rsidR="003944EB">
        <w:rPr>
          <w:i/>
          <w:iCs/>
        </w:rPr>
        <w:t xml:space="preserve">Autumn 1968, </w:t>
      </w:r>
      <w:r w:rsidR="00581E05">
        <w:rPr>
          <w:i/>
          <w:iCs/>
        </w:rPr>
        <w:t>Vol. 19, No 4, p. 358</w:t>
      </w:r>
    </w:p>
  </w:footnote>
  <w:footnote w:id="8">
    <w:p w14:paraId="6F0A30E1" w14:textId="7892B252" w:rsidR="00DE50D7" w:rsidRDefault="00DE50D7">
      <w:pPr>
        <w:pStyle w:val="FootnoteText"/>
      </w:pPr>
      <w:r>
        <w:rPr>
          <w:rStyle w:val="FootnoteReference"/>
        </w:rPr>
        <w:footnoteRef/>
      </w:r>
      <w:r>
        <w:t xml:space="preserve"> </w:t>
      </w:r>
      <w:r>
        <w:t xml:space="preserve">Michael West, ‘The Internal Dialogue of Shakespeare’s Sonnet 146’ in </w:t>
      </w:r>
      <w:r>
        <w:rPr>
          <w:i/>
          <w:iCs/>
        </w:rPr>
        <w:t>Shakespeare Quarterly, Winter 1974, Vol 25, No. 1, p. 11</w:t>
      </w:r>
      <w:r w:rsidR="002C71F7">
        <w:rPr>
          <w:i/>
          <w:iCs/>
        </w:rPr>
        <w:t>1</w:t>
      </w:r>
    </w:p>
  </w:footnote>
  <w:footnote w:id="9">
    <w:p w14:paraId="0DD2F83B" w14:textId="11F32D27" w:rsidR="00715AF6" w:rsidRPr="00C901AD" w:rsidRDefault="00715AF6">
      <w:pPr>
        <w:pStyle w:val="FootnoteText"/>
      </w:pPr>
      <w:r>
        <w:rPr>
          <w:rStyle w:val="FootnoteReference"/>
        </w:rPr>
        <w:footnoteRef/>
      </w:r>
      <w:r>
        <w:t xml:space="preserve"> </w:t>
      </w:r>
      <w:r w:rsidR="00DE50D7">
        <w:t>Ibid, p. 188</w:t>
      </w:r>
    </w:p>
  </w:footnote>
  <w:footnote w:id="10">
    <w:p w14:paraId="761B9D0E" w14:textId="067014AC" w:rsidR="00B8041D" w:rsidRDefault="00B8041D">
      <w:pPr>
        <w:pStyle w:val="FootnoteText"/>
      </w:pPr>
      <w:r>
        <w:rPr>
          <w:rStyle w:val="FootnoteReference"/>
        </w:rPr>
        <w:footnoteRef/>
      </w:r>
      <w:r>
        <w:t xml:space="preserve"> Ibid p. 112</w:t>
      </w:r>
    </w:p>
  </w:footnote>
  <w:footnote w:id="11">
    <w:p w14:paraId="3C8EECD9" w14:textId="7108F320" w:rsidR="009F6C39" w:rsidRDefault="009F6C39">
      <w:pPr>
        <w:pStyle w:val="FootnoteText"/>
      </w:pPr>
      <w:r>
        <w:rPr>
          <w:rStyle w:val="FootnoteReference"/>
        </w:rPr>
        <w:footnoteRef/>
      </w:r>
      <w:r>
        <w:t xml:space="preserve"> </w:t>
      </w:r>
      <w:r>
        <w:t xml:space="preserve">Booth, S. </w:t>
      </w:r>
      <w:r>
        <w:rPr>
          <w:i/>
          <w:iCs/>
        </w:rPr>
        <w:t>Shakespeare’s Sonnets.</w:t>
      </w:r>
      <w:r>
        <w:t xml:space="preserve"> (New Haven: Yale University Press, 1977), p.125</w:t>
      </w:r>
    </w:p>
  </w:footnote>
  <w:footnote w:id="12">
    <w:p w14:paraId="6F2B3804" w14:textId="31BBC391" w:rsidR="00066359" w:rsidRDefault="00066359">
      <w:pPr>
        <w:pStyle w:val="FootnoteText"/>
      </w:pPr>
      <w:r>
        <w:rPr>
          <w:rStyle w:val="FootnoteReference"/>
        </w:rPr>
        <w:footnoteRef/>
      </w:r>
      <w:r>
        <w:t xml:space="preserve"> </w:t>
      </w:r>
      <w:r>
        <w:t xml:space="preserve">Charles Huttar, ‘The Christian Basis of Shakespeare’s Sonnet 146’ IN </w:t>
      </w:r>
      <w:r>
        <w:rPr>
          <w:i/>
          <w:iCs/>
        </w:rPr>
        <w:t>Shakespeare Quarterly,</w:t>
      </w:r>
      <w:r>
        <w:t xml:space="preserve"> </w:t>
      </w:r>
      <w:r>
        <w:rPr>
          <w:i/>
          <w:iCs/>
        </w:rPr>
        <w:t>Autumn 1968, Vol. 19, No 4, p. 358</w:t>
      </w:r>
    </w:p>
  </w:footnote>
  <w:footnote w:id="13">
    <w:p w14:paraId="040E0916" w14:textId="1AAAF529" w:rsidR="00066359" w:rsidRDefault="00066359">
      <w:pPr>
        <w:pStyle w:val="FootnoteText"/>
      </w:pPr>
      <w:r>
        <w:rPr>
          <w:rStyle w:val="FootnoteReference"/>
        </w:rPr>
        <w:footnoteRef/>
      </w:r>
      <w:r>
        <w:t xml:space="preserve"> </w:t>
      </w:r>
      <w:r w:rsidR="00892A0B" w:rsidRPr="008A7A02">
        <w:rPr>
          <w:i/>
          <w:iCs/>
        </w:rPr>
        <w:t>The Geneva Bible</w:t>
      </w:r>
      <w:r w:rsidR="00892A0B">
        <w:t xml:space="preserve">, (Peabody: Hendrickson, </w:t>
      </w:r>
      <w:r w:rsidR="008167F7">
        <w:t>2007)</w:t>
      </w:r>
    </w:p>
  </w:footnote>
  <w:footnote w:id="14">
    <w:p w14:paraId="616717EC" w14:textId="77499B65" w:rsidR="007278FE" w:rsidRDefault="007278FE">
      <w:pPr>
        <w:pStyle w:val="FootnoteText"/>
      </w:pPr>
      <w:r>
        <w:rPr>
          <w:rStyle w:val="FootnoteReference"/>
        </w:rPr>
        <w:footnoteRef/>
      </w:r>
      <w:r>
        <w:t xml:space="preserve"> </w:t>
      </w:r>
      <w:hyperlink r:id="rId2" w:history="1">
        <w:r w:rsidRPr="007B3CD2">
          <w:rPr>
            <w:rStyle w:val="Hyperlink"/>
          </w:rPr>
          <w:t>https://www.bl.uk/collection-items/the-geneva-bible-1570</w:t>
        </w:r>
      </w:hyperlink>
      <w:r>
        <w:t xml:space="preserve"> [Accessed </w:t>
      </w:r>
      <w:r w:rsidR="00B53E7E">
        <w:t>10/05/2022]</w:t>
      </w:r>
    </w:p>
  </w:footnote>
  <w:footnote w:id="15">
    <w:p w14:paraId="47231738" w14:textId="1487AE26" w:rsidR="00B53E7E" w:rsidRDefault="00B53E7E">
      <w:pPr>
        <w:pStyle w:val="FootnoteText"/>
      </w:pPr>
      <w:r>
        <w:rPr>
          <w:rStyle w:val="FootnoteReference"/>
        </w:rPr>
        <w:footnoteRef/>
      </w:r>
      <w:r>
        <w:t xml:space="preserve"> </w:t>
      </w:r>
      <w:r w:rsidRPr="008A7A02">
        <w:rPr>
          <w:i/>
          <w:iCs/>
        </w:rPr>
        <w:t>The Geneva Bible</w:t>
      </w:r>
      <w:r>
        <w:t>, (Peabody: Hendrickson, 2007)</w:t>
      </w:r>
    </w:p>
  </w:footnote>
  <w:footnote w:id="16">
    <w:p w14:paraId="74079BFF" w14:textId="7E6E84F8" w:rsidR="00B53E7E" w:rsidRDefault="00B53E7E">
      <w:pPr>
        <w:pStyle w:val="FootnoteText"/>
      </w:pPr>
      <w:r>
        <w:rPr>
          <w:rStyle w:val="FootnoteReference"/>
        </w:rPr>
        <w:footnoteRef/>
      </w:r>
      <w:r>
        <w:t xml:space="preserve"> </w:t>
      </w:r>
      <w:r>
        <w:t xml:space="preserve">Charles Huttar, ‘The Christian Basis of Shakespeare’s Sonnet 146’ IN </w:t>
      </w:r>
      <w:r>
        <w:rPr>
          <w:i/>
          <w:iCs/>
        </w:rPr>
        <w:t>Shakespeare Quarterly,</w:t>
      </w:r>
      <w:r>
        <w:t xml:space="preserve"> </w:t>
      </w:r>
      <w:r>
        <w:rPr>
          <w:i/>
          <w:iCs/>
        </w:rPr>
        <w:t>Autumn 1968, Vol. 19, No 4, p. 358</w:t>
      </w:r>
    </w:p>
  </w:footnote>
  <w:footnote w:id="17">
    <w:p w14:paraId="5E808017" w14:textId="2DD648F5" w:rsidR="00E937BC" w:rsidRPr="003557EA" w:rsidRDefault="00E937BC">
      <w:pPr>
        <w:pStyle w:val="FootnoteText"/>
      </w:pPr>
      <w:r>
        <w:rPr>
          <w:rStyle w:val="FootnoteReference"/>
        </w:rPr>
        <w:footnoteRef/>
      </w:r>
      <w:r>
        <w:t xml:space="preserve"> </w:t>
      </w:r>
      <w:r w:rsidR="003557EA">
        <w:t xml:space="preserve">Helen Vendler, </w:t>
      </w:r>
      <w:r w:rsidR="003557EA">
        <w:rPr>
          <w:i/>
          <w:iCs/>
        </w:rPr>
        <w:t>The Art of Shakespeare’s Sonnets</w:t>
      </w:r>
      <w:r w:rsidR="003557EA">
        <w:t xml:space="preserve"> (</w:t>
      </w:r>
      <w:r w:rsidR="00D53B5E">
        <w:t xml:space="preserve">Cambridge, Massachusetts: Harvard University Press, </w:t>
      </w:r>
      <w:r w:rsidR="000A6998">
        <w:t>1997), p. 612</w:t>
      </w:r>
    </w:p>
  </w:footnote>
  <w:footnote w:id="18">
    <w:p w14:paraId="613864D0" w14:textId="33A46050" w:rsidR="000A6998" w:rsidRDefault="000A6998">
      <w:pPr>
        <w:pStyle w:val="FootnoteText"/>
      </w:pPr>
      <w:r>
        <w:rPr>
          <w:rStyle w:val="FootnoteReference"/>
        </w:rPr>
        <w:footnoteRef/>
      </w:r>
      <w:r>
        <w:t xml:space="preserve"> Ibid, p. 611</w:t>
      </w:r>
    </w:p>
  </w:footnote>
  <w:footnote w:id="19">
    <w:p w14:paraId="453ADD1D" w14:textId="77777777" w:rsidR="009E40A1" w:rsidRPr="00086D7B" w:rsidRDefault="009E40A1" w:rsidP="009E40A1">
      <w:pPr>
        <w:pStyle w:val="FootnoteText"/>
      </w:pPr>
      <w:r>
        <w:rPr>
          <w:rStyle w:val="FootnoteReference"/>
        </w:rPr>
        <w:footnoteRef/>
      </w:r>
      <w:r>
        <w:t xml:space="preserve"> B. C. Southam, ‘Shakespeare’s Christian Sonnet? Number 146’ in </w:t>
      </w:r>
      <w:r>
        <w:rPr>
          <w:i/>
          <w:iCs/>
        </w:rPr>
        <w:t>Shakespeare Quarterly, Winter 1960, Vol 11, No. 1, p. 67</w:t>
      </w:r>
    </w:p>
  </w:footnote>
  <w:footnote w:id="20">
    <w:p w14:paraId="5D4611D5" w14:textId="20E60952" w:rsidR="007C43F3" w:rsidRDefault="007C43F3">
      <w:pPr>
        <w:pStyle w:val="FootnoteText"/>
      </w:pPr>
      <w:r>
        <w:rPr>
          <w:rStyle w:val="FootnoteReference"/>
        </w:rPr>
        <w:footnoteRef/>
      </w:r>
      <w:r>
        <w:t xml:space="preserve"> </w:t>
      </w:r>
      <w:r>
        <w:t xml:space="preserve">Charles Huttar, ‘The Christian Basis of Shakespeare’s Sonnet 146’ IN </w:t>
      </w:r>
      <w:r>
        <w:rPr>
          <w:i/>
          <w:iCs/>
        </w:rPr>
        <w:t>Shakespeare Quarterly,</w:t>
      </w:r>
      <w:r>
        <w:t xml:space="preserve"> </w:t>
      </w:r>
      <w:r>
        <w:rPr>
          <w:i/>
          <w:iCs/>
        </w:rPr>
        <w:t>Autumn 1968, Vol. 19, No 4, p. 35</w:t>
      </w:r>
      <w:r>
        <w:rPr>
          <w:i/>
          <w:iCs/>
        </w:rPr>
        <w:t>5</w:t>
      </w:r>
    </w:p>
  </w:footnote>
  <w:footnote w:id="21">
    <w:p w14:paraId="1C22744C" w14:textId="1DA32218" w:rsidR="000A591A" w:rsidRDefault="000A591A">
      <w:pPr>
        <w:pStyle w:val="FootnoteText"/>
      </w:pPr>
      <w:r>
        <w:rPr>
          <w:rStyle w:val="FootnoteReference"/>
        </w:rPr>
        <w:footnoteRef/>
      </w:r>
      <w:r>
        <w:t xml:space="preserve"> </w:t>
      </w:r>
      <w:r>
        <w:t xml:space="preserve">B. C. Southam, ‘Shakespeare’s Christian Sonnet? Number 146’ in </w:t>
      </w:r>
      <w:r>
        <w:rPr>
          <w:i/>
          <w:iCs/>
        </w:rPr>
        <w:t>Shakespeare Quarterly, Winter 1960, Vol 11, No. 1, p. 67</w:t>
      </w:r>
    </w:p>
  </w:footnote>
  <w:footnote w:id="22">
    <w:p w14:paraId="4A6DF462" w14:textId="75181F78" w:rsidR="00FC1604" w:rsidRDefault="00FC1604">
      <w:pPr>
        <w:pStyle w:val="FootnoteText"/>
      </w:pPr>
      <w:r>
        <w:rPr>
          <w:rStyle w:val="FootnoteReference"/>
        </w:rPr>
        <w:footnoteRef/>
      </w:r>
      <w:r>
        <w:t xml:space="preserve"> </w:t>
      </w:r>
      <w:bookmarkStart w:id="0" w:name="_Hlk103353077"/>
      <w:r>
        <w:t xml:space="preserve">Michael West, ‘The Internal Dialogue of Shakespeare’s Sonnet 146’ in </w:t>
      </w:r>
      <w:r>
        <w:rPr>
          <w:i/>
          <w:iCs/>
        </w:rPr>
        <w:t>Shakespeare Quarterly, Winter 1974, Vol 25, No. 1</w:t>
      </w:r>
      <w:bookmarkEnd w:id="0"/>
      <w:r>
        <w:rPr>
          <w:i/>
          <w:iCs/>
        </w:rPr>
        <w:t>, p. 1</w:t>
      </w:r>
      <w:r>
        <w:rPr>
          <w:i/>
          <w:iCs/>
        </w:rPr>
        <w:t>10</w:t>
      </w:r>
    </w:p>
  </w:footnote>
  <w:footnote w:id="23">
    <w:p w14:paraId="543CDF9F" w14:textId="6D6ECA52" w:rsidR="00FC1604" w:rsidRDefault="00FC1604">
      <w:pPr>
        <w:pStyle w:val="FootnoteText"/>
      </w:pPr>
      <w:r>
        <w:rPr>
          <w:rStyle w:val="FootnoteReference"/>
        </w:rPr>
        <w:footnoteRef/>
      </w:r>
      <w:r>
        <w:t xml:space="preserve"> Ibid, p. 110</w:t>
      </w:r>
    </w:p>
  </w:footnote>
  <w:footnote w:id="24">
    <w:p w14:paraId="7B2523CF" w14:textId="5413CE48" w:rsidR="007316E5" w:rsidRPr="00D254FC" w:rsidRDefault="007316E5">
      <w:pPr>
        <w:pStyle w:val="FootnoteText"/>
      </w:pPr>
      <w:r>
        <w:rPr>
          <w:rStyle w:val="FootnoteReference"/>
        </w:rPr>
        <w:footnoteRef/>
      </w:r>
      <w:r>
        <w:t xml:space="preserve"> Don Paterson, </w:t>
      </w:r>
      <w:r>
        <w:rPr>
          <w:i/>
          <w:iCs/>
        </w:rPr>
        <w:t>Reading Shakespeare’s Sonnets</w:t>
      </w:r>
      <w:r w:rsidRPr="00D254FC">
        <w:t>, (</w:t>
      </w:r>
      <w:r w:rsidR="00D254FC" w:rsidRPr="00D254FC">
        <w:t xml:space="preserve">London: Faber &amp; Faber, 2012), </w:t>
      </w:r>
      <w:r w:rsidR="00D254FC">
        <w:t>p. 447</w:t>
      </w:r>
    </w:p>
  </w:footnote>
  <w:footnote w:id="25">
    <w:p w14:paraId="7ABA676E" w14:textId="7190DC50" w:rsidR="009D7D25" w:rsidRDefault="009D7D25">
      <w:pPr>
        <w:pStyle w:val="FootnoteText"/>
      </w:pPr>
      <w:r>
        <w:rPr>
          <w:rStyle w:val="FootnoteReference"/>
        </w:rPr>
        <w:footnoteRef/>
      </w:r>
      <w:r>
        <w:t xml:space="preserve"> </w:t>
      </w:r>
      <w:r>
        <w:t xml:space="preserve">B. C. Southam, ‘Shakespeare’s Christian Sonnet? Number 146’ in </w:t>
      </w:r>
      <w:r>
        <w:rPr>
          <w:i/>
          <w:iCs/>
        </w:rPr>
        <w:t xml:space="preserve">Shakespeare Quarterly, Winter 1960, Vol 11, No. 1, p. </w:t>
      </w:r>
      <w:r>
        <w:rPr>
          <w:i/>
          <w:iCs/>
        </w:rPr>
        <w:t>71</w:t>
      </w:r>
    </w:p>
  </w:footnote>
  <w:footnote w:id="26">
    <w:p w14:paraId="49BB98A8" w14:textId="2A880B5B" w:rsidR="001808EA" w:rsidRDefault="001808EA">
      <w:pPr>
        <w:pStyle w:val="FootnoteText"/>
      </w:pPr>
      <w:r>
        <w:rPr>
          <w:rStyle w:val="FootnoteReference"/>
        </w:rPr>
        <w:footnoteRef/>
      </w:r>
      <w:r>
        <w:t xml:space="preserve"> </w:t>
      </w:r>
      <w:r>
        <w:t xml:space="preserve">Charles Huttar, ‘The Christian Basis of Shakespeare’s Sonnet 146’ IN </w:t>
      </w:r>
      <w:r>
        <w:rPr>
          <w:i/>
          <w:iCs/>
        </w:rPr>
        <w:t>Shakespeare Quarterly,</w:t>
      </w:r>
      <w:r>
        <w:t xml:space="preserve"> </w:t>
      </w:r>
      <w:r>
        <w:rPr>
          <w:i/>
          <w:iCs/>
        </w:rPr>
        <w:t>Autumn 1968, Vol. 19, No 4, p. 35</w:t>
      </w:r>
      <w:r>
        <w:rPr>
          <w:i/>
          <w:iCs/>
        </w:rPr>
        <w:t>7</w:t>
      </w:r>
    </w:p>
  </w:footnote>
  <w:footnote w:id="27">
    <w:p w14:paraId="6F98F914" w14:textId="24F14DB3" w:rsidR="001808EA" w:rsidRDefault="001808EA">
      <w:pPr>
        <w:pStyle w:val="FootnoteText"/>
      </w:pPr>
      <w:r>
        <w:rPr>
          <w:rStyle w:val="FootnoteReference"/>
        </w:rPr>
        <w:footnoteRef/>
      </w:r>
      <w:r>
        <w:t xml:space="preserve"> Ibid, p. 356</w:t>
      </w:r>
    </w:p>
  </w:footnote>
  <w:footnote w:id="28">
    <w:p w14:paraId="2061C759" w14:textId="6C18C451" w:rsidR="009A1F91" w:rsidRDefault="009A1F91">
      <w:pPr>
        <w:pStyle w:val="FootnoteText"/>
      </w:pPr>
      <w:r>
        <w:rPr>
          <w:rStyle w:val="FootnoteReference"/>
        </w:rPr>
        <w:footnoteRef/>
      </w:r>
      <w:r>
        <w:t xml:space="preserve"> Ibid, p. 357</w:t>
      </w:r>
    </w:p>
  </w:footnote>
  <w:footnote w:id="29">
    <w:p w14:paraId="745584CE" w14:textId="0F7C212E" w:rsidR="009A1F91" w:rsidRDefault="009A1F91">
      <w:pPr>
        <w:pStyle w:val="FootnoteText"/>
      </w:pPr>
      <w:r>
        <w:rPr>
          <w:rStyle w:val="FootnoteReference"/>
        </w:rPr>
        <w:footnoteRef/>
      </w:r>
      <w:r>
        <w:t xml:space="preserve"> </w:t>
      </w:r>
      <w:r>
        <w:t xml:space="preserve">Don Paterson, </w:t>
      </w:r>
      <w:r>
        <w:rPr>
          <w:i/>
          <w:iCs/>
        </w:rPr>
        <w:t>Reading Shakespeare’s Sonnets</w:t>
      </w:r>
      <w:r w:rsidRPr="00D254FC">
        <w:t xml:space="preserve">, (London: Faber &amp; Faber, 2012), </w:t>
      </w:r>
      <w:r>
        <w:t>p. 44</w:t>
      </w:r>
      <w:r>
        <w:t>8</w:t>
      </w:r>
    </w:p>
  </w:footnote>
  <w:footnote w:id="30">
    <w:p w14:paraId="7A53ADB8" w14:textId="169582F4" w:rsidR="00B73319" w:rsidRDefault="00B73319">
      <w:pPr>
        <w:pStyle w:val="FootnoteText"/>
      </w:pPr>
      <w:r>
        <w:rPr>
          <w:rStyle w:val="FootnoteReference"/>
        </w:rPr>
        <w:footnoteRef/>
      </w:r>
      <w:r>
        <w:t xml:space="preserve"> </w:t>
      </w:r>
      <w:r>
        <w:t xml:space="preserve">Charles Huttar, ‘The Christian Basis of Shakespeare’s Sonnet 146’ IN </w:t>
      </w:r>
      <w:r>
        <w:rPr>
          <w:i/>
          <w:iCs/>
        </w:rPr>
        <w:t>Shakespeare Quarterly,</w:t>
      </w:r>
      <w:r>
        <w:t xml:space="preserve"> </w:t>
      </w:r>
      <w:r>
        <w:rPr>
          <w:i/>
          <w:iCs/>
        </w:rPr>
        <w:t>Autumn 1968, Vol. 19, No 4, p. 35</w:t>
      </w:r>
      <w:r>
        <w:rPr>
          <w:i/>
          <w:iCs/>
        </w:rPr>
        <w:t>8</w:t>
      </w:r>
    </w:p>
  </w:footnote>
  <w:footnote w:id="31">
    <w:p w14:paraId="063D4BF3" w14:textId="77777777" w:rsidR="00467E22" w:rsidRPr="00005DD0" w:rsidRDefault="00467E22" w:rsidP="00467E22">
      <w:pPr>
        <w:pStyle w:val="FootnoteText"/>
      </w:pPr>
      <w:r>
        <w:rPr>
          <w:rStyle w:val="FootnoteReference"/>
        </w:rPr>
        <w:footnoteRef/>
      </w:r>
      <w:r>
        <w:t xml:space="preserve"> John Calvin, </w:t>
      </w:r>
      <w:r>
        <w:rPr>
          <w:i/>
          <w:iCs/>
        </w:rPr>
        <w:t>The Institutes of the Christian Religion</w:t>
      </w:r>
      <w:r>
        <w:t xml:space="preserve"> (Peabody: Hendrickson, 2007), p. 181</w:t>
      </w:r>
    </w:p>
  </w:footnote>
  <w:footnote w:id="32">
    <w:p w14:paraId="78976AD6" w14:textId="77777777" w:rsidR="00467E22" w:rsidRDefault="00467E22" w:rsidP="00467E22">
      <w:pPr>
        <w:pStyle w:val="FootnoteText"/>
      </w:pPr>
      <w:r>
        <w:rPr>
          <w:rStyle w:val="FootnoteReference"/>
        </w:rPr>
        <w:footnoteRef/>
      </w:r>
      <w:r>
        <w:t xml:space="preserve"> </w:t>
      </w:r>
      <w:r w:rsidRPr="00496C42">
        <w:t>Hilaire, Danielle A, ‘The Grammar of Salvation and the Poetics of Possibility in Donne’s Holy Sonnets</w:t>
      </w:r>
      <w:proofErr w:type="gramStart"/>
      <w:r w:rsidRPr="00496C42">
        <w:t>’,</w:t>
      </w:r>
      <w:proofErr w:type="gramEnd"/>
      <w:r w:rsidRPr="00496C42">
        <w:t xml:space="preserve"> Studies in Philology, 114.3 (2017), </w:t>
      </w:r>
      <w:r>
        <w:t>p. 598.</w:t>
      </w:r>
    </w:p>
  </w:footnote>
  <w:footnote w:id="33">
    <w:p w14:paraId="63EA9178" w14:textId="77777777" w:rsidR="00467E22" w:rsidRDefault="00467E22" w:rsidP="00467E22">
      <w:pPr>
        <w:pStyle w:val="FootnoteText"/>
      </w:pPr>
      <w:r>
        <w:rPr>
          <w:rStyle w:val="FootnoteReference"/>
        </w:rPr>
        <w:footnoteRef/>
      </w:r>
      <w:r>
        <w:t xml:space="preserve"> </w:t>
      </w:r>
      <w:r w:rsidRPr="00B6646B">
        <w:t xml:space="preserve">Martin, Catherine </w:t>
      </w:r>
      <w:proofErr w:type="spellStart"/>
      <w:r w:rsidRPr="00B6646B">
        <w:t>Gimelli</w:t>
      </w:r>
      <w:proofErr w:type="spellEnd"/>
      <w:r w:rsidRPr="00B6646B">
        <w:t>. “Experimental Predestination in Donne’s Holy Sonnets: Self-Ministry and the Early Seventeenth-Century ‘Via Media.’” Studies in Philology 110, no. 2 (2013)</w:t>
      </w:r>
      <w:r>
        <w:t>, p. 365</w:t>
      </w:r>
    </w:p>
  </w:footnote>
  <w:footnote w:id="34">
    <w:p w14:paraId="67F5E4DA" w14:textId="7AA9945C" w:rsidR="00B73319" w:rsidRDefault="00B73319">
      <w:pPr>
        <w:pStyle w:val="FootnoteText"/>
      </w:pPr>
      <w:r>
        <w:rPr>
          <w:rStyle w:val="FootnoteReference"/>
        </w:rPr>
        <w:footnoteRef/>
      </w:r>
      <w:r>
        <w:t xml:space="preserve"> </w:t>
      </w:r>
      <w:r w:rsidRPr="008A7A02">
        <w:rPr>
          <w:i/>
          <w:iCs/>
        </w:rPr>
        <w:t>The Geneva Bible</w:t>
      </w:r>
      <w:r>
        <w:t>, (Peabody: Hendrickson, 2007)</w:t>
      </w:r>
    </w:p>
  </w:footnote>
  <w:footnote w:id="35">
    <w:p w14:paraId="59646453" w14:textId="02475076" w:rsidR="00B73319" w:rsidRDefault="00B73319">
      <w:pPr>
        <w:pStyle w:val="FootnoteText"/>
      </w:pPr>
      <w:r>
        <w:rPr>
          <w:rStyle w:val="FootnoteReference"/>
        </w:rPr>
        <w:footnoteRef/>
      </w:r>
      <w:r>
        <w:t xml:space="preserve"> </w:t>
      </w:r>
      <w:r w:rsidR="00B86234">
        <w:t xml:space="preserve">Booth, S. </w:t>
      </w:r>
      <w:r w:rsidR="00B86234">
        <w:rPr>
          <w:i/>
          <w:iCs/>
        </w:rPr>
        <w:t>Shakespeare’s Sonnets.</w:t>
      </w:r>
      <w:r w:rsidR="00B86234">
        <w:t xml:space="preserve"> (New Haven: Yale University Press, 1977), p.125</w:t>
      </w:r>
    </w:p>
  </w:footnote>
  <w:footnote w:id="36">
    <w:p w14:paraId="3AC5A845" w14:textId="4F4D7370" w:rsidR="00B86234" w:rsidRDefault="00B86234">
      <w:pPr>
        <w:pStyle w:val="FootnoteText"/>
      </w:pPr>
      <w:bookmarkStart w:id="1" w:name="_Hlk103352756"/>
      <w:r>
        <w:rPr>
          <w:rStyle w:val="FootnoteReference"/>
        </w:rPr>
        <w:footnoteRef/>
      </w:r>
      <w:r>
        <w:t xml:space="preserve"> </w:t>
      </w:r>
      <w:r w:rsidR="005D0221">
        <w:t xml:space="preserve">Charles Huttar, ‘The Christian Basis of Shakespeare’s Sonnet 146’ IN </w:t>
      </w:r>
      <w:r w:rsidR="005D0221">
        <w:rPr>
          <w:i/>
          <w:iCs/>
        </w:rPr>
        <w:t>Shakespeare Quarterly,</w:t>
      </w:r>
      <w:r w:rsidR="005D0221">
        <w:t xml:space="preserve"> </w:t>
      </w:r>
      <w:r w:rsidR="005D0221">
        <w:rPr>
          <w:i/>
          <w:iCs/>
        </w:rPr>
        <w:t>Autumn 1968, Vol. 19, No 4, p. 3</w:t>
      </w:r>
      <w:r w:rsidR="005D0221">
        <w:rPr>
          <w:i/>
          <w:iCs/>
        </w:rPr>
        <w:t>64</w:t>
      </w:r>
    </w:p>
  </w:footnote>
  <w:footnote w:id="37">
    <w:p w14:paraId="3D00C8FB" w14:textId="3B4DF38A" w:rsidR="005D0221" w:rsidRPr="005D0221" w:rsidRDefault="005D0221">
      <w:pPr>
        <w:pStyle w:val="FootnoteText"/>
        <w:rPr>
          <w:lang w:val="en-US"/>
        </w:rPr>
      </w:pPr>
      <w:r>
        <w:rPr>
          <w:rStyle w:val="FootnoteReference"/>
        </w:rPr>
        <w:footnoteRef/>
      </w:r>
      <w:r>
        <w:t xml:space="preserve"> </w:t>
      </w:r>
      <w:r>
        <w:t xml:space="preserve">Helen Vendler, </w:t>
      </w:r>
      <w:r>
        <w:rPr>
          <w:i/>
          <w:iCs/>
        </w:rPr>
        <w:t>The Art of Shakespeare’s Sonnets</w:t>
      </w:r>
      <w:r>
        <w:t xml:space="preserve"> (Cambridge, Massachusetts: Harvard University Press, 1997), p. 61</w:t>
      </w:r>
      <w:r>
        <w:t>4</w:t>
      </w:r>
    </w:p>
  </w:footnote>
  <w:footnote w:id="38">
    <w:p w14:paraId="69154133" w14:textId="18DEC0F5" w:rsidR="00C966CC" w:rsidRDefault="00C966CC">
      <w:pPr>
        <w:pStyle w:val="FootnoteText"/>
      </w:pPr>
      <w:r>
        <w:rPr>
          <w:rStyle w:val="FootnoteReference"/>
        </w:rPr>
        <w:footnoteRef/>
      </w:r>
      <w:r>
        <w:t xml:space="preserve"> </w:t>
      </w:r>
      <w:r>
        <w:t xml:space="preserve">B. C. Southam, ‘Shakespeare’s Christian Sonnet? Number 146’ in </w:t>
      </w:r>
      <w:r>
        <w:rPr>
          <w:i/>
          <w:iCs/>
        </w:rPr>
        <w:t>Shakespeare Quarterly, Winter 1960, Vol 11, No. 1, p. 7</w:t>
      </w:r>
      <w:r>
        <w:rPr>
          <w:i/>
          <w:iCs/>
        </w:rPr>
        <w:t>0</w:t>
      </w:r>
    </w:p>
  </w:footnote>
  <w:footnote w:id="39">
    <w:p w14:paraId="67AB733E" w14:textId="1786144B" w:rsidR="00990AD3" w:rsidRDefault="00990AD3">
      <w:pPr>
        <w:pStyle w:val="FootnoteText"/>
      </w:pPr>
      <w:r>
        <w:rPr>
          <w:rStyle w:val="FootnoteReference"/>
        </w:rPr>
        <w:footnoteRef/>
      </w:r>
      <w:r>
        <w:t xml:space="preserve"> </w:t>
      </w:r>
      <w:r w:rsidRPr="008A7A02">
        <w:rPr>
          <w:i/>
          <w:iCs/>
        </w:rPr>
        <w:t>The Geneva Bible</w:t>
      </w:r>
      <w:r>
        <w:t>, (Peabody: Hendrickson, 2007)</w:t>
      </w:r>
    </w:p>
  </w:footnote>
  <w:footnote w:id="40">
    <w:p w14:paraId="685DDA03" w14:textId="77777777" w:rsidR="00485FC7" w:rsidRDefault="00485FC7" w:rsidP="00485FC7">
      <w:pPr>
        <w:pStyle w:val="FootnoteText"/>
      </w:pPr>
      <w:r>
        <w:rPr>
          <w:rStyle w:val="FootnoteReference"/>
        </w:rPr>
        <w:footnoteRef/>
      </w:r>
      <w:r>
        <w:t xml:space="preserve"> Charles Huttar, ‘The Christian Basis of Shakespeare’s Sonnet 146’ IN </w:t>
      </w:r>
      <w:r>
        <w:rPr>
          <w:i/>
          <w:iCs/>
        </w:rPr>
        <w:t>Shakespeare Quarterly,</w:t>
      </w:r>
      <w:r>
        <w:t xml:space="preserve"> </w:t>
      </w:r>
      <w:r>
        <w:rPr>
          <w:i/>
          <w:iCs/>
        </w:rPr>
        <w:t>Autumn 1968, Vol. 19, No 4, p. 358</w:t>
      </w:r>
    </w:p>
  </w:footnote>
  <w:footnote w:id="41">
    <w:p w14:paraId="73819987" w14:textId="77777777" w:rsidR="00485FC7" w:rsidRPr="005801A9" w:rsidRDefault="00485FC7" w:rsidP="00485FC7">
      <w:pPr>
        <w:pStyle w:val="FootnoteText"/>
      </w:pPr>
      <w:r>
        <w:rPr>
          <w:rStyle w:val="FootnoteReference"/>
        </w:rPr>
        <w:footnoteRef/>
      </w:r>
      <w:r>
        <w:t xml:space="preserve"> Donne, J. </w:t>
      </w:r>
      <w:r>
        <w:rPr>
          <w:i/>
          <w:iCs/>
        </w:rPr>
        <w:t>The Major Works</w:t>
      </w:r>
      <w:r>
        <w:t>, (Oxford: Oxford University Press, 2000), p. 174</w:t>
      </w:r>
    </w:p>
  </w:footnote>
  <w:footnote w:id="42">
    <w:p w14:paraId="4DEBB439" w14:textId="77777777" w:rsidR="00485FC7" w:rsidRDefault="00485FC7" w:rsidP="00485FC7">
      <w:pPr>
        <w:pStyle w:val="FootnoteText"/>
      </w:pPr>
      <w:r>
        <w:rPr>
          <w:rStyle w:val="FootnoteReference"/>
        </w:rPr>
        <w:footnoteRef/>
      </w:r>
      <w:r>
        <w:t xml:space="preserve"> </w:t>
      </w:r>
      <w:r w:rsidRPr="00496C42">
        <w:t>Hilaire, Danielle A, ‘The Grammar of Salvation and the Poetics of Possibility in Donne’s Holy Sonnets</w:t>
      </w:r>
      <w:proofErr w:type="gramStart"/>
      <w:r w:rsidRPr="00496C42">
        <w:t>’,</w:t>
      </w:r>
      <w:proofErr w:type="gramEnd"/>
      <w:r w:rsidRPr="00496C42">
        <w:t xml:space="preserve"> Studies in Philology, 114.3 (2017), </w:t>
      </w:r>
      <w:r>
        <w:t>p. 598.</w:t>
      </w:r>
    </w:p>
  </w:footnote>
  <w:footnote w:id="43">
    <w:p w14:paraId="666DC300" w14:textId="77777777" w:rsidR="00485FC7" w:rsidRDefault="00485FC7" w:rsidP="00485FC7">
      <w:pPr>
        <w:pStyle w:val="FootnoteText"/>
      </w:pPr>
      <w:r>
        <w:rPr>
          <w:rStyle w:val="FootnoteReference"/>
        </w:rPr>
        <w:footnoteRef/>
      </w:r>
      <w:r>
        <w:t xml:space="preserve"> B. C. Southam, ‘Shakespeare’s Christian Sonnet? Number 146’ in </w:t>
      </w:r>
      <w:r>
        <w:rPr>
          <w:i/>
          <w:iCs/>
        </w:rPr>
        <w:t>Shakespeare Quarterly, Winter 1960, Vol 11, No. 1, p. 71</w:t>
      </w:r>
    </w:p>
  </w:footnote>
  <w:footnote w:id="44">
    <w:p w14:paraId="1BDEBE1B" w14:textId="77777777" w:rsidR="00485FC7" w:rsidRDefault="00485FC7" w:rsidP="00485FC7">
      <w:pPr>
        <w:pStyle w:val="FootnoteText"/>
      </w:pPr>
      <w:r>
        <w:rPr>
          <w:rStyle w:val="FootnoteReference"/>
        </w:rPr>
        <w:footnoteRef/>
      </w:r>
      <w:r>
        <w:t xml:space="preserve"> Sermon </w:t>
      </w:r>
      <w:r w:rsidRPr="00E12452">
        <w:t xml:space="preserve">Preached upon the Penitential Psalms. [April, May, or </w:t>
      </w:r>
      <w:proofErr w:type="gramStart"/>
      <w:r w:rsidRPr="00E12452">
        <w:t>June,</w:t>
      </w:r>
      <w:proofErr w:type="gramEnd"/>
      <w:r w:rsidRPr="00E12452">
        <w:t xml:space="preserve"> 1623]</w:t>
      </w:r>
      <w:r>
        <w:t xml:space="preserve">. </w:t>
      </w:r>
      <w:hyperlink r:id="rId3" w:history="1">
        <w:r w:rsidRPr="007B3CD2">
          <w:rPr>
            <w:rStyle w:val="Hyperlink"/>
          </w:rPr>
          <w:t>https://contentdm.lib.byu.edu/digital/collection/JohnDonne/id/1728/rec/3</w:t>
        </w:r>
      </w:hyperlink>
      <w:r>
        <w:t xml:space="preserve"> (Retrieved 09/05/2022)</w:t>
      </w:r>
    </w:p>
  </w:footnote>
  <w:footnote w:id="45">
    <w:p w14:paraId="4B2FC2E3" w14:textId="77777777" w:rsidR="00485FC7" w:rsidRPr="00327B11" w:rsidRDefault="00485FC7" w:rsidP="00485FC7">
      <w:pPr>
        <w:pStyle w:val="FootnoteText"/>
      </w:pPr>
      <w:r>
        <w:rPr>
          <w:rStyle w:val="FootnoteReference"/>
        </w:rPr>
        <w:footnoteRef/>
      </w:r>
      <w:r>
        <w:t xml:space="preserve"> Shell, A. &amp; Hunt, A. ‘Donne’s religious world’ in </w:t>
      </w:r>
      <w:r>
        <w:rPr>
          <w:i/>
          <w:iCs/>
        </w:rPr>
        <w:t>The Cambridge Companion to John Donne</w:t>
      </w:r>
      <w:r>
        <w:t xml:space="preserve"> (Cambridge: Cambridge University Press, 2006) p. 73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D9D37" w14:textId="4D581928" w:rsidR="00AC1F5D" w:rsidRDefault="00AC1F5D" w:rsidP="009D384B">
    <w:pPr>
      <w:pStyle w:val="Header"/>
      <w:jc w:val="right"/>
    </w:pPr>
    <w:r>
      <w:t xml:space="preserve">Ian Matthews </w:t>
    </w:r>
    <w:r w:rsidR="009D384B">
      <w:t>1602111</w:t>
    </w:r>
  </w:p>
  <w:p w14:paraId="43C53F85" w14:textId="77777777" w:rsidR="00AC1F5D" w:rsidRDefault="00AC1F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471"/>
    <w:rsid w:val="000048EF"/>
    <w:rsid w:val="000064F3"/>
    <w:rsid w:val="0000691B"/>
    <w:rsid w:val="00006A8E"/>
    <w:rsid w:val="000254CA"/>
    <w:rsid w:val="000258D5"/>
    <w:rsid w:val="00036078"/>
    <w:rsid w:val="00046D44"/>
    <w:rsid w:val="00052AC4"/>
    <w:rsid w:val="0005337A"/>
    <w:rsid w:val="00060019"/>
    <w:rsid w:val="00064EB5"/>
    <w:rsid w:val="00066359"/>
    <w:rsid w:val="00073DC3"/>
    <w:rsid w:val="00074182"/>
    <w:rsid w:val="00074C4D"/>
    <w:rsid w:val="00086D7B"/>
    <w:rsid w:val="00091479"/>
    <w:rsid w:val="0009185B"/>
    <w:rsid w:val="0009793F"/>
    <w:rsid w:val="000A1F0C"/>
    <w:rsid w:val="000A591A"/>
    <w:rsid w:val="000A68B7"/>
    <w:rsid w:val="000A6998"/>
    <w:rsid w:val="000B4CEE"/>
    <w:rsid w:val="000D2464"/>
    <w:rsid w:val="000D5700"/>
    <w:rsid w:val="000E701D"/>
    <w:rsid w:val="000F00DB"/>
    <w:rsid w:val="0013364B"/>
    <w:rsid w:val="00135E20"/>
    <w:rsid w:val="0013606D"/>
    <w:rsid w:val="001376F4"/>
    <w:rsid w:val="00151584"/>
    <w:rsid w:val="00151E7F"/>
    <w:rsid w:val="00152F30"/>
    <w:rsid w:val="001574DF"/>
    <w:rsid w:val="001634D9"/>
    <w:rsid w:val="0016522D"/>
    <w:rsid w:val="0017138A"/>
    <w:rsid w:val="001776FE"/>
    <w:rsid w:val="001808EA"/>
    <w:rsid w:val="00184C84"/>
    <w:rsid w:val="00194BC5"/>
    <w:rsid w:val="00195153"/>
    <w:rsid w:val="001B7609"/>
    <w:rsid w:val="001B781C"/>
    <w:rsid w:val="001C088E"/>
    <w:rsid w:val="001C1F1D"/>
    <w:rsid w:val="001C2115"/>
    <w:rsid w:val="001C2DB4"/>
    <w:rsid w:val="001D05FC"/>
    <w:rsid w:val="001D2CDA"/>
    <w:rsid w:val="001E304C"/>
    <w:rsid w:val="001F25A9"/>
    <w:rsid w:val="001F6A16"/>
    <w:rsid w:val="001F7127"/>
    <w:rsid w:val="00200181"/>
    <w:rsid w:val="00201FFD"/>
    <w:rsid w:val="002062B8"/>
    <w:rsid w:val="00221CD2"/>
    <w:rsid w:val="0022226D"/>
    <w:rsid w:val="002352BC"/>
    <w:rsid w:val="00236579"/>
    <w:rsid w:val="0025050B"/>
    <w:rsid w:val="00262ACF"/>
    <w:rsid w:val="00267602"/>
    <w:rsid w:val="00275F35"/>
    <w:rsid w:val="00285FAB"/>
    <w:rsid w:val="002A149F"/>
    <w:rsid w:val="002A5029"/>
    <w:rsid w:val="002A7044"/>
    <w:rsid w:val="002B1773"/>
    <w:rsid w:val="002B6E22"/>
    <w:rsid w:val="002C34F8"/>
    <w:rsid w:val="002C71F7"/>
    <w:rsid w:val="002D2B28"/>
    <w:rsid w:val="002F312C"/>
    <w:rsid w:val="002F3EB1"/>
    <w:rsid w:val="002F5409"/>
    <w:rsid w:val="00300668"/>
    <w:rsid w:val="0030110B"/>
    <w:rsid w:val="003121FE"/>
    <w:rsid w:val="00325FF6"/>
    <w:rsid w:val="0033092B"/>
    <w:rsid w:val="00352AA0"/>
    <w:rsid w:val="00353C04"/>
    <w:rsid w:val="003557EA"/>
    <w:rsid w:val="00362F4C"/>
    <w:rsid w:val="00371ED0"/>
    <w:rsid w:val="0038438A"/>
    <w:rsid w:val="00384711"/>
    <w:rsid w:val="00392E38"/>
    <w:rsid w:val="00392FF7"/>
    <w:rsid w:val="003944EB"/>
    <w:rsid w:val="003945BF"/>
    <w:rsid w:val="00394C01"/>
    <w:rsid w:val="003C6796"/>
    <w:rsid w:val="003C75AB"/>
    <w:rsid w:val="003E0281"/>
    <w:rsid w:val="003E1D21"/>
    <w:rsid w:val="003E4B43"/>
    <w:rsid w:val="00420E8B"/>
    <w:rsid w:val="004243EF"/>
    <w:rsid w:val="0044746C"/>
    <w:rsid w:val="0045210C"/>
    <w:rsid w:val="00453798"/>
    <w:rsid w:val="00467E22"/>
    <w:rsid w:val="00485FC7"/>
    <w:rsid w:val="00490CF5"/>
    <w:rsid w:val="00493B6B"/>
    <w:rsid w:val="004A087C"/>
    <w:rsid w:val="004A1468"/>
    <w:rsid w:val="004A6ECD"/>
    <w:rsid w:val="004B7149"/>
    <w:rsid w:val="004C3F7C"/>
    <w:rsid w:val="004C3FED"/>
    <w:rsid w:val="004D46F5"/>
    <w:rsid w:val="004E0013"/>
    <w:rsid w:val="004E6F9D"/>
    <w:rsid w:val="004E7093"/>
    <w:rsid w:val="004F20AD"/>
    <w:rsid w:val="004F7F72"/>
    <w:rsid w:val="00500B70"/>
    <w:rsid w:val="005051E5"/>
    <w:rsid w:val="005074F7"/>
    <w:rsid w:val="005177E8"/>
    <w:rsid w:val="00520C13"/>
    <w:rsid w:val="0054595F"/>
    <w:rsid w:val="00550C75"/>
    <w:rsid w:val="005562AF"/>
    <w:rsid w:val="005647AB"/>
    <w:rsid w:val="00575554"/>
    <w:rsid w:val="00581E05"/>
    <w:rsid w:val="00594C34"/>
    <w:rsid w:val="005B5687"/>
    <w:rsid w:val="005D0221"/>
    <w:rsid w:val="005E5D3B"/>
    <w:rsid w:val="005E74E6"/>
    <w:rsid w:val="005F3602"/>
    <w:rsid w:val="006001D2"/>
    <w:rsid w:val="00600753"/>
    <w:rsid w:val="0061123F"/>
    <w:rsid w:val="00620D7E"/>
    <w:rsid w:val="0063645A"/>
    <w:rsid w:val="00645FF1"/>
    <w:rsid w:val="00656EA3"/>
    <w:rsid w:val="006657FF"/>
    <w:rsid w:val="00667257"/>
    <w:rsid w:val="00667D4A"/>
    <w:rsid w:val="006721BB"/>
    <w:rsid w:val="006A51FB"/>
    <w:rsid w:val="006B1649"/>
    <w:rsid w:val="006B33CC"/>
    <w:rsid w:val="006C1CAF"/>
    <w:rsid w:val="006C384C"/>
    <w:rsid w:val="006D362E"/>
    <w:rsid w:val="006D7B69"/>
    <w:rsid w:val="006E4BC8"/>
    <w:rsid w:val="006F1BFB"/>
    <w:rsid w:val="006F31C0"/>
    <w:rsid w:val="00715AF6"/>
    <w:rsid w:val="00723979"/>
    <w:rsid w:val="007278FE"/>
    <w:rsid w:val="007316E5"/>
    <w:rsid w:val="007361CE"/>
    <w:rsid w:val="00736685"/>
    <w:rsid w:val="00753046"/>
    <w:rsid w:val="0075441F"/>
    <w:rsid w:val="00757EBB"/>
    <w:rsid w:val="00773131"/>
    <w:rsid w:val="00776FD2"/>
    <w:rsid w:val="00781653"/>
    <w:rsid w:val="00786416"/>
    <w:rsid w:val="00793DF0"/>
    <w:rsid w:val="007955F8"/>
    <w:rsid w:val="007A217D"/>
    <w:rsid w:val="007A6AB9"/>
    <w:rsid w:val="007B27B2"/>
    <w:rsid w:val="007C43F3"/>
    <w:rsid w:val="007E1B72"/>
    <w:rsid w:val="007E47DD"/>
    <w:rsid w:val="007F1358"/>
    <w:rsid w:val="007F5C3E"/>
    <w:rsid w:val="0080306F"/>
    <w:rsid w:val="008167F7"/>
    <w:rsid w:val="00823C89"/>
    <w:rsid w:val="00825243"/>
    <w:rsid w:val="0082745F"/>
    <w:rsid w:val="00830766"/>
    <w:rsid w:val="00832090"/>
    <w:rsid w:val="0085198F"/>
    <w:rsid w:val="00860F0A"/>
    <w:rsid w:val="00865CDA"/>
    <w:rsid w:val="00866707"/>
    <w:rsid w:val="0087007B"/>
    <w:rsid w:val="008700B9"/>
    <w:rsid w:val="0087163C"/>
    <w:rsid w:val="0087278C"/>
    <w:rsid w:val="00883BBF"/>
    <w:rsid w:val="00887F13"/>
    <w:rsid w:val="00892A0B"/>
    <w:rsid w:val="008A6FB1"/>
    <w:rsid w:val="008A7A02"/>
    <w:rsid w:val="008B122B"/>
    <w:rsid w:val="008B264A"/>
    <w:rsid w:val="008C217A"/>
    <w:rsid w:val="008E72F8"/>
    <w:rsid w:val="008F3FF9"/>
    <w:rsid w:val="0090201B"/>
    <w:rsid w:val="009333F4"/>
    <w:rsid w:val="00944C53"/>
    <w:rsid w:val="00952D22"/>
    <w:rsid w:val="00957B2A"/>
    <w:rsid w:val="00962506"/>
    <w:rsid w:val="009705EE"/>
    <w:rsid w:val="00980042"/>
    <w:rsid w:val="009873DA"/>
    <w:rsid w:val="00990887"/>
    <w:rsid w:val="00990AD3"/>
    <w:rsid w:val="00994471"/>
    <w:rsid w:val="009A03F5"/>
    <w:rsid w:val="009A1F91"/>
    <w:rsid w:val="009A5072"/>
    <w:rsid w:val="009B0598"/>
    <w:rsid w:val="009B22BF"/>
    <w:rsid w:val="009B73CF"/>
    <w:rsid w:val="009B7FF7"/>
    <w:rsid w:val="009D384B"/>
    <w:rsid w:val="009D569E"/>
    <w:rsid w:val="009D7D25"/>
    <w:rsid w:val="009E40A1"/>
    <w:rsid w:val="009E462E"/>
    <w:rsid w:val="009E4B8C"/>
    <w:rsid w:val="009F16B8"/>
    <w:rsid w:val="009F3EE1"/>
    <w:rsid w:val="009F6C39"/>
    <w:rsid w:val="00A13514"/>
    <w:rsid w:val="00A167BD"/>
    <w:rsid w:val="00A17300"/>
    <w:rsid w:val="00A255FE"/>
    <w:rsid w:val="00A35ADC"/>
    <w:rsid w:val="00A35EAC"/>
    <w:rsid w:val="00A403FF"/>
    <w:rsid w:val="00A41E46"/>
    <w:rsid w:val="00A514D6"/>
    <w:rsid w:val="00A52615"/>
    <w:rsid w:val="00A53D23"/>
    <w:rsid w:val="00A7252C"/>
    <w:rsid w:val="00A82B5A"/>
    <w:rsid w:val="00A97B5D"/>
    <w:rsid w:val="00AA0C86"/>
    <w:rsid w:val="00AA0C9A"/>
    <w:rsid w:val="00AA142F"/>
    <w:rsid w:val="00AA7078"/>
    <w:rsid w:val="00AC015E"/>
    <w:rsid w:val="00AC1F5D"/>
    <w:rsid w:val="00AC5A5E"/>
    <w:rsid w:val="00AE1D45"/>
    <w:rsid w:val="00B0388E"/>
    <w:rsid w:val="00B03AE7"/>
    <w:rsid w:val="00B07F60"/>
    <w:rsid w:val="00B22DBD"/>
    <w:rsid w:val="00B24E16"/>
    <w:rsid w:val="00B257D5"/>
    <w:rsid w:val="00B274BB"/>
    <w:rsid w:val="00B31E43"/>
    <w:rsid w:val="00B539CF"/>
    <w:rsid w:val="00B53E7E"/>
    <w:rsid w:val="00B63F09"/>
    <w:rsid w:val="00B6498D"/>
    <w:rsid w:val="00B67127"/>
    <w:rsid w:val="00B73319"/>
    <w:rsid w:val="00B8041D"/>
    <w:rsid w:val="00B86234"/>
    <w:rsid w:val="00B94662"/>
    <w:rsid w:val="00B9593A"/>
    <w:rsid w:val="00B97027"/>
    <w:rsid w:val="00BA6E05"/>
    <w:rsid w:val="00BB4A83"/>
    <w:rsid w:val="00BB66E8"/>
    <w:rsid w:val="00BC477B"/>
    <w:rsid w:val="00BC7BD7"/>
    <w:rsid w:val="00BD2DCA"/>
    <w:rsid w:val="00BD3181"/>
    <w:rsid w:val="00BD439B"/>
    <w:rsid w:val="00BF5632"/>
    <w:rsid w:val="00C2481D"/>
    <w:rsid w:val="00C24D59"/>
    <w:rsid w:val="00C411DF"/>
    <w:rsid w:val="00C50EFF"/>
    <w:rsid w:val="00C52B55"/>
    <w:rsid w:val="00C67BC1"/>
    <w:rsid w:val="00C705E8"/>
    <w:rsid w:val="00C72C06"/>
    <w:rsid w:val="00C74B18"/>
    <w:rsid w:val="00C901AD"/>
    <w:rsid w:val="00C925AA"/>
    <w:rsid w:val="00C94C4F"/>
    <w:rsid w:val="00C95A75"/>
    <w:rsid w:val="00C966CC"/>
    <w:rsid w:val="00CA0A87"/>
    <w:rsid w:val="00CA1529"/>
    <w:rsid w:val="00CB50BB"/>
    <w:rsid w:val="00CB5407"/>
    <w:rsid w:val="00CB7B58"/>
    <w:rsid w:val="00CC5D12"/>
    <w:rsid w:val="00CD197A"/>
    <w:rsid w:val="00CD1995"/>
    <w:rsid w:val="00CD33A6"/>
    <w:rsid w:val="00CD70C7"/>
    <w:rsid w:val="00CD7D28"/>
    <w:rsid w:val="00CE293E"/>
    <w:rsid w:val="00CE2AA6"/>
    <w:rsid w:val="00CE7D1D"/>
    <w:rsid w:val="00CF2F31"/>
    <w:rsid w:val="00D03B5E"/>
    <w:rsid w:val="00D158BE"/>
    <w:rsid w:val="00D214A9"/>
    <w:rsid w:val="00D254FC"/>
    <w:rsid w:val="00D379B2"/>
    <w:rsid w:val="00D429C7"/>
    <w:rsid w:val="00D53B5E"/>
    <w:rsid w:val="00D63792"/>
    <w:rsid w:val="00D64405"/>
    <w:rsid w:val="00D758F0"/>
    <w:rsid w:val="00D8009E"/>
    <w:rsid w:val="00D82673"/>
    <w:rsid w:val="00D82DAE"/>
    <w:rsid w:val="00DA1067"/>
    <w:rsid w:val="00DB053A"/>
    <w:rsid w:val="00DB3CF0"/>
    <w:rsid w:val="00DB5031"/>
    <w:rsid w:val="00DC357D"/>
    <w:rsid w:val="00DC7B0A"/>
    <w:rsid w:val="00DE3A42"/>
    <w:rsid w:val="00DE50D7"/>
    <w:rsid w:val="00DE58DC"/>
    <w:rsid w:val="00DF03D8"/>
    <w:rsid w:val="00DF2349"/>
    <w:rsid w:val="00E06576"/>
    <w:rsid w:val="00E31F01"/>
    <w:rsid w:val="00E323A8"/>
    <w:rsid w:val="00E41967"/>
    <w:rsid w:val="00E51BB5"/>
    <w:rsid w:val="00E53AE3"/>
    <w:rsid w:val="00E86870"/>
    <w:rsid w:val="00E937BC"/>
    <w:rsid w:val="00EB2751"/>
    <w:rsid w:val="00EB64FE"/>
    <w:rsid w:val="00EC7EFD"/>
    <w:rsid w:val="00ED0147"/>
    <w:rsid w:val="00ED356A"/>
    <w:rsid w:val="00ED3DA0"/>
    <w:rsid w:val="00ED40F0"/>
    <w:rsid w:val="00ED5C59"/>
    <w:rsid w:val="00EF1A9C"/>
    <w:rsid w:val="00EF327C"/>
    <w:rsid w:val="00F004AC"/>
    <w:rsid w:val="00F157B0"/>
    <w:rsid w:val="00F35C91"/>
    <w:rsid w:val="00F43386"/>
    <w:rsid w:val="00F46D4F"/>
    <w:rsid w:val="00F51AA7"/>
    <w:rsid w:val="00F709F1"/>
    <w:rsid w:val="00F7545D"/>
    <w:rsid w:val="00F85F60"/>
    <w:rsid w:val="00F86223"/>
    <w:rsid w:val="00F910D3"/>
    <w:rsid w:val="00F930B1"/>
    <w:rsid w:val="00F93909"/>
    <w:rsid w:val="00FA03A9"/>
    <w:rsid w:val="00FA24A4"/>
    <w:rsid w:val="00FA51CD"/>
    <w:rsid w:val="00FA5A6F"/>
    <w:rsid w:val="00FB3CD8"/>
    <w:rsid w:val="00FB402C"/>
    <w:rsid w:val="00FB5CB3"/>
    <w:rsid w:val="00FB647D"/>
    <w:rsid w:val="00FC1604"/>
    <w:rsid w:val="00FC43E7"/>
    <w:rsid w:val="00FD19DB"/>
    <w:rsid w:val="00FD5A2E"/>
    <w:rsid w:val="00FD635B"/>
    <w:rsid w:val="00FE0484"/>
    <w:rsid w:val="00FE31C5"/>
    <w:rsid w:val="00FE5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081EF7"/>
  <w15:chartTrackingRefBased/>
  <w15:docId w15:val="{DD79C1B5-50F3-448C-BA46-F769C4A2B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E5D3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5D3B"/>
    <w:rPr>
      <w:sz w:val="20"/>
      <w:szCs w:val="20"/>
    </w:rPr>
  </w:style>
  <w:style w:type="character" w:styleId="FootnoteReference">
    <w:name w:val="footnote reference"/>
    <w:basedOn w:val="DefaultParagraphFont"/>
    <w:uiPriority w:val="99"/>
    <w:semiHidden/>
    <w:unhideWhenUsed/>
    <w:rsid w:val="005E5D3B"/>
    <w:rPr>
      <w:vertAlign w:val="superscript"/>
    </w:rPr>
  </w:style>
  <w:style w:type="character" w:styleId="Hyperlink">
    <w:name w:val="Hyperlink"/>
    <w:basedOn w:val="DefaultParagraphFont"/>
    <w:uiPriority w:val="99"/>
    <w:unhideWhenUsed/>
    <w:rsid w:val="00D214A9"/>
    <w:rPr>
      <w:color w:val="0563C1" w:themeColor="hyperlink"/>
      <w:u w:val="single"/>
    </w:rPr>
  </w:style>
  <w:style w:type="character" w:styleId="UnresolvedMention">
    <w:name w:val="Unresolved Mention"/>
    <w:basedOn w:val="DefaultParagraphFont"/>
    <w:uiPriority w:val="99"/>
    <w:semiHidden/>
    <w:unhideWhenUsed/>
    <w:rsid w:val="00D214A9"/>
    <w:rPr>
      <w:color w:val="605E5C"/>
      <w:shd w:val="clear" w:color="auto" w:fill="E1DFDD"/>
    </w:rPr>
  </w:style>
  <w:style w:type="paragraph" w:styleId="ListParagraph">
    <w:name w:val="List Paragraph"/>
    <w:basedOn w:val="Normal"/>
    <w:uiPriority w:val="34"/>
    <w:qFormat/>
    <w:rsid w:val="00A35ADC"/>
    <w:pPr>
      <w:ind w:left="720"/>
      <w:contextualSpacing/>
    </w:pPr>
  </w:style>
  <w:style w:type="paragraph" w:styleId="Header">
    <w:name w:val="header"/>
    <w:basedOn w:val="Normal"/>
    <w:link w:val="HeaderChar"/>
    <w:uiPriority w:val="99"/>
    <w:unhideWhenUsed/>
    <w:rsid w:val="00AC1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F5D"/>
  </w:style>
  <w:style w:type="paragraph" w:styleId="Footer">
    <w:name w:val="footer"/>
    <w:basedOn w:val="Normal"/>
    <w:link w:val="FooterChar"/>
    <w:uiPriority w:val="99"/>
    <w:unhideWhenUsed/>
    <w:rsid w:val="00AC1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526851">
      <w:bodyDiv w:val="1"/>
      <w:marLeft w:val="0"/>
      <w:marRight w:val="0"/>
      <w:marTop w:val="0"/>
      <w:marBottom w:val="0"/>
      <w:divBdr>
        <w:top w:val="none" w:sz="0" w:space="0" w:color="auto"/>
        <w:left w:val="none" w:sz="0" w:space="0" w:color="auto"/>
        <w:bottom w:val="none" w:sz="0" w:space="0" w:color="auto"/>
        <w:right w:val="none" w:sz="0" w:space="0" w:color="auto"/>
      </w:divBdr>
      <w:divsChild>
        <w:div w:id="1848985019">
          <w:marLeft w:val="0"/>
          <w:marRight w:val="0"/>
          <w:marTop w:val="0"/>
          <w:marBottom w:val="0"/>
          <w:divBdr>
            <w:top w:val="none" w:sz="0" w:space="0" w:color="auto"/>
            <w:left w:val="none" w:sz="0" w:space="0" w:color="auto"/>
            <w:bottom w:val="none" w:sz="0" w:space="0" w:color="auto"/>
            <w:right w:val="none" w:sz="0" w:space="0" w:color="auto"/>
          </w:divBdr>
          <w:divsChild>
            <w:div w:id="10947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886451">
      <w:bodyDiv w:val="1"/>
      <w:marLeft w:val="0"/>
      <w:marRight w:val="0"/>
      <w:marTop w:val="0"/>
      <w:marBottom w:val="0"/>
      <w:divBdr>
        <w:top w:val="none" w:sz="0" w:space="0" w:color="auto"/>
        <w:left w:val="none" w:sz="0" w:space="0" w:color="auto"/>
        <w:bottom w:val="none" w:sz="0" w:space="0" w:color="auto"/>
        <w:right w:val="none" w:sz="0" w:space="0" w:color="auto"/>
      </w:divBdr>
      <w:divsChild>
        <w:div w:id="959989943">
          <w:marLeft w:val="0"/>
          <w:marRight w:val="0"/>
          <w:marTop w:val="0"/>
          <w:marBottom w:val="0"/>
          <w:divBdr>
            <w:top w:val="none" w:sz="0" w:space="0" w:color="auto"/>
            <w:left w:val="none" w:sz="0" w:space="0" w:color="auto"/>
            <w:bottom w:val="none" w:sz="0" w:space="0" w:color="auto"/>
            <w:right w:val="none" w:sz="0" w:space="0" w:color="auto"/>
          </w:divBdr>
        </w:div>
        <w:div w:id="787354613">
          <w:marLeft w:val="0"/>
          <w:marRight w:val="0"/>
          <w:marTop w:val="0"/>
          <w:marBottom w:val="0"/>
          <w:divBdr>
            <w:top w:val="none" w:sz="0" w:space="0" w:color="auto"/>
            <w:left w:val="none" w:sz="0" w:space="0" w:color="auto"/>
            <w:bottom w:val="none" w:sz="0" w:space="0" w:color="auto"/>
            <w:right w:val="none" w:sz="0" w:space="0" w:color="auto"/>
          </w:divBdr>
        </w:div>
      </w:divsChild>
    </w:div>
    <w:div w:id="1262371361">
      <w:bodyDiv w:val="1"/>
      <w:marLeft w:val="0"/>
      <w:marRight w:val="0"/>
      <w:marTop w:val="0"/>
      <w:marBottom w:val="0"/>
      <w:divBdr>
        <w:top w:val="none" w:sz="0" w:space="0" w:color="auto"/>
        <w:left w:val="none" w:sz="0" w:space="0" w:color="auto"/>
        <w:bottom w:val="none" w:sz="0" w:space="0" w:color="auto"/>
        <w:right w:val="none" w:sz="0" w:space="0" w:color="auto"/>
      </w:divBdr>
    </w:div>
    <w:div w:id="1446923227">
      <w:bodyDiv w:val="1"/>
      <w:marLeft w:val="0"/>
      <w:marRight w:val="0"/>
      <w:marTop w:val="0"/>
      <w:marBottom w:val="0"/>
      <w:divBdr>
        <w:top w:val="none" w:sz="0" w:space="0" w:color="auto"/>
        <w:left w:val="none" w:sz="0" w:space="0" w:color="auto"/>
        <w:bottom w:val="none" w:sz="0" w:space="0" w:color="auto"/>
        <w:right w:val="none" w:sz="0" w:space="0" w:color="auto"/>
      </w:divBdr>
      <w:divsChild>
        <w:div w:id="547303756">
          <w:marLeft w:val="0"/>
          <w:marRight w:val="0"/>
          <w:marTop w:val="0"/>
          <w:marBottom w:val="0"/>
          <w:divBdr>
            <w:top w:val="none" w:sz="0" w:space="0" w:color="auto"/>
            <w:left w:val="none" w:sz="0" w:space="0" w:color="auto"/>
            <w:bottom w:val="none" w:sz="0" w:space="0" w:color="auto"/>
            <w:right w:val="none" w:sz="0" w:space="0" w:color="auto"/>
          </w:divBdr>
          <w:divsChild>
            <w:div w:id="121997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s://contentdm.lib.byu.edu/digital/collection/JohnDonne/id/1728/rec/3" TargetMode="External"/><Relationship Id="rId2" Type="http://schemas.openxmlformats.org/officeDocument/2006/relationships/hyperlink" Target="https://www.bl.uk/collection-items/the-geneva-bible-1570" TargetMode="External"/><Relationship Id="rId1" Type="http://schemas.openxmlformats.org/officeDocument/2006/relationships/hyperlink" Target="https://shakespearestudyguide.com/EdwardIIItex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4054</Words>
  <Characters>18164</Characters>
  <Application>Microsoft Office Word</Application>
  <DocSecurity>0</DocSecurity>
  <Lines>297</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Matthews</dc:creator>
  <cp:keywords/>
  <dc:description/>
  <cp:lastModifiedBy>Ian Matthews</cp:lastModifiedBy>
  <cp:revision>3</cp:revision>
  <cp:lastPrinted>2022-05-13T13:26:00Z</cp:lastPrinted>
  <dcterms:created xsi:type="dcterms:W3CDTF">2022-05-13T18:54:00Z</dcterms:created>
  <dcterms:modified xsi:type="dcterms:W3CDTF">2022-05-13T18:55:00Z</dcterms:modified>
</cp:coreProperties>
</file>