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5364B" w14:textId="77777777" w:rsidR="00F45E42" w:rsidRDefault="00D7624F" w:rsidP="00B168AB">
      <w:pPr>
        <w:rPr>
          <w:rFonts w:ascii="Calibri" w:hAnsi="Calibri" w:cs="Calibri"/>
          <w:b/>
          <w:bCs/>
        </w:rPr>
      </w:pPr>
      <w:r w:rsidRPr="00D7624F">
        <w:rPr>
          <w:rFonts w:ascii="Calibri" w:hAnsi="Calibri" w:cs="Calibri"/>
          <w:b/>
          <w:bCs/>
        </w:rPr>
        <w:t>5OS01 Specialist employment law</w:t>
      </w:r>
      <w:r w:rsidR="00F45E42">
        <w:rPr>
          <w:rFonts w:ascii="Calibri" w:hAnsi="Calibri" w:cs="Calibri"/>
          <w:b/>
          <w:bCs/>
        </w:rPr>
        <w:t xml:space="preserve"> </w:t>
      </w:r>
    </w:p>
    <w:p w14:paraId="44A7F3E3" w14:textId="5B6AD93B" w:rsidR="00892D99" w:rsidRPr="00D7624F" w:rsidRDefault="00F45E42" w:rsidP="00B168AB">
      <w:pPr>
        <w:rPr>
          <w:rFonts w:ascii="Calibri" w:hAnsi="Calibri" w:cs="Calibri"/>
          <w:b/>
          <w:bCs/>
          <w:lang w:val="en-GB"/>
        </w:rPr>
      </w:pPr>
      <w:r>
        <w:rPr>
          <w:rFonts w:ascii="Calibri" w:hAnsi="Calibri" w:cs="Calibri"/>
          <w:b/>
          <w:bCs/>
        </w:rPr>
        <w:t>Melanie Warne</w:t>
      </w:r>
      <w:r w:rsidR="00503EF3">
        <w:rPr>
          <w:rFonts w:ascii="Calibri" w:hAnsi="Calibri" w:cs="Calibri"/>
          <w:b/>
          <w:bCs/>
        </w:rPr>
        <w:t xml:space="preserve"> – Cohort 10 UWTSD</w:t>
      </w:r>
    </w:p>
    <w:p w14:paraId="2457C780" w14:textId="77777777" w:rsidR="00892D99" w:rsidRDefault="00892D99" w:rsidP="00B168AB">
      <w:pPr>
        <w:rPr>
          <w:rFonts w:ascii="Calibri" w:hAnsi="Calibri" w:cs="Calibri"/>
          <w:lang w:val="en-GB"/>
        </w:rPr>
      </w:pPr>
    </w:p>
    <w:p w14:paraId="178C8CFF" w14:textId="7A442BF8" w:rsidR="00B168AB" w:rsidRPr="00892D99" w:rsidRDefault="00B168AB" w:rsidP="00B168AB">
      <w:pPr>
        <w:rPr>
          <w:rFonts w:ascii="Calibri" w:hAnsi="Calibri" w:cs="Calibri"/>
          <w:lang w:val="en-GB"/>
        </w:rPr>
      </w:pPr>
      <w:r w:rsidRPr="00892D99">
        <w:rPr>
          <w:rFonts w:ascii="Calibri" w:hAnsi="Calibri" w:cs="Calibri"/>
          <w:lang w:val="en-GB"/>
        </w:rPr>
        <w:t>AC 1.1</w:t>
      </w:r>
    </w:p>
    <w:p w14:paraId="12E88F8E" w14:textId="2511DF39" w:rsidR="002A0631" w:rsidRDefault="002A0631" w:rsidP="002A0631">
      <w:pPr>
        <w:rPr>
          <w:rFonts w:ascii="Calibri" w:hAnsi="Calibri" w:cs="Calibri"/>
          <w:lang w:val="en-GB"/>
        </w:rPr>
      </w:pPr>
    </w:p>
    <w:p w14:paraId="6FC23020" w14:textId="77777777" w:rsidR="002A0631" w:rsidRPr="002A0631" w:rsidRDefault="002A0631" w:rsidP="002A0631">
      <w:pPr>
        <w:rPr>
          <w:rFonts w:ascii="Calibri" w:hAnsi="Calibri" w:cs="Calibri"/>
          <w:lang w:val="en-GB"/>
        </w:rPr>
      </w:pPr>
      <w:r w:rsidRPr="002A0631">
        <w:rPr>
          <w:rFonts w:ascii="Calibri" w:hAnsi="Calibri" w:cs="Calibri"/>
          <w:b/>
          <w:bCs/>
          <w:lang w:val="en-GB"/>
        </w:rPr>
        <w:t>Subject: The Strategic Value of Employment Regulation in People Practice</w:t>
      </w:r>
    </w:p>
    <w:p w14:paraId="07BD3F21" w14:textId="77777777" w:rsidR="002A0631" w:rsidRDefault="002A0631" w:rsidP="002A0631">
      <w:pPr>
        <w:rPr>
          <w:rFonts w:ascii="Calibri" w:hAnsi="Calibri" w:cs="Calibri"/>
          <w:lang w:val="en-GB"/>
        </w:rPr>
      </w:pPr>
      <w:r w:rsidRPr="002A0631">
        <w:rPr>
          <w:rFonts w:ascii="Calibri" w:hAnsi="Calibri" w:cs="Calibri"/>
          <w:lang w:val="en-GB"/>
        </w:rPr>
        <w:t>Dear Leaha,</w:t>
      </w:r>
    </w:p>
    <w:p w14:paraId="126841EB" w14:textId="77777777" w:rsidR="002A0631" w:rsidRPr="002A0631" w:rsidRDefault="002A0631" w:rsidP="002A0631">
      <w:pPr>
        <w:rPr>
          <w:rFonts w:ascii="Calibri" w:hAnsi="Calibri" w:cs="Calibri"/>
          <w:lang w:val="en-GB"/>
        </w:rPr>
      </w:pPr>
    </w:p>
    <w:p w14:paraId="022B8013"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Thank you for sharing your reflections on the time dedicated to employment regulation. I completely understand your desire to prioritise initiatives that enhance the employee experience. However, it’s important to recognise that robust regulatory frameworks are not in opposition to a positive work environment — they are often what make it possible in the first place.</w:t>
      </w:r>
    </w:p>
    <w:p w14:paraId="04939136" w14:textId="77777777" w:rsidR="002A0631" w:rsidRPr="00C9555C" w:rsidRDefault="002A0631" w:rsidP="002A0631">
      <w:pPr>
        <w:rPr>
          <w:rFonts w:ascii="Calibri" w:hAnsi="Calibri" w:cs="Calibri"/>
          <w:strike/>
          <w:lang w:val="en-GB"/>
        </w:rPr>
      </w:pPr>
    </w:p>
    <w:p w14:paraId="59DD1D63"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Employment law provides the essential foundation that shapes fair and consistent people practices. It defines the minimum standards that protect both the rights of employees and the interests of the organisation (Daniels, 2022). Without clear legal guidance, we would risk inconsistent practices, which can lead to employee dissatisfaction, reputational harm, and costly tribunal claims.</w:t>
      </w:r>
    </w:p>
    <w:p w14:paraId="4344E463" w14:textId="77777777" w:rsidR="002A0631" w:rsidRPr="00C9555C" w:rsidRDefault="002A0631" w:rsidP="002A0631">
      <w:pPr>
        <w:rPr>
          <w:rFonts w:ascii="Calibri" w:hAnsi="Calibri" w:cs="Calibri"/>
          <w:strike/>
          <w:lang w:val="en-GB"/>
        </w:rPr>
      </w:pPr>
    </w:p>
    <w:p w14:paraId="12BD398F"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According to the CIPD (2023), employment regulation is not simply about avoiding legal pitfalls — it’s also about ensuring dignity, respect, and equality in the workplace. These principles contribute to building inclusive and psychologically safe cultures where employees feel secure and valued. That in itself is a powerful driver of employee engagement and organisational loyalty.</w:t>
      </w:r>
    </w:p>
    <w:p w14:paraId="5A01031C" w14:textId="77777777" w:rsidR="002A0631" w:rsidRPr="00C9555C" w:rsidRDefault="002A0631" w:rsidP="002A0631">
      <w:pPr>
        <w:rPr>
          <w:rFonts w:ascii="Calibri" w:hAnsi="Calibri" w:cs="Calibri"/>
          <w:strike/>
          <w:lang w:val="en-GB"/>
        </w:rPr>
      </w:pPr>
    </w:p>
    <w:p w14:paraId="0055DE39"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Armstrong and Taylor (2023) explain that regulation also plays a strategic role, guiding leaders to embed ethical practices into core HR activities such as flexible working, fair treatment, safe environments, and equal opportunity. These processes may sometimes feel procedural, but they provide a strong foundation for long-term workforce stability and performance.</w:t>
      </w:r>
    </w:p>
    <w:p w14:paraId="20F76585" w14:textId="77777777" w:rsidR="002A0631" w:rsidRPr="00C9555C" w:rsidRDefault="002A0631" w:rsidP="002A0631">
      <w:pPr>
        <w:rPr>
          <w:rFonts w:ascii="Calibri" w:hAnsi="Calibri" w:cs="Calibri"/>
          <w:strike/>
          <w:lang w:val="en-GB"/>
        </w:rPr>
      </w:pPr>
    </w:p>
    <w:p w14:paraId="793AD7D1"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As a practical example, a structured disciplinary process not only ensures we meet legal obligations but also protects both the employee and employer by ensuring transparency and fairness. Similarly, the correct application of maternity or flexible working rights allows us to support diverse employee needs while remaining compliant with statutory expectations.</w:t>
      </w:r>
    </w:p>
    <w:p w14:paraId="33B1E547" w14:textId="77777777" w:rsidR="002A0631" w:rsidRPr="00C9555C" w:rsidRDefault="002A0631" w:rsidP="002A0631">
      <w:pPr>
        <w:rPr>
          <w:rFonts w:ascii="Calibri" w:hAnsi="Calibri" w:cs="Calibri"/>
          <w:strike/>
          <w:lang w:val="en-GB"/>
        </w:rPr>
      </w:pPr>
    </w:p>
    <w:p w14:paraId="61766616"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It’s also worth remembering that employment law is constantly evolving. Legislative updates, new case law, and societal trends all impact the legal landscape. By staying informed, we can proactively manage risk and ensure we act as credible, trusted partners to our leaders and staff.</w:t>
      </w:r>
    </w:p>
    <w:p w14:paraId="34D72719" w14:textId="77777777" w:rsidR="002A0631" w:rsidRPr="00C9555C" w:rsidRDefault="002A0631" w:rsidP="002A0631">
      <w:pPr>
        <w:rPr>
          <w:rFonts w:ascii="Calibri" w:hAnsi="Calibri" w:cs="Calibri"/>
          <w:strike/>
          <w:lang w:val="en-GB"/>
        </w:rPr>
      </w:pPr>
    </w:p>
    <w:p w14:paraId="16373748"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I hope this gives you a broader view of the importance of employment regulation in our roles. Rather than seeing it as a barrier, we can use it to reinforce trust, fairness, and consistency — the very things that help us create an exceptional employee experience.</w:t>
      </w:r>
    </w:p>
    <w:p w14:paraId="510AAE3D" w14:textId="77777777" w:rsidR="002A0631" w:rsidRPr="00C9555C" w:rsidRDefault="002A0631" w:rsidP="002A0631">
      <w:pPr>
        <w:rPr>
          <w:rFonts w:ascii="Calibri" w:hAnsi="Calibri" w:cs="Calibri"/>
          <w:strike/>
          <w:lang w:val="en-GB"/>
        </w:rPr>
      </w:pPr>
    </w:p>
    <w:p w14:paraId="36A8EE80" w14:textId="77777777" w:rsidR="00FD7D19" w:rsidRDefault="00FD7D19" w:rsidP="00FD7D19">
      <w:pPr>
        <w:rPr>
          <w:rFonts w:ascii="Calibri" w:hAnsi="Calibri" w:cs="Calibri"/>
          <w:color w:val="FF0000"/>
          <w:lang w:val="en-GB"/>
        </w:rPr>
      </w:pPr>
      <w:r w:rsidRPr="00FD7D19">
        <w:rPr>
          <w:rFonts w:ascii="Calibri" w:hAnsi="Calibri" w:cs="Calibri"/>
          <w:color w:val="FF0000"/>
          <w:lang w:val="en-GB"/>
        </w:rPr>
        <w:t>Thank you for raising your concerns about the proportion of time spent on employment regulation. While I understand your desire to dedicate more hours to enhancing the employee experience, it’s important to recognise that employment regulation underpins our ability to do this in a fair, consistent, and sustainable way — particularly in a large and complex organisation like our NHS Trust.</w:t>
      </w:r>
    </w:p>
    <w:p w14:paraId="0EF624E5" w14:textId="77777777" w:rsidR="00E67510" w:rsidRPr="00FD7D19" w:rsidRDefault="00E67510" w:rsidP="00FD7D19">
      <w:pPr>
        <w:rPr>
          <w:rFonts w:ascii="Calibri" w:hAnsi="Calibri" w:cs="Calibri"/>
          <w:color w:val="FF0000"/>
          <w:lang w:val="en-GB"/>
        </w:rPr>
      </w:pPr>
    </w:p>
    <w:p w14:paraId="09D27354" w14:textId="77777777" w:rsidR="00FD7D19" w:rsidRDefault="00FD7D19" w:rsidP="00FD7D19">
      <w:pPr>
        <w:rPr>
          <w:rFonts w:ascii="Calibri" w:hAnsi="Calibri" w:cs="Calibri"/>
          <w:color w:val="FF0000"/>
          <w:lang w:val="en-GB"/>
        </w:rPr>
      </w:pPr>
      <w:r w:rsidRPr="00FD7D19">
        <w:rPr>
          <w:rFonts w:ascii="Calibri" w:hAnsi="Calibri" w:cs="Calibri"/>
          <w:color w:val="FF0000"/>
          <w:lang w:val="en-GB"/>
        </w:rPr>
        <w:t xml:space="preserve">The primary aim of employment regulation is to protect the rights of both employees and employers, providing a legal framework that sets minimum standards, expectations, and responsibilities (Daniels, 2022). This framework promotes fairness, reduces organisational risk, and provides formal routes for resolution when expectations are not met. Without it, we could inadvertently create inconsistencies </w:t>
      </w:r>
      <w:r w:rsidRPr="00FD7D19">
        <w:rPr>
          <w:rFonts w:ascii="Calibri" w:hAnsi="Calibri" w:cs="Calibri"/>
          <w:color w:val="FF0000"/>
          <w:lang w:val="en-GB"/>
        </w:rPr>
        <w:lastRenderedPageBreak/>
        <w:t>or discriminatory practices, undermining trust and exposing the Trust to reputational damage and costly legal claims.</w:t>
      </w:r>
    </w:p>
    <w:p w14:paraId="7641F4B7" w14:textId="77777777" w:rsidR="00E67510" w:rsidRPr="00FD7D19" w:rsidRDefault="00E67510" w:rsidP="00FD7D19">
      <w:pPr>
        <w:rPr>
          <w:rFonts w:ascii="Calibri" w:hAnsi="Calibri" w:cs="Calibri"/>
          <w:color w:val="FF0000"/>
          <w:lang w:val="en-GB"/>
        </w:rPr>
      </w:pPr>
    </w:p>
    <w:p w14:paraId="699F1449" w14:textId="77777777" w:rsidR="00FD7D19" w:rsidRDefault="00FD7D19" w:rsidP="00FD7D19">
      <w:pPr>
        <w:rPr>
          <w:rFonts w:ascii="Calibri" w:hAnsi="Calibri" w:cs="Calibri"/>
          <w:color w:val="FF0000"/>
          <w:lang w:val="en-GB"/>
        </w:rPr>
      </w:pPr>
      <w:r w:rsidRPr="00FD7D19">
        <w:rPr>
          <w:rFonts w:ascii="Calibri" w:hAnsi="Calibri" w:cs="Calibri"/>
          <w:color w:val="FF0000"/>
          <w:lang w:val="en-GB"/>
        </w:rPr>
        <w:t>From an HR perspective, regulatory compliance is not just about avoiding penalties. The CIPD (2023) highlights that regulation supports ethical, inclusive people management — especially in areas such as equality, wellbeing, and dispute resolution. In our NHS context, this translates into safeguarding patient care through fair treatment of staff, ensuring safe working conditions, and supporting a culture where colleagues feel valued and protected. These protections actively contribute to employee engagement and retention, which in turn improves service delivery.</w:t>
      </w:r>
    </w:p>
    <w:p w14:paraId="4A5881E7" w14:textId="77777777" w:rsidR="00E67510" w:rsidRPr="00FD7D19" w:rsidRDefault="00E67510" w:rsidP="00FD7D19">
      <w:pPr>
        <w:rPr>
          <w:rFonts w:ascii="Calibri" w:hAnsi="Calibri" w:cs="Calibri"/>
          <w:color w:val="FF0000"/>
          <w:lang w:val="en-GB"/>
        </w:rPr>
      </w:pPr>
    </w:p>
    <w:p w14:paraId="16DA2C42" w14:textId="77777777" w:rsidR="00FD7D19" w:rsidRDefault="00FD7D19" w:rsidP="00FD7D19">
      <w:pPr>
        <w:rPr>
          <w:rFonts w:ascii="Calibri" w:hAnsi="Calibri" w:cs="Calibri"/>
          <w:color w:val="FF0000"/>
          <w:lang w:val="en-GB"/>
        </w:rPr>
      </w:pPr>
      <w:r w:rsidRPr="00FD7D19">
        <w:rPr>
          <w:rFonts w:ascii="Calibri" w:hAnsi="Calibri" w:cs="Calibri"/>
          <w:color w:val="FF0000"/>
          <w:lang w:val="en-GB"/>
        </w:rPr>
        <w:t>That said, it’s understandable why some may view regulation as a burden. Daniels (2022) notes that many organisations — particularly those under operational pressure — can find the volume and complexity of employment law challenging. Regulations such as flexible working provisions or updates to equality legislation require ongoing awareness and adaptation, which can feel time-consuming. In fast-paced environments like ours, this may be perceived as reducing agility.</w:t>
      </w:r>
    </w:p>
    <w:p w14:paraId="7F4D6B4E" w14:textId="77777777" w:rsidR="00E67510" w:rsidRPr="00FD7D19" w:rsidRDefault="00E67510" w:rsidP="00FD7D19">
      <w:pPr>
        <w:rPr>
          <w:rFonts w:ascii="Calibri" w:hAnsi="Calibri" w:cs="Calibri"/>
          <w:color w:val="FF0000"/>
          <w:lang w:val="en-GB"/>
        </w:rPr>
      </w:pPr>
    </w:p>
    <w:p w14:paraId="4AE09D7E" w14:textId="77777777" w:rsidR="00FD7D19" w:rsidRPr="00FD7D19" w:rsidRDefault="00FD7D19" w:rsidP="00FD7D19">
      <w:pPr>
        <w:rPr>
          <w:rFonts w:ascii="Calibri" w:hAnsi="Calibri" w:cs="Calibri"/>
          <w:color w:val="FF0000"/>
          <w:lang w:val="en-GB"/>
        </w:rPr>
      </w:pPr>
      <w:r w:rsidRPr="00FD7D19">
        <w:rPr>
          <w:rFonts w:ascii="Calibri" w:hAnsi="Calibri" w:cs="Calibri"/>
          <w:color w:val="FF0000"/>
          <w:lang w:val="en-GB"/>
        </w:rPr>
        <w:t>However, Armstrong and Taylor (2023) argue that when used strategically, regulation enhances, rather than hinders, performance. For example, applying performance management processes in line with legal expectations improves transparency and fairness, which directly supports engagement and productivity.</w:t>
      </w:r>
    </w:p>
    <w:p w14:paraId="6C6419F7" w14:textId="77777777" w:rsidR="00774ECE" w:rsidRDefault="00774ECE" w:rsidP="00FD7D19">
      <w:pPr>
        <w:rPr>
          <w:rFonts w:ascii="Calibri" w:hAnsi="Calibri" w:cs="Calibri"/>
          <w:color w:val="FF0000"/>
          <w:lang w:val="en-GB"/>
        </w:rPr>
      </w:pPr>
    </w:p>
    <w:p w14:paraId="2606C97C" w14:textId="3F839C7E" w:rsidR="00FD7D19" w:rsidRDefault="00FD7D19" w:rsidP="00FD7D19">
      <w:pPr>
        <w:rPr>
          <w:rFonts w:ascii="Calibri" w:hAnsi="Calibri" w:cs="Calibri"/>
          <w:color w:val="FF0000"/>
          <w:lang w:val="en-GB"/>
        </w:rPr>
      </w:pPr>
      <w:r w:rsidRPr="00FD7D19">
        <w:rPr>
          <w:rFonts w:ascii="Calibri" w:hAnsi="Calibri" w:cs="Calibri"/>
          <w:color w:val="FF0000"/>
          <w:lang w:val="en-GB"/>
        </w:rPr>
        <w:t>Opinions on the</w:t>
      </w:r>
      <w:r w:rsidR="00774ECE">
        <w:rPr>
          <w:rFonts w:ascii="Calibri" w:hAnsi="Calibri" w:cs="Calibri"/>
          <w:color w:val="FF0000"/>
          <w:lang w:val="en-GB"/>
        </w:rPr>
        <w:t xml:space="preserve"> </w:t>
      </w:r>
      <w:r w:rsidRPr="00FD7D19">
        <w:rPr>
          <w:rFonts w:ascii="Calibri" w:hAnsi="Calibri" w:cs="Calibri"/>
          <w:color w:val="FF0000"/>
          <w:lang w:val="en-GB"/>
        </w:rPr>
        <w:t>effectiveness of regulation do vary. Some believe enforcement can be inconsistent, and that procedural focus sometimes overshadows resolution. The CIPD (2023) notes delays in tribunal processes and challenges for smaller organisations, but in our Trust, adhering to the ACAS Code of Practice (ACAS, 2015) in grievances demonstrates to staff that their concerns are taken seriously. This fosters trust and prevents escalation, protecting both morale and resources.</w:t>
      </w:r>
    </w:p>
    <w:p w14:paraId="4DA52CBE" w14:textId="77777777" w:rsidR="00E67510" w:rsidRPr="00FD7D19" w:rsidRDefault="00E67510" w:rsidP="00FD7D19">
      <w:pPr>
        <w:rPr>
          <w:rFonts w:ascii="Calibri" w:hAnsi="Calibri" w:cs="Calibri"/>
          <w:color w:val="FF0000"/>
          <w:lang w:val="en-GB"/>
        </w:rPr>
      </w:pPr>
    </w:p>
    <w:p w14:paraId="6D6C644C" w14:textId="77777777" w:rsidR="00FD7D19" w:rsidRDefault="00FD7D19" w:rsidP="00FD7D19">
      <w:pPr>
        <w:rPr>
          <w:rFonts w:ascii="Calibri" w:hAnsi="Calibri" w:cs="Calibri"/>
          <w:color w:val="FF0000"/>
          <w:lang w:val="en-GB"/>
        </w:rPr>
      </w:pPr>
      <w:r w:rsidRPr="00FD7D19">
        <w:rPr>
          <w:rFonts w:ascii="Calibri" w:hAnsi="Calibri" w:cs="Calibri"/>
          <w:color w:val="FF0000"/>
          <w:lang w:val="en-GB"/>
        </w:rPr>
        <w:t>Finally, employment law evolves with case law, government priorities, and societal expectations. Staying informed allows us, as People Management professionals, to be credible advisers, shaping policies that balance empathy with compliance.</w:t>
      </w:r>
    </w:p>
    <w:p w14:paraId="57F2A12C" w14:textId="77777777" w:rsidR="00E67510" w:rsidRPr="00FD7D19" w:rsidRDefault="00E67510" w:rsidP="00FD7D19">
      <w:pPr>
        <w:rPr>
          <w:rFonts w:ascii="Calibri" w:hAnsi="Calibri" w:cs="Calibri"/>
          <w:color w:val="FF0000"/>
          <w:lang w:val="en-GB"/>
        </w:rPr>
      </w:pPr>
    </w:p>
    <w:p w14:paraId="7250B809" w14:textId="77777777" w:rsidR="00FD7D19" w:rsidRPr="00FD7D19" w:rsidRDefault="00FD7D19" w:rsidP="00FD7D19">
      <w:pPr>
        <w:rPr>
          <w:rFonts w:ascii="Calibri" w:hAnsi="Calibri" w:cs="Calibri"/>
          <w:color w:val="FF0000"/>
          <w:lang w:val="en-GB"/>
        </w:rPr>
      </w:pPr>
      <w:r w:rsidRPr="00FD7D19">
        <w:rPr>
          <w:rFonts w:ascii="Calibri" w:hAnsi="Calibri" w:cs="Calibri"/>
          <w:color w:val="FF0000"/>
          <w:lang w:val="en-GB"/>
        </w:rPr>
        <w:t>In summary, while regulatory tasks can seem transactional, they are the foundation of a positive employee experience. In the NHS, where fairness, dignity, and accountability are paramount, a balanced approach recognises that compliance is not separate from improving the employment experience — it is what makes that experience sustainable.</w:t>
      </w:r>
    </w:p>
    <w:p w14:paraId="0D3C4F5B" w14:textId="77777777" w:rsidR="0071492E" w:rsidRPr="00880346" w:rsidRDefault="0071492E" w:rsidP="00D92B40">
      <w:pPr>
        <w:rPr>
          <w:rFonts w:ascii="Calibri" w:hAnsi="Calibri" w:cs="Calibri"/>
          <w:color w:val="FF0000"/>
        </w:rPr>
      </w:pPr>
    </w:p>
    <w:p w14:paraId="4D642857" w14:textId="77777777" w:rsidR="00B168AB" w:rsidRPr="00CE7B88" w:rsidRDefault="00B168AB" w:rsidP="00212DA7">
      <w:pPr>
        <w:rPr>
          <w:color w:val="FF0000"/>
        </w:rPr>
      </w:pPr>
    </w:p>
    <w:p w14:paraId="5B2BA603" w14:textId="5AA1E5B5" w:rsidR="00B168AB" w:rsidRDefault="00B35AFA" w:rsidP="00212DA7">
      <w:pPr>
        <w:rPr>
          <w:color w:val="FF0000"/>
        </w:rPr>
      </w:pPr>
      <w:r w:rsidRPr="002A0631">
        <w:rPr>
          <w:rFonts w:ascii="Calibri" w:hAnsi="Calibri" w:cs="Calibri"/>
          <w:lang w:val="en-GB"/>
        </w:rPr>
        <w:t>Warm regards,</w:t>
      </w:r>
      <w:r w:rsidRPr="002A0631">
        <w:rPr>
          <w:rFonts w:ascii="Calibri" w:hAnsi="Calibri" w:cs="Calibri"/>
          <w:lang w:val="en-GB"/>
        </w:rPr>
        <w:br/>
        <w:t>Melanie Warne</w:t>
      </w:r>
      <w:r w:rsidRPr="002A0631">
        <w:rPr>
          <w:rFonts w:ascii="Calibri" w:hAnsi="Calibri" w:cs="Calibri"/>
          <w:lang w:val="en-GB"/>
        </w:rPr>
        <w:br/>
      </w:r>
    </w:p>
    <w:p w14:paraId="3BE6A829" w14:textId="77777777" w:rsidR="00C9555C" w:rsidRDefault="00C9555C" w:rsidP="00212DA7">
      <w:pPr>
        <w:rPr>
          <w:color w:val="FF0000"/>
        </w:rPr>
      </w:pPr>
    </w:p>
    <w:p w14:paraId="532E913E" w14:textId="062BC8A8" w:rsidR="00B168AB" w:rsidRPr="00FB1D69" w:rsidRDefault="00B168AB" w:rsidP="00212DA7">
      <w:pPr>
        <w:rPr>
          <w:rFonts w:ascii="Calibri" w:hAnsi="Calibri" w:cs="Calibri"/>
          <w:b/>
          <w:bCs/>
        </w:rPr>
      </w:pPr>
      <w:r w:rsidRPr="00FB1D69">
        <w:rPr>
          <w:rFonts w:ascii="Calibri" w:hAnsi="Calibri" w:cs="Calibri"/>
          <w:b/>
          <w:bCs/>
        </w:rPr>
        <w:t>AC 1.2</w:t>
      </w:r>
    </w:p>
    <w:p w14:paraId="32B62C61" w14:textId="77777777" w:rsidR="00EA6780" w:rsidRPr="00FB1D69" w:rsidRDefault="00EA6780" w:rsidP="00212DA7"/>
    <w:p w14:paraId="02EC5AA1" w14:textId="77777777" w:rsidR="002A0631" w:rsidRPr="002A0631" w:rsidRDefault="002A0631" w:rsidP="002A0631">
      <w:pPr>
        <w:rPr>
          <w:rFonts w:ascii="Calibri" w:hAnsi="Calibri" w:cs="Calibri"/>
          <w:lang w:val="en-GB"/>
        </w:rPr>
      </w:pPr>
      <w:r w:rsidRPr="002A0631">
        <w:rPr>
          <w:rFonts w:ascii="Calibri" w:hAnsi="Calibri" w:cs="Calibri"/>
          <w:b/>
          <w:bCs/>
          <w:lang w:val="en-GB"/>
        </w:rPr>
        <w:t>Subject: Legal Briefing – The Ongoing Relevance of ECJ Judgments Post-Brexit</w:t>
      </w:r>
    </w:p>
    <w:p w14:paraId="405D8DE8" w14:textId="77777777" w:rsidR="002A0631" w:rsidRDefault="002A0631" w:rsidP="002A0631">
      <w:pPr>
        <w:rPr>
          <w:rFonts w:ascii="Calibri" w:hAnsi="Calibri" w:cs="Calibri"/>
          <w:lang w:val="en-GB"/>
        </w:rPr>
      </w:pPr>
      <w:r w:rsidRPr="002A0631">
        <w:rPr>
          <w:rFonts w:ascii="Calibri" w:hAnsi="Calibri" w:cs="Calibri"/>
          <w:lang w:val="en-GB"/>
        </w:rPr>
        <w:t>Hi Charles,</w:t>
      </w:r>
    </w:p>
    <w:p w14:paraId="1072499E" w14:textId="77777777" w:rsidR="002A0631" w:rsidRPr="002A0631" w:rsidRDefault="002A0631" w:rsidP="002A0631">
      <w:pPr>
        <w:rPr>
          <w:rFonts w:ascii="Calibri" w:hAnsi="Calibri" w:cs="Calibri"/>
          <w:lang w:val="en-GB"/>
        </w:rPr>
      </w:pPr>
    </w:p>
    <w:p w14:paraId="6019D8B2" w14:textId="77777777" w:rsidR="002A0631" w:rsidRDefault="002A0631" w:rsidP="002A0631">
      <w:pPr>
        <w:rPr>
          <w:rFonts w:ascii="Calibri" w:hAnsi="Calibri" w:cs="Calibri"/>
          <w:lang w:val="en-GB"/>
        </w:rPr>
      </w:pPr>
      <w:r w:rsidRPr="002A0631">
        <w:rPr>
          <w:rFonts w:ascii="Calibri" w:hAnsi="Calibri" w:cs="Calibri"/>
          <w:lang w:val="en-GB"/>
        </w:rPr>
        <w:t>Thanks for your question about the current standing of European Court of Justice (ECJ) judgments in the context of UK employment law post-Brexit. This remains an important issue, particularly as many employment rights originally derived from EU legislation.</w:t>
      </w:r>
    </w:p>
    <w:p w14:paraId="2050BC83" w14:textId="77777777" w:rsidR="002A0631" w:rsidRPr="002A0631" w:rsidRDefault="002A0631" w:rsidP="002A0631">
      <w:pPr>
        <w:rPr>
          <w:rFonts w:ascii="Calibri" w:hAnsi="Calibri" w:cs="Calibri"/>
          <w:lang w:val="en-GB"/>
        </w:rPr>
      </w:pPr>
    </w:p>
    <w:p w14:paraId="5A9B0638" w14:textId="0A4BE4D3" w:rsidR="002A0631" w:rsidRDefault="002A0631" w:rsidP="002A0631">
      <w:pPr>
        <w:rPr>
          <w:rFonts w:ascii="Calibri" w:hAnsi="Calibri" w:cs="Calibri"/>
          <w:lang w:val="en-GB"/>
        </w:rPr>
      </w:pPr>
      <w:r w:rsidRPr="002A0631">
        <w:rPr>
          <w:rFonts w:ascii="Calibri" w:hAnsi="Calibri" w:cs="Calibri"/>
          <w:lang w:val="en-GB"/>
        </w:rPr>
        <w:lastRenderedPageBreak/>
        <w:t xml:space="preserve">From 1973 until the end of the transition period in 2020, UK courts—including Employment Tribunals—were required to follow ECJ decisions when interpreting EU law. During that time, a wide body of case law was established, significantly influencing areas like working time, discrimination law, and the Transfer of Undertakings (Protection of Employment) Regulations (TUPE). For instance, the ECJ decision in </w:t>
      </w:r>
      <w:r w:rsidRPr="002A0631">
        <w:rPr>
          <w:rFonts w:ascii="Calibri" w:hAnsi="Calibri" w:cs="Calibri"/>
          <w:i/>
          <w:iCs/>
          <w:lang w:val="en-GB"/>
        </w:rPr>
        <w:t>Lock v British Gas</w:t>
      </w:r>
      <w:r w:rsidRPr="002A0631">
        <w:rPr>
          <w:rFonts w:ascii="Calibri" w:hAnsi="Calibri" w:cs="Calibri"/>
          <w:lang w:val="en-GB"/>
        </w:rPr>
        <w:t>, which clarified how commission should be included in holiday pay, still holds weight today (Daniels, 2022; CIPD, 2024).</w:t>
      </w:r>
    </w:p>
    <w:p w14:paraId="031FBDE2" w14:textId="77777777" w:rsidR="002A0631" w:rsidRPr="002A0631" w:rsidRDefault="002A0631" w:rsidP="002A0631">
      <w:pPr>
        <w:rPr>
          <w:rFonts w:ascii="Calibri" w:hAnsi="Calibri" w:cs="Calibri"/>
          <w:lang w:val="en-GB"/>
        </w:rPr>
      </w:pPr>
    </w:p>
    <w:p w14:paraId="084A7F38" w14:textId="77777777" w:rsidR="002A0631" w:rsidRPr="002A0631" w:rsidRDefault="002A0631" w:rsidP="002A0631">
      <w:pPr>
        <w:rPr>
          <w:rFonts w:ascii="Calibri" w:hAnsi="Calibri" w:cs="Calibri"/>
          <w:lang w:val="en-GB"/>
        </w:rPr>
      </w:pPr>
      <w:r w:rsidRPr="002A0631">
        <w:rPr>
          <w:rFonts w:ascii="Calibri" w:hAnsi="Calibri" w:cs="Calibri"/>
          <w:lang w:val="en-GB"/>
        </w:rPr>
        <w:t>Following the UK’s full exit from the EU, the Retained EU Law (Revocation and Reform) Act 2023 came into effect. This legislation allows much of the previous EU-derived law to continue unless explicitly repealed or modified by the UK government (Armstrong and Taylor, 2023). Key retained elements include:</w:t>
      </w:r>
    </w:p>
    <w:p w14:paraId="2CFF37E6" w14:textId="3494C51C" w:rsidR="002A0631" w:rsidRPr="002A0631" w:rsidRDefault="002A0631" w:rsidP="00CF06BB">
      <w:pPr>
        <w:numPr>
          <w:ilvl w:val="0"/>
          <w:numId w:val="4"/>
        </w:numPr>
        <w:rPr>
          <w:rFonts w:ascii="Calibri" w:hAnsi="Calibri" w:cs="Calibri"/>
          <w:lang w:val="en-GB"/>
        </w:rPr>
      </w:pPr>
      <w:r w:rsidRPr="002A0631">
        <w:rPr>
          <w:rFonts w:ascii="Calibri" w:hAnsi="Calibri" w:cs="Calibri"/>
          <w:lang w:val="en-GB"/>
        </w:rPr>
        <w:t>The 12</w:t>
      </w:r>
      <w:r>
        <w:rPr>
          <w:rFonts w:ascii="Calibri" w:hAnsi="Calibri" w:cs="Calibri"/>
          <w:lang w:val="en-GB"/>
        </w:rPr>
        <w:t>.07</w:t>
      </w:r>
      <w:r w:rsidRPr="002A0631">
        <w:rPr>
          <w:rFonts w:ascii="Calibri" w:hAnsi="Calibri" w:cs="Calibri"/>
          <w:lang w:val="en-GB"/>
        </w:rPr>
        <w:t>% holiday accrual method for casual and irregular workers</w:t>
      </w:r>
    </w:p>
    <w:p w14:paraId="56104101" w14:textId="77777777" w:rsidR="002A0631" w:rsidRPr="002A0631" w:rsidRDefault="002A0631" w:rsidP="00CF06BB">
      <w:pPr>
        <w:numPr>
          <w:ilvl w:val="0"/>
          <w:numId w:val="4"/>
        </w:numPr>
        <w:rPr>
          <w:rFonts w:ascii="Calibri" w:hAnsi="Calibri" w:cs="Calibri"/>
          <w:lang w:val="en-GB"/>
        </w:rPr>
      </w:pPr>
      <w:r w:rsidRPr="002A0631">
        <w:rPr>
          <w:rFonts w:ascii="Calibri" w:hAnsi="Calibri" w:cs="Calibri"/>
          <w:lang w:val="en-GB"/>
        </w:rPr>
        <w:t>Employer obligations for working time records</w:t>
      </w:r>
    </w:p>
    <w:p w14:paraId="489AA405" w14:textId="77777777" w:rsidR="002A0631" w:rsidRPr="002A0631" w:rsidRDefault="002A0631" w:rsidP="00CF06BB">
      <w:pPr>
        <w:numPr>
          <w:ilvl w:val="0"/>
          <w:numId w:val="4"/>
        </w:numPr>
        <w:rPr>
          <w:rFonts w:ascii="Calibri" w:hAnsi="Calibri" w:cs="Calibri"/>
          <w:lang w:val="en-GB"/>
        </w:rPr>
      </w:pPr>
      <w:r w:rsidRPr="002A0631">
        <w:rPr>
          <w:rFonts w:ascii="Calibri" w:hAnsi="Calibri" w:cs="Calibri"/>
          <w:lang w:val="en-GB"/>
        </w:rPr>
        <w:t>Adjusted TUPE consultation protocols</w:t>
      </w:r>
    </w:p>
    <w:p w14:paraId="6F9339CB" w14:textId="77777777" w:rsidR="002A0631" w:rsidRDefault="002A0631" w:rsidP="00CF06BB">
      <w:pPr>
        <w:numPr>
          <w:ilvl w:val="0"/>
          <w:numId w:val="4"/>
        </w:numPr>
        <w:rPr>
          <w:rFonts w:ascii="Calibri" w:hAnsi="Calibri" w:cs="Calibri"/>
          <w:lang w:val="en-GB"/>
        </w:rPr>
      </w:pPr>
      <w:r w:rsidRPr="002A0631">
        <w:rPr>
          <w:rFonts w:ascii="Calibri" w:hAnsi="Calibri" w:cs="Calibri"/>
          <w:lang w:val="en-GB"/>
        </w:rPr>
        <w:t>Definitions of “normal pay” during statutory leave (Personnel Today, 2024)</w:t>
      </w:r>
    </w:p>
    <w:p w14:paraId="45110AE1" w14:textId="77777777" w:rsidR="002A0631" w:rsidRPr="002A0631" w:rsidRDefault="002A0631" w:rsidP="002A0631">
      <w:pPr>
        <w:ind w:left="360"/>
        <w:rPr>
          <w:rFonts w:ascii="Calibri" w:hAnsi="Calibri" w:cs="Calibri"/>
          <w:lang w:val="en-GB"/>
        </w:rPr>
      </w:pPr>
    </w:p>
    <w:p w14:paraId="7E1D02C0" w14:textId="77777777" w:rsidR="002A0631" w:rsidRDefault="002A0631" w:rsidP="002A0631">
      <w:pPr>
        <w:rPr>
          <w:rFonts w:ascii="Calibri" w:hAnsi="Calibri" w:cs="Calibri"/>
          <w:lang w:val="en-GB"/>
        </w:rPr>
      </w:pPr>
      <w:r w:rsidRPr="002A0631">
        <w:rPr>
          <w:rFonts w:ascii="Calibri" w:hAnsi="Calibri" w:cs="Calibri"/>
          <w:lang w:val="en-GB"/>
        </w:rPr>
        <w:t>As of January 2024, ECJ rulings are no longer binding on UK courts. However, judges may still take them into account where they offer useful guidance. The Employment Tribunal system can continue to refer questions of legal significance up to the Court of Appeal or UK Supreme Court. This mechanism maintains consistency while offering more autonomy to the UK judiciary (Daniels, 2022; CIPD, 2024).</w:t>
      </w:r>
    </w:p>
    <w:p w14:paraId="0ED0CA16" w14:textId="77777777" w:rsidR="002A0631" w:rsidRPr="002A0631" w:rsidRDefault="002A0631" w:rsidP="002A0631">
      <w:pPr>
        <w:rPr>
          <w:rFonts w:ascii="Calibri" w:hAnsi="Calibri" w:cs="Calibri"/>
          <w:lang w:val="en-GB"/>
        </w:rPr>
      </w:pPr>
    </w:p>
    <w:p w14:paraId="39FF7011" w14:textId="77777777" w:rsidR="002A0631" w:rsidRDefault="002A0631" w:rsidP="002A0631">
      <w:pPr>
        <w:rPr>
          <w:rFonts w:ascii="Calibri" w:hAnsi="Calibri" w:cs="Calibri"/>
          <w:lang w:val="en-GB"/>
        </w:rPr>
      </w:pPr>
      <w:r w:rsidRPr="002A0631">
        <w:rPr>
          <w:rFonts w:ascii="Calibri" w:hAnsi="Calibri" w:cs="Calibri"/>
          <w:lang w:val="en-GB"/>
        </w:rPr>
        <w:t>It’s important to note that domestic courts are no longer obliged to follow ECJ rulings if they conflict with UK statutory interpretation. From now on, UK courts may diverge from earlier EU decisions, particularly in areas such as direct age discrimination justifications or TUPE application scope (HR Magazine, 2024).</w:t>
      </w:r>
    </w:p>
    <w:p w14:paraId="4FCD0841" w14:textId="77777777" w:rsidR="002A0631" w:rsidRPr="002A0631" w:rsidRDefault="002A0631" w:rsidP="002A0631">
      <w:pPr>
        <w:rPr>
          <w:rFonts w:ascii="Calibri" w:hAnsi="Calibri" w:cs="Calibri"/>
          <w:lang w:val="en-GB"/>
        </w:rPr>
      </w:pPr>
    </w:p>
    <w:p w14:paraId="177B20CF" w14:textId="77777777" w:rsidR="002A0631" w:rsidRPr="002A0631" w:rsidRDefault="002A0631" w:rsidP="002A0631">
      <w:pPr>
        <w:rPr>
          <w:rFonts w:ascii="Calibri" w:hAnsi="Calibri" w:cs="Calibri"/>
          <w:lang w:val="en-GB"/>
        </w:rPr>
      </w:pPr>
      <w:r w:rsidRPr="002A0631">
        <w:rPr>
          <w:rFonts w:ascii="Calibri" w:hAnsi="Calibri" w:cs="Calibri"/>
          <w:lang w:val="en-GB"/>
        </w:rPr>
        <w:t>In summary:</w:t>
      </w:r>
    </w:p>
    <w:p w14:paraId="69A65680" w14:textId="77777777" w:rsidR="002A0631" w:rsidRPr="002A0631" w:rsidRDefault="002A0631" w:rsidP="00CF06BB">
      <w:pPr>
        <w:numPr>
          <w:ilvl w:val="0"/>
          <w:numId w:val="5"/>
        </w:numPr>
        <w:rPr>
          <w:rFonts w:ascii="Calibri" w:hAnsi="Calibri" w:cs="Calibri"/>
          <w:lang w:val="en-GB"/>
        </w:rPr>
      </w:pPr>
      <w:r w:rsidRPr="002A0631">
        <w:rPr>
          <w:rFonts w:ascii="Calibri" w:hAnsi="Calibri" w:cs="Calibri"/>
          <w:lang w:val="en-GB"/>
        </w:rPr>
        <w:t>ECJ decisions made prior to 2021 remain influential but are no longer binding</w:t>
      </w:r>
    </w:p>
    <w:p w14:paraId="2D515A45" w14:textId="77777777" w:rsidR="002A0631" w:rsidRPr="002A0631" w:rsidRDefault="002A0631" w:rsidP="00CF06BB">
      <w:pPr>
        <w:numPr>
          <w:ilvl w:val="0"/>
          <w:numId w:val="5"/>
        </w:numPr>
        <w:rPr>
          <w:rFonts w:ascii="Calibri" w:hAnsi="Calibri" w:cs="Calibri"/>
          <w:lang w:val="en-GB"/>
        </w:rPr>
      </w:pPr>
      <w:r w:rsidRPr="002A0631">
        <w:rPr>
          <w:rFonts w:ascii="Calibri" w:hAnsi="Calibri" w:cs="Calibri"/>
          <w:lang w:val="en-GB"/>
        </w:rPr>
        <w:t>UK courts are now the final arbiters of employment law and may reinterpret retained EU provisions</w:t>
      </w:r>
    </w:p>
    <w:p w14:paraId="2500E6E1" w14:textId="77777777" w:rsidR="002A0631" w:rsidRPr="002A0631" w:rsidRDefault="002A0631" w:rsidP="00CF06BB">
      <w:pPr>
        <w:numPr>
          <w:ilvl w:val="0"/>
          <w:numId w:val="5"/>
        </w:numPr>
        <w:rPr>
          <w:rFonts w:ascii="Calibri" w:hAnsi="Calibri" w:cs="Calibri"/>
          <w:lang w:val="en-GB"/>
        </w:rPr>
      </w:pPr>
      <w:r w:rsidRPr="002A0631">
        <w:rPr>
          <w:rFonts w:ascii="Calibri" w:hAnsi="Calibri" w:cs="Calibri"/>
          <w:lang w:val="en-GB"/>
        </w:rPr>
        <w:t>Employment Tribunals still play a vital role in enforcing regulations and referring complex questions</w:t>
      </w:r>
    </w:p>
    <w:p w14:paraId="2EA6091A" w14:textId="77777777" w:rsidR="002A0631" w:rsidRDefault="002A0631" w:rsidP="00CF06BB">
      <w:pPr>
        <w:numPr>
          <w:ilvl w:val="0"/>
          <w:numId w:val="5"/>
        </w:numPr>
        <w:rPr>
          <w:rFonts w:ascii="Calibri" w:hAnsi="Calibri" w:cs="Calibri"/>
          <w:lang w:val="en-GB"/>
        </w:rPr>
      </w:pPr>
      <w:r w:rsidRPr="002A0631">
        <w:rPr>
          <w:rFonts w:ascii="Calibri" w:hAnsi="Calibri" w:cs="Calibri"/>
          <w:lang w:val="en-GB"/>
        </w:rPr>
        <w:t>The UK legal system is beginning to establish its own trajectory while respecting relevant ECJ precedents</w:t>
      </w:r>
    </w:p>
    <w:p w14:paraId="4A1F2824" w14:textId="77777777" w:rsidR="002A0631" w:rsidRPr="002A0631" w:rsidRDefault="002A0631" w:rsidP="00CF06BB">
      <w:pPr>
        <w:numPr>
          <w:ilvl w:val="0"/>
          <w:numId w:val="5"/>
        </w:numPr>
        <w:rPr>
          <w:rFonts w:ascii="Calibri" w:hAnsi="Calibri" w:cs="Calibri"/>
          <w:lang w:val="en-GB"/>
        </w:rPr>
      </w:pPr>
    </w:p>
    <w:p w14:paraId="32B7E93D" w14:textId="77777777" w:rsidR="002A0631" w:rsidRDefault="002A0631" w:rsidP="002A0631">
      <w:pPr>
        <w:rPr>
          <w:rFonts w:ascii="Calibri" w:hAnsi="Calibri" w:cs="Calibri"/>
          <w:lang w:val="en-GB"/>
        </w:rPr>
      </w:pPr>
      <w:r w:rsidRPr="002A0631">
        <w:rPr>
          <w:rFonts w:ascii="Calibri" w:hAnsi="Calibri" w:cs="Calibri"/>
          <w:lang w:val="en-GB"/>
        </w:rPr>
        <w:t>Please let me know if you'd like to explore any of these points further or review specific cases.</w:t>
      </w:r>
    </w:p>
    <w:p w14:paraId="33365DB2" w14:textId="77777777" w:rsidR="002A0631" w:rsidRPr="002A0631" w:rsidRDefault="002A0631" w:rsidP="002A0631">
      <w:pPr>
        <w:rPr>
          <w:rFonts w:ascii="Calibri" w:hAnsi="Calibri" w:cs="Calibri"/>
          <w:lang w:val="en-GB"/>
        </w:rPr>
      </w:pPr>
    </w:p>
    <w:p w14:paraId="547B84E1" w14:textId="77777777" w:rsidR="002A0631" w:rsidRPr="002A0631" w:rsidRDefault="002A0631" w:rsidP="002A0631">
      <w:pPr>
        <w:rPr>
          <w:rFonts w:ascii="Calibri" w:hAnsi="Calibri" w:cs="Calibri"/>
          <w:lang w:val="en-GB"/>
        </w:rPr>
      </w:pPr>
      <w:r w:rsidRPr="002A0631">
        <w:rPr>
          <w:rFonts w:ascii="Calibri" w:hAnsi="Calibri" w:cs="Calibri"/>
          <w:lang w:val="en-GB"/>
        </w:rPr>
        <w:t>Best regards,</w:t>
      </w:r>
      <w:r w:rsidRPr="002A0631">
        <w:rPr>
          <w:rFonts w:ascii="Calibri" w:hAnsi="Calibri" w:cs="Calibri"/>
          <w:lang w:val="en-GB"/>
        </w:rPr>
        <w:br/>
        <w:t>Melanie</w:t>
      </w:r>
    </w:p>
    <w:p w14:paraId="74B6E587" w14:textId="42D085D1" w:rsidR="00B406E7" w:rsidRPr="00B406E7" w:rsidRDefault="00B406E7" w:rsidP="00F86F3C">
      <w:pPr>
        <w:rPr>
          <w:rFonts w:ascii="Calibri" w:hAnsi="Calibri" w:cs="Calibri"/>
          <w:lang w:val="en-GB"/>
        </w:rPr>
      </w:pPr>
    </w:p>
    <w:p w14:paraId="37B339AE" w14:textId="7B04B7C5" w:rsidR="00DF23A1" w:rsidRPr="006C2AB1" w:rsidRDefault="00DF23A1" w:rsidP="00212DA7">
      <w:pPr>
        <w:rPr>
          <w:rFonts w:ascii="Calibri" w:hAnsi="Calibri" w:cs="Calibri"/>
        </w:rPr>
      </w:pPr>
      <w:r w:rsidRPr="006C2AB1">
        <w:rPr>
          <w:rFonts w:ascii="Calibri" w:hAnsi="Calibri" w:cs="Calibri"/>
        </w:rPr>
        <w:t>AC 2.1</w:t>
      </w:r>
    </w:p>
    <w:p w14:paraId="5BEAE1A9" w14:textId="77777777" w:rsidR="007E570D" w:rsidRPr="002A0631" w:rsidRDefault="007E570D" w:rsidP="00DF23A1">
      <w:pPr>
        <w:rPr>
          <w:rFonts w:ascii="Calibri" w:hAnsi="Calibri" w:cs="Calibri"/>
          <w:lang w:val="en-GB"/>
        </w:rPr>
      </w:pPr>
    </w:p>
    <w:p w14:paraId="6A80E526" w14:textId="77777777" w:rsidR="002A0631" w:rsidRPr="002A0631" w:rsidRDefault="002A0631" w:rsidP="002A0631">
      <w:pPr>
        <w:rPr>
          <w:rFonts w:ascii="Calibri" w:hAnsi="Calibri" w:cs="Calibri"/>
          <w:lang w:val="en-GB"/>
        </w:rPr>
      </w:pPr>
      <w:r w:rsidRPr="002A0631">
        <w:rPr>
          <w:rFonts w:ascii="Calibri" w:hAnsi="Calibri" w:cs="Calibri"/>
          <w:b/>
          <w:bCs/>
          <w:lang w:val="en-GB"/>
        </w:rPr>
        <w:t>Subject: Holiday Pay Entitlements for Casual and Bank Staff</w:t>
      </w:r>
    </w:p>
    <w:p w14:paraId="6DE3D3CB" w14:textId="77777777" w:rsidR="002A0631" w:rsidRDefault="002A0631" w:rsidP="002A0631">
      <w:pPr>
        <w:rPr>
          <w:rFonts w:ascii="Calibri" w:hAnsi="Calibri" w:cs="Calibri"/>
          <w:lang w:val="en-GB"/>
        </w:rPr>
      </w:pPr>
      <w:r w:rsidRPr="002A0631">
        <w:rPr>
          <w:rFonts w:ascii="Calibri" w:hAnsi="Calibri" w:cs="Calibri"/>
          <w:lang w:val="en-GB"/>
        </w:rPr>
        <w:t>Hi Charlie,</w:t>
      </w:r>
    </w:p>
    <w:p w14:paraId="0C9F2BC4" w14:textId="77777777" w:rsidR="002A0631" w:rsidRPr="002A0631" w:rsidRDefault="002A0631" w:rsidP="002A0631">
      <w:pPr>
        <w:rPr>
          <w:rFonts w:ascii="Calibri" w:hAnsi="Calibri" w:cs="Calibri"/>
          <w:lang w:val="en-GB"/>
        </w:rPr>
      </w:pPr>
    </w:p>
    <w:p w14:paraId="58410FA7"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Thanks for reaching out with your question about how holiday pay should be calculated for bank staff working on a casual or irregular basis. It’s really positive that you’re thinking ahead to make sure we’re handling this fairly and in line with current legal guidance — especially as casual working patterns can often create ambiguity.</w:t>
      </w:r>
    </w:p>
    <w:p w14:paraId="39FB4490" w14:textId="77777777" w:rsidR="002A0631" w:rsidRPr="00C9555C" w:rsidRDefault="002A0631" w:rsidP="002A0631">
      <w:pPr>
        <w:rPr>
          <w:rFonts w:ascii="Calibri" w:hAnsi="Calibri" w:cs="Calibri"/>
          <w:strike/>
          <w:lang w:val="en-GB"/>
        </w:rPr>
      </w:pPr>
    </w:p>
    <w:p w14:paraId="53024BB7"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 xml:space="preserve">Under the </w:t>
      </w:r>
      <w:r w:rsidRPr="00C9555C">
        <w:rPr>
          <w:rFonts w:ascii="Calibri" w:hAnsi="Calibri" w:cs="Calibri"/>
          <w:i/>
          <w:iCs/>
          <w:strike/>
          <w:lang w:val="en-GB"/>
        </w:rPr>
        <w:t>Working Time Regulations 1998</w:t>
      </w:r>
      <w:r w:rsidRPr="00C9555C">
        <w:rPr>
          <w:rFonts w:ascii="Calibri" w:hAnsi="Calibri" w:cs="Calibri"/>
          <w:strike/>
          <w:lang w:val="en-GB"/>
        </w:rPr>
        <w:t>, all workers are legally entitled to 5.6 weeks’ paid holiday per year, calculated pro rata. This includes bank staff, zero-hours employees, and agency workers who may not have a fixed schedule but still meet the definition of a worker due to the regularity of their assignments (ACAS, 2023).</w:t>
      </w:r>
    </w:p>
    <w:p w14:paraId="55F4E8E2" w14:textId="77777777" w:rsidR="002A0631" w:rsidRPr="00C9555C" w:rsidRDefault="002A0631" w:rsidP="002A0631">
      <w:pPr>
        <w:rPr>
          <w:rFonts w:ascii="Calibri" w:hAnsi="Calibri" w:cs="Calibri"/>
          <w:strike/>
          <w:lang w:val="en-GB"/>
        </w:rPr>
      </w:pPr>
    </w:p>
    <w:p w14:paraId="1A1F815A"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Where pay varies from week to week — as is often the case with bank staff — the law now requires us to use a 52-week reference period to calculate average earnings. This must exclude any weeks in which no work was performed. The calculation must also take into account all elements of regular remuneration — not just base pay. That means overtime, bonuses, and any additional payments that form a consistent part of their income must be included (CIPD, 2023; Daniels, 2022, Ch. 10).</w:t>
      </w:r>
    </w:p>
    <w:p w14:paraId="4FEE0653" w14:textId="77777777" w:rsidR="002A0631" w:rsidRPr="00C9555C" w:rsidRDefault="002A0631" w:rsidP="002A0631">
      <w:pPr>
        <w:rPr>
          <w:rFonts w:ascii="Calibri" w:hAnsi="Calibri" w:cs="Calibri"/>
          <w:strike/>
          <w:lang w:val="en-GB"/>
        </w:rPr>
      </w:pPr>
    </w:p>
    <w:p w14:paraId="45B21351"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 xml:space="preserve">An important area to flag is the practice of rolled-up holiday pay, where workers receive an enhanced hourly rate in lieu of paid leave. While this was once widely used for casual contracts, it is now deemed unlawful. The Courts and ACAS have confirmed that such practices can discourage workers from taking time off, defeating the purpose of holiday rights under the </w:t>
      </w:r>
      <w:r w:rsidRPr="00C9555C">
        <w:rPr>
          <w:rFonts w:ascii="Calibri" w:hAnsi="Calibri" w:cs="Calibri"/>
          <w:i/>
          <w:iCs/>
          <w:strike/>
          <w:lang w:val="en-GB"/>
        </w:rPr>
        <w:t>Working Time Directive</w:t>
      </w:r>
      <w:r w:rsidRPr="00C9555C">
        <w:rPr>
          <w:rFonts w:ascii="Calibri" w:hAnsi="Calibri" w:cs="Calibri"/>
          <w:strike/>
          <w:lang w:val="en-GB"/>
        </w:rPr>
        <w:t xml:space="preserve"> (Daniels, 2022; ACAS, 2023). Holiday pay must now be paid when leave is taken, not bundled into regular wages.</w:t>
      </w:r>
    </w:p>
    <w:p w14:paraId="2B2455F7" w14:textId="77777777" w:rsidR="002A0631" w:rsidRPr="00C9555C" w:rsidRDefault="002A0631" w:rsidP="002A0631">
      <w:pPr>
        <w:rPr>
          <w:rFonts w:ascii="Calibri" w:hAnsi="Calibri" w:cs="Calibri"/>
          <w:strike/>
          <w:lang w:val="en-GB"/>
        </w:rPr>
      </w:pPr>
    </w:p>
    <w:p w14:paraId="5B9BD80D"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To ensure compliance and fairness, I’d recommend:</w:t>
      </w:r>
    </w:p>
    <w:p w14:paraId="04BC4B76" w14:textId="77777777" w:rsidR="002A0631" w:rsidRPr="00C9555C" w:rsidRDefault="002A0631" w:rsidP="00CF06BB">
      <w:pPr>
        <w:numPr>
          <w:ilvl w:val="0"/>
          <w:numId w:val="6"/>
        </w:numPr>
        <w:rPr>
          <w:rFonts w:ascii="Calibri" w:hAnsi="Calibri" w:cs="Calibri"/>
          <w:strike/>
          <w:lang w:val="en-GB"/>
        </w:rPr>
      </w:pPr>
      <w:r w:rsidRPr="00C9555C">
        <w:rPr>
          <w:rFonts w:ascii="Calibri" w:hAnsi="Calibri" w:cs="Calibri"/>
          <w:strike/>
          <w:lang w:val="en-GB"/>
        </w:rPr>
        <w:t>Calculating holiday pay using the 52-week average of actual earnings.</w:t>
      </w:r>
    </w:p>
    <w:p w14:paraId="46A78E16" w14:textId="77777777" w:rsidR="002A0631" w:rsidRPr="00C9555C" w:rsidRDefault="002A0631" w:rsidP="00CF06BB">
      <w:pPr>
        <w:numPr>
          <w:ilvl w:val="0"/>
          <w:numId w:val="6"/>
        </w:numPr>
        <w:rPr>
          <w:rFonts w:ascii="Calibri" w:hAnsi="Calibri" w:cs="Calibri"/>
          <w:strike/>
          <w:lang w:val="en-GB"/>
        </w:rPr>
      </w:pPr>
      <w:r w:rsidRPr="00C9555C">
        <w:rPr>
          <w:rFonts w:ascii="Calibri" w:hAnsi="Calibri" w:cs="Calibri"/>
          <w:strike/>
          <w:lang w:val="en-GB"/>
        </w:rPr>
        <w:t>Making sure payslips clearly separate holiday pay from normal pay.</w:t>
      </w:r>
    </w:p>
    <w:p w14:paraId="2502BFE1" w14:textId="77777777" w:rsidR="002A0631" w:rsidRPr="00C9555C" w:rsidRDefault="002A0631" w:rsidP="00CF06BB">
      <w:pPr>
        <w:numPr>
          <w:ilvl w:val="0"/>
          <w:numId w:val="6"/>
        </w:numPr>
        <w:rPr>
          <w:rFonts w:ascii="Calibri" w:hAnsi="Calibri" w:cs="Calibri"/>
          <w:strike/>
          <w:lang w:val="en-GB"/>
        </w:rPr>
      </w:pPr>
      <w:r w:rsidRPr="00C9555C">
        <w:rPr>
          <w:rFonts w:ascii="Calibri" w:hAnsi="Calibri" w:cs="Calibri"/>
          <w:strike/>
          <w:lang w:val="en-GB"/>
        </w:rPr>
        <w:t>Communicating proactively with bank workers about their entitlement and encouraging them to take leave appropriately.</w:t>
      </w:r>
    </w:p>
    <w:p w14:paraId="7BA9EE82" w14:textId="77777777" w:rsidR="002A0631" w:rsidRPr="00C9555C" w:rsidRDefault="002A0631" w:rsidP="00CF06BB">
      <w:pPr>
        <w:numPr>
          <w:ilvl w:val="0"/>
          <w:numId w:val="6"/>
        </w:numPr>
        <w:rPr>
          <w:rFonts w:ascii="Calibri" w:hAnsi="Calibri" w:cs="Calibri"/>
          <w:strike/>
          <w:lang w:val="en-GB"/>
        </w:rPr>
      </w:pPr>
    </w:p>
    <w:p w14:paraId="7587E510" w14:textId="77777777" w:rsidR="002A0631" w:rsidRPr="00C9555C" w:rsidRDefault="002A0631" w:rsidP="002A0631">
      <w:pPr>
        <w:rPr>
          <w:rFonts w:ascii="Calibri" w:hAnsi="Calibri" w:cs="Calibri"/>
          <w:strike/>
          <w:lang w:val="en-GB"/>
        </w:rPr>
      </w:pPr>
      <w:r w:rsidRPr="00C9555C">
        <w:rPr>
          <w:rFonts w:ascii="Calibri" w:hAnsi="Calibri" w:cs="Calibri"/>
          <w:strike/>
          <w:lang w:val="en-GB"/>
        </w:rPr>
        <w:t>If it would be helpful, I can support a review of current practices or draft some clearer internal guidance. Getting this right not only ensures we meet our legal duties but also helps maintain morale and trust among our flexible workforce.</w:t>
      </w:r>
    </w:p>
    <w:p w14:paraId="6570B02D" w14:textId="77777777" w:rsidR="002A0631" w:rsidRPr="002A0631" w:rsidRDefault="002A0631" w:rsidP="002A0631">
      <w:pPr>
        <w:rPr>
          <w:rFonts w:ascii="Calibri" w:hAnsi="Calibri" w:cs="Calibri"/>
          <w:lang w:val="en-GB"/>
        </w:rPr>
      </w:pPr>
    </w:p>
    <w:p w14:paraId="0C9D5B20" w14:textId="3AF1D2FA" w:rsidR="005724C2" w:rsidRPr="00880346" w:rsidRDefault="0073350A" w:rsidP="005724C2">
      <w:pPr>
        <w:rPr>
          <w:rFonts w:ascii="Calibri" w:hAnsi="Calibri" w:cs="Calibri"/>
          <w:color w:val="FF0000"/>
        </w:rPr>
      </w:pPr>
      <w:r>
        <w:rPr>
          <w:rFonts w:ascii="Calibri" w:hAnsi="Calibri" w:cs="Calibri"/>
          <w:color w:val="FF0000"/>
        </w:rPr>
        <w:t>T</w:t>
      </w:r>
      <w:r w:rsidR="005724C2" w:rsidRPr="00880346">
        <w:rPr>
          <w:rFonts w:ascii="Calibri" w:hAnsi="Calibri" w:cs="Calibri"/>
          <w:color w:val="FF0000"/>
        </w:rPr>
        <w:t>hanks for getting in touch — this is a great question, and it’s important to approach it carefully to ensure we’re compliant with discrimination law, while also meeting the needs of the service.</w:t>
      </w:r>
    </w:p>
    <w:p w14:paraId="5B39F1B4" w14:textId="77777777" w:rsidR="00E67510" w:rsidRDefault="005724C2" w:rsidP="005724C2">
      <w:pPr>
        <w:rPr>
          <w:rFonts w:ascii="Calibri" w:hAnsi="Calibri" w:cs="Calibri"/>
          <w:color w:val="FF0000"/>
        </w:rPr>
      </w:pPr>
      <w:r w:rsidRPr="00880346">
        <w:rPr>
          <w:rFonts w:ascii="Calibri" w:hAnsi="Calibri" w:cs="Calibri"/>
          <w:color w:val="FF0000"/>
        </w:rPr>
        <w:t xml:space="preserve">Under the Equality Act 2010, specifying that a role must be carried out by a man or a woman would normally be considered direct discrimination on the basis of sex — which is unlawful in most cases. </w:t>
      </w:r>
    </w:p>
    <w:p w14:paraId="186467F2" w14:textId="77777777" w:rsidR="00E67510" w:rsidRDefault="00E67510" w:rsidP="005724C2">
      <w:pPr>
        <w:rPr>
          <w:rFonts w:ascii="Calibri" w:hAnsi="Calibri" w:cs="Calibri"/>
          <w:color w:val="FF0000"/>
        </w:rPr>
      </w:pPr>
    </w:p>
    <w:p w14:paraId="008B9DEF" w14:textId="2E53ADA9" w:rsidR="005724C2" w:rsidRPr="00880346" w:rsidRDefault="005724C2" w:rsidP="005724C2">
      <w:pPr>
        <w:rPr>
          <w:rFonts w:ascii="Calibri" w:hAnsi="Calibri" w:cs="Calibri"/>
          <w:color w:val="FF0000"/>
        </w:rPr>
      </w:pPr>
      <w:r w:rsidRPr="00880346">
        <w:rPr>
          <w:rFonts w:ascii="Calibri" w:hAnsi="Calibri" w:cs="Calibri"/>
          <w:color w:val="FF0000"/>
        </w:rPr>
        <w:t>However, there is a specific and narrow exception where a role has what’s known as an "occupational requirement".</w:t>
      </w:r>
      <w:r w:rsidR="00C9555C" w:rsidRPr="00C9555C">
        <w:rPr>
          <w:rFonts w:ascii="Calibri" w:hAnsi="Calibri" w:cs="Calibri"/>
          <w:color w:val="FF0000"/>
        </w:rPr>
        <w:t xml:space="preserve">  </w:t>
      </w:r>
      <w:r w:rsidRPr="00880346">
        <w:rPr>
          <w:rFonts w:ascii="Calibri" w:hAnsi="Calibri" w:cs="Calibri"/>
          <w:color w:val="FF0000"/>
        </w:rPr>
        <w:t xml:space="preserve">According to Daniels (2022), an occupational requirement allows an employer to lawfully treat someone differently — for example, stipulating a particular gender — if having that characteristic is </w:t>
      </w:r>
      <w:r w:rsidRPr="00880346">
        <w:rPr>
          <w:rFonts w:ascii="Calibri" w:hAnsi="Calibri" w:cs="Calibri"/>
          <w:i/>
          <w:iCs/>
          <w:color w:val="FF0000"/>
        </w:rPr>
        <w:t>essential</w:t>
      </w:r>
      <w:r w:rsidRPr="00880346">
        <w:rPr>
          <w:rFonts w:ascii="Calibri" w:hAnsi="Calibri" w:cs="Calibri"/>
          <w:color w:val="FF0000"/>
        </w:rPr>
        <w:t xml:space="preserve"> for the role, and if the requirement is a proportionate means of achieving a legitimate aim.</w:t>
      </w:r>
    </w:p>
    <w:p w14:paraId="427ABD0B" w14:textId="77777777" w:rsidR="00C9555C" w:rsidRPr="00C9555C" w:rsidRDefault="00C9555C" w:rsidP="005724C2">
      <w:pPr>
        <w:rPr>
          <w:rFonts w:ascii="Segoe UI Emoji" w:hAnsi="Segoe UI Emoji" w:cs="Segoe UI Emoji"/>
          <w:color w:val="FF0000"/>
        </w:rPr>
      </w:pPr>
    </w:p>
    <w:p w14:paraId="07368B81" w14:textId="4066CAB1" w:rsidR="005724C2" w:rsidRPr="00880346" w:rsidRDefault="005724C2" w:rsidP="005724C2">
      <w:pPr>
        <w:rPr>
          <w:rFonts w:ascii="Calibri" w:hAnsi="Calibri" w:cs="Calibri"/>
          <w:color w:val="FF0000"/>
        </w:rPr>
      </w:pPr>
      <w:r w:rsidRPr="00880346">
        <w:rPr>
          <w:rFonts w:ascii="Calibri" w:hAnsi="Calibri" w:cs="Calibri"/>
          <w:color w:val="FF0000"/>
        </w:rPr>
        <w:t xml:space="preserve">When </w:t>
      </w:r>
      <w:r w:rsidRPr="00880346">
        <w:rPr>
          <w:rFonts w:ascii="Calibri" w:hAnsi="Calibri" w:cs="Calibri"/>
          <w:i/>
          <w:iCs/>
          <w:color w:val="FF0000"/>
        </w:rPr>
        <w:t>can</w:t>
      </w:r>
      <w:r w:rsidRPr="00880346">
        <w:rPr>
          <w:rFonts w:ascii="Calibri" w:hAnsi="Calibri" w:cs="Calibri"/>
          <w:color w:val="FF0000"/>
        </w:rPr>
        <w:t xml:space="preserve"> you specify a gender?</w:t>
      </w:r>
    </w:p>
    <w:p w14:paraId="529297C0" w14:textId="77777777" w:rsidR="005724C2" w:rsidRPr="00880346" w:rsidRDefault="005724C2" w:rsidP="005724C2">
      <w:pPr>
        <w:rPr>
          <w:rFonts w:ascii="Calibri" w:hAnsi="Calibri" w:cs="Calibri"/>
          <w:color w:val="FF0000"/>
        </w:rPr>
      </w:pPr>
      <w:r w:rsidRPr="00880346">
        <w:rPr>
          <w:rFonts w:ascii="Calibri" w:hAnsi="Calibri" w:cs="Calibri"/>
          <w:color w:val="FF0000"/>
        </w:rPr>
        <w:t>In practice, this applies in very limited situations. A common example within the NHS is where personal care or dignity is involved. For instance:</w:t>
      </w:r>
    </w:p>
    <w:p w14:paraId="5CD47574" w14:textId="77777777" w:rsidR="005724C2" w:rsidRPr="00880346" w:rsidRDefault="005724C2" w:rsidP="005724C2">
      <w:pPr>
        <w:numPr>
          <w:ilvl w:val="0"/>
          <w:numId w:val="14"/>
        </w:numPr>
        <w:rPr>
          <w:rFonts w:ascii="Calibri" w:hAnsi="Calibri" w:cs="Calibri"/>
          <w:color w:val="FF0000"/>
        </w:rPr>
      </w:pPr>
      <w:r w:rsidRPr="00880346">
        <w:rPr>
          <w:rFonts w:ascii="Calibri" w:hAnsi="Calibri" w:cs="Calibri"/>
          <w:color w:val="FF0000"/>
        </w:rPr>
        <w:t>A role that requires intimate personal care for female patients may be restricted to female staff on privacy and decency grounds.</w:t>
      </w:r>
    </w:p>
    <w:p w14:paraId="5DAADD6C" w14:textId="77777777" w:rsidR="005724C2" w:rsidRPr="00880346" w:rsidRDefault="005724C2" w:rsidP="005724C2">
      <w:pPr>
        <w:numPr>
          <w:ilvl w:val="0"/>
          <w:numId w:val="14"/>
        </w:numPr>
        <w:rPr>
          <w:rFonts w:ascii="Calibri" w:hAnsi="Calibri" w:cs="Calibri"/>
          <w:color w:val="FF0000"/>
        </w:rPr>
      </w:pPr>
      <w:r w:rsidRPr="00880346">
        <w:rPr>
          <w:rFonts w:ascii="Calibri" w:hAnsi="Calibri" w:cs="Calibri"/>
          <w:color w:val="FF0000"/>
        </w:rPr>
        <w:t>Similarly, support roles in gender-specific refuge services (e.g. women’s domestic abuse shelters) may require the role-holder to be a woman.</w:t>
      </w:r>
    </w:p>
    <w:p w14:paraId="6BB36E92" w14:textId="77777777" w:rsidR="00C9555C" w:rsidRPr="00C9555C" w:rsidRDefault="00C9555C" w:rsidP="005724C2">
      <w:pPr>
        <w:rPr>
          <w:rFonts w:ascii="Calibri" w:hAnsi="Calibri" w:cs="Calibri"/>
          <w:color w:val="FF0000"/>
        </w:rPr>
      </w:pPr>
    </w:p>
    <w:p w14:paraId="7EFD62DB" w14:textId="79B3398A" w:rsidR="005724C2" w:rsidRPr="00880346" w:rsidRDefault="005724C2" w:rsidP="005724C2">
      <w:pPr>
        <w:rPr>
          <w:rFonts w:ascii="Calibri" w:hAnsi="Calibri" w:cs="Calibri"/>
          <w:color w:val="FF0000"/>
        </w:rPr>
      </w:pPr>
      <w:r w:rsidRPr="00880346">
        <w:rPr>
          <w:rFonts w:ascii="Calibri" w:hAnsi="Calibri" w:cs="Calibri"/>
          <w:color w:val="FF0000"/>
        </w:rPr>
        <w:t xml:space="preserve">The CIPD (2023) and ACAS guidance both stress that this exemption must be </w:t>
      </w:r>
      <w:r w:rsidRPr="00880346">
        <w:rPr>
          <w:rFonts w:ascii="Calibri" w:hAnsi="Calibri" w:cs="Calibri"/>
          <w:i/>
          <w:iCs/>
          <w:color w:val="FF0000"/>
        </w:rPr>
        <w:t>justified</w:t>
      </w:r>
      <w:r w:rsidRPr="00880346">
        <w:rPr>
          <w:rFonts w:ascii="Calibri" w:hAnsi="Calibri" w:cs="Calibri"/>
          <w:color w:val="FF0000"/>
        </w:rPr>
        <w:t xml:space="preserve"> and </w:t>
      </w:r>
      <w:r w:rsidRPr="00880346">
        <w:rPr>
          <w:rFonts w:ascii="Calibri" w:hAnsi="Calibri" w:cs="Calibri"/>
          <w:i/>
          <w:iCs/>
          <w:color w:val="FF0000"/>
        </w:rPr>
        <w:t>objectively assessed</w:t>
      </w:r>
      <w:r w:rsidRPr="00880346">
        <w:rPr>
          <w:rFonts w:ascii="Calibri" w:hAnsi="Calibri" w:cs="Calibri"/>
          <w:color w:val="FF0000"/>
        </w:rPr>
        <w:t xml:space="preserve">. It’s not enough to say, for example, that “the team is mostly women” or that “patients </w:t>
      </w:r>
      <w:r w:rsidRPr="00880346">
        <w:rPr>
          <w:rFonts w:ascii="Calibri" w:hAnsi="Calibri" w:cs="Calibri"/>
          <w:color w:val="FF0000"/>
        </w:rPr>
        <w:lastRenderedPageBreak/>
        <w:t>would feel more comfortable.” There needs to be a clear and evidence-based rationale that ties directly to the nature of the job.</w:t>
      </w:r>
    </w:p>
    <w:p w14:paraId="027E57D8" w14:textId="77777777" w:rsidR="00C9555C" w:rsidRPr="00C9555C" w:rsidRDefault="00C9555C" w:rsidP="005724C2">
      <w:pPr>
        <w:rPr>
          <w:rFonts w:ascii="Calibri" w:hAnsi="Calibri" w:cs="Calibri"/>
          <w:color w:val="FF0000"/>
        </w:rPr>
      </w:pPr>
    </w:p>
    <w:p w14:paraId="59C6579B" w14:textId="708DA43A" w:rsidR="005724C2" w:rsidRPr="00880346" w:rsidRDefault="005724C2" w:rsidP="005724C2">
      <w:pPr>
        <w:rPr>
          <w:rFonts w:ascii="Calibri" w:hAnsi="Calibri" w:cs="Calibri"/>
          <w:color w:val="FF0000"/>
        </w:rPr>
      </w:pPr>
      <w:r w:rsidRPr="00880346">
        <w:rPr>
          <w:rFonts w:ascii="Calibri" w:hAnsi="Calibri" w:cs="Calibri"/>
          <w:color w:val="FF0000"/>
        </w:rPr>
        <w:t xml:space="preserve">When </w:t>
      </w:r>
      <w:r w:rsidRPr="00880346">
        <w:rPr>
          <w:rFonts w:ascii="Calibri" w:hAnsi="Calibri" w:cs="Calibri"/>
          <w:i/>
          <w:iCs/>
          <w:color w:val="FF0000"/>
        </w:rPr>
        <w:t>can’t</w:t>
      </w:r>
      <w:r w:rsidRPr="00880346">
        <w:rPr>
          <w:rFonts w:ascii="Calibri" w:hAnsi="Calibri" w:cs="Calibri"/>
          <w:color w:val="FF0000"/>
        </w:rPr>
        <w:t xml:space="preserve"> you specify a gender?</w:t>
      </w:r>
    </w:p>
    <w:p w14:paraId="291BAC74" w14:textId="6A055AB6" w:rsidR="005724C2" w:rsidRPr="00880346" w:rsidRDefault="005724C2" w:rsidP="005724C2">
      <w:pPr>
        <w:rPr>
          <w:rFonts w:ascii="Calibri" w:hAnsi="Calibri" w:cs="Calibri"/>
          <w:color w:val="FF0000"/>
        </w:rPr>
      </w:pPr>
      <w:r w:rsidRPr="00880346">
        <w:rPr>
          <w:rFonts w:ascii="Calibri" w:hAnsi="Calibri" w:cs="Calibri"/>
          <w:color w:val="FF0000"/>
        </w:rPr>
        <w:t>You cannot justify a gender requirement:</w:t>
      </w:r>
    </w:p>
    <w:p w14:paraId="25B39B22" w14:textId="77777777" w:rsidR="005724C2" w:rsidRPr="00880346" w:rsidRDefault="005724C2" w:rsidP="005724C2">
      <w:pPr>
        <w:numPr>
          <w:ilvl w:val="0"/>
          <w:numId w:val="15"/>
        </w:numPr>
        <w:rPr>
          <w:rFonts w:ascii="Calibri" w:hAnsi="Calibri" w:cs="Calibri"/>
          <w:color w:val="FF0000"/>
        </w:rPr>
      </w:pPr>
      <w:r w:rsidRPr="00880346">
        <w:rPr>
          <w:rFonts w:ascii="Calibri" w:hAnsi="Calibri" w:cs="Calibri"/>
          <w:color w:val="FF0000"/>
        </w:rPr>
        <w:t>Based on assumptions about ability or personality traits (e.g. “women are more caring”).</w:t>
      </w:r>
    </w:p>
    <w:p w14:paraId="76533BA5" w14:textId="77777777" w:rsidR="005724C2" w:rsidRPr="00880346" w:rsidRDefault="005724C2" w:rsidP="005724C2">
      <w:pPr>
        <w:numPr>
          <w:ilvl w:val="0"/>
          <w:numId w:val="15"/>
        </w:numPr>
        <w:rPr>
          <w:rFonts w:ascii="Calibri" w:hAnsi="Calibri" w:cs="Calibri"/>
          <w:color w:val="FF0000"/>
        </w:rPr>
      </w:pPr>
      <w:r w:rsidRPr="00880346">
        <w:rPr>
          <w:rFonts w:ascii="Calibri" w:hAnsi="Calibri" w:cs="Calibri"/>
          <w:color w:val="FF0000"/>
        </w:rPr>
        <w:t>To balance team dynamics or customer preferences.</w:t>
      </w:r>
    </w:p>
    <w:p w14:paraId="7224100A" w14:textId="77777777" w:rsidR="005724C2" w:rsidRPr="00880346" w:rsidRDefault="005724C2" w:rsidP="005724C2">
      <w:pPr>
        <w:numPr>
          <w:ilvl w:val="0"/>
          <w:numId w:val="15"/>
        </w:numPr>
        <w:rPr>
          <w:rFonts w:ascii="Calibri" w:hAnsi="Calibri" w:cs="Calibri"/>
          <w:color w:val="FF0000"/>
        </w:rPr>
      </w:pPr>
      <w:r w:rsidRPr="00880346">
        <w:rPr>
          <w:rFonts w:ascii="Calibri" w:hAnsi="Calibri" w:cs="Calibri"/>
          <w:color w:val="FF0000"/>
        </w:rPr>
        <w:t>Because “that’s how it’s always been.”</w:t>
      </w:r>
    </w:p>
    <w:p w14:paraId="6C884D6F" w14:textId="77777777" w:rsidR="005724C2" w:rsidRPr="00880346" w:rsidRDefault="005724C2" w:rsidP="005724C2">
      <w:pPr>
        <w:rPr>
          <w:rFonts w:ascii="Calibri" w:hAnsi="Calibri" w:cs="Calibri"/>
          <w:color w:val="FF0000"/>
        </w:rPr>
      </w:pPr>
      <w:r w:rsidRPr="00880346">
        <w:rPr>
          <w:rFonts w:ascii="Calibri" w:hAnsi="Calibri" w:cs="Calibri"/>
          <w:color w:val="FF0000"/>
        </w:rPr>
        <w:t>Armstrong and Taylor (2023) reinforce that recruitment must be free from bias and based on objective criteria, with lawful justification only applied in line with the Equality Act.</w:t>
      </w:r>
    </w:p>
    <w:p w14:paraId="062AD496" w14:textId="77777777" w:rsidR="00C9555C" w:rsidRPr="00C9555C" w:rsidRDefault="00C9555C" w:rsidP="005724C2">
      <w:pPr>
        <w:rPr>
          <w:rFonts w:ascii="Calibri" w:hAnsi="Calibri" w:cs="Calibri"/>
          <w:color w:val="FF0000"/>
        </w:rPr>
      </w:pPr>
    </w:p>
    <w:p w14:paraId="440F9AA1" w14:textId="5FC791A2" w:rsidR="005724C2" w:rsidRPr="00880346" w:rsidRDefault="005724C2" w:rsidP="005724C2">
      <w:pPr>
        <w:rPr>
          <w:rFonts w:ascii="Calibri" w:hAnsi="Calibri" w:cs="Calibri"/>
          <w:color w:val="FF0000"/>
        </w:rPr>
      </w:pPr>
      <w:r w:rsidRPr="00880346">
        <w:rPr>
          <w:rFonts w:ascii="Calibri" w:hAnsi="Calibri" w:cs="Calibri"/>
          <w:color w:val="FF0000"/>
        </w:rPr>
        <w:t>Practical next steps</w:t>
      </w:r>
    </w:p>
    <w:p w14:paraId="25ABDD58" w14:textId="77777777" w:rsidR="005724C2" w:rsidRPr="00880346" w:rsidRDefault="005724C2" w:rsidP="005724C2">
      <w:pPr>
        <w:rPr>
          <w:rFonts w:ascii="Calibri" w:hAnsi="Calibri" w:cs="Calibri"/>
          <w:color w:val="FF0000"/>
        </w:rPr>
      </w:pPr>
      <w:r w:rsidRPr="00880346">
        <w:rPr>
          <w:rFonts w:ascii="Calibri" w:hAnsi="Calibri" w:cs="Calibri"/>
          <w:color w:val="FF0000"/>
        </w:rPr>
        <w:t>If you're considering applying an occupational requirement, I’d strongly recommend:</w:t>
      </w:r>
    </w:p>
    <w:p w14:paraId="4D573E0D" w14:textId="77777777" w:rsidR="005724C2" w:rsidRPr="00880346" w:rsidRDefault="005724C2" w:rsidP="005724C2">
      <w:pPr>
        <w:numPr>
          <w:ilvl w:val="0"/>
          <w:numId w:val="16"/>
        </w:numPr>
        <w:rPr>
          <w:rFonts w:ascii="Calibri" w:hAnsi="Calibri" w:cs="Calibri"/>
          <w:color w:val="FF0000"/>
        </w:rPr>
      </w:pPr>
      <w:r w:rsidRPr="00880346">
        <w:rPr>
          <w:rFonts w:ascii="Calibri" w:hAnsi="Calibri" w:cs="Calibri"/>
          <w:color w:val="FF0000"/>
        </w:rPr>
        <w:t>Carrying out a short risk or service impact assessment to justify why the requirement is essential.</w:t>
      </w:r>
    </w:p>
    <w:p w14:paraId="26F464B2" w14:textId="77777777" w:rsidR="005724C2" w:rsidRPr="00880346" w:rsidRDefault="005724C2" w:rsidP="005724C2">
      <w:pPr>
        <w:numPr>
          <w:ilvl w:val="0"/>
          <w:numId w:val="16"/>
        </w:numPr>
        <w:rPr>
          <w:rFonts w:ascii="Calibri" w:hAnsi="Calibri" w:cs="Calibri"/>
          <w:color w:val="FF0000"/>
        </w:rPr>
      </w:pPr>
      <w:r w:rsidRPr="00880346">
        <w:rPr>
          <w:rFonts w:ascii="Calibri" w:hAnsi="Calibri" w:cs="Calibri"/>
          <w:color w:val="FF0000"/>
        </w:rPr>
        <w:t>Consulting with legal or HR to ensure the justification is documented and lawful.</w:t>
      </w:r>
    </w:p>
    <w:p w14:paraId="08C7D0B1" w14:textId="77777777" w:rsidR="005724C2" w:rsidRPr="00880346" w:rsidRDefault="005724C2" w:rsidP="005724C2">
      <w:pPr>
        <w:numPr>
          <w:ilvl w:val="0"/>
          <w:numId w:val="16"/>
        </w:numPr>
        <w:rPr>
          <w:rFonts w:ascii="Calibri" w:hAnsi="Calibri" w:cs="Calibri"/>
          <w:color w:val="FF0000"/>
        </w:rPr>
      </w:pPr>
      <w:r w:rsidRPr="00880346">
        <w:rPr>
          <w:rFonts w:ascii="Calibri" w:hAnsi="Calibri" w:cs="Calibri"/>
          <w:color w:val="FF0000"/>
        </w:rPr>
        <w:t>Clearly stating in the job advert that the requirement is applied in line with Schedule 9 of the Equality Act 2010, and why.</w:t>
      </w:r>
    </w:p>
    <w:p w14:paraId="54A8C7C9" w14:textId="77777777" w:rsidR="00C9555C" w:rsidRPr="00C9555C" w:rsidRDefault="00C9555C" w:rsidP="005724C2">
      <w:pPr>
        <w:rPr>
          <w:rFonts w:ascii="Calibri" w:hAnsi="Calibri" w:cs="Calibri"/>
          <w:color w:val="FF0000"/>
        </w:rPr>
      </w:pPr>
    </w:p>
    <w:p w14:paraId="749DC979" w14:textId="342A4513" w:rsidR="005724C2" w:rsidRPr="00880346" w:rsidRDefault="005724C2" w:rsidP="005724C2">
      <w:pPr>
        <w:rPr>
          <w:rFonts w:ascii="Calibri" w:hAnsi="Calibri" w:cs="Calibri"/>
          <w:color w:val="FF0000"/>
        </w:rPr>
      </w:pPr>
      <w:r w:rsidRPr="00880346">
        <w:rPr>
          <w:rFonts w:ascii="Calibri" w:hAnsi="Calibri" w:cs="Calibri"/>
          <w:color w:val="FF0000"/>
        </w:rPr>
        <w:t>Let me know if you'd like help reviewing the JD or wording for an upcoming post — happy to help sense-check it or work through a justification with you.</w:t>
      </w:r>
    </w:p>
    <w:p w14:paraId="68C1E33B" w14:textId="77777777" w:rsidR="002A0631" w:rsidRDefault="002A0631" w:rsidP="00DF23A1">
      <w:pPr>
        <w:rPr>
          <w:rFonts w:ascii="Calibri" w:hAnsi="Calibri" w:cs="Calibri"/>
          <w:color w:val="FF0000"/>
          <w:lang w:val="en-GB"/>
        </w:rPr>
      </w:pPr>
    </w:p>
    <w:p w14:paraId="6A379AF5" w14:textId="77777777" w:rsidR="0073350A" w:rsidRPr="002A0631" w:rsidRDefault="0073350A" w:rsidP="0073350A">
      <w:pPr>
        <w:rPr>
          <w:rFonts w:ascii="Calibri" w:hAnsi="Calibri" w:cs="Calibri"/>
          <w:lang w:val="en-GB"/>
        </w:rPr>
      </w:pPr>
      <w:r w:rsidRPr="002A0631">
        <w:rPr>
          <w:rFonts w:ascii="Calibri" w:hAnsi="Calibri" w:cs="Calibri"/>
          <w:lang w:val="en-GB"/>
        </w:rPr>
        <w:t>Best regards,</w:t>
      </w:r>
      <w:r w:rsidRPr="002A0631">
        <w:rPr>
          <w:rFonts w:ascii="Calibri" w:hAnsi="Calibri" w:cs="Calibri"/>
          <w:lang w:val="en-GB"/>
        </w:rPr>
        <w:br/>
        <w:t>Melanie</w:t>
      </w:r>
    </w:p>
    <w:p w14:paraId="44ADA8F9" w14:textId="77777777" w:rsidR="0073350A" w:rsidRDefault="0073350A" w:rsidP="00DF23A1">
      <w:pPr>
        <w:rPr>
          <w:rFonts w:ascii="Calibri" w:hAnsi="Calibri" w:cs="Calibri"/>
          <w:lang w:val="en-GB"/>
        </w:rPr>
      </w:pPr>
    </w:p>
    <w:p w14:paraId="69896CC9" w14:textId="77777777" w:rsidR="0073350A" w:rsidRDefault="0073350A" w:rsidP="00DF23A1">
      <w:pPr>
        <w:rPr>
          <w:rFonts w:ascii="Calibri" w:hAnsi="Calibri" w:cs="Calibri"/>
          <w:lang w:val="en-GB"/>
        </w:rPr>
      </w:pPr>
    </w:p>
    <w:p w14:paraId="0FFCC905" w14:textId="55383D03" w:rsidR="00330B46" w:rsidRPr="002A0631" w:rsidRDefault="002A0631" w:rsidP="00DF23A1">
      <w:pPr>
        <w:rPr>
          <w:rFonts w:ascii="Calibri" w:hAnsi="Calibri" w:cs="Calibri"/>
          <w:lang w:val="en-GB"/>
        </w:rPr>
      </w:pPr>
      <w:r w:rsidRPr="002A0631">
        <w:rPr>
          <w:rFonts w:ascii="Calibri" w:hAnsi="Calibri" w:cs="Calibri"/>
          <w:lang w:val="en-GB"/>
        </w:rPr>
        <w:t>AC 2.2</w:t>
      </w:r>
    </w:p>
    <w:p w14:paraId="448AE7C4" w14:textId="77777777" w:rsidR="00330B46" w:rsidRPr="002A0631" w:rsidRDefault="00330B46" w:rsidP="00DF23A1">
      <w:pPr>
        <w:rPr>
          <w:rFonts w:ascii="Calibri" w:hAnsi="Calibri" w:cs="Calibri"/>
          <w:lang w:val="en-GB"/>
        </w:rPr>
      </w:pPr>
    </w:p>
    <w:p w14:paraId="36183817" w14:textId="77777777" w:rsidR="002A0631" w:rsidRPr="002A0631" w:rsidRDefault="002A0631" w:rsidP="002A0631">
      <w:pPr>
        <w:rPr>
          <w:rFonts w:ascii="Calibri" w:hAnsi="Calibri" w:cs="Calibri"/>
          <w:lang w:val="en-GB"/>
        </w:rPr>
      </w:pPr>
      <w:r w:rsidRPr="002A0631">
        <w:rPr>
          <w:rFonts w:ascii="Calibri" w:hAnsi="Calibri" w:cs="Calibri"/>
          <w:lang w:val="en-GB"/>
        </w:rPr>
        <w:t>Subject: Equal Pay Implications for Proposed HCA Grade Changes</w:t>
      </w:r>
    </w:p>
    <w:p w14:paraId="5A2CA7A4" w14:textId="77777777" w:rsidR="002A0631" w:rsidRDefault="002A0631" w:rsidP="002A0631">
      <w:pPr>
        <w:rPr>
          <w:rFonts w:ascii="Calibri" w:hAnsi="Calibri" w:cs="Calibri"/>
          <w:lang w:val="en-GB"/>
        </w:rPr>
      </w:pPr>
      <w:r w:rsidRPr="002A0631">
        <w:rPr>
          <w:rFonts w:ascii="Calibri" w:hAnsi="Calibri" w:cs="Calibri"/>
          <w:lang w:val="en-GB"/>
        </w:rPr>
        <w:t>Hi Tina,</w:t>
      </w:r>
    </w:p>
    <w:p w14:paraId="08A7E5F3" w14:textId="77777777" w:rsidR="002A0631" w:rsidRPr="002A0631" w:rsidRDefault="002A0631" w:rsidP="002A0631">
      <w:pPr>
        <w:rPr>
          <w:rFonts w:ascii="Calibri" w:hAnsi="Calibri" w:cs="Calibri"/>
          <w:lang w:val="en-GB"/>
        </w:rPr>
      </w:pPr>
    </w:p>
    <w:p w14:paraId="7E281DE2" w14:textId="77777777" w:rsidR="002A0631" w:rsidRDefault="002A0631" w:rsidP="002A0631">
      <w:pPr>
        <w:rPr>
          <w:rFonts w:ascii="Calibri" w:hAnsi="Calibri" w:cs="Calibri"/>
          <w:lang w:val="en-GB"/>
        </w:rPr>
      </w:pPr>
      <w:r w:rsidRPr="002A0631">
        <w:rPr>
          <w:rFonts w:ascii="Calibri" w:hAnsi="Calibri" w:cs="Calibri"/>
          <w:lang w:val="en-GB"/>
        </w:rPr>
        <w:t>Thanks for getting in touch regarding the potential regrading of two Health Care Assistants (HCAs) using surplus research project funds. I completely understand the motivation to reward their contributions, but before moving forward, we need to be mindful of our responsibilities under equal pay legislation to ensure any changes are fair, evidence-based, and legally compliant.</w:t>
      </w:r>
    </w:p>
    <w:p w14:paraId="1E2077C7" w14:textId="77777777" w:rsidR="002A0631" w:rsidRPr="002A0631" w:rsidRDefault="002A0631" w:rsidP="002A0631">
      <w:pPr>
        <w:rPr>
          <w:rFonts w:ascii="Calibri" w:hAnsi="Calibri" w:cs="Calibri"/>
          <w:lang w:val="en-GB"/>
        </w:rPr>
      </w:pPr>
    </w:p>
    <w:p w14:paraId="640F691A" w14:textId="77777777" w:rsidR="002A0631" w:rsidRDefault="002A0631" w:rsidP="002A0631">
      <w:pPr>
        <w:rPr>
          <w:rFonts w:ascii="Calibri" w:hAnsi="Calibri" w:cs="Calibri"/>
          <w:lang w:val="en-GB"/>
        </w:rPr>
      </w:pPr>
      <w:r w:rsidRPr="002A0631">
        <w:rPr>
          <w:rFonts w:ascii="Calibri" w:hAnsi="Calibri" w:cs="Calibri"/>
          <w:lang w:val="en-GB"/>
        </w:rPr>
        <w:t xml:space="preserve">The </w:t>
      </w:r>
      <w:r w:rsidRPr="002A0631">
        <w:rPr>
          <w:rFonts w:ascii="Calibri" w:hAnsi="Calibri" w:cs="Calibri"/>
          <w:i/>
          <w:iCs/>
          <w:lang w:val="en-GB"/>
        </w:rPr>
        <w:t>Equality Act 2010</w:t>
      </w:r>
      <w:r w:rsidRPr="002A0631">
        <w:rPr>
          <w:rFonts w:ascii="Calibri" w:hAnsi="Calibri" w:cs="Calibri"/>
          <w:lang w:val="en-GB"/>
        </w:rPr>
        <w:t xml:space="preserve"> gives all employees the right to equal pay for equal work, regardless of their gender. This covers like work, work rated as equivalent, or of equal value. If the two HCAs you are proposing to uplift are male, and 80% of the wider HCA team are women, it becomes particularly important to ensure that the rationale for the upgrade is free from direct or indirect discrimination (Daniels, 2022, Ch. 5).</w:t>
      </w:r>
    </w:p>
    <w:p w14:paraId="31AD5780" w14:textId="77777777" w:rsidR="002A0631" w:rsidRPr="002A0631" w:rsidRDefault="002A0631" w:rsidP="002A0631">
      <w:pPr>
        <w:rPr>
          <w:rFonts w:ascii="Calibri" w:hAnsi="Calibri" w:cs="Calibri"/>
          <w:lang w:val="en-GB"/>
        </w:rPr>
      </w:pPr>
    </w:p>
    <w:p w14:paraId="3E3FE9FB" w14:textId="77777777" w:rsidR="002A0631" w:rsidRDefault="002A0631" w:rsidP="002A0631">
      <w:pPr>
        <w:rPr>
          <w:rFonts w:ascii="Calibri" w:hAnsi="Calibri" w:cs="Calibri"/>
          <w:lang w:val="en-GB"/>
        </w:rPr>
      </w:pPr>
      <w:r w:rsidRPr="002A0631">
        <w:rPr>
          <w:rFonts w:ascii="Calibri" w:hAnsi="Calibri" w:cs="Calibri"/>
          <w:lang w:val="en-GB"/>
        </w:rPr>
        <w:t>Even with the best intentions, any decision that results in differing pay must be objectively justifiable. This means there needs to be a clear link to role-specific factors, such as increased responsibilities, specialist skills, or significantly different duties. Availability of extra funding, while beneficial, doesn’t provide a strong enough standalone reason for a permanent change in grade without risking breaching equality obligations (CIPD, 2023).</w:t>
      </w:r>
    </w:p>
    <w:p w14:paraId="15AC470C" w14:textId="77777777" w:rsidR="002A0631" w:rsidRPr="002A0631" w:rsidRDefault="002A0631" w:rsidP="002A0631">
      <w:pPr>
        <w:rPr>
          <w:rFonts w:ascii="Calibri" w:hAnsi="Calibri" w:cs="Calibri"/>
          <w:lang w:val="en-GB"/>
        </w:rPr>
      </w:pPr>
    </w:p>
    <w:p w14:paraId="35000C5D" w14:textId="77777777" w:rsidR="002A0631" w:rsidRDefault="002A0631" w:rsidP="002A0631">
      <w:pPr>
        <w:rPr>
          <w:rFonts w:ascii="Calibri" w:hAnsi="Calibri" w:cs="Calibri"/>
          <w:lang w:val="en-GB"/>
        </w:rPr>
      </w:pPr>
      <w:r w:rsidRPr="002A0631">
        <w:rPr>
          <w:rFonts w:ascii="Calibri" w:hAnsi="Calibri" w:cs="Calibri"/>
          <w:lang w:val="en-GB"/>
        </w:rPr>
        <w:t xml:space="preserve">We must also keep the public sector equality duty in mind — this means proactively considering whether decisions support fairness and do not inadvertently disadvantage the majority group, in this </w:t>
      </w:r>
      <w:r w:rsidRPr="002A0631">
        <w:rPr>
          <w:rFonts w:ascii="Calibri" w:hAnsi="Calibri" w:cs="Calibri"/>
          <w:lang w:val="en-GB"/>
        </w:rPr>
        <w:lastRenderedPageBreak/>
        <w:t>case female HCAs. Transparency in decision-making is key to reducing risk and maintaining staff confidence.</w:t>
      </w:r>
    </w:p>
    <w:p w14:paraId="42EB9192" w14:textId="77777777" w:rsidR="002A0631" w:rsidRPr="002A0631" w:rsidRDefault="002A0631" w:rsidP="002A0631">
      <w:pPr>
        <w:rPr>
          <w:rFonts w:ascii="Calibri" w:hAnsi="Calibri" w:cs="Calibri"/>
          <w:lang w:val="en-GB"/>
        </w:rPr>
      </w:pPr>
    </w:p>
    <w:p w14:paraId="5DE71EE1" w14:textId="77777777" w:rsidR="002A0631" w:rsidRDefault="002A0631" w:rsidP="002A0631">
      <w:pPr>
        <w:rPr>
          <w:rFonts w:ascii="Calibri" w:hAnsi="Calibri" w:cs="Calibri"/>
          <w:lang w:val="en-GB"/>
        </w:rPr>
      </w:pPr>
      <w:r w:rsidRPr="002A0631">
        <w:rPr>
          <w:rFonts w:ascii="Calibri" w:hAnsi="Calibri" w:cs="Calibri"/>
          <w:lang w:val="en-GB"/>
        </w:rPr>
        <w:t>To move forward appropriately, I’d recommend conducting a formal job evaluation to determine whether there’s a substantive difference in the roles of these two HCAs compared to their peers. If their roles are found to merit the higher grade through an objective process, the regrading may be defensible. If not, applying different treatment could open the Trust to equal pay claims or employee relations concerns.</w:t>
      </w:r>
    </w:p>
    <w:p w14:paraId="42E86EB8" w14:textId="77777777" w:rsidR="002A0631" w:rsidRPr="002A0631" w:rsidRDefault="002A0631" w:rsidP="002A0631">
      <w:pPr>
        <w:rPr>
          <w:rFonts w:ascii="Calibri" w:hAnsi="Calibri" w:cs="Calibri"/>
          <w:lang w:val="en-GB"/>
        </w:rPr>
      </w:pPr>
    </w:p>
    <w:p w14:paraId="06988871" w14:textId="0728753B" w:rsidR="002A0631" w:rsidRDefault="002A0631" w:rsidP="002A0631">
      <w:pPr>
        <w:rPr>
          <w:rFonts w:ascii="Calibri" w:hAnsi="Calibri" w:cs="Calibri"/>
          <w:lang w:val="en-GB"/>
        </w:rPr>
      </w:pPr>
      <w:r w:rsidRPr="002A0631">
        <w:rPr>
          <w:rFonts w:ascii="Calibri" w:hAnsi="Calibri" w:cs="Calibri"/>
          <w:lang w:val="en-GB"/>
        </w:rPr>
        <w:t>If the goal is simply to acknowledge their contribution, other options like a one-off bonus or non-monetary recognition might be more suitable and carry less legal risk.</w:t>
      </w:r>
    </w:p>
    <w:p w14:paraId="6D5E92E8" w14:textId="77777777" w:rsidR="002A0631" w:rsidRPr="002A0631" w:rsidRDefault="002A0631" w:rsidP="002A0631">
      <w:pPr>
        <w:rPr>
          <w:rFonts w:ascii="Calibri" w:hAnsi="Calibri" w:cs="Calibri"/>
          <w:lang w:val="en-GB"/>
        </w:rPr>
      </w:pPr>
    </w:p>
    <w:p w14:paraId="24B6FD57" w14:textId="77777777" w:rsidR="002A0631" w:rsidRDefault="002A0631" w:rsidP="002A0631">
      <w:pPr>
        <w:rPr>
          <w:rFonts w:ascii="Calibri" w:hAnsi="Calibri" w:cs="Calibri"/>
          <w:lang w:val="en-GB"/>
        </w:rPr>
      </w:pPr>
      <w:r w:rsidRPr="002A0631">
        <w:rPr>
          <w:rFonts w:ascii="Calibri" w:hAnsi="Calibri" w:cs="Calibri"/>
          <w:lang w:val="en-GB"/>
        </w:rPr>
        <w:t>Let me know if you’d like support in setting up a fair assessment process or exploring alternative ways to recognise their work.</w:t>
      </w:r>
    </w:p>
    <w:p w14:paraId="31A4DC7B" w14:textId="77777777" w:rsidR="002A0631" w:rsidRPr="002A0631" w:rsidRDefault="002A0631" w:rsidP="002A0631">
      <w:pPr>
        <w:rPr>
          <w:rFonts w:ascii="Calibri" w:hAnsi="Calibri" w:cs="Calibri"/>
          <w:lang w:val="en-GB"/>
        </w:rPr>
      </w:pPr>
    </w:p>
    <w:p w14:paraId="1B21C57B" w14:textId="77777777" w:rsidR="002A0631" w:rsidRPr="002A0631" w:rsidRDefault="002A0631" w:rsidP="002A0631">
      <w:pPr>
        <w:rPr>
          <w:rFonts w:ascii="Calibri" w:hAnsi="Calibri" w:cs="Calibri"/>
          <w:lang w:val="en-GB"/>
        </w:rPr>
      </w:pPr>
      <w:r w:rsidRPr="002A0631">
        <w:rPr>
          <w:rFonts w:ascii="Calibri" w:hAnsi="Calibri" w:cs="Calibri"/>
          <w:lang w:val="en-GB"/>
        </w:rPr>
        <w:t>Best regards,</w:t>
      </w:r>
      <w:r w:rsidRPr="002A0631">
        <w:rPr>
          <w:rFonts w:ascii="Calibri" w:hAnsi="Calibri" w:cs="Calibri"/>
          <w:lang w:val="en-GB"/>
        </w:rPr>
        <w:br/>
        <w:t>Melanie</w:t>
      </w:r>
    </w:p>
    <w:p w14:paraId="0C66967C" w14:textId="77777777" w:rsidR="00DF23A1" w:rsidRDefault="00DF23A1" w:rsidP="00212DA7">
      <w:pPr>
        <w:rPr>
          <w:rFonts w:ascii="Calibri" w:hAnsi="Calibri" w:cs="Calibri"/>
          <w:color w:val="FF0000"/>
        </w:rPr>
      </w:pPr>
    </w:p>
    <w:p w14:paraId="61499A60" w14:textId="77777777" w:rsidR="002A0631" w:rsidRPr="00CE7B88" w:rsidRDefault="002A0631" w:rsidP="00212DA7">
      <w:pPr>
        <w:rPr>
          <w:rFonts w:ascii="Calibri" w:hAnsi="Calibri" w:cs="Calibri"/>
          <w:color w:val="FF0000"/>
        </w:rPr>
      </w:pPr>
    </w:p>
    <w:p w14:paraId="7FC0F68D" w14:textId="5393026D" w:rsidR="00DF23A1" w:rsidRPr="00121E2B" w:rsidRDefault="00316B55" w:rsidP="00212DA7">
      <w:pPr>
        <w:rPr>
          <w:rFonts w:ascii="Calibri" w:hAnsi="Calibri" w:cs="Calibri"/>
        </w:rPr>
      </w:pPr>
      <w:r w:rsidRPr="00121E2B">
        <w:rPr>
          <w:rFonts w:ascii="Calibri" w:hAnsi="Calibri" w:cs="Calibri"/>
        </w:rPr>
        <w:t>AC 3.1</w:t>
      </w:r>
    </w:p>
    <w:p w14:paraId="48D95244" w14:textId="77777777" w:rsidR="007D3F26" w:rsidRPr="00121E2B" w:rsidRDefault="007D3F26" w:rsidP="00212DA7">
      <w:pPr>
        <w:rPr>
          <w:rFonts w:ascii="Calibri" w:hAnsi="Calibri" w:cs="Calibri"/>
        </w:rPr>
      </w:pPr>
    </w:p>
    <w:p w14:paraId="3218DF45" w14:textId="77777777" w:rsidR="009F4D6B" w:rsidRPr="009F4D6B" w:rsidRDefault="009F4D6B" w:rsidP="009F4D6B">
      <w:pPr>
        <w:rPr>
          <w:rFonts w:ascii="Calibri" w:hAnsi="Calibri" w:cs="Calibri"/>
          <w:lang w:val="en-GB"/>
        </w:rPr>
      </w:pPr>
      <w:r w:rsidRPr="009F4D6B">
        <w:rPr>
          <w:rFonts w:ascii="Calibri" w:hAnsi="Calibri" w:cs="Calibri"/>
          <w:lang w:val="en-GB"/>
        </w:rPr>
        <w:t>Subject: Advice on Contract Changes and Risk of Constructive Dismissal</w:t>
      </w:r>
    </w:p>
    <w:p w14:paraId="7F3A1B40" w14:textId="77777777" w:rsidR="009F4D6B" w:rsidRDefault="009F4D6B" w:rsidP="009F4D6B">
      <w:pPr>
        <w:rPr>
          <w:rFonts w:ascii="Calibri" w:hAnsi="Calibri" w:cs="Calibri"/>
          <w:lang w:val="en-GB"/>
        </w:rPr>
      </w:pPr>
      <w:r w:rsidRPr="009F4D6B">
        <w:rPr>
          <w:rFonts w:ascii="Calibri" w:hAnsi="Calibri" w:cs="Calibri"/>
          <w:lang w:val="en-GB"/>
        </w:rPr>
        <w:t>Hi Sophie,</w:t>
      </w:r>
    </w:p>
    <w:p w14:paraId="05C68B0B" w14:textId="77777777" w:rsidR="009F4D6B" w:rsidRPr="009F4D6B" w:rsidRDefault="009F4D6B" w:rsidP="009F4D6B">
      <w:pPr>
        <w:rPr>
          <w:rFonts w:ascii="Calibri" w:hAnsi="Calibri" w:cs="Calibri"/>
          <w:lang w:val="en-GB"/>
        </w:rPr>
      </w:pPr>
    </w:p>
    <w:p w14:paraId="73346780" w14:textId="77777777" w:rsidR="009F4D6B" w:rsidRDefault="009F4D6B" w:rsidP="009F4D6B">
      <w:pPr>
        <w:rPr>
          <w:rFonts w:ascii="Calibri" w:hAnsi="Calibri" w:cs="Calibri"/>
          <w:lang w:val="en-GB"/>
        </w:rPr>
      </w:pPr>
      <w:r w:rsidRPr="009F4D6B">
        <w:rPr>
          <w:rFonts w:ascii="Calibri" w:hAnsi="Calibri" w:cs="Calibri"/>
          <w:lang w:val="en-GB"/>
        </w:rPr>
        <w:t>Thanks for getting in touch about the radiographer’s recent resignation and your concern that it might lead to a constructive dismissal claim. This is a sensitive matter that does require close attention, especially regarding how the adjustment to their working hours was handled.</w:t>
      </w:r>
    </w:p>
    <w:p w14:paraId="6557D13F" w14:textId="77777777" w:rsidR="009F4D6B" w:rsidRPr="009F4D6B" w:rsidRDefault="009F4D6B" w:rsidP="009F4D6B">
      <w:pPr>
        <w:rPr>
          <w:rFonts w:ascii="Calibri" w:hAnsi="Calibri" w:cs="Calibri"/>
          <w:lang w:val="en-GB"/>
        </w:rPr>
      </w:pPr>
    </w:p>
    <w:p w14:paraId="3C738014" w14:textId="77777777" w:rsidR="009F4D6B" w:rsidRDefault="009F4D6B" w:rsidP="009F4D6B">
      <w:pPr>
        <w:rPr>
          <w:rFonts w:ascii="Calibri" w:hAnsi="Calibri" w:cs="Calibri"/>
          <w:lang w:val="en-GB"/>
        </w:rPr>
      </w:pPr>
      <w:r w:rsidRPr="009F4D6B">
        <w:rPr>
          <w:rFonts w:ascii="Calibri" w:hAnsi="Calibri" w:cs="Calibri"/>
          <w:lang w:val="en-GB"/>
        </w:rPr>
        <w:t>Constructive dismissal occurs when an employee feels they have no choice but to resign due to a serious breach of contract by their employer. This breach could relate to clearly stated (express) terms or to implied terms such as the duty to maintain mutual trust and confidence, as outlined in the Employment Rights Act 1996 (Daniels, 2022, Chapter 8). The key point is not just what was changed, but whether the employee perceived the change to be so significant that it made their role untenable.</w:t>
      </w:r>
    </w:p>
    <w:p w14:paraId="17EAE755" w14:textId="77777777" w:rsidR="009F4D6B" w:rsidRPr="009F4D6B" w:rsidRDefault="009F4D6B" w:rsidP="009F4D6B">
      <w:pPr>
        <w:rPr>
          <w:rFonts w:ascii="Calibri" w:hAnsi="Calibri" w:cs="Calibri"/>
          <w:lang w:val="en-GB"/>
        </w:rPr>
      </w:pPr>
    </w:p>
    <w:p w14:paraId="36054C5E" w14:textId="77777777" w:rsidR="009F4D6B" w:rsidRPr="009F4D6B" w:rsidRDefault="009F4D6B" w:rsidP="009F4D6B">
      <w:pPr>
        <w:rPr>
          <w:rFonts w:ascii="Calibri" w:hAnsi="Calibri" w:cs="Calibri"/>
          <w:lang w:val="en-GB"/>
        </w:rPr>
      </w:pPr>
      <w:r w:rsidRPr="009F4D6B">
        <w:rPr>
          <w:rFonts w:ascii="Calibri" w:hAnsi="Calibri" w:cs="Calibri"/>
          <w:lang w:val="en-GB"/>
        </w:rPr>
        <w:t>If the radiographer felt that the revised hours were introduced without proper discussion or agreement, and that the new arrangement adversely affected their wellbeing or ability to carry out their duties, they may argue that the Trust failed to uphold their contractual obligations. Even if the business case was justified, failing to properly consult or document the process could be problematic.</w:t>
      </w:r>
    </w:p>
    <w:p w14:paraId="044F8878" w14:textId="77777777" w:rsidR="009F4D6B" w:rsidRPr="009F4D6B" w:rsidRDefault="009F4D6B" w:rsidP="009F4D6B">
      <w:pPr>
        <w:rPr>
          <w:rFonts w:ascii="Calibri" w:hAnsi="Calibri" w:cs="Calibri"/>
          <w:lang w:val="en-GB"/>
        </w:rPr>
      </w:pPr>
      <w:r w:rsidRPr="009F4D6B">
        <w:rPr>
          <w:rFonts w:ascii="Calibri" w:hAnsi="Calibri" w:cs="Calibri"/>
          <w:lang w:val="en-GB"/>
        </w:rPr>
        <w:t>Daniels (2022, Chapter 4.3) suggests a best-practice approach to changing employment terms should include:</w:t>
      </w:r>
    </w:p>
    <w:p w14:paraId="7A3320A8" w14:textId="77777777" w:rsidR="009F4D6B" w:rsidRPr="009F4D6B" w:rsidRDefault="009F4D6B" w:rsidP="00CF06BB">
      <w:pPr>
        <w:numPr>
          <w:ilvl w:val="0"/>
          <w:numId w:val="7"/>
        </w:numPr>
        <w:rPr>
          <w:rFonts w:ascii="Calibri" w:hAnsi="Calibri" w:cs="Calibri"/>
          <w:lang w:val="en-GB"/>
        </w:rPr>
      </w:pPr>
      <w:r w:rsidRPr="009F4D6B">
        <w:rPr>
          <w:rFonts w:ascii="Calibri" w:hAnsi="Calibri" w:cs="Calibri"/>
          <w:lang w:val="en-GB"/>
        </w:rPr>
        <w:t>Agreement from both employer and employee</w:t>
      </w:r>
    </w:p>
    <w:p w14:paraId="1678CEA9" w14:textId="77777777" w:rsidR="009F4D6B" w:rsidRPr="009F4D6B" w:rsidRDefault="009F4D6B" w:rsidP="00CF06BB">
      <w:pPr>
        <w:numPr>
          <w:ilvl w:val="0"/>
          <w:numId w:val="7"/>
        </w:numPr>
        <w:rPr>
          <w:rFonts w:ascii="Calibri" w:hAnsi="Calibri" w:cs="Calibri"/>
          <w:lang w:val="en-GB"/>
        </w:rPr>
      </w:pPr>
      <w:r w:rsidRPr="009F4D6B">
        <w:rPr>
          <w:rFonts w:ascii="Calibri" w:hAnsi="Calibri" w:cs="Calibri"/>
          <w:lang w:val="en-GB"/>
        </w:rPr>
        <w:t>A sound and demonstrable business reason for the change</w:t>
      </w:r>
    </w:p>
    <w:p w14:paraId="339CE62A" w14:textId="77777777" w:rsidR="009F4D6B" w:rsidRPr="009F4D6B" w:rsidRDefault="009F4D6B" w:rsidP="00CF06BB">
      <w:pPr>
        <w:numPr>
          <w:ilvl w:val="0"/>
          <w:numId w:val="7"/>
        </w:numPr>
        <w:rPr>
          <w:rFonts w:ascii="Calibri" w:hAnsi="Calibri" w:cs="Calibri"/>
          <w:lang w:val="en-GB"/>
        </w:rPr>
      </w:pPr>
      <w:r w:rsidRPr="009F4D6B">
        <w:rPr>
          <w:rFonts w:ascii="Calibri" w:hAnsi="Calibri" w:cs="Calibri"/>
          <w:lang w:val="en-GB"/>
        </w:rPr>
        <w:t>Clear and open consultation (including with trade unions where appropriate)</w:t>
      </w:r>
    </w:p>
    <w:p w14:paraId="253698A6" w14:textId="77777777" w:rsidR="009F4D6B" w:rsidRDefault="009F4D6B" w:rsidP="00CF06BB">
      <w:pPr>
        <w:numPr>
          <w:ilvl w:val="0"/>
          <w:numId w:val="7"/>
        </w:numPr>
        <w:rPr>
          <w:rFonts w:ascii="Calibri" w:hAnsi="Calibri" w:cs="Calibri"/>
          <w:lang w:val="en-GB"/>
        </w:rPr>
      </w:pPr>
      <w:r w:rsidRPr="009F4D6B">
        <w:rPr>
          <w:rFonts w:ascii="Calibri" w:hAnsi="Calibri" w:cs="Calibri"/>
          <w:lang w:val="en-GB"/>
        </w:rPr>
        <w:t>Written confirmation of the final terms, particularly for permanent changes</w:t>
      </w:r>
    </w:p>
    <w:p w14:paraId="466889F0" w14:textId="77777777" w:rsidR="009F4D6B" w:rsidRPr="009F4D6B" w:rsidRDefault="009F4D6B" w:rsidP="009F4D6B">
      <w:pPr>
        <w:ind w:left="720"/>
        <w:rPr>
          <w:rFonts w:ascii="Calibri" w:hAnsi="Calibri" w:cs="Calibri"/>
          <w:lang w:val="en-GB"/>
        </w:rPr>
      </w:pPr>
    </w:p>
    <w:p w14:paraId="3A8AE568" w14:textId="77777777" w:rsidR="009F4D6B" w:rsidRDefault="009F4D6B" w:rsidP="009F4D6B">
      <w:pPr>
        <w:rPr>
          <w:rFonts w:ascii="Calibri" w:hAnsi="Calibri" w:cs="Calibri"/>
          <w:lang w:val="en-GB"/>
        </w:rPr>
      </w:pPr>
      <w:r w:rsidRPr="009F4D6B">
        <w:rPr>
          <w:rFonts w:ascii="Calibri" w:hAnsi="Calibri" w:cs="Calibri"/>
          <w:lang w:val="en-GB"/>
        </w:rPr>
        <w:t>The CIPD (2023) reinforces this, stating that engaging employees early and openly helps to reduce resistance, increase understanding, and avoid disputes. A lack of transparency or proper process can undermine trust and invite claims.</w:t>
      </w:r>
    </w:p>
    <w:p w14:paraId="67DD12A5" w14:textId="77777777" w:rsidR="009F4D6B" w:rsidRPr="009F4D6B" w:rsidRDefault="009F4D6B" w:rsidP="009F4D6B">
      <w:pPr>
        <w:rPr>
          <w:rFonts w:ascii="Calibri" w:hAnsi="Calibri" w:cs="Calibri"/>
          <w:lang w:val="en-GB"/>
        </w:rPr>
      </w:pPr>
    </w:p>
    <w:p w14:paraId="7D8F9D18" w14:textId="77777777" w:rsidR="009F4D6B" w:rsidRDefault="009F4D6B" w:rsidP="009F4D6B">
      <w:pPr>
        <w:rPr>
          <w:rFonts w:ascii="Calibri" w:hAnsi="Calibri" w:cs="Calibri"/>
          <w:lang w:val="en-GB"/>
        </w:rPr>
      </w:pPr>
      <w:r w:rsidRPr="009F4D6B">
        <w:rPr>
          <w:rFonts w:ascii="Calibri" w:hAnsi="Calibri" w:cs="Calibri"/>
          <w:lang w:val="en-GB"/>
        </w:rPr>
        <w:lastRenderedPageBreak/>
        <w:t>In terms of timeframes, former employees have three months minus one day from their termination date to lodge a claim via an Employment Tribunal. They are also usually required to go through the ACAS Early Conciliation process before a formal claim can proceed (ACAS, 2023).</w:t>
      </w:r>
    </w:p>
    <w:p w14:paraId="3CB9D0BE" w14:textId="77777777" w:rsidR="009F4D6B" w:rsidRPr="009F4D6B" w:rsidRDefault="009F4D6B" w:rsidP="009F4D6B">
      <w:pPr>
        <w:rPr>
          <w:rFonts w:ascii="Calibri" w:hAnsi="Calibri" w:cs="Calibri"/>
          <w:lang w:val="en-GB"/>
        </w:rPr>
      </w:pPr>
    </w:p>
    <w:p w14:paraId="098AAB84" w14:textId="77777777" w:rsidR="009F4D6B" w:rsidRPr="009F4D6B" w:rsidRDefault="009F4D6B" w:rsidP="009F4D6B">
      <w:pPr>
        <w:rPr>
          <w:rFonts w:ascii="Calibri" w:hAnsi="Calibri" w:cs="Calibri"/>
          <w:lang w:val="en-GB"/>
        </w:rPr>
      </w:pPr>
      <w:r w:rsidRPr="009F4D6B">
        <w:rPr>
          <w:rFonts w:ascii="Calibri" w:hAnsi="Calibri" w:cs="Calibri"/>
          <w:lang w:val="en-GB"/>
        </w:rPr>
        <w:t>Recommended actions:</w:t>
      </w:r>
    </w:p>
    <w:p w14:paraId="27E29BEE" w14:textId="77777777" w:rsidR="009F4D6B" w:rsidRPr="009F4D6B" w:rsidRDefault="009F4D6B" w:rsidP="00CF06BB">
      <w:pPr>
        <w:numPr>
          <w:ilvl w:val="0"/>
          <w:numId w:val="8"/>
        </w:numPr>
        <w:rPr>
          <w:rFonts w:ascii="Calibri" w:hAnsi="Calibri" w:cs="Calibri"/>
          <w:lang w:val="en-GB"/>
        </w:rPr>
      </w:pPr>
      <w:r w:rsidRPr="009F4D6B">
        <w:rPr>
          <w:rFonts w:ascii="Calibri" w:hAnsi="Calibri" w:cs="Calibri"/>
          <w:lang w:val="en-GB"/>
        </w:rPr>
        <w:t>Review the justification and documentation for the contractual change</w:t>
      </w:r>
    </w:p>
    <w:p w14:paraId="3B84BD0C" w14:textId="77777777" w:rsidR="009F4D6B" w:rsidRPr="009F4D6B" w:rsidRDefault="009F4D6B" w:rsidP="00CF06BB">
      <w:pPr>
        <w:numPr>
          <w:ilvl w:val="0"/>
          <w:numId w:val="8"/>
        </w:numPr>
        <w:rPr>
          <w:rFonts w:ascii="Calibri" w:hAnsi="Calibri" w:cs="Calibri"/>
          <w:lang w:val="en-GB"/>
        </w:rPr>
      </w:pPr>
      <w:r w:rsidRPr="009F4D6B">
        <w:rPr>
          <w:rFonts w:ascii="Calibri" w:hAnsi="Calibri" w:cs="Calibri"/>
          <w:lang w:val="en-GB"/>
        </w:rPr>
        <w:t>Assess whether the process included adequate consultation and communication</w:t>
      </w:r>
    </w:p>
    <w:p w14:paraId="6E55490D" w14:textId="77777777" w:rsidR="009F4D6B" w:rsidRDefault="009F4D6B" w:rsidP="00CF06BB">
      <w:pPr>
        <w:numPr>
          <w:ilvl w:val="0"/>
          <w:numId w:val="8"/>
        </w:numPr>
        <w:rPr>
          <w:rFonts w:ascii="Calibri" w:hAnsi="Calibri" w:cs="Calibri"/>
          <w:lang w:val="en-GB"/>
        </w:rPr>
      </w:pPr>
      <w:r w:rsidRPr="009F4D6B">
        <w:rPr>
          <w:rFonts w:ascii="Calibri" w:hAnsi="Calibri" w:cs="Calibri"/>
          <w:lang w:val="en-GB"/>
        </w:rPr>
        <w:t>Look at similar situations in the Trust to ensure consistency in how contract variations are handled</w:t>
      </w:r>
    </w:p>
    <w:p w14:paraId="26E55490" w14:textId="77777777" w:rsidR="009F4D6B" w:rsidRPr="009F4D6B" w:rsidRDefault="009F4D6B" w:rsidP="009F4D6B">
      <w:pPr>
        <w:ind w:left="720"/>
        <w:rPr>
          <w:rFonts w:ascii="Calibri" w:hAnsi="Calibri" w:cs="Calibri"/>
          <w:lang w:val="en-GB"/>
        </w:rPr>
      </w:pPr>
    </w:p>
    <w:p w14:paraId="58E073CD" w14:textId="77777777" w:rsidR="009F4D6B" w:rsidRDefault="009F4D6B" w:rsidP="009F4D6B">
      <w:pPr>
        <w:rPr>
          <w:rFonts w:ascii="Calibri" w:hAnsi="Calibri" w:cs="Calibri"/>
          <w:lang w:val="en-GB"/>
        </w:rPr>
      </w:pPr>
      <w:r w:rsidRPr="009F4D6B">
        <w:rPr>
          <w:rFonts w:ascii="Calibri" w:hAnsi="Calibri" w:cs="Calibri"/>
          <w:lang w:val="en-GB"/>
        </w:rPr>
        <w:t>Let me know if you’d like help with reviewing this case or exploring how to strengthen our processes around contractual changes moving forward.</w:t>
      </w:r>
    </w:p>
    <w:p w14:paraId="16D0A14B" w14:textId="77777777" w:rsidR="009F4D6B" w:rsidRPr="009F4D6B" w:rsidRDefault="009F4D6B" w:rsidP="009F4D6B">
      <w:pPr>
        <w:rPr>
          <w:rFonts w:ascii="Calibri" w:hAnsi="Calibri" w:cs="Calibri"/>
          <w:lang w:val="en-GB"/>
        </w:rPr>
      </w:pPr>
    </w:p>
    <w:p w14:paraId="35C777E2" w14:textId="77777777" w:rsidR="009F4D6B" w:rsidRPr="009F4D6B" w:rsidRDefault="009F4D6B" w:rsidP="009F4D6B">
      <w:pPr>
        <w:rPr>
          <w:rFonts w:ascii="Calibri" w:hAnsi="Calibri" w:cs="Calibri"/>
          <w:lang w:val="en-GB"/>
        </w:rPr>
      </w:pPr>
      <w:r w:rsidRPr="009F4D6B">
        <w:rPr>
          <w:rFonts w:ascii="Calibri" w:hAnsi="Calibri" w:cs="Calibri"/>
          <w:lang w:val="en-GB"/>
        </w:rPr>
        <w:t>Best wishes,</w:t>
      </w:r>
      <w:r w:rsidRPr="009F4D6B">
        <w:rPr>
          <w:rFonts w:ascii="Calibri" w:hAnsi="Calibri" w:cs="Calibri"/>
          <w:lang w:val="en-GB"/>
        </w:rPr>
        <w:br/>
        <w:t>Melanie</w:t>
      </w:r>
    </w:p>
    <w:p w14:paraId="4D0E1155" w14:textId="77777777" w:rsidR="001F6BD2" w:rsidRPr="00CE7B88" w:rsidRDefault="001F6BD2" w:rsidP="007D3F26">
      <w:pPr>
        <w:rPr>
          <w:rFonts w:ascii="Calibri" w:hAnsi="Calibri" w:cs="Calibri"/>
          <w:color w:val="FF0000"/>
          <w:lang w:val="en-GB"/>
        </w:rPr>
      </w:pPr>
    </w:p>
    <w:p w14:paraId="1CB32F8D" w14:textId="77777777" w:rsidR="001F6BD2" w:rsidRPr="00121E2B" w:rsidRDefault="001F6BD2" w:rsidP="007D3F26">
      <w:pPr>
        <w:rPr>
          <w:rFonts w:ascii="Calibri" w:hAnsi="Calibri" w:cs="Calibri"/>
          <w:lang w:val="en-GB"/>
        </w:rPr>
      </w:pPr>
    </w:p>
    <w:p w14:paraId="2528D449" w14:textId="46AAACC7" w:rsidR="007D3F26" w:rsidRPr="00121E2B" w:rsidRDefault="001F6BD2" w:rsidP="007D3F26">
      <w:pPr>
        <w:rPr>
          <w:rFonts w:ascii="Calibri" w:hAnsi="Calibri" w:cs="Calibri"/>
          <w:lang w:val="en-GB"/>
        </w:rPr>
      </w:pPr>
      <w:r w:rsidRPr="00121E2B">
        <w:rPr>
          <w:rFonts w:ascii="Calibri" w:hAnsi="Calibri" w:cs="Calibri"/>
          <w:lang w:val="en-GB"/>
        </w:rPr>
        <w:t>AC 3.2</w:t>
      </w:r>
    </w:p>
    <w:p w14:paraId="75488A4E" w14:textId="77777777" w:rsidR="00E3798F" w:rsidRDefault="00E3798F" w:rsidP="007D3F26">
      <w:pPr>
        <w:rPr>
          <w:rFonts w:ascii="Calibri" w:hAnsi="Calibri" w:cs="Calibri"/>
          <w:lang w:val="en-GB"/>
        </w:rPr>
      </w:pPr>
    </w:p>
    <w:p w14:paraId="5991F5F8" w14:textId="77777777" w:rsidR="009F4D6B" w:rsidRPr="009F4D6B" w:rsidRDefault="009F4D6B" w:rsidP="009F4D6B">
      <w:pPr>
        <w:rPr>
          <w:rFonts w:ascii="Calibri" w:hAnsi="Calibri" w:cs="Calibri"/>
          <w:lang w:val="en-GB"/>
        </w:rPr>
      </w:pPr>
      <w:r w:rsidRPr="009F4D6B">
        <w:rPr>
          <w:rFonts w:ascii="Calibri" w:hAnsi="Calibri" w:cs="Calibri"/>
          <w:lang w:val="en-GB"/>
        </w:rPr>
        <w:t>Subject: Legal Considerations – Organisational Restructure and Redundancy</w:t>
      </w:r>
    </w:p>
    <w:p w14:paraId="4F960229" w14:textId="77777777" w:rsidR="009F4D6B" w:rsidRDefault="009F4D6B" w:rsidP="009F4D6B">
      <w:pPr>
        <w:rPr>
          <w:rFonts w:ascii="Calibri" w:hAnsi="Calibri" w:cs="Calibri"/>
          <w:lang w:val="en-GB"/>
        </w:rPr>
      </w:pPr>
      <w:r w:rsidRPr="009F4D6B">
        <w:rPr>
          <w:rFonts w:ascii="Calibri" w:hAnsi="Calibri" w:cs="Calibri"/>
          <w:lang w:val="en-GB"/>
        </w:rPr>
        <w:t>Hi Richard,</w:t>
      </w:r>
    </w:p>
    <w:p w14:paraId="15FFD240" w14:textId="77777777" w:rsidR="009F4D6B" w:rsidRPr="009F4D6B" w:rsidRDefault="009F4D6B" w:rsidP="009F4D6B">
      <w:pPr>
        <w:rPr>
          <w:rFonts w:ascii="Calibri" w:hAnsi="Calibri" w:cs="Calibri"/>
          <w:lang w:val="en-GB"/>
        </w:rPr>
      </w:pPr>
    </w:p>
    <w:p w14:paraId="48DDBB48" w14:textId="2DF874AD" w:rsidR="009F4D6B" w:rsidRPr="00C9555C" w:rsidRDefault="009F4D6B" w:rsidP="009F4D6B">
      <w:pPr>
        <w:rPr>
          <w:rFonts w:ascii="Calibri" w:hAnsi="Calibri" w:cs="Calibri"/>
          <w:strike/>
          <w:lang w:val="en-GB"/>
        </w:rPr>
      </w:pPr>
      <w:r w:rsidRPr="00C9555C">
        <w:rPr>
          <w:rFonts w:ascii="Calibri" w:hAnsi="Calibri" w:cs="Calibri"/>
          <w:strike/>
          <w:lang w:val="en-GB"/>
        </w:rPr>
        <w:t>Thank you for your message regarding the planned restructure, which will result in the loss of 50 roles. While I appreciate the urgency to move forward efficiently, it’s critical that the process complies with current employment legislation — particularly the Employment Rights Act 1996, the Equality Act 2010, and the best practice (Daniels 2022, Chapter 9).</w:t>
      </w:r>
    </w:p>
    <w:p w14:paraId="165F5000" w14:textId="77777777" w:rsidR="009F4D6B" w:rsidRPr="00C9555C" w:rsidRDefault="009F4D6B" w:rsidP="009F4D6B">
      <w:pPr>
        <w:rPr>
          <w:rFonts w:ascii="Calibri" w:hAnsi="Calibri" w:cs="Calibri"/>
          <w:strike/>
          <w:lang w:val="en-GB"/>
        </w:rPr>
      </w:pPr>
    </w:p>
    <w:p w14:paraId="7D669191" w14:textId="77777777" w:rsidR="009F4D6B" w:rsidRPr="00C9555C" w:rsidRDefault="009F4D6B" w:rsidP="009F4D6B">
      <w:pPr>
        <w:rPr>
          <w:rFonts w:ascii="Calibri" w:hAnsi="Calibri" w:cs="Calibri"/>
          <w:strike/>
          <w:lang w:val="en-GB"/>
        </w:rPr>
      </w:pPr>
      <w:r w:rsidRPr="00C9555C">
        <w:rPr>
          <w:rFonts w:ascii="Calibri" w:hAnsi="Calibri" w:cs="Calibri"/>
          <w:strike/>
          <w:lang w:val="en-GB"/>
        </w:rPr>
        <w:t>Redundancy must be driven by a legitimate organisational need — for instance, a service closure, budget constraints, or a decreased demand for certain types of work. It’s not an alternative to managing underperformance. Selecting staff purely based on being perceived as low performers could lead to claims of unfair dismissal if not handled properly. While performance can be used as a criterion, it must be supported by consistent evidence and incorporated into a fair and agreed-upon selection process.</w:t>
      </w:r>
    </w:p>
    <w:p w14:paraId="4824F878" w14:textId="77777777" w:rsidR="009F4D6B" w:rsidRPr="00C9555C" w:rsidRDefault="009F4D6B" w:rsidP="009F4D6B">
      <w:pPr>
        <w:rPr>
          <w:rFonts w:ascii="Calibri" w:hAnsi="Calibri" w:cs="Calibri"/>
          <w:strike/>
          <w:lang w:val="en-GB"/>
        </w:rPr>
      </w:pPr>
    </w:p>
    <w:p w14:paraId="62EB74C4" w14:textId="77777777" w:rsidR="009F4D6B" w:rsidRPr="00C9555C" w:rsidRDefault="009F4D6B" w:rsidP="009F4D6B">
      <w:pPr>
        <w:rPr>
          <w:rFonts w:ascii="Calibri" w:hAnsi="Calibri" w:cs="Calibri"/>
          <w:strike/>
          <w:lang w:val="en-GB"/>
        </w:rPr>
      </w:pPr>
      <w:r w:rsidRPr="00C9555C">
        <w:rPr>
          <w:rFonts w:ascii="Calibri" w:hAnsi="Calibri" w:cs="Calibri"/>
          <w:strike/>
          <w:lang w:val="en-GB"/>
        </w:rPr>
        <w:t>As you’re proposing to make 50 roles redundant, this qualifies as a collective redundancy. When 20 or more redundancies are proposed within a 90-day period at a single site, employers have a legal obligation to engage in collective consultation. This must be done with either recognised trade unions or elected employee representatives, and for at least 30 days before any dismissals take effect. Given the NHS’s unionised environment, timely and meaningful consultation is not optional — failing to comply could result in protective awards of up to 90 days’ pay for each affected employee.</w:t>
      </w:r>
    </w:p>
    <w:p w14:paraId="7EC6073F" w14:textId="77777777" w:rsidR="009F4D6B" w:rsidRPr="00C9555C" w:rsidRDefault="009F4D6B" w:rsidP="009F4D6B">
      <w:pPr>
        <w:rPr>
          <w:rFonts w:ascii="Calibri" w:hAnsi="Calibri" w:cs="Calibri"/>
          <w:strike/>
          <w:lang w:val="en-GB"/>
        </w:rPr>
      </w:pPr>
    </w:p>
    <w:p w14:paraId="7DEB5E3D" w14:textId="77777777" w:rsidR="009F4D6B" w:rsidRPr="00C9555C" w:rsidRDefault="009F4D6B" w:rsidP="009F4D6B">
      <w:pPr>
        <w:rPr>
          <w:rFonts w:ascii="Calibri" w:hAnsi="Calibri" w:cs="Calibri"/>
          <w:strike/>
          <w:lang w:val="en-GB"/>
        </w:rPr>
      </w:pPr>
      <w:r w:rsidRPr="00C9555C">
        <w:rPr>
          <w:rFonts w:ascii="Calibri" w:hAnsi="Calibri" w:cs="Calibri"/>
          <w:strike/>
          <w:lang w:val="en-GB"/>
        </w:rPr>
        <w:t>The redundancy selection process should rely on agreed and objective criteria, such as:</w:t>
      </w:r>
    </w:p>
    <w:p w14:paraId="498B3E99" w14:textId="77777777" w:rsidR="009F4D6B" w:rsidRPr="00C9555C" w:rsidRDefault="009F4D6B" w:rsidP="00CF06BB">
      <w:pPr>
        <w:numPr>
          <w:ilvl w:val="0"/>
          <w:numId w:val="9"/>
        </w:numPr>
        <w:rPr>
          <w:rFonts w:ascii="Calibri" w:hAnsi="Calibri" w:cs="Calibri"/>
          <w:strike/>
          <w:lang w:val="en-GB"/>
        </w:rPr>
      </w:pPr>
      <w:r w:rsidRPr="00C9555C">
        <w:rPr>
          <w:rFonts w:ascii="Calibri" w:hAnsi="Calibri" w:cs="Calibri"/>
          <w:strike/>
          <w:lang w:val="en-GB"/>
        </w:rPr>
        <w:t>Skills and qualifications relevant to the new structure</w:t>
      </w:r>
    </w:p>
    <w:p w14:paraId="7DED57E8" w14:textId="77777777" w:rsidR="009F4D6B" w:rsidRPr="00C9555C" w:rsidRDefault="009F4D6B" w:rsidP="00CF06BB">
      <w:pPr>
        <w:numPr>
          <w:ilvl w:val="0"/>
          <w:numId w:val="9"/>
        </w:numPr>
        <w:rPr>
          <w:rFonts w:ascii="Calibri" w:hAnsi="Calibri" w:cs="Calibri"/>
          <w:strike/>
          <w:lang w:val="en-GB"/>
        </w:rPr>
      </w:pPr>
      <w:r w:rsidRPr="00C9555C">
        <w:rPr>
          <w:rFonts w:ascii="Calibri" w:hAnsi="Calibri" w:cs="Calibri"/>
          <w:strike/>
          <w:lang w:val="en-GB"/>
        </w:rPr>
        <w:t>Attendance records (excluding those covered by protected characteristics)</w:t>
      </w:r>
    </w:p>
    <w:p w14:paraId="155267CE" w14:textId="77777777" w:rsidR="009F4D6B" w:rsidRPr="00C9555C" w:rsidRDefault="009F4D6B" w:rsidP="00CF06BB">
      <w:pPr>
        <w:numPr>
          <w:ilvl w:val="0"/>
          <w:numId w:val="9"/>
        </w:numPr>
        <w:rPr>
          <w:rFonts w:ascii="Calibri" w:hAnsi="Calibri" w:cs="Calibri"/>
          <w:strike/>
          <w:lang w:val="en-GB"/>
        </w:rPr>
      </w:pPr>
      <w:r w:rsidRPr="00C9555C">
        <w:rPr>
          <w:rFonts w:ascii="Calibri" w:hAnsi="Calibri" w:cs="Calibri"/>
          <w:strike/>
          <w:lang w:val="en-GB"/>
        </w:rPr>
        <w:t>Disciplinary history</w:t>
      </w:r>
    </w:p>
    <w:p w14:paraId="1564FB84" w14:textId="77777777" w:rsidR="009F4D6B" w:rsidRPr="00C9555C" w:rsidRDefault="009F4D6B" w:rsidP="00CF06BB">
      <w:pPr>
        <w:numPr>
          <w:ilvl w:val="0"/>
          <w:numId w:val="9"/>
        </w:numPr>
        <w:rPr>
          <w:rFonts w:ascii="Calibri" w:hAnsi="Calibri" w:cs="Calibri"/>
          <w:strike/>
          <w:lang w:val="en-GB"/>
        </w:rPr>
      </w:pPr>
      <w:r w:rsidRPr="00C9555C">
        <w:rPr>
          <w:rFonts w:ascii="Calibri" w:hAnsi="Calibri" w:cs="Calibri"/>
          <w:strike/>
          <w:lang w:val="en-GB"/>
        </w:rPr>
        <w:t>Performance evaluations, as long as these have been fairly and consistently applied</w:t>
      </w:r>
    </w:p>
    <w:p w14:paraId="3B75FDC2" w14:textId="77777777" w:rsidR="009F4D6B" w:rsidRPr="00C9555C" w:rsidRDefault="009F4D6B" w:rsidP="009F4D6B">
      <w:pPr>
        <w:ind w:left="720"/>
        <w:rPr>
          <w:rFonts w:ascii="Calibri" w:hAnsi="Calibri" w:cs="Calibri"/>
          <w:strike/>
          <w:lang w:val="en-GB"/>
        </w:rPr>
      </w:pPr>
    </w:p>
    <w:p w14:paraId="5E11BAD6" w14:textId="67588CE3" w:rsidR="009F4D6B" w:rsidRPr="00C9555C" w:rsidRDefault="009F4D6B" w:rsidP="009F4D6B">
      <w:pPr>
        <w:rPr>
          <w:rFonts w:ascii="Calibri" w:hAnsi="Calibri" w:cs="Calibri"/>
          <w:strike/>
          <w:lang w:val="en-GB"/>
        </w:rPr>
      </w:pPr>
      <w:r w:rsidRPr="00C9555C">
        <w:rPr>
          <w:rFonts w:ascii="Calibri" w:hAnsi="Calibri" w:cs="Calibri"/>
          <w:strike/>
          <w:lang w:val="en-GB"/>
        </w:rPr>
        <w:t xml:space="preserve">It’s also a legal and ethical expectation that all alternatives to redundancy are considered. This might include offering voluntary redundancy, identifying suitable redeployment options, or offering </w:t>
      </w:r>
      <w:r w:rsidRPr="00C9555C">
        <w:rPr>
          <w:rFonts w:ascii="Calibri" w:hAnsi="Calibri" w:cs="Calibri"/>
          <w:strike/>
          <w:lang w:val="en-GB"/>
        </w:rPr>
        <w:lastRenderedPageBreak/>
        <w:t>retraining where appropriate. Redundancy should be a last resort and we should try where possible to retain staff.</w:t>
      </w:r>
    </w:p>
    <w:p w14:paraId="6C0B64EE" w14:textId="77777777" w:rsidR="009F4D6B" w:rsidRPr="00C9555C" w:rsidRDefault="009F4D6B" w:rsidP="009F4D6B">
      <w:pPr>
        <w:rPr>
          <w:rFonts w:ascii="Calibri" w:hAnsi="Calibri" w:cs="Calibri"/>
          <w:strike/>
          <w:lang w:val="en-GB"/>
        </w:rPr>
      </w:pPr>
    </w:p>
    <w:p w14:paraId="6939934F" w14:textId="77777777" w:rsidR="009F4D6B" w:rsidRPr="00C9555C" w:rsidRDefault="009F4D6B" w:rsidP="009F4D6B">
      <w:pPr>
        <w:rPr>
          <w:rFonts w:ascii="Calibri" w:hAnsi="Calibri" w:cs="Calibri"/>
          <w:strike/>
          <w:lang w:val="en-GB"/>
        </w:rPr>
      </w:pPr>
      <w:r w:rsidRPr="00C9555C">
        <w:rPr>
          <w:rFonts w:ascii="Calibri" w:hAnsi="Calibri" w:cs="Calibri"/>
          <w:strike/>
          <w:lang w:val="en-GB"/>
        </w:rPr>
        <w:t>Please also be aware that employees have three months minus one day from the termination of their contract to bring a claim to the Employment Tribunal, making it all the more important that we can clearly demonstrate fairness throughout.</w:t>
      </w:r>
    </w:p>
    <w:p w14:paraId="0E2ED902" w14:textId="77777777" w:rsidR="009F4D6B" w:rsidRPr="00C9555C" w:rsidRDefault="009F4D6B" w:rsidP="009F4D6B">
      <w:pPr>
        <w:rPr>
          <w:rFonts w:ascii="Calibri" w:hAnsi="Calibri" w:cs="Calibri"/>
          <w:strike/>
          <w:lang w:val="en-GB"/>
        </w:rPr>
      </w:pPr>
    </w:p>
    <w:p w14:paraId="60D5294B" w14:textId="77777777" w:rsidR="009F4D6B" w:rsidRPr="00C9555C" w:rsidRDefault="009F4D6B" w:rsidP="009F4D6B">
      <w:pPr>
        <w:rPr>
          <w:rFonts w:ascii="Calibri" w:hAnsi="Calibri" w:cs="Calibri"/>
          <w:strike/>
          <w:lang w:val="en-GB"/>
        </w:rPr>
      </w:pPr>
      <w:r w:rsidRPr="00C9555C">
        <w:rPr>
          <w:rFonts w:ascii="Calibri" w:hAnsi="Calibri" w:cs="Calibri"/>
          <w:strike/>
          <w:lang w:val="en-GB"/>
        </w:rPr>
        <w:t>I’m more than happy to support you with the planning and delivery of the consultation process, reviewing proposed selection methods, and helping to ensure that the Trust’s approach is legally compliant and transparent.</w:t>
      </w:r>
    </w:p>
    <w:p w14:paraId="7F18430C" w14:textId="77777777" w:rsidR="009F4D6B" w:rsidRPr="009F4D6B" w:rsidRDefault="009F4D6B" w:rsidP="009F4D6B">
      <w:pPr>
        <w:rPr>
          <w:rFonts w:ascii="Calibri" w:hAnsi="Calibri" w:cs="Calibri"/>
          <w:lang w:val="en-GB"/>
        </w:rPr>
      </w:pPr>
    </w:p>
    <w:p w14:paraId="4C591D2C" w14:textId="77777777" w:rsidR="00714EA1" w:rsidRDefault="00714EA1" w:rsidP="00714EA1">
      <w:pPr>
        <w:rPr>
          <w:rFonts w:ascii="Calibri" w:hAnsi="Calibri" w:cs="Calibri"/>
          <w:color w:val="FF0000"/>
        </w:rPr>
      </w:pPr>
      <w:r w:rsidRPr="007B7C96">
        <w:rPr>
          <w:rFonts w:ascii="Calibri" w:hAnsi="Calibri" w:cs="Calibri"/>
          <w:color w:val="FF0000"/>
        </w:rPr>
        <w:t xml:space="preserve">Thanks for reaching out about the proposed </w:t>
      </w:r>
      <w:proofErr w:type="spellStart"/>
      <w:r w:rsidRPr="007B7C96">
        <w:rPr>
          <w:rFonts w:ascii="Calibri" w:hAnsi="Calibri" w:cs="Calibri"/>
          <w:color w:val="FF0000"/>
        </w:rPr>
        <w:t>reorganisation</w:t>
      </w:r>
      <w:proofErr w:type="spellEnd"/>
      <w:r w:rsidRPr="007B7C96">
        <w:rPr>
          <w:rFonts w:ascii="Calibri" w:hAnsi="Calibri" w:cs="Calibri"/>
          <w:color w:val="FF0000"/>
        </w:rPr>
        <w:t xml:space="preserve"> involving the loss of 50 posts. While I completely understand the desire to move swiftly, it’s critical that the process is managed in line with current UK employment legislation, including the Employment Rights Act 1996, the Equality Act 2010, and supporting guidance from ACAS, Daniels (2022), and CIPD (2023).</w:t>
      </w:r>
    </w:p>
    <w:p w14:paraId="751BD98A" w14:textId="77777777" w:rsidR="00C9555C" w:rsidRPr="007B7C96" w:rsidRDefault="00C9555C" w:rsidP="00714EA1">
      <w:pPr>
        <w:rPr>
          <w:rFonts w:ascii="Calibri" w:hAnsi="Calibri" w:cs="Calibri"/>
          <w:color w:val="FF0000"/>
        </w:rPr>
      </w:pPr>
    </w:p>
    <w:p w14:paraId="11C0FDD3" w14:textId="77777777" w:rsidR="00714EA1" w:rsidRDefault="00714EA1" w:rsidP="00714EA1">
      <w:pPr>
        <w:rPr>
          <w:rFonts w:ascii="Calibri" w:hAnsi="Calibri" w:cs="Calibri"/>
          <w:color w:val="FF0000"/>
        </w:rPr>
      </w:pPr>
      <w:r w:rsidRPr="007B7C96">
        <w:rPr>
          <w:rFonts w:ascii="Calibri" w:hAnsi="Calibri" w:cs="Calibri"/>
          <w:color w:val="FF0000"/>
        </w:rPr>
        <w:t xml:space="preserve">To be lawful, redundancy must be due to a genuine business reason. Under the Employment Rights Act 1996, section 139, this includes scenarios such as the closure of a business or workplace, a diminished need for employees to carry out work of a particular kind, or </w:t>
      </w:r>
      <w:proofErr w:type="spellStart"/>
      <w:r w:rsidRPr="007B7C96">
        <w:rPr>
          <w:rFonts w:ascii="Calibri" w:hAnsi="Calibri" w:cs="Calibri"/>
          <w:color w:val="FF0000"/>
        </w:rPr>
        <w:t>organisational</w:t>
      </w:r>
      <w:proofErr w:type="spellEnd"/>
      <w:r w:rsidRPr="007B7C96">
        <w:rPr>
          <w:rFonts w:ascii="Calibri" w:hAnsi="Calibri" w:cs="Calibri"/>
          <w:color w:val="FF0000"/>
        </w:rPr>
        <w:t xml:space="preserve"> restructuring (Daniels, 2022). It must not be used to mask performance issues. Selecting employees based solely on perceived underperformance, without using objective and consistent measures, could constitute unfair dismissal (CIPD, 2023a).</w:t>
      </w:r>
    </w:p>
    <w:p w14:paraId="5E33D7E3" w14:textId="77777777" w:rsidR="00C9555C" w:rsidRPr="007B7C96" w:rsidRDefault="00C9555C" w:rsidP="00714EA1">
      <w:pPr>
        <w:rPr>
          <w:rFonts w:ascii="Calibri" w:hAnsi="Calibri" w:cs="Calibri"/>
          <w:color w:val="FF0000"/>
        </w:rPr>
      </w:pPr>
    </w:p>
    <w:p w14:paraId="33D63D27" w14:textId="77777777" w:rsidR="00714EA1" w:rsidRPr="007B7C96" w:rsidRDefault="00714EA1" w:rsidP="00714EA1">
      <w:pPr>
        <w:rPr>
          <w:rFonts w:ascii="Calibri" w:hAnsi="Calibri" w:cs="Calibri"/>
          <w:color w:val="FF0000"/>
        </w:rPr>
      </w:pPr>
      <w:r w:rsidRPr="007B7C96">
        <w:rPr>
          <w:rFonts w:ascii="Calibri" w:hAnsi="Calibri" w:cs="Calibri"/>
          <w:color w:val="FF0000"/>
        </w:rPr>
        <w:t xml:space="preserve">Where 20 or more redundancies are proposed within a 90-day period at a single establishment, this constitutes a collective redundancy under the Trade Union and </w:t>
      </w:r>
      <w:proofErr w:type="spellStart"/>
      <w:r w:rsidRPr="007B7C96">
        <w:rPr>
          <w:rFonts w:ascii="Calibri" w:hAnsi="Calibri" w:cs="Calibri"/>
          <w:color w:val="FF0000"/>
        </w:rPr>
        <w:t>Labour</w:t>
      </w:r>
      <w:proofErr w:type="spellEnd"/>
      <w:r w:rsidRPr="007B7C96">
        <w:rPr>
          <w:rFonts w:ascii="Calibri" w:hAnsi="Calibri" w:cs="Calibri"/>
          <w:color w:val="FF0000"/>
        </w:rPr>
        <w:t xml:space="preserve"> Relations (Consolidation) Act 1992. In such cases, the employer must:</w:t>
      </w:r>
    </w:p>
    <w:p w14:paraId="3CF4CF2B" w14:textId="77777777" w:rsidR="00714EA1" w:rsidRPr="007B7C96" w:rsidRDefault="00714EA1" w:rsidP="00714EA1">
      <w:pPr>
        <w:numPr>
          <w:ilvl w:val="0"/>
          <w:numId w:val="17"/>
        </w:numPr>
        <w:rPr>
          <w:rFonts w:ascii="Calibri" w:hAnsi="Calibri" w:cs="Calibri"/>
          <w:color w:val="FF0000"/>
        </w:rPr>
      </w:pPr>
      <w:r w:rsidRPr="007B7C96">
        <w:rPr>
          <w:rFonts w:ascii="Calibri" w:hAnsi="Calibri" w:cs="Calibri"/>
          <w:color w:val="FF0000"/>
        </w:rPr>
        <w:t xml:space="preserve">Begin formal consultation with </w:t>
      </w:r>
      <w:proofErr w:type="spellStart"/>
      <w:r w:rsidRPr="007B7C96">
        <w:rPr>
          <w:rFonts w:ascii="Calibri" w:hAnsi="Calibri" w:cs="Calibri"/>
          <w:color w:val="FF0000"/>
        </w:rPr>
        <w:t>recognised</w:t>
      </w:r>
      <w:proofErr w:type="spellEnd"/>
      <w:r w:rsidRPr="007B7C96">
        <w:rPr>
          <w:rFonts w:ascii="Calibri" w:hAnsi="Calibri" w:cs="Calibri"/>
          <w:color w:val="FF0000"/>
        </w:rPr>
        <w:t xml:space="preserve"> trade unions or elected employee representatives at least 30 days before any dismissals take effect (ACAS, 2023).</w:t>
      </w:r>
    </w:p>
    <w:p w14:paraId="16BC81D6" w14:textId="77777777" w:rsidR="00714EA1" w:rsidRPr="007B7C96" w:rsidRDefault="00714EA1" w:rsidP="00714EA1">
      <w:pPr>
        <w:numPr>
          <w:ilvl w:val="0"/>
          <w:numId w:val="17"/>
        </w:numPr>
        <w:rPr>
          <w:rFonts w:ascii="Calibri" w:hAnsi="Calibri" w:cs="Calibri"/>
          <w:color w:val="FF0000"/>
        </w:rPr>
      </w:pPr>
      <w:r w:rsidRPr="007B7C96">
        <w:rPr>
          <w:rFonts w:ascii="Calibri" w:hAnsi="Calibri" w:cs="Calibri"/>
          <w:color w:val="FF0000"/>
        </w:rPr>
        <w:t>Notify the Redundancy Payments Service (RPS) using form HR1 — failure to do so is a criminal offence (Gov.uk, 2023).</w:t>
      </w:r>
    </w:p>
    <w:p w14:paraId="58CDA0B8" w14:textId="77777777" w:rsidR="00714EA1" w:rsidRDefault="00714EA1" w:rsidP="00714EA1">
      <w:pPr>
        <w:numPr>
          <w:ilvl w:val="0"/>
          <w:numId w:val="17"/>
        </w:numPr>
        <w:rPr>
          <w:rFonts w:ascii="Calibri" w:hAnsi="Calibri" w:cs="Calibri"/>
          <w:color w:val="FF0000"/>
        </w:rPr>
      </w:pPr>
      <w:r w:rsidRPr="007B7C96">
        <w:rPr>
          <w:rFonts w:ascii="Calibri" w:hAnsi="Calibri" w:cs="Calibri"/>
          <w:color w:val="FF0000"/>
        </w:rPr>
        <w:t>Ensure that consultation is meaningful and includes discussion of the reasons for redundancy, selection methods, and alternatives (Daniels, 2022; ACAS, 2023).</w:t>
      </w:r>
    </w:p>
    <w:p w14:paraId="15CF9385" w14:textId="77777777" w:rsidR="00C9555C" w:rsidRPr="007B7C96" w:rsidRDefault="00C9555C" w:rsidP="00C9555C">
      <w:pPr>
        <w:ind w:left="720"/>
        <w:rPr>
          <w:rFonts w:ascii="Calibri" w:hAnsi="Calibri" w:cs="Calibri"/>
          <w:color w:val="FF0000"/>
        </w:rPr>
      </w:pPr>
    </w:p>
    <w:p w14:paraId="639B929A" w14:textId="77777777" w:rsidR="00714EA1" w:rsidRPr="007B7C96" w:rsidRDefault="00714EA1" w:rsidP="00714EA1">
      <w:pPr>
        <w:rPr>
          <w:rFonts w:ascii="Calibri" w:hAnsi="Calibri" w:cs="Calibri"/>
          <w:color w:val="FF0000"/>
        </w:rPr>
      </w:pPr>
      <w:r w:rsidRPr="007B7C96">
        <w:rPr>
          <w:rFonts w:ascii="Calibri" w:hAnsi="Calibri" w:cs="Calibri"/>
          <w:color w:val="FF0000"/>
        </w:rPr>
        <w:t>Fair and transparent selection criteria should be agreed through consultation. These may include:</w:t>
      </w:r>
    </w:p>
    <w:p w14:paraId="6253FD07" w14:textId="77777777" w:rsidR="00714EA1" w:rsidRPr="007B7C96" w:rsidRDefault="00714EA1" w:rsidP="00714EA1">
      <w:pPr>
        <w:numPr>
          <w:ilvl w:val="0"/>
          <w:numId w:val="18"/>
        </w:numPr>
        <w:rPr>
          <w:rFonts w:ascii="Calibri" w:hAnsi="Calibri" w:cs="Calibri"/>
          <w:color w:val="FF0000"/>
        </w:rPr>
      </w:pPr>
      <w:r w:rsidRPr="007B7C96">
        <w:rPr>
          <w:rFonts w:ascii="Calibri" w:hAnsi="Calibri" w:cs="Calibri"/>
          <w:color w:val="FF0000"/>
        </w:rPr>
        <w:t>Skills, qualifications, and relevant experience</w:t>
      </w:r>
    </w:p>
    <w:p w14:paraId="4B1EE2A3" w14:textId="77777777" w:rsidR="00714EA1" w:rsidRPr="007B7C96" w:rsidRDefault="00714EA1" w:rsidP="00714EA1">
      <w:pPr>
        <w:numPr>
          <w:ilvl w:val="0"/>
          <w:numId w:val="18"/>
        </w:numPr>
        <w:rPr>
          <w:rFonts w:ascii="Calibri" w:hAnsi="Calibri" w:cs="Calibri"/>
          <w:color w:val="FF0000"/>
        </w:rPr>
      </w:pPr>
      <w:r w:rsidRPr="007B7C96">
        <w:rPr>
          <w:rFonts w:ascii="Calibri" w:hAnsi="Calibri" w:cs="Calibri"/>
          <w:color w:val="FF0000"/>
        </w:rPr>
        <w:t>Performance (objectively measured and consistently applied)</w:t>
      </w:r>
    </w:p>
    <w:p w14:paraId="7AE97309" w14:textId="77777777" w:rsidR="00714EA1" w:rsidRPr="007B7C96" w:rsidRDefault="00714EA1" w:rsidP="00714EA1">
      <w:pPr>
        <w:numPr>
          <w:ilvl w:val="0"/>
          <w:numId w:val="18"/>
        </w:numPr>
        <w:rPr>
          <w:rFonts w:ascii="Calibri" w:hAnsi="Calibri" w:cs="Calibri"/>
          <w:color w:val="FF0000"/>
        </w:rPr>
      </w:pPr>
      <w:r w:rsidRPr="007B7C96">
        <w:rPr>
          <w:rFonts w:ascii="Calibri" w:hAnsi="Calibri" w:cs="Calibri"/>
          <w:color w:val="FF0000"/>
        </w:rPr>
        <w:t>Attendance (excluding disability-related absences)</w:t>
      </w:r>
    </w:p>
    <w:p w14:paraId="68EF08B8" w14:textId="77777777" w:rsidR="00714EA1" w:rsidRDefault="00714EA1" w:rsidP="00714EA1">
      <w:pPr>
        <w:numPr>
          <w:ilvl w:val="0"/>
          <w:numId w:val="18"/>
        </w:numPr>
        <w:rPr>
          <w:rFonts w:ascii="Calibri" w:hAnsi="Calibri" w:cs="Calibri"/>
          <w:color w:val="FF0000"/>
        </w:rPr>
      </w:pPr>
      <w:r w:rsidRPr="007B7C96">
        <w:rPr>
          <w:rFonts w:ascii="Calibri" w:hAnsi="Calibri" w:cs="Calibri"/>
          <w:color w:val="FF0000"/>
        </w:rPr>
        <w:t>Disciplinary records</w:t>
      </w:r>
      <w:r w:rsidRPr="007B7C96">
        <w:rPr>
          <w:rFonts w:ascii="Calibri" w:hAnsi="Calibri" w:cs="Calibri"/>
          <w:color w:val="FF0000"/>
        </w:rPr>
        <w:br/>
        <w:t>(Armstrong and Taylor, 2023)</w:t>
      </w:r>
    </w:p>
    <w:p w14:paraId="5AEE7F99" w14:textId="77777777" w:rsidR="00C9555C" w:rsidRPr="007B7C96" w:rsidRDefault="00C9555C" w:rsidP="00C9555C">
      <w:pPr>
        <w:ind w:left="720"/>
        <w:rPr>
          <w:rFonts w:ascii="Calibri" w:hAnsi="Calibri" w:cs="Calibri"/>
          <w:color w:val="FF0000"/>
        </w:rPr>
      </w:pPr>
    </w:p>
    <w:p w14:paraId="352E5CC7" w14:textId="77777777" w:rsidR="00714EA1" w:rsidRDefault="00714EA1" w:rsidP="00714EA1">
      <w:pPr>
        <w:rPr>
          <w:rFonts w:ascii="Calibri" w:hAnsi="Calibri" w:cs="Calibri"/>
          <w:color w:val="FF0000"/>
        </w:rPr>
      </w:pPr>
      <w:r w:rsidRPr="007B7C96">
        <w:rPr>
          <w:rFonts w:ascii="Calibri" w:hAnsi="Calibri" w:cs="Calibri"/>
          <w:color w:val="FF0000"/>
        </w:rPr>
        <w:t xml:space="preserve">Additionally, employers have a legal duty to consider suitable alternative employment before </w:t>
      </w:r>
      <w:proofErr w:type="spellStart"/>
      <w:r w:rsidRPr="007B7C96">
        <w:rPr>
          <w:rFonts w:ascii="Calibri" w:hAnsi="Calibri" w:cs="Calibri"/>
          <w:color w:val="FF0000"/>
        </w:rPr>
        <w:t>finalising</w:t>
      </w:r>
      <w:proofErr w:type="spellEnd"/>
      <w:r w:rsidRPr="007B7C96">
        <w:rPr>
          <w:rFonts w:ascii="Calibri" w:hAnsi="Calibri" w:cs="Calibri"/>
          <w:color w:val="FF0000"/>
        </w:rPr>
        <w:t xml:space="preserve"> redundancies (Employment Rights Act 1996, s.141). This includes exploring redeployment to vacant roles, job redesign, or retraining opportunities (CIPD, 2023b). Failure to properly consider alternatives can also render a dismissal unfair.</w:t>
      </w:r>
    </w:p>
    <w:p w14:paraId="018E18B2" w14:textId="77777777" w:rsidR="00C9555C" w:rsidRPr="007B7C96" w:rsidRDefault="00C9555C" w:rsidP="00714EA1">
      <w:pPr>
        <w:rPr>
          <w:rFonts w:ascii="Calibri" w:hAnsi="Calibri" w:cs="Calibri"/>
          <w:color w:val="FF0000"/>
        </w:rPr>
      </w:pPr>
    </w:p>
    <w:p w14:paraId="4EAA0147" w14:textId="77777777" w:rsidR="00714EA1" w:rsidRDefault="00714EA1" w:rsidP="00714EA1">
      <w:pPr>
        <w:rPr>
          <w:rFonts w:ascii="Calibri" w:hAnsi="Calibri" w:cs="Calibri"/>
          <w:color w:val="FF0000"/>
        </w:rPr>
      </w:pPr>
      <w:r w:rsidRPr="007B7C96">
        <w:rPr>
          <w:rFonts w:ascii="Calibri" w:hAnsi="Calibri" w:cs="Calibri"/>
          <w:color w:val="FF0000"/>
        </w:rPr>
        <w:t>Employees selected for redundancy are entitled to written confirmation of their dismissal and statutory redundancy pay if eligible. They also have the right to appeal and may submit an unfair dismissal claim to an Employment Tribunal within three months minus one day of their termination date (Daniels, 2022).</w:t>
      </w:r>
    </w:p>
    <w:p w14:paraId="560BEFBA" w14:textId="77777777" w:rsidR="00C9555C" w:rsidRPr="007B7C96" w:rsidRDefault="00C9555C" w:rsidP="00714EA1">
      <w:pPr>
        <w:rPr>
          <w:rFonts w:ascii="Calibri" w:hAnsi="Calibri" w:cs="Calibri"/>
          <w:color w:val="FF0000"/>
        </w:rPr>
      </w:pPr>
    </w:p>
    <w:p w14:paraId="6AFFE977" w14:textId="77777777" w:rsidR="00714EA1" w:rsidRPr="007B7C96" w:rsidRDefault="00714EA1" w:rsidP="00714EA1">
      <w:pPr>
        <w:rPr>
          <w:rFonts w:ascii="Calibri" w:hAnsi="Calibri" w:cs="Calibri"/>
          <w:color w:val="FF0000"/>
        </w:rPr>
      </w:pPr>
      <w:r w:rsidRPr="007B7C96">
        <w:rPr>
          <w:rFonts w:ascii="Calibri" w:hAnsi="Calibri" w:cs="Calibri"/>
          <w:color w:val="FF0000"/>
        </w:rPr>
        <w:lastRenderedPageBreak/>
        <w:t>In short, while there may be a strong business rationale behind this restructure, we must demonstrate that all steps — particularly consultation and selection — are handled with fairness, objectivity, and legal compliance. I’d be happy to support with designing a legally sound consultation plan, reviewing proposed selection criteria, and ensuring compliance with notification and documentation requirements.</w:t>
      </w:r>
    </w:p>
    <w:p w14:paraId="6DD938E8" w14:textId="77777777" w:rsidR="0064156F" w:rsidRDefault="0064156F" w:rsidP="0073350A">
      <w:pPr>
        <w:rPr>
          <w:rFonts w:ascii="Calibri" w:hAnsi="Calibri" w:cs="Calibri"/>
          <w:lang w:val="en-GB"/>
        </w:rPr>
      </w:pPr>
    </w:p>
    <w:p w14:paraId="4EDA259A" w14:textId="0AC976A4" w:rsidR="0073350A" w:rsidRPr="009F4D6B" w:rsidRDefault="0073350A" w:rsidP="0073350A">
      <w:pPr>
        <w:rPr>
          <w:rFonts w:ascii="Calibri" w:hAnsi="Calibri" w:cs="Calibri"/>
          <w:lang w:val="en-GB"/>
        </w:rPr>
      </w:pPr>
      <w:r w:rsidRPr="009F4D6B">
        <w:rPr>
          <w:rFonts w:ascii="Calibri" w:hAnsi="Calibri" w:cs="Calibri"/>
          <w:lang w:val="en-GB"/>
        </w:rPr>
        <w:t>Best wishes,</w:t>
      </w:r>
      <w:r w:rsidRPr="009F4D6B">
        <w:rPr>
          <w:rFonts w:ascii="Calibri" w:hAnsi="Calibri" w:cs="Calibri"/>
          <w:lang w:val="en-GB"/>
        </w:rPr>
        <w:br/>
        <w:t>Melanie</w:t>
      </w:r>
    </w:p>
    <w:p w14:paraId="608F0693" w14:textId="77777777" w:rsidR="00E67510" w:rsidRDefault="00E67510" w:rsidP="00212DA7">
      <w:pPr>
        <w:rPr>
          <w:rFonts w:ascii="Calibri" w:hAnsi="Calibri" w:cs="Calibri"/>
        </w:rPr>
      </w:pPr>
    </w:p>
    <w:p w14:paraId="0A84B9CA" w14:textId="77777777" w:rsidR="00E67510" w:rsidRDefault="00E67510" w:rsidP="00212DA7">
      <w:pPr>
        <w:rPr>
          <w:rFonts w:ascii="Calibri" w:hAnsi="Calibri" w:cs="Calibri"/>
        </w:rPr>
      </w:pPr>
    </w:p>
    <w:p w14:paraId="082514CB" w14:textId="69FC2E2F" w:rsidR="00352A65" w:rsidRPr="00121E2B" w:rsidRDefault="006B6C99" w:rsidP="00212DA7">
      <w:pPr>
        <w:rPr>
          <w:rFonts w:ascii="Calibri" w:hAnsi="Calibri" w:cs="Calibri"/>
        </w:rPr>
      </w:pPr>
      <w:r w:rsidRPr="00121E2B">
        <w:rPr>
          <w:rFonts w:ascii="Calibri" w:hAnsi="Calibri" w:cs="Calibri"/>
        </w:rPr>
        <w:t>AC 3.3</w:t>
      </w:r>
    </w:p>
    <w:p w14:paraId="311D1233" w14:textId="77777777" w:rsidR="006B6C99" w:rsidRDefault="006B6C99" w:rsidP="00212DA7">
      <w:pPr>
        <w:rPr>
          <w:rFonts w:ascii="Calibri" w:hAnsi="Calibri" w:cs="Calibri"/>
        </w:rPr>
      </w:pPr>
    </w:p>
    <w:p w14:paraId="2114E4DE" w14:textId="77777777" w:rsidR="009F4D6B" w:rsidRPr="009F4D6B" w:rsidRDefault="009F4D6B" w:rsidP="009F4D6B">
      <w:pPr>
        <w:rPr>
          <w:rFonts w:ascii="Calibri" w:hAnsi="Calibri" w:cs="Calibri"/>
          <w:lang w:val="en-GB"/>
        </w:rPr>
      </w:pPr>
      <w:r w:rsidRPr="009F4D6B">
        <w:rPr>
          <w:rFonts w:ascii="Calibri" w:hAnsi="Calibri" w:cs="Calibri"/>
          <w:lang w:val="en-GB"/>
        </w:rPr>
        <w:t>Subject: Managing TUPE Implications – Pharmacy Service Merger</w:t>
      </w:r>
    </w:p>
    <w:p w14:paraId="399CE2E7" w14:textId="77777777" w:rsidR="009F4D6B" w:rsidRDefault="009F4D6B" w:rsidP="009F4D6B">
      <w:pPr>
        <w:rPr>
          <w:rFonts w:ascii="Calibri" w:hAnsi="Calibri" w:cs="Calibri"/>
          <w:lang w:val="en-GB"/>
        </w:rPr>
      </w:pPr>
      <w:r w:rsidRPr="009F4D6B">
        <w:rPr>
          <w:rFonts w:ascii="Calibri" w:hAnsi="Calibri" w:cs="Calibri"/>
          <w:lang w:val="en-GB"/>
        </w:rPr>
        <w:t>Dear Adam,</w:t>
      </w:r>
    </w:p>
    <w:p w14:paraId="3CEF5199" w14:textId="77777777" w:rsidR="009F4D6B" w:rsidRPr="009F4D6B" w:rsidRDefault="009F4D6B" w:rsidP="009F4D6B">
      <w:pPr>
        <w:rPr>
          <w:rFonts w:ascii="Calibri" w:hAnsi="Calibri" w:cs="Calibri"/>
          <w:lang w:val="en-GB"/>
        </w:rPr>
      </w:pPr>
    </w:p>
    <w:p w14:paraId="52B991FB" w14:textId="77777777" w:rsidR="009F4D6B" w:rsidRDefault="009F4D6B" w:rsidP="009F4D6B">
      <w:pPr>
        <w:rPr>
          <w:rFonts w:ascii="Calibri" w:hAnsi="Calibri" w:cs="Calibri"/>
          <w:lang w:val="en-GB"/>
        </w:rPr>
      </w:pPr>
      <w:r w:rsidRPr="009F4D6B">
        <w:rPr>
          <w:rFonts w:ascii="Calibri" w:hAnsi="Calibri" w:cs="Calibri"/>
          <w:lang w:val="en-GB"/>
        </w:rPr>
        <w:t>Thank you for sharing the initial plans around the proposed merger involving our pharmacy department and that of the neighbouring Trust. As discussions progress, it’s essential to consider the legal protections that apply to employees during such transitions — particularly under the Transfer of Undertakings (Protection of Employment) Regulations 2006 (TUPE).</w:t>
      </w:r>
    </w:p>
    <w:p w14:paraId="3E11B11F" w14:textId="77777777" w:rsidR="009F4D6B" w:rsidRPr="009F4D6B" w:rsidRDefault="009F4D6B" w:rsidP="009F4D6B">
      <w:pPr>
        <w:rPr>
          <w:rFonts w:ascii="Calibri" w:hAnsi="Calibri" w:cs="Calibri"/>
          <w:lang w:val="en-GB"/>
        </w:rPr>
      </w:pPr>
    </w:p>
    <w:p w14:paraId="342230C3" w14:textId="77777777" w:rsidR="009F4D6B" w:rsidRDefault="009F4D6B" w:rsidP="009F4D6B">
      <w:pPr>
        <w:rPr>
          <w:rFonts w:ascii="Calibri" w:hAnsi="Calibri" w:cs="Calibri"/>
          <w:lang w:val="en-GB"/>
        </w:rPr>
      </w:pPr>
      <w:r w:rsidRPr="009F4D6B">
        <w:rPr>
          <w:rFonts w:ascii="Calibri" w:hAnsi="Calibri" w:cs="Calibri"/>
          <w:lang w:val="en-GB"/>
        </w:rPr>
        <w:t>TUPE is triggered when a business or service provision changes hands and is designed to ensure that employees’ rights are protected when their employer changes. In this scenario, if staff from the neighbouring Trust move across to our employment as part of a new joint pharmacy model, TUPE is very likely to be engaged. This would mean that their employment contracts would transfer automatically to our Trust, and their terms and conditions — such as salary, working patterns, holiday allowance, and length of service — would remain unchanged (Daniels, 2022, Chapter 8).</w:t>
      </w:r>
    </w:p>
    <w:p w14:paraId="614490BB" w14:textId="77777777" w:rsidR="009F4D6B" w:rsidRPr="009F4D6B" w:rsidRDefault="009F4D6B" w:rsidP="009F4D6B">
      <w:pPr>
        <w:rPr>
          <w:rFonts w:ascii="Calibri" w:hAnsi="Calibri" w:cs="Calibri"/>
          <w:lang w:val="en-GB"/>
        </w:rPr>
      </w:pPr>
    </w:p>
    <w:p w14:paraId="1EB575DE" w14:textId="77777777" w:rsidR="009F4D6B" w:rsidRPr="009F4D6B" w:rsidRDefault="009F4D6B" w:rsidP="009F4D6B">
      <w:pPr>
        <w:rPr>
          <w:rFonts w:ascii="Calibri" w:hAnsi="Calibri" w:cs="Calibri"/>
          <w:lang w:val="en-GB"/>
        </w:rPr>
      </w:pPr>
      <w:r w:rsidRPr="009F4D6B">
        <w:rPr>
          <w:rFonts w:ascii="Calibri" w:hAnsi="Calibri" w:cs="Calibri"/>
          <w:lang w:val="en-GB"/>
        </w:rPr>
        <w:t>Key obligations under TUPE include:</w:t>
      </w:r>
    </w:p>
    <w:p w14:paraId="32779500" w14:textId="77777777" w:rsidR="009F4D6B" w:rsidRPr="009F4D6B" w:rsidRDefault="009F4D6B" w:rsidP="00CF06BB">
      <w:pPr>
        <w:numPr>
          <w:ilvl w:val="0"/>
          <w:numId w:val="10"/>
        </w:numPr>
        <w:rPr>
          <w:rFonts w:ascii="Calibri" w:hAnsi="Calibri" w:cs="Calibri"/>
          <w:lang w:val="en-GB"/>
        </w:rPr>
      </w:pPr>
      <w:r w:rsidRPr="009F4D6B">
        <w:rPr>
          <w:rFonts w:ascii="Calibri" w:hAnsi="Calibri" w:cs="Calibri"/>
          <w:lang w:val="en-GB"/>
        </w:rPr>
        <w:t>Automatic continuity of employment: Transferring employees become part of our workforce without the need to issue new contracts. Their employment is preserved by law.</w:t>
      </w:r>
    </w:p>
    <w:p w14:paraId="309BE230" w14:textId="77777777" w:rsidR="009F4D6B" w:rsidRPr="009F4D6B" w:rsidRDefault="009F4D6B" w:rsidP="00CF06BB">
      <w:pPr>
        <w:numPr>
          <w:ilvl w:val="0"/>
          <w:numId w:val="10"/>
        </w:numPr>
        <w:rPr>
          <w:rFonts w:ascii="Calibri" w:hAnsi="Calibri" w:cs="Calibri"/>
          <w:lang w:val="en-GB"/>
        </w:rPr>
      </w:pPr>
      <w:r w:rsidRPr="009F4D6B">
        <w:rPr>
          <w:rFonts w:ascii="Calibri" w:hAnsi="Calibri" w:cs="Calibri"/>
          <w:lang w:val="en-GB"/>
        </w:rPr>
        <w:t>Protection from dismissal: Employees must not be dismissed simply because of the transfer. Any dismissal must be based on an economic, technical, or organisational (ETO) reason involving workforce changes — for example, a restructure. Even in such cases, standard legal procedures around fairness and consultation still apply (Daniels, 2022).</w:t>
      </w:r>
    </w:p>
    <w:p w14:paraId="67412653" w14:textId="77777777" w:rsidR="009F4D6B" w:rsidRDefault="009F4D6B" w:rsidP="00CF06BB">
      <w:pPr>
        <w:numPr>
          <w:ilvl w:val="0"/>
          <w:numId w:val="10"/>
        </w:numPr>
        <w:rPr>
          <w:rFonts w:ascii="Calibri" w:hAnsi="Calibri" w:cs="Calibri"/>
          <w:lang w:val="en-GB"/>
        </w:rPr>
      </w:pPr>
      <w:r w:rsidRPr="009F4D6B">
        <w:rPr>
          <w:rFonts w:ascii="Calibri" w:hAnsi="Calibri" w:cs="Calibri"/>
          <w:lang w:val="en-GB"/>
        </w:rPr>
        <w:t>Consultation and information sharing: TUPE Regulation 13 requires employers to consult with recognised staff representatives — such as trade unions — well in advance. The consultation should explain the reason for the transfer, when it will occur, what it involves legally, and whether any changes are anticipated (CIPD, 2023). In our NHS setting, meaningful and early engagement with unions is especially important.</w:t>
      </w:r>
    </w:p>
    <w:p w14:paraId="7AA3C9AC" w14:textId="77777777" w:rsidR="009F4D6B" w:rsidRPr="009F4D6B" w:rsidRDefault="009F4D6B" w:rsidP="009F4D6B">
      <w:pPr>
        <w:ind w:left="720"/>
        <w:rPr>
          <w:rFonts w:ascii="Calibri" w:hAnsi="Calibri" w:cs="Calibri"/>
          <w:lang w:val="en-GB"/>
        </w:rPr>
      </w:pPr>
    </w:p>
    <w:p w14:paraId="496824A7" w14:textId="77777777" w:rsidR="009F4D6B" w:rsidRDefault="009F4D6B" w:rsidP="009F4D6B">
      <w:pPr>
        <w:rPr>
          <w:rFonts w:ascii="Calibri" w:hAnsi="Calibri" w:cs="Calibri"/>
          <w:lang w:val="en-GB"/>
        </w:rPr>
      </w:pPr>
      <w:r w:rsidRPr="009F4D6B">
        <w:rPr>
          <w:rFonts w:ascii="Calibri" w:hAnsi="Calibri" w:cs="Calibri"/>
          <w:lang w:val="en-GB"/>
        </w:rPr>
        <w:t>Although the UK has now left the EU, TUPE continues to be part of retained employment law. While the Retained EU Law (Revocation and Reform) Act 2023 gives UK courts more freedom to depart from historic ECJ rulings, the core TUPE protections remain in place. Some adjustments have already been made — including changes to consultation requirements and definitions around what counts as a transfer “measure” or “assignment” (People Management, 2024).</w:t>
      </w:r>
    </w:p>
    <w:p w14:paraId="64A227A6" w14:textId="77777777" w:rsidR="009F4D6B" w:rsidRPr="009F4D6B" w:rsidRDefault="009F4D6B" w:rsidP="009F4D6B">
      <w:pPr>
        <w:rPr>
          <w:rFonts w:ascii="Calibri" w:hAnsi="Calibri" w:cs="Calibri"/>
          <w:lang w:val="en-GB"/>
        </w:rPr>
      </w:pPr>
    </w:p>
    <w:p w14:paraId="3B530717" w14:textId="77777777" w:rsidR="009F4D6B" w:rsidRDefault="009F4D6B" w:rsidP="009F4D6B">
      <w:pPr>
        <w:rPr>
          <w:rFonts w:ascii="Calibri" w:hAnsi="Calibri" w:cs="Calibri"/>
          <w:lang w:val="en-GB"/>
        </w:rPr>
      </w:pPr>
      <w:r w:rsidRPr="009F4D6B">
        <w:rPr>
          <w:rFonts w:ascii="Calibri" w:hAnsi="Calibri" w:cs="Calibri"/>
          <w:lang w:val="en-GB"/>
        </w:rPr>
        <w:t>CIPD guidance highlights the importance of clear communication, early planning, and identifying which employees will be affected. It also advises careful cultural integration to minimise disruption and support staff wellbeing through what can be an unsettling time.</w:t>
      </w:r>
    </w:p>
    <w:p w14:paraId="669AF5CC" w14:textId="77777777" w:rsidR="009F4D6B" w:rsidRPr="009F4D6B" w:rsidRDefault="009F4D6B" w:rsidP="009F4D6B">
      <w:pPr>
        <w:rPr>
          <w:rFonts w:ascii="Calibri" w:hAnsi="Calibri" w:cs="Calibri"/>
          <w:lang w:val="en-GB"/>
        </w:rPr>
      </w:pPr>
    </w:p>
    <w:p w14:paraId="7B43D0D3" w14:textId="77777777" w:rsidR="009F4D6B" w:rsidRDefault="009F4D6B" w:rsidP="009F4D6B">
      <w:pPr>
        <w:rPr>
          <w:rFonts w:ascii="Calibri" w:hAnsi="Calibri" w:cs="Calibri"/>
          <w:lang w:val="en-GB"/>
        </w:rPr>
      </w:pPr>
      <w:r w:rsidRPr="009F4D6B">
        <w:rPr>
          <w:rFonts w:ascii="Calibri" w:hAnsi="Calibri" w:cs="Calibri"/>
          <w:lang w:val="en-GB"/>
        </w:rPr>
        <w:lastRenderedPageBreak/>
        <w:t>To conclude, TUPE exists to safeguard employee rights during business transfers. If this merger proceeds, we must ensure a legally sound and employee-centred approach — one that balances compliance with sensitivity and clarity.</w:t>
      </w:r>
    </w:p>
    <w:p w14:paraId="31F38372" w14:textId="77777777" w:rsidR="009F4D6B" w:rsidRPr="009F4D6B" w:rsidRDefault="009F4D6B" w:rsidP="009F4D6B">
      <w:pPr>
        <w:rPr>
          <w:rFonts w:ascii="Calibri" w:hAnsi="Calibri" w:cs="Calibri"/>
          <w:lang w:val="en-GB"/>
        </w:rPr>
      </w:pPr>
    </w:p>
    <w:p w14:paraId="73AF15D3" w14:textId="77777777" w:rsidR="009F4D6B" w:rsidRDefault="009F4D6B" w:rsidP="009F4D6B">
      <w:pPr>
        <w:rPr>
          <w:rFonts w:ascii="Calibri" w:hAnsi="Calibri" w:cs="Calibri"/>
          <w:lang w:val="en-GB"/>
        </w:rPr>
      </w:pPr>
      <w:r w:rsidRPr="009F4D6B">
        <w:rPr>
          <w:rFonts w:ascii="Calibri" w:hAnsi="Calibri" w:cs="Calibri"/>
          <w:lang w:val="en-GB"/>
        </w:rPr>
        <w:t>Please feel free to reach out if you’d like help with staff mapping, drafting consultation materials, or developing the transition plan.</w:t>
      </w:r>
    </w:p>
    <w:p w14:paraId="1FC166AC" w14:textId="77777777" w:rsidR="009F4D6B" w:rsidRPr="009F4D6B" w:rsidRDefault="009F4D6B" w:rsidP="009F4D6B">
      <w:pPr>
        <w:rPr>
          <w:rFonts w:ascii="Calibri" w:hAnsi="Calibri" w:cs="Calibri"/>
          <w:lang w:val="en-GB"/>
        </w:rPr>
      </w:pPr>
    </w:p>
    <w:p w14:paraId="1EE54481" w14:textId="77777777" w:rsidR="009F4D6B" w:rsidRPr="009F4D6B" w:rsidRDefault="009F4D6B" w:rsidP="009F4D6B">
      <w:pPr>
        <w:rPr>
          <w:rFonts w:ascii="Calibri" w:hAnsi="Calibri" w:cs="Calibri"/>
          <w:lang w:val="en-GB"/>
        </w:rPr>
      </w:pPr>
      <w:r w:rsidRPr="009F4D6B">
        <w:rPr>
          <w:rFonts w:ascii="Calibri" w:hAnsi="Calibri" w:cs="Calibri"/>
          <w:lang w:val="en-GB"/>
        </w:rPr>
        <w:t>Best regards,</w:t>
      </w:r>
      <w:r w:rsidRPr="009F4D6B">
        <w:rPr>
          <w:rFonts w:ascii="Calibri" w:hAnsi="Calibri" w:cs="Calibri"/>
          <w:lang w:val="en-GB"/>
        </w:rPr>
        <w:br/>
        <w:t>Melanie</w:t>
      </w:r>
    </w:p>
    <w:p w14:paraId="00A45105" w14:textId="77777777" w:rsidR="008853D5" w:rsidRDefault="008853D5" w:rsidP="00212DA7">
      <w:pPr>
        <w:rPr>
          <w:rFonts w:ascii="Calibri" w:hAnsi="Calibri" w:cs="Calibri"/>
        </w:rPr>
      </w:pPr>
    </w:p>
    <w:p w14:paraId="34645089" w14:textId="77777777" w:rsidR="005A58B9" w:rsidRDefault="005A58B9" w:rsidP="00212DA7">
      <w:pPr>
        <w:rPr>
          <w:rFonts w:ascii="Calibri" w:hAnsi="Calibri" w:cs="Calibri"/>
        </w:rPr>
      </w:pPr>
    </w:p>
    <w:p w14:paraId="4D26D7B7" w14:textId="77E2909D" w:rsidR="005A58B9" w:rsidRDefault="005A58B9" w:rsidP="00212DA7">
      <w:pPr>
        <w:rPr>
          <w:rFonts w:ascii="Calibri" w:hAnsi="Calibri" w:cs="Calibri"/>
        </w:rPr>
      </w:pPr>
      <w:r>
        <w:rPr>
          <w:rFonts w:ascii="Calibri" w:hAnsi="Calibri" w:cs="Calibri"/>
        </w:rPr>
        <w:t>AC 4.1</w:t>
      </w:r>
    </w:p>
    <w:p w14:paraId="1B06C0E6" w14:textId="77777777" w:rsidR="007F0305" w:rsidRDefault="007F0305" w:rsidP="00212DA7">
      <w:pPr>
        <w:rPr>
          <w:rFonts w:ascii="Calibri" w:hAnsi="Calibri" w:cs="Calibri"/>
        </w:rPr>
      </w:pPr>
    </w:p>
    <w:p w14:paraId="14E111FD" w14:textId="77777777" w:rsidR="009F4D6B" w:rsidRPr="009F4D6B" w:rsidRDefault="009F4D6B" w:rsidP="009F4D6B">
      <w:pPr>
        <w:rPr>
          <w:rFonts w:ascii="Calibri" w:hAnsi="Calibri" w:cs="Calibri"/>
          <w:lang w:val="en-GB"/>
        </w:rPr>
      </w:pPr>
      <w:r w:rsidRPr="009F4D6B">
        <w:rPr>
          <w:rFonts w:ascii="Calibri" w:hAnsi="Calibri" w:cs="Calibri"/>
          <w:lang w:val="en-GB"/>
        </w:rPr>
        <w:t>Subject: Calculating Holiday Pay for Bank Staff</w:t>
      </w:r>
    </w:p>
    <w:p w14:paraId="197BCF55" w14:textId="77777777" w:rsidR="009F4D6B" w:rsidRDefault="009F4D6B" w:rsidP="009F4D6B">
      <w:pPr>
        <w:rPr>
          <w:rFonts w:ascii="Calibri" w:hAnsi="Calibri" w:cs="Calibri"/>
          <w:lang w:val="en-GB"/>
        </w:rPr>
      </w:pPr>
      <w:r w:rsidRPr="009F4D6B">
        <w:rPr>
          <w:rFonts w:ascii="Calibri" w:hAnsi="Calibri" w:cs="Calibri"/>
          <w:lang w:val="en-GB"/>
        </w:rPr>
        <w:t>Hi Lisa,</w:t>
      </w:r>
    </w:p>
    <w:p w14:paraId="1F152382" w14:textId="77777777" w:rsidR="009F4D6B" w:rsidRPr="009F4D6B" w:rsidRDefault="009F4D6B" w:rsidP="009F4D6B">
      <w:pPr>
        <w:rPr>
          <w:rFonts w:ascii="Calibri" w:hAnsi="Calibri" w:cs="Calibri"/>
          <w:lang w:val="en-GB"/>
        </w:rPr>
      </w:pPr>
    </w:p>
    <w:p w14:paraId="3DCDC11A" w14:textId="77777777" w:rsidR="009F4D6B" w:rsidRDefault="009F4D6B" w:rsidP="009F4D6B">
      <w:pPr>
        <w:rPr>
          <w:rFonts w:ascii="Calibri" w:hAnsi="Calibri" w:cs="Calibri"/>
          <w:lang w:val="en-GB"/>
        </w:rPr>
      </w:pPr>
      <w:r w:rsidRPr="009F4D6B">
        <w:rPr>
          <w:rFonts w:ascii="Calibri" w:hAnsi="Calibri" w:cs="Calibri"/>
          <w:lang w:val="en-GB"/>
        </w:rPr>
        <w:t>Thank you for raising your query regarding holiday pay entitlements for our nurse bank staff. This topic has become increasingly significant due to evolving legal guidance and recent updates affecting casual and irregular-hour workers.</w:t>
      </w:r>
    </w:p>
    <w:p w14:paraId="606EAA45" w14:textId="77777777" w:rsidR="009F4D6B" w:rsidRPr="009F4D6B" w:rsidRDefault="009F4D6B" w:rsidP="009F4D6B">
      <w:pPr>
        <w:rPr>
          <w:rFonts w:ascii="Calibri" w:hAnsi="Calibri" w:cs="Calibri"/>
          <w:lang w:val="en-GB"/>
        </w:rPr>
      </w:pPr>
    </w:p>
    <w:p w14:paraId="1975D864" w14:textId="77777777" w:rsidR="009F4D6B" w:rsidRDefault="009F4D6B" w:rsidP="009F4D6B">
      <w:pPr>
        <w:rPr>
          <w:rFonts w:ascii="Calibri" w:hAnsi="Calibri" w:cs="Calibri"/>
          <w:lang w:val="en-GB"/>
        </w:rPr>
      </w:pPr>
      <w:r w:rsidRPr="009F4D6B">
        <w:rPr>
          <w:rFonts w:ascii="Calibri" w:hAnsi="Calibri" w:cs="Calibri"/>
          <w:lang w:val="en-GB"/>
        </w:rPr>
        <w:t>All individuals classed as workers are legally entitled to 5.6 weeks of paid holiday annually, regardless of their employment contract type, under the Working Time Regulations 1998. This includes bank staff, whose holiday must be calculated based on hours actually worked. Legal reforms and recent case law developments now require holiday pay to be calculated using an average over the most recent 52 weeks in which work was performed (Daniels, 2022, Ch. 10; CIPD, 2023).</w:t>
      </w:r>
    </w:p>
    <w:p w14:paraId="27C1F62F" w14:textId="77777777" w:rsidR="009F4D6B" w:rsidRPr="009F4D6B" w:rsidRDefault="009F4D6B" w:rsidP="009F4D6B">
      <w:pPr>
        <w:rPr>
          <w:rFonts w:ascii="Calibri" w:hAnsi="Calibri" w:cs="Calibri"/>
          <w:lang w:val="en-GB"/>
        </w:rPr>
      </w:pPr>
    </w:p>
    <w:p w14:paraId="58FB34EA" w14:textId="77777777" w:rsidR="009F4D6B" w:rsidRDefault="009F4D6B" w:rsidP="009F4D6B">
      <w:pPr>
        <w:rPr>
          <w:rFonts w:ascii="Calibri" w:hAnsi="Calibri" w:cs="Calibri"/>
          <w:lang w:val="en-GB"/>
        </w:rPr>
      </w:pPr>
      <w:r w:rsidRPr="009F4D6B">
        <w:rPr>
          <w:rFonts w:ascii="Calibri" w:hAnsi="Calibri" w:cs="Calibri"/>
          <w:lang w:val="en-GB"/>
        </w:rPr>
        <w:t>Historically, rolled-up holiday pay—where holiday pay is folded into the regular hourly rate—was discouraged. However, as of January 2024, updates under the Retained EU Law (Revocation and Reform) Act 2023 have provided clearer guidance. This now permits the use of rolled-up holiday pay for workers on irregular or part-year hours, as long as the holiday pay is paid separately from normal pay and clearly labelled on payslips (CIPD, 2024; HR Magazine, 2024). This change reflects a shift in UK employment law following Brexit, removing former uncertainty tied to EU court rulings (Daniels, 2022, Ch. 8).</w:t>
      </w:r>
    </w:p>
    <w:p w14:paraId="55166BA0" w14:textId="77777777" w:rsidR="009F4D6B" w:rsidRPr="009F4D6B" w:rsidRDefault="009F4D6B" w:rsidP="009F4D6B">
      <w:pPr>
        <w:rPr>
          <w:rFonts w:ascii="Calibri" w:hAnsi="Calibri" w:cs="Calibri"/>
          <w:lang w:val="en-GB"/>
        </w:rPr>
      </w:pPr>
    </w:p>
    <w:p w14:paraId="3829E4E0" w14:textId="77777777" w:rsidR="009F4D6B" w:rsidRDefault="009F4D6B" w:rsidP="009F4D6B">
      <w:pPr>
        <w:rPr>
          <w:rFonts w:ascii="Calibri" w:hAnsi="Calibri" w:cs="Calibri"/>
          <w:lang w:val="en-GB"/>
        </w:rPr>
      </w:pPr>
      <w:r w:rsidRPr="009F4D6B">
        <w:rPr>
          <w:rFonts w:ascii="Calibri" w:hAnsi="Calibri" w:cs="Calibri"/>
          <w:lang w:val="en-GB"/>
        </w:rPr>
        <w:t>For our bank staff who regularly cover shifts, the typical calculation is to apply a holiday accrual rate of 12.07% of total earnings. This percentage reflects their statutory entitlement proportionately. Where fewer than 52 paid weeks are available, the reference period should be adjusted appropriately. Transparency remains essential—staff should clearly see the breakdown of their holiday entitlement, particularly if the rolled-up method is being used.</w:t>
      </w:r>
    </w:p>
    <w:p w14:paraId="1F63A092" w14:textId="77777777" w:rsidR="009F4D6B" w:rsidRPr="009F4D6B" w:rsidRDefault="009F4D6B" w:rsidP="009F4D6B">
      <w:pPr>
        <w:rPr>
          <w:rFonts w:ascii="Calibri" w:hAnsi="Calibri" w:cs="Calibri"/>
          <w:lang w:val="en-GB"/>
        </w:rPr>
      </w:pPr>
    </w:p>
    <w:p w14:paraId="3A3E467C" w14:textId="77777777" w:rsidR="009F4D6B" w:rsidRDefault="009F4D6B" w:rsidP="009F4D6B">
      <w:pPr>
        <w:rPr>
          <w:rFonts w:ascii="Calibri" w:hAnsi="Calibri" w:cs="Calibri"/>
          <w:lang w:val="en-GB"/>
        </w:rPr>
      </w:pPr>
      <w:r w:rsidRPr="009F4D6B">
        <w:rPr>
          <w:rFonts w:ascii="Calibri" w:hAnsi="Calibri" w:cs="Calibri"/>
          <w:lang w:val="en-GB"/>
        </w:rPr>
        <w:t>Incorrect calculation or non-payment of holiday pay could breach both statutory requirements and employment contracts, exposing the organisation to possible tribunal claims. Armstrong and Taylor (2023) stress the importance of implementing reliable systems for tracking and managing holiday pay in a way that supports compliance and employee trust.</w:t>
      </w:r>
    </w:p>
    <w:p w14:paraId="2ABEE09A" w14:textId="77777777" w:rsidR="009F4D6B" w:rsidRPr="009F4D6B" w:rsidRDefault="009F4D6B" w:rsidP="009F4D6B">
      <w:pPr>
        <w:rPr>
          <w:rFonts w:ascii="Calibri" w:hAnsi="Calibri" w:cs="Calibri"/>
          <w:lang w:val="en-GB"/>
        </w:rPr>
      </w:pPr>
    </w:p>
    <w:p w14:paraId="0222C61D" w14:textId="77777777" w:rsidR="009F4D6B" w:rsidRDefault="009F4D6B" w:rsidP="009F4D6B">
      <w:pPr>
        <w:rPr>
          <w:rFonts w:ascii="Calibri" w:hAnsi="Calibri" w:cs="Calibri"/>
          <w:lang w:val="en-GB"/>
        </w:rPr>
      </w:pPr>
      <w:r w:rsidRPr="009F4D6B">
        <w:rPr>
          <w:rFonts w:ascii="Calibri" w:hAnsi="Calibri" w:cs="Calibri"/>
          <w:lang w:val="en-GB"/>
        </w:rPr>
        <w:t>ACAS (2023) further advises that even individuals on zero-hour or casual arrangements may still be classified as ‘workers’ under employment law, entitling them to the full range of statutory rights, including paid leave. Legal status is determined more by the nature of the working relationship than by contract terminology.</w:t>
      </w:r>
    </w:p>
    <w:p w14:paraId="6487AD83" w14:textId="77777777" w:rsidR="009F4D6B" w:rsidRPr="009F4D6B" w:rsidRDefault="009F4D6B" w:rsidP="009F4D6B">
      <w:pPr>
        <w:rPr>
          <w:rFonts w:ascii="Calibri" w:hAnsi="Calibri" w:cs="Calibri"/>
          <w:lang w:val="en-GB"/>
        </w:rPr>
      </w:pPr>
    </w:p>
    <w:p w14:paraId="0B16E975" w14:textId="77777777" w:rsidR="009F4D6B" w:rsidRDefault="009F4D6B" w:rsidP="009F4D6B">
      <w:pPr>
        <w:rPr>
          <w:rFonts w:ascii="Calibri" w:hAnsi="Calibri" w:cs="Calibri"/>
          <w:lang w:val="en-GB"/>
        </w:rPr>
      </w:pPr>
      <w:r w:rsidRPr="009F4D6B">
        <w:rPr>
          <w:rFonts w:ascii="Calibri" w:hAnsi="Calibri" w:cs="Calibri"/>
          <w:lang w:val="en-GB"/>
        </w:rPr>
        <w:lastRenderedPageBreak/>
        <w:t>It may be helpful to carry out a review of our current contracts and payroll procedures to ensure that holiday pay is calculated fairly and communicated clearly. I’d be happy to assist by looking over any contracts or payslips to ensure they meet the latest legal standards.</w:t>
      </w:r>
    </w:p>
    <w:p w14:paraId="78B5E03A" w14:textId="77777777" w:rsidR="009F4D6B" w:rsidRPr="009F4D6B" w:rsidRDefault="009F4D6B" w:rsidP="009F4D6B">
      <w:pPr>
        <w:rPr>
          <w:rFonts w:ascii="Calibri" w:hAnsi="Calibri" w:cs="Calibri"/>
          <w:lang w:val="en-GB"/>
        </w:rPr>
      </w:pPr>
    </w:p>
    <w:p w14:paraId="0906D359" w14:textId="77777777" w:rsidR="009F4D6B" w:rsidRPr="009F4D6B" w:rsidRDefault="009F4D6B" w:rsidP="009F4D6B">
      <w:pPr>
        <w:rPr>
          <w:rFonts w:ascii="Calibri" w:hAnsi="Calibri" w:cs="Calibri"/>
          <w:lang w:val="en-GB"/>
        </w:rPr>
      </w:pPr>
      <w:r w:rsidRPr="009F4D6B">
        <w:rPr>
          <w:rFonts w:ascii="Calibri" w:hAnsi="Calibri" w:cs="Calibri"/>
          <w:lang w:val="en-GB"/>
        </w:rPr>
        <w:t>Best regards,</w:t>
      </w:r>
      <w:r w:rsidRPr="009F4D6B">
        <w:rPr>
          <w:rFonts w:ascii="Calibri" w:hAnsi="Calibri" w:cs="Calibri"/>
          <w:lang w:val="en-GB"/>
        </w:rPr>
        <w:br/>
        <w:t>Melanie</w:t>
      </w:r>
    </w:p>
    <w:p w14:paraId="606E4AD7" w14:textId="77777777" w:rsidR="00E3798F" w:rsidRDefault="00E3798F" w:rsidP="00E3798F">
      <w:pPr>
        <w:rPr>
          <w:rFonts w:ascii="Calibri" w:hAnsi="Calibri" w:cs="Calibri"/>
          <w:lang w:val="en-GB"/>
        </w:rPr>
      </w:pPr>
    </w:p>
    <w:p w14:paraId="52D27765" w14:textId="77777777" w:rsidR="006729B6" w:rsidRDefault="006729B6" w:rsidP="00E3798F">
      <w:pPr>
        <w:rPr>
          <w:rFonts w:ascii="Calibri" w:hAnsi="Calibri" w:cs="Calibri"/>
          <w:lang w:val="en-GB"/>
        </w:rPr>
      </w:pPr>
    </w:p>
    <w:p w14:paraId="57267F47" w14:textId="77777777" w:rsidR="009F4D6B" w:rsidRDefault="009F4D6B" w:rsidP="00E3798F">
      <w:pPr>
        <w:rPr>
          <w:rFonts w:ascii="Calibri" w:hAnsi="Calibri" w:cs="Calibri"/>
          <w:lang w:val="en-GB"/>
        </w:rPr>
      </w:pPr>
    </w:p>
    <w:p w14:paraId="0D8806DE" w14:textId="77777777" w:rsidR="009F4D6B" w:rsidRDefault="009F4D6B" w:rsidP="00E3798F">
      <w:pPr>
        <w:rPr>
          <w:rFonts w:ascii="Calibri" w:hAnsi="Calibri" w:cs="Calibri"/>
          <w:lang w:val="en-GB"/>
        </w:rPr>
      </w:pPr>
    </w:p>
    <w:p w14:paraId="0932C455" w14:textId="5905E192" w:rsidR="00E3798F" w:rsidRPr="00F4011C" w:rsidRDefault="00E3798F" w:rsidP="00E3798F">
      <w:pPr>
        <w:rPr>
          <w:rFonts w:ascii="Calibri" w:hAnsi="Calibri" w:cs="Calibri"/>
          <w:lang w:val="en-GB"/>
        </w:rPr>
      </w:pPr>
      <w:r w:rsidRPr="00F4011C">
        <w:rPr>
          <w:rFonts w:ascii="Calibri" w:hAnsi="Calibri" w:cs="Calibri"/>
          <w:lang w:val="en-GB"/>
        </w:rPr>
        <w:t>AC 4.2</w:t>
      </w:r>
    </w:p>
    <w:p w14:paraId="7DA02A6D" w14:textId="77777777" w:rsidR="00481A2E" w:rsidRPr="00F4011C" w:rsidRDefault="00481A2E" w:rsidP="00E3798F">
      <w:pPr>
        <w:rPr>
          <w:rFonts w:ascii="Calibri" w:hAnsi="Calibri" w:cs="Calibri"/>
          <w:lang w:val="en-GB"/>
        </w:rPr>
      </w:pPr>
    </w:p>
    <w:p w14:paraId="1E95DFE0" w14:textId="77777777" w:rsidR="00CF06BB" w:rsidRPr="00CF06BB" w:rsidRDefault="00CF06BB" w:rsidP="00CF06BB">
      <w:pPr>
        <w:rPr>
          <w:rFonts w:ascii="Calibri" w:hAnsi="Calibri" w:cs="Calibri"/>
          <w:lang w:val="en-GB"/>
        </w:rPr>
      </w:pPr>
      <w:r w:rsidRPr="00CF06BB">
        <w:rPr>
          <w:rFonts w:ascii="Calibri" w:hAnsi="Calibri" w:cs="Calibri"/>
          <w:lang w:val="en-GB"/>
        </w:rPr>
        <w:t>Subject: Exploring Maternity and Shared Parental Leave Options</w:t>
      </w:r>
    </w:p>
    <w:p w14:paraId="76BA618C" w14:textId="77777777" w:rsidR="00CF06BB" w:rsidRDefault="00CF06BB" w:rsidP="00CF06BB">
      <w:pPr>
        <w:rPr>
          <w:rFonts w:ascii="Calibri" w:hAnsi="Calibri" w:cs="Calibri"/>
          <w:lang w:val="en-GB"/>
        </w:rPr>
      </w:pPr>
      <w:r w:rsidRPr="00CF06BB">
        <w:rPr>
          <w:rFonts w:ascii="Calibri" w:hAnsi="Calibri" w:cs="Calibri"/>
          <w:lang w:val="en-GB"/>
        </w:rPr>
        <w:t>Hi Elena,</w:t>
      </w:r>
    </w:p>
    <w:p w14:paraId="11C4F1CA" w14:textId="77777777" w:rsidR="00CF06BB" w:rsidRPr="00CF06BB" w:rsidRDefault="00CF06BB" w:rsidP="00CF06BB">
      <w:pPr>
        <w:rPr>
          <w:rFonts w:ascii="Calibri" w:hAnsi="Calibri" w:cs="Calibri"/>
          <w:lang w:val="en-GB"/>
        </w:rPr>
      </w:pPr>
    </w:p>
    <w:p w14:paraId="673D3B82" w14:textId="77777777" w:rsidR="00CF06BB" w:rsidRDefault="00CF06BB" w:rsidP="00CF06BB">
      <w:pPr>
        <w:rPr>
          <w:rFonts w:ascii="Calibri" w:hAnsi="Calibri" w:cs="Calibri"/>
          <w:lang w:val="en-GB"/>
        </w:rPr>
      </w:pPr>
      <w:r w:rsidRPr="00CF06BB">
        <w:rPr>
          <w:rFonts w:ascii="Calibri" w:hAnsi="Calibri" w:cs="Calibri"/>
          <w:lang w:val="en-GB"/>
        </w:rPr>
        <w:t>Firstly, congratulations on your pregnancy — such exciting news! I'm really glad you reached out, and it makes perfect sense to explore the different types of leave available so you and your partner can plan ahead with confidence.</w:t>
      </w:r>
    </w:p>
    <w:p w14:paraId="02C37F20" w14:textId="77777777" w:rsidR="00CF06BB" w:rsidRPr="00CF06BB" w:rsidRDefault="00CF06BB" w:rsidP="00CF06BB">
      <w:pPr>
        <w:rPr>
          <w:rFonts w:ascii="Calibri" w:hAnsi="Calibri" w:cs="Calibri"/>
          <w:lang w:val="en-GB"/>
        </w:rPr>
      </w:pPr>
    </w:p>
    <w:p w14:paraId="3320C99D" w14:textId="77777777" w:rsidR="00CF06BB" w:rsidRDefault="00CF06BB" w:rsidP="00CF06BB">
      <w:pPr>
        <w:rPr>
          <w:rFonts w:ascii="Calibri" w:hAnsi="Calibri" w:cs="Calibri"/>
          <w:lang w:val="en-GB"/>
        </w:rPr>
      </w:pPr>
      <w:r w:rsidRPr="00CF06BB">
        <w:rPr>
          <w:rFonts w:ascii="Calibri" w:hAnsi="Calibri" w:cs="Calibri"/>
          <w:lang w:val="en-GB"/>
        </w:rPr>
        <w:t>In terms of statutory rights, maternity leave gives you the option to take up to 52 weeks away from work. This is split into 26 weeks of Ordinary Maternity Leave followed by 26 weeks of Additional Maternity Leave (Daniels, 2022, Ch. 5.5). While taking the full entitlement is optional, you are required to take a minimum of two weeks' leave following the birth (or four weeks if employed in a factory setting). If you qualify, you may also receive Statutory Maternity Pay (SMP) for up to 39 weeks, depending on your length of service and average earnings.</w:t>
      </w:r>
    </w:p>
    <w:p w14:paraId="4914C1CD" w14:textId="77777777" w:rsidR="00CF06BB" w:rsidRPr="00CF06BB" w:rsidRDefault="00CF06BB" w:rsidP="00CF06BB">
      <w:pPr>
        <w:rPr>
          <w:rFonts w:ascii="Calibri" w:hAnsi="Calibri" w:cs="Calibri"/>
          <w:lang w:val="en-GB"/>
        </w:rPr>
      </w:pPr>
    </w:p>
    <w:p w14:paraId="0BE34848" w14:textId="77777777" w:rsidR="00CF06BB" w:rsidRDefault="00CF06BB" w:rsidP="00CF06BB">
      <w:pPr>
        <w:rPr>
          <w:rFonts w:ascii="Calibri" w:hAnsi="Calibri" w:cs="Calibri"/>
          <w:lang w:val="en-GB"/>
        </w:rPr>
      </w:pPr>
      <w:r w:rsidRPr="00CF06BB">
        <w:rPr>
          <w:rFonts w:ascii="Calibri" w:hAnsi="Calibri" w:cs="Calibri"/>
          <w:lang w:val="en-GB"/>
        </w:rPr>
        <w:t>Shared Parental Leave (SPL), on the other hand, offers an alternative that might better suit parents looking for flexibility. Once the mandatory maternity leave period has passed, you can end your maternity leave early and choose to split the remaining leave with your partner. SPL allows up to 50 weeks of leave and 37 weeks of pay to be shared, either simultaneously or in separate blocks (CIPD, 2023). Both parents can take leave at the same time or alternate based on their needs and circumstances.</w:t>
      </w:r>
    </w:p>
    <w:p w14:paraId="26F0C440" w14:textId="77777777" w:rsidR="00CF06BB" w:rsidRPr="00CF06BB" w:rsidRDefault="00CF06BB" w:rsidP="00CF06BB">
      <w:pPr>
        <w:rPr>
          <w:rFonts w:ascii="Calibri" w:hAnsi="Calibri" w:cs="Calibri"/>
          <w:lang w:val="en-GB"/>
        </w:rPr>
      </w:pPr>
    </w:p>
    <w:p w14:paraId="2958A722" w14:textId="77777777" w:rsidR="00CF06BB" w:rsidRPr="00CF06BB" w:rsidRDefault="00CF06BB" w:rsidP="00CF06BB">
      <w:pPr>
        <w:rPr>
          <w:rFonts w:ascii="Calibri" w:hAnsi="Calibri" w:cs="Calibri"/>
          <w:lang w:val="en-GB"/>
        </w:rPr>
      </w:pPr>
      <w:r w:rsidRPr="00CF06BB">
        <w:rPr>
          <w:rFonts w:ascii="Calibri" w:hAnsi="Calibri" w:cs="Calibri"/>
          <w:lang w:val="en-GB"/>
        </w:rPr>
        <w:t>Here are some of the core distinctions to consider:</w:t>
      </w:r>
    </w:p>
    <w:p w14:paraId="491086F0" w14:textId="77777777" w:rsidR="00CF06BB" w:rsidRPr="00CF06BB" w:rsidRDefault="00CF06BB" w:rsidP="00CF06BB">
      <w:pPr>
        <w:numPr>
          <w:ilvl w:val="0"/>
          <w:numId w:val="11"/>
        </w:numPr>
        <w:rPr>
          <w:rFonts w:ascii="Calibri" w:hAnsi="Calibri" w:cs="Calibri"/>
          <w:lang w:val="en-GB"/>
        </w:rPr>
      </w:pPr>
      <w:r w:rsidRPr="00CF06BB">
        <w:rPr>
          <w:rFonts w:ascii="Calibri" w:hAnsi="Calibri" w:cs="Calibri"/>
          <w:lang w:val="en-GB"/>
        </w:rPr>
        <w:t>Maternity leave is exclusively for the birthing parent and is generally simpler to access, with more predictable pay arrangements.</w:t>
      </w:r>
    </w:p>
    <w:p w14:paraId="1A1578E3" w14:textId="77777777" w:rsidR="00CF06BB" w:rsidRPr="00CF06BB" w:rsidRDefault="00CF06BB" w:rsidP="00CF06BB">
      <w:pPr>
        <w:numPr>
          <w:ilvl w:val="0"/>
          <w:numId w:val="11"/>
        </w:numPr>
        <w:rPr>
          <w:rFonts w:ascii="Calibri" w:hAnsi="Calibri" w:cs="Calibri"/>
          <w:lang w:val="en-GB"/>
        </w:rPr>
      </w:pPr>
      <w:r w:rsidRPr="00CF06BB">
        <w:rPr>
          <w:rFonts w:ascii="Calibri" w:hAnsi="Calibri" w:cs="Calibri"/>
          <w:lang w:val="en-GB"/>
        </w:rPr>
        <w:t>SPL allows both parents to be more involved but comes with eligibility requirements and requires formal notices to both employers (Maternity Action, 2023).</w:t>
      </w:r>
    </w:p>
    <w:p w14:paraId="44CB4BD2" w14:textId="77777777" w:rsidR="00CF06BB" w:rsidRDefault="00CF06BB" w:rsidP="00CF06BB">
      <w:pPr>
        <w:numPr>
          <w:ilvl w:val="0"/>
          <w:numId w:val="11"/>
        </w:numPr>
        <w:rPr>
          <w:rFonts w:ascii="Calibri" w:hAnsi="Calibri" w:cs="Calibri"/>
          <w:lang w:val="en-GB"/>
        </w:rPr>
      </w:pPr>
      <w:r w:rsidRPr="00CF06BB">
        <w:rPr>
          <w:rFonts w:ascii="Calibri" w:hAnsi="Calibri" w:cs="Calibri"/>
          <w:lang w:val="en-GB"/>
        </w:rPr>
        <w:t>SPL provides flexibility in how the leave is structured but typically involves more planning and coordination.</w:t>
      </w:r>
    </w:p>
    <w:p w14:paraId="53D59664" w14:textId="77777777" w:rsidR="00CF06BB" w:rsidRPr="00CF06BB" w:rsidRDefault="00CF06BB" w:rsidP="00CF06BB">
      <w:pPr>
        <w:ind w:left="720"/>
        <w:rPr>
          <w:rFonts w:ascii="Calibri" w:hAnsi="Calibri" w:cs="Calibri"/>
          <w:lang w:val="en-GB"/>
        </w:rPr>
      </w:pPr>
    </w:p>
    <w:p w14:paraId="46288956" w14:textId="77777777" w:rsidR="00CF06BB" w:rsidRPr="00CF06BB" w:rsidRDefault="00CF06BB" w:rsidP="00CF06BB">
      <w:pPr>
        <w:rPr>
          <w:rFonts w:ascii="Calibri" w:hAnsi="Calibri" w:cs="Calibri"/>
          <w:lang w:val="en-GB"/>
        </w:rPr>
      </w:pPr>
      <w:r w:rsidRPr="00CF06BB">
        <w:rPr>
          <w:rFonts w:ascii="Calibri" w:hAnsi="Calibri" w:cs="Calibri"/>
          <w:lang w:val="en-GB"/>
        </w:rPr>
        <w:t>When weighing up your decision, it may help to think about:</w:t>
      </w:r>
    </w:p>
    <w:p w14:paraId="1C297E1D" w14:textId="77777777" w:rsidR="00CF06BB" w:rsidRPr="00CF06BB" w:rsidRDefault="00CF06BB" w:rsidP="00CF06BB">
      <w:pPr>
        <w:numPr>
          <w:ilvl w:val="0"/>
          <w:numId w:val="12"/>
        </w:numPr>
        <w:rPr>
          <w:rFonts w:ascii="Calibri" w:hAnsi="Calibri" w:cs="Calibri"/>
          <w:lang w:val="en-GB"/>
        </w:rPr>
      </w:pPr>
      <w:r w:rsidRPr="00CF06BB">
        <w:rPr>
          <w:rFonts w:ascii="Calibri" w:hAnsi="Calibri" w:cs="Calibri"/>
          <w:lang w:val="en-GB"/>
        </w:rPr>
        <w:t>Financial considerations (e.g. comparing SMP and Shared Parental Pay)</w:t>
      </w:r>
    </w:p>
    <w:p w14:paraId="7ED7D827" w14:textId="77777777" w:rsidR="00CF06BB" w:rsidRPr="00CF06BB" w:rsidRDefault="00CF06BB" w:rsidP="00CF06BB">
      <w:pPr>
        <w:numPr>
          <w:ilvl w:val="0"/>
          <w:numId w:val="12"/>
        </w:numPr>
        <w:rPr>
          <w:rFonts w:ascii="Calibri" w:hAnsi="Calibri" w:cs="Calibri"/>
          <w:lang w:val="en-GB"/>
        </w:rPr>
      </w:pPr>
      <w:r w:rsidRPr="00CF06BB">
        <w:rPr>
          <w:rFonts w:ascii="Calibri" w:hAnsi="Calibri" w:cs="Calibri"/>
          <w:lang w:val="en-GB"/>
        </w:rPr>
        <w:t>How you and your partner wish to share bonding time with your baby</w:t>
      </w:r>
    </w:p>
    <w:p w14:paraId="398C4428" w14:textId="77777777" w:rsidR="00CF06BB" w:rsidRDefault="00CF06BB" w:rsidP="00CF06BB">
      <w:pPr>
        <w:numPr>
          <w:ilvl w:val="0"/>
          <w:numId w:val="12"/>
        </w:numPr>
        <w:rPr>
          <w:rFonts w:ascii="Calibri" w:hAnsi="Calibri" w:cs="Calibri"/>
          <w:lang w:val="en-GB"/>
        </w:rPr>
      </w:pPr>
      <w:r w:rsidRPr="00CF06BB">
        <w:rPr>
          <w:rFonts w:ascii="Calibri" w:hAnsi="Calibri" w:cs="Calibri"/>
          <w:lang w:val="en-GB"/>
        </w:rPr>
        <w:t>Any potential effects on your career plans and workplace support for both of you</w:t>
      </w:r>
    </w:p>
    <w:p w14:paraId="066F98BD" w14:textId="77777777" w:rsidR="00CF06BB" w:rsidRPr="00CF06BB" w:rsidRDefault="00CF06BB" w:rsidP="00CF06BB">
      <w:pPr>
        <w:ind w:left="720"/>
        <w:rPr>
          <w:rFonts w:ascii="Calibri" w:hAnsi="Calibri" w:cs="Calibri"/>
          <w:lang w:val="en-GB"/>
        </w:rPr>
      </w:pPr>
    </w:p>
    <w:p w14:paraId="551F9343" w14:textId="77777777" w:rsidR="00CF06BB" w:rsidRDefault="00CF06BB" w:rsidP="00CF06BB">
      <w:pPr>
        <w:rPr>
          <w:rFonts w:ascii="Calibri" w:hAnsi="Calibri" w:cs="Calibri"/>
          <w:lang w:val="en-GB"/>
        </w:rPr>
      </w:pPr>
      <w:r w:rsidRPr="00CF06BB">
        <w:rPr>
          <w:rFonts w:ascii="Calibri" w:hAnsi="Calibri" w:cs="Calibri"/>
          <w:lang w:val="en-GB"/>
        </w:rPr>
        <w:t>If you’d like to talk through what each option might look like in your situation or need help with the relevant forms, I’d be happy to assist.</w:t>
      </w:r>
    </w:p>
    <w:p w14:paraId="6A85416F" w14:textId="77777777" w:rsidR="00CF06BB" w:rsidRPr="00CF06BB" w:rsidRDefault="00CF06BB" w:rsidP="00CF06BB">
      <w:pPr>
        <w:rPr>
          <w:rFonts w:ascii="Calibri" w:hAnsi="Calibri" w:cs="Calibri"/>
          <w:lang w:val="en-GB"/>
        </w:rPr>
      </w:pPr>
    </w:p>
    <w:p w14:paraId="37615E49" w14:textId="77777777" w:rsidR="00CF06BB" w:rsidRPr="00CF06BB" w:rsidRDefault="00CF06BB" w:rsidP="00CF06BB">
      <w:pPr>
        <w:rPr>
          <w:rFonts w:ascii="Calibri" w:hAnsi="Calibri" w:cs="Calibri"/>
          <w:lang w:val="en-GB"/>
        </w:rPr>
      </w:pPr>
      <w:r w:rsidRPr="00CF06BB">
        <w:rPr>
          <w:rFonts w:ascii="Calibri" w:hAnsi="Calibri" w:cs="Calibri"/>
          <w:lang w:val="en-GB"/>
        </w:rPr>
        <w:lastRenderedPageBreak/>
        <w:t>Warm wishes,</w:t>
      </w:r>
      <w:r w:rsidRPr="00CF06BB">
        <w:rPr>
          <w:rFonts w:ascii="Calibri" w:hAnsi="Calibri" w:cs="Calibri"/>
          <w:lang w:val="en-GB"/>
        </w:rPr>
        <w:br/>
        <w:t>Melanie</w:t>
      </w:r>
    </w:p>
    <w:p w14:paraId="572E1EDD" w14:textId="77777777" w:rsidR="00034DD5" w:rsidRDefault="00034DD5" w:rsidP="00481A2E">
      <w:pPr>
        <w:rPr>
          <w:rFonts w:ascii="Calibri" w:hAnsi="Calibri" w:cs="Calibri"/>
          <w:lang w:val="en-GB"/>
        </w:rPr>
      </w:pPr>
    </w:p>
    <w:p w14:paraId="2E6369A3" w14:textId="41982CCD" w:rsidR="00034DD5" w:rsidRPr="00892D99" w:rsidRDefault="00034DD5" w:rsidP="00481A2E">
      <w:pPr>
        <w:rPr>
          <w:rFonts w:ascii="Calibri" w:hAnsi="Calibri" w:cs="Calibri"/>
          <w:lang w:val="en-GB"/>
        </w:rPr>
      </w:pPr>
      <w:r w:rsidRPr="00892D99">
        <w:rPr>
          <w:rFonts w:ascii="Calibri" w:hAnsi="Calibri" w:cs="Calibri"/>
          <w:lang w:val="en-GB"/>
        </w:rPr>
        <w:t>AC 4.3</w:t>
      </w:r>
    </w:p>
    <w:p w14:paraId="1B95A702" w14:textId="77777777" w:rsidR="00034DD5" w:rsidRDefault="00034DD5" w:rsidP="00481A2E">
      <w:pPr>
        <w:rPr>
          <w:rFonts w:ascii="Calibri" w:hAnsi="Calibri" w:cs="Calibri"/>
          <w:lang w:val="en-GB"/>
        </w:rPr>
      </w:pPr>
    </w:p>
    <w:p w14:paraId="6F023DB7" w14:textId="77777777" w:rsidR="00CF06BB" w:rsidRPr="00CF06BB" w:rsidRDefault="00CF06BB" w:rsidP="00CF06BB">
      <w:pPr>
        <w:rPr>
          <w:rFonts w:ascii="Calibri" w:hAnsi="Calibri" w:cs="Calibri"/>
          <w:lang w:val="en-GB"/>
        </w:rPr>
      </w:pPr>
      <w:r w:rsidRPr="00CF06BB">
        <w:rPr>
          <w:rFonts w:ascii="Calibri" w:hAnsi="Calibri" w:cs="Calibri"/>
          <w:lang w:val="en-GB"/>
        </w:rPr>
        <w:t>Subject: Flexible Working – Employee Entitlements and Key Considerations for Decision-Making</w:t>
      </w:r>
    </w:p>
    <w:p w14:paraId="440684C0" w14:textId="77777777" w:rsidR="00CF06BB" w:rsidRDefault="00CF06BB" w:rsidP="00CF06BB">
      <w:pPr>
        <w:rPr>
          <w:rFonts w:ascii="Calibri" w:hAnsi="Calibri" w:cs="Calibri"/>
          <w:lang w:val="en-GB"/>
        </w:rPr>
      </w:pPr>
      <w:r w:rsidRPr="00CF06BB">
        <w:rPr>
          <w:rFonts w:ascii="Calibri" w:hAnsi="Calibri" w:cs="Calibri"/>
          <w:lang w:val="en-GB"/>
        </w:rPr>
        <w:t>Hi Courtney,</w:t>
      </w:r>
    </w:p>
    <w:p w14:paraId="07315E80" w14:textId="77777777" w:rsidR="00CF06BB" w:rsidRPr="00CF06BB" w:rsidRDefault="00CF06BB" w:rsidP="00CF06BB">
      <w:pPr>
        <w:rPr>
          <w:rFonts w:ascii="Calibri" w:hAnsi="Calibri" w:cs="Calibri"/>
          <w:lang w:val="en-GB"/>
        </w:rPr>
      </w:pPr>
    </w:p>
    <w:p w14:paraId="491F898C" w14:textId="77777777" w:rsidR="00CF06BB" w:rsidRPr="00C9555C" w:rsidRDefault="00CF06BB" w:rsidP="00CF06BB">
      <w:pPr>
        <w:rPr>
          <w:rFonts w:ascii="Calibri" w:hAnsi="Calibri" w:cs="Calibri"/>
          <w:strike/>
          <w:lang w:val="en-GB"/>
        </w:rPr>
      </w:pPr>
      <w:r w:rsidRPr="00C9555C">
        <w:rPr>
          <w:rFonts w:ascii="Calibri" w:hAnsi="Calibri" w:cs="Calibri"/>
          <w:strike/>
          <w:lang w:val="en-GB"/>
        </w:rPr>
        <w:t>Thanks for highlighting your concerns about the flexible working application recently submitted by our new administrative officer. It’s important we manage this situation in line with both our internal practices and our obligations under current UK employment law.</w:t>
      </w:r>
    </w:p>
    <w:p w14:paraId="59ECAADB" w14:textId="77777777" w:rsidR="00CF06BB" w:rsidRPr="00C9555C" w:rsidRDefault="00CF06BB" w:rsidP="00CF06BB">
      <w:pPr>
        <w:rPr>
          <w:rFonts w:ascii="Calibri" w:hAnsi="Calibri" w:cs="Calibri"/>
          <w:strike/>
          <w:lang w:val="en-GB"/>
        </w:rPr>
      </w:pPr>
      <w:r w:rsidRPr="00C9555C">
        <w:rPr>
          <w:rFonts w:ascii="Calibri" w:hAnsi="Calibri" w:cs="Calibri"/>
          <w:strike/>
          <w:lang w:val="en-GB"/>
        </w:rPr>
        <w:t>According to the Employment Rights Act 1996 (as amended), employees who have completed 26 weeks of continuous service are entitled to request flexible working arrangements — including working from home. This statutory right is open to all employees, not just those with caring responsibilities, and is further supported by the Flexible Working Regulations 2014 (Daniels, 2022, Section 4.2).</w:t>
      </w:r>
    </w:p>
    <w:p w14:paraId="6AD7702C" w14:textId="77777777" w:rsidR="00CF06BB" w:rsidRPr="00C9555C" w:rsidRDefault="00CF06BB" w:rsidP="00CF06BB">
      <w:pPr>
        <w:rPr>
          <w:rFonts w:ascii="Calibri" w:hAnsi="Calibri" w:cs="Calibri"/>
          <w:strike/>
          <w:lang w:val="en-GB"/>
        </w:rPr>
      </w:pPr>
    </w:p>
    <w:p w14:paraId="67637C15" w14:textId="77777777" w:rsidR="00CF06BB" w:rsidRPr="00C9555C" w:rsidRDefault="00CF06BB" w:rsidP="00CF06BB">
      <w:pPr>
        <w:rPr>
          <w:rFonts w:ascii="Calibri" w:hAnsi="Calibri" w:cs="Calibri"/>
          <w:strike/>
          <w:lang w:val="en-GB"/>
        </w:rPr>
      </w:pPr>
      <w:r w:rsidRPr="00C9555C">
        <w:rPr>
          <w:rFonts w:ascii="Calibri" w:hAnsi="Calibri" w:cs="Calibri"/>
          <w:strike/>
          <w:lang w:val="en-GB"/>
        </w:rPr>
        <w:t>While there is no legal guarantee that such a request will be approved, the employer is required to assess it fairly and objectively. A request can only be declined for one or more of the eight recognised business reasons, such as potential negative effects on customer service, performance, or operational costs. General concerns about encouraging similar requests from others do not meet this threshold unless they are underpinned by tangible evidence of disruption to business continuity.</w:t>
      </w:r>
    </w:p>
    <w:p w14:paraId="5B1019D7" w14:textId="77777777" w:rsidR="00CF06BB" w:rsidRPr="00C9555C" w:rsidRDefault="00CF06BB" w:rsidP="00CF06BB">
      <w:pPr>
        <w:rPr>
          <w:rFonts w:ascii="Calibri" w:hAnsi="Calibri" w:cs="Calibri"/>
          <w:strike/>
          <w:lang w:val="en-GB"/>
        </w:rPr>
      </w:pPr>
    </w:p>
    <w:p w14:paraId="6E9C1A60" w14:textId="77777777" w:rsidR="00CF06BB" w:rsidRPr="00C9555C" w:rsidRDefault="00CF06BB" w:rsidP="00CF06BB">
      <w:pPr>
        <w:rPr>
          <w:rFonts w:ascii="Calibri" w:hAnsi="Calibri" w:cs="Calibri"/>
          <w:strike/>
          <w:lang w:val="en-GB"/>
        </w:rPr>
      </w:pPr>
      <w:r w:rsidRPr="00C9555C">
        <w:rPr>
          <w:rFonts w:ascii="Calibri" w:hAnsi="Calibri" w:cs="Calibri"/>
          <w:strike/>
          <w:lang w:val="en-GB"/>
        </w:rPr>
        <w:t>Best practice guidance from ACAS and CIPD (2023) stresses the importance of dealing with these applications in a fair, timely, and well-documented manner. Dismissing a request without due process, or failing to give appropriate consideration, could expose the Trust to grievances or claims — particularly where there’s a risk of indirect discrimination (for example, if working mothers or disabled staff are disproportionately affected).</w:t>
      </w:r>
    </w:p>
    <w:p w14:paraId="387BD20E" w14:textId="77777777" w:rsidR="00CF06BB" w:rsidRPr="00C9555C" w:rsidRDefault="00CF06BB" w:rsidP="00CF06BB">
      <w:pPr>
        <w:rPr>
          <w:rFonts w:ascii="Calibri" w:hAnsi="Calibri" w:cs="Calibri"/>
          <w:strike/>
          <w:lang w:val="en-GB"/>
        </w:rPr>
      </w:pPr>
    </w:p>
    <w:p w14:paraId="75ACD287" w14:textId="77777777" w:rsidR="00CF06BB" w:rsidRPr="00C9555C" w:rsidRDefault="00CF06BB" w:rsidP="00CF06BB">
      <w:pPr>
        <w:rPr>
          <w:rFonts w:ascii="Calibri" w:hAnsi="Calibri" w:cs="Calibri"/>
          <w:strike/>
          <w:lang w:val="en-GB"/>
        </w:rPr>
      </w:pPr>
      <w:r w:rsidRPr="00C9555C">
        <w:rPr>
          <w:rFonts w:ascii="Calibri" w:hAnsi="Calibri" w:cs="Calibri"/>
          <w:strike/>
          <w:lang w:val="en-GB"/>
        </w:rPr>
        <w:t>To support both equity and service delivery, I suggest the following:</w:t>
      </w:r>
    </w:p>
    <w:p w14:paraId="0215766A" w14:textId="77777777" w:rsidR="00CF06BB" w:rsidRPr="00C9555C" w:rsidRDefault="00CF06BB" w:rsidP="00CF06BB">
      <w:pPr>
        <w:numPr>
          <w:ilvl w:val="0"/>
          <w:numId w:val="13"/>
        </w:numPr>
        <w:rPr>
          <w:rFonts w:ascii="Calibri" w:hAnsi="Calibri" w:cs="Calibri"/>
          <w:strike/>
          <w:lang w:val="en-GB"/>
        </w:rPr>
      </w:pPr>
      <w:r w:rsidRPr="00C9555C">
        <w:rPr>
          <w:rFonts w:ascii="Calibri" w:hAnsi="Calibri" w:cs="Calibri"/>
          <w:strike/>
          <w:lang w:val="en-GB"/>
        </w:rPr>
        <w:t>Set up a discussion with the employee to understand their reasons and flexibility needs.</w:t>
      </w:r>
    </w:p>
    <w:p w14:paraId="0C6C6D3E" w14:textId="77777777" w:rsidR="00CF06BB" w:rsidRPr="00C9555C" w:rsidRDefault="00CF06BB" w:rsidP="00CF06BB">
      <w:pPr>
        <w:numPr>
          <w:ilvl w:val="0"/>
          <w:numId w:val="13"/>
        </w:numPr>
        <w:rPr>
          <w:rFonts w:ascii="Calibri" w:hAnsi="Calibri" w:cs="Calibri"/>
          <w:strike/>
          <w:lang w:val="en-GB"/>
        </w:rPr>
      </w:pPr>
      <w:r w:rsidRPr="00C9555C">
        <w:rPr>
          <w:rFonts w:ascii="Calibri" w:hAnsi="Calibri" w:cs="Calibri"/>
          <w:strike/>
          <w:lang w:val="en-GB"/>
        </w:rPr>
        <w:t>Review how the proposed arrangement might affect team operations and identify potential adjustments or compromises.</w:t>
      </w:r>
    </w:p>
    <w:p w14:paraId="36A7A7DC" w14:textId="77777777" w:rsidR="00CF06BB" w:rsidRPr="00C9555C" w:rsidRDefault="00CF06BB" w:rsidP="00CF06BB">
      <w:pPr>
        <w:numPr>
          <w:ilvl w:val="0"/>
          <w:numId w:val="13"/>
        </w:numPr>
        <w:rPr>
          <w:rFonts w:ascii="Calibri" w:hAnsi="Calibri" w:cs="Calibri"/>
          <w:strike/>
          <w:lang w:val="en-GB"/>
        </w:rPr>
      </w:pPr>
      <w:r w:rsidRPr="00C9555C">
        <w:rPr>
          <w:rFonts w:ascii="Calibri" w:hAnsi="Calibri" w:cs="Calibri"/>
          <w:strike/>
          <w:lang w:val="en-GB"/>
        </w:rPr>
        <w:t>Ensure a full written response is issued within the three-month timeframe stipulated in the legislation.</w:t>
      </w:r>
    </w:p>
    <w:p w14:paraId="17E90BFD" w14:textId="77777777" w:rsidR="00CF06BB" w:rsidRPr="00C9555C" w:rsidRDefault="00CF06BB" w:rsidP="00CF06BB">
      <w:pPr>
        <w:ind w:left="720"/>
        <w:rPr>
          <w:rFonts w:ascii="Calibri" w:hAnsi="Calibri" w:cs="Calibri"/>
          <w:strike/>
          <w:lang w:val="en-GB"/>
        </w:rPr>
      </w:pPr>
    </w:p>
    <w:p w14:paraId="58DF8691" w14:textId="77777777" w:rsidR="00CF06BB" w:rsidRPr="00C9555C" w:rsidRDefault="00CF06BB" w:rsidP="00CF06BB">
      <w:pPr>
        <w:rPr>
          <w:rFonts w:ascii="Calibri" w:hAnsi="Calibri" w:cs="Calibri"/>
          <w:strike/>
          <w:lang w:val="en-GB"/>
        </w:rPr>
      </w:pPr>
      <w:r w:rsidRPr="00C9555C">
        <w:rPr>
          <w:rFonts w:ascii="Calibri" w:hAnsi="Calibri" w:cs="Calibri"/>
          <w:strike/>
          <w:lang w:val="en-GB"/>
        </w:rPr>
        <w:t>Armstrong and Taylor (2023) highlight that well-managed flexible working practices can have positive outcomes for employee engagement, productivity, and talent retention. Many healthcare organisations are adapting to flexible models that support wellbeing while maintaining strong service standards.</w:t>
      </w:r>
    </w:p>
    <w:p w14:paraId="0A9FDFB7" w14:textId="77777777" w:rsidR="00CF06BB" w:rsidRPr="00C9555C" w:rsidRDefault="00CF06BB" w:rsidP="00CF06BB">
      <w:pPr>
        <w:rPr>
          <w:rFonts w:ascii="Calibri" w:hAnsi="Calibri" w:cs="Calibri"/>
          <w:strike/>
          <w:lang w:val="en-GB"/>
        </w:rPr>
      </w:pPr>
    </w:p>
    <w:p w14:paraId="123A4990" w14:textId="77777777" w:rsidR="00CF06BB" w:rsidRDefault="00CF06BB" w:rsidP="00CF06BB">
      <w:pPr>
        <w:rPr>
          <w:rFonts w:ascii="Calibri" w:hAnsi="Calibri" w:cs="Calibri"/>
          <w:strike/>
          <w:lang w:val="en-GB"/>
        </w:rPr>
      </w:pPr>
      <w:r w:rsidRPr="00C9555C">
        <w:rPr>
          <w:rFonts w:ascii="Calibri" w:hAnsi="Calibri" w:cs="Calibri"/>
          <w:strike/>
          <w:lang w:val="en-GB"/>
        </w:rPr>
        <w:t>I’m happy to help you progress this request — whether that’s by advising on next steps, supporting the review process, or helping to strike a balance that works for the employee and the wider team.</w:t>
      </w:r>
    </w:p>
    <w:p w14:paraId="36A8EA46" w14:textId="77777777" w:rsidR="00C2163A" w:rsidRPr="00C9555C" w:rsidRDefault="00C2163A" w:rsidP="00CF06BB">
      <w:pPr>
        <w:rPr>
          <w:rFonts w:ascii="Calibri" w:hAnsi="Calibri" w:cs="Calibri"/>
          <w:strike/>
          <w:lang w:val="en-GB"/>
        </w:rPr>
      </w:pPr>
    </w:p>
    <w:p w14:paraId="2F11B0F6" w14:textId="77777777" w:rsidR="00CF06BB" w:rsidRPr="00CF06BB" w:rsidRDefault="00CF06BB" w:rsidP="00CF06BB">
      <w:pPr>
        <w:rPr>
          <w:rFonts w:ascii="Calibri" w:hAnsi="Calibri" w:cs="Calibri"/>
          <w:lang w:val="en-GB"/>
        </w:rPr>
      </w:pPr>
    </w:p>
    <w:p w14:paraId="659825D8" w14:textId="77777777" w:rsidR="00C2163A" w:rsidRDefault="00C2163A" w:rsidP="00C2163A">
      <w:pPr>
        <w:rPr>
          <w:rFonts w:ascii="Calibri" w:hAnsi="Calibri" w:cs="Calibri"/>
          <w:color w:val="FF0000"/>
          <w:lang w:val="en-GB"/>
        </w:rPr>
      </w:pPr>
      <w:r w:rsidRPr="00C2163A">
        <w:rPr>
          <w:rFonts w:ascii="Calibri" w:hAnsi="Calibri" w:cs="Calibri"/>
          <w:color w:val="FF0000"/>
          <w:lang w:val="en-GB"/>
        </w:rPr>
        <w:t>Thank you for raising your concerns regarding the flexible working request submitted by our new administrative officer. It is essential that this is handled in accordance with our Trust’s internal policy and the current UK legislative framework.</w:t>
      </w:r>
    </w:p>
    <w:p w14:paraId="52F72F63" w14:textId="77777777" w:rsidR="006604EF" w:rsidRPr="00C2163A" w:rsidRDefault="006604EF" w:rsidP="00C2163A">
      <w:pPr>
        <w:rPr>
          <w:rFonts w:ascii="Calibri" w:hAnsi="Calibri" w:cs="Calibri"/>
          <w:color w:val="FF0000"/>
          <w:lang w:val="en-GB"/>
        </w:rPr>
      </w:pPr>
    </w:p>
    <w:p w14:paraId="18F0B8D2" w14:textId="77777777" w:rsidR="00C2163A" w:rsidRPr="00C2163A" w:rsidRDefault="00C2163A" w:rsidP="00C2163A">
      <w:pPr>
        <w:rPr>
          <w:rFonts w:ascii="Calibri" w:hAnsi="Calibri" w:cs="Calibri"/>
          <w:color w:val="FF0000"/>
          <w:lang w:val="en-GB"/>
        </w:rPr>
      </w:pPr>
      <w:r w:rsidRPr="00C2163A">
        <w:rPr>
          <w:rFonts w:ascii="Calibri" w:hAnsi="Calibri" w:cs="Calibri"/>
          <w:color w:val="FF0000"/>
          <w:lang w:val="en-GB"/>
        </w:rPr>
        <w:lastRenderedPageBreak/>
        <w:t xml:space="preserve">As of 6 April 2024, under the </w:t>
      </w:r>
      <w:r w:rsidRPr="00C2163A">
        <w:rPr>
          <w:rFonts w:ascii="Calibri" w:hAnsi="Calibri" w:cs="Calibri"/>
          <w:i/>
          <w:iCs/>
          <w:color w:val="FF0000"/>
          <w:lang w:val="en-GB"/>
        </w:rPr>
        <w:t>Employment Relations (Flexible Working) Act 2023</w:t>
      </w:r>
      <w:r w:rsidRPr="00C2163A">
        <w:rPr>
          <w:rFonts w:ascii="Calibri" w:hAnsi="Calibri" w:cs="Calibri"/>
          <w:color w:val="FF0000"/>
          <w:lang w:val="en-GB"/>
        </w:rPr>
        <w:t>, all employees have the statutory right to request flexible working from the first day of employment (Gov.uk, 2024a). This can include changes to working hours, times, patterns, or location, including hybrid or remote arrangements. The 2024 reforms also introduced several significant changes:</w:t>
      </w:r>
    </w:p>
    <w:p w14:paraId="65EF1299" w14:textId="77777777" w:rsidR="00C2163A" w:rsidRPr="00C2163A" w:rsidRDefault="00C2163A" w:rsidP="00C2163A">
      <w:pPr>
        <w:numPr>
          <w:ilvl w:val="0"/>
          <w:numId w:val="20"/>
        </w:numPr>
        <w:rPr>
          <w:rFonts w:ascii="Calibri" w:hAnsi="Calibri" w:cs="Calibri"/>
          <w:color w:val="FF0000"/>
          <w:lang w:val="en-GB"/>
        </w:rPr>
      </w:pPr>
      <w:r w:rsidRPr="00C2163A">
        <w:rPr>
          <w:rFonts w:ascii="Calibri" w:hAnsi="Calibri" w:cs="Calibri"/>
          <w:color w:val="FF0000"/>
          <w:lang w:val="en-GB"/>
        </w:rPr>
        <w:t>Employees may now make up to two statutory requests in a 12-month period (Gov.uk, 2024a).</w:t>
      </w:r>
    </w:p>
    <w:p w14:paraId="1FA96E45" w14:textId="77777777" w:rsidR="00C2163A" w:rsidRPr="00C2163A" w:rsidRDefault="00C2163A" w:rsidP="00C2163A">
      <w:pPr>
        <w:numPr>
          <w:ilvl w:val="0"/>
          <w:numId w:val="20"/>
        </w:numPr>
        <w:rPr>
          <w:rFonts w:ascii="Calibri" w:hAnsi="Calibri" w:cs="Calibri"/>
          <w:color w:val="FF0000"/>
          <w:lang w:val="en-GB"/>
        </w:rPr>
      </w:pPr>
      <w:r w:rsidRPr="00C2163A">
        <w:rPr>
          <w:rFonts w:ascii="Calibri" w:hAnsi="Calibri" w:cs="Calibri"/>
          <w:color w:val="FF0000"/>
          <w:lang w:val="en-GB"/>
        </w:rPr>
        <w:t>Employees are no longer required to explain the potential impact of their request on the organisation (Mayer Brown, 2024).</w:t>
      </w:r>
    </w:p>
    <w:p w14:paraId="41F81C1E" w14:textId="77777777" w:rsidR="00C2163A" w:rsidRPr="00C2163A" w:rsidRDefault="00C2163A" w:rsidP="00C2163A">
      <w:pPr>
        <w:numPr>
          <w:ilvl w:val="0"/>
          <w:numId w:val="20"/>
        </w:numPr>
        <w:rPr>
          <w:rFonts w:ascii="Calibri" w:hAnsi="Calibri" w:cs="Calibri"/>
          <w:color w:val="FF0000"/>
          <w:lang w:val="en-GB"/>
        </w:rPr>
      </w:pPr>
      <w:r w:rsidRPr="00C2163A">
        <w:rPr>
          <w:rFonts w:ascii="Calibri" w:hAnsi="Calibri" w:cs="Calibri"/>
          <w:color w:val="FF0000"/>
          <w:lang w:val="en-GB"/>
        </w:rPr>
        <w:t>Employers must consult with the employee before refusing a request (ACAS, 2024a).</w:t>
      </w:r>
    </w:p>
    <w:p w14:paraId="665B7693" w14:textId="77777777" w:rsidR="00C2163A" w:rsidRPr="00C2163A" w:rsidRDefault="00C2163A" w:rsidP="00C2163A">
      <w:pPr>
        <w:numPr>
          <w:ilvl w:val="0"/>
          <w:numId w:val="20"/>
        </w:numPr>
        <w:rPr>
          <w:rFonts w:ascii="Calibri" w:hAnsi="Calibri" w:cs="Calibri"/>
          <w:color w:val="FF0000"/>
          <w:lang w:val="en-GB"/>
        </w:rPr>
      </w:pPr>
      <w:r w:rsidRPr="00C2163A">
        <w:rPr>
          <w:rFonts w:ascii="Calibri" w:hAnsi="Calibri" w:cs="Calibri"/>
          <w:color w:val="FF0000"/>
          <w:lang w:val="en-GB"/>
        </w:rPr>
        <w:t>Employers must issue a written decision, including any appeal outcome, within two months of receiving the request, unless a longer period is agreed in writing (</w:t>
      </w:r>
      <w:proofErr w:type="spellStart"/>
      <w:r w:rsidRPr="00C2163A">
        <w:rPr>
          <w:rFonts w:ascii="Calibri" w:hAnsi="Calibri" w:cs="Calibri"/>
          <w:color w:val="FF0000"/>
          <w:lang w:val="en-GB"/>
        </w:rPr>
        <w:t>BrightHR</w:t>
      </w:r>
      <w:proofErr w:type="spellEnd"/>
      <w:r w:rsidRPr="00C2163A">
        <w:rPr>
          <w:rFonts w:ascii="Calibri" w:hAnsi="Calibri" w:cs="Calibri"/>
          <w:color w:val="FF0000"/>
          <w:lang w:val="en-GB"/>
        </w:rPr>
        <w:t>, 2024).</w:t>
      </w:r>
    </w:p>
    <w:p w14:paraId="41FE35E4" w14:textId="77777777" w:rsidR="006604EF" w:rsidRDefault="006604EF" w:rsidP="00C2163A">
      <w:pPr>
        <w:rPr>
          <w:rFonts w:ascii="Calibri" w:hAnsi="Calibri" w:cs="Calibri"/>
          <w:color w:val="FF0000"/>
          <w:lang w:val="en-GB"/>
        </w:rPr>
      </w:pPr>
    </w:p>
    <w:p w14:paraId="5DE0D0C6" w14:textId="6FE1BC35" w:rsidR="00C2163A" w:rsidRDefault="00C2163A" w:rsidP="00C2163A">
      <w:pPr>
        <w:rPr>
          <w:rFonts w:ascii="Calibri" w:hAnsi="Calibri" w:cs="Calibri"/>
          <w:color w:val="FF0000"/>
          <w:lang w:val="en-GB"/>
        </w:rPr>
      </w:pPr>
      <w:r w:rsidRPr="00C2163A">
        <w:rPr>
          <w:rFonts w:ascii="Calibri" w:hAnsi="Calibri" w:cs="Calibri"/>
          <w:color w:val="FF0000"/>
          <w:lang w:val="en-GB"/>
        </w:rPr>
        <w:t xml:space="preserve">Employers can only refuse a statutory flexible working request if one or more of the eight statutory business reasons apply, as set out in the </w:t>
      </w:r>
      <w:r w:rsidRPr="00C2163A">
        <w:rPr>
          <w:rFonts w:ascii="Calibri" w:hAnsi="Calibri" w:cs="Calibri"/>
          <w:i/>
          <w:iCs/>
          <w:color w:val="FF0000"/>
          <w:lang w:val="en-GB"/>
        </w:rPr>
        <w:t>Employment Rights Act 1996</w:t>
      </w:r>
      <w:r w:rsidRPr="00C2163A">
        <w:rPr>
          <w:rFonts w:ascii="Calibri" w:hAnsi="Calibri" w:cs="Calibri"/>
          <w:color w:val="FF0000"/>
          <w:lang w:val="en-GB"/>
        </w:rPr>
        <w:t xml:space="preserve"> (s.80G). These include detrimental effects on quality, performance, customer demand, or an unreasonable burden of additional costs (Daniels, 2022). Concerns that “others may ask too” are not valid grounds unless supported by operational evidence (CIPD, 2023a).</w:t>
      </w:r>
    </w:p>
    <w:p w14:paraId="7B5B2785" w14:textId="77777777" w:rsidR="006604EF" w:rsidRPr="00C2163A" w:rsidRDefault="006604EF" w:rsidP="00C2163A">
      <w:pPr>
        <w:rPr>
          <w:rFonts w:ascii="Calibri" w:hAnsi="Calibri" w:cs="Calibri"/>
          <w:color w:val="FF0000"/>
          <w:lang w:val="en-GB"/>
        </w:rPr>
      </w:pPr>
    </w:p>
    <w:p w14:paraId="14B620F0" w14:textId="77777777" w:rsidR="00C2163A" w:rsidRDefault="00C2163A" w:rsidP="00C2163A">
      <w:pPr>
        <w:rPr>
          <w:rFonts w:ascii="Calibri" w:hAnsi="Calibri" w:cs="Calibri"/>
          <w:color w:val="FF0000"/>
          <w:lang w:val="en-GB"/>
        </w:rPr>
      </w:pPr>
      <w:r w:rsidRPr="00C2163A">
        <w:rPr>
          <w:rFonts w:ascii="Calibri" w:hAnsi="Calibri" w:cs="Calibri"/>
          <w:color w:val="FF0000"/>
          <w:lang w:val="en-GB"/>
        </w:rPr>
        <w:t xml:space="preserve">In addition, employers must consider the risk of indirect discrimination under the </w:t>
      </w:r>
      <w:r w:rsidRPr="00C2163A">
        <w:rPr>
          <w:rFonts w:ascii="Calibri" w:hAnsi="Calibri" w:cs="Calibri"/>
          <w:i/>
          <w:iCs/>
          <w:color w:val="FF0000"/>
          <w:lang w:val="en-GB"/>
        </w:rPr>
        <w:t>Equality Act 2010</w:t>
      </w:r>
      <w:r w:rsidRPr="00C2163A">
        <w:rPr>
          <w:rFonts w:ascii="Calibri" w:hAnsi="Calibri" w:cs="Calibri"/>
          <w:color w:val="FF0000"/>
          <w:lang w:val="en-GB"/>
        </w:rPr>
        <w:t>. For example, a refusal may disproportionately affect women with caring responsibilities or disabled employees. In such cases, the refusal must be a proportionate means of achieving a legitimate aim to be lawful (CIPD, 2023b).</w:t>
      </w:r>
    </w:p>
    <w:p w14:paraId="15E2366F" w14:textId="77777777" w:rsidR="006604EF" w:rsidRPr="00C2163A" w:rsidRDefault="006604EF" w:rsidP="00C2163A">
      <w:pPr>
        <w:rPr>
          <w:rFonts w:ascii="Calibri" w:hAnsi="Calibri" w:cs="Calibri"/>
          <w:color w:val="FF0000"/>
          <w:lang w:val="en-GB"/>
        </w:rPr>
      </w:pPr>
    </w:p>
    <w:p w14:paraId="2A1A44F8" w14:textId="77777777" w:rsidR="00C2163A" w:rsidRPr="00C2163A" w:rsidRDefault="00C2163A" w:rsidP="00C2163A">
      <w:pPr>
        <w:rPr>
          <w:rFonts w:ascii="Calibri" w:hAnsi="Calibri" w:cs="Calibri"/>
          <w:color w:val="FF0000"/>
          <w:lang w:val="en-GB"/>
        </w:rPr>
      </w:pPr>
      <w:r w:rsidRPr="00C2163A">
        <w:rPr>
          <w:rFonts w:ascii="Calibri" w:hAnsi="Calibri" w:cs="Calibri"/>
          <w:color w:val="FF0000"/>
          <w:lang w:val="en-GB"/>
        </w:rPr>
        <w:t>While not a legal requirement, ACAS and the CIPD recommend that employers explore alternatives such as temporary arrangements, trial periods, or phased adjustments to support both service delivery and employee needs (ACAS, 2024b; Armstrong and Taylor, 2023). This approach can also promote engagement, retention, and productivity (Armstrong and Taylor, 2023).</w:t>
      </w:r>
    </w:p>
    <w:p w14:paraId="494518A5" w14:textId="77777777" w:rsidR="006604EF" w:rsidRDefault="006604EF" w:rsidP="00C2163A">
      <w:pPr>
        <w:rPr>
          <w:rFonts w:ascii="Calibri" w:hAnsi="Calibri" w:cs="Calibri"/>
          <w:color w:val="FF0000"/>
          <w:lang w:val="en-GB"/>
        </w:rPr>
      </w:pPr>
    </w:p>
    <w:p w14:paraId="4CD4B742" w14:textId="224EEF75" w:rsidR="00C2163A" w:rsidRPr="00C2163A" w:rsidRDefault="00C2163A" w:rsidP="00C2163A">
      <w:pPr>
        <w:rPr>
          <w:rFonts w:ascii="Calibri" w:hAnsi="Calibri" w:cs="Calibri"/>
          <w:color w:val="FF0000"/>
          <w:lang w:val="en-GB"/>
        </w:rPr>
      </w:pPr>
      <w:r w:rsidRPr="00C2163A">
        <w:rPr>
          <w:rFonts w:ascii="Calibri" w:hAnsi="Calibri" w:cs="Calibri"/>
          <w:color w:val="FF0000"/>
          <w:lang w:val="en-GB"/>
        </w:rPr>
        <w:t>Recommended process:</w:t>
      </w:r>
    </w:p>
    <w:p w14:paraId="17873EAA" w14:textId="77777777" w:rsidR="00C2163A" w:rsidRPr="00C2163A" w:rsidRDefault="00C2163A" w:rsidP="00C2163A">
      <w:pPr>
        <w:numPr>
          <w:ilvl w:val="0"/>
          <w:numId w:val="21"/>
        </w:numPr>
        <w:rPr>
          <w:rFonts w:ascii="Calibri" w:hAnsi="Calibri" w:cs="Calibri"/>
          <w:color w:val="FF0000"/>
          <w:lang w:val="en-GB"/>
        </w:rPr>
      </w:pPr>
      <w:r w:rsidRPr="00C2163A">
        <w:rPr>
          <w:rFonts w:ascii="Calibri" w:hAnsi="Calibri" w:cs="Calibri"/>
          <w:color w:val="FF0000"/>
          <w:lang w:val="en-GB"/>
        </w:rPr>
        <w:t>Acknowledge the request promptly in writing.</w:t>
      </w:r>
    </w:p>
    <w:p w14:paraId="3A7BB183" w14:textId="77777777" w:rsidR="00C2163A" w:rsidRPr="00C2163A" w:rsidRDefault="00C2163A" w:rsidP="00C2163A">
      <w:pPr>
        <w:numPr>
          <w:ilvl w:val="0"/>
          <w:numId w:val="21"/>
        </w:numPr>
        <w:rPr>
          <w:rFonts w:ascii="Calibri" w:hAnsi="Calibri" w:cs="Calibri"/>
          <w:color w:val="FF0000"/>
          <w:lang w:val="en-GB"/>
        </w:rPr>
      </w:pPr>
      <w:r w:rsidRPr="00C2163A">
        <w:rPr>
          <w:rFonts w:ascii="Calibri" w:hAnsi="Calibri" w:cs="Calibri"/>
          <w:color w:val="FF0000"/>
          <w:lang w:val="en-GB"/>
        </w:rPr>
        <w:t>Arrange a consultation meeting to discuss the proposal, allowing the employee to be accompanied if they wish (ACAS, 2024a).</w:t>
      </w:r>
    </w:p>
    <w:p w14:paraId="3655B972" w14:textId="77777777" w:rsidR="00C2163A" w:rsidRPr="00C2163A" w:rsidRDefault="00C2163A" w:rsidP="00C2163A">
      <w:pPr>
        <w:numPr>
          <w:ilvl w:val="0"/>
          <w:numId w:val="21"/>
        </w:numPr>
        <w:rPr>
          <w:rFonts w:ascii="Calibri" w:hAnsi="Calibri" w:cs="Calibri"/>
          <w:color w:val="FF0000"/>
          <w:lang w:val="en-GB"/>
        </w:rPr>
      </w:pPr>
      <w:r w:rsidRPr="00C2163A">
        <w:rPr>
          <w:rFonts w:ascii="Calibri" w:hAnsi="Calibri" w:cs="Calibri"/>
          <w:color w:val="FF0000"/>
          <w:lang w:val="en-GB"/>
        </w:rPr>
        <w:t>Assess operational impact objectively.</w:t>
      </w:r>
    </w:p>
    <w:p w14:paraId="11B80F80" w14:textId="77777777" w:rsidR="00C2163A" w:rsidRPr="00C2163A" w:rsidRDefault="00C2163A" w:rsidP="00C2163A">
      <w:pPr>
        <w:numPr>
          <w:ilvl w:val="0"/>
          <w:numId w:val="21"/>
        </w:numPr>
        <w:rPr>
          <w:rFonts w:ascii="Calibri" w:hAnsi="Calibri" w:cs="Calibri"/>
          <w:color w:val="FF0000"/>
          <w:lang w:val="en-GB"/>
        </w:rPr>
      </w:pPr>
      <w:r w:rsidRPr="00C2163A">
        <w:rPr>
          <w:rFonts w:ascii="Calibri" w:hAnsi="Calibri" w:cs="Calibri"/>
          <w:color w:val="FF0000"/>
          <w:lang w:val="en-GB"/>
        </w:rPr>
        <w:t>Provide a written decision within two months, stating whether the request is approved, modified, or refused with statutory reasons and appeal rights.</w:t>
      </w:r>
    </w:p>
    <w:p w14:paraId="5D37671B" w14:textId="77777777" w:rsidR="00C2163A" w:rsidRPr="00C2163A" w:rsidRDefault="00C2163A" w:rsidP="00C2163A">
      <w:pPr>
        <w:numPr>
          <w:ilvl w:val="0"/>
          <w:numId w:val="21"/>
        </w:numPr>
        <w:rPr>
          <w:rFonts w:ascii="Calibri" w:hAnsi="Calibri" w:cs="Calibri"/>
          <w:color w:val="FF0000"/>
          <w:lang w:val="en-GB"/>
        </w:rPr>
      </w:pPr>
      <w:r w:rsidRPr="00C2163A">
        <w:rPr>
          <w:rFonts w:ascii="Calibri" w:hAnsi="Calibri" w:cs="Calibri"/>
          <w:color w:val="FF0000"/>
          <w:lang w:val="en-GB"/>
        </w:rPr>
        <w:t>Consider equality implications before making a final decision.</w:t>
      </w:r>
    </w:p>
    <w:p w14:paraId="317B6D32" w14:textId="77777777" w:rsidR="00C2163A" w:rsidRPr="00C2163A" w:rsidRDefault="00C2163A" w:rsidP="00C2163A">
      <w:pPr>
        <w:numPr>
          <w:ilvl w:val="0"/>
          <w:numId w:val="21"/>
        </w:numPr>
        <w:rPr>
          <w:rFonts w:ascii="Calibri" w:hAnsi="Calibri" w:cs="Calibri"/>
          <w:color w:val="FF0000"/>
          <w:lang w:val="en-GB"/>
        </w:rPr>
      </w:pPr>
      <w:r w:rsidRPr="00C2163A">
        <w:rPr>
          <w:rFonts w:ascii="Calibri" w:hAnsi="Calibri" w:cs="Calibri"/>
          <w:color w:val="FF0000"/>
          <w:lang w:val="en-GB"/>
        </w:rPr>
        <w:t>Where possible, offer alternative solutions that balance organisational and employee needs.</w:t>
      </w:r>
    </w:p>
    <w:p w14:paraId="7EDCFAD7" w14:textId="77777777" w:rsidR="006604EF" w:rsidRDefault="006604EF" w:rsidP="00C2163A">
      <w:pPr>
        <w:rPr>
          <w:rFonts w:ascii="Calibri" w:hAnsi="Calibri" w:cs="Calibri"/>
          <w:color w:val="FF0000"/>
          <w:lang w:val="en-GB"/>
        </w:rPr>
      </w:pPr>
    </w:p>
    <w:p w14:paraId="6718F0B4" w14:textId="7ACF542B" w:rsidR="00C2163A" w:rsidRPr="00C2163A" w:rsidRDefault="00C2163A" w:rsidP="00C2163A">
      <w:pPr>
        <w:rPr>
          <w:rFonts w:ascii="Calibri" w:hAnsi="Calibri" w:cs="Calibri"/>
          <w:color w:val="FF0000"/>
          <w:lang w:val="en-GB"/>
        </w:rPr>
      </w:pPr>
      <w:r w:rsidRPr="00C2163A">
        <w:rPr>
          <w:rFonts w:ascii="Calibri" w:hAnsi="Calibri" w:cs="Calibri"/>
          <w:color w:val="FF0000"/>
          <w:lang w:val="en-GB"/>
        </w:rPr>
        <w:t>By following this approach, the Trust can ensure compliance with the updated legislation, maintain fairness, and support a positive working culture.</w:t>
      </w:r>
    </w:p>
    <w:p w14:paraId="09061046" w14:textId="77777777" w:rsidR="00481A2E" w:rsidRDefault="00481A2E" w:rsidP="00E3798F">
      <w:pPr>
        <w:rPr>
          <w:rFonts w:ascii="Calibri" w:hAnsi="Calibri" w:cs="Calibri"/>
          <w:lang w:val="en-GB"/>
        </w:rPr>
      </w:pPr>
    </w:p>
    <w:p w14:paraId="6CA210B1" w14:textId="77777777" w:rsidR="0073350A" w:rsidRPr="00CF06BB" w:rsidRDefault="0073350A" w:rsidP="0073350A">
      <w:pPr>
        <w:rPr>
          <w:rFonts w:ascii="Calibri" w:hAnsi="Calibri" w:cs="Calibri"/>
          <w:lang w:val="en-GB"/>
        </w:rPr>
      </w:pPr>
      <w:r w:rsidRPr="00CF06BB">
        <w:rPr>
          <w:rFonts w:ascii="Calibri" w:hAnsi="Calibri" w:cs="Calibri"/>
          <w:lang w:val="en-GB"/>
        </w:rPr>
        <w:t>Best regards,</w:t>
      </w:r>
      <w:r w:rsidRPr="00CF06BB">
        <w:rPr>
          <w:rFonts w:ascii="Calibri" w:hAnsi="Calibri" w:cs="Calibri"/>
          <w:lang w:val="en-GB"/>
        </w:rPr>
        <w:br/>
        <w:t>Melanie</w:t>
      </w:r>
    </w:p>
    <w:p w14:paraId="7547F9D4" w14:textId="77777777" w:rsidR="005A58B9" w:rsidRDefault="005A58B9" w:rsidP="0073350A">
      <w:pPr>
        <w:rPr>
          <w:rFonts w:ascii="Calibri" w:hAnsi="Calibri" w:cs="Calibri"/>
          <w:lang w:val="en-GB"/>
        </w:rPr>
      </w:pPr>
    </w:p>
    <w:p w14:paraId="2CF13E2A" w14:textId="77777777" w:rsidR="00CF06BB" w:rsidRDefault="00CF06BB" w:rsidP="009146EB">
      <w:pPr>
        <w:rPr>
          <w:rFonts w:ascii="Calibri" w:hAnsi="Calibri" w:cs="Calibri"/>
          <w:lang w:val="en-GB"/>
        </w:rPr>
      </w:pPr>
    </w:p>
    <w:p w14:paraId="352CE4AD" w14:textId="77777777" w:rsidR="00CC5CE7" w:rsidRDefault="00CC5CE7" w:rsidP="009146EB">
      <w:pPr>
        <w:rPr>
          <w:rFonts w:ascii="Calibri" w:hAnsi="Calibri" w:cs="Calibri"/>
          <w:lang w:val="en-GB"/>
        </w:rPr>
      </w:pPr>
    </w:p>
    <w:p w14:paraId="372926A8" w14:textId="77777777" w:rsidR="00CC5CE7" w:rsidRDefault="00CC5CE7" w:rsidP="009146EB">
      <w:pPr>
        <w:rPr>
          <w:rFonts w:ascii="Calibri" w:hAnsi="Calibri" w:cs="Calibri"/>
          <w:lang w:val="en-GB"/>
        </w:rPr>
      </w:pPr>
    </w:p>
    <w:p w14:paraId="27D1DA17" w14:textId="77777777" w:rsidR="00CC5CE7" w:rsidRDefault="00CC5CE7" w:rsidP="009146EB">
      <w:pPr>
        <w:rPr>
          <w:rFonts w:ascii="Calibri" w:hAnsi="Calibri" w:cs="Calibri"/>
          <w:lang w:val="en-GB"/>
        </w:rPr>
      </w:pPr>
    </w:p>
    <w:p w14:paraId="302C964C" w14:textId="77777777" w:rsidR="00CC5CE7" w:rsidRDefault="00CC5CE7" w:rsidP="009146EB">
      <w:pPr>
        <w:rPr>
          <w:rFonts w:ascii="Calibri" w:hAnsi="Calibri" w:cs="Calibri"/>
          <w:lang w:val="en-GB"/>
        </w:rPr>
      </w:pPr>
    </w:p>
    <w:p w14:paraId="09BDE7C8" w14:textId="77777777" w:rsidR="00CC5CE7" w:rsidRDefault="00CC5CE7" w:rsidP="009146EB">
      <w:pPr>
        <w:rPr>
          <w:rFonts w:ascii="Calibri" w:hAnsi="Calibri" w:cs="Calibri"/>
          <w:lang w:val="en-GB"/>
        </w:rPr>
      </w:pPr>
    </w:p>
    <w:p w14:paraId="2157A663" w14:textId="17CE8124" w:rsidR="009146EB" w:rsidRDefault="009146EB" w:rsidP="009146EB">
      <w:pPr>
        <w:rPr>
          <w:rFonts w:ascii="Calibri" w:hAnsi="Calibri" w:cs="Calibri"/>
          <w:b/>
          <w:bCs/>
        </w:rPr>
      </w:pPr>
      <w:proofErr w:type="spellStart"/>
      <w:r w:rsidRPr="009146EB">
        <w:rPr>
          <w:rFonts w:ascii="Calibri" w:hAnsi="Calibri" w:cs="Calibri"/>
          <w:b/>
          <w:bCs/>
        </w:rPr>
        <w:lastRenderedPageBreak/>
        <w:t>bliography</w:t>
      </w:r>
      <w:proofErr w:type="spellEnd"/>
    </w:p>
    <w:p w14:paraId="58E0B749" w14:textId="77777777" w:rsidR="0024119E" w:rsidRDefault="0024119E" w:rsidP="009146EB">
      <w:pPr>
        <w:rPr>
          <w:rFonts w:ascii="Calibri" w:hAnsi="Calibri" w:cs="Calibri"/>
          <w:b/>
          <w:bCs/>
        </w:rPr>
      </w:pPr>
    </w:p>
    <w:p w14:paraId="2E9E36F8" w14:textId="46212A35" w:rsidR="00C73E0E" w:rsidRDefault="00C73E0E" w:rsidP="004C3F98">
      <w:pPr>
        <w:rPr>
          <w:rFonts w:ascii="Calibri" w:hAnsi="Calibri" w:cs="Calibri"/>
        </w:rPr>
      </w:pPr>
      <w:r w:rsidRPr="00C73E0E">
        <w:rPr>
          <w:rFonts w:ascii="Calibri" w:hAnsi="Calibri" w:cs="Calibri"/>
        </w:rPr>
        <w:t xml:space="preserve">ACAS (2024a) </w:t>
      </w:r>
      <w:r w:rsidRPr="00C73E0E">
        <w:rPr>
          <w:rFonts w:ascii="Calibri" w:hAnsi="Calibri" w:cs="Calibri"/>
          <w:i/>
          <w:iCs/>
        </w:rPr>
        <w:t>Code of practice on handling in a reasonable manner requests to work flexibly</w:t>
      </w:r>
      <w:r w:rsidRPr="00C73E0E">
        <w:rPr>
          <w:rFonts w:ascii="Calibri" w:hAnsi="Calibri" w:cs="Calibri"/>
        </w:rPr>
        <w:t xml:space="preserve">. Available at: https://www.acas.org.uk/acas-code-of-practice-on-flexible-working-requests/html (Accessed: </w:t>
      </w:r>
      <w:r>
        <w:rPr>
          <w:rFonts w:ascii="Calibri" w:hAnsi="Calibri" w:cs="Calibri"/>
        </w:rPr>
        <w:t>08</w:t>
      </w:r>
      <w:r w:rsidRPr="00C73E0E">
        <w:rPr>
          <w:rFonts w:ascii="Calibri" w:hAnsi="Calibri" w:cs="Calibri"/>
        </w:rPr>
        <w:t xml:space="preserve"> August 2025).</w:t>
      </w:r>
    </w:p>
    <w:p w14:paraId="1D561FF0" w14:textId="77777777" w:rsidR="003631F0" w:rsidRDefault="003631F0" w:rsidP="004C3F98">
      <w:pPr>
        <w:rPr>
          <w:rFonts w:ascii="Calibri" w:hAnsi="Calibri" w:cs="Calibri"/>
        </w:rPr>
      </w:pPr>
    </w:p>
    <w:p w14:paraId="77E132C4" w14:textId="214F6DFF" w:rsidR="003631F0" w:rsidRDefault="003631F0" w:rsidP="004C3F98">
      <w:pPr>
        <w:rPr>
          <w:rFonts w:ascii="Calibri" w:hAnsi="Calibri" w:cs="Calibri"/>
        </w:rPr>
      </w:pPr>
      <w:r w:rsidRPr="003631F0">
        <w:rPr>
          <w:rFonts w:ascii="Calibri" w:hAnsi="Calibri" w:cs="Calibri"/>
        </w:rPr>
        <w:t xml:space="preserve">ACAS (2024b) </w:t>
      </w:r>
      <w:r w:rsidRPr="003631F0">
        <w:rPr>
          <w:rFonts w:ascii="Calibri" w:hAnsi="Calibri" w:cs="Calibri"/>
          <w:i/>
          <w:iCs/>
        </w:rPr>
        <w:t>Handling requests to work flexibly: advice for employers</w:t>
      </w:r>
      <w:r w:rsidRPr="003631F0">
        <w:rPr>
          <w:rFonts w:ascii="Calibri" w:hAnsi="Calibri" w:cs="Calibri"/>
        </w:rPr>
        <w:t>. Available at: https://www.acas.org.uk/handling-requests-to-work-flexibly (Accessed: 1</w:t>
      </w:r>
      <w:r>
        <w:rPr>
          <w:rFonts w:ascii="Calibri" w:hAnsi="Calibri" w:cs="Calibri"/>
        </w:rPr>
        <w:t>0</w:t>
      </w:r>
      <w:r w:rsidRPr="003631F0">
        <w:rPr>
          <w:rFonts w:ascii="Calibri" w:hAnsi="Calibri" w:cs="Calibri"/>
        </w:rPr>
        <w:t xml:space="preserve"> August 2025).</w:t>
      </w:r>
    </w:p>
    <w:p w14:paraId="1BAD5672" w14:textId="77777777" w:rsidR="00C73E0E" w:rsidRDefault="00C73E0E" w:rsidP="004C3F98">
      <w:pPr>
        <w:rPr>
          <w:rFonts w:ascii="Calibri" w:hAnsi="Calibri" w:cs="Calibri"/>
        </w:rPr>
      </w:pPr>
    </w:p>
    <w:p w14:paraId="768603B4" w14:textId="06AFA72E" w:rsidR="00801008" w:rsidRDefault="004C3F98" w:rsidP="004C3F98">
      <w:pPr>
        <w:rPr>
          <w:rFonts w:ascii="Calibri" w:hAnsi="Calibri" w:cs="Calibri"/>
        </w:rPr>
      </w:pPr>
      <w:r w:rsidRPr="004C3F98">
        <w:rPr>
          <w:rFonts w:ascii="Calibri" w:hAnsi="Calibri" w:cs="Calibri"/>
        </w:rPr>
        <w:t xml:space="preserve">ACAS (2023) Holiday pay: Guidance for employers and workers. Available at: </w:t>
      </w:r>
    </w:p>
    <w:p w14:paraId="23173417" w14:textId="182E93E6" w:rsidR="00801008" w:rsidRDefault="001A3A6F" w:rsidP="004C3F98">
      <w:pPr>
        <w:rPr>
          <w:rFonts w:ascii="Calibri" w:hAnsi="Calibri" w:cs="Calibri"/>
        </w:rPr>
      </w:pPr>
      <w:r w:rsidRPr="001A3A6F">
        <w:rPr>
          <w:rFonts w:ascii="Calibri" w:hAnsi="Calibri" w:cs="Calibri"/>
        </w:rPr>
        <w:t>www.acas.org.uk/irregular-hours-and-part-year-workers/calculating-holiday-pay</w:t>
      </w:r>
      <w:r w:rsidR="00801008">
        <w:rPr>
          <w:rFonts w:ascii="Calibri" w:hAnsi="Calibri" w:cs="Calibri"/>
        </w:rPr>
        <w:t xml:space="preserve"> </w:t>
      </w:r>
      <w:r w:rsidR="00801008" w:rsidRPr="004C3F98">
        <w:rPr>
          <w:rFonts w:ascii="Calibri" w:hAnsi="Calibri" w:cs="Calibri"/>
        </w:rPr>
        <w:t>(Accessed: 29 April 2025</w:t>
      </w:r>
      <w:r w:rsidR="00801008">
        <w:rPr>
          <w:rFonts w:ascii="Calibri" w:hAnsi="Calibri" w:cs="Calibri"/>
        </w:rPr>
        <w:t>).</w:t>
      </w:r>
    </w:p>
    <w:p w14:paraId="26FA761E" w14:textId="77777777" w:rsidR="001A3A6F" w:rsidRDefault="001A3A6F" w:rsidP="004C3F98">
      <w:pPr>
        <w:rPr>
          <w:rFonts w:ascii="Calibri" w:hAnsi="Calibri" w:cs="Calibri"/>
        </w:rPr>
      </w:pPr>
    </w:p>
    <w:p w14:paraId="3CA4919D" w14:textId="113ABF53" w:rsidR="004C3F98" w:rsidRPr="004C3F98" w:rsidRDefault="004C3F98" w:rsidP="004C3F98">
      <w:pPr>
        <w:rPr>
          <w:rFonts w:ascii="Calibri" w:hAnsi="Calibri" w:cs="Calibri"/>
        </w:rPr>
      </w:pPr>
      <w:r w:rsidRPr="004C3F98">
        <w:rPr>
          <w:rFonts w:ascii="Calibri" w:hAnsi="Calibri" w:cs="Calibri"/>
        </w:rPr>
        <w:t>ACAS (2023) Redundancy: Consultation and fair selection. Available at: www.acas.org.uk/redundancy (Accessed: 05 May 2025).</w:t>
      </w:r>
    </w:p>
    <w:p w14:paraId="1073178B" w14:textId="77777777" w:rsidR="004C3F98" w:rsidRDefault="004C3F98" w:rsidP="004C3F98">
      <w:pPr>
        <w:rPr>
          <w:rFonts w:ascii="Calibri" w:hAnsi="Calibri" w:cs="Calibri"/>
        </w:rPr>
      </w:pPr>
      <w:r w:rsidRPr="004C3F98">
        <w:rPr>
          <w:rFonts w:ascii="Calibri" w:hAnsi="Calibri" w:cs="Calibri"/>
        </w:rPr>
        <w:t>ACAS (2024) Constructive dismissal. Available at: https://www.acas.org.uk/dismissals/constructive-dismissal (Accessed: 08 May 2025).</w:t>
      </w:r>
    </w:p>
    <w:p w14:paraId="2E753B05" w14:textId="77777777" w:rsidR="004104D1" w:rsidRDefault="004104D1" w:rsidP="004C3F98">
      <w:pPr>
        <w:rPr>
          <w:rFonts w:ascii="Calibri" w:hAnsi="Calibri" w:cs="Calibri"/>
        </w:rPr>
      </w:pPr>
    </w:p>
    <w:p w14:paraId="2230EDA2" w14:textId="5ADD2197" w:rsidR="004104D1" w:rsidRPr="001149B9" w:rsidRDefault="004104D1" w:rsidP="004104D1">
      <w:pPr>
        <w:rPr>
          <w:rFonts w:ascii="Calibri" w:hAnsi="Calibri" w:cs="Calibri"/>
          <w:lang w:val="en-GB"/>
        </w:rPr>
      </w:pPr>
      <w:r w:rsidRPr="001149B9">
        <w:rPr>
          <w:rFonts w:ascii="Calibri" w:hAnsi="Calibri" w:cs="Calibri"/>
          <w:lang w:val="en-GB"/>
        </w:rPr>
        <w:t xml:space="preserve">ACAS (2015) </w:t>
      </w:r>
      <w:r w:rsidRPr="001149B9">
        <w:rPr>
          <w:rFonts w:ascii="Calibri" w:hAnsi="Calibri" w:cs="Calibri"/>
          <w:i/>
          <w:iCs/>
          <w:lang w:val="en-GB"/>
        </w:rPr>
        <w:t xml:space="preserve">Discipline and grievances at work: The </w:t>
      </w:r>
      <w:proofErr w:type="spellStart"/>
      <w:r w:rsidRPr="001149B9">
        <w:rPr>
          <w:rFonts w:ascii="Calibri" w:hAnsi="Calibri" w:cs="Calibri"/>
          <w:i/>
          <w:iCs/>
          <w:lang w:val="en-GB"/>
        </w:rPr>
        <w:t>Acas</w:t>
      </w:r>
      <w:proofErr w:type="spellEnd"/>
      <w:r w:rsidRPr="001149B9">
        <w:rPr>
          <w:rFonts w:ascii="Calibri" w:hAnsi="Calibri" w:cs="Calibri"/>
          <w:i/>
          <w:iCs/>
          <w:lang w:val="en-GB"/>
        </w:rPr>
        <w:t xml:space="preserve"> guide</w:t>
      </w:r>
      <w:r w:rsidRPr="001149B9">
        <w:rPr>
          <w:rFonts w:ascii="Calibri" w:hAnsi="Calibri" w:cs="Calibri"/>
          <w:lang w:val="en-GB"/>
        </w:rPr>
        <w:t xml:space="preserve">. Available at: https://www.acas.org.uk/discipline-and-grievances-at-work (Accessed: </w:t>
      </w:r>
      <w:r>
        <w:rPr>
          <w:rFonts w:ascii="Calibri" w:hAnsi="Calibri" w:cs="Calibri"/>
          <w:lang w:val="en-GB"/>
        </w:rPr>
        <w:t>23 July</w:t>
      </w:r>
      <w:r w:rsidRPr="001149B9">
        <w:rPr>
          <w:rFonts w:ascii="Calibri" w:hAnsi="Calibri" w:cs="Calibri"/>
          <w:lang w:val="en-GB"/>
        </w:rPr>
        <w:t xml:space="preserve"> 2025).</w:t>
      </w:r>
    </w:p>
    <w:p w14:paraId="1036CEC0" w14:textId="77777777" w:rsidR="001A3A6F" w:rsidRPr="004C3F98" w:rsidRDefault="001A3A6F" w:rsidP="004C3F98">
      <w:pPr>
        <w:rPr>
          <w:rFonts w:ascii="Calibri" w:hAnsi="Calibri" w:cs="Calibri"/>
        </w:rPr>
      </w:pPr>
    </w:p>
    <w:p w14:paraId="2A5AEB5E" w14:textId="14321CEC" w:rsidR="004C3F98" w:rsidRDefault="004C3F98" w:rsidP="004C3F98">
      <w:pPr>
        <w:rPr>
          <w:rFonts w:ascii="Calibri" w:hAnsi="Calibri" w:cs="Calibri"/>
        </w:rPr>
      </w:pPr>
      <w:r w:rsidRPr="004C3F98">
        <w:rPr>
          <w:rFonts w:ascii="Calibri" w:hAnsi="Calibri" w:cs="Calibri"/>
        </w:rPr>
        <w:t xml:space="preserve">Armstrong, M. and Taylor, S. (2023) Armstrong’s handbook of human resource management practice. 16th </w:t>
      </w:r>
      <w:proofErr w:type="spellStart"/>
      <w:r w:rsidRPr="004C3F98">
        <w:rPr>
          <w:rFonts w:ascii="Calibri" w:hAnsi="Calibri" w:cs="Calibri"/>
        </w:rPr>
        <w:t>edn</w:t>
      </w:r>
      <w:proofErr w:type="spellEnd"/>
      <w:r w:rsidRPr="004C3F98">
        <w:rPr>
          <w:rFonts w:ascii="Calibri" w:hAnsi="Calibri" w:cs="Calibri"/>
        </w:rPr>
        <w:t>. London: Kogan Page</w:t>
      </w:r>
      <w:r w:rsidR="00674189">
        <w:rPr>
          <w:rFonts w:ascii="Calibri" w:hAnsi="Calibri" w:cs="Calibri"/>
        </w:rPr>
        <w:t>.</w:t>
      </w:r>
    </w:p>
    <w:p w14:paraId="3376BCB9" w14:textId="77777777" w:rsidR="006C77F8" w:rsidRDefault="006C77F8" w:rsidP="004C3F98">
      <w:pPr>
        <w:rPr>
          <w:rFonts w:ascii="Calibri" w:hAnsi="Calibri" w:cs="Calibri"/>
        </w:rPr>
      </w:pPr>
    </w:p>
    <w:p w14:paraId="539541AD" w14:textId="01C859C0" w:rsidR="006C77F8" w:rsidRDefault="006C77F8" w:rsidP="004C3F98">
      <w:pPr>
        <w:rPr>
          <w:rFonts w:ascii="Calibri" w:hAnsi="Calibri" w:cs="Calibri"/>
        </w:rPr>
      </w:pPr>
      <w:proofErr w:type="spellStart"/>
      <w:r w:rsidRPr="006C77F8">
        <w:rPr>
          <w:rFonts w:ascii="Calibri" w:hAnsi="Calibri" w:cs="Calibri"/>
        </w:rPr>
        <w:t>BrightHR</w:t>
      </w:r>
      <w:proofErr w:type="spellEnd"/>
      <w:r w:rsidRPr="006C77F8">
        <w:rPr>
          <w:rFonts w:ascii="Calibri" w:hAnsi="Calibri" w:cs="Calibri"/>
        </w:rPr>
        <w:t xml:space="preserve"> (2024) </w:t>
      </w:r>
      <w:r w:rsidRPr="006C77F8">
        <w:rPr>
          <w:rFonts w:ascii="Calibri" w:hAnsi="Calibri" w:cs="Calibri"/>
          <w:i/>
          <w:iCs/>
        </w:rPr>
        <w:t>Flexible working act</w:t>
      </w:r>
      <w:r w:rsidRPr="006C77F8">
        <w:rPr>
          <w:rFonts w:ascii="Calibri" w:hAnsi="Calibri" w:cs="Calibri"/>
        </w:rPr>
        <w:t>. Available at: https://www.brighthr.com/articles/employment-law/flexible-working-act (Accessed: 1</w:t>
      </w:r>
      <w:r>
        <w:rPr>
          <w:rFonts w:ascii="Calibri" w:hAnsi="Calibri" w:cs="Calibri"/>
        </w:rPr>
        <w:t>0</w:t>
      </w:r>
      <w:r w:rsidRPr="006C77F8">
        <w:rPr>
          <w:rFonts w:ascii="Calibri" w:hAnsi="Calibri" w:cs="Calibri"/>
        </w:rPr>
        <w:t xml:space="preserve"> August 2025).</w:t>
      </w:r>
    </w:p>
    <w:p w14:paraId="1B8B6287" w14:textId="77777777" w:rsidR="004104D1" w:rsidRDefault="004104D1" w:rsidP="004C3F98">
      <w:pPr>
        <w:rPr>
          <w:rFonts w:ascii="Calibri" w:hAnsi="Calibri" w:cs="Calibri"/>
        </w:rPr>
      </w:pPr>
    </w:p>
    <w:p w14:paraId="350DB416" w14:textId="2D017898" w:rsidR="004104D1" w:rsidRDefault="004104D1" w:rsidP="004104D1">
      <w:pPr>
        <w:rPr>
          <w:rFonts w:ascii="Calibri" w:hAnsi="Calibri" w:cs="Calibri"/>
          <w:lang w:val="en-GB"/>
        </w:rPr>
      </w:pPr>
      <w:r w:rsidRPr="001149B9">
        <w:rPr>
          <w:rFonts w:ascii="Calibri" w:hAnsi="Calibri" w:cs="Calibri"/>
          <w:lang w:val="en-GB"/>
        </w:rPr>
        <w:t xml:space="preserve">CIPD (2023) </w:t>
      </w:r>
      <w:r w:rsidRPr="001149B9">
        <w:rPr>
          <w:rFonts w:ascii="Calibri" w:hAnsi="Calibri" w:cs="Calibri"/>
          <w:i/>
          <w:iCs/>
          <w:lang w:val="en-GB"/>
        </w:rPr>
        <w:t>Employment law</w:t>
      </w:r>
      <w:r w:rsidRPr="001149B9">
        <w:rPr>
          <w:rFonts w:ascii="Calibri" w:hAnsi="Calibri" w:cs="Calibri"/>
          <w:lang w:val="en-GB"/>
        </w:rPr>
        <w:t>. Available at: www.cipd.org/knowledge/fundamentals/emp-law/ (Accessed: 11 August 2025).</w:t>
      </w:r>
    </w:p>
    <w:p w14:paraId="33FCC065" w14:textId="77777777" w:rsidR="00B63EDA" w:rsidRDefault="00B63EDA" w:rsidP="004104D1">
      <w:pPr>
        <w:rPr>
          <w:rFonts w:ascii="Calibri" w:hAnsi="Calibri" w:cs="Calibri"/>
          <w:lang w:val="en-GB"/>
        </w:rPr>
      </w:pPr>
    </w:p>
    <w:p w14:paraId="44E3F63A" w14:textId="158DE4F3" w:rsidR="00B63EDA" w:rsidRPr="001149B9" w:rsidRDefault="00B63EDA" w:rsidP="004104D1">
      <w:pPr>
        <w:rPr>
          <w:rFonts w:ascii="Calibri" w:hAnsi="Calibri" w:cs="Calibri"/>
          <w:lang w:val="en-GB"/>
        </w:rPr>
      </w:pPr>
      <w:r w:rsidRPr="00B63EDA">
        <w:rPr>
          <w:rFonts w:ascii="Calibri" w:hAnsi="Calibri" w:cs="Calibri"/>
        </w:rPr>
        <w:t xml:space="preserve">CIPD (2023b) </w:t>
      </w:r>
      <w:r w:rsidRPr="00B63EDA">
        <w:rPr>
          <w:rFonts w:ascii="Calibri" w:hAnsi="Calibri" w:cs="Calibri"/>
          <w:i/>
          <w:iCs/>
        </w:rPr>
        <w:t>Equality law</w:t>
      </w:r>
      <w:r w:rsidRPr="00B63EDA">
        <w:rPr>
          <w:rFonts w:ascii="Calibri" w:hAnsi="Calibri" w:cs="Calibri"/>
        </w:rPr>
        <w:t xml:space="preserve">. Available at: https://www.cipd.org/uk/knowledge/fundamentals/emp-law/equality/diversity-factsheet (Accessed: </w:t>
      </w:r>
      <w:r>
        <w:rPr>
          <w:rFonts w:ascii="Calibri" w:hAnsi="Calibri" w:cs="Calibri"/>
        </w:rPr>
        <w:t>08</w:t>
      </w:r>
      <w:r w:rsidRPr="00B63EDA">
        <w:rPr>
          <w:rFonts w:ascii="Calibri" w:hAnsi="Calibri" w:cs="Calibri"/>
        </w:rPr>
        <w:t xml:space="preserve"> August 2025).</w:t>
      </w:r>
    </w:p>
    <w:p w14:paraId="1E66E5A2" w14:textId="77777777" w:rsidR="001A3A6F" w:rsidRPr="004C3F98" w:rsidRDefault="001A3A6F" w:rsidP="004C3F98">
      <w:pPr>
        <w:rPr>
          <w:rFonts w:ascii="Calibri" w:hAnsi="Calibri" w:cs="Calibri"/>
        </w:rPr>
      </w:pPr>
    </w:p>
    <w:p w14:paraId="2457EB22" w14:textId="28217FFD" w:rsidR="004C3F98" w:rsidRDefault="004C3F98" w:rsidP="004C3F98">
      <w:pPr>
        <w:rPr>
          <w:rFonts w:ascii="Calibri" w:hAnsi="Calibri" w:cs="Calibri"/>
        </w:rPr>
      </w:pPr>
      <w:r w:rsidRPr="004C3F98">
        <w:rPr>
          <w:rFonts w:ascii="Calibri" w:hAnsi="Calibri" w:cs="Calibri"/>
        </w:rPr>
        <w:t>CIPD (2023) Equal pay factsheet. Available at: www.cipd.org/uk/knowledge/fundamentals/emp-law/terms-conditions/equal-pay-factsheet (Accessed: 29 April 2025).</w:t>
      </w:r>
    </w:p>
    <w:p w14:paraId="41E61D26" w14:textId="77777777" w:rsidR="00B63EDA" w:rsidRDefault="00B63EDA" w:rsidP="004C3F98">
      <w:pPr>
        <w:rPr>
          <w:rFonts w:ascii="Calibri" w:hAnsi="Calibri" w:cs="Calibri"/>
        </w:rPr>
      </w:pPr>
    </w:p>
    <w:p w14:paraId="750A1614" w14:textId="65ABB2C7" w:rsidR="00B63EDA" w:rsidRDefault="00B63EDA" w:rsidP="004C3F98">
      <w:pPr>
        <w:rPr>
          <w:rFonts w:ascii="Calibri" w:hAnsi="Calibri" w:cs="Calibri"/>
        </w:rPr>
      </w:pPr>
      <w:r w:rsidRPr="00B63EDA">
        <w:rPr>
          <w:rFonts w:ascii="Calibri" w:hAnsi="Calibri" w:cs="Calibri"/>
        </w:rPr>
        <w:t xml:space="preserve">CIPD (2023a) </w:t>
      </w:r>
      <w:r w:rsidRPr="00B63EDA">
        <w:rPr>
          <w:rFonts w:ascii="Calibri" w:hAnsi="Calibri" w:cs="Calibri"/>
          <w:i/>
          <w:iCs/>
        </w:rPr>
        <w:t>Flexible working</w:t>
      </w:r>
      <w:r w:rsidRPr="00B63EDA">
        <w:rPr>
          <w:rFonts w:ascii="Calibri" w:hAnsi="Calibri" w:cs="Calibri"/>
        </w:rPr>
        <w:t>. Available at: https://www.cipd.org/uk/knowledge/fundamentals/emp-law/flexible-working/factsheet (Accessed: 1</w:t>
      </w:r>
      <w:r>
        <w:rPr>
          <w:rFonts w:ascii="Calibri" w:hAnsi="Calibri" w:cs="Calibri"/>
        </w:rPr>
        <w:t>0</w:t>
      </w:r>
      <w:r w:rsidRPr="00B63EDA">
        <w:rPr>
          <w:rFonts w:ascii="Calibri" w:hAnsi="Calibri" w:cs="Calibri"/>
        </w:rPr>
        <w:t xml:space="preserve"> August 2025).</w:t>
      </w:r>
    </w:p>
    <w:p w14:paraId="140B128B" w14:textId="77777777" w:rsidR="001A3A6F" w:rsidRPr="004C3F98" w:rsidRDefault="001A3A6F" w:rsidP="004C3F98">
      <w:pPr>
        <w:rPr>
          <w:rFonts w:ascii="Calibri" w:hAnsi="Calibri" w:cs="Calibri"/>
        </w:rPr>
      </w:pPr>
    </w:p>
    <w:p w14:paraId="5FDAE42E" w14:textId="07C97B0A" w:rsidR="004C3F98" w:rsidRDefault="004C3F98" w:rsidP="004C3F98">
      <w:pPr>
        <w:rPr>
          <w:rFonts w:ascii="Calibri" w:hAnsi="Calibri" w:cs="Calibri"/>
        </w:rPr>
      </w:pPr>
      <w:r w:rsidRPr="004C3F98">
        <w:rPr>
          <w:rFonts w:ascii="Calibri" w:hAnsi="Calibri" w:cs="Calibri"/>
        </w:rPr>
        <w:t xml:space="preserve">CIPD (2023) Holiday pay: Factsheet. Available at: </w:t>
      </w:r>
      <w:r w:rsidR="00B563FB" w:rsidRPr="00B563FB">
        <w:rPr>
          <w:rFonts w:ascii="Calibri" w:hAnsi="Calibri" w:cs="Calibri"/>
        </w:rPr>
        <w:t xml:space="preserve">www.cipd.org/uk/knowledge/employment-law/holidays/ </w:t>
      </w:r>
      <w:r w:rsidRPr="004C3F98">
        <w:rPr>
          <w:rFonts w:ascii="Calibri" w:hAnsi="Calibri" w:cs="Calibri"/>
        </w:rPr>
        <w:t>(Accessed: 29 April 2025).</w:t>
      </w:r>
    </w:p>
    <w:p w14:paraId="49B8545C" w14:textId="77777777" w:rsidR="001A3A6F" w:rsidRPr="004C3F98" w:rsidRDefault="001A3A6F" w:rsidP="004C3F98">
      <w:pPr>
        <w:rPr>
          <w:rFonts w:ascii="Calibri" w:hAnsi="Calibri" w:cs="Calibri"/>
        </w:rPr>
      </w:pPr>
    </w:p>
    <w:p w14:paraId="6B70A0EF" w14:textId="190849CB" w:rsidR="004C3F98" w:rsidRDefault="004C3F98" w:rsidP="004C3F98">
      <w:pPr>
        <w:rPr>
          <w:rFonts w:ascii="Calibri" w:hAnsi="Calibri" w:cs="Calibri"/>
        </w:rPr>
      </w:pPr>
      <w:r w:rsidRPr="004C3F98">
        <w:rPr>
          <w:rFonts w:ascii="Calibri" w:hAnsi="Calibri" w:cs="Calibri"/>
        </w:rPr>
        <w:t xml:space="preserve">CIPD (2023) Maternity, paternity and adoption leave and pay. Available at: </w:t>
      </w:r>
      <w:r w:rsidR="00373A23" w:rsidRPr="00373A23">
        <w:rPr>
          <w:rFonts w:ascii="Calibri" w:hAnsi="Calibri" w:cs="Calibri"/>
        </w:rPr>
        <w:t xml:space="preserve">www.cipd.org/uk/knowledge/employment-law/maternity-paternity-rights/ </w:t>
      </w:r>
      <w:r w:rsidRPr="004C3F98">
        <w:rPr>
          <w:rFonts w:ascii="Calibri" w:hAnsi="Calibri" w:cs="Calibri"/>
        </w:rPr>
        <w:t>(Accessed: 29 April 2025).</w:t>
      </w:r>
    </w:p>
    <w:p w14:paraId="0A46F771" w14:textId="77777777" w:rsidR="001A3A6F" w:rsidRPr="004C3F98" w:rsidRDefault="001A3A6F" w:rsidP="004C3F98">
      <w:pPr>
        <w:rPr>
          <w:rFonts w:ascii="Calibri" w:hAnsi="Calibri" w:cs="Calibri"/>
        </w:rPr>
      </w:pPr>
    </w:p>
    <w:p w14:paraId="5ADAE410" w14:textId="1DBD43A4" w:rsidR="004C3F98" w:rsidRDefault="004C3F98" w:rsidP="004C3F98">
      <w:pPr>
        <w:rPr>
          <w:rFonts w:ascii="Calibri" w:hAnsi="Calibri" w:cs="Calibri"/>
        </w:rPr>
      </w:pPr>
      <w:r w:rsidRPr="004C3F98">
        <w:rPr>
          <w:rFonts w:ascii="Calibri" w:hAnsi="Calibri" w:cs="Calibri"/>
        </w:rPr>
        <w:t xml:space="preserve">CIPD (2023) Recruitment and selection: Legal considerations. Available at: </w:t>
      </w:r>
      <w:r w:rsidR="00D1516A" w:rsidRPr="00D1516A">
        <w:rPr>
          <w:rFonts w:ascii="Calibri" w:hAnsi="Calibri" w:cs="Calibri"/>
        </w:rPr>
        <w:t xml:space="preserve">www.cipd.org/uk/knowledge/factsheets/recruitment-factsheet/ </w:t>
      </w:r>
      <w:r w:rsidRPr="004C3F98">
        <w:rPr>
          <w:rFonts w:ascii="Calibri" w:hAnsi="Calibri" w:cs="Calibri"/>
        </w:rPr>
        <w:t>(Accessed: 15 May 2025).</w:t>
      </w:r>
    </w:p>
    <w:p w14:paraId="76B68330" w14:textId="77777777" w:rsidR="001A3A6F" w:rsidRPr="004C3F98" w:rsidRDefault="001A3A6F" w:rsidP="004C3F98">
      <w:pPr>
        <w:rPr>
          <w:rFonts w:ascii="Calibri" w:hAnsi="Calibri" w:cs="Calibri"/>
        </w:rPr>
      </w:pPr>
    </w:p>
    <w:p w14:paraId="1A6C21BE" w14:textId="01C4F0B8" w:rsidR="004C3F98" w:rsidRDefault="004C3F98" w:rsidP="004C3F98">
      <w:pPr>
        <w:rPr>
          <w:rFonts w:ascii="Calibri" w:hAnsi="Calibri" w:cs="Calibri"/>
        </w:rPr>
      </w:pPr>
      <w:r w:rsidRPr="004C3F98">
        <w:rPr>
          <w:rFonts w:ascii="Calibri" w:hAnsi="Calibri" w:cs="Calibri"/>
        </w:rPr>
        <w:t xml:space="preserve">CIPD (2023) Redundancy: Employer guidance on legal obligations and best practice. Available at: </w:t>
      </w:r>
      <w:r w:rsidR="004367B0" w:rsidRPr="004367B0">
        <w:rPr>
          <w:rFonts w:ascii="Calibri" w:hAnsi="Calibri" w:cs="Calibri"/>
        </w:rPr>
        <w:t xml:space="preserve">www.cipd.org/uk/knowledge/employment-law/redundancy/ </w:t>
      </w:r>
      <w:r w:rsidRPr="004C3F98">
        <w:rPr>
          <w:rFonts w:ascii="Calibri" w:hAnsi="Calibri" w:cs="Calibri"/>
        </w:rPr>
        <w:t>(Accessed: 02 May 2025).</w:t>
      </w:r>
    </w:p>
    <w:p w14:paraId="3B4E5463" w14:textId="77777777" w:rsidR="001A3A6F" w:rsidRPr="004C3F98" w:rsidRDefault="001A3A6F" w:rsidP="004C3F98">
      <w:pPr>
        <w:rPr>
          <w:rFonts w:ascii="Calibri" w:hAnsi="Calibri" w:cs="Calibri"/>
        </w:rPr>
      </w:pPr>
    </w:p>
    <w:p w14:paraId="41572707" w14:textId="59620E5F" w:rsidR="004C3F98" w:rsidRDefault="004C3F98" w:rsidP="004C3F98">
      <w:pPr>
        <w:rPr>
          <w:rFonts w:ascii="Calibri" w:hAnsi="Calibri" w:cs="Calibri"/>
        </w:rPr>
      </w:pPr>
      <w:r w:rsidRPr="004C3F98">
        <w:rPr>
          <w:rFonts w:ascii="Calibri" w:hAnsi="Calibri" w:cs="Calibri"/>
        </w:rPr>
        <w:t>CIPD (2023) Reward management: Equal pay. Available at:</w:t>
      </w:r>
      <w:r w:rsidR="00BF6431" w:rsidRPr="00BF6431">
        <w:t xml:space="preserve"> </w:t>
      </w:r>
      <w:r w:rsidR="00BF6431" w:rsidRPr="00BF6431">
        <w:rPr>
          <w:rFonts w:ascii="Calibri" w:hAnsi="Calibri" w:cs="Calibri"/>
        </w:rPr>
        <w:t>www.cipd.org/uk/knowledge/factsheets/pay-fairness-reporting-factsheet/</w:t>
      </w:r>
      <w:r w:rsidRPr="004C3F98">
        <w:rPr>
          <w:rFonts w:ascii="Calibri" w:hAnsi="Calibri" w:cs="Calibri"/>
        </w:rPr>
        <w:t xml:space="preserve"> (Accessed: 15 May 2025).</w:t>
      </w:r>
    </w:p>
    <w:p w14:paraId="5CDE7C69" w14:textId="77777777" w:rsidR="001A3A6F" w:rsidRPr="004C3F98" w:rsidRDefault="001A3A6F" w:rsidP="004C3F98">
      <w:pPr>
        <w:rPr>
          <w:rFonts w:ascii="Calibri" w:hAnsi="Calibri" w:cs="Calibri"/>
        </w:rPr>
      </w:pPr>
    </w:p>
    <w:p w14:paraId="47810971" w14:textId="23D7E6DF" w:rsidR="004C3F98" w:rsidRDefault="004C3F98" w:rsidP="004C3F98">
      <w:pPr>
        <w:rPr>
          <w:rFonts w:ascii="Calibri" w:hAnsi="Calibri" w:cs="Calibri"/>
        </w:rPr>
      </w:pPr>
      <w:r w:rsidRPr="004C3F98">
        <w:rPr>
          <w:rFonts w:ascii="Calibri" w:hAnsi="Calibri" w:cs="Calibri"/>
        </w:rPr>
        <w:t>CIPD (2023) TUPE factsheet. Available at: www.cipd.co.uk/knowledge/fundamentals/emp-law/tupe (Accessed: 02 May 2025).</w:t>
      </w:r>
    </w:p>
    <w:p w14:paraId="50293E0A" w14:textId="77777777" w:rsidR="001A3A6F" w:rsidRPr="004C3F98" w:rsidRDefault="001A3A6F" w:rsidP="004C3F98">
      <w:pPr>
        <w:rPr>
          <w:rFonts w:ascii="Calibri" w:hAnsi="Calibri" w:cs="Calibri"/>
        </w:rPr>
      </w:pPr>
    </w:p>
    <w:p w14:paraId="3C53FBFC" w14:textId="6214BC08" w:rsidR="004C3F98" w:rsidRDefault="004C3F98" w:rsidP="004C3F98">
      <w:pPr>
        <w:rPr>
          <w:rFonts w:ascii="Calibri" w:hAnsi="Calibri" w:cs="Calibri"/>
        </w:rPr>
      </w:pPr>
      <w:r w:rsidRPr="004C3F98">
        <w:rPr>
          <w:rFonts w:ascii="Calibri" w:hAnsi="Calibri" w:cs="Calibri"/>
        </w:rPr>
        <w:t xml:space="preserve">CIPD (2023) Varying contracts of employment. Available at: </w:t>
      </w:r>
      <w:r w:rsidR="00602720" w:rsidRPr="00602720">
        <w:rPr>
          <w:rFonts w:ascii="Calibri" w:hAnsi="Calibri" w:cs="Calibri"/>
        </w:rPr>
        <w:t xml:space="preserve">www.cipd.org/uk/knowledge/factsheets/terms-conditions-contracts-factsheet/ </w:t>
      </w:r>
      <w:r w:rsidR="00602720">
        <w:rPr>
          <w:rFonts w:ascii="Calibri" w:hAnsi="Calibri" w:cs="Calibri"/>
        </w:rPr>
        <w:t xml:space="preserve"> </w:t>
      </w:r>
      <w:r w:rsidRPr="004C3F98">
        <w:rPr>
          <w:rFonts w:ascii="Calibri" w:hAnsi="Calibri" w:cs="Calibri"/>
        </w:rPr>
        <w:t>(Accessed: 17 May 2025).</w:t>
      </w:r>
    </w:p>
    <w:p w14:paraId="03E128FD" w14:textId="77777777" w:rsidR="002934C4" w:rsidRPr="004C3F98" w:rsidRDefault="002934C4" w:rsidP="004C3F98">
      <w:pPr>
        <w:rPr>
          <w:rFonts w:ascii="Calibri" w:hAnsi="Calibri" w:cs="Calibri"/>
        </w:rPr>
      </w:pPr>
    </w:p>
    <w:p w14:paraId="7CF6B468" w14:textId="0291284B" w:rsidR="004C3F98" w:rsidRDefault="004C3F98" w:rsidP="004C3F98">
      <w:pPr>
        <w:rPr>
          <w:rFonts w:ascii="Calibri" w:hAnsi="Calibri" w:cs="Calibri"/>
        </w:rPr>
      </w:pPr>
      <w:r w:rsidRPr="004C3F98">
        <w:rPr>
          <w:rFonts w:ascii="Calibri" w:hAnsi="Calibri" w:cs="Calibri"/>
        </w:rPr>
        <w:t>CIPD (2024) Flexible working policy update 2024. Available at: www.cipd.org.uk/knowledge/employment-law/flexible-working-policy (Accessed: 15 July 2025).</w:t>
      </w:r>
    </w:p>
    <w:p w14:paraId="52D15988" w14:textId="77777777" w:rsidR="00674189" w:rsidRDefault="00674189" w:rsidP="00674189">
      <w:pPr>
        <w:rPr>
          <w:rFonts w:ascii="Calibri" w:hAnsi="Calibri" w:cs="Calibri"/>
          <w:lang w:val="en-GB"/>
        </w:rPr>
      </w:pPr>
    </w:p>
    <w:p w14:paraId="7DCCFC3C" w14:textId="5CAF7967" w:rsidR="00674189" w:rsidRPr="001149B9" w:rsidRDefault="00674189" w:rsidP="00674189">
      <w:pPr>
        <w:rPr>
          <w:rFonts w:ascii="Calibri" w:hAnsi="Calibri" w:cs="Calibri"/>
          <w:lang w:val="en-GB"/>
        </w:rPr>
      </w:pPr>
      <w:r w:rsidRPr="001149B9">
        <w:rPr>
          <w:rFonts w:ascii="Calibri" w:hAnsi="Calibri" w:cs="Calibri"/>
          <w:lang w:val="en-GB"/>
        </w:rPr>
        <w:t xml:space="preserve">Daniels, K. (2022) </w:t>
      </w:r>
      <w:r w:rsidRPr="001149B9">
        <w:rPr>
          <w:rFonts w:ascii="Calibri" w:hAnsi="Calibri" w:cs="Calibri"/>
          <w:i/>
          <w:iCs/>
          <w:lang w:val="en-GB"/>
        </w:rPr>
        <w:t>Introduction to Employment Law: Fundamentals for HR and Business Students</w:t>
      </w:r>
      <w:r w:rsidRPr="001149B9">
        <w:rPr>
          <w:rFonts w:ascii="Calibri" w:hAnsi="Calibri" w:cs="Calibri"/>
          <w:lang w:val="en-GB"/>
        </w:rPr>
        <w:t xml:space="preserve">. 6th </w:t>
      </w:r>
      <w:proofErr w:type="spellStart"/>
      <w:r w:rsidRPr="001149B9">
        <w:rPr>
          <w:rFonts w:ascii="Calibri" w:hAnsi="Calibri" w:cs="Calibri"/>
          <w:lang w:val="en-GB"/>
        </w:rPr>
        <w:t>edn</w:t>
      </w:r>
      <w:proofErr w:type="spellEnd"/>
      <w:r w:rsidRPr="001149B9">
        <w:rPr>
          <w:rFonts w:ascii="Calibri" w:hAnsi="Calibri" w:cs="Calibri"/>
          <w:lang w:val="en-GB"/>
        </w:rPr>
        <w:t>. London: Kogan Page.</w:t>
      </w:r>
    </w:p>
    <w:p w14:paraId="66A61B8C" w14:textId="77777777" w:rsidR="002934C4" w:rsidRPr="004C3F98" w:rsidRDefault="002934C4" w:rsidP="004C3F98">
      <w:pPr>
        <w:rPr>
          <w:rFonts w:ascii="Calibri" w:hAnsi="Calibri" w:cs="Calibri"/>
        </w:rPr>
      </w:pPr>
    </w:p>
    <w:p w14:paraId="3D58C0BE" w14:textId="3EB400F4" w:rsidR="004C3F98" w:rsidRDefault="004C3F98" w:rsidP="004C3F98">
      <w:pPr>
        <w:rPr>
          <w:rFonts w:ascii="Calibri" w:hAnsi="Calibri" w:cs="Calibri"/>
        </w:rPr>
      </w:pPr>
      <w:r w:rsidRPr="004C3F98">
        <w:rPr>
          <w:rFonts w:ascii="Calibri" w:hAnsi="Calibri" w:cs="Calibri"/>
        </w:rPr>
        <w:t>Department for Business and Trade (2023) Employment status and employment rights: Guidance for HR professionals, legal professionals and other groups. Available at: www.gov.uk/government/publications/employment-status-and-employment-rights/employment-status-and-employment-rights-guidance-for-hr-professionals-legal-professionals-and-other-groups (Accessed: 15 May 2025).</w:t>
      </w:r>
    </w:p>
    <w:p w14:paraId="73368A6D" w14:textId="77777777" w:rsidR="002934C4" w:rsidRPr="004C3F98" w:rsidRDefault="002934C4" w:rsidP="004C3F98">
      <w:pPr>
        <w:rPr>
          <w:rFonts w:ascii="Calibri" w:hAnsi="Calibri" w:cs="Calibri"/>
        </w:rPr>
      </w:pPr>
    </w:p>
    <w:p w14:paraId="10E71065" w14:textId="1A8E3F93" w:rsidR="004C3F98" w:rsidRDefault="004C3F98" w:rsidP="004C3F98">
      <w:pPr>
        <w:rPr>
          <w:rFonts w:ascii="Calibri" w:hAnsi="Calibri" w:cs="Calibri"/>
        </w:rPr>
      </w:pPr>
      <w:r w:rsidRPr="004C3F98">
        <w:rPr>
          <w:rFonts w:ascii="Calibri" w:hAnsi="Calibri" w:cs="Calibri"/>
        </w:rPr>
        <w:t>Department for Business and Trade (2024) Flexible working: Implementation of the Employment Relations (Flexible Working) Act 2023. Available at: www.gov.uk/government/publications/flexible-working-rights-update (Accessed: 15 July 2025).</w:t>
      </w:r>
    </w:p>
    <w:p w14:paraId="0088D0A9" w14:textId="77777777" w:rsidR="004104D1" w:rsidRDefault="004104D1" w:rsidP="004C3F98">
      <w:pPr>
        <w:rPr>
          <w:rFonts w:ascii="Calibri" w:hAnsi="Calibri" w:cs="Calibri"/>
        </w:rPr>
      </w:pPr>
    </w:p>
    <w:p w14:paraId="33A1EBC8" w14:textId="77777777" w:rsidR="003F5CC5" w:rsidRDefault="003F5CC5" w:rsidP="003F5CC5">
      <w:pPr>
        <w:rPr>
          <w:rFonts w:ascii="Calibri" w:hAnsi="Calibri" w:cs="Calibri"/>
        </w:rPr>
      </w:pPr>
      <w:r w:rsidRPr="004C3F98">
        <w:rPr>
          <w:rFonts w:ascii="Calibri" w:hAnsi="Calibri" w:cs="Calibri"/>
        </w:rPr>
        <w:t>Employment Relations (Flexible Working) Act 2023. Available at: www.legislation.gov.uk/ukpga/2023/22/enacted (Accessed: 15 July 2025).</w:t>
      </w:r>
    </w:p>
    <w:p w14:paraId="65DF261B" w14:textId="77777777" w:rsidR="003F5CC5" w:rsidRPr="004C3F98" w:rsidRDefault="003F5CC5" w:rsidP="003F5CC5">
      <w:pPr>
        <w:rPr>
          <w:rFonts w:ascii="Calibri" w:hAnsi="Calibri" w:cs="Calibri"/>
        </w:rPr>
      </w:pPr>
    </w:p>
    <w:p w14:paraId="3CC5BA77" w14:textId="77777777" w:rsidR="003F5CC5" w:rsidRDefault="003F5CC5" w:rsidP="003F5CC5">
      <w:pPr>
        <w:rPr>
          <w:rFonts w:ascii="Calibri" w:hAnsi="Calibri" w:cs="Calibri"/>
        </w:rPr>
      </w:pPr>
      <w:r w:rsidRPr="004C3F98">
        <w:rPr>
          <w:rFonts w:ascii="Calibri" w:hAnsi="Calibri" w:cs="Calibri"/>
        </w:rPr>
        <w:t>Employment Rights Act 1996. Available at: www.legislation.gov.uk/ukpga/1996/18 (Accessed: 15 July 2025).</w:t>
      </w:r>
    </w:p>
    <w:p w14:paraId="088F4D36" w14:textId="77777777" w:rsidR="003F5CC5" w:rsidRPr="004C3F98" w:rsidRDefault="003F5CC5" w:rsidP="003F5CC5">
      <w:pPr>
        <w:rPr>
          <w:rFonts w:ascii="Calibri" w:hAnsi="Calibri" w:cs="Calibri"/>
        </w:rPr>
      </w:pPr>
    </w:p>
    <w:p w14:paraId="7C91CC42" w14:textId="77777777" w:rsidR="003F5CC5" w:rsidRDefault="003F5CC5" w:rsidP="003F5CC5">
      <w:pPr>
        <w:rPr>
          <w:rFonts w:ascii="Calibri" w:hAnsi="Calibri" w:cs="Calibri"/>
        </w:rPr>
      </w:pPr>
      <w:r w:rsidRPr="004C3F98">
        <w:rPr>
          <w:rFonts w:ascii="Calibri" w:hAnsi="Calibri" w:cs="Calibri"/>
        </w:rPr>
        <w:t>Equality Act 2010. Available at: www.legislation.gov.uk/ukpga/2010/15 (Accessed: 15 July 2025).</w:t>
      </w:r>
    </w:p>
    <w:p w14:paraId="7098DEA2" w14:textId="77777777" w:rsidR="003F5CC5" w:rsidRPr="004C3F98" w:rsidRDefault="003F5CC5" w:rsidP="004C3F98">
      <w:pPr>
        <w:rPr>
          <w:rFonts w:ascii="Calibri" w:hAnsi="Calibri" w:cs="Calibri"/>
        </w:rPr>
      </w:pPr>
    </w:p>
    <w:p w14:paraId="0B6C9E3A" w14:textId="1DB12E27" w:rsidR="004C3F98" w:rsidRPr="004C3F98" w:rsidRDefault="004C3F98" w:rsidP="004C3F98">
      <w:pPr>
        <w:rPr>
          <w:rFonts w:ascii="Calibri" w:hAnsi="Calibri" w:cs="Calibri"/>
        </w:rPr>
      </w:pPr>
      <w:r w:rsidRPr="004C3F98">
        <w:rPr>
          <w:rFonts w:ascii="Calibri" w:hAnsi="Calibri" w:cs="Calibri"/>
        </w:rPr>
        <w:t>Equality and Human Rights Commission (2023) Employment: Occupational requirements. Available at: www.equalityhumanrights.com (Accessed: 15 May 2025).</w:t>
      </w:r>
    </w:p>
    <w:p w14:paraId="60FEDF00" w14:textId="3F3C4C2E" w:rsidR="004C3F98" w:rsidRDefault="004C3F98" w:rsidP="004C3F98">
      <w:pPr>
        <w:rPr>
          <w:rFonts w:ascii="Calibri" w:hAnsi="Calibri" w:cs="Calibri"/>
        </w:rPr>
      </w:pPr>
      <w:r w:rsidRPr="004C3F98">
        <w:rPr>
          <w:rFonts w:ascii="Calibri" w:hAnsi="Calibri" w:cs="Calibri"/>
        </w:rPr>
        <w:t>Gov.uk (2024) Flexible working: Changes from April 2024. Available at: www.gov.uk/flexible-working (Accessed: 15 July 2025).</w:t>
      </w:r>
    </w:p>
    <w:p w14:paraId="669BCABA" w14:textId="77777777" w:rsidR="00C61A0C" w:rsidRDefault="00C61A0C" w:rsidP="004C3F98">
      <w:pPr>
        <w:rPr>
          <w:rFonts w:ascii="Calibri" w:hAnsi="Calibri" w:cs="Calibri"/>
        </w:rPr>
      </w:pPr>
    </w:p>
    <w:p w14:paraId="5269336E" w14:textId="24C4A871" w:rsidR="00C61A0C" w:rsidRDefault="00C61A0C" w:rsidP="004C3F98">
      <w:pPr>
        <w:rPr>
          <w:rFonts w:ascii="Calibri" w:hAnsi="Calibri" w:cs="Calibri"/>
        </w:rPr>
      </w:pPr>
      <w:r w:rsidRPr="00C61A0C">
        <w:rPr>
          <w:rFonts w:ascii="Calibri" w:hAnsi="Calibri" w:cs="Calibri"/>
        </w:rPr>
        <w:t xml:space="preserve">Gov.uk (2024a) </w:t>
      </w:r>
      <w:r w:rsidRPr="00C61A0C">
        <w:rPr>
          <w:rFonts w:ascii="Calibri" w:hAnsi="Calibri" w:cs="Calibri"/>
          <w:i/>
          <w:iCs/>
        </w:rPr>
        <w:t>Making a flexible working request</w:t>
      </w:r>
      <w:r w:rsidRPr="00C61A0C">
        <w:rPr>
          <w:rFonts w:ascii="Calibri" w:hAnsi="Calibri" w:cs="Calibri"/>
        </w:rPr>
        <w:t xml:space="preserve">. Available at: https://www.gov.uk/flexible-working (Accessed: </w:t>
      </w:r>
      <w:r>
        <w:rPr>
          <w:rFonts w:ascii="Calibri" w:hAnsi="Calibri" w:cs="Calibri"/>
        </w:rPr>
        <w:t>10</w:t>
      </w:r>
      <w:r w:rsidRPr="00C61A0C">
        <w:rPr>
          <w:rFonts w:ascii="Calibri" w:hAnsi="Calibri" w:cs="Calibri"/>
        </w:rPr>
        <w:t xml:space="preserve"> August 2025).</w:t>
      </w:r>
    </w:p>
    <w:p w14:paraId="3BC23E3E" w14:textId="77777777" w:rsidR="004104D1" w:rsidRPr="004C3F98" w:rsidRDefault="004104D1" w:rsidP="004C3F98">
      <w:pPr>
        <w:rPr>
          <w:rFonts w:ascii="Calibri" w:hAnsi="Calibri" w:cs="Calibri"/>
        </w:rPr>
      </w:pPr>
    </w:p>
    <w:p w14:paraId="2CBDEB3A" w14:textId="46A93EFF" w:rsidR="004C3F98" w:rsidRDefault="004C3F98" w:rsidP="004C3F98">
      <w:pPr>
        <w:rPr>
          <w:rFonts w:ascii="Calibri" w:hAnsi="Calibri" w:cs="Calibri"/>
        </w:rPr>
      </w:pPr>
      <w:r w:rsidRPr="004C3F98">
        <w:rPr>
          <w:rFonts w:ascii="Calibri" w:hAnsi="Calibri" w:cs="Calibri"/>
        </w:rPr>
        <w:t>HR Magazine (2024) Brexit and employment law: What’s changed? Available at: www.hrmagazine.co.u</w:t>
      </w:r>
      <w:r w:rsidR="00323C00" w:rsidRPr="00323C00">
        <w:t xml:space="preserve"> </w:t>
      </w:r>
      <w:r w:rsidR="00323C00" w:rsidRPr="00323C00">
        <w:rPr>
          <w:rFonts w:ascii="Calibri" w:hAnsi="Calibri" w:cs="Calibri"/>
        </w:rPr>
        <w:t>www.hrmagazine.co.uk/content/features/uk-employment-law-after-brexit</w:t>
      </w:r>
      <w:r w:rsidRPr="004C3F98">
        <w:rPr>
          <w:rFonts w:ascii="Calibri" w:hAnsi="Calibri" w:cs="Calibri"/>
        </w:rPr>
        <w:t xml:space="preserve"> (Accessed: 20 April 2025).</w:t>
      </w:r>
    </w:p>
    <w:p w14:paraId="674E25E9" w14:textId="77777777" w:rsidR="004104D1" w:rsidRPr="004C3F98" w:rsidRDefault="004104D1" w:rsidP="004C3F98">
      <w:pPr>
        <w:rPr>
          <w:rFonts w:ascii="Calibri" w:hAnsi="Calibri" w:cs="Calibri"/>
        </w:rPr>
      </w:pPr>
    </w:p>
    <w:p w14:paraId="0CF5DCF3" w14:textId="4DC792F6" w:rsidR="004C3F98" w:rsidRDefault="004C3F98" w:rsidP="004C3F98">
      <w:pPr>
        <w:rPr>
          <w:rFonts w:ascii="Calibri" w:hAnsi="Calibri" w:cs="Calibri"/>
        </w:rPr>
      </w:pPr>
      <w:r w:rsidRPr="004C3F98">
        <w:rPr>
          <w:rFonts w:ascii="Calibri" w:hAnsi="Calibri" w:cs="Calibri"/>
        </w:rPr>
        <w:t xml:space="preserve">HR Magazine (2024) Changes to holiday pay rules from January 2024. Available at: </w:t>
      </w:r>
      <w:r w:rsidR="00517B4F" w:rsidRPr="00517B4F">
        <w:rPr>
          <w:rFonts w:ascii="Calibri" w:hAnsi="Calibri" w:cs="Calibri"/>
        </w:rPr>
        <w:t xml:space="preserve">www.hrmagazine.co.uk/content/news/how-is-holiday-pay-changing </w:t>
      </w:r>
      <w:r w:rsidR="00517B4F">
        <w:rPr>
          <w:rFonts w:ascii="Calibri" w:hAnsi="Calibri" w:cs="Calibri"/>
        </w:rPr>
        <w:t xml:space="preserve"> </w:t>
      </w:r>
      <w:r w:rsidRPr="004C3F98">
        <w:rPr>
          <w:rFonts w:ascii="Calibri" w:hAnsi="Calibri" w:cs="Calibri"/>
        </w:rPr>
        <w:t>(Accessed: 21 April 2025).</w:t>
      </w:r>
    </w:p>
    <w:p w14:paraId="00DDC6EE" w14:textId="77777777" w:rsidR="004104D1" w:rsidRPr="004C3F98" w:rsidRDefault="004104D1" w:rsidP="004C3F98">
      <w:pPr>
        <w:rPr>
          <w:rFonts w:ascii="Calibri" w:hAnsi="Calibri" w:cs="Calibri"/>
        </w:rPr>
      </w:pPr>
    </w:p>
    <w:p w14:paraId="4F2A17B0" w14:textId="2A866984" w:rsidR="004C3F98" w:rsidRDefault="004C3F98" w:rsidP="004C3F98">
      <w:pPr>
        <w:rPr>
          <w:rFonts w:ascii="Calibri" w:hAnsi="Calibri" w:cs="Calibri"/>
        </w:rPr>
      </w:pPr>
      <w:r w:rsidRPr="004C3F98">
        <w:rPr>
          <w:rFonts w:ascii="Calibri" w:hAnsi="Calibri" w:cs="Calibri"/>
        </w:rPr>
        <w:lastRenderedPageBreak/>
        <w:t>HR Magazine (2024) Post-Brexit legal changes: TUPE or not TUPE. Available at: www.hrmagazine.co.uk/content/features/post-brexit-legal-changes-tupe-or-not-tupe (Accessed: 15 May 2025).</w:t>
      </w:r>
    </w:p>
    <w:p w14:paraId="3623C609" w14:textId="77777777" w:rsidR="004104D1" w:rsidRPr="004C3F98" w:rsidRDefault="004104D1" w:rsidP="004C3F98">
      <w:pPr>
        <w:rPr>
          <w:rFonts w:ascii="Calibri" w:hAnsi="Calibri" w:cs="Calibri"/>
        </w:rPr>
      </w:pPr>
    </w:p>
    <w:p w14:paraId="4B8AE877" w14:textId="77777777" w:rsidR="00053EC7" w:rsidRDefault="004C3F98" w:rsidP="004C3F98">
      <w:pPr>
        <w:rPr>
          <w:rFonts w:ascii="Calibri" w:hAnsi="Calibri" w:cs="Calibri"/>
        </w:rPr>
      </w:pPr>
      <w:r w:rsidRPr="004C3F98">
        <w:rPr>
          <w:rFonts w:ascii="Calibri" w:hAnsi="Calibri" w:cs="Calibri"/>
        </w:rPr>
        <w:t xml:space="preserve">Maternity Action (2023) Shared parental leave and pay – A guide for parents. Available at: </w:t>
      </w:r>
    </w:p>
    <w:p w14:paraId="40AAD423" w14:textId="62CF9393" w:rsidR="003F5CC5" w:rsidRDefault="00053EC7" w:rsidP="004C3F98">
      <w:pPr>
        <w:rPr>
          <w:rFonts w:ascii="Calibri" w:hAnsi="Calibri" w:cs="Calibri"/>
        </w:rPr>
      </w:pPr>
      <w:r>
        <w:rPr>
          <w:rFonts w:ascii="Calibri" w:hAnsi="Calibri" w:cs="Calibri"/>
        </w:rPr>
        <w:t>www.</w:t>
      </w:r>
      <w:r w:rsidRPr="00053EC7">
        <w:rPr>
          <w:rFonts w:ascii="Calibri" w:hAnsi="Calibri" w:cs="Calibri"/>
        </w:rPr>
        <w:t>maternityaction.org.uk/advice/shared-parental-leave-and-pay/</w:t>
      </w:r>
      <w:r w:rsidR="004C3F98" w:rsidRPr="004C3F98">
        <w:rPr>
          <w:rFonts w:ascii="Calibri" w:hAnsi="Calibri" w:cs="Calibri"/>
        </w:rPr>
        <w:t xml:space="preserve"> (Accessed: 05 May 2025).</w:t>
      </w:r>
    </w:p>
    <w:p w14:paraId="320018B7" w14:textId="2C179B23" w:rsidR="003F5CC5" w:rsidRDefault="003F5CC5" w:rsidP="004C3F98">
      <w:pPr>
        <w:rPr>
          <w:rFonts w:ascii="Calibri" w:hAnsi="Calibri" w:cs="Calibri"/>
        </w:rPr>
      </w:pPr>
      <w:r w:rsidRPr="003F5CC5">
        <w:rPr>
          <w:rFonts w:ascii="Calibri" w:hAnsi="Calibri" w:cs="Calibri"/>
        </w:rPr>
        <w:t xml:space="preserve">Mayer Brown (2024) </w:t>
      </w:r>
      <w:r w:rsidRPr="003F5CC5">
        <w:rPr>
          <w:rFonts w:ascii="Calibri" w:hAnsi="Calibri" w:cs="Calibri"/>
          <w:i/>
          <w:iCs/>
        </w:rPr>
        <w:t>UK flexible working reform</w:t>
      </w:r>
      <w:r w:rsidRPr="003F5CC5">
        <w:rPr>
          <w:rFonts w:ascii="Calibri" w:hAnsi="Calibri" w:cs="Calibri"/>
        </w:rPr>
        <w:t>. Available at: https://www.mayerbrown.com/en/insights/publications/2024/11/united-kingdom-employment-2024-highlights-and-2025-outlook (Accessed: 1</w:t>
      </w:r>
      <w:r>
        <w:rPr>
          <w:rFonts w:ascii="Calibri" w:hAnsi="Calibri" w:cs="Calibri"/>
        </w:rPr>
        <w:t>0</w:t>
      </w:r>
      <w:r w:rsidRPr="003F5CC5">
        <w:rPr>
          <w:rFonts w:ascii="Calibri" w:hAnsi="Calibri" w:cs="Calibri"/>
        </w:rPr>
        <w:t xml:space="preserve"> August 2025).</w:t>
      </w:r>
    </w:p>
    <w:p w14:paraId="053A9332" w14:textId="77777777" w:rsidR="004104D1" w:rsidRPr="004C3F98" w:rsidRDefault="004104D1" w:rsidP="004C3F98">
      <w:pPr>
        <w:rPr>
          <w:rFonts w:ascii="Calibri" w:hAnsi="Calibri" w:cs="Calibri"/>
        </w:rPr>
      </w:pPr>
    </w:p>
    <w:p w14:paraId="24492CF0" w14:textId="2451746E" w:rsidR="004C3F98" w:rsidRDefault="004C3F98" w:rsidP="004C3F98">
      <w:pPr>
        <w:rPr>
          <w:rFonts w:ascii="Calibri" w:hAnsi="Calibri" w:cs="Calibri"/>
        </w:rPr>
      </w:pPr>
      <w:r w:rsidRPr="004C3F98">
        <w:rPr>
          <w:rFonts w:ascii="Calibri" w:hAnsi="Calibri" w:cs="Calibri"/>
        </w:rPr>
        <w:t xml:space="preserve">People Management (2023) How to handle constructive dismissal claims. Available at: </w:t>
      </w:r>
      <w:r w:rsidR="00F42D08" w:rsidRPr="00F42D08">
        <w:rPr>
          <w:rFonts w:ascii="Calibri" w:hAnsi="Calibri" w:cs="Calibri"/>
        </w:rPr>
        <w:t xml:space="preserve">www.peoplemanagement.co.uk/article/1743377/constructive-dismissal-guide </w:t>
      </w:r>
      <w:r w:rsidRPr="004C3F98">
        <w:rPr>
          <w:rFonts w:ascii="Calibri" w:hAnsi="Calibri" w:cs="Calibri"/>
        </w:rPr>
        <w:t>(Accessed: 17 May 2025).</w:t>
      </w:r>
    </w:p>
    <w:p w14:paraId="78E38AA0" w14:textId="77777777" w:rsidR="004104D1" w:rsidRPr="004C3F98" w:rsidRDefault="004104D1" w:rsidP="004C3F98">
      <w:pPr>
        <w:rPr>
          <w:rFonts w:ascii="Calibri" w:hAnsi="Calibri" w:cs="Calibri"/>
        </w:rPr>
      </w:pPr>
    </w:p>
    <w:p w14:paraId="264DB534" w14:textId="3EC0E09B" w:rsidR="004C3F98" w:rsidRDefault="004C3F98" w:rsidP="004C3F98">
      <w:pPr>
        <w:rPr>
          <w:rFonts w:ascii="Calibri" w:hAnsi="Calibri" w:cs="Calibri"/>
        </w:rPr>
      </w:pPr>
      <w:r w:rsidRPr="004C3F98">
        <w:rPr>
          <w:rFonts w:ascii="Calibri" w:hAnsi="Calibri" w:cs="Calibri"/>
        </w:rPr>
        <w:t xml:space="preserve">People Management (2024) TUPE and post-Brexit changes. Available at: </w:t>
      </w:r>
      <w:r w:rsidR="00DB3247" w:rsidRPr="00DB3247">
        <w:rPr>
          <w:rFonts w:ascii="Calibri" w:hAnsi="Calibri" w:cs="Calibri"/>
        </w:rPr>
        <w:t xml:space="preserve">www.peoplemanagement.co.uk/article/1746135/tupe-manifesto-post-brexit </w:t>
      </w:r>
      <w:r w:rsidRPr="004C3F98">
        <w:rPr>
          <w:rFonts w:ascii="Calibri" w:hAnsi="Calibri" w:cs="Calibri"/>
        </w:rPr>
        <w:t>(Accessed: 15 May 2025).</w:t>
      </w:r>
    </w:p>
    <w:p w14:paraId="4F6A7413" w14:textId="77777777" w:rsidR="004104D1" w:rsidRPr="004C3F98" w:rsidRDefault="004104D1" w:rsidP="004C3F98">
      <w:pPr>
        <w:rPr>
          <w:rFonts w:ascii="Calibri" w:hAnsi="Calibri" w:cs="Calibri"/>
        </w:rPr>
      </w:pPr>
    </w:p>
    <w:p w14:paraId="0E2D4058" w14:textId="77777777" w:rsidR="004C3F98" w:rsidRDefault="004C3F98" w:rsidP="004C3F98">
      <w:pPr>
        <w:rPr>
          <w:rFonts w:ascii="Calibri" w:hAnsi="Calibri" w:cs="Calibri"/>
        </w:rPr>
      </w:pPr>
      <w:r w:rsidRPr="004C3F98">
        <w:rPr>
          <w:rFonts w:ascii="Calibri" w:hAnsi="Calibri" w:cs="Calibri"/>
        </w:rPr>
        <w:t>Personnel Today (2024) Retained EU law explained. Available at: https://www.personneltoday.com/hr/eu-law-bill-stalled/ (Accessed: 21 April 2025).</w:t>
      </w:r>
    </w:p>
    <w:p w14:paraId="0C8BE162" w14:textId="77777777" w:rsidR="004104D1" w:rsidRDefault="004104D1" w:rsidP="004C3F98">
      <w:pPr>
        <w:rPr>
          <w:rFonts w:ascii="Calibri" w:hAnsi="Calibri" w:cs="Calibri"/>
        </w:rPr>
      </w:pPr>
    </w:p>
    <w:p w14:paraId="74BBEC27" w14:textId="77777777" w:rsidR="004104D1" w:rsidRPr="004C3F98" w:rsidRDefault="004104D1" w:rsidP="004104D1">
      <w:pPr>
        <w:rPr>
          <w:rFonts w:ascii="Calibri" w:hAnsi="Calibri" w:cs="Calibri"/>
        </w:rPr>
      </w:pPr>
      <w:r w:rsidRPr="004C3F98">
        <w:rPr>
          <w:rFonts w:ascii="Calibri" w:hAnsi="Calibri" w:cs="Calibri"/>
        </w:rPr>
        <w:t>Working Time Regulations 1998 (SI 1998/1833). Available at: https://www.legislation.gov.uk/uksi/1998/1833/contents/made (Accessed: 21 May 2025).</w:t>
      </w:r>
    </w:p>
    <w:p w14:paraId="110DCAA4" w14:textId="77777777" w:rsidR="001149B9" w:rsidRDefault="001149B9" w:rsidP="001149B9">
      <w:pPr>
        <w:rPr>
          <w:rFonts w:ascii="Calibri" w:hAnsi="Calibri" w:cs="Calibri"/>
          <w:lang w:val="en-GB"/>
        </w:rPr>
      </w:pPr>
    </w:p>
    <w:p w14:paraId="2D031AF0" w14:textId="77777777" w:rsidR="004104D1" w:rsidRDefault="004104D1" w:rsidP="004104D1">
      <w:pPr>
        <w:rPr>
          <w:rFonts w:ascii="Calibri" w:hAnsi="Calibri" w:cs="Calibri"/>
        </w:rPr>
      </w:pPr>
      <w:r w:rsidRPr="004C3F98">
        <w:rPr>
          <w:rFonts w:ascii="Calibri" w:hAnsi="Calibri" w:cs="Calibri"/>
        </w:rPr>
        <w:t>Shared Parental Leave Regulations 2014 (SI 2014/3050). Available at: www.legislation.gov.uk/uksi/2014/3050/contents/made (Accessed: 05 May 2025).</w:t>
      </w:r>
    </w:p>
    <w:p w14:paraId="6B2D40DA" w14:textId="77777777" w:rsidR="004104D1" w:rsidRPr="004C3F98" w:rsidRDefault="004104D1" w:rsidP="004104D1">
      <w:pPr>
        <w:rPr>
          <w:rFonts w:ascii="Calibri" w:hAnsi="Calibri" w:cs="Calibri"/>
        </w:rPr>
      </w:pPr>
    </w:p>
    <w:p w14:paraId="48640C65" w14:textId="77777777" w:rsidR="001149B9" w:rsidRDefault="001149B9" w:rsidP="001149B9">
      <w:pPr>
        <w:rPr>
          <w:rFonts w:ascii="Calibri" w:hAnsi="Calibri" w:cs="Calibri"/>
          <w:lang w:val="en-GB"/>
        </w:rPr>
      </w:pPr>
    </w:p>
    <w:p w14:paraId="443C9E25" w14:textId="77777777" w:rsidR="001149B9" w:rsidRDefault="001149B9" w:rsidP="001149B9">
      <w:pPr>
        <w:rPr>
          <w:rFonts w:ascii="Calibri" w:hAnsi="Calibri" w:cs="Calibri"/>
          <w:lang w:val="en-GB"/>
        </w:rPr>
      </w:pPr>
    </w:p>
    <w:p w14:paraId="524A32CE" w14:textId="72132448" w:rsidR="00564A80" w:rsidRPr="00EA6780" w:rsidRDefault="00564A80" w:rsidP="00212DA7">
      <w:pPr>
        <w:rPr>
          <w:rFonts w:ascii="Calibri" w:hAnsi="Calibri" w:cs="Calibri"/>
        </w:rPr>
      </w:pPr>
    </w:p>
    <w:sectPr w:rsidR="00564A80" w:rsidRPr="00EA6780" w:rsidSect="007F4F51">
      <w:pgSz w:w="11906" w:h="16838" w:code="9"/>
      <w:pgMar w:top="992" w:right="992" w:bottom="1134" w:left="992" w:header="567" w:footer="397"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enir Next LT Pro Light">
    <w:charset w:val="00"/>
    <w:family w:val="swiss"/>
    <w:pitch w:val="variable"/>
    <w:sig w:usb0="A00000EF" w:usb1="5000204B" w:usb2="00000000" w:usb3="00000000" w:csb0="00000093"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3767B"/>
    <w:multiLevelType w:val="multilevel"/>
    <w:tmpl w:val="AD8A069C"/>
    <w:numStyleLink w:val="ListNumbers"/>
  </w:abstractNum>
  <w:abstractNum w:abstractNumId="1" w15:restartNumberingAfterBreak="0">
    <w:nsid w:val="288D593F"/>
    <w:multiLevelType w:val="multilevel"/>
    <w:tmpl w:val="F7EEE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3218C3"/>
    <w:multiLevelType w:val="multilevel"/>
    <w:tmpl w:val="62C0E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92520B"/>
    <w:multiLevelType w:val="multilevel"/>
    <w:tmpl w:val="5DA4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656D89"/>
    <w:multiLevelType w:val="multilevel"/>
    <w:tmpl w:val="E9A4F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D10806"/>
    <w:multiLevelType w:val="multilevel"/>
    <w:tmpl w:val="E678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7A25E2"/>
    <w:multiLevelType w:val="multilevel"/>
    <w:tmpl w:val="05640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511615"/>
    <w:multiLevelType w:val="multilevel"/>
    <w:tmpl w:val="8D241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3C6ADB"/>
    <w:multiLevelType w:val="multilevel"/>
    <w:tmpl w:val="4CF60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9D70D8"/>
    <w:multiLevelType w:val="multilevel"/>
    <w:tmpl w:val="A0A21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F57664"/>
    <w:multiLevelType w:val="multilevel"/>
    <w:tmpl w:val="82D6B160"/>
    <w:styleLink w:val="ListBullets"/>
    <w:lvl w:ilvl="0">
      <w:start w:val="1"/>
      <w:numFmt w:val="bullet"/>
      <w:lvlRestart w:val="0"/>
      <w:pStyle w:val="ListBullet"/>
      <w:lvlText w:val=""/>
      <w:lvlJc w:val="left"/>
      <w:pPr>
        <w:tabs>
          <w:tab w:val="num" w:pos="357"/>
        </w:tabs>
        <w:ind w:left="714" w:hanging="357"/>
      </w:pPr>
      <w:rPr>
        <w:rFonts w:ascii="Symbol" w:hAnsi="Symbol" w:hint="default"/>
        <w:color w:val="9F7FC9" w:themeColor="accent2"/>
      </w:rPr>
    </w:lvl>
    <w:lvl w:ilvl="1">
      <w:start w:val="1"/>
      <w:numFmt w:val="bullet"/>
      <w:pStyle w:val="ListBullet2"/>
      <w:lvlText w:val="o"/>
      <w:lvlJc w:val="left"/>
      <w:pPr>
        <w:tabs>
          <w:tab w:val="num" w:pos="714"/>
        </w:tabs>
        <w:ind w:left="1071" w:hanging="357"/>
      </w:pPr>
      <w:rPr>
        <w:rFonts w:ascii="Courier New" w:hAnsi="Courier New" w:hint="default"/>
        <w:color w:val="9F7FC9" w:themeColor="accent2"/>
      </w:rPr>
    </w:lvl>
    <w:lvl w:ilvl="2">
      <w:start w:val="1"/>
      <w:numFmt w:val="bullet"/>
      <w:pStyle w:val="ListBullet3"/>
      <w:lvlText w:val=""/>
      <w:lvlJc w:val="left"/>
      <w:pPr>
        <w:tabs>
          <w:tab w:val="num" w:pos="1071"/>
        </w:tabs>
        <w:ind w:left="1428" w:hanging="357"/>
      </w:pPr>
      <w:rPr>
        <w:rFonts w:ascii="Wingdings" w:hAnsi="Wingdings" w:hint="default"/>
        <w:color w:val="9F7FC9" w:themeColor="accent2"/>
      </w:rPr>
    </w:lvl>
    <w:lvl w:ilvl="3">
      <w:start w:val="1"/>
      <w:numFmt w:val="bullet"/>
      <w:lvlText w:val=""/>
      <w:lvlJc w:val="left"/>
      <w:pPr>
        <w:tabs>
          <w:tab w:val="num" w:pos="1428"/>
        </w:tabs>
        <w:ind w:left="1785" w:hanging="357"/>
      </w:pPr>
      <w:rPr>
        <w:rFonts w:ascii="Symbol" w:hAnsi="Symbol" w:hint="default"/>
        <w:color w:val="9F7FC9" w:themeColor="accent2"/>
      </w:rPr>
    </w:lvl>
    <w:lvl w:ilvl="4">
      <w:start w:val="1"/>
      <w:numFmt w:val="bullet"/>
      <w:lvlText w:val="o"/>
      <w:lvlJc w:val="left"/>
      <w:pPr>
        <w:tabs>
          <w:tab w:val="num" w:pos="1785"/>
        </w:tabs>
        <w:ind w:left="2142" w:hanging="357"/>
      </w:pPr>
      <w:rPr>
        <w:rFonts w:ascii="Courier New" w:hAnsi="Courier New" w:hint="default"/>
        <w:color w:val="9F7FC9" w:themeColor="accent2"/>
      </w:rPr>
    </w:lvl>
    <w:lvl w:ilvl="5">
      <w:start w:val="1"/>
      <w:numFmt w:val="bullet"/>
      <w:lvlText w:val=""/>
      <w:lvlJc w:val="left"/>
      <w:pPr>
        <w:tabs>
          <w:tab w:val="num" w:pos="2142"/>
        </w:tabs>
        <w:ind w:left="2499" w:hanging="357"/>
      </w:pPr>
      <w:rPr>
        <w:rFonts w:ascii="Wingdings" w:hAnsi="Wingdings" w:hint="default"/>
        <w:color w:val="9F7FC9" w:themeColor="accent2"/>
      </w:rPr>
    </w:lvl>
    <w:lvl w:ilvl="6">
      <w:start w:val="1"/>
      <w:numFmt w:val="bullet"/>
      <w:lvlText w:val=""/>
      <w:lvlJc w:val="left"/>
      <w:pPr>
        <w:tabs>
          <w:tab w:val="num" w:pos="2499"/>
        </w:tabs>
        <w:ind w:left="2856" w:hanging="357"/>
      </w:pPr>
      <w:rPr>
        <w:rFonts w:ascii="Symbol" w:hAnsi="Symbol" w:hint="default"/>
        <w:color w:val="9F7FC9" w:themeColor="accent2"/>
      </w:rPr>
    </w:lvl>
    <w:lvl w:ilvl="7">
      <w:start w:val="1"/>
      <w:numFmt w:val="bullet"/>
      <w:lvlText w:val="o"/>
      <w:lvlJc w:val="left"/>
      <w:pPr>
        <w:tabs>
          <w:tab w:val="num" w:pos="2856"/>
        </w:tabs>
        <w:ind w:left="3213" w:hanging="357"/>
      </w:pPr>
      <w:rPr>
        <w:rFonts w:ascii="Courier New" w:hAnsi="Courier New" w:hint="default"/>
        <w:color w:val="9F7FC9" w:themeColor="accent2"/>
      </w:rPr>
    </w:lvl>
    <w:lvl w:ilvl="8">
      <w:start w:val="1"/>
      <w:numFmt w:val="bullet"/>
      <w:lvlText w:val=""/>
      <w:lvlJc w:val="left"/>
      <w:pPr>
        <w:tabs>
          <w:tab w:val="num" w:pos="3213"/>
        </w:tabs>
        <w:ind w:left="3570" w:hanging="357"/>
      </w:pPr>
      <w:rPr>
        <w:rFonts w:ascii="Wingdings" w:hAnsi="Wingdings" w:hint="default"/>
        <w:color w:val="9F7FC9" w:themeColor="accent2"/>
      </w:rPr>
    </w:lvl>
  </w:abstractNum>
  <w:abstractNum w:abstractNumId="11" w15:restartNumberingAfterBreak="0">
    <w:nsid w:val="4FC469C3"/>
    <w:multiLevelType w:val="multilevel"/>
    <w:tmpl w:val="62F60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2083563"/>
    <w:multiLevelType w:val="multilevel"/>
    <w:tmpl w:val="909E6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F9189F"/>
    <w:multiLevelType w:val="multilevel"/>
    <w:tmpl w:val="65F60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52746"/>
    <w:multiLevelType w:val="multilevel"/>
    <w:tmpl w:val="BCCED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E370A1"/>
    <w:multiLevelType w:val="multilevel"/>
    <w:tmpl w:val="22B260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AE3AA5"/>
    <w:multiLevelType w:val="multilevel"/>
    <w:tmpl w:val="24C87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4EF601B"/>
    <w:multiLevelType w:val="multilevel"/>
    <w:tmpl w:val="AD8A069C"/>
    <w:styleLink w:val="ListNumbers"/>
    <w:lvl w:ilvl="0">
      <w:start w:val="1"/>
      <w:numFmt w:val="decimal"/>
      <w:lvlRestart w:val="0"/>
      <w:pStyle w:val="ListNumber"/>
      <w:lvlText w:val="%1."/>
      <w:lvlJc w:val="left"/>
      <w:pPr>
        <w:ind w:left="357" w:hanging="357"/>
      </w:pPr>
      <w:rPr>
        <w:rFonts w:hint="default"/>
      </w:rPr>
    </w:lvl>
    <w:lvl w:ilvl="1">
      <w:start w:val="1"/>
      <w:numFmt w:val="decimal"/>
      <w:lvlText w:val="%1.%2."/>
      <w:lvlJc w:val="left"/>
      <w:pPr>
        <w:ind w:left="896" w:hanging="539"/>
      </w:pPr>
      <w:rPr>
        <w:rFonts w:hint="default"/>
      </w:rPr>
    </w:lvl>
    <w:lvl w:ilvl="2">
      <w:start w:val="1"/>
      <w:numFmt w:val="decimal"/>
      <w:lvlText w:val="%1.%2.%3."/>
      <w:lvlJc w:val="left"/>
      <w:pPr>
        <w:ind w:left="1701" w:hanging="805"/>
      </w:pPr>
      <w:rPr>
        <w:rFonts w:hint="default"/>
      </w:rPr>
    </w:lvl>
    <w:lvl w:ilvl="3">
      <w:start w:val="1"/>
      <w:numFmt w:val="none"/>
      <w:lvlText w:val=""/>
      <w:lvlJc w:val="left"/>
      <w:pPr>
        <w:ind w:left="357" w:hanging="357"/>
      </w:pPr>
      <w:rPr>
        <w:rFonts w:hint="default"/>
      </w:rPr>
    </w:lvl>
    <w:lvl w:ilvl="4">
      <w:start w:val="1"/>
      <w:numFmt w:val="none"/>
      <w:lvlText w:val=""/>
      <w:lvlJc w:val="left"/>
      <w:pPr>
        <w:ind w:left="357" w:hanging="357"/>
      </w:pPr>
      <w:rPr>
        <w:rFonts w:hint="default"/>
      </w:rPr>
    </w:lvl>
    <w:lvl w:ilvl="5">
      <w:start w:val="1"/>
      <w:numFmt w:val="none"/>
      <w:lvlText w:val=""/>
      <w:lvlJc w:val="left"/>
      <w:pPr>
        <w:ind w:left="357" w:hanging="357"/>
      </w:pPr>
      <w:rPr>
        <w:rFonts w:hint="default"/>
      </w:rPr>
    </w:lvl>
    <w:lvl w:ilvl="6">
      <w:start w:val="1"/>
      <w:numFmt w:val="none"/>
      <w:lvlText w:val=""/>
      <w:lvlJc w:val="left"/>
      <w:pPr>
        <w:ind w:left="357" w:hanging="357"/>
      </w:pPr>
      <w:rPr>
        <w:rFonts w:hint="default"/>
      </w:rPr>
    </w:lvl>
    <w:lvl w:ilvl="7">
      <w:start w:val="1"/>
      <w:numFmt w:val="none"/>
      <w:lvlText w:val=""/>
      <w:lvlJc w:val="left"/>
      <w:pPr>
        <w:ind w:left="357" w:hanging="357"/>
      </w:pPr>
      <w:rPr>
        <w:rFonts w:hint="default"/>
      </w:rPr>
    </w:lvl>
    <w:lvl w:ilvl="8">
      <w:start w:val="1"/>
      <w:numFmt w:val="none"/>
      <w:lvlText w:val=""/>
      <w:lvlJc w:val="left"/>
      <w:pPr>
        <w:ind w:left="357" w:hanging="357"/>
      </w:pPr>
      <w:rPr>
        <w:rFonts w:hint="default"/>
      </w:rPr>
    </w:lvl>
  </w:abstractNum>
  <w:abstractNum w:abstractNumId="18" w15:restartNumberingAfterBreak="0">
    <w:nsid w:val="6EBC0147"/>
    <w:multiLevelType w:val="multilevel"/>
    <w:tmpl w:val="4D5E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9704C6"/>
    <w:multiLevelType w:val="multilevel"/>
    <w:tmpl w:val="B62C2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2658D3"/>
    <w:multiLevelType w:val="multilevel"/>
    <w:tmpl w:val="E2F6A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4469858">
    <w:abstractNumId w:val="10"/>
  </w:num>
  <w:num w:numId="2" w16cid:durableId="4404828">
    <w:abstractNumId w:val="17"/>
  </w:num>
  <w:num w:numId="3" w16cid:durableId="1887373936">
    <w:abstractNumId w:val="0"/>
  </w:num>
  <w:num w:numId="4" w16cid:durableId="976300243">
    <w:abstractNumId w:val="19"/>
  </w:num>
  <w:num w:numId="5" w16cid:durableId="221257885">
    <w:abstractNumId w:val="18"/>
  </w:num>
  <w:num w:numId="6" w16cid:durableId="1307854065">
    <w:abstractNumId w:val="13"/>
  </w:num>
  <w:num w:numId="7" w16cid:durableId="452332402">
    <w:abstractNumId w:val="4"/>
  </w:num>
  <w:num w:numId="8" w16cid:durableId="2079938682">
    <w:abstractNumId w:val="12"/>
  </w:num>
  <w:num w:numId="9" w16cid:durableId="1783723251">
    <w:abstractNumId w:val="3"/>
  </w:num>
  <w:num w:numId="10" w16cid:durableId="136076342">
    <w:abstractNumId w:val="8"/>
  </w:num>
  <w:num w:numId="11" w16cid:durableId="1540167647">
    <w:abstractNumId w:val="6"/>
  </w:num>
  <w:num w:numId="12" w16cid:durableId="316615799">
    <w:abstractNumId w:val="20"/>
  </w:num>
  <w:num w:numId="13" w16cid:durableId="309868582">
    <w:abstractNumId w:val="5"/>
  </w:num>
  <w:num w:numId="14" w16cid:durableId="1509517549">
    <w:abstractNumId w:val="9"/>
  </w:num>
  <w:num w:numId="15" w16cid:durableId="1383096041">
    <w:abstractNumId w:val="1"/>
  </w:num>
  <w:num w:numId="16" w16cid:durableId="948514406">
    <w:abstractNumId w:val="16"/>
  </w:num>
  <w:num w:numId="17" w16cid:durableId="754010220">
    <w:abstractNumId w:val="7"/>
  </w:num>
  <w:num w:numId="18" w16cid:durableId="521480035">
    <w:abstractNumId w:val="2"/>
  </w:num>
  <w:num w:numId="19" w16cid:durableId="1348173538">
    <w:abstractNumId w:val="11"/>
  </w:num>
  <w:num w:numId="20" w16cid:durableId="2034569509">
    <w:abstractNumId w:val="14"/>
  </w:num>
  <w:num w:numId="21" w16cid:durableId="972253931">
    <w:abstractNumId w:val="15"/>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D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8AB"/>
    <w:rsid w:val="00034DD5"/>
    <w:rsid w:val="0003690C"/>
    <w:rsid w:val="0004019E"/>
    <w:rsid w:val="00053EC7"/>
    <w:rsid w:val="00074CB0"/>
    <w:rsid w:val="000A1D6A"/>
    <w:rsid w:val="000A1E39"/>
    <w:rsid w:val="000D4800"/>
    <w:rsid w:val="000E7326"/>
    <w:rsid w:val="00106542"/>
    <w:rsid w:val="00111774"/>
    <w:rsid w:val="001149B9"/>
    <w:rsid w:val="00121E2B"/>
    <w:rsid w:val="001260A5"/>
    <w:rsid w:val="001A3A6F"/>
    <w:rsid w:val="001F6BD2"/>
    <w:rsid w:val="00212DA7"/>
    <w:rsid w:val="002211B1"/>
    <w:rsid w:val="00227C06"/>
    <w:rsid w:val="00231A9B"/>
    <w:rsid w:val="0024119E"/>
    <w:rsid w:val="00274DD8"/>
    <w:rsid w:val="00276E34"/>
    <w:rsid w:val="0028191A"/>
    <w:rsid w:val="00286F85"/>
    <w:rsid w:val="002934C4"/>
    <w:rsid w:val="002A0631"/>
    <w:rsid w:val="002A66EB"/>
    <w:rsid w:val="0030033F"/>
    <w:rsid w:val="0031493E"/>
    <w:rsid w:val="00316B55"/>
    <w:rsid w:val="00323C00"/>
    <w:rsid w:val="00330B46"/>
    <w:rsid w:val="003403D7"/>
    <w:rsid w:val="00352A65"/>
    <w:rsid w:val="003631F0"/>
    <w:rsid w:val="00373A23"/>
    <w:rsid w:val="003B5112"/>
    <w:rsid w:val="003B5658"/>
    <w:rsid w:val="003C0140"/>
    <w:rsid w:val="003C213D"/>
    <w:rsid w:val="003D05B5"/>
    <w:rsid w:val="003D5DF6"/>
    <w:rsid w:val="003F02B0"/>
    <w:rsid w:val="003F4D16"/>
    <w:rsid w:val="003F5CC5"/>
    <w:rsid w:val="00400292"/>
    <w:rsid w:val="004104D1"/>
    <w:rsid w:val="00410A41"/>
    <w:rsid w:val="004367B0"/>
    <w:rsid w:val="0044518F"/>
    <w:rsid w:val="00453812"/>
    <w:rsid w:val="00461021"/>
    <w:rsid w:val="004665A7"/>
    <w:rsid w:val="00473803"/>
    <w:rsid w:val="00476715"/>
    <w:rsid w:val="00481A2E"/>
    <w:rsid w:val="004919C7"/>
    <w:rsid w:val="00497FBD"/>
    <w:rsid w:val="004B02D6"/>
    <w:rsid w:val="004B66E5"/>
    <w:rsid w:val="004C2D3D"/>
    <w:rsid w:val="004C3F98"/>
    <w:rsid w:val="004C7455"/>
    <w:rsid w:val="004D6B36"/>
    <w:rsid w:val="00503EF3"/>
    <w:rsid w:val="00517B4F"/>
    <w:rsid w:val="005305F9"/>
    <w:rsid w:val="00564A80"/>
    <w:rsid w:val="005724C2"/>
    <w:rsid w:val="005840AE"/>
    <w:rsid w:val="00592098"/>
    <w:rsid w:val="005A46C2"/>
    <w:rsid w:val="005A58B9"/>
    <w:rsid w:val="005A5FAE"/>
    <w:rsid w:val="005D55A5"/>
    <w:rsid w:val="005F3D9C"/>
    <w:rsid w:val="005F7CD6"/>
    <w:rsid w:val="00602720"/>
    <w:rsid w:val="00631584"/>
    <w:rsid w:val="0064156F"/>
    <w:rsid w:val="00647FBE"/>
    <w:rsid w:val="006604EF"/>
    <w:rsid w:val="006729B6"/>
    <w:rsid w:val="00674189"/>
    <w:rsid w:val="00683D42"/>
    <w:rsid w:val="0069544B"/>
    <w:rsid w:val="006B6C99"/>
    <w:rsid w:val="006C2AB1"/>
    <w:rsid w:val="006C77F8"/>
    <w:rsid w:val="006D5281"/>
    <w:rsid w:val="006F5165"/>
    <w:rsid w:val="0071492E"/>
    <w:rsid w:val="00714EA1"/>
    <w:rsid w:val="00733462"/>
    <w:rsid w:val="0073350A"/>
    <w:rsid w:val="007413E6"/>
    <w:rsid w:val="00771FDB"/>
    <w:rsid w:val="00774ECE"/>
    <w:rsid w:val="00796230"/>
    <w:rsid w:val="007C5DEB"/>
    <w:rsid w:val="007C7E7C"/>
    <w:rsid w:val="007D1FCE"/>
    <w:rsid w:val="007D3F26"/>
    <w:rsid w:val="007D66FC"/>
    <w:rsid w:val="007E570D"/>
    <w:rsid w:val="007F0305"/>
    <w:rsid w:val="007F289F"/>
    <w:rsid w:val="007F4F51"/>
    <w:rsid w:val="00801008"/>
    <w:rsid w:val="008023D8"/>
    <w:rsid w:val="008050F9"/>
    <w:rsid w:val="00811529"/>
    <w:rsid w:val="00815B6C"/>
    <w:rsid w:val="0081600B"/>
    <w:rsid w:val="0084317B"/>
    <w:rsid w:val="008853D5"/>
    <w:rsid w:val="00892D99"/>
    <w:rsid w:val="008A094E"/>
    <w:rsid w:val="008B505A"/>
    <w:rsid w:val="0090572F"/>
    <w:rsid w:val="00912243"/>
    <w:rsid w:val="009146EB"/>
    <w:rsid w:val="0093016D"/>
    <w:rsid w:val="009848EB"/>
    <w:rsid w:val="009870A7"/>
    <w:rsid w:val="00996010"/>
    <w:rsid w:val="00997C71"/>
    <w:rsid w:val="009B1F2C"/>
    <w:rsid w:val="009D060F"/>
    <w:rsid w:val="009F4D6B"/>
    <w:rsid w:val="00A00B68"/>
    <w:rsid w:val="00A17A62"/>
    <w:rsid w:val="00A356F9"/>
    <w:rsid w:val="00A53A29"/>
    <w:rsid w:val="00A600CB"/>
    <w:rsid w:val="00AA73CE"/>
    <w:rsid w:val="00AB50C5"/>
    <w:rsid w:val="00AC4838"/>
    <w:rsid w:val="00AC5871"/>
    <w:rsid w:val="00AD1D77"/>
    <w:rsid w:val="00AF6F9E"/>
    <w:rsid w:val="00B168AB"/>
    <w:rsid w:val="00B35AFA"/>
    <w:rsid w:val="00B36740"/>
    <w:rsid w:val="00B406E7"/>
    <w:rsid w:val="00B423A8"/>
    <w:rsid w:val="00B507D9"/>
    <w:rsid w:val="00B563FB"/>
    <w:rsid w:val="00B57500"/>
    <w:rsid w:val="00B60E1E"/>
    <w:rsid w:val="00B63EDA"/>
    <w:rsid w:val="00B8017D"/>
    <w:rsid w:val="00B84134"/>
    <w:rsid w:val="00BB66C8"/>
    <w:rsid w:val="00BC6358"/>
    <w:rsid w:val="00BD6F85"/>
    <w:rsid w:val="00BE28A0"/>
    <w:rsid w:val="00BF6431"/>
    <w:rsid w:val="00C06730"/>
    <w:rsid w:val="00C2163A"/>
    <w:rsid w:val="00C2222D"/>
    <w:rsid w:val="00C429CD"/>
    <w:rsid w:val="00C51EF5"/>
    <w:rsid w:val="00C61A0C"/>
    <w:rsid w:val="00C73E0E"/>
    <w:rsid w:val="00C9555C"/>
    <w:rsid w:val="00CC22FB"/>
    <w:rsid w:val="00CC481E"/>
    <w:rsid w:val="00CC5CE7"/>
    <w:rsid w:val="00CE7B88"/>
    <w:rsid w:val="00CF06BB"/>
    <w:rsid w:val="00D1433D"/>
    <w:rsid w:val="00D1516A"/>
    <w:rsid w:val="00D35CA0"/>
    <w:rsid w:val="00D46B9C"/>
    <w:rsid w:val="00D7624F"/>
    <w:rsid w:val="00D77315"/>
    <w:rsid w:val="00D850DB"/>
    <w:rsid w:val="00D92B40"/>
    <w:rsid w:val="00D97289"/>
    <w:rsid w:val="00DA02BA"/>
    <w:rsid w:val="00DB3247"/>
    <w:rsid w:val="00DB70E2"/>
    <w:rsid w:val="00DD5FA7"/>
    <w:rsid w:val="00DE11BB"/>
    <w:rsid w:val="00DF23A1"/>
    <w:rsid w:val="00E13CF0"/>
    <w:rsid w:val="00E16513"/>
    <w:rsid w:val="00E36EB0"/>
    <w:rsid w:val="00E3798F"/>
    <w:rsid w:val="00E54D23"/>
    <w:rsid w:val="00E56462"/>
    <w:rsid w:val="00E67510"/>
    <w:rsid w:val="00E904E3"/>
    <w:rsid w:val="00EA6780"/>
    <w:rsid w:val="00EE16C6"/>
    <w:rsid w:val="00F06FFB"/>
    <w:rsid w:val="00F12B09"/>
    <w:rsid w:val="00F25300"/>
    <w:rsid w:val="00F4011C"/>
    <w:rsid w:val="00F42D08"/>
    <w:rsid w:val="00F45E42"/>
    <w:rsid w:val="00F522A7"/>
    <w:rsid w:val="00F60B46"/>
    <w:rsid w:val="00F62410"/>
    <w:rsid w:val="00F779EE"/>
    <w:rsid w:val="00F86F3C"/>
    <w:rsid w:val="00F943B6"/>
    <w:rsid w:val="00F948D3"/>
    <w:rsid w:val="00FB1D69"/>
    <w:rsid w:val="00FD7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777BB"/>
  <w15:chartTrackingRefBased/>
  <w15:docId w15:val="{E248B08A-D36F-4355-8ABC-674054DD0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annotation text"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5"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uiPriority="15"/>
    <w:lsdException w:name="List Bullet 3" w:uiPriority="15"/>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9" w:qFormat="1"/>
    <w:lsdException w:name="Closing" w:semiHidden="1" w:unhideWhenUsed="1"/>
    <w:lsdException w:name="Signature" w:semiHidden="1" w:unhideWhenUsed="1"/>
    <w:lsdException w:name="Default Paragraph Font" w:semiHidden="1" w:uiPriority="1" w:unhideWhenUsed="1"/>
    <w:lsdException w:name="Body Text" w:semiHidden="1" w:uiPriority="14"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4"/>
    <w:qFormat/>
    <w:rsid w:val="00E904E3"/>
    <w:pPr>
      <w:spacing w:after="0" w:line="240" w:lineRule="auto"/>
    </w:pPr>
    <w:rPr>
      <w:sz w:val="24"/>
      <w:lang w:val="en-US"/>
    </w:rPr>
  </w:style>
  <w:style w:type="paragraph" w:styleId="Heading1">
    <w:name w:val="heading 1"/>
    <w:basedOn w:val="BaseHeading"/>
    <w:next w:val="BodyText"/>
    <w:link w:val="Heading1Char"/>
    <w:uiPriority w:val="9"/>
    <w:qFormat/>
    <w:rsid w:val="0084317B"/>
    <w:pPr>
      <w:spacing w:before="240"/>
      <w:outlineLvl w:val="0"/>
    </w:pPr>
    <w:rPr>
      <w:rFonts w:eastAsiaTheme="majorEastAsia" w:cstheme="majorBidi"/>
      <w:b/>
      <w:bCs/>
      <w:sz w:val="36"/>
      <w:szCs w:val="36"/>
    </w:rPr>
  </w:style>
  <w:style w:type="paragraph" w:styleId="Heading2">
    <w:name w:val="heading 2"/>
    <w:basedOn w:val="BaseHeading"/>
    <w:next w:val="BodyText"/>
    <w:link w:val="Heading2Char"/>
    <w:uiPriority w:val="9"/>
    <w:unhideWhenUsed/>
    <w:qFormat/>
    <w:rsid w:val="0084317B"/>
    <w:pPr>
      <w:spacing w:before="40"/>
      <w:outlineLvl w:val="1"/>
    </w:pPr>
    <w:rPr>
      <w:rFonts w:eastAsiaTheme="majorEastAsia" w:cstheme="majorBidi"/>
      <w:b/>
      <w:bCs/>
      <w:sz w:val="32"/>
      <w:szCs w:val="32"/>
    </w:rPr>
  </w:style>
  <w:style w:type="paragraph" w:styleId="Heading3">
    <w:name w:val="heading 3"/>
    <w:basedOn w:val="BaseHeading"/>
    <w:next w:val="BodyText"/>
    <w:link w:val="Heading3Char"/>
    <w:uiPriority w:val="9"/>
    <w:unhideWhenUsed/>
    <w:qFormat/>
    <w:rsid w:val="0084317B"/>
    <w:pPr>
      <w:spacing w:before="40"/>
      <w:outlineLvl w:val="2"/>
    </w:pPr>
    <w:rPr>
      <w:rFonts w:eastAsiaTheme="majorEastAsia" w:cstheme="majorBidi"/>
      <w:sz w:val="28"/>
      <w:szCs w:val="28"/>
    </w:rPr>
  </w:style>
  <w:style w:type="paragraph" w:styleId="Heading4">
    <w:name w:val="heading 4"/>
    <w:basedOn w:val="BaseHeading"/>
    <w:next w:val="BodyText"/>
    <w:link w:val="Heading4Char"/>
    <w:uiPriority w:val="9"/>
    <w:semiHidden/>
    <w:qFormat/>
    <w:rsid w:val="006F5165"/>
    <w:pPr>
      <w:spacing w:before="40"/>
      <w:outlineLvl w:val="3"/>
    </w:pPr>
    <w:rPr>
      <w:rFonts w:eastAsiaTheme="majorEastAsia" w:cstheme="majorBidi"/>
      <w:color w:val="200649" w:themeColor="accent1"/>
    </w:rPr>
  </w:style>
  <w:style w:type="paragraph" w:styleId="Heading5">
    <w:name w:val="heading 5"/>
    <w:basedOn w:val="BaseHeading"/>
    <w:next w:val="BodyText"/>
    <w:link w:val="Heading5Char"/>
    <w:uiPriority w:val="9"/>
    <w:semiHidden/>
    <w:qFormat/>
    <w:rsid w:val="006F5165"/>
    <w:pPr>
      <w:spacing w:before="40"/>
      <w:outlineLvl w:val="4"/>
    </w:pPr>
    <w:rPr>
      <w:rFonts w:eastAsiaTheme="majorEastAsia" w:cstheme="majorBidi"/>
      <w:color w:val="200649"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BaseText"/>
    <w:link w:val="BodyTextChar"/>
    <w:uiPriority w:val="14"/>
    <w:unhideWhenUsed/>
    <w:qFormat/>
    <w:rsid w:val="0084317B"/>
  </w:style>
  <w:style w:type="character" w:customStyle="1" w:styleId="BodyTextChar">
    <w:name w:val="Body Text Char"/>
    <w:basedOn w:val="DefaultParagraphFont"/>
    <w:link w:val="BodyText"/>
    <w:uiPriority w:val="14"/>
    <w:rsid w:val="0084317B"/>
    <w:rPr>
      <w:sz w:val="24"/>
    </w:rPr>
  </w:style>
  <w:style w:type="character" w:customStyle="1" w:styleId="Heading1Char">
    <w:name w:val="Heading 1 Char"/>
    <w:basedOn w:val="DefaultParagraphFont"/>
    <w:link w:val="Heading1"/>
    <w:uiPriority w:val="9"/>
    <w:rsid w:val="0084317B"/>
    <w:rPr>
      <w:rFonts w:asciiTheme="majorHAnsi" w:eastAsiaTheme="majorEastAsia" w:hAnsiTheme="majorHAnsi" w:cstheme="majorBidi"/>
      <w:b/>
      <w:bCs/>
      <w:color w:val="200649" w:themeColor="text2"/>
      <w:sz w:val="36"/>
      <w:szCs w:val="36"/>
    </w:rPr>
  </w:style>
  <w:style w:type="character" w:customStyle="1" w:styleId="Heading2Char">
    <w:name w:val="Heading 2 Char"/>
    <w:basedOn w:val="DefaultParagraphFont"/>
    <w:link w:val="Heading2"/>
    <w:uiPriority w:val="9"/>
    <w:rsid w:val="0084317B"/>
    <w:rPr>
      <w:rFonts w:asciiTheme="majorHAnsi" w:eastAsiaTheme="majorEastAsia" w:hAnsiTheme="majorHAnsi" w:cstheme="majorBidi"/>
      <w:b/>
      <w:bCs/>
      <w:color w:val="200649" w:themeColor="text2"/>
      <w:sz w:val="32"/>
      <w:szCs w:val="32"/>
    </w:rPr>
  </w:style>
  <w:style w:type="character" w:customStyle="1" w:styleId="Heading3Char">
    <w:name w:val="Heading 3 Char"/>
    <w:basedOn w:val="DefaultParagraphFont"/>
    <w:link w:val="Heading3"/>
    <w:uiPriority w:val="9"/>
    <w:rsid w:val="0084317B"/>
    <w:rPr>
      <w:rFonts w:asciiTheme="majorHAnsi" w:eastAsiaTheme="majorEastAsia" w:hAnsiTheme="majorHAnsi" w:cstheme="majorBidi"/>
      <w:color w:val="200649" w:themeColor="text2"/>
      <w:sz w:val="28"/>
      <w:szCs w:val="28"/>
    </w:rPr>
  </w:style>
  <w:style w:type="character" w:customStyle="1" w:styleId="Heading4Char">
    <w:name w:val="Heading 4 Char"/>
    <w:basedOn w:val="DefaultParagraphFont"/>
    <w:link w:val="Heading4"/>
    <w:uiPriority w:val="9"/>
    <w:semiHidden/>
    <w:rsid w:val="0004019E"/>
    <w:rPr>
      <w:rFonts w:asciiTheme="majorHAnsi" w:eastAsiaTheme="majorEastAsia" w:hAnsiTheme="majorHAnsi" w:cstheme="majorBidi"/>
      <w:color w:val="200649" w:themeColor="accent1"/>
    </w:rPr>
  </w:style>
  <w:style w:type="paragraph" w:styleId="Title">
    <w:name w:val="Title"/>
    <w:basedOn w:val="BaseHeading"/>
    <w:next w:val="Subtitle"/>
    <w:link w:val="TitleChar"/>
    <w:uiPriority w:val="37"/>
    <w:qFormat/>
    <w:rsid w:val="00E54D23"/>
    <w:pPr>
      <w:contextualSpacing/>
    </w:pPr>
    <w:rPr>
      <w:rFonts w:eastAsiaTheme="majorEastAsia" w:cstheme="majorBidi"/>
      <w:sz w:val="56"/>
      <w:szCs w:val="56"/>
    </w:rPr>
  </w:style>
  <w:style w:type="character" w:customStyle="1" w:styleId="TitleChar">
    <w:name w:val="Title Char"/>
    <w:basedOn w:val="DefaultParagraphFont"/>
    <w:link w:val="Title"/>
    <w:uiPriority w:val="37"/>
    <w:rsid w:val="0028191A"/>
    <w:rPr>
      <w:rFonts w:asciiTheme="majorHAnsi" w:eastAsiaTheme="majorEastAsia" w:hAnsiTheme="majorHAnsi" w:cstheme="majorBidi"/>
      <w:color w:val="200649" w:themeColor="text2"/>
      <w:sz w:val="56"/>
      <w:szCs w:val="56"/>
    </w:rPr>
  </w:style>
  <w:style w:type="paragraph" w:styleId="Subtitle">
    <w:name w:val="Subtitle"/>
    <w:basedOn w:val="BaseHeading"/>
    <w:next w:val="BodyText"/>
    <w:link w:val="SubtitleChar"/>
    <w:uiPriority w:val="38"/>
    <w:semiHidden/>
    <w:qFormat/>
    <w:rsid w:val="00E54D23"/>
    <w:pPr>
      <w:numPr>
        <w:ilvl w:val="1"/>
      </w:numPr>
      <w:spacing w:after="160"/>
    </w:pPr>
    <w:rPr>
      <w:rFonts w:eastAsiaTheme="minorEastAsia"/>
      <w:color w:val="5A5A5A" w:themeColor="text1" w:themeTint="A5"/>
    </w:rPr>
  </w:style>
  <w:style w:type="character" w:customStyle="1" w:styleId="SubtitleChar">
    <w:name w:val="Subtitle Char"/>
    <w:basedOn w:val="DefaultParagraphFont"/>
    <w:link w:val="Subtitle"/>
    <w:uiPriority w:val="38"/>
    <w:semiHidden/>
    <w:rsid w:val="007F4F51"/>
    <w:rPr>
      <w:rFonts w:asciiTheme="majorHAnsi" w:eastAsiaTheme="minorEastAsia" w:hAnsiTheme="majorHAnsi"/>
      <w:color w:val="5A5A5A" w:themeColor="text1" w:themeTint="A5"/>
    </w:rPr>
  </w:style>
  <w:style w:type="paragraph" w:customStyle="1" w:styleId="BaseStyle">
    <w:name w:val="___Base Style"/>
    <w:semiHidden/>
    <w:rsid w:val="00E54D23"/>
    <w:pPr>
      <w:spacing w:after="0" w:line="276" w:lineRule="auto"/>
    </w:pPr>
  </w:style>
  <w:style w:type="paragraph" w:customStyle="1" w:styleId="BaseTable">
    <w:name w:val="___Base Table"/>
    <w:semiHidden/>
    <w:rsid w:val="00E54D23"/>
  </w:style>
  <w:style w:type="paragraph" w:customStyle="1" w:styleId="BaseText">
    <w:name w:val="__Base Text"/>
    <w:basedOn w:val="BaseStyle"/>
    <w:semiHidden/>
    <w:rsid w:val="0004019E"/>
    <w:pPr>
      <w:spacing w:line="240" w:lineRule="auto"/>
    </w:pPr>
    <w:rPr>
      <w:sz w:val="24"/>
    </w:rPr>
  </w:style>
  <w:style w:type="paragraph" w:customStyle="1" w:styleId="BaseHeading">
    <w:name w:val="__Base Heading"/>
    <w:basedOn w:val="BaseStyle"/>
    <w:next w:val="BodyText"/>
    <w:semiHidden/>
    <w:rsid w:val="0004019E"/>
    <w:pPr>
      <w:keepNext/>
      <w:keepLines/>
      <w:spacing w:line="240" w:lineRule="auto"/>
    </w:pPr>
    <w:rPr>
      <w:rFonts w:asciiTheme="majorHAnsi" w:hAnsiTheme="majorHAnsi"/>
      <w:color w:val="200649" w:themeColor="text2"/>
    </w:rPr>
  </w:style>
  <w:style w:type="table" w:customStyle="1" w:styleId="Plain">
    <w:name w:val="Plain"/>
    <w:basedOn w:val="TableNormal"/>
    <w:rsid w:val="00AD1D77"/>
    <w:pPr>
      <w:spacing w:after="0" w:line="240" w:lineRule="auto"/>
    </w:pPr>
    <w:tblPr>
      <w:tblCellMar>
        <w:left w:w="0" w:type="dxa"/>
        <w:right w:w="0" w:type="dxa"/>
      </w:tblCellMar>
    </w:tblPr>
    <w:tcPr>
      <w:shd w:val="clear" w:color="auto" w:fill="auto"/>
      <w:tcMar>
        <w:left w:w="0" w:type="dxa"/>
        <w:right w:w="0" w:type="dxa"/>
      </w:tcMar>
    </w:tcPr>
  </w:style>
  <w:style w:type="paragraph" w:customStyle="1" w:styleId="1ptspacer">
    <w:name w:val="__1pt spacer"/>
    <w:basedOn w:val="BaseStyle"/>
    <w:next w:val="BodyText"/>
    <w:semiHidden/>
    <w:rsid w:val="00E54D23"/>
    <w:pPr>
      <w:spacing w:line="20" w:lineRule="exact"/>
    </w:pPr>
    <w:rPr>
      <w:sz w:val="2"/>
    </w:rPr>
  </w:style>
  <w:style w:type="paragraph" w:customStyle="1" w:styleId="Placeholder">
    <w:name w:val="__Placeholder"/>
    <w:basedOn w:val="BaseText"/>
    <w:next w:val="BodyText"/>
    <w:semiHidden/>
    <w:rsid w:val="00E54D23"/>
    <w:pPr>
      <w:jc w:val="center"/>
    </w:pPr>
  </w:style>
  <w:style w:type="paragraph" w:customStyle="1" w:styleId="TableSpaceAfter">
    <w:name w:val="__TableSpaceAfter"/>
    <w:basedOn w:val="BaseStyle"/>
    <w:next w:val="BodyText"/>
    <w:semiHidden/>
    <w:rsid w:val="00E54D23"/>
    <w:pPr>
      <w:spacing w:line="20" w:lineRule="exact"/>
    </w:pPr>
    <w:rPr>
      <w:sz w:val="2"/>
    </w:rPr>
  </w:style>
  <w:style w:type="paragraph" w:styleId="ListBullet">
    <w:name w:val="List Bullet"/>
    <w:basedOn w:val="BodyText"/>
    <w:uiPriority w:val="15"/>
    <w:unhideWhenUsed/>
    <w:qFormat/>
    <w:rsid w:val="007C5DEB"/>
    <w:pPr>
      <w:numPr>
        <w:numId w:val="1"/>
      </w:numPr>
    </w:pPr>
  </w:style>
  <w:style w:type="paragraph" w:customStyle="1" w:styleId="TableText">
    <w:name w:val="Table Text"/>
    <w:basedOn w:val="BaseTable"/>
    <w:uiPriority w:val="20"/>
    <w:qFormat/>
    <w:rsid w:val="00E54D23"/>
  </w:style>
  <w:style w:type="character" w:styleId="BookTitle">
    <w:name w:val="Book Title"/>
    <w:basedOn w:val="DefaultParagraphFont"/>
    <w:uiPriority w:val="33"/>
    <w:semiHidden/>
    <w:qFormat/>
    <w:rsid w:val="00E54D23"/>
    <w:rPr>
      <w:b/>
      <w:bCs/>
      <w:i/>
      <w:iCs/>
      <w:spacing w:val="5"/>
    </w:rPr>
  </w:style>
  <w:style w:type="character" w:styleId="Emphasis">
    <w:name w:val="Emphasis"/>
    <w:basedOn w:val="DefaultParagraphFont"/>
    <w:uiPriority w:val="20"/>
    <w:qFormat/>
    <w:rsid w:val="00E54D23"/>
    <w:rPr>
      <w:i/>
      <w:iCs/>
    </w:rPr>
  </w:style>
  <w:style w:type="character" w:styleId="IntenseEmphasis">
    <w:name w:val="Intense Emphasis"/>
    <w:basedOn w:val="DefaultParagraphFont"/>
    <w:uiPriority w:val="21"/>
    <w:semiHidden/>
    <w:qFormat/>
    <w:rsid w:val="00E54D23"/>
    <w:rPr>
      <w:i/>
      <w:iCs/>
      <w:color w:val="200649" w:themeColor="accent1"/>
    </w:rPr>
  </w:style>
  <w:style w:type="paragraph" w:styleId="IntenseQuote">
    <w:name w:val="Intense Quote"/>
    <w:basedOn w:val="Normal"/>
    <w:next w:val="Normal"/>
    <w:link w:val="IntenseQuoteChar"/>
    <w:uiPriority w:val="30"/>
    <w:semiHidden/>
    <w:qFormat/>
    <w:rsid w:val="00E54D23"/>
    <w:pPr>
      <w:pBdr>
        <w:top w:val="single" w:sz="4" w:space="10" w:color="200649" w:themeColor="accent1"/>
        <w:bottom w:val="single" w:sz="4" w:space="10" w:color="200649" w:themeColor="accent1"/>
      </w:pBdr>
      <w:spacing w:before="360" w:after="360"/>
      <w:ind w:left="864" w:right="864"/>
      <w:jc w:val="center"/>
    </w:pPr>
    <w:rPr>
      <w:i/>
      <w:iCs/>
      <w:color w:val="200649" w:themeColor="accent1"/>
    </w:rPr>
  </w:style>
  <w:style w:type="character" w:customStyle="1" w:styleId="IntenseQuoteChar">
    <w:name w:val="Intense Quote Char"/>
    <w:basedOn w:val="DefaultParagraphFont"/>
    <w:link w:val="IntenseQuote"/>
    <w:uiPriority w:val="30"/>
    <w:rsid w:val="00E54D23"/>
    <w:rPr>
      <w:i/>
      <w:iCs/>
      <w:color w:val="200649" w:themeColor="accent1"/>
    </w:rPr>
  </w:style>
  <w:style w:type="character" w:styleId="IntenseReference">
    <w:name w:val="Intense Reference"/>
    <w:basedOn w:val="DefaultParagraphFont"/>
    <w:uiPriority w:val="32"/>
    <w:semiHidden/>
    <w:qFormat/>
    <w:rsid w:val="00E54D23"/>
    <w:rPr>
      <w:b/>
      <w:bCs/>
      <w:smallCaps/>
      <w:color w:val="200649" w:themeColor="accent1"/>
      <w:spacing w:val="5"/>
    </w:rPr>
  </w:style>
  <w:style w:type="paragraph" w:styleId="ListParagraph">
    <w:name w:val="List Paragraph"/>
    <w:basedOn w:val="Normal"/>
    <w:uiPriority w:val="34"/>
    <w:semiHidden/>
    <w:qFormat/>
    <w:rsid w:val="00E54D23"/>
    <w:pPr>
      <w:ind w:left="720"/>
      <w:contextualSpacing/>
    </w:pPr>
  </w:style>
  <w:style w:type="paragraph" w:styleId="NoSpacing">
    <w:name w:val="No Spacing"/>
    <w:uiPriority w:val="1"/>
    <w:semiHidden/>
    <w:qFormat/>
    <w:rsid w:val="00E54D23"/>
    <w:pPr>
      <w:spacing w:after="0" w:line="240" w:lineRule="auto"/>
    </w:pPr>
  </w:style>
  <w:style w:type="paragraph" w:styleId="Quote">
    <w:name w:val="Quote"/>
    <w:basedOn w:val="Normal"/>
    <w:next w:val="Normal"/>
    <w:link w:val="QuoteChar"/>
    <w:uiPriority w:val="29"/>
    <w:semiHidden/>
    <w:qFormat/>
    <w:rsid w:val="00E54D2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E54D23"/>
    <w:rPr>
      <w:i/>
      <w:iCs/>
      <w:color w:val="404040" w:themeColor="text1" w:themeTint="BF"/>
    </w:rPr>
  </w:style>
  <w:style w:type="character" w:styleId="Strong">
    <w:name w:val="Strong"/>
    <w:basedOn w:val="DefaultParagraphFont"/>
    <w:uiPriority w:val="22"/>
    <w:qFormat/>
    <w:rsid w:val="00E54D23"/>
    <w:rPr>
      <w:b/>
      <w:bCs/>
    </w:rPr>
  </w:style>
  <w:style w:type="character" w:styleId="SubtleEmphasis">
    <w:name w:val="Subtle Emphasis"/>
    <w:basedOn w:val="DefaultParagraphFont"/>
    <w:uiPriority w:val="19"/>
    <w:semiHidden/>
    <w:qFormat/>
    <w:rsid w:val="00E54D23"/>
    <w:rPr>
      <w:i/>
      <w:iCs/>
      <w:color w:val="404040" w:themeColor="text1" w:themeTint="BF"/>
    </w:rPr>
  </w:style>
  <w:style w:type="character" w:styleId="SubtleReference">
    <w:name w:val="Subtle Reference"/>
    <w:basedOn w:val="DefaultParagraphFont"/>
    <w:uiPriority w:val="31"/>
    <w:semiHidden/>
    <w:qFormat/>
    <w:rsid w:val="00E54D23"/>
    <w:rPr>
      <w:smallCaps/>
      <w:color w:val="5A5A5A" w:themeColor="text1" w:themeTint="A5"/>
    </w:rPr>
  </w:style>
  <w:style w:type="numbering" w:customStyle="1" w:styleId="ListBullets">
    <w:name w:val="__List Bullets"/>
    <w:rsid w:val="007C5DEB"/>
    <w:pPr>
      <w:numPr>
        <w:numId w:val="1"/>
      </w:numPr>
    </w:pPr>
  </w:style>
  <w:style w:type="numbering" w:customStyle="1" w:styleId="ListNumbers">
    <w:name w:val="__List Numbers"/>
    <w:rsid w:val="007F4F51"/>
    <w:pPr>
      <w:numPr>
        <w:numId w:val="2"/>
      </w:numPr>
    </w:pPr>
  </w:style>
  <w:style w:type="paragraph" w:styleId="ListNumber">
    <w:name w:val="List Number"/>
    <w:basedOn w:val="BodyText"/>
    <w:uiPriority w:val="15"/>
    <w:rsid w:val="007F4F51"/>
    <w:pPr>
      <w:numPr>
        <w:numId w:val="3"/>
      </w:numPr>
    </w:pPr>
  </w:style>
  <w:style w:type="table" w:customStyle="1" w:styleId="MaximusTable">
    <w:name w:val="_Maximus Table"/>
    <w:basedOn w:val="TableNormal"/>
    <w:uiPriority w:val="99"/>
    <w:rsid w:val="0084317B"/>
    <w:pPr>
      <w:spacing w:before="60" w:after="60" w:line="240" w:lineRule="auto"/>
      <w:ind w:left="113" w:right="113"/>
    </w:pPr>
    <w:rPr>
      <w:sz w:val="26"/>
      <w:szCs w:val="20"/>
    </w:rPr>
    <w:tblPr>
      <w:tblStyleRow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CellMar>
        <w:left w:w="0" w:type="dxa"/>
        <w:right w:w="0" w:type="dxa"/>
      </w:tblCellMar>
    </w:tblPr>
    <w:tcPr>
      <w:vAlign w:val="center"/>
    </w:tcPr>
    <w:tblStylePr w:type="firstRow">
      <w:pPr>
        <w:wordWrap/>
        <w:spacing w:beforeLines="0" w:before="60" w:beforeAutospacing="0" w:afterLines="0" w:after="60" w:afterAutospacing="0" w:line="240" w:lineRule="auto"/>
        <w:ind w:leftChars="0" w:left="113" w:rightChars="0" w:right="113" w:firstLineChars="0" w:firstLine="0"/>
        <w:contextualSpacing w:val="0"/>
        <w:mirrorIndents w:val="0"/>
        <w:jc w:val="left"/>
      </w:pPr>
      <w:rPr>
        <w:b/>
        <w:color w:val="FFFFFF" w:themeColor="background1"/>
      </w:rPr>
      <w:tblPr/>
      <w:tcPr>
        <w:tcBorders>
          <w:top w:val="nil"/>
          <w:left w:val="single" w:sz="4" w:space="0" w:color="BFBFBF"/>
          <w:bottom w:val="single" w:sz="4" w:space="0" w:color="BFBFBF"/>
          <w:right w:val="single" w:sz="4" w:space="0" w:color="BFBFBF"/>
          <w:insideV w:val="single" w:sz="4" w:space="0" w:color="BFBFBF"/>
        </w:tcBorders>
        <w:shd w:val="clear" w:color="auto" w:fill="200649" w:themeFill="accent1"/>
      </w:tcPr>
    </w:tblStylePr>
    <w:tblStylePr w:type="lastRow">
      <w:rPr>
        <w:b/>
        <w:i w:val="0"/>
        <w:color w:val="000000" w:themeColor="text1"/>
      </w:rPr>
      <w:tblPr/>
      <w:tcPr>
        <w:tcBorders>
          <w:top w:val="single" w:sz="4" w:space="0" w:color="200649" w:themeColor="text2"/>
          <w:bottom w:val="single" w:sz="4" w:space="0" w:color="200649" w:themeColor="text2"/>
        </w:tcBorders>
      </w:tcPr>
    </w:tblStylePr>
    <w:tblStylePr w:type="firstCol">
      <w:pPr>
        <w:jc w:val="left"/>
      </w:pPr>
    </w:tblStylePr>
    <w:tblStylePr w:type="band1Horz">
      <w:pPr>
        <w:jc w:val="left"/>
      </w:pPr>
      <w:rPr>
        <w:color w:val="000000" w:themeColor="text1"/>
      </w:rPr>
      <w:tblPr/>
      <w:tcPr>
        <w:tcBorders>
          <w:top w:val="single" w:sz="4" w:space="0" w:color="BFBFBF"/>
          <w:left w:val="single" w:sz="4" w:space="0" w:color="BFBFBF"/>
          <w:bottom w:val="single" w:sz="4" w:space="0" w:color="BFBFBF"/>
          <w:right w:val="single" w:sz="4" w:space="0" w:color="BFBFBF"/>
          <w:insideH w:val="nil"/>
          <w:insideV w:val="single" w:sz="4" w:space="0" w:color="BFBFBF"/>
          <w:tl2br w:val="nil"/>
          <w:tr2bl w:val="nil"/>
        </w:tcBorders>
        <w:shd w:val="clear" w:color="auto" w:fill="F2F2F2"/>
      </w:tcPr>
    </w:tblStylePr>
    <w:tblStylePr w:type="band2Horz">
      <w:pPr>
        <w:jc w:val="left"/>
      </w:pPr>
      <w:rPr>
        <w:color w:val="000000" w:themeColor="text1"/>
      </w:rPr>
      <w:tblPr/>
      <w:tcPr>
        <w:tcBorders>
          <w:bottom w:val="single" w:sz="4" w:space="0" w:color="808080" w:themeColor="background1" w:themeShade="80"/>
        </w:tcBorders>
        <w:shd w:val="clear" w:color="auto" w:fill="FDFDFD"/>
      </w:tcPr>
    </w:tblStylePr>
  </w:style>
  <w:style w:type="paragraph" w:styleId="Caption">
    <w:name w:val="caption"/>
    <w:basedOn w:val="Normal"/>
    <w:next w:val="Normal"/>
    <w:uiPriority w:val="35"/>
    <w:unhideWhenUsed/>
    <w:qFormat/>
    <w:rsid w:val="0084317B"/>
    <w:rPr>
      <w:b/>
      <w:iCs/>
      <w:color w:val="000000" w:themeColor="text1"/>
      <w:szCs w:val="18"/>
    </w:rPr>
  </w:style>
  <w:style w:type="character" w:customStyle="1" w:styleId="Accent1">
    <w:name w:val="Accent 1"/>
    <w:basedOn w:val="DefaultParagraphFont"/>
    <w:uiPriority w:val="36"/>
    <w:semiHidden/>
    <w:qFormat/>
    <w:rsid w:val="0090572F"/>
    <w:rPr>
      <w:color w:val="200649" w:themeColor="accent1"/>
    </w:rPr>
  </w:style>
  <w:style w:type="character" w:customStyle="1" w:styleId="Accent2">
    <w:name w:val="Accent 2"/>
    <w:basedOn w:val="DefaultParagraphFont"/>
    <w:uiPriority w:val="36"/>
    <w:semiHidden/>
    <w:qFormat/>
    <w:rsid w:val="00274DD8"/>
    <w:rPr>
      <w:color w:val="9F7FC9" w:themeColor="accent2"/>
    </w:rPr>
  </w:style>
  <w:style w:type="character" w:customStyle="1" w:styleId="Accent3">
    <w:name w:val="Accent 3"/>
    <w:basedOn w:val="DefaultParagraphFont"/>
    <w:uiPriority w:val="36"/>
    <w:semiHidden/>
    <w:qFormat/>
    <w:rsid w:val="00274DD8"/>
    <w:rPr>
      <w:color w:val="6277B9" w:themeColor="accent3"/>
    </w:rPr>
  </w:style>
  <w:style w:type="character" w:customStyle="1" w:styleId="Accent4">
    <w:name w:val="Accent 4"/>
    <w:basedOn w:val="DefaultParagraphFont"/>
    <w:uiPriority w:val="36"/>
    <w:semiHidden/>
    <w:qFormat/>
    <w:rsid w:val="00274DD8"/>
    <w:rPr>
      <w:color w:val="7EBE63" w:themeColor="accent4"/>
    </w:rPr>
  </w:style>
  <w:style w:type="character" w:customStyle="1" w:styleId="Accent5">
    <w:name w:val="Accent 5"/>
    <w:basedOn w:val="DefaultParagraphFont"/>
    <w:uiPriority w:val="36"/>
    <w:semiHidden/>
    <w:qFormat/>
    <w:rsid w:val="00274DD8"/>
    <w:rPr>
      <w:color w:val="502E91" w:themeColor="accent5"/>
    </w:rPr>
  </w:style>
  <w:style w:type="character" w:customStyle="1" w:styleId="Accent6">
    <w:name w:val="Accent 6"/>
    <w:basedOn w:val="DefaultParagraphFont"/>
    <w:uiPriority w:val="36"/>
    <w:semiHidden/>
    <w:qFormat/>
    <w:rsid w:val="00274DD8"/>
    <w:rPr>
      <w:color w:val="9CABD7" w:themeColor="accent6"/>
    </w:rPr>
  </w:style>
  <w:style w:type="paragraph" w:customStyle="1" w:styleId="BaseSECTION">
    <w:name w:val="__Base SECTION"/>
    <w:basedOn w:val="BaseText"/>
    <w:next w:val="BodyText"/>
    <w:semiHidden/>
    <w:rsid w:val="00631584"/>
    <w:pPr>
      <w:spacing w:line="160" w:lineRule="exact"/>
    </w:pPr>
    <w:rPr>
      <w:color w:val="0000FF"/>
      <w:sz w:val="16"/>
      <w:szCs w:val="20"/>
    </w:rPr>
  </w:style>
  <w:style w:type="paragraph" w:customStyle="1" w:styleId="LinkedPH">
    <w:name w:val="__Linked PH"/>
    <w:basedOn w:val="TableText"/>
    <w:semiHidden/>
    <w:rsid w:val="00631584"/>
    <w:pPr>
      <w:spacing w:before="120" w:after="0" w:line="20" w:lineRule="exact"/>
      <w:ind w:right="113"/>
    </w:pPr>
    <w:rPr>
      <w:sz w:val="2"/>
      <w:szCs w:val="20"/>
    </w:rPr>
  </w:style>
  <w:style w:type="paragraph" w:customStyle="1" w:styleId="SECTION2Column">
    <w:name w:val="__SECTION 2Column"/>
    <w:basedOn w:val="BaseSECTION"/>
    <w:next w:val="BodyText"/>
    <w:semiHidden/>
    <w:rsid w:val="00631584"/>
  </w:style>
  <w:style w:type="paragraph" w:customStyle="1" w:styleId="SECTION3Column">
    <w:name w:val="__SECTION 3Column"/>
    <w:basedOn w:val="BaseSECTION"/>
    <w:next w:val="BodyText"/>
    <w:semiHidden/>
    <w:rsid w:val="00631584"/>
  </w:style>
  <w:style w:type="paragraph" w:customStyle="1" w:styleId="SECTIONBackCover">
    <w:name w:val="__SECTION BackCover"/>
    <w:basedOn w:val="BaseSECTION"/>
    <w:next w:val="BodyText"/>
    <w:semiHidden/>
    <w:rsid w:val="00631584"/>
  </w:style>
  <w:style w:type="paragraph" w:customStyle="1" w:styleId="SECTIONCover">
    <w:name w:val="__SECTION Cover"/>
    <w:basedOn w:val="BaseSECTION"/>
    <w:next w:val="BodyText"/>
    <w:semiHidden/>
    <w:rsid w:val="00631584"/>
  </w:style>
  <w:style w:type="paragraph" w:customStyle="1" w:styleId="SECTIONFullWidth">
    <w:name w:val="__SECTION FullWidth"/>
    <w:basedOn w:val="BaseSECTION"/>
    <w:next w:val="BodyText"/>
    <w:semiHidden/>
    <w:rsid w:val="00631584"/>
  </w:style>
  <w:style w:type="paragraph" w:customStyle="1" w:styleId="SECTIONLandscape">
    <w:name w:val="__SECTION Landscape"/>
    <w:basedOn w:val="BaseSECTION"/>
    <w:next w:val="BodyText"/>
    <w:semiHidden/>
    <w:rsid w:val="00631584"/>
  </w:style>
  <w:style w:type="paragraph" w:customStyle="1" w:styleId="SECTIONMargin">
    <w:name w:val="__SECTION Margin"/>
    <w:basedOn w:val="BaseSECTION"/>
    <w:next w:val="BodyText"/>
    <w:semiHidden/>
    <w:rsid w:val="00631584"/>
  </w:style>
  <w:style w:type="paragraph" w:customStyle="1" w:styleId="SECTIONToC">
    <w:name w:val="__SECTION ToC"/>
    <w:basedOn w:val="BaseSECTION"/>
    <w:next w:val="BodyText"/>
    <w:semiHidden/>
    <w:rsid w:val="00631584"/>
  </w:style>
  <w:style w:type="paragraph" w:customStyle="1" w:styleId="SECTIONDivider">
    <w:name w:val="__SECTION Divider"/>
    <w:basedOn w:val="BaseSECTION"/>
    <w:next w:val="BodyText"/>
    <w:semiHidden/>
    <w:rsid w:val="00631584"/>
  </w:style>
  <w:style w:type="paragraph" w:customStyle="1" w:styleId="TombstoneText">
    <w:name w:val="Tombstone Text"/>
    <w:basedOn w:val="BaseText"/>
    <w:uiPriority w:val="21"/>
    <w:semiHidden/>
    <w:rsid w:val="00CC22FB"/>
    <w:pPr>
      <w:spacing w:before="120" w:after="120"/>
      <w:ind w:left="113" w:right="113"/>
    </w:pPr>
    <w:rPr>
      <w:rFonts w:cstheme="minorHAnsi"/>
      <w:color w:val="000000" w:themeColor="text1"/>
      <w:sz w:val="16"/>
      <w:szCs w:val="24"/>
    </w:rPr>
  </w:style>
  <w:style w:type="paragraph" w:customStyle="1" w:styleId="TombstoneHeading">
    <w:name w:val="Tombstone Heading"/>
    <w:basedOn w:val="TombstoneText"/>
    <w:next w:val="TombstoneText"/>
    <w:uiPriority w:val="21"/>
    <w:semiHidden/>
    <w:rsid w:val="00631584"/>
    <w:rPr>
      <w:b/>
      <w:sz w:val="18"/>
      <w:szCs w:val="28"/>
    </w:rPr>
  </w:style>
  <w:style w:type="character" w:customStyle="1" w:styleId="Heading5Char">
    <w:name w:val="Heading 5 Char"/>
    <w:basedOn w:val="DefaultParagraphFont"/>
    <w:link w:val="Heading5"/>
    <w:uiPriority w:val="9"/>
    <w:semiHidden/>
    <w:rsid w:val="0004019E"/>
    <w:rPr>
      <w:rFonts w:asciiTheme="majorHAnsi" w:eastAsiaTheme="majorEastAsia" w:hAnsiTheme="majorHAnsi" w:cstheme="majorBidi"/>
      <w:color w:val="200649" w:themeColor="accent1"/>
    </w:rPr>
  </w:style>
  <w:style w:type="paragraph" w:styleId="ListBullet2">
    <w:name w:val="List Bullet 2"/>
    <w:basedOn w:val="Normal"/>
    <w:uiPriority w:val="15"/>
    <w:rsid w:val="007C5DEB"/>
    <w:pPr>
      <w:numPr>
        <w:ilvl w:val="1"/>
        <w:numId w:val="1"/>
      </w:numPr>
      <w:contextualSpacing/>
    </w:pPr>
  </w:style>
  <w:style w:type="paragraph" w:styleId="ListBullet3">
    <w:name w:val="List Bullet 3"/>
    <w:basedOn w:val="Normal"/>
    <w:uiPriority w:val="15"/>
    <w:rsid w:val="007C5DEB"/>
    <w:pPr>
      <w:numPr>
        <w:ilvl w:val="2"/>
        <w:numId w:val="1"/>
      </w:numPr>
      <w:contextualSpacing/>
    </w:pPr>
  </w:style>
  <w:style w:type="paragraph" w:styleId="FootnoteText">
    <w:name w:val="footnote text"/>
    <w:basedOn w:val="Normal"/>
    <w:link w:val="FootnoteTextChar"/>
    <w:uiPriority w:val="99"/>
    <w:semiHidden/>
    <w:rsid w:val="007F4F51"/>
    <w:rPr>
      <w:sz w:val="20"/>
      <w:szCs w:val="20"/>
    </w:rPr>
  </w:style>
  <w:style w:type="character" w:customStyle="1" w:styleId="FootnoteTextChar">
    <w:name w:val="Footnote Text Char"/>
    <w:basedOn w:val="DefaultParagraphFont"/>
    <w:link w:val="FootnoteText"/>
    <w:uiPriority w:val="99"/>
    <w:semiHidden/>
    <w:rsid w:val="00E904E3"/>
    <w:rPr>
      <w:sz w:val="20"/>
      <w:szCs w:val="20"/>
      <w:lang w:val="en-US"/>
    </w:rPr>
  </w:style>
  <w:style w:type="paragraph" w:styleId="Footer">
    <w:name w:val="footer"/>
    <w:basedOn w:val="Normal"/>
    <w:link w:val="FooterChar"/>
    <w:uiPriority w:val="99"/>
    <w:semiHidden/>
    <w:rsid w:val="007F4F51"/>
    <w:pPr>
      <w:tabs>
        <w:tab w:val="center" w:pos="4513"/>
        <w:tab w:val="right" w:pos="9026"/>
      </w:tabs>
    </w:pPr>
    <w:rPr>
      <w:sz w:val="16"/>
      <w:szCs w:val="14"/>
    </w:rPr>
  </w:style>
  <w:style w:type="character" w:customStyle="1" w:styleId="FooterChar">
    <w:name w:val="Footer Char"/>
    <w:basedOn w:val="DefaultParagraphFont"/>
    <w:link w:val="Footer"/>
    <w:uiPriority w:val="99"/>
    <w:semiHidden/>
    <w:rsid w:val="00E904E3"/>
    <w:rPr>
      <w:sz w:val="16"/>
      <w:szCs w:val="14"/>
      <w:lang w:val="en-US"/>
    </w:rPr>
  </w:style>
  <w:style w:type="paragraph" w:styleId="Header">
    <w:name w:val="header"/>
    <w:basedOn w:val="Normal"/>
    <w:link w:val="HeaderChar"/>
    <w:uiPriority w:val="99"/>
    <w:semiHidden/>
    <w:rsid w:val="007F4F51"/>
    <w:pPr>
      <w:tabs>
        <w:tab w:val="center" w:pos="4513"/>
        <w:tab w:val="right" w:pos="9026"/>
      </w:tabs>
    </w:pPr>
    <w:rPr>
      <w:sz w:val="16"/>
    </w:rPr>
  </w:style>
  <w:style w:type="character" w:customStyle="1" w:styleId="HeaderChar">
    <w:name w:val="Header Char"/>
    <w:basedOn w:val="DefaultParagraphFont"/>
    <w:link w:val="Header"/>
    <w:uiPriority w:val="99"/>
    <w:semiHidden/>
    <w:rsid w:val="00E904E3"/>
    <w:rPr>
      <w:sz w:val="16"/>
      <w:lang w:val="en-US"/>
    </w:rPr>
  </w:style>
  <w:style w:type="paragraph" w:styleId="EndnoteText">
    <w:name w:val="endnote text"/>
    <w:basedOn w:val="Normal"/>
    <w:link w:val="EndnoteTextChar"/>
    <w:uiPriority w:val="99"/>
    <w:semiHidden/>
    <w:rsid w:val="007F4F51"/>
    <w:rPr>
      <w:sz w:val="20"/>
      <w:szCs w:val="20"/>
    </w:rPr>
  </w:style>
  <w:style w:type="character" w:customStyle="1" w:styleId="EndnoteTextChar">
    <w:name w:val="Endnote Text Char"/>
    <w:basedOn w:val="DefaultParagraphFont"/>
    <w:link w:val="EndnoteText"/>
    <w:uiPriority w:val="99"/>
    <w:semiHidden/>
    <w:rsid w:val="00E904E3"/>
    <w:rPr>
      <w:sz w:val="20"/>
      <w:szCs w:val="20"/>
      <w:lang w:val="en-US"/>
    </w:rPr>
  </w:style>
  <w:style w:type="table" w:styleId="TableGrid">
    <w:name w:val="Table Grid"/>
    <w:basedOn w:val="TableNormal"/>
    <w:uiPriority w:val="39"/>
    <w:rsid w:val="00AD1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0E1E"/>
    <w:pPr>
      <w:spacing w:after="120"/>
      <w:outlineLvl w:val="9"/>
    </w:pPr>
    <w:rPr>
      <w:lang w:val="en-US"/>
    </w:rPr>
  </w:style>
  <w:style w:type="paragraph" w:styleId="TOC1">
    <w:name w:val="toc 1"/>
    <w:basedOn w:val="Normal"/>
    <w:next w:val="Normal"/>
    <w:autoRedefine/>
    <w:uiPriority w:val="39"/>
    <w:unhideWhenUsed/>
    <w:rsid w:val="00410A41"/>
    <w:pPr>
      <w:spacing w:after="100"/>
    </w:pPr>
    <w:rPr>
      <w:b/>
    </w:rPr>
  </w:style>
  <w:style w:type="paragraph" w:styleId="TOC2">
    <w:name w:val="toc 2"/>
    <w:basedOn w:val="Normal"/>
    <w:next w:val="Normal"/>
    <w:autoRedefine/>
    <w:uiPriority w:val="39"/>
    <w:unhideWhenUsed/>
    <w:rsid w:val="00410A41"/>
    <w:pPr>
      <w:spacing w:after="100"/>
      <w:ind w:left="240"/>
    </w:pPr>
  </w:style>
  <w:style w:type="paragraph" w:styleId="TOC3">
    <w:name w:val="toc 3"/>
    <w:basedOn w:val="Normal"/>
    <w:next w:val="Normal"/>
    <w:autoRedefine/>
    <w:uiPriority w:val="39"/>
    <w:unhideWhenUsed/>
    <w:rsid w:val="0084317B"/>
    <w:pPr>
      <w:spacing w:after="100"/>
      <w:ind w:left="480"/>
    </w:pPr>
  </w:style>
  <w:style w:type="character" w:styleId="Hyperlink">
    <w:name w:val="Hyperlink"/>
    <w:basedOn w:val="DefaultParagraphFont"/>
    <w:uiPriority w:val="99"/>
    <w:unhideWhenUsed/>
    <w:rsid w:val="0084317B"/>
    <w:rPr>
      <w:color w:val="9F7FC9" w:themeColor="hyperlink"/>
      <w:u w:val="single"/>
    </w:rPr>
  </w:style>
  <w:style w:type="character" w:styleId="UnresolvedMention">
    <w:name w:val="Unresolved Mention"/>
    <w:basedOn w:val="DefaultParagraphFont"/>
    <w:uiPriority w:val="99"/>
    <w:semiHidden/>
    <w:unhideWhenUsed/>
    <w:rsid w:val="00DD5F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71650">
      <w:bodyDiv w:val="1"/>
      <w:marLeft w:val="0"/>
      <w:marRight w:val="0"/>
      <w:marTop w:val="0"/>
      <w:marBottom w:val="0"/>
      <w:divBdr>
        <w:top w:val="none" w:sz="0" w:space="0" w:color="auto"/>
        <w:left w:val="none" w:sz="0" w:space="0" w:color="auto"/>
        <w:bottom w:val="none" w:sz="0" w:space="0" w:color="auto"/>
        <w:right w:val="none" w:sz="0" w:space="0" w:color="auto"/>
      </w:divBdr>
    </w:div>
    <w:div w:id="16735209">
      <w:bodyDiv w:val="1"/>
      <w:marLeft w:val="0"/>
      <w:marRight w:val="0"/>
      <w:marTop w:val="0"/>
      <w:marBottom w:val="0"/>
      <w:divBdr>
        <w:top w:val="none" w:sz="0" w:space="0" w:color="auto"/>
        <w:left w:val="none" w:sz="0" w:space="0" w:color="auto"/>
        <w:bottom w:val="none" w:sz="0" w:space="0" w:color="auto"/>
        <w:right w:val="none" w:sz="0" w:space="0" w:color="auto"/>
      </w:divBdr>
    </w:div>
    <w:div w:id="19089699">
      <w:bodyDiv w:val="1"/>
      <w:marLeft w:val="0"/>
      <w:marRight w:val="0"/>
      <w:marTop w:val="0"/>
      <w:marBottom w:val="0"/>
      <w:divBdr>
        <w:top w:val="none" w:sz="0" w:space="0" w:color="auto"/>
        <w:left w:val="none" w:sz="0" w:space="0" w:color="auto"/>
        <w:bottom w:val="none" w:sz="0" w:space="0" w:color="auto"/>
        <w:right w:val="none" w:sz="0" w:space="0" w:color="auto"/>
      </w:divBdr>
    </w:div>
    <w:div w:id="28380745">
      <w:bodyDiv w:val="1"/>
      <w:marLeft w:val="0"/>
      <w:marRight w:val="0"/>
      <w:marTop w:val="0"/>
      <w:marBottom w:val="0"/>
      <w:divBdr>
        <w:top w:val="none" w:sz="0" w:space="0" w:color="auto"/>
        <w:left w:val="none" w:sz="0" w:space="0" w:color="auto"/>
        <w:bottom w:val="none" w:sz="0" w:space="0" w:color="auto"/>
        <w:right w:val="none" w:sz="0" w:space="0" w:color="auto"/>
      </w:divBdr>
    </w:div>
    <w:div w:id="65694153">
      <w:bodyDiv w:val="1"/>
      <w:marLeft w:val="0"/>
      <w:marRight w:val="0"/>
      <w:marTop w:val="0"/>
      <w:marBottom w:val="0"/>
      <w:divBdr>
        <w:top w:val="none" w:sz="0" w:space="0" w:color="auto"/>
        <w:left w:val="none" w:sz="0" w:space="0" w:color="auto"/>
        <w:bottom w:val="none" w:sz="0" w:space="0" w:color="auto"/>
        <w:right w:val="none" w:sz="0" w:space="0" w:color="auto"/>
      </w:divBdr>
    </w:div>
    <w:div w:id="102267183">
      <w:bodyDiv w:val="1"/>
      <w:marLeft w:val="0"/>
      <w:marRight w:val="0"/>
      <w:marTop w:val="0"/>
      <w:marBottom w:val="0"/>
      <w:divBdr>
        <w:top w:val="none" w:sz="0" w:space="0" w:color="auto"/>
        <w:left w:val="none" w:sz="0" w:space="0" w:color="auto"/>
        <w:bottom w:val="none" w:sz="0" w:space="0" w:color="auto"/>
        <w:right w:val="none" w:sz="0" w:space="0" w:color="auto"/>
      </w:divBdr>
    </w:div>
    <w:div w:id="111170157">
      <w:bodyDiv w:val="1"/>
      <w:marLeft w:val="0"/>
      <w:marRight w:val="0"/>
      <w:marTop w:val="0"/>
      <w:marBottom w:val="0"/>
      <w:divBdr>
        <w:top w:val="none" w:sz="0" w:space="0" w:color="auto"/>
        <w:left w:val="none" w:sz="0" w:space="0" w:color="auto"/>
        <w:bottom w:val="none" w:sz="0" w:space="0" w:color="auto"/>
        <w:right w:val="none" w:sz="0" w:space="0" w:color="auto"/>
      </w:divBdr>
    </w:div>
    <w:div w:id="111485733">
      <w:bodyDiv w:val="1"/>
      <w:marLeft w:val="0"/>
      <w:marRight w:val="0"/>
      <w:marTop w:val="0"/>
      <w:marBottom w:val="0"/>
      <w:divBdr>
        <w:top w:val="none" w:sz="0" w:space="0" w:color="auto"/>
        <w:left w:val="none" w:sz="0" w:space="0" w:color="auto"/>
        <w:bottom w:val="none" w:sz="0" w:space="0" w:color="auto"/>
        <w:right w:val="none" w:sz="0" w:space="0" w:color="auto"/>
      </w:divBdr>
    </w:div>
    <w:div w:id="143011049">
      <w:bodyDiv w:val="1"/>
      <w:marLeft w:val="0"/>
      <w:marRight w:val="0"/>
      <w:marTop w:val="0"/>
      <w:marBottom w:val="0"/>
      <w:divBdr>
        <w:top w:val="none" w:sz="0" w:space="0" w:color="auto"/>
        <w:left w:val="none" w:sz="0" w:space="0" w:color="auto"/>
        <w:bottom w:val="none" w:sz="0" w:space="0" w:color="auto"/>
        <w:right w:val="none" w:sz="0" w:space="0" w:color="auto"/>
      </w:divBdr>
    </w:div>
    <w:div w:id="157353975">
      <w:bodyDiv w:val="1"/>
      <w:marLeft w:val="0"/>
      <w:marRight w:val="0"/>
      <w:marTop w:val="0"/>
      <w:marBottom w:val="0"/>
      <w:divBdr>
        <w:top w:val="none" w:sz="0" w:space="0" w:color="auto"/>
        <w:left w:val="none" w:sz="0" w:space="0" w:color="auto"/>
        <w:bottom w:val="none" w:sz="0" w:space="0" w:color="auto"/>
        <w:right w:val="none" w:sz="0" w:space="0" w:color="auto"/>
      </w:divBdr>
    </w:div>
    <w:div w:id="165944642">
      <w:bodyDiv w:val="1"/>
      <w:marLeft w:val="0"/>
      <w:marRight w:val="0"/>
      <w:marTop w:val="0"/>
      <w:marBottom w:val="0"/>
      <w:divBdr>
        <w:top w:val="none" w:sz="0" w:space="0" w:color="auto"/>
        <w:left w:val="none" w:sz="0" w:space="0" w:color="auto"/>
        <w:bottom w:val="none" w:sz="0" w:space="0" w:color="auto"/>
        <w:right w:val="none" w:sz="0" w:space="0" w:color="auto"/>
      </w:divBdr>
    </w:div>
    <w:div w:id="166869255">
      <w:bodyDiv w:val="1"/>
      <w:marLeft w:val="0"/>
      <w:marRight w:val="0"/>
      <w:marTop w:val="0"/>
      <w:marBottom w:val="0"/>
      <w:divBdr>
        <w:top w:val="none" w:sz="0" w:space="0" w:color="auto"/>
        <w:left w:val="none" w:sz="0" w:space="0" w:color="auto"/>
        <w:bottom w:val="none" w:sz="0" w:space="0" w:color="auto"/>
        <w:right w:val="none" w:sz="0" w:space="0" w:color="auto"/>
      </w:divBdr>
    </w:div>
    <w:div w:id="213736208">
      <w:bodyDiv w:val="1"/>
      <w:marLeft w:val="0"/>
      <w:marRight w:val="0"/>
      <w:marTop w:val="0"/>
      <w:marBottom w:val="0"/>
      <w:divBdr>
        <w:top w:val="none" w:sz="0" w:space="0" w:color="auto"/>
        <w:left w:val="none" w:sz="0" w:space="0" w:color="auto"/>
        <w:bottom w:val="none" w:sz="0" w:space="0" w:color="auto"/>
        <w:right w:val="none" w:sz="0" w:space="0" w:color="auto"/>
      </w:divBdr>
    </w:div>
    <w:div w:id="243073910">
      <w:bodyDiv w:val="1"/>
      <w:marLeft w:val="0"/>
      <w:marRight w:val="0"/>
      <w:marTop w:val="0"/>
      <w:marBottom w:val="0"/>
      <w:divBdr>
        <w:top w:val="none" w:sz="0" w:space="0" w:color="auto"/>
        <w:left w:val="none" w:sz="0" w:space="0" w:color="auto"/>
        <w:bottom w:val="none" w:sz="0" w:space="0" w:color="auto"/>
        <w:right w:val="none" w:sz="0" w:space="0" w:color="auto"/>
      </w:divBdr>
    </w:div>
    <w:div w:id="246351458">
      <w:bodyDiv w:val="1"/>
      <w:marLeft w:val="0"/>
      <w:marRight w:val="0"/>
      <w:marTop w:val="0"/>
      <w:marBottom w:val="0"/>
      <w:divBdr>
        <w:top w:val="none" w:sz="0" w:space="0" w:color="auto"/>
        <w:left w:val="none" w:sz="0" w:space="0" w:color="auto"/>
        <w:bottom w:val="none" w:sz="0" w:space="0" w:color="auto"/>
        <w:right w:val="none" w:sz="0" w:space="0" w:color="auto"/>
      </w:divBdr>
    </w:div>
    <w:div w:id="285963283">
      <w:bodyDiv w:val="1"/>
      <w:marLeft w:val="0"/>
      <w:marRight w:val="0"/>
      <w:marTop w:val="0"/>
      <w:marBottom w:val="0"/>
      <w:divBdr>
        <w:top w:val="none" w:sz="0" w:space="0" w:color="auto"/>
        <w:left w:val="none" w:sz="0" w:space="0" w:color="auto"/>
        <w:bottom w:val="none" w:sz="0" w:space="0" w:color="auto"/>
        <w:right w:val="none" w:sz="0" w:space="0" w:color="auto"/>
      </w:divBdr>
    </w:div>
    <w:div w:id="322201038">
      <w:bodyDiv w:val="1"/>
      <w:marLeft w:val="0"/>
      <w:marRight w:val="0"/>
      <w:marTop w:val="0"/>
      <w:marBottom w:val="0"/>
      <w:divBdr>
        <w:top w:val="none" w:sz="0" w:space="0" w:color="auto"/>
        <w:left w:val="none" w:sz="0" w:space="0" w:color="auto"/>
        <w:bottom w:val="none" w:sz="0" w:space="0" w:color="auto"/>
        <w:right w:val="none" w:sz="0" w:space="0" w:color="auto"/>
      </w:divBdr>
    </w:div>
    <w:div w:id="339547869">
      <w:bodyDiv w:val="1"/>
      <w:marLeft w:val="0"/>
      <w:marRight w:val="0"/>
      <w:marTop w:val="0"/>
      <w:marBottom w:val="0"/>
      <w:divBdr>
        <w:top w:val="none" w:sz="0" w:space="0" w:color="auto"/>
        <w:left w:val="none" w:sz="0" w:space="0" w:color="auto"/>
        <w:bottom w:val="none" w:sz="0" w:space="0" w:color="auto"/>
        <w:right w:val="none" w:sz="0" w:space="0" w:color="auto"/>
      </w:divBdr>
    </w:div>
    <w:div w:id="339553723">
      <w:bodyDiv w:val="1"/>
      <w:marLeft w:val="0"/>
      <w:marRight w:val="0"/>
      <w:marTop w:val="0"/>
      <w:marBottom w:val="0"/>
      <w:divBdr>
        <w:top w:val="none" w:sz="0" w:space="0" w:color="auto"/>
        <w:left w:val="none" w:sz="0" w:space="0" w:color="auto"/>
        <w:bottom w:val="none" w:sz="0" w:space="0" w:color="auto"/>
        <w:right w:val="none" w:sz="0" w:space="0" w:color="auto"/>
      </w:divBdr>
    </w:div>
    <w:div w:id="356977608">
      <w:bodyDiv w:val="1"/>
      <w:marLeft w:val="0"/>
      <w:marRight w:val="0"/>
      <w:marTop w:val="0"/>
      <w:marBottom w:val="0"/>
      <w:divBdr>
        <w:top w:val="none" w:sz="0" w:space="0" w:color="auto"/>
        <w:left w:val="none" w:sz="0" w:space="0" w:color="auto"/>
        <w:bottom w:val="none" w:sz="0" w:space="0" w:color="auto"/>
        <w:right w:val="none" w:sz="0" w:space="0" w:color="auto"/>
      </w:divBdr>
    </w:div>
    <w:div w:id="357047272">
      <w:bodyDiv w:val="1"/>
      <w:marLeft w:val="0"/>
      <w:marRight w:val="0"/>
      <w:marTop w:val="0"/>
      <w:marBottom w:val="0"/>
      <w:divBdr>
        <w:top w:val="none" w:sz="0" w:space="0" w:color="auto"/>
        <w:left w:val="none" w:sz="0" w:space="0" w:color="auto"/>
        <w:bottom w:val="none" w:sz="0" w:space="0" w:color="auto"/>
        <w:right w:val="none" w:sz="0" w:space="0" w:color="auto"/>
      </w:divBdr>
    </w:div>
    <w:div w:id="363018592">
      <w:bodyDiv w:val="1"/>
      <w:marLeft w:val="0"/>
      <w:marRight w:val="0"/>
      <w:marTop w:val="0"/>
      <w:marBottom w:val="0"/>
      <w:divBdr>
        <w:top w:val="none" w:sz="0" w:space="0" w:color="auto"/>
        <w:left w:val="none" w:sz="0" w:space="0" w:color="auto"/>
        <w:bottom w:val="none" w:sz="0" w:space="0" w:color="auto"/>
        <w:right w:val="none" w:sz="0" w:space="0" w:color="auto"/>
      </w:divBdr>
    </w:div>
    <w:div w:id="372314361">
      <w:bodyDiv w:val="1"/>
      <w:marLeft w:val="0"/>
      <w:marRight w:val="0"/>
      <w:marTop w:val="0"/>
      <w:marBottom w:val="0"/>
      <w:divBdr>
        <w:top w:val="none" w:sz="0" w:space="0" w:color="auto"/>
        <w:left w:val="none" w:sz="0" w:space="0" w:color="auto"/>
        <w:bottom w:val="none" w:sz="0" w:space="0" w:color="auto"/>
        <w:right w:val="none" w:sz="0" w:space="0" w:color="auto"/>
      </w:divBdr>
    </w:div>
    <w:div w:id="378749170">
      <w:bodyDiv w:val="1"/>
      <w:marLeft w:val="0"/>
      <w:marRight w:val="0"/>
      <w:marTop w:val="0"/>
      <w:marBottom w:val="0"/>
      <w:divBdr>
        <w:top w:val="none" w:sz="0" w:space="0" w:color="auto"/>
        <w:left w:val="none" w:sz="0" w:space="0" w:color="auto"/>
        <w:bottom w:val="none" w:sz="0" w:space="0" w:color="auto"/>
        <w:right w:val="none" w:sz="0" w:space="0" w:color="auto"/>
      </w:divBdr>
    </w:div>
    <w:div w:id="396634740">
      <w:bodyDiv w:val="1"/>
      <w:marLeft w:val="0"/>
      <w:marRight w:val="0"/>
      <w:marTop w:val="0"/>
      <w:marBottom w:val="0"/>
      <w:divBdr>
        <w:top w:val="none" w:sz="0" w:space="0" w:color="auto"/>
        <w:left w:val="none" w:sz="0" w:space="0" w:color="auto"/>
        <w:bottom w:val="none" w:sz="0" w:space="0" w:color="auto"/>
        <w:right w:val="none" w:sz="0" w:space="0" w:color="auto"/>
      </w:divBdr>
    </w:div>
    <w:div w:id="426121193">
      <w:bodyDiv w:val="1"/>
      <w:marLeft w:val="0"/>
      <w:marRight w:val="0"/>
      <w:marTop w:val="0"/>
      <w:marBottom w:val="0"/>
      <w:divBdr>
        <w:top w:val="none" w:sz="0" w:space="0" w:color="auto"/>
        <w:left w:val="none" w:sz="0" w:space="0" w:color="auto"/>
        <w:bottom w:val="none" w:sz="0" w:space="0" w:color="auto"/>
        <w:right w:val="none" w:sz="0" w:space="0" w:color="auto"/>
      </w:divBdr>
    </w:div>
    <w:div w:id="427315949">
      <w:bodyDiv w:val="1"/>
      <w:marLeft w:val="0"/>
      <w:marRight w:val="0"/>
      <w:marTop w:val="0"/>
      <w:marBottom w:val="0"/>
      <w:divBdr>
        <w:top w:val="none" w:sz="0" w:space="0" w:color="auto"/>
        <w:left w:val="none" w:sz="0" w:space="0" w:color="auto"/>
        <w:bottom w:val="none" w:sz="0" w:space="0" w:color="auto"/>
        <w:right w:val="none" w:sz="0" w:space="0" w:color="auto"/>
      </w:divBdr>
    </w:div>
    <w:div w:id="525221268">
      <w:bodyDiv w:val="1"/>
      <w:marLeft w:val="0"/>
      <w:marRight w:val="0"/>
      <w:marTop w:val="0"/>
      <w:marBottom w:val="0"/>
      <w:divBdr>
        <w:top w:val="none" w:sz="0" w:space="0" w:color="auto"/>
        <w:left w:val="none" w:sz="0" w:space="0" w:color="auto"/>
        <w:bottom w:val="none" w:sz="0" w:space="0" w:color="auto"/>
        <w:right w:val="none" w:sz="0" w:space="0" w:color="auto"/>
      </w:divBdr>
    </w:div>
    <w:div w:id="566767325">
      <w:bodyDiv w:val="1"/>
      <w:marLeft w:val="0"/>
      <w:marRight w:val="0"/>
      <w:marTop w:val="0"/>
      <w:marBottom w:val="0"/>
      <w:divBdr>
        <w:top w:val="none" w:sz="0" w:space="0" w:color="auto"/>
        <w:left w:val="none" w:sz="0" w:space="0" w:color="auto"/>
        <w:bottom w:val="none" w:sz="0" w:space="0" w:color="auto"/>
        <w:right w:val="none" w:sz="0" w:space="0" w:color="auto"/>
      </w:divBdr>
    </w:div>
    <w:div w:id="584269929">
      <w:bodyDiv w:val="1"/>
      <w:marLeft w:val="0"/>
      <w:marRight w:val="0"/>
      <w:marTop w:val="0"/>
      <w:marBottom w:val="0"/>
      <w:divBdr>
        <w:top w:val="none" w:sz="0" w:space="0" w:color="auto"/>
        <w:left w:val="none" w:sz="0" w:space="0" w:color="auto"/>
        <w:bottom w:val="none" w:sz="0" w:space="0" w:color="auto"/>
        <w:right w:val="none" w:sz="0" w:space="0" w:color="auto"/>
      </w:divBdr>
    </w:div>
    <w:div w:id="620382216">
      <w:bodyDiv w:val="1"/>
      <w:marLeft w:val="0"/>
      <w:marRight w:val="0"/>
      <w:marTop w:val="0"/>
      <w:marBottom w:val="0"/>
      <w:divBdr>
        <w:top w:val="none" w:sz="0" w:space="0" w:color="auto"/>
        <w:left w:val="none" w:sz="0" w:space="0" w:color="auto"/>
        <w:bottom w:val="none" w:sz="0" w:space="0" w:color="auto"/>
        <w:right w:val="none" w:sz="0" w:space="0" w:color="auto"/>
      </w:divBdr>
    </w:div>
    <w:div w:id="635186901">
      <w:bodyDiv w:val="1"/>
      <w:marLeft w:val="0"/>
      <w:marRight w:val="0"/>
      <w:marTop w:val="0"/>
      <w:marBottom w:val="0"/>
      <w:divBdr>
        <w:top w:val="none" w:sz="0" w:space="0" w:color="auto"/>
        <w:left w:val="none" w:sz="0" w:space="0" w:color="auto"/>
        <w:bottom w:val="none" w:sz="0" w:space="0" w:color="auto"/>
        <w:right w:val="none" w:sz="0" w:space="0" w:color="auto"/>
      </w:divBdr>
    </w:div>
    <w:div w:id="654068234">
      <w:bodyDiv w:val="1"/>
      <w:marLeft w:val="0"/>
      <w:marRight w:val="0"/>
      <w:marTop w:val="0"/>
      <w:marBottom w:val="0"/>
      <w:divBdr>
        <w:top w:val="none" w:sz="0" w:space="0" w:color="auto"/>
        <w:left w:val="none" w:sz="0" w:space="0" w:color="auto"/>
        <w:bottom w:val="none" w:sz="0" w:space="0" w:color="auto"/>
        <w:right w:val="none" w:sz="0" w:space="0" w:color="auto"/>
      </w:divBdr>
    </w:div>
    <w:div w:id="697781831">
      <w:bodyDiv w:val="1"/>
      <w:marLeft w:val="0"/>
      <w:marRight w:val="0"/>
      <w:marTop w:val="0"/>
      <w:marBottom w:val="0"/>
      <w:divBdr>
        <w:top w:val="none" w:sz="0" w:space="0" w:color="auto"/>
        <w:left w:val="none" w:sz="0" w:space="0" w:color="auto"/>
        <w:bottom w:val="none" w:sz="0" w:space="0" w:color="auto"/>
        <w:right w:val="none" w:sz="0" w:space="0" w:color="auto"/>
      </w:divBdr>
    </w:div>
    <w:div w:id="722097793">
      <w:bodyDiv w:val="1"/>
      <w:marLeft w:val="0"/>
      <w:marRight w:val="0"/>
      <w:marTop w:val="0"/>
      <w:marBottom w:val="0"/>
      <w:divBdr>
        <w:top w:val="none" w:sz="0" w:space="0" w:color="auto"/>
        <w:left w:val="none" w:sz="0" w:space="0" w:color="auto"/>
        <w:bottom w:val="none" w:sz="0" w:space="0" w:color="auto"/>
        <w:right w:val="none" w:sz="0" w:space="0" w:color="auto"/>
      </w:divBdr>
    </w:div>
    <w:div w:id="766459686">
      <w:bodyDiv w:val="1"/>
      <w:marLeft w:val="0"/>
      <w:marRight w:val="0"/>
      <w:marTop w:val="0"/>
      <w:marBottom w:val="0"/>
      <w:divBdr>
        <w:top w:val="none" w:sz="0" w:space="0" w:color="auto"/>
        <w:left w:val="none" w:sz="0" w:space="0" w:color="auto"/>
        <w:bottom w:val="none" w:sz="0" w:space="0" w:color="auto"/>
        <w:right w:val="none" w:sz="0" w:space="0" w:color="auto"/>
      </w:divBdr>
    </w:div>
    <w:div w:id="807940656">
      <w:bodyDiv w:val="1"/>
      <w:marLeft w:val="0"/>
      <w:marRight w:val="0"/>
      <w:marTop w:val="0"/>
      <w:marBottom w:val="0"/>
      <w:divBdr>
        <w:top w:val="none" w:sz="0" w:space="0" w:color="auto"/>
        <w:left w:val="none" w:sz="0" w:space="0" w:color="auto"/>
        <w:bottom w:val="none" w:sz="0" w:space="0" w:color="auto"/>
        <w:right w:val="none" w:sz="0" w:space="0" w:color="auto"/>
      </w:divBdr>
    </w:div>
    <w:div w:id="840239856">
      <w:bodyDiv w:val="1"/>
      <w:marLeft w:val="0"/>
      <w:marRight w:val="0"/>
      <w:marTop w:val="0"/>
      <w:marBottom w:val="0"/>
      <w:divBdr>
        <w:top w:val="none" w:sz="0" w:space="0" w:color="auto"/>
        <w:left w:val="none" w:sz="0" w:space="0" w:color="auto"/>
        <w:bottom w:val="none" w:sz="0" w:space="0" w:color="auto"/>
        <w:right w:val="none" w:sz="0" w:space="0" w:color="auto"/>
      </w:divBdr>
    </w:div>
    <w:div w:id="871304548">
      <w:bodyDiv w:val="1"/>
      <w:marLeft w:val="0"/>
      <w:marRight w:val="0"/>
      <w:marTop w:val="0"/>
      <w:marBottom w:val="0"/>
      <w:divBdr>
        <w:top w:val="none" w:sz="0" w:space="0" w:color="auto"/>
        <w:left w:val="none" w:sz="0" w:space="0" w:color="auto"/>
        <w:bottom w:val="none" w:sz="0" w:space="0" w:color="auto"/>
        <w:right w:val="none" w:sz="0" w:space="0" w:color="auto"/>
      </w:divBdr>
    </w:div>
    <w:div w:id="876042249">
      <w:bodyDiv w:val="1"/>
      <w:marLeft w:val="0"/>
      <w:marRight w:val="0"/>
      <w:marTop w:val="0"/>
      <w:marBottom w:val="0"/>
      <w:divBdr>
        <w:top w:val="none" w:sz="0" w:space="0" w:color="auto"/>
        <w:left w:val="none" w:sz="0" w:space="0" w:color="auto"/>
        <w:bottom w:val="none" w:sz="0" w:space="0" w:color="auto"/>
        <w:right w:val="none" w:sz="0" w:space="0" w:color="auto"/>
      </w:divBdr>
    </w:div>
    <w:div w:id="879584709">
      <w:bodyDiv w:val="1"/>
      <w:marLeft w:val="0"/>
      <w:marRight w:val="0"/>
      <w:marTop w:val="0"/>
      <w:marBottom w:val="0"/>
      <w:divBdr>
        <w:top w:val="none" w:sz="0" w:space="0" w:color="auto"/>
        <w:left w:val="none" w:sz="0" w:space="0" w:color="auto"/>
        <w:bottom w:val="none" w:sz="0" w:space="0" w:color="auto"/>
        <w:right w:val="none" w:sz="0" w:space="0" w:color="auto"/>
      </w:divBdr>
    </w:div>
    <w:div w:id="962421184">
      <w:bodyDiv w:val="1"/>
      <w:marLeft w:val="0"/>
      <w:marRight w:val="0"/>
      <w:marTop w:val="0"/>
      <w:marBottom w:val="0"/>
      <w:divBdr>
        <w:top w:val="none" w:sz="0" w:space="0" w:color="auto"/>
        <w:left w:val="none" w:sz="0" w:space="0" w:color="auto"/>
        <w:bottom w:val="none" w:sz="0" w:space="0" w:color="auto"/>
        <w:right w:val="none" w:sz="0" w:space="0" w:color="auto"/>
      </w:divBdr>
    </w:div>
    <w:div w:id="976686911">
      <w:bodyDiv w:val="1"/>
      <w:marLeft w:val="0"/>
      <w:marRight w:val="0"/>
      <w:marTop w:val="0"/>
      <w:marBottom w:val="0"/>
      <w:divBdr>
        <w:top w:val="none" w:sz="0" w:space="0" w:color="auto"/>
        <w:left w:val="none" w:sz="0" w:space="0" w:color="auto"/>
        <w:bottom w:val="none" w:sz="0" w:space="0" w:color="auto"/>
        <w:right w:val="none" w:sz="0" w:space="0" w:color="auto"/>
      </w:divBdr>
    </w:div>
    <w:div w:id="999424545">
      <w:bodyDiv w:val="1"/>
      <w:marLeft w:val="0"/>
      <w:marRight w:val="0"/>
      <w:marTop w:val="0"/>
      <w:marBottom w:val="0"/>
      <w:divBdr>
        <w:top w:val="none" w:sz="0" w:space="0" w:color="auto"/>
        <w:left w:val="none" w:sz="0" w:space="0" w:color="auto"/>
        <w:bottom w:val="none" w:sz="0" w:space="0" w:color="auto"/>
        <w:right w:val="none" w:sz="0" w:space="0" w:color="auto"/>
      </w:divBdr>
    </w:div>
    <w:div w:id="1038510359">
      <w:bodyDiv w:val="1"/>
      <w:marLeft w:val="0"/>
      <w:marRight w:val="0"/>
      <w:marTop w:val="0"/>
      <w:marBottom w:val="0"/>
      <w:divBdr>
        <w:top w:val="none" w:sz="0" w:space="0" w:color="auto"/>
        <w:left w:val="none" w:sz="0" w:space="0" w:color="auto"/>
        <w:bottom w:val="none" w:sz="0" w:space="0" w:color="auto"/>
        <w:right w:val="none" w:sz="0" w:space="0" w:color="auto"/>
      </w:divBdr>
    </w:div>
    <w:div w:id="1088619591">
      <w:bodyDiv w:val="1"/>
      <w:marLeft w:val="0"/>
      <w:marRight w:val="0"/>
      <w:marTop w:val="0"/>
      <w:marBottom w:val="0"/>
      <w:divBdr>
        <w:top w:val="none" w:sz="0" w:space="0" w:color="auto"/>
        <w:left w:val="none" w:sz="0" w:space="0" w:color="auto"/>
        <w:bottom w:val="none" w:sz="0" w:space="0" w:color="auto"/>
        <w:right w:val="none" w:sz="0" w:space="0" w:color="auto"/>
      </w:divBdr>
    </w:div>
    <w:div w:id="1091049449">
      <w:bodyDiv w:val="1"/>
      <w:marLeft w:val="0"/>
      <w:marRight w:val="0"/>
      <w:marTop w:val="0"/>
      <w:marBottom w:val="0"/>
      <w:divBdr>
        <w:top w:val="none" w:sz="0" w:space="0" w:color="auto"/>
        <w:left w:val="none" w:sz="0" w:space="0" w:color="auto"/>
        <w:bottom w:val="none" w:sz="0" w:space="0" w:color="auto"/>
        <w:right w:val="none" w:sz="0" w:space="0" w:color="auto"/>
      </w:divBdr>
    </w:div>
    <w:div w:id="1153063986">
      <w:bodyDiv w:val="1"/>
      <w:marLeft w:val="0"/>
      <w:marRight w:val="0"/>
      <w:marTop w:val="0"/>
      <w:marBottom w:val="0"/>
      <w:divBdr>
        <w:top w:val="none" w:sz="0" w:space="0" w:color="auto"/>
        <w:left w:val="none" w:sz="0" w:space="0" w:color="auto"/>
        <w:bottom w:val="none" w:sz="0" w:space="0" w:color="auto"/>
        <w:right w:val="none" w:sz="0" w:space="0" w:color="auto"/>
      </w:divBdr>
    </w:div>
    <w:div w:id="1192377664">
      <w:bodyDiv w:val="1"/>
      <w:marLeft w:val="0"/>
      <w:marRight w:val="0"/>
      <w:marTop w:val="0"/>
      <w:marBottom w:val="0"/>
      <w:divBdr>
        <w:top w:val="none" w:sz="0" w:space="0" w:color="auto"/>
        <w:left w:val="none" w:sz="0" w:space="0" w:color="auto"/>
        <w:bottom w:val="none" w:sz="0" w:space="0" w:color="auto"/>
        <w:right w:val="none" w:sz="0" w:space="0" w:color="auto"/>
      </w:divBdr>
    </w:div>
    <w:div w:id="1195535833">
      <w:bodyDiv w:val="1"/>
      <w:marLeft w:val="0"/>
      <w:marRight w:val="0"/>
      <w:marTop w:val="0"/>
      <w:marBottom w:val="0"/>
      <w:divBdr>
        <w:top w:val="none" w:sz="0" w:space="0" w:color="auto"/>
        <w:left w:val="none" w:sz="0" w:space="0" w:color="auto"/>
        <w:bottom w:val="none" w:sz="0" w:space="0" w:color="auto"/>
        <w:right w:val="none" w:sz="0" w:space="0" w:color="auto"/>
      </w:divBdr>
    </w:div>
    <w:div w:id="1212688668">
      <w:bodyDiv w:val="1"/>
      <w:marLeft w:val="0"/>
      <w:marRight w:val="0"/>
      <w:marTop w:val="0"/>
      <w:marBottom w:val="0"/>
      <w:divBdr>
        <w:top w:val="none" w:sz="0" w:space="0" w:color="auto"/>
        <w:left w:val="none" w:sz="0" w:space="0" w:color="auto"/>
        <w:bottom w:val="none" w:sz="0" w:space="0" w:color="auto"/>
        <w:right w:val="none" w:sz="0" w:space="0" w:color="auto"/>
      </w:divBdr>
    </w:div>
    <w:div w:id="1229345962">
      <w:bodyDiv w:val="1"/>
      <w:marLeft w:val="0"/>
      <w:marRight w:val="0"/>
      <w:marTop w:val="0"/>
      <w:marBottom w:val="0"/>
      <w:divBdr>
        <w:top w:val="none" w:sz="0" w:space="0" w:color="auto"/>
        <w:left w:val="none" w:sz="0" w:space="0" w:color="auto"/>
        <w:bottom w:val="none" w:sz="0" w:space="0" w:color="auto"/>
        <w:right w:val="none" w:sz="0" w:space="0" w:color="auto"/>
      </w:divBdr>
    </w:div>
    <w:div w:id="1236621587">
      <w:bodyDiv w:val="1"/>
      <w:marLeft w:val="0"/>
      <w:marRight w:val="0"/>
      <w:marTop w:val="0"/>
      <w:marBottom w:val="0"/>
      <w:divBdr>
        <w:top w:val="none" w:sz="0" w:space="0" w:color="auto"/>
        <w:left w:val="none" w:sz="0" w:space="0" w:color="auto"/>
        <w:bottom w:val="none" w:sz="0" w:space="0" w:color="auto"/>
        <w:right w:val="none" w:sz="0" w:space="0" w:color="auto"/>
      </w:divBdr>
    </w:div>
    <w:div w:id="1237518948">
      <w:bodyDiv w:val="1"/>
      <w:marLeft w:val="0"/>
      <w:marRight w:val="0"/>
      <w:marTop w:val="0"/>
      <w:marBottom w:val="0"/>
      <w:divBdr>
        <w:top w:val="none" w:sz="0" w:space="0" w:color="auto"/>
        <w:left w:val="none" w:sz="0" w:space="0" w:color="auto"/>
        <w:bottom w:val="none" w:sz="0" w:space="0" w:color="auto"/>
        <w:right w:val="none" w:sz="0" w:space="0" w:color="auto"/>
      </w:divBdr>
    </w:div>
    <w:div w:id="1247768650">
      <w:bodyDiv w:val="1"/>
      <w:marLeft w:val="0"/>
      <w:marRight w:val="0"/>
      <w:marTop w:val="0"/>
      <w:marBottom w:val="0"/>
      <w:divBdr>
        <w:top w:val="none" w:sz="0" w:space="0" w:color="auto"/>
        <w:left w:val="none" w:sz="0" w:space="0" w:color="auto"/>
        <w:bottom w:val="none" w:sz="0" w:space="0" w:color="auto"/>
        <w:right w:val="none" w:sz="0" w:space="0" w:color="auto"/>
      </w:divBdr>
    </w:div>
    <w:div w:id="1279919416">
      <w:bodyDiv w:val="1"/>
      <w:marLeft w:val="0"/>
      <w:marRight w:val="0"/>
      <w:marTop w:val="0"/>
      <w:marBottom w:val="0"/>
      <w:divBdr>
        <w:top w:val="none" w:sz="0" w:space="0" w:color="auto"/>
        <w:left w:val="none" w:sz="0" w:space="0" w:color="auto"/>
        <w:bottom w:val="none" w:sz="0" w:space="0" w:color="auto"/>
        <w:right w:val="none" w:sz="0" w:space="0" w:color="auto"/>
      </w:divBdr>
    </w:div>
    <w:div w:id="1314019900">
      <w:bodyDiv w:val="1"/>
      <w:marLeft w:val="0"/>
      <w:marRight w:val="0"/>
      <w:marTop w:val="0"/>
      <w:marBottom w:val="0"/>
      <w:divBdr>
        <w:top w:val="none" w:sz="0" w:space="0" w:color="auto"/>
        <w:left w:val="none" w:sz="0" w:space="0" w:color="auto"/>
        <w:bottom w:val="none" w:sz="0" w:space="0" w:color="auto"/>
        <w:right w:val="none" w:sz="0" w:space="0" w:color="auto"/>
      </w:divBdr>
    </w:div>
    <w:div w:id="1336616865">
      <w:bodyDiv w:val="1"/>
      <w:marLeft w:val="0"/>
      <w:marRight w:val="0"/>
      <w:marTop w:val="0"/>
      <w:marBottom w:val="0"/>
      <w:divBdr>
        <w:top w:val="none" w:sz="0" w:space="0" w:color="auto"/>
        <w:left w:val="none" w:sz="0" w:space="0" w:color="auto"/>
        <w:bottom w:val="none" w:sz="0" w:space="0" w:color="auto"/>
        <w:right w:val="none" w:sz="0" w:space="0" w:color="auto"/>
      </w:divBdr>
    </w:div>
    <w:div w:id="1338579388">
      <w:bodyDiv w:val="1"/>
      <w:marLeft w:val="0"/>
      <w:marRight w:val="0"/>
      <w:marTop w:val="0"/>
      <w:marBottom w:val="0"/>
      <w:divBdr>
        <w:top w:val="none" w:sz="0" w:space="0" w:color="auto"/>
        <w:left w:val="none" w:sz="0" w:space="0" w:color="auto"/>
        <w:bottom w:val="none" w:sz="0" w:space="0" w:color="auto"/>
        <w:right w:val="none" w:sz="0" w:space="0" w:color="auto"/>
      </w:divBdr>
    </w:div>
    <w:div w:id="1339889759">
      <w:bodyDiv w:val="1"/>
      <w:marLeft w:val="0"/>
      <w:marRight w:val="0"/>
      <w:marTop w:val="0"/>
      <w:marBottom w:val="0"/>
      <w:divBdr>
        <w:top w:val="none" w:sz="0" w:space="0" w:color="auto"/>
        <w:left w:val="none" w:sz="0" w:space="0" w:color="auto"/>
        <w:bottom w:val="none" w:sz="0" w:space="0" w:color="auto"/>
        <w:right w:val="none" w:sz="0" w:space="0" w:color="auto"/>
      </w:divBdr>
    </w:div>
    <w:div w:id="1346908789">
      <w:bodyDiv w:val="1"/>
      <w:marLeft w:val="0"/>
      <w:marRight w:val="0"/>
      <w:marTop w:val="0"/>
      <w:marBottom w:val="0"/>
      <w:divBdr>
        <w:top w:val="none" w:sz="0" w:space="0" w:color="auto"/>
        <w:left w:val="none" w:sz="0" w:space="0" w:color="auto"/>
        <w:bottom w:val="none" w:sz="0" w:space="0" w:color="auto"/>
        <w:right w:val="none" w:sz="0" w:space="0" w:color="auto"/>
      </w:divBdr>
    </w:div>
    <w:div w:id="1353917783">
      <w:bodyDiv w:val="1"/>
      <w:marLeft w:val="0"/>
      <w:marRight w:val="0"/>
      <w:marTop w:val="0"/>
      <w:marBottom w:val="0"/>
      <w:divBdr>
        <w:top w:val="none" w:sz="0" w:space="0" w:color="auto"/>
        <w:left w:val="none" w:sz="0" w:space="0" w:color="auto"/>
        <w:bottom w:val="none" w:sz="0" w:space="0" w:color="auto"/>
        <w:right w:val="none" w:sz="0" w:space="0" w:color="auto"/>
      </w:divBdr>
    </w:div>
    <w:div w:id="1359964845">
      <w:bodyDiv w:val="1"/>
      <w:marLeft w:val="0"/>
      <w:marRight w:val="0"/>
      <w:marTop w:val="0"/>
      <w:marBottom w:val="0"/>
      <w:divBdr>
        <w:top w:val="none" w:sz="0" w:space="0" w:color="auto"/>
        <w:left w:val="none" w:sz="0" w:space="0" w:color="auto"/>
        <w:bottom w:val="none" w:sz="0" w:space="0" w:color="auto"/>
        <w:right w:val="none" w:sz="0" w:space="0" w:color="auto"/>
      </w:divBdr>
    </w:div>
    <w:div w:id="1366753832">
      <w:bodyDiv w:val="1"/>
      <w:marLeft w:val="0"/>
      <w:marRight w:val="0"/>
      <w:marTop w:val="0"/>
      <w:marBottom w:val="0"/>
      <w:divBdr>
        <w:top w:val="none" w:sz="0" w:space="0" w:color="auto"/>
        <w:left w:val="none" w:sz="0" w:space="0" w:color="auto"/>
        <w:bottom w:val="none" w:sz="0" w:space="0" w:color="auto"/>
        <w:right w:val="none" w:sz="0" w:space="0" w:color="auto"/>
      </w:divBdr>
    </w:div>
    <w:div w:id="1376278098">
      <w:bodyDiv w:val="1"/>
      <w:marLeft w:val="0"/>
      <w:marRight w:val="0"/>
      <w:marTop w:val="0"/>
      <w:marBottom w:val="0"/>
      <w:divBdr>
        <w:top w:val="none" w:sz="0" w:space="0" w:color="auto"/>
        <w:left w:val="none" w:sz="0" w:space="0" w:color="auto"/>
        <w:bottom w:val="none" w:sz="0" w:space="0" w:color="auto"/>
        <w:right w:val="none" w:sz="0" w:space="0" w:color="auto"/>
      </w:divBdr>
    </w:div>
    <w:div w:id="1382091108">
      <w:bodyDiv w:val="1"/>
      <w:marLeft w:val="0"/>
      <w:marRight w:val="0"/>
      <w:marTop w:val="0"/>
      <w:marBottom w:val="0"/>
      <w:divBdr>
        <w:top w:val="none" w:sz="0" w:space="0" w:color="auto"/>
        <w:left w:val="none" w:sz="0" w:space="0" w:color="auto"/>
        <w:bottom w:val="none" w:sz="0" w:space="0" w:color="auto"/>
        <w:right w:val="none" w:sz="0" w:space="0" w:color="auto"/>
      </w:divBdr>
    </w:div>
    <w:div w:id="1413964571">
      <w:bodyDiv w:val="1"/>
      <w:marLeft w:val="0"/>
      <w:marRight w:val="0"/>
      <w:marTop w:val="0"/>
      <w:marBottom w:val="0"/>
      <w:divBdr>
        <w:top w:val="none" w:sz="0" w:space="0" w:color="auto"/>
        <w:left w:val="none" w:sz="0" w:space="0" w:color="auto"/>
        <w:bottom w:val="none" w:sz="0" w:space="0" w:color="auto"/>
        <w:right w:val="none" w:sz="0" w:space="0" w:color="auto"/>
      </w:divBdr>
    </w:div>
    <w:div w:id="1419790363">
      <w:bodyDiv w:val="1"/>
      <w:marLeft w:val="0"/>
      <w:marRight w:val="0"/>
      <w:marTop w:val="0"/>
      <w:marBottom w:val="0"/>
      <w:divBdr>
        <w:top w:val="none" w:sz="0" w:space="0" w:color="auto"/>
        <w:left w:val="none" w:sz="0" w:space="0" w:color="auto"/>
        <w:bottom w:val="none" w:sz="0" w:space="0" w:color="auto"/>
        <w:right w:val="none" w:sz="0" w:space="0" w:color="auto"/>
      </w:divBdr>
    </w:div>
    <w:div w:id="1468283793">
      <w:bodyDiv w:val="1"/>
      <w:marLeft w:val="0"/>
      <w:marRight w:val="0"/>
      <w:marTop w:val="0"/>
      <w:marBottom w:val="0"/>
      <w:divBdr>
        <w:top w:val="none" w:sz="0" w:space="0" w:color="auto"/>
        <w:left w:val="none" w:sz="0" w:space="0" w:color="auto"/>
        <w:bottom w:val="none" w:sz="0" w:space="0" w:color="auto"/>
        <w:right w:val="none" w:sz="0" w:space="0" w:color="auto"/>
      </w:divBdr>
    </w:div>
    <w:div w:id="1480220357">
      <w:bodyDiv w:val="1"/>
      <w:marLeft w:val="0"/>
      <w:marRight w:val="0"/>
      <w:marTop w:val="0"/>
      <w:marBottom w:val="0"/>
      <w:divBdr>
        <w:top w:val="none" w:sz="0" w:space="0" w:color="auto"/>
        <w:left w:val="none" w:sz="0" w:space="0" w:color="auto"/>
        <w:bottom w:val="none" w:sz="0" w:space="0" w:color="auto"/>
        <w:right w:val="none" w:sz="0" w:space="0" w:color="auto"/>
      </w:divBdr>
    </w:div>
    <w:div w:id="1493178996">
      <w:bodyDiv w:val="1"/>
      <w:marLeft w:val="0"/>
      <w:marRight w:val="0"/>
      <w:marTop w:val="0"/>
      <w:marBottom w:val="0"/>
      <w:divBdr>
        <w:top w:val="none" w:sz="0" w:space="0" w:color="auto"/>
        <w:left w:val="none" w:sz="0" w:space="0" w:color="auto"/>
        <w:bottom w:val="none" w:sz="0" w:space="0" w:color="auto"/>
        <w:right w:val="none" w:sz="0" w:space="0" w:color="auto"/>
      </w:divBdr>
    </w:div>
    <w:div w:id="1520311155">
      <w:bodyDiv w:val="1"/>
      <w:marLeft w:val="0"/>
      <w:marRight w:val="0"/>
      <w:marTop w:val="0"/>
      <w:marBottom w:val="0"/>
      <w:divBdr>
        <w:top w:val="none" w:sz="0" w:space="0" w:color="auto"/>
        <w:left w:val="none" w:sz="0" w:space="0" w:color="auto"/>
        <w:bottom w:val="none" w:sz="0" w:space="0" w:color="auto"/>
        <w:right w:val="none" w:sz="0" w:space="0" w:color="auto"/>
      </w:divBdr>
    </w:div>
    <w:div w:id="1528638447">
      <w:bodyDiv w:val="1"/>
      <w:marLeft w:val="0"/>
      <w:marRight w:val="0"/>
      <w:marTop w:val="0"/>
      <w:marBottom w:val="0"/>
      <w:divBdr>
        <w:top w:val="none" w:sz="0" w:space="0" w:color="auto"/>
        <w:left w:val="none" w:sz="0" w:space="0" w:color="auto"/>
        <w:bottom w:val="none" w:sz="0" w:space="0" w:color="auto"/>
        <w:right w:val="none" w:sz="0" w:space="0" w:color="auto"/>
      </w:divBdr>
    </w:div>
    <w:div w:id="1538619895">
      <w:bodyDiv w:val="1"/>
      <w:marLeft w:val="0"/>
      <w:marRight w:val="0"/>
      <w:marTop w:val="0"/>
      <w:marBottom w:val="0"/>
      <w:divBdr>
        <w:top w:val="none" w:sz="0" w:space="0" w:color="auto"/>
        <w:left w:val="none" w:sz="0" w:space="0" w:color="auto"/>
        <w:bottom w:val="none" w:sz="0" w:space="0" w:color="auto"/>
        <w:right w:val="none" w:sz="0" w:space="0" w:color="auto"/>
      </w:divBdr>
    </w:div>
    <w:div w:id="1539125358">
      <w:bodyDiv w:val="1"/>
      <w:marLeft w:val="0"/>
      <w:marRight w:val="0"/>
      <w:marTop w:val="0"/>
      <w:marBottom w:val="0"/>
      <w:divBdr>
        <w:top w:val="none" w:sz="0" w:space="0" w:color="auto"/>
        <w:left w:val="none" w:sz="0" w:space="0" w:color="auto"/>
        <w:bottom w:val="none" w:sz="0" w:space="0" w:color="auto"/>
        <w:right w:val="none" w:sz="0" w:space="0" w:color="auto"/>
      </w:divBdr>
    </w:div>
    <w:div w:id="1559780533">
      <w:bodyDiv w:val="1"/>
      <w:marLeft w:val="0"/>
      <w:marRight w:val="0"/>
      <w:marTop w:val="0"/>
      <w:marBottom w:val="0"/>
      <w:divBdr>
        <w:top w:val="none" w:sz="0" w:space="0" w:color="auto"/>
        <w:left w:val="none" w:sz="0" w:space="0" w:color="auto"/>
        <w:bottom w:val="none" w:sz="0" w:space="0" w:color="auto"/>
        <w:right w:val="none" w:sz="0" w:space="0" w:color="auto"/>
      </w:divBdr>
    </w:div>
    <w:div w:id="1579946111">
      <w:bodyDiv w:val="1"/>
      <w:marLeft w:val="0"/>
      <w:marRight w:val="0"/>
      <w:marTop w:val="0"/>
      <w:marBottom w:val="0"/>
      <w:divBdr>
        <w:top w:val="none" w:sz="0" w:space="0" w:color="auto"/>
        <w:left w:val="none" w:sz="0" w:space="0" w:color="auto"/>
        <w:bottom w:val="none" w:sz="0" w:space="0" w:color="auto"/>
        <w:right w:val="none" w:sz="0" w:space="0" w:color="auto"/>
      </w:divBdr>
    </w:div>
    <w:div w:id="1595242572">
      <w:bodyDiv w:val="1"/>
      <w:marLeft w:val="0"/>
      <w:marRight w:val="0"/>
      <w:marTop w:val="0"/>
      <w:marBottom w:val="0"/>
      <w:divBdr>
        <w:top w:val="none" w:sz="0" w:space="0" w:color="auto"/>
        <w:left w:val="none" w:sz="0" w:space="0" w:color="auto"/>
        <w:bottom w:val="none" w:sz="0" w:space="0" w:color="auto"/>
        <w:right w:val="none" w:sz="0" w:space="0" w:color="auto"/>
      </w:divBdr>
    </w:div>
    <w:div w:id="1602713401">
      <w:bodyDiv w:val="1"/>
      <w:marLeft w:val="0"/>
      <w:marRight w:val="0"/>
      <w:marTop w:val="0"/>
      <w:marBottom w:val="0"/>
      <w:divBdr>
        <w:top w:val="none" w:sz="0" w:space="0" w:color="auto"/>
        <w:left w:val="none" w:sz="0" w:space="0" w:color="auto"/>
        <w:bottom w:val="none" w:sz="0" w:space="0" w:color="auto"/>
        <w:right w:val="none" w:sz="0" w:space="0" w:color="auto"/>
      </w:divBdr>
    </w:div>
    <w:div w:id="1605915142">
      <w:bodyDiv w:val="1"/>
      <w:marLeft w:val="0"/>
      <w:marRight w:val="0"/>
      <w:marTop w:val="0"/>
      <w:marBottom w:val="0"/>
      <w:divBdr>
        <w:top w:val="none" w:sz="0" w:space="0" w:color="auto"/>
        <w:left w:val="none" w:sz="0" w:space="0" w:color="auto"/>
        <w:bottom w:val="none" w:sz="0" w:space="0" w:color="auto"/>
        <w:right w:val="none" w:sz="0" w:space="0" w:color="auto"/>
      </w:divBdr>
    </w:div>
    <w:div w:id="1634556390">
      <w:bodyDiv w:val="1"/>
      <w:marLeft w:val="0"/>
      <w:marRight w:val="0"/>
      <w:marTop w:val="0"/>
      <w:marBottom w:val="0"/>
      <w:divBdr>
        <w:top w:val="none" w:sz="0" w:space="0" w:color="auto"/>
        <w:left w:val="none" w:sz="0" w:space="0" w:color="auto"/>
        <w:bottom w:val="none" w:sz="0" w:space="0" w:color="auto"/>
        <w:right w:val="none" w:sz="0" w:space="0" w:color="auto"/>
      </w:divBdr>
    </w:div>
    <w:div w:id="1660235593">
      <w:bodyDiv w:val="1"/>
      <w:marLeft w:val="0"/>
      <w:marRight w:val="0"/>
      <w:marTop w:val="0"/>
      <w:marBottom w:val="0"/>
      <w:divBdr>
        <w:top w:val="none" w:sz="0" w:space="0" w:color="auto"/>
        <w:left w:val="none" w:sz="0" w:space="0" w:color="auto"/>
        <w:bottom w:val="none" w:sz="0" w:space="0" w:color="auto"/>
        <w:right w:val="none" w:sz="0" w:space="0" w:color="auto"/>
      </w:divBdr>
    </w:div>
    <w:div w:id="1684361518">
      <w:bodyDiv w:val="1"/>
      <w:marLeft w:val="0"/>
      <w:marRight w:val="0"/>
      <w:marTop w:val="0"/>
      <w:marBottom w:val="0"/>
      <w:divBdr>
        <w:top w:val="none" w:sz="0" w:space="0" w:color="auto"/>
        <w:left w:val="none" w:sz="0" w:space="0" w:color="auto"/>
        <w:bottom w:val="none" w:sz="0" w:space="0" w:color="auto"/>
        <w:right w:val="none" w:sz="0" w:space="0" w:color="auto"/>
      </w:divBdr>
    </w:div>
    <w:div w:id="1693259011">
      <w:bodyDiv w:val="1"/>
      <w:marLeft w:val="0"/>
      <w:marRight w:val="0"/>
      <w:marTop w:val="0"/>
      <w:marBottom w:val="0"/>
      <w:divBdr>
        <w:top w:val="none" w:sz="0" w:space="0" w:color="auto"/>
        <w:left w:val="none" w:sz="0" w:space="0" w:color="auto"/>
        <w:bottom w:val="none" w:sz="0" w:space="0" w:color="auto"/>
        <w:right w:val="none" w:sz="0" w:space="0" w:color="auto"/>
      </w:divBdr>
    </w:div>
    <w:div w:id="1708483612">
      <w:bodyDiv w:val="1"/>
      <w:marLeft w:val="0"/>
      <w:marRight w:val="0"/>
      <w:marTop w:val="0"/>
      <w:marBottom w:val="0"/>
      <w:divBdr>
        <w:top w:val="none" w:sz="0" w:space="0" w:color="auto"/>
        <w:left w:val="none" w:sz="0" w:space="0" w:color="auto"/>
        <w:bottom w:val="none" w:sz="0" w:space="0" w:color="auto"/>
        <w:right w:val="none" w:sz="0" w:space="0" w:color="auto"/>
      </w:divBdr>
    </w:div>
    <w:div w:id="1727139946">
      <w:bodyDiv w:val="1"/>
      <w:marLeft w:val="0"/>
      <w:marRight w:val="0"/>
      <w:marTop w:val="0"/>
      <w:marBottom w:val="0"/>
      <w:divBdr>
        <w:top w:val="none" w:sz="0" w:space="0" w:color="auto"/>
        <w:left w:val="none" w:sz="0" w:space="0" w:color="auto"/>
        <w:bottom w:val="none" w:sz="0" w:space="0" w:color="auto"/>
        <w:right w:val="none" w:sz="0" w:space="0" w:color="auto"/>
      </w:divBdr>
    </w:div>
    <w:div w:id="1746998620">
      <w:bodyDiv w:val="1"/>
      <w:marLeft w:val="0"/>
      <w:marRight w:val="0"/>
      <w:marTop w:val="0"/>
      <w:marBottom w:val="0"/>
      <w:divBdr>
        <w:top w:val="none" w:sz="0" w:space="0" w:color="auto"/>
        <w:left w:val="none" w:sz="0" w:space="0" w:color="auto"/>
        <w:bottom w:val="none" w:sz="0" w:space="0" w:color="auto"/>
        <w:right w:val="none" w:sz="0" w:space="0" w:color="auto"/>
      </w:divBdr>
    </w:div>
    <w:div w:id="1783112791">
      <w:bodyDiv w:val="1"/>
      <w:marLeft w:val="0"/>
      <w:marRight w:val="0"/>
      <w:marTop w:val="0"/>
      <w:marBottom w:val="0"/>
      <w:divBdr>
        <w:top w:val="none" w:sz="0" w:space="0" w:color="auto"/>
        <w:left w:val="none" w:sz="0" w:space="0" w:color="auto"/>
        <w:bottom w:val="none" w:sz="0" w:space="0" w:color="auto"/>
        <w:right w:val="none" w:sz="0" w:space="0" w:color="auto"/>
      </w:divBdr>
    </w:div>
    <w:div w:id="1805000636">
      <w:bodyDiv w:val="1"/>
      <w:marLeft w:val="0"/>
      <w:marRight w:val="0"/>
      <w:marTop w:val="0"/>
      <w:marBottom w:val="0"/>
      <w:divBdr>
        <w:top w:val="none" w:sz="0" w:space="0" w:color="auto"/>
        <w:left w:val="none" w:sz="0" w:space="0" w:color="auto"/>
        <w:bottom w:val="none" w:sz="0" w:space="0" w:color="auto"/>
        <w:right w:val="none" w:sz="0" w:space="0" w:color="auto"/>
      </w:divBdr>
    </w:div>
    <w:div w:id="1814836542">
      <w:bodyDiv w:val="1"/>
      <w:marLeft w:val="0"/>
      <w:marRight w:val="0"/>
      <w:marTop w:val="0"/>
      <w:marBottom w:val="0"/>
      <w:divBdr>
        <w:top w:val="none" w:sz="0" w:space="0" w:color="auto"/>
        <w:left w:val="none" w:sz="0" w:space="0" w:color="auto"/>
        <w:bottom w:val="none" w:sz="0" w:space="0" w:color="auto"/>
        <w:right w:val="none" w:sz="0" w:space="0" w:color="auto"/>
      </w:divBdr>
    </w:div>
    <w:div w:id="1863935390">
      <w:bodyDiv w:val="1"/>
      <w:marLeft w:val="0"/>
      <w:marRight w:val="0"/>
      <w:marTop w:val="0"/>
      <w:marBottom w:val="0"/>
      <w:divBdr>
        <w:top w:val="none" w:sz="0" w:space="0" w:color="auto"/>
        <w:left w:val="none" w:sz="0" w:space="0" w:color="auto"/>
        <w:bottom w:val="none" w:sz="0" w:space="0" w:color="auto"/>
        <w:right w:val="none" w:sz="0" w:space="0" w:color="auto"/>
      </w:divBdr>
    </w:div>
    <w:div w:id="1866403766">
      <w:bodyDiv w:val="1"/>
      <w:marLeft w:val="0"/>
      <w:marRight w:val="0"/>
      <w:marTop w:val="0"/>
      <w:marBottom w:val="0"/>
      <w:divBdr>
        <w:top w:val="none" w:sz="0" w:space="0" w:color="auto"/>
        <w:left w:val="none" w:sz="0" w:space="0" w:color="auto"/>
        <w:bottom w:val="none" w:sz="0" w:space="0" w:color="auto"/>
        <w:right w:val="none" w:sz="0" w:space="0" w:color="auto"/>
      </w:divBdr>
    </w:div>
    <w:div w:id="1894149687">
      <w:bodyDiv w:val="1"/>
      <w:marLeft w:val="0"/>
      <w:marRight w:val="0"/>
      <w:marTop w:val="0"/>
      <w:marBottom w:val="0"/>
      <w:divBdr>
        <w:top w:val="none" w:sz="0" w:space="0" w:color="auto"/>
        <w:left w:val="none" w:sz="0" w:space="0" w:color="auto"/>
        <w:bottom w:val="none" w:sz="0" w:space="0" w:color="auto"/>
        <w:right w:val="none" w:sz="0" w:space="0" w:color="auto"/>
      </w:divBdr>
    </w:div>
    <w:div w:id="1952785706">
      <w:bodyDiv w:val="1"/>
      <w:marLeft w:val="0"/>
      <w:marRight w:val="0"/>
      <w:marTop w:val="0"/>
      <w:marBottom w:val="0"/>
      <w:divBdr>
        <w:top w:val="none" w:sz="0" w:space="0" w:color="auto"/>
        <w:left w:val="none" w:sz="0" w:space="0" w:color="auto"/>
        <w:bottom w:val="none" w:sz="0" w:space="0" w:color="auto"/>
        <w:right w:val="none" w:sz="0" w:space="0" w:color="auto"/>
      </w:divBdr>
    </w:div>
    <w:div w:id="1953122555">
      <w:bodyDiv w:val="1"/>
      <w:marLeft w:val="0"/>
      <w:marRight w:val="0"/>
      <w:marTop w:val="0"/>
      <w:marBottom w:val="0"/>
      <w:divBdr>
        <w:top w:val="none" w:sz="0" w:space="0" w:color="auto"/>
        <w:left w:val="none" w:sz="0" w:space="0" w:color="auto"/>
        <w:bottom w:val="none" w:sz="0" w:space="0" w:color="auto"/>
        <w:right w:val="none" w:sz="0" w:space="0" w:color="auto"/>
      </w:divBdr>
    </w:div>
    <w:div w:id="1986736281">
      <w:bodyDiv w:val="1"/>
      <w:marLeft w:val="0"/>
      <w:marRight w:val="0"/>
      <w:marTop w:val="0"/>
      <w:marBottom w:val="0"/>
      <w:divBdr>
        <w:top w:val="none" w:sz="0" w:space="0" w:color="auto"/>
        <w:left w:val="none" w:sz="0" w:space="0" w:color="auto"/>
        <w:bottom w:val="none" w:sz="0" w:space="0" w:color="auto"/>
        <w:right w:val="none" w:sz="0" w:space="0" w:color="auto"/>
      </w:divBdr>
    </w:div>
    <w:div w:id="1989627673">
      <w:bodyDiv w:val="1"/>
      <w:marLeft w:val="0"/>
      <w:marRight w:val="0"/>
      <w:marTop w:val="0"/>
      <w:marBottom w:val="0"/>
      <w:divBdr>
        <w:top w:val="none" w:sz="0" w:space="0" w:color="auto"/>
        <w:left w:val="none" w:sz="0" w:space="0" w:color="auto"/>
        <w:bottom w:val="none" w:sz="0" w:space="0" w:color="auto"/>
        <w:right w:val="none" w:sz="0" w:space="0" w:color="auto"/>
      </w:divBdr>
    </w:div>
    <w:div w:id="2052337994">
      <w:bodyDiv w:val="1"/>
      <w:marLeft w:val="0"/>
      <w:marRight w:val="0"/>
      <w:marTop w:val="0"/>
      <w:marBottom w:val="0"/>
      <w:divBdr>
        <w:top w:val="none" w:sz="0" w:space="0" w:color="auto"/>
        <w:left w:val="none" w:sz="0" w:space="0" w:color="auto"/>
        <w:bottom w:val="none" w:sz="0" w:space="0" w:color="auto"/>
        <w:right w:val="none" w:sz="0" w:space="0" w:color="auto"/>
      </w:divBdr>
    </w:div>
    <w:div w:id="2114200702">
      <w:bodyDiv w:val="1"/>
      <w:marLeft w:val="0"/>
      <w:marRight w:val="0"/>
      <w:marTop w:val="0"/>
      <w:marBottom w:val="0"/>
      <w:divBdr>
        <w:top w:val="none" w:sz="0" w:space="0" w:color="auto"/>
        <w:left w:val="none" w:sz="0" w:space="0" w:color="auto"/>
        <w:bottom w:val="none" w:sz="0" w:space="0" w:color="auto"/>
        <w:right w:val="none" w:sz="0" w:space="0" w:color="auto"/>
      </w:divBdr>
    </w:div>
    <w:div w:id="2128810496">
      <w:bodyDiv w:val="1"/>
      <w:marLeft w:val="0"/>
      <w:marRight w:val="0"/>
      <w:marTop w:val="0"/>
      <w:marBottom w:val="0"/>
      <w:divBdr>
        <w:top w:val="none" w:sz="0" w:space="0" w:color="auto"/>
        <w:left w:val="none" w:sz="0" w:space="0" w:color="auto"/>
        <w:bottom w:val="none" w:sz="0" w:space="0" w:color="auto"/>
        <w:right w:val="none" w:sz="0" w:space="0" w:color="auto"/>
      </w:divBdr>
    </w:div>
    <w:div w:id="214160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3" Type="http://schemas.openxmlformats.org/officeDocument/2006/relationships/customXml" Target="../customXml/item3.xml"/><Relationship Id="rId7" Type="http://schemas.openxmlformats.org/officeDocument/2006/relationships/numbering" Target="numbering.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ntTable" Target="fontTable.xml"/><Relationship Id="rId5" Type="http://schemas.openxmlformats.org/officeDocument/2006/relationships/customXml" Target="../customXml/item5.xml"/><Relationship Id="rId10" Type="http://schemas.openxmlformats.org/officeDocument/2006/relationships/webSettings" Target="webSettings.xml"/><Relationship Id="rId4" Type="http://schemas.openxmlformats.org/officeDocument/2006/relationships/customXml" Target="../customXml/item4.xml"/><Relationship Id="rId9"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elanie.Warne1\AppData\Local\Temp\Templafy\WordVsto\gdsm1xny.dotx" TargetMode="External"/></Relationships>
</file>

<file path=word/theme/theme1.xml><?xml version="1.0" encoding="utf-8"?>
<a:theme xmlns:a="http://schemas.openxmlformats.org/drawingml/2006/main" name="Office Theme">
  <a:themeElements>
    <a:clrScheme name="__Maximus">
      <a:dk1>
        <a:sysClr val="windowText" lastClr="000000"/>
      </a:dk1>
      <a:lt1>
        <a:sysClr val="window" lastClr="FFFFFF"/>
      </a:lt1>
      <a:dk2>
        <a:srgbClr val="200649"/>
      </a:dk2>
      <a:lt2>
        <a:srgbClr val="F2F2F2"/>
      </a:lt2>
      <a:accent1>
        <a:srgbClr val="200649"/>
      </a:accent1>
      <a:accent2>
        <a:srgbClr val="9F7FC9"/>
      </a:accent2>
      <a:accent3>
        <a:srgbClr val="6277B9"/>
      </a:accent3>
      <a:accent4>
        <a:srgbClr val="7EBE63"/>
      </a:accent4>
      <a:accent5>
        <a:srgbClr val="502E91"/>
      </a:accent5>
      <a:accent6>
        <a:srgbClr val="9CABD7"/>
      </a:accent6>
      <a:hlink>
        <a:srgbClr val="9F7FC9"/>
      </a:hlink>
      <a:folHlink>
        <a:srgbClr val="200649"/>
      </a:folHlink>
    </a:clrScheme>
    <a:fontScheme name="__Maximus">
      <a:majorFont>
        <a:latin typeface="Avenir Next LT Pro Light"/>
        <a:ea typeface=""/>
        <a:cs typeface=""/>
      </a:majorFont>
      <a:minorFont>
        <a:latin typeface="Avenir Next LT Pro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accent1"/>
        </a:solidFill>
        <a:ln>
          <a:solidFill>
            <a:schemeClr val="accent1"/>
          </a:solidFill>
        </a:ln>
      </a:spPr>
      <a:bodyPr rtlCol="0" anchor="ctr"/>
      <a:lstStyle/>
      <a:style>
        <a:lnRef idx="2">
          <a:schemeClr val="accent1">
            <a:shade val="15000"/>
          </a:schemeClr>
        </a:lnRef>
        <a:fillRef idx="1">
          <a:schemeClr val="accent1"/>
        </a:fillRef>
        <a:effectRef idx="0">
          <a:schemeClr val="accent1"/>
        </a:effectRef>
        <a:fontRef idx="minor">
          <a:schemeClr val="lt1"/>
        </a:fontRef>
      </a:style>
    </a:spDef>
    <a:lnDef>
      <a:spPr/>
      <a:bodyPr/>
      <a:lstStyle/>
      <a:style>
        <a:lnRef idx="1">
          <a:schemeClr val="accent1"/>
        </a:lnRef>
        <a:fillRef idx="0">
          <a:schemeClr val="accent1"/>
        </a:fillRef>
        <a:effectRef idx="0">
          <a:schemeClr val="accent1"/>
        </a:effectRef>
        <a:fontRef idx="minor">
          <a:schemeClr val="tx1"/>
        </a:fontRef>
      </a:style>
    </a:lnDef>
    <a:txDef>
      <a:spPr>
        <a:noFill/>
        <a:ln w="6350">
          <a:solidFill>
            <a:schemeClr val="accent1"/>
          </a:solidFill>
        </a:ln>
      </a:spPr>
      <a:bodyPr wrap="square" lIns="72000" tIns="72000" rIns="72000" bIns="72000" rtlCol="0"/>
      <a:lstStyle/>
    </a:txDef>
  </a:objectDefaults>
  <a:extraClrSchemeLst/>
  <a:custClrLst>
    <a:custClr name="Red">
      <a:srgbClr val="FF0000"/>
    </a:custClr>
    <a:custClr name="Amber">
      <a:srgbClr val="FFC000"/>
    </a:custClr>
    <a:custClr name="Green">
      <a:srgbClr val="7EBE63"/>
    </a:custClr>
  </a:custClr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TemplafyTemplateConfiguration><![CDATA[{"elementsMetadata":[],"transformationConfigurations":[],"templateName":"Maximus Blank Template","templateDescription":"","enableDocumentContentUpdater":false,"version":"2.0"}]]></TemplafyTemplateConfiguration>
</file>

<file path=customXml/item2.xml><?xml version="1.0" encoding="utf-8"?>
<TemplafyFormConfiguration><![CDATA[{"formFields":[],"formDataEntries":[]}]]></TemplafyFormConfiguration>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Number xmlns="08719aca-9944-47ed-99d0-5d6a4bfa3e55" xsi:nil="true"/>
    <TaxCatchAll xmlns="26573516-4fdd-44dd-bdbd-8e5c736fef5f" xsi:nil="true"/>
    <_ip_UnifiedCompliancePolicyProperties xmlns="http://schemas.microsoft.com/sharepoint/v3" xsi:nil="true"/>
    <lcf76f155ced4ddcb4097134ff3c332f xmlns="08719aca-9944-47ed-99d0-5d6a4bfa3e55">
      <Terms xmlns="http://schemas.microsoft.com/office/infopath/2007/PartnerControls"/>
    </lcf76f155ced4ddcb4097134ff3c332f>
    <date_x0020_added xmlns="08719aca-9944-47ed-99d0-5d6a4bfa3e55" xsi:nil="true"/>
  </documentManagement>
</p:properties>
</file>

<file path=customXml/item6.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22" ma:contentTypeDescription="Create a new document." ma:contentTypeScope="" ma:versionID="b699fd55927a34d257ed91fcb816b7cf">
  <xsd:schema xmlns:xsd="http://www.w3.org/2001/XMLSchema" xmlns:xs="http://www.w3.org/2001/XMLSchema" xmlns:p="http://schemas.microsoft.com/office/2006/metadata/properties" xmlns:ns1="http://schemas.microsoft.com/sharepoint/v3" xmlns:ns2="08719aca-9944-47ed-99d0-5d6a4bfa3e55" xmlns:ns3="5b2f617d-22f6-4a73-93de-44faf49dffb2" xmlns:ns4="26573516-4fdd-44dd-bdbd-8e5c736fef5f" targetNamespace="http://schemas.microsoft.com/office/2006/metadata/properties" ma:root="true" ma:fieldsID="a72eddf1b908bf265cbfbcdc0753b625" ns1:_="" ns2:_="" ns3:_="" ns4:_="">
    <xsd:import namespace="http://schemas.microsoft.com/sharepoint/v3"/>
    <xsd:import namespace="08719aca-9944-47ed-99d0-5d6a4bfa3e55"/>
    <xsd:import namespace="5b2f617d-22f6-4a73-93de-44faf49dffb2"/>
    <xsd:import namespace="26573516-4fdd-44dd-bdbd-8e5c736fef5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1:_ip_UnifiedCompliancePolicyProperties" minOccurs="0"/>
                <xsd:element ref="ns1:_ip_UnifiedCompliancePolicyUIAction" minOccurs="0"/>
                <xsd:element ref="ns3:SharedWithUsers" minOccurs="0"/>
                <xsd:element ref="ns3:SharedWithDetails" minOccurs="0"/>
                <xsd:element ref="ns2:MediaServiceDateTaken" minOccurs="0"/>
                <xsd:element ref="ns2:MediaServiceLocation" minOccurs="0"/>
                <xsd:element ref="ns2:MediaServiceAutoKeyPoints" minOccurs="0"/>
                <xsd:element ref="ns2:MediaServiceKeyPoints" minOccurs="0"/>
                <xsd:element ref="ns2:MediaLengthInSeconds" minOccurs="0"/>
                <xsd:element ref="ns2:Number" minOccurs="0"/>
                <xsd:element ref="ns2:lcf76f155ced4ddcb4097134ff3c332f" minOccurs="0"/>
                <xsd:element ref="ns4:TaxCatchAll" minOccurs="0"/>
                <xsd:element ref="ns2:date_x0020_added"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4" nillable="true" ma:displayName="Unified Compliance Policy Properties" ma:hidden="true" ma:internalName="_ip_UnifiedCompliancePolicyProperties">
      <xsd:simpleType>
        <xsd:restriction base="dms:Note"/>
      </xsd:simpleType>
    </xsd:element>
    <xsd:element name="_ip_UnifiedCompliancePolicyUIAction" ma:index="15"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LengthInSeconds" ma:index="22" nillable="true" ma:displayName="Length (seconds)" ma:internalName="MediaLengthInSeconds" ma:readOnly="true">
      <xsd:simpleType>
        <xsd:restriction base="dms:Unknown"/>
      </xsd:simpleType>
    </xsd:element>
    <xsd:element name="Number" ma:index="23" nillable="true" ma:displayName="Number" ma:format="Dropdown" ma:internalName="Number" ma:percentage="FALSE">
      <xsd:simpleType>
        <xsd:restriction base="dms:Number"/>
      </xsd:simpleType>
    </xsd:element>
    <xsd:element name="lcf76f155ced4ddcb4097134ff3c332f" ma:index="25" nillable="true" ma:taxonomy="true" ma:internalName="lcf76f155ced4ddcb4097134ff3c332f" ma:taxonomyFieldName="MediaServiceImageTags" ma:displayName="Image Tags" ma:readOnly="false" ma:fieldId="{5cf76f15-5ced-4ddc-b409-7134ff3c332f}" ma:taxonomyMulti="true" ma:sspId="0c10deb3-8dd7-4942-8006-05e787042858" ma:termSetId="09814cd3-568e-fe90-9814-8d621ff8fb84" ma:anchorId="fba54fb3-c3e1-fe81-a776-ca4b69148c4d" ma:open="true" ma:isKeyword="false">
      <xsd:complexType>
        <xsd:sequence>
          <xsd:element ref="pc:Terms" minOccurs="0" maxOccurs="1"/>
        </xsd:sequence>
      </xsd:complexType>
    </xsd:element>
    <xsd:element name="date_x0020_added" ma:index="27" nillable="true" ma:displayName="date added" ma:internalName="date_x0020_added">
      <xsd:simpleType>
        <xsd:restriction base="dms:Text">
          <xsd:maxLength value="255"/>
        </xsd:restriction>
      </xsd:simpleType>
    </xsd:element>
    <xsd:element name="MediaServiceObjectDetectorVersions" ma:index="28" nillable="true" ma:displayName="MediaServiceObjectDetectorVersions" ma:description="" ma:hidden="true" ma:indexed="true" ma:internalName="MediaServiceObjectDetectorVersions" ma:readOnly="true">
      <xsd:simpleType>
        <xsd:restriction base="dms:Text"/>
      </xsd:simpleType>
    </xsd:element>
    <xsd:element name="MediaServiceSearchProperties" ma:index="2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6573516-4fdd-44dd-bdbd-8e5c736fef5f" elementFormDefault="qualified">
    <xsd:import namespace="http://schemas.microsoft.com/office/2006/documentManagement/types"/>
    <xsd:import namespace="http://schemas.microsoft.com/office/infopath/2007/PartnerControls"/>
    <xsd:element name="TaxCatchAll" ma:index="26" nillable="true" ma:displayName="Taxonomy Catch All Column" ma:hidden="true" ma:list="{ed0fd8f8-565f-4be2-ae67-80b718644100}" ma:internalName="TaxCatchAll" ma:showField="CatchAllData" ma:web="5b2f617d-22f6-4a73-93de-44faf49dffb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209971-AE10-4F02-A3A9-C84D0350EE17}">
  <ds:schemaRefs/>
</ds:datastoreItem>
</file>

<file path=customXml/itemProps2.xml><?xml version="1.0" encoding="utf-8"?>
<ds:datastoreItem xmlns:ds="http://schemas.openxmlformats.org/officeDocument/2006/customXml" ds:itemID="{54D8B26B-C71C-4647-8122-8BF05397F6EE}">
  <ds:schemaRefs/>
</ds:datastoreItem>
</file>

<file path=customXml/itemProps3.xml><?xml version="1.0" encoding="utf-8"?>
<ds:datastoreItem xmlns:ds="http://schemas.openxmlformats.org/officeDocument/2006/customXml" ds:itemID="{1562AE6A-FDD3-4716-BFD7-BB1E2DA25C44}">
  <ds:schemaRefs>
    <ds:schemaRef ds:uri="http://schemas.openxmlformats.org/officeDocument/2006/bibliography"/>
  </ds:schemaRefs>
</ds:datastoreItem>
</file>

<file path=customXml/itemProps4.xml><?xml version="1.0" encoding="utf-8"?>
<ds:datastoreItem xmlns:ds="http://schemas.openxmlformats.org/officeDocument/2006/customXml" ds:itemID="{0A187A0D-BB7D-42EB-91AE-91D37FCE58F8}">
  <ds:schemaRefs>
    <ds:schemaRef ds:uri="http://schemas.microsoft.com/sharepoint/v3/contenttype/forms"/>
  </ds:schemaRefs>
</ds:datastoreItem>
</file>

<file path=customXml/itemProps5.xml><?xml version="1.0" encoding="utf-8"?>
<ds:datastoreItem xmlns:ds="http://schemas.openxmlformats.org/officeDocument/2006/customXml" ds:itemID="{84BDCB66-26C6-4508-9A66-454DC7DFC531}">
  <ds:schemaRefs>
    <ds:schemaRef ds:uri="http://schemas.microsoft.com/office/2006/metadata/properties"/>
    <ds:schemaRef ds:uri="http://schemas.microsoft.com/office/infopath/2007/PartnerControls"/>
    <ds:schemaRef ds:uri="http://schemas.microsoft.com/sharepoint/v3"/>
    <ds:schemaRef ds:uri="08719aca-9944-47ed-99d0-5d6a4bfa3e55"/>
    <ds:schemaRef ds:uri="26573516-4fdd-44dd-bdbd-8e5c736fef5f"/>
  </ds:schemaRefs>
</ds:datastoreItem>
</file>

<file path=customXml/itemProps6.xml><?xml version="1.0" encoding="utf-8"?>
<ds:datastoreItem xmlns:ds="http://schemas.openxmlformats.org/officeDocument/2006/customXml" ds:itemID="{480C824C-C187-4FBA-B62E-EA4083D2C5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08719aca-9944-47ed-99d0-5d6a4bfa3e55"/>
    <ds:schemaRef ds:uri="5b2f617d-22f6-4a73-93de-44faf49dffb2"/>
    <ds:schemaRef ds:uri="26573516-4fdd-44dd-bdbd-8e5c736fef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gdsm1xny</Template>
  <TotalTime>351</TotalTime>
  <Pages>16</Pages>
  <Words>6581</Words>
  <Characters>37514</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43</cp:revision>
  <cp:lastPrinted>2025-05-30T07:28:00Z</cp:lastPrinted>
  <dcterms:created xsi:type="dcterms:W3CDTF">2025-07-24T17:28:00Z</dcterms:created>
  <dcterms:modified xsi:type="dcterms:W3CDTF">2025-08-12T19:43:00Z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ediaServiceImageTags">
    <vt:lpwstr/>
  </property>
  <property fmtid="{D5CDD505-2E9C-101B-9397-08002B2CF9AE}" pid="4" name="TemplafyTenantId">
    <vt:lpwstr>maximusuk</vt:lpwstr>
  </property>
  <property fmtid="{D5CDD505-2E9C-101B-9397-08002B2CF9AE}" pid="5" name="TemplafyTemplateId">
    <vt:lpwstr>1155926495780144444</vt:lpwstr>
  </property>
  <property fmtid="{D5CDD505-2E9C-101B-9397-08002B2CF9AE}" pid="6" name="TemplafyUserProfileId">
    <vt:lpwstr>985279457155350535</vt:lpwstr>
  </property>
  <property fmtid="{D5CDD505-2E9C-101B-9397-08002B2CF9AE}" pid="7" name="TemplafyFromBlank">
    <vt:bool>true</vt:bool>
  </property>
</Properties>
</file>