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6AA47D" w14:textId="77777777" w:rsidR="00CB082C" w:rsidRDefault="00CB082C">
      <w:pPr>
        <w:jc w:val="center"/>
        <w:rPr>
          <w:color w:val="505050"/>
          <w:sz w:val="28"/>
          <w:szCs w:val="28"/>
        </w:rPr>
      </w:pPr>
      <w:r>
        <w:rPr>
          <w:color w:val="505050"/>
          <w:sz w:val="28"/>
          <w:szCs w:val="28"/>
        </w:rPr>
        <w:t>Unit - Individual development</w:t>
      </w:r>
    </w:p>
    <w:p w14:paraId="4FEB8AA8" w14:textId="77777777" w:rsidR="00CB082C" w:rsidRDefault="00CB082C">
      <w:pPr>
        <w:jc w:val="center"/>
        <w:rPr>
          <w:color w:val="505050"/>
          <w:sz w:val="28"/>
          <w:szCs w:val="28"/>
        </w:rPr>
      </w:pPr>
      <w:r>
        <w:rPr>
          <w:color w:val="505050"/>
          <w:sz w:val="28"/>
          <w:szCs w:val="28"/>
        </w:rPr>
        <w:t>Online links to Blog s on Microsoft Sway:</w:t>
      </w:r>
    </w:p>
    <w:p w14:paraId="79EAE381" w14:textId="748B3E07" w:rsidR="00CB082C" w:rsidRDefault="00F732FF">
      <w:pPr>
        <w:jc w:val="center"/>
        <w:rPr>
          <w:color w:val="505050"/>
          <w:sz w:val="28"/>
          <w:szCs w:val="28"/>
        </w:rPr>
      </w:pPr>
      <w:r>
        <w:rPr>
          <w:color w:val="505050"/>
          <w:sz w:val="28"/>
          <w:szCs w:val="28"/>
        </w:rPr>
        <w:t xml:space="preserve">  </w:t>
      </w:r>
      <w:r w:rsidR="00CB082C">
        <w:rPr>
          <w:color w:val="505050"/>
          <w:sz w:val="28"/>
          <w:szCs w:val="28"/>
        </w:rPr>
        <w:t>Blog 1</w:t>
      </w:r>
      <w:r>
        <w:rPr>
          <w:color w:val="505050"/>
          <w:sz w:val="28"/>
          <w:szCs w:val="28"/>
        </w:rPr>
        <w:t xml:space="preserve">: </w:t>
      </w:r>
      <w:hyperlink r:id="rId8" w:history="1">
        <w:r w:rsidR="00607317" w:rsidRPr="00AA3A2D">
          <w:rPr>
            <w:rStyle w:val="Hyperlink"/>
            <w:sz w:val="28"/>
            <w:szCs w:val="28"/>
          </w:rPr>
          <w:t>https://sway.office.com/8kSV5mfmK58EDTzU</w:t>
        </w:r>
      </w:hyperlink>
      <w:r>
        <w:rPr>
          <w:color w:val="505050"/>
          <w:sz w:val="28"/>
          <w:szCs w:val="28"/>
        </w:rPr>
        <w:t xml:space="preserve"> </w:t>
      </w:r>
    </w:p>
    <w:p w14:paraId="72D59E20" w14:textId="335D7CF0" w:rsidR="00CB082C" w:rsidRDefault="00CB082C">
      <w:pPr>
        <w:jc w:val="center"/>
        <w:rPr>
          <w:color w:val="505050"/>
          <w:sz w:val="28"/>
          <w:szCs w:val="28"/>
        </w:rPr>
      </w:pPr>
      <w:r>
        <w:rPr>
          <w:color w:val="505050"/>
          <w:sz w:val="28"/>
          <w:szCs w:val="28"/>
        </w:rPr>
        <w:t>Blog 2:</w:t>
      </w:r>
      <w:r w:rsidR="00F732FF">
        <w:rPr>
          <w:color w:val="505050"/>
          <w:sz w:val="28"/>
          <w:szCs w:val="28"/>
        </w:rPr>
        <w:t xml:space="preserve"> </w:t>
      </w:r>
      <w:hyperlink r:id="rId9" w:history="1">
        <w:r w:rsidR="00F732FF" w:rsidRPr="00AA3A2D">
          <w:rPr>
            <w:rStyle w:val="Hyperlink"/>
            <w:sz w:val="28"/>
            <w:szCs w:val="28"/>
          </w:rPr>
          <w:t>https://sway.office.com/KJS4Cj4yBUDNJUK5</w:t>
        </w:r>
      </w:hyperlink>
      <w:r w:rsidR="00F732FF">
        <w:rPr>
          <w:color w:val="505050"/>
          <w:sz w:val="28"/>
          <w:szCs w:val="28"/>
        </w:rPr>
        <w:t xml:space="preserve"> </w:t>
      </w:r>
    </w:p>
    <w:p w14:paraId="752946DF" w14:textId="7BE64BD5" w:rsidR="00CB082C" w:rsidRDefault="00CB082C">
      <w:pPr>
        <w:jc w:val="center"/>
        <w:rPr>
          <w:color w:val="505050"/>
          <w:sz w:val="28"/>
          <w:szCs w:val="28"/>
        </w:rPr>
      </w:pPr>
      <w:r>
        <w:rPr>
          <w:color w:val="505050"/>
          <w:sz w:val="28"/>
          <w:szCs w:val="28"/>
        </w:rPr>
        <w:t>Blog 3:</w:t>
      </w:r>
      <w:r w:rsidR="00F732FF">
        <w:rPr>
          <w:color w:val="505050"/>
          <w:sz w:val="28"/>
          <w:szCs w:val="28"/>
        </w:rPr>
        <w:t xml:space="preserve"> </w:t>
      </w:r>
      <w:hyperlink r:id="rId10" w:history="1">
        <w:r w:rsidR="00F732FF" w:rsidRPr="00AA3A2D">
          <w:rPr>
            <w:rStyle w:val="Hyperlink"/>
            <w:sz w:val="28"/>
            <w:szCs w:val="28"/>
          </w:rPr>
          <w:t>https://sway.office.com/v2jpxf3gNhE79Qxh</w:t>
        </w:r>
      </w:hyperlink>
      <w:r w:rsidR="00F732FF">
        <w:rPr>
          <w:color w:val="505050"/>
          <w:sz w:val="28"/>
          <w:szCs w:val="28"/>
        </w:rPr>
        <w:t xml:space="preserve"> </w:t>
      </w:r>
    </w:p>
    <w:p w14:paraId="50BAA890" w14:textId="5557E8E8" w:rsidR="00CB082C" w:rsidRDefault="00CB082C">
      <w:pPr>
        <w:jc w:val="center"/>
        <w:rPr>
          <w:color w:val="505050"/>
          <w:sz w:val="28"/>
          <w:szCs w:val="28"/>
        </w:rPr>
      </w:pPr>
      <w:r>
        <w:rPr>
          <w:color w:val="505050"/>
          <w:sz w:val="28"/>
          <w:szCs w:val="28"/>
        </w:rPr>
        <w:t>Blog 4:</w:t>
      </w:r>
      <w:r w:rsidR="00F732FF">
        <w:rPr>
          <w:color w:val="505050"/>
          <w:sz w:val="28"/>
          <w:szCs w:val="28"/>
        </w:rPr>
        <w:t xml:space="preserve"> </w:t>
      </w:r>
      <w:hyperlink r:id="rId11" w:history="1">
        <w:r w:rsidR="00F732FF" w:rsidRPr="00AA3A2D">
          <w:rPr>
            <w:rStyle w:val="Hyperlink"/>
            <w:sz w:val="28"/>
            <w:szCs w:val="28"/>
          </w:rPr>
          <w:t>https://sway.office.com/TKHfNFbSOZhkk5ju</w:t>
        </w:r>
      </w:hyperlink>
      <w:r w:rsidR="00F732FF">
        <w:rPr>
          <w:color w:val="505050"/>
          <w:sz w:val="28"/>
          <w:szCs w:val="28"/>
        </w:rPr>
        <w:t xml:space="preserve"> </w:t>
      </w:r>
    </w:p>
    <w:p w14:paraId="19266C12" w14:textId="77777777" w:rsidR="00CB082C" w:rsidRDefault="00CB082C">
      <w:pPr>
        <w:jc w:val="center"/>
        <w:rPr>
          <w:color w:val="505050"/>
          <w:sz w:val="28"/>
          <w:szCs w:val="28"/>
        </w:rPr>
      </w:pPr>
      <w:r>
        <w:rPr>
          <w:color w:val="505050"/>
          <w:sz w:val="28"/>
          <w:szCs w:val="28"/>
        </w:rPr>
        <w:t xml:space="preserve">Michelle Winkett - </w:t>
      </w:r>
    </w:p>
    <w:p w14:paraId="4921B365" w14:textId="77777777" w:rsidR="00CB082C" w:rsidRDefault="00CB082C">
      <w:pPr>
        <w:jc w:val="center"/>
        <w:rPr>
          <w:color w:val="505050"/>
          <w:sz w:val="28"/>
          <w:szCs w:val="28"/>
        </w:rPr>
      </w:pPr>
      <w:r>
        <w:rPr>
          <w:color w:val="505050"/>
          <w:sz w:val="28"/>
          <w:szCs w:val="28"/>
        </w:rPr>
        <w:t>Student Number: 2004059</w:t>
      </w:r>
    </w:p>
    <w:p w14:paraId="3918EC1A" w14:textId="6BA58D11" w:rsidR="00BB7EA9" w:rsidRDefault="00BB7EA9">
      <w:pPr>
        <w:jc w:val="center"/>
      </w:pPr>
    </w:p>
    <w:p w14:paraId="0C266E8D" w14:textId="77777777" w:rsidR="00BB7EA9" w:rsidRDefault="00BB7EA9">
      <w:pPr>
        <w:pStyle w:val="Title1"/>
      </w:pPr>
      <w:r>
        <w:t xml:space="preserve">Blog 1. By Michelle Winkett -        Photo by </w:t>
      </w:r>
      <w:hyperlink r:id="rId12">
        <w:r>
          <w:rPr>
            <w:rStyle w:val="SwayHyperlink"/>
          </w:rPr>
          <w:t>Jon Tyson</w:t>
        </w:r>
      </w:hyperlink>
      <w:r>
        <w:t xml:space="preserve"> on Unsplash</w:t>
      </w:r>
    </w:p>
    <w:p w14:paraId="396BC72D" w14:textId="77777777" w:rsidR="00BB7EA9" w:rsidRDefault="00BB7EA9">
      <w:pPr>
        <w:jc w:val="center"/>
      </w:pPr>
      <w:r>
        <w:rPr>
          <w:noProof/>
        </w:rPr>
        <w:drawing>
          <wp:inline distT="0" distB="0" distL="0" distR="0" wp14:anchorId="3C46EB69" wp14:editId="07C1F091">
            <wp:extent cx="2865755" cy="2047074"/>
            <wp:effectExtent l="0" t="0" r="0" b="0"/>
            <wp:docPr id="6" name="Pictur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3" cstate="print"/>
                    <a:stretch>
                      <a:fillRect/>
                    </a:stretch>
                  </pic:blipFill>
                  <pic:spPr>
                    <a:xfrm>
                      <a:off x="0" y="0"/>
                      <a:ext cx="2865755" cy="2047074"/>
                    </a:xfrm>
                    <a:prstGeom prst="rect">
                      <a:avLst/>
                    </a:prstGeom>
                  </pic:spPr>
                </pic:pic>
              </a:graphicData>
            </a:graphic>
          </wp:inline>
        </w:drawing>
      </w:r>
    </w:p>
    <w:p w14:paraId="76C4ECC6" w14:textId="77777777" w:rsidR="00BB7EA9" w:rsidRDefault="00AF0F24">
      <w:pPr>
        <w:pStyle w:val="Caption1"/>
      </w:pPr>
      <w:r>
        <w:fldChar w:fldCharType="begin"/>
      </w:r>
      <w:r>
        <w:instrText xml:space="preserve"> SEQ Figure \*ARABIC </w:instrText>
      </w:r>
      <w:r>
        <w:fldChar w:fldCharType="separate"/>
      </w:r>
      <w:r w:rsidR="00BB7EA9">
        <w:t>1</w:t>
      </w:r>
      <w:r>
        <w:fldChar w:fldCharType="end"/>
      </w:r>
      <w:r w:rsidR="00BB7EA9">
        <w:t xml:space="preserve"> - The importance of play on the overall development of children from birth</w:t>
      </w:r>
    </w:p>
    <w:p w14:paraId="7BBC698D" w14:textId="77777777" w:rsidR="00BB7EA9" w:rsidRDefault="00BB7EA9">
      <w:pPr>
        <w:pStyle w:val="Normal1"/>
      </w:pPr>
      <w:r>
        <w:t>Catherine Sewell Play Specialist defines that play is not superficial in the development of a child, but play "is" the development of the child. When children play, they build connections within the brain and with people around them. They experience internal "joy" and share in the joy the play brings to others (Raising Children Network, 2019). While a child is playing, they are improving their “image of self” because playing is accompanied by “frustration” and enjoyment. (Robinson, M., 2008).  </w:t>
      </w:r>
    </w:p>
    <w:p w14:paraId="062A4FB8" w14:textId="77777777" w:rsidR="00BB7EA9" w:rsidRDefault="00BB7EA9">
      <w:pPr>
        <w:pStyle w:val="Normal1"/>
      </w:pPr>
      <w:r>
        <w:t> </w:t>
      </w:r>
    </w:p>
    <w:p w14:paraId="2041054F" w14:textId="77777777" w:rsidR="00BB7EA9" w:rsidRDefault="00BB7EA9">
      <w:pPr>
        <w:pStyle w:val="Normal1"/>
      </w:pPr>
      <w:r>
        <w:t>The United Nations Convention on the Rights of the Child (UNCRC) and the Welsh Government’s overarching strategy document Rights to Action (2004) demonstrates that it is a practitioner's job to ensure that each child has an education that “develops personality and talent” and improves “personal and cultural identity” (Welsh Government, 2015). </w:t>
      </w:r>
    </w:p>
    <w:p w14:paraId="79757BC4" w14:textId="77777777" w:rsidR="00BB7EA9" w:rsidRDefault="00BB7EA9">
      <w:pPr>
        <w:pStyle w:val="Normal1"/>
      </w:pPr>
      <w:r>
        <w:t> </w:t>
      </w:r>
    </w:p>
    <w:p w14:paraId="2B1A06C4" w14:textId="77777777" w:rsidR="00BB7EA9" w:rsidRDefault="00BB7EA9">
      <w:pPr>
        <w:pStyle w:val="Normal1"/>
      </w:pPr>
      <w:r>
        <w:t>The “ideological framework” and “principles” that were developed after the works of Piaget, Vygotsky and Montessori and more in the 19th and early 20th centuries showed the need for “child centred” learning. These are sometimes referred to as “common law” ideas that shape education today (Neville, 1997). This work has continued to develop and is evident in the foundation phase framework in Wales today which states “Personal and Social Development, Well-being and Cultural Diversity is at the heart of the Foundation Phase” (Welsh Government, 2015) which is also supported by the Welsh Governments 2002 Play Policy which States that playing is the "process" of learning.  </w:t>
      </w:r>
    </w:p>
    <w:p w14:paraId="20824AB9" w14:textId="77777777" w:rsidR="00BB7EA9" w:rsidRPr="002A43C2" w:rsidRDefault="00BB7EA9">
      <w:pPr>
        <w:pStyle w:val="Heading1"/>
        <w:rPr>
          <w:color w:val="auto"/>
        </w:rPr>
      </w:pPr>
      <w:r w:rsidRPr="002A43C2">
        <w:rPr>
          <w:color w:val="auto"/>
        </w:rPr>
        <w:t xml:space="preserve">A young baby develops awareness of their own body movements before being able to understand the body language of others and spoken language. Play that is combined with repetition of </w:t>
      </w:r>
      <w:r w:rsidRPr="002A43C2">
        <w:rPr>
          <w:color w:val="auto"/>
        </w:rPr>
        <w:t>“</w:t>
      </w:r>
      <w:r w:rsidRPr="002A43C2">
        <w:rPr>
          <w:color w:val="auto"/>
        </w:rPr>
        <w:t>nouns</w:t>
      </w:r>
      <w:r w:rsidRPr="002A43C2">
        <w:rPr>
          <w:color w:val="auto"/>
        </w:rPr>
        <w:t>”</w:t>
      </w:r>
      <w:r w:rsidRPr="002A43C2">
        <w:rPr>
          <w:color w:val="auto"/>
        </w:rPr>
        <w:t xml:space="preserve"> related to parts of the body and movements can develop language, cognitive and physical abilities</w:t>
      </w:r>
      <w:r w:rsidRPr="002A43C2">
        <w:rPr>
          <w:color w:val="auto"/>
        </w:rPr>
        <w:t> </w:t>
      </w:r>
      <w:r w:rsidRPr="002A43C2">
        <w:rPr>
          <w:color w:val="auto"/>
        </w:rPr>
        <w:t>(Archer and</w:t>
      </w:r>
      <w:r w:rsidRPr="002A43C2">
        <w:rPr>
          <w:color w:val="auto"/>
        </w:rPr>
        <w:t> </w:t>
      </w:r>
      <w:r w:rsidRPr="002A43C2">
        <w:rPr>
          <w:color w:val="auto"/>
        </w:rPr>
        <w:t>Siraj, 2015).</w:t>
      </w:r>
      <w:r w:rsidRPr="002A43C2">
        <w:rPr>
          <w:color w:val="auto"/>
        </w:rPr>
        <w:t> </w:t>
      </w:r>
      <w:r w:rsidRPr="002A43C2">
        <w:rPr>
          <w:color w:val="auto"/>
        </w:rPr>
        <w:t xml:space="preserve">Photo by </w:t>
      </w:r>
      <w:hyperlink r:id="rId14">
        <w:r w:rsidRPr="002A43C2">
          <w:rPr>
            <w:rStyle w:val="SwayHyperlink"/>
            <w:color w:val="auto"/>
          </w:rPr>
          <w:t>Valeria Zoncoll</w:t>
        </w:r>
      </w:hyperlink>
      <w:r w:rsidRPr="002A43C2">
        <w:rPr>
          <w:color w:val="auto"/>
        </w:rPr>
        <w:t xml:space="preserve"> on Unsplash</w:t>
      </w:r>
    </w:p>
    <w:p w14:paraId="4179538E" w14:textId="77777777" w:rsidR="00BB7EA9" w:rsidRDefault="00BB7EA9">
      <w:pPr>
        <w:jc w:val="center"/>
      </w:pPr>
      <w:r>
        <w:rPr>
          <w:noProof/>
        </w:rPr>
        <w:drawing>
          <wp:inline distT="0" distB="0" distL="0" distR="0" wp14:anchorId="3636A0DA" wp14:editId="68C58B2F">
            <wp:extent cx="5731510" cy="3821006"/>
            <wp:effectExtent l="0" t="0" r="0" b="0"/>
            <wp:docPr id="7" name="Pictur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5" cstate="print"/>
                    <a:stretch>
                      <a:fillRect/>
                    </a:stretch>
                  </pic:blipFill>
                  <pic:spPr>
                    <a:xfrm>
                      <a:off x="0" y="0"/>
                      <a:ext cx="5731510" cy="3821006"/>
                    </a:xfrm>
                    <a:prstGeom prst="rect">
                      <a:avLst/>
                    </a:prstGeom>
                  </pic:spPr>
                </pic:pic>
              </a:graphicData>
            </a:graphic>
          </wp:inline>
        </w:drawing>
      </w:r>
    </w:p>
    <w:p w14:paraId="668738D6" w14:textId="77777777" w:rsidR="00BB7EA9" w:rsidRDefault="00BB7EA9">
      <w:pPr>
        <w:pStyle w:val="Normal1"/>
      </w:pPr>
      <w:r>
        <w:t>A journal published by the U.S National Library of Medicine National Institute of Health in 2012 relates playing to "early maturation" or "pretending" of a situation before it becomes necessary for survival (Wang and Aamodt, 2012) this means the children are practicing for maturity when they play and could be considered alongside Montessori's ideas about “child sized” furniture that could aid a children's perception of reality rather than fantasy (Neville, 1997). </w:t>
      </w:r>
    </w:p>
    <w:p w14:paraId="6C9C6A2B" w14:textId="77777777" w:rsidR="00BB7EA9" w:rsidRDefault="00BB7EA9">
      <w:pPr>
        <w:pStyle w:val="Normal1"/>
      </w:pPr>
      <w:r>
        <w:t> </w:t>
      </w:r>
    </w:p>
    <w:p w14:paraId="47A1DA33" w14:textId="77777777" w:rsidR="00BB7EA9" w:rsidRDefault="00BB7EA9">
      <w:pPr>
        <w:pStyle w:val="Normal1"/>
      </w:pPr>
      <w:r>
        <w:t>When a baby is 1-2 months old, he/she begins to giggle and make coo noises this can be imitated by the parents in a game of “sound copy”. This could help develop the muscle structure or tone in vocal area that is needed for the next stage of development between 6 and 12 months called “babbling” which shows play helps the baby transition from one stage of child development to another. (Boyd, D.R., Bee, D.R. &amp; Bee, Helen L., 2014).  </w:t>
      </w:r>
    </w:p>
    <w:p w14:paraId="273CA3A1" w14:textId="77777777" w:rsidR="00BB7EA9" w:rsidRDefault="00BB7EA9">
      <w:pPr>
        <w:pStyle w:val="Normal1"/>
      </w:pPr>
      <w:r>
        <w:t>When introducing new sounds, movements, and stimulus to young children it is important to remember that babbling is practice and prerequisite to speech and inner speech. According to Lev Vygotsky’s sociocultural theory “inner speach” is what the child will use to direct their behaviour and to develop thinking skills (Mcleod, 2018). Parents are the “more knowledgeable other” or (MKO) in the relationship so, by introducing our babies to new experiences Vygotsky believes we could be putting our youngest children unknowingly into the Zone of Proximal Development (ZPD) where they are trying to recreate what they hear and see. </w:t>
      </w:r>
    </w:p>
    <w:p w14:paraId="5C5E2DCE" w14:textId="77777777" w:rsidR="00BB7EA9" w:rsidRDefault="00BB7EA9">
      <w:pPr>
        <w:pStyle w:val="Normal1"/>
      </w:pPr>
      <w:r>
        <w:t> </w:t>
      </w:r>
    </w:p>
    <w:p w14:paraId="24101B45" w14:textId="77777777" w:rsidR="00BB7EA9" w:rsidRDefault="00BB7EA9">
      <w:pPr>
        <w:pStyle w:val="Normal1"/>
      </w:pPr>
      <w:r>
        <w:t>Jean Piaget’s constructivism theory on the other hand states of the stages of development of the child are due to nature rather than nurture which he calls “maturation” (Mcleod, 2018a). His theory seems to disagree that exposure to a greater range of stimulus would increase cognitive abilities at a younger age and that “nurturing” is not beneficial for child development. Further development of study since reveals that play aids development of language, increased thinking abilities, ability to move and control bodily function (Robinson, M., 2008). </w:t>
      </w:r>
    </w:p>
    <w:p w14:paraId="18F2DAF8" w14:textId="77777777" w:rsidR="00BB7EA9" w:rsidRDefault="00BB7EA9">
      <w:pPr>
        <w:pStyle w:val="Normal1"/>
      </w:pPr>
      <w:r>
        <w:t>The UK's Chief Medical Officers Report (2009) of Physical Activity does not use the word “play” where it could be linked to physical activity. The guidance states that each baby under 1yrs should receive 30 mins of "tummy time" per day and should experience floor-based activities like "crawling" but does not suggest activities or play that might include water games, tickling or bouncing or any information about how or what other varied stimulus could be or how it could aid overall development (Department of Health and Social Care, 2019).  </w:t>
      </w:r>
    </w:p>
    <w:p w14:paraId="37C718B6" w14:textId="77777777" w:rsidR="00BB7EA9" w:rsidRDefault="00BB7EA9">
      <w:pPr>
        <w:pStyle w:val="Normal1"/>
      </w:pPr>
      <w:r>
        <w:t> </w:t>
      </w:r>
    </w:p>
    <w:p w14:paraId="6C0BD5EE" w14:textId="77777777" w:rsidR="00BB7EA9" w:rsidRDefault="00BB7EA9" w:rsidP="00BB7EA9">
      <w:pPr>
        <w:pStyle w:val="Normal1"/>
      </w:pPr>
      <w:r>
        <w:t>Further information could benefit parents who are unsure of how best to incorporate play into physical activity but best outcomes for development are believed to be within an environment where the child's parents (or teachers) are "supportive" and the child has access to a multitude of "stimuli". (Boyd, D.R., Bee, D.R. &amp; Bee, Helen L., 2014). </w:t>
      </w:r>
    </w:p>
    <w:p w14:paraId="1D1B072C" w14:textId="77777777" w:rsidR="00BB7EA9" w:rsidRDefault="00BB7EA9" w:rsidP="00BB7EA9">
      <w:pPr>
        <w:pStyle w:val="Normal1"/>
      </w:pPr>
    </w:p>
    <w:p w14:paraId="30EED244" w14:textId="77777777" w:rsidR="00BB7EA9" w:rsidRPr="00BB7EA9" w:rsidRDefault="00BB7EA9" w:rsidP="00BB7EA9">
      <w:pPr>
        <w:pStyle w:val="Normal1"/>
      </w:pPr>
      <w:r w:rsidRPr="00BB7EA9">
        <w:t xml:space="preserve">If a child is not stimulated through play, they miss opportunity to develop emotional skills, thinking skills, full range of movement, and social abilities (Cooper, L., Doherty, J., 2011). Photo by </w:t>
      </w:r>
      <w:hyperlink r:id="rId16">
        <w:r w:rsidRPr="00BB7EA9">
          <w:rPr>
            <w:rStyle w:val="SwayHyperlink"/>
            <w:color w:val="auto"/>
          </w:rPr>
          <w:t>Nathan Dumlao</w:t>
        </w:r>
      </w:hyperlink>
      <w:r w:rsidRPr="00BB7EA9">
        <w:t xml:space="preserve"> on Unsplash</w:t>
      </w:r>
    </w:p>
    <w:p w14:paraId="79AE86DC" w14:textId="203BF4B8" w:rsidR="00234105" w:rsidRDefault="00BB7EA9">
      <w:pPr>
        <w:jc w:val="center"/>
      </w:pPr>
      <w:r>
        <w:rPr>
          <w:noProof/>
        </w:rPr>
        <w:drawing>
          <wp:inline distT="0" distB="0" distL="0" distR="0" wp14:anchorId="7D79688E" wp14:editId="3003B59C">
            <wp:extent cx="1679460" cy="2518207"/>
            <wp:effectExtent l="0" t="0" r="0" b="0"/>
            <wp:docPr id="8" name="Pictur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7" cstate="print"/>
                    <a:stretch>
                      <a:fillRect/>
                    </a:stretch>
                  </pic:blipFill>
                  <pic:spPr>
                    <a:xfrm>
                      <a:off x="0" y="0"/>
                      <a:ext cx="1689845" cy="2533779"/>
                    </a:xfrm>
                    <a:prstGeom prst="rect">
                      <a:avLst/>
                    </a:prstGeom>
                  </pic:spPr>
                </pic:pic>
              </a:graphicData>
            </a:graphic>
          </wp:inline>
        </w:drawing>
      </w:r>
    </w:p>
    <w:p w14:paraId="3727F1E3" w14:textId="12777067" w:rsidR="00CB082C" w:rsidRDefault="00CB082C">
      <w:pPr>
        <w:jc w:val="center"/>
      </w:pPr>
    </w:p>
    <w:p w14:paraId="0B1FD838" w14:textId="5FB683AE" w:rsidR="00CB082C" w:rsidRDefault="00CB082C">
      <w:r>
        <w:br w:type="page"/>
      </w:r>
    </w:p>
    <w:p w14:paraId="77E691E9" w14:textId="77777777" w:rsidR="00CB082C" w:rsidRDefault="00CB082C">
      <w:pPr>
        <w:jc w:val="center"/>
      </w:pPr>
    </w:p>
    <w:p w14:paraId="734330DB" w14:textId="4E927D37" w:rsidR="00CB082C" w:rsidRDefault="002A43C2">
      <w:pPr>
        <w:jc w:val="center"/>
      </w:pPr>
      <w:r>
        <w:t>Blog 2.</w:t>
      </w:r>
    </w:p>
    <w:p w14:paraId="32A6A058" w14:textId="3D622FCD" w:rsidR="00CB082C" w:rsidRDefault="00CB082C">
      <w:pPr>
        <w:jc w:val="center"/>
      </w:pPr>
    </w:p>
    <w:p w14:paraId="4C6861CA" w14:textId="501B3AA7" w:rsidR="002A43C2" w:rsidRPr="002A43C2" w:rsidRDefault="00CB082C" w:rsidP="002A43C2">
      <w:pPr>
        <w:pStyle w:val="Heading1"/>
        <w:rPr>
          <w:color w:val="auto"/>
        </w:rPr>
      </w:pPr>
      <w:r>
        <w:rPr>
          <w:noProof/>
        </w:rPr>
        <w:drawing>
          <wp:inline distT="0" distB="0" distL="0" distR="0" wp14:anchorId="332644C6" wp14:editId="00CDF00F">
            <wp:extent cx="3742373" cy="2494915"/>
            <wp:effectExtent l="0" t="0" r="0" b="0"/>
            <wp:docPr id="1" name="Pict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8" cstate="print"/>
                    <a:stretch>
                      <a:fillRect/>
                    </a:stretch>
                  </pic:blipFill>
                  <pic:spPr>
                    <a:xfrm>
                      <a:off x="0" y="0"/>
                      <a:ext cx="3746489" cy="2497659"/>
                    </a:xfrm>
                    <a:prstGeom prst="rect">
                      <a:avLst/>
                    </a:prstGeom>
                  </pic:spPr>
                </pic:pic>
              </a:graphicData>
            </a:graphic>
          </wp:inline>
        </w:drawing>
      </w:r>
      <w:r w:rsidR="002A43C2" w:rsidRPr="002A43C2">
        <w:rPr>
          <w:color w:val="auto"/>
        </w:rPr>
        <w:t xml:space="preserve"> How genetics, maternal factors</w:t>
      </w:r>
      <w:r w:rsidR="002A43C2" w:rsidRPr="002A43C2">
        <w:rPr>
          <w:color w:val="auto"/>
        </w:rPr>
        <w:t> </w:t>
      </w:r>
      <w:r w:rsidR="002A43C2" w:rsidRPr="002A43C2">
        <w:rPr>
          <w:color w:val="auto"/>
        </w:rPr>
        <w:t>and the</w:t>
      </w:r>
      <w:r w:rsidR="002A43C2" w:rsidRPr="002A43C2">
        <w:rPr>
          <w:color w:val="auto"/>
        </w:rPr>
        <w:t> </w:t>
      </w:r>
      <w:r w:rsidR="002A43C2" w:rsidRPr="002A43C2">
        <w:rPr>
          <w:color w:val="auto"/>
        </w:rPr>
        <w:t>environment</w:t>
      </w:r>
      <w:r w:rsidR="002A43C2" w:rsidRPr="002A43C2">
        <w:rPr>
          <w:color w:val="auto"/>
        </w:rPr>
        <w:t> </w:t>
      </w:r>
      <w:r w:rsidR="002A43C2" w:rsidRPr="002A43C2">
        <w:rPr>
          <w:color w:val="auto"/>
        </w:rPr>
        <w:t xml:space="preserve">can affect child development by Michelle Winkett - Photo by : </w:t>
      </w:r>
      <w:hyperlink r:id="rId19">
        <w:r w:rsidR="002A43C2" w:rsidRPr="002A43C2">
          <w:rPr>
            <w:rStyle w:val="SwayHyperlink"/>
            <w:color w:val="auto"/>
          </w:rPr>
          <w:t>freestocks</w:t>
        </w:r>
      </w:hyperlink>
      <w:r w:rsidR="002A43C2" w:rsidRPr="002A43C2">
        <w:rPr>
          <w:color w:val="auto"/>
        </w:rPr>
        <w:t xml:space="preserve"> on Unsplash </w:t>
      </w:r>
    </w:p>
    <w:p w14:paraId="33374AA8" w14:textId="5B7C7181" w:rsidR="00CB082C" w:rsidRDefault="00CB082C" w:rsidP="00CB082C">
      <w:pPr>
        <w:jc w:val="center"/>
      </w:pPr>
    </w:p>
    <w:p w14:paraId="4FDE000C" w14:textId="77777777" w:rsidR="00CB082C" w:rsidRDefault="00CB082C" w:rsidP="00CB082C">
      <w:pPr>
        <w:jc w:val="center"/>
      </w:pPr>
      <w:r>
        <w:rPr>
          <w:noProof/>
        </w:rPr>
        <w:drawing>
          <wp:inline distT="0" distB="0" distL="0" distR="0" wp14:anchorId="6E271169" wp14:editId="63AA54CF">
            <wp:extent cx="3246120" cy="2164080"/>
            <wp:effectExtent l="0" t="0" r="0" b="0"/>
            <wp:docPr id="2" name="Pictur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20" cstate="print"/>
                    <a:stretch>
                      <a:fillRect/>
                    </a:stretch>
                  </pic:blipFill>
                  <pic:spPr>
                    <a:xfrm>
                      <a:off x="0" y="0"/>
                      <a:ext cx="3246303" cy="2164202"/>
                    </a:xfrm>
                    <a:prstGeom prst="rect">
                      <a:avLst/>
                    </a:prstGeom>
                  </pic:spPr>
                </pic:pic>
              </a:graphicData>
            </a:graphic>
          </wp:inline>
        </w:drawing>
      </w:r>
    </w:p>
    <w:p w14:paraId="12B4AA06" w14:textId="77777777" w:rsidR="00CB082C" w:rsidRDefault="00CB082C" w:rsidP="00CB082C">
      <w:pPr>
        <w:pStyle w:val="Normal1"/>
      </w:pPr>
      <w:r>
        <w:t>Genetics are a rough explanation of the DNA passed from one generation to another rather than the DNA that connects us as humanity (Plomin and Petrill, 1997).  </w:t>
      </w:r>
    </w:p>
    <w:p w14:paraId="37EB5D9B" w14:textId="77777777" w:rsidR="00CB082C" w:rsidRDefault="00CB082C" w:rsidP="00CB082C">
      <w:pPr>
        <w:pStyle w:val="Normal1"/>
      </w:pPr>
    </w:p>
    <w:p w14:paraId="5B72CA57" w14:textId="77777777" w:rsidR="00CB082C" w:rsidRDefault="00CB082C" w:rsidP="00CB082C">
      <w:pPr>
        <w:pStyle w:val="Normal1"/>
      </w:pPr>
      <w:r>
        <w:t>Both "genetics" and the environment in which our children live are understood to shape the development of our children (Turkheimer, 2000) and it is believed that genes are responsible for 50 percent of the difference in intelligence (Medline Plus, n.d.). Theoretical history shows that the “social history” of explaining how a child develops has roots within biological maturation theories and environmental learning theories (Lindon, 2012). However, if for example the child has the “specific instructions” or genotype at conception to have a high IQ or large size this can still be affected by other factors like alcohol intake or smoking which could affect the Unborn's “nervous system” which can be caused by the behaviour of the child’s mother (Boyd, D.R., Bee, D.R. &amp; Bee, Helen L., 2014). </w:t>
      </w:r>
    </w:p>
    <w:p w14:paraId="5DC94CF0" w14:textId="77777777" w:rsidR="00CB082C" w:rsidRDefault="00CB082C" w:rsidP="00CB082C">
      <w:pPr>
        <w:pStyle w:val="Normal1"/>
      </w:pPr>
      <w:r>
        <w:t>Biological maturation theories are “based on pattern’s” in which a human develops via “instructions” within their genes which are initiated by “messages” within the brain that are a result of human nature and as part of the mammal species. On the other hand, Environmental learning theories are focused on what can be learned through “experience” and “consequences” and is sometimes called “behaviourism” (Lindon, 2012).  </w:t>
      </w:r>
    </w:p>
    <w:p w14:paraId="0E996B28" w14:textId="77777777" w:rsidR="00CB082C" w:rsidRDefault="00CB082C" w:rsidP="00CB082C">
      <w:pPr>
        <w:pStyle w:val="Normal1"/>
      </w:pPr>
      <w:r>
        <w:t> </w:t>
      </w:r>
    </w:p>
    <w:p w14:paraId="2EB09A73" w14:textId="77777777" w:rsidR="00CB082C" w:rsidRDefault="00CB082C" w:rsidP="00CB082C">
      <w:pPr>
        <w:pStyle w:val="Normal1"/>
      </w:pPr>
      <w:r>
        <w:t>It is important for a practitioner to remember when thinking about a child's natural development there could be contributing factors including developmental abnormalities during prenatal development. It is accepted that normal foetal growth is an important factor in determining a baby’s well-being or present illness or developmental problems and abnormality in growth is linked to “perinatal morbidity and mortality, and long-term adverse health outcomes” (Workalemahu et al., 2018). Also, there is several other “factor’s” named “teratogens” that can have a negative effect on an unborn child these include the “health” and overall condition of the mother from conception and during pregnancy, drug and alcohol consumption and environmental pollutants. The effects of which can vary dependant on the child/mother situation but can result in “cognitive, emotional and behavioural” issues in childhood (Crowley, 2017). </w:t>
      </w:r>
    </w:p>
    <w:p w14:paraId="4821FB1A" w14:textId="77777777" w:rsidR="00CB082C" w:rsidRDefault="00CB082C" w:rsidP="00CB082C">
      <w:pPr>
        <w:pStyle w:val="Normal1"/>
      </w:pPr>
      <w:r>
        <w:t>Other maternal factors of child development such as the mother experiencing “stress” when carrying a foetus could be detrimental to the health of the child as the stress hormones within the mother can “redirect nutrients” from the foetus risking malnutrition (Crowley, 2017). Stress is also connected to Pre-Term Birth or PTB and research shows that women who “experience” “major life events” or significant stress when carrying a child in the womb are 1.4 to 1.8 times more likely to give birth before full term is achieved (Dunkel Schetter and Tanner, 2012). </w:t>
      </w:r>
    </w:p>
    <w:p w14:paraId="5AAAFFAB" w14:textId="77777777" w:rsidR="00CB082C" w:rsidRDefault="00CB082C" w:rsidP="00CB082C">
      <w:pPr>
        <w:pStyle w:val="Normal1"/>
      </w:pPr>
      <w:r>
        <w:t> </w:t>
      </w:r>
    </w:p>
    <w:p w14:paraId="6D1F1A2F" w14:textId="77777777" w:rsidR="00CB082C" w:rsidRDefault="00CB082C" w:rsidP="00CB082C">
      <w:pPr>
        <w:pStyle w:val="Normal1"/>
      </w:pPr>
      <w:r>
        <w:t> </w:t>
      </w:r>
    </w:p>
    <w:p w14:paraId="5D3C7FD3" w14:textId="77777777" w:rsidR="00CB082C" w:rsidRDefault="00CB082C" w:rsidP="00CB082C">
      <w:pPr>
        <w:pStyle w:val="Normal1"/>
      </w:pPr>
      <w:r>
        <w:t>In the embryonic stage of development, the foetus forms all the internal organs between weeks 6-8 which are later “defined” in the stages between 8 weeks and birth because they are vital for “life outside the womb” (Boyd, D.R., Bee, D.R. &amp; Bee, Helen L., 2014). However, genes influence development of body size aid production of the growth hormone (GH) in the pituitary gland which is vital for the development of all bodily tissues apart from “the central nervous system and the genitals”. If a child lacks the GH they can be smaller in size another contributing factor which might affect the development of a child is a lack of the “thyroid stimulating hormone (TSH) which is essential to “prompt” the thyroid gland to produce “thyroxin” which is vital for “brain development” and for the full effects of the GH on the size of the child. If a child is born with a “thyroxine deficiency” and without early detection and treatment can “suffer from severe mental impairment (Crowley, 2017). </w:t>
      </w:r>
    </w:p>
    <w:p w14:paraId="75009A24" w14:textId="4410DBC2" w:rsidR="00CB082C" w:rsidRDefault="00CB082C" w:rsidP="00CB082C">
      <w:pPr>
        <w:pStyle w:val="Normal1"/>
      </w:pPr>
      <w:r>
        <w:t>B.F. Skinner the psychologist who was impacted by the work of Pavlov (1849-1936) had the idea of “learning through direct experience” where exposure to the environment also has an effect the child after birth (Lindon, 2012). This can be compared to the social genetic effects or SGE that can have an impact on individual development and means the effect a person's constitution or phenotype could have on another person's composition (Moore AJ, Brodie ED III, 1997). One interesting way to put this into context is a study called The Spread of Obesity in a Large Social Network which revealed that a person can be 57% more likely to gain weight if a person from their social group does (Christakis and Fowler, 2007) meaning, that we can be influenced aside of our genetics to differing outcomes according to our family members, friends, and social contact with others. </w:t>
      </w:r>
    </w:p>
    <w:p w14:paraId="55CB716D" w14:textId="78CB352A" w:rsidR="002A43C2" w:rsidRDefault="002A43C2" w:rsidP="00CB082C">
      <w:pPr>
        <w:pStyle w:val="Normal1"/>
      </w:pPr>
    </w:p>
    <w:p w14:paraId="26C392E8" w14:textId="66D48A3F" w:rsidR="002A43C2" w:rsidRDefault="002A43C2" w:rsidP="00CB082C">
      <w:pPr>
        <w:pStyle w:val="Normal1"/>
      </w:pPr>
      <w:r>
        <w:t>Blog 3.</w:t>
      </w:r>
    </w:p>
    <w:p w14:paraId="02C870DA" w14:textId="5E9E0621" w:rsidR="002A43C2" w:rsidRDefault="002A43C2" w:rsidP="00CB082C">
      <w:pPr>
        <w:pStyle w:val="Normal1"/>
      </w:pPr>
    </w:p>
    <w:p w14:paraId="6F5DFCE6" w14:textId="4EE3BAEE" w:rsidR="002A43C2" w:rsidRDefault="002A43C2" w:rsidP="00CB082C">
      <w:pPr>
        <w:pStyle w:val="Normal1"/>
      </w:pPr>
      <w:r>
        <w:rPr>
          <w:noProof/>
        </w:rPr>
        <w:drawing>
          <wp:inline distT="0" distB="0" distL="0" distR="0" wp14:anchorId="5DF4A64A" wp14:editId="1C653AFB">
            <wp:extent cx="2211070" cy="1473965"/>
            <wp:effectExtent l="0" t="0" r="0" b="0"/>
            <wp:docPr id="9" name="Pict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21" cstate="print"/>
                    <a:stretch>
                      <a:fillRect/>
                    </a:stretch>
                  </pic:blipFill>
                  <pic:spPr>
                    <a:xfrm>
                      <a:off x="0" y="0"/>
                      <a:ext cx="2214288" cy="1476110"/>
                    </a:xfrm>
                    <a:prstGeom prst="rect">
                      <a:avLst/>
                    </a:prstGeom>
                  </pic:spPr>
                </pic:pic>
              </a:graphicData>
            </a:graphic>
          </wp:inline>
        </w:drawing>
      </w:r>
    </w:p>
    <w:p w14:paraId="118724FD" w14:textId="04DB62E3" w:rsidR="002A43C2" w:rsidRDefault="002A43C2" w:rsidP="00CB082C">
      <w:pPr>
        <w:pStyle w:val="Normal1"/>
      </w:pPr>
    </w:p>
    <w:p w14:paraId="5206E40A" w14:textId="77777777" w:rsidR="002A43C2" w:rsidRDefault="002A43C2" w:rsidP="002A43C2">
      <w:pPr>
        <w:pStyle w:val="Title1"/>
      </w:pPr>
      <w:r>
        <w:t xml:space="preserve">Blog 3. Michelle Winkett - Photo by </w:t>
      </w:r>
      <w:hyperlink r:id="rId22">
        <w:r>
          <w:rPr>
            <w:rStyle w:val="SwayHyperlink"/>
          </w:rPr>
          <w:t>Tony Hand</w:t>
        </w:r>
      </w:hyperlink>
      <w:r>
        <w:t xml:space="preserve"> on Unsplash</w:t>
      </w:r>
    </w:p>
    <w:p w14:paraId="6D6729B9" w14:textId="564C1760" w:rsidR="002A43C2" w:rsidRPr="002A43C2" w:rsidRDefault="002A43C2" w:rsidP="002A43C2">
      <w:pPr>
        <w:pStyle w:val="Heading1"/>
        <w:rPr>
          <w:color w:val="auto"/>
        </w:rPr>
      </w:pPr>
      <w:r w:rsidRPr="002A43C2">
        <w:rPr>
          <w:color w:val="auto"/>
        </w:rPr>
        <w:t xml:space="preserve">How malnutrition can affect child development - Photo by </w:t>
      </w:r>
      <w:hyperlink r:id="rId23">
        <w:r w:rsidRPr="002A43C2">
          <w:rPr>
            <w:rStyle w:val="SwayHyperlink"/>
            <w:color w:val="auto"/>
          </w:rPr>
          <w:t>hui sang</w:t>
        </w:r>
      </w:hyperlink>
      <w:r w:rsidRPr="002A43C2">
        <w:rPr>
          <w:color w:val="auto"/>
        </w:rPr>
        <w:t xml:space="preserve"> on Unsplash</w:t>
      </w:r>
    </w:p>
    <w:p w14:paraId="29B89319" w14:textId="77777777" w:rsidR="002A43C2" w:rsidRDefault="002A43C2" w:rsidP="002A43C2">
      <w:pPr>
        <w:jc w:val="center"/>
      </w:pPr>
      <w:r>
        <w:rPr>
          <w:noProof/>
        </w:rPr>
        <w:drawing>
          <wp:inline distT="0" distB="0" distL="0" distR="0" wp14:anchorId="126BF729" wp14:editId="2E0A2577">
            <wp:extent cx="3529013" cy="2352675"/>
            <wp:effectExtent l="0" t="0" r="0" b="0"/>
            <wp:docPr id="10" name="Pictur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24" cstate="print"/>
                    <a:stretch>
                      <a:fillRect/>
                    </a:stretch>
                  </pic:blipFill>
                  <pic:spPr>
                    <a:xfrm>
                      <a:off x="0" y="0"/>
                      <a:ext cx="3531896" cy="2354597"/>
                    </a:xfrm>
                    <a:prstGeom prst="rect">
                      <a:avLst/>
                    </a:prstGeom>
                  </pic:spPr>
                </pic:pic>
              </a:graphicData>
            </a:graphic>
          </wp:inline>
        </w:drawing>
      </w:r>
    </w:p>
    <w:p w14:paraId="28EFE759" w14:textId="77777777" w:rsidR="002A43C2" w:rsidRDefault="002A43C2" w:rsidP="002A43C2">
      <w:pPr>
        <w:pStyle w:val="Normal1"/>
      </w:pPr>
      <w:r>
        <w:t>Malnutrition according to the Cambridge dictionary is defined as "physical weakness and bad health caused by having too little food, or too little of the types of food necessary for good health (Cambridge Dictionary, n.d.). </w:t>
      </w:r>
    </w:p>
    <w:p w14:paraId="168AFCD4" w14:textId="77777777" w:rsidR="002A43C2" w:rsidRDefault="002A43C2" w:rsidP="002A43C2">
      <w:pPr>
        <w:pStyle w:val="Normal1"/>
      </w:pPr>
    </w:p>
    <w:p w14:paraId="6D120D08" w14:textId="77777777" w:rsidR="002A43C2" w:rsidRDefault="002A43C2" w:rsidP="002A43C2">
      <w:pPr>
        <w:pStyle w:val="Normal1"/>
      </w:pPr>
      <w:r>
        <w:t>Nutrition plays a huge "factor" in "prenatal" well-being in the role of development of the “nervous system” so if the mother does not intake enough protein at the prenatal stage this negatively impacts the development of the brain. To what degree is dependent “largely on its timing in relation to various developmental events in the brain and, to a lesser extent, on the type and severity of the deprivation” (Morgan’e et al, 1993). </w:t>
      </w:r>
    </w:p>
    <w:p w14:paraId="688AD8B3" w14:textId="77777777" w:rsidR="002A43C2" w:rsidRDefault="002A43C2" w:rsidP="002A43C2">
      <w:pPr>
        <w:pStyle w:val="Normal1"/>
      </w:pPr>
      <w:r>
        <w:t>Three deficiencies in the prenatal stage of development can have “detrimental effects” on a child's “behavior and learning” that can be “permanent” these deficiencies are “protein-energy, iron, and iodine” (Scrimshaw, 1998). </w:t>
      </w:r>
    </w:p>
    <w:p w14:paraId="31A84157" w14:textId="77777777" w:rsidR="002A43C2" w:rsidRDefault="002A43C2" w:rsidP="002A43C2">
      <w:pPr>
        <w:pStyle w:val="Normal1"/>
      </w:pPr>
      <w:r>
        <w:t> </w:t>
      </w:r>
    </w:p>
    <w:p w14:paraId="1EDF792E" w14:textId="77777777" w:rsidR="002A43C2" w:rsidRDefault="002A43C2" w:rsidP="002A43C2">
      <w:pPr>
        <w:pStyle w:val="Normal1"/>
      </w:pPr>
      <w:r>
        <w:t>The World Health Organisation divides malnutrition into 4 subcategories that include “wasting, stunting, underweight, and deficiencies in vitamins and minerals”. They also state that if “inadequate” “micro-nutrients” are of “particular threat” to “children and pregnant women in low-income" Countries.  </w:t>
      </w:r>
    </w:p>
    <w:p w14:paraId="7E3893A1" w14:textId="77777777" w:rsidR="002A43C2" w:rsidRDefault="002A43C2" w:rsidP="002A43C2">
      <w:pPr>
        <w:pStyle w:val="Normal1"/>
      </w:pPr>
      <w:r>
        <w:t>Where the WHO state people “low-income countries” to describe the effect that poverty has on malnutrition there could be a better term used because even though the United Kingdom in 2015 was ranked as having the 26th best annual income in the world at -</w:t>
      </w:r>
    </w:p>
    <w:p w14:paraId="5B8470FC" w14:textId="77777777" w:rsidR="002A43C2" w:rsidRDefault="002A43C2" w:rsidP="002A43C2">
      <w:pPr>
        <w:pStyle w:val="Normal1"/>
      </w:pPr>
    </w:p>
    <w:p w14:paraId="02EF6A2A" w14:textId="77777777" w:rsidR="002A43C2" w:rsidRDefault="002A43C2" w:rsidP="002A43C2">
      <w:pPr>
        <w:pStyle w:val="Normal1"/>
      </w:pPr>
      <w:r>
        <w:t>42,220 ($) - (WorldData.info, 2015) </w:t>
      </w:r>
    </w:p>
    <w:p w14:paraId="35C86EFA" w14:textId="77777777" w:rsidR="002A43C2" w:rsidRDefault="002A43C2" w:rsidP="002A43C2">
      <w:pPr>
        <w:pStyle w:val="Normal1"/>
      </w:pPr>
      <w:r>
        <w:t> </w:t>
      </w:r>
    </w:p>
    <w:p w14:paraId="65563C9F" w14:textId="77777777" w:rsidR="002A43C2" w:rsidRDefault="002A43C2" w:rsidP="002A43C2">
      <w:pPr>
        <w:pStyle w:val="Normal1"/>
      </w:pPr>
      <w:r>
        <w:t>this does not reflect the actual population of the U.K considered to be on or below the poverty lines and between 2018/19 and U.K Parliament figures show that: </w:t>
      </w:r>
    </w:p>
    <w:p w14:paraId="38607B66" w14:textId="77777777" w:rsidR="002A43C2" w:rsidRDefault="002A43C2" w:rsidP="002A43C2">
      <w:pPr>
        <w:pStyle w:val="Normal1"/>
      </w:pPr>
      <w:r>
        <w:t> </w:t>
      </w:r>
    </w:p>
    <w:p w14:paraId="686AD783" w14:textId="77777777" w:rsidR="002A43C2" w:rsidRDefault="002A43C2" w:rsidP="002A43C2">
      <w:pPr>
        <w:pStyle w:val="Normal1"/>
      </w:pPr>
      <w:r>
        <w:t> </w:t>
      </w:r>
    </w:p>
    <w:p w14:paraId="65DAA629" w14:textId="77777777" w:rsidR="002A43C2" w:rsidRDefault="002A43C2" w:rsidP="002A43C2">
      <w:pPr>
        <w:pStyle w:val="Normal1"/>
        <w:numPr>
          <w:ilvl w:val="0"/>
          <w:numId w:val="1"/>
        </w:numPr>
      </w:pPr>
      <w:r>
        <w:t>“11.0 million people were in relative low income - (17% of the population), at a similar level to the year before”. </w:t>
      </w:r>
    </w:p>
    <w:p w14:paraId="1025707A" w14:textId="77777777" w:rsidR="002A43C2" w:rsidRDefault="002A43C2" w:rsidP="002A43C2">
      <w:pPr>
        <w:pStyle w:val="Normal1"/>
      </w:pPr>
      <w:r>
        <w:t> </w:t>
      </w:r>
    </w:p>
    <w:p w14:paraId="0758BC49" w14:textId="77777777" w:rsidR="002A43C2" w:rsidRDefault="002A43C2" w:rsidP="002A43C2">
      <w:pPr>
        <w:pStyle w:val="Normal1"/>
        <w:numPr>
          <w:ilvl w:val="0"/>
          <w:numId w:val="2"/>
        </w:numPr>
      </w:pPr>
      <w:r>
        <w:t>“14.5 million were in relative low income - (22%), also at a similar level to the year before” (Francis-Devine, 2021). </w:t>
      </w:r>
    </w:p>
    <w:p w14:paraId="723BE654" w14:textId="77777777" w:rsidR="002A43C2" w:rsidRDefault="002A43C2" w:rsidP="002A43C2">
      <w:pPr>
        <w:pStyle w:val="Normal1"/>
      </w:pPr>
      <w:r>
        <w:t> </w:t>
      </w:r>
    </w:p>
    <w:p w14:paraId="7F000BFD" w14:textId="77777777" w:rsidR="002A43C2" w:rsidRDefault="002A43C2" w:rsidP="002A43C2">
      <w:pPr>
        <w:pStyle w:val="Normal1"/>
      </w:pPr>
      <w:r>
        <w:t>Therefor it is important for practitioner’s to be aware that some children are at significant risk of malnutrition today and know the effects this has on child development.  </w:t>
      </w:r>
    </w:p>
    <w:p w14:paraId="3FD8E345" w14:textId="77777777" w:rsidR="002A43C2" w:rsidRDefault="002A43C2" w:rsidP="002A43C2">
      <w:pPr>
        <w:pStyle w:val="Normal1"/>
      </w:pPr>
      <w:r>
        <w:t>One of the most crucial factors of development at the prenatal stage is the adequate iron intake of the mother and deficiencies of this nutrient are linked to “intrauterine growth retardation” or abnormalities in growth within the gestational sac and prematurity. Similarly, the mother can experience symptoms which include “perinatal infection, pre-eclampsia, and bleeding” as reactions to low iron intake. </w:t>
      </w:r>
    </w:p>
    <w:p w14:paraId="7E93995E" w14:textId="77777777" w:rsidR="002A43C2" w:rsidRDefault="002A43C2" w:rsidP="002A43C2">
      <w:pPr>
        <w:pStyle w:val="Normal1"/>
      </w:pPr>
      <w:r>
        <w:t> </w:t>
      </w:r>
    </w:p>
    <w:p w14:paraId="7F6F9A0A" w14:textId="77777777" w:rsidR="002A43C2" w:rsidRDefault="002A43C2" w:rsidP="002A43C2">
      <w:pPr>
        <w:pStyle w:val="Normal1"/>
      </w:pPr>
      <w:r>
        <w:t>Good nutrition during pregnancy is linked to positive health outcomes in development, at birth and in later life as from the very beginning of the pregnancy “nutrients from body stores” are “liberated” (Scientific Advisory Committee, 2011). </w:t>
      </w:r>
    </w:p>
    <w:p w14:paraId="77756B3D" w14:textId="77777777" w:rsidR="002A43C2" w:rsidRDefault="002A43C2" w:rsidP="002A43C2">
      <w:pPr>
        <w:pStyle w:val="Normal1"/>
      </w:pPr>
      <w:r>
        <w:t>After birth, a child’s growth can be determined by “nutritional intake” and breast milk is believed to be the “best source” for the child and the benefits “extend beyond nutritional value” and consumption has positive effects on the child’s ability to “fight disease” (Crowley, 2017). </w:t>
      </w:r>
    </w:p>
    <w:p w14:paraId="6E9FFBDE" w14:textId="77777777" w:rsidR="002A43C2" w:rsidRDefault="002A43C2" w:rsidP="002A43C2">
      <w:pPr>
        <w:pStyle w:val="Normal1"/>
      </w:pPr>
      <w:r>
        <w:t> </w:t>
      </w:r>
    </w:p>
    <w:p w14:paraId="0A8E6578" w14:textId="77777777" w:rsidR="002A43C2" w:rsidRDefault="002A43C2" w:rsidP="002A43C2">
      <w:pPr>
        <w:pStyle w:val="Normal1"/>
      </w:pPr>
      <w:r>
        <w:t> </w:t>
      </w:r>
    </w:p>
    <w:p w14:paraId="13D75CC7" w14:textId="77777777" w:rsidR="002A43C2" w:rsidRDefault="002A43C2" w:rsidP="002A43C2">
      <w:pPr>
        <w:pStyle w:val="Normal1"/>
      </w:pPr>
      <w:r>
        <w:t>In the case of children born with malnutrition “supplementation with adequate protein and calories during the first two years of life improves the cognitive performance of poorly nourished children” (Scrimshaw, 1998) </w:t>
      </w:r>
    </w:p>
    <w:p w14:paraId="480EE9E7" w14:textId="77777777" w:rsidR="002A43C2" w:rsidRDefault="002A43C2" w:rsidP="002A43C2">
      <w:pPr>
        <w:pStyle w:val="Normal1"/>
      </w:pPr>
      <w:r>
        <w:t> </w:t>
      </w:r>
    </w:p>
    <w:p w14:paraId="7F3011D0" w14:textId="77777777" w:rsidR="002A43C2" w:rsidRDefault="002A43C2" w:rsidP="002A43C2">
      <w:pPr>
        <w:pStyle w:val="Normal1"/>
      </w:pPr>
      <w:r>
        <w:t>In recent years figures related to children claiming free school meals as a result of a low income that falls below national minimal standards in “Britain” increased from 38% in 2013-14 to 80% in 2015-16 (History &amp; Policy, 2019) showing a 42% increase in those considered to be living below national standards therefor, an increase in children living in poverty. </w:t>
      </w:r>
    </w:p>
    <w:p w14:paraId="72286307" w14:textId="77777777" w:rsidR="002A43C2" w:rsidRDefault="002A43C2" w:rsidP="002A43C2">
      <w:pPr>
        <w:pStyle w:val="Normal1"/>
      </w:pPr>
      <w:r>
        <w:t>Highlighting this point further with current information is the fact that since the start of Corona-virus “200,000” children miss meals regularly or “daily” according to the results of a poll (The Food Foundation, 2020) which states that currently “five million people” have felt “food-insecurity” (Keith, 2020). This information as a practitioner is relevant today because of the variety of socio-economic backgrounds the children we that we teach and is relevant to how poverty and malnutrition will continue to affect future generations and how frequently we can expect children to be affected developmentally by malnutrition. To put it simply, children who have or are experiencing malnutrition are “less likely to achieve their developmental goals on time, or to achieve their potential at school (Keith, 2020). </w:t>
      </w:r>
    </w:p>
    <w:p w14:paraId="6F6D5FF3" w14:textId="4029B337" w:rsidR="002A43C2" w:rsidRDefault="002A43C2" w:rsidP="00CB082C">
      <w:pPr>
        <w:pStyle w:val="Normal1"/>
      </w:pPr>
    </w:p>
    <w:p w14:paraId="1ACD09B1" w14:textId="46F9946E" w:rsidR="002A43C2" w:rsidRDefault="002A43C2" w:rsidP="00CB082C">
      <w:pPr>
        <w:pStyle w:val="Normal1"/>
      </w:pPr>
    </w:p>
    <w:p w14:paraId="6FC02496" w14:textId="20138B94" w:rsidR="002A43C2" w:rsidRDefault="002A43C2" w:rsidP="00CB082C">
      <w:pPr>
        <w:pStyle w:val="Normal1"/>
      </w:pPr>
      <w:r>
        <w:t>Blog 4.</w:t>
      </w:r>
    </w:p>
    <w:p w14:paraId="28DE6ACF" w14:textId="77B449F5" w:rsidR="002A43C2" w:rsidRDefault="002A43C2" w:rsidP="00CB082C">
      <w:pPr>
        <w:pStyle w:val="Normal1"/>
      </w:pPr>
    </w:p>
    <w:p w14:paraId="69D7B98C" w14:textId="77777777" w:rsidR="002A43C2" w:rsidRDefault="002A43C2" w:rsidP="002A43C2">
      <w:pPr>
        <w:jc w:val="center"/>
      </w:pPr>
      <w:r>
        <w:rPr>
          <w:noProof/>
        </w:rPr>
        <w:drawing>
          <wp:inline distT="0" distB="0" distL="0" distR="0" wp14:anchorId="23899516" wp14:editId="1F9D7847">
            <wp:extent cx="1463564" cy="1976815"/>
            <wp:effectExtent l="0" t="0" r="0" b="0"/>
            <wp:docPr id="11" name="Pict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25" cstate="print"/>
                    <a:stretch>
                      <a:fillRect/>
                    </a:stretch>
                  </pic:blipFill>
                  <pic:spPr>
                    <a:xfrm>
                      <a:off x="0" y="0"/>
                      <a:ext cx="1472059" cy="1988289"/>
                    </a:xfrm>
                    <a:prstGeom prst="rect">
                      <a:avLst/>
                    </a:prstGeom>
                  </pic:spPr>
                </pic:pic>
              </a:graphicData>
            </a:graphic>
          </wp:inline>
        </w:drawing>
      </w:r>
    </w:p>
    <w:p w14:paraId="13F63216" w14:textId="77777777" w:rsidR="002A43C2" w:rsidRDefault="002A43C2" w:rsidP="002A43C2">
      <w:pPr>
        <w:pStyle w:val="Title1"/>
      </w:pPr>
      <w:r>
        <w:t>Blog 4 - Michelle Winkett</w:t>
      </w:r>
    </w:p>
    <w:p w14:paraId="66EC43FE" w14:textId="77777777" w:rsidR="002A43C2" w:rsidRPr="002A43C2" w:rsidRDefault="002A43C2" w:rsidP="002A43C2">
      <w:pPr>
        <w:pStyle w:val="Heading1"/>
        <w:rPr>
          <w:color w:val="auto"/>
        </w:rPr>
      </w:pPr>
      <w:r w:rsidRPr="002A43C2">
        <w:rPr>
          <w:color w:val="auto"/>
        </w:rPr>
        <w:t xml:space="preserve">Language development of children - Photo by </w:t>
      </w:r>
      <w:hyperlink r:id="rId26">
        <w:r w:rsidRPr="002A43C2">
          <w:rPr>
            <w:rStyle w:val="SwayHyperlink"/>
            <w:color w:val="auto"/>
          </w:rPr>
          <w:t>Jason Rosewell</w:t>
        </w:r>
      </w:hyperlink>
      <w:r w:rsidRPr="002A43C2">
        <w:rPr>
          <w:color w:val="auto"/>
        </w:rPr>
        <w:t xml:space="preserve"> on Unsplash</w:t>
      </w:r>
    </w:p>
    <w:p w14:paraId="10F9447D" w14:textId="77777777" w:rsidR="002A43C2" w:rsidRDefault="002A43C2" w:rsidP="002A43C2">
      <w:pPr>
        <w:jc w:val="center"/>
      </w:pPr>
      <w:r>
        <w:rPr>
          <w:noProof/>
        </w:rPr>
        <w:drawing>
          <wp:inline distT="0" distB="0" distL="0" distR="0" wp14:anchorId="7A27AFB4" wp14:editId="68AE33FF">
            <wp:extent cx="3704273" cy="2469515"/>
            <wp:effectExtent l="0" t="0" r="0" b="0"/>
            <wp:docPr id="12" name="Pictur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27" cstate="print"/>
                    <a:stretch>
                      <a:fillRect/>
                    </a:stretch>
                  </pic:blipFill>
                  <pic:spPr>
                    <a:xfrm>
                      <a:off x="0" y="0"/>
                      <a:ext cx="3707268" cy="2471512"/>
                    </a:xfrm>
                    <a:prstGeom prst="rect">
                      <a:avLst/>
                    </a:prstGeom>
                  </pic:spPr>
                </pic:pic>
              </a:graphicData>
            </a:graphic>
          </wp:inline>
        </w:drawing>
      </w:r>
    </w:p>
    <w:p w14:paraId="45C52163" w14:textId="77777777" w:rsidR="002A43C2" w:rsidRDefault="002A43C2" w:rsidP="002A43C2">
      <w:pPr>
        <w:pStyle w:val="Normal1"/>
      </w:pPr>
      <w:r>
        <w:t>Imitation is believed to be important for the development of speech but cannot explain a child’s use of “self-created” word grouping or phrases (Lindon, 2012). Some attempts were made by B. F. Skinner (1957) to explain the development of speech with the thought that a positive response to a child’s attempts at communication can help a child “flourish” but he believed parents did not “reward mistakes”. This is now contrary to widely held belief as many parent's “reward” differing attempts at communication from their children if correct or not. Correction of “most” of a child’s attempts at communication can impede the child’s language development (Lindon, 2012).</w:t>
      </w:r>
    </w:p>
    <w:p w14:paraId="369EB2B9" w14:textId="77777777" w:rsidR="002A43C2" w:rsidRDefault="002A43C2" w:rsidP="002A43C2">
      <w:pPr>
        <w:pStyle w:val="Normal1"/>
      </w:pPr>
      <w:r>
        <w:t>B.F. Skinners ideas were heavily criticised by Noam Chomsky during the 1950’s who believed that children “cannot” acquire the “tools” needed to understand an “infinite number of sentences” from language “input alone” (Lemetyinen, 2012) therefor, within the brain he believed was the ability to form a “recipe” of words or use a program of "innate Universal Grammar” to build an “infinite” number of unique sentences. He thought that language development is dependent on “innate biological maturation” of a child’s “readiness for language” which is pre-programmed by the genetic code (Lindon, 2012). This is a naturalistic approach to learning language.</w:t>
      </w:r>
    </w:p>
    <w:p w14:paraId="013B424C" w14:textId="77777777" w:rsidR="002A43C2" w:rsidRDefault="002A43C2" w:rsidP="002A43C2">
      <w:pPr>
        <w:pStyle w:val="Normal1"/>
      </w:pPr>
      <w:r>
        <w:t>However, it is now believed that babies and toddlers who experience “infant directed speech” or “nurture” of speech from parents and caregivers can help develop aspects of speech “slightly” quicker (Lindon, 2012).  </w:t>
      </w:r>
    </w:p>
    <w:p w14:paraId="596AFDFA" w14:textId="77777777" w:rsidR="002A43C2" w:rsidRDefault="002A43C2" w:rsidP="002A43C2">
      <w:pPr>
        <w:pStyle w:val="Normal1"/>
      </w:pPr>
      <w:r>
        <w:t> </w:t>
      </w:r>
    </w:p>
    <w:p w14:paraId="789E4BA4" w14:textId="77777777" w:rsidR="002A43C2" w:rsidRDefault="002A43C2" w:rsidP="002A43C2">
      <w:pPr>
        <w:pStyle w:val="Normal1"/>
      </w:pPr>
      <w:r>
        <w:t>Steve Pinker cognitive psychologist, linguist, and author was influenced by Chomsky’s ideas believes that children acquire language skills “in-part” because they “learned some grammar” from the “community” (Pinker, 2009). Pinker was excited by the development of “cognitive science” which encompasses “tools” from “psychology, linguistics, computer science, philosophy and neurobiology” to explain “human intelligence” and believed that language is a skill and is unprompted or an instinctive behavior that needed “no conscious effort” to develop meaning that biological maturation is responsible (Pinker, 1995). </w:t>
      </w:r>
    </w:p>
    <w:p w14:paraId="6BC8C67D" w14:textId="77777777" w:rsidR="002A43C2" w:rsidRDefault="002A43C2" w:rsidP="002A43C2">
      <w:pPr>
        <w:pStyle w:val="Normal1"/>
      </w:pPr>
      <w:r>
        <w:t>Inside the womb a baby “listens” to the voices and music that surround them (Magagna, 2013) and can “react” to the mother’s “vocalisation” which lends itself to some principles of theories by Skinner (1957) and Pinker (2009) in the way that the must baby have some “innate” listening skills. When using this “skill” information and sounds can be interpreted cognitively by the baby and can produce a physical reaction even before birth (Magagna, 2013). This means development of language skills starts during the pre-natal stage and is connected to the development of physical skills and cognitive skills in comprehensive or holistic way.  </w:t>
      </w:r>
    </w:p>
    <w:p w14:paraId="1073A99E" w14:textId="77777777" w:rsidR="002A43C2" w:rsidRDefault="002A43C2" w:rsidP="002A43C2">
      <w:pPr>
        <w:pStyle w:val="Normal1"/>
      </w:pPr>
      <w:r>
        <w:t> </w:t>
      </w:r>
    </w:p>
    <w:p w14:paraId="403EBDC8" w14:textId="77777777" w:rsidR="002A43C2" w:rsidRDefault="002A43C2" w:rsidP="002A43C2">
      <w:pPr>
        <w:pStyle w:val="Normal1"/>
      </w:pPr>
      <w:r>
        <w:t>After birth infants “appear” to be “social” and give attention to the voice of others so the “quality of adult communication” is of paramount importance (Lindon, 2012) as too is the importance of the “responses” from the baby to engagement with their carer or mother after birth because “unresponsiveness can be a “first sign” of developmental issues or disabilities that can affect a child's “social skills”.  </w:t>
      </w:r>
    </w:p>
    <w:p w14:paraId="42038204" w14:textId="77777777" w:rsidR="002A43C2" w:rsidRDefault="002A43C2" w:rsidP="002A43C2">
      <w:pPr>
        <w:pStyle w:val="Normal1"/>
      </w:pPr>
      <w:r>
        <w:t>Infants without concerns can generally communicate with “gestures” and “sounds” between the ages of 0-10 months dependent on the individual rate of development per child and should utter first words around 11-18 months. This period slightly overlaps the phase called “the naming explosion” where words are added rapidly between the ages of 16-24 months (Lindon, 2012).  </w:t>
      </w:r>
    </w:p>
    <w:p w14:paraId="1B9F9D8F" w14:textId="77777777" w:rsidR="002A43C2" w:rsidRDefault="002A43C2" w:rsidP="002A43C2">
      <w:pPr>
        <w:pStyle w:val="Normal1"/>
      </w:pPr>
      <w:r>
        <w:t> </w:t>
      </w:r>
    </w:p>
    <w:p w14:paraId="556C4313" w14:textId="77777777" w:rsidR="002A43C2" w:rsidRDefault="002A43C2" w:rsidP="002A43C2">
      <w:pPr>
        <w:pStyle w:val="Normal1"/>
      </w:pPr>
      <w:r>
        <w:t>When thinking about the children we teach, and language development is important not to forget from around 5 months a baby might use “hand gestures” to indicate “requests” or use “limbs and full body gestures” and facial expression to show “refusal” of compliance. When these “signs” are taken seriously by caregivers or parents in a way that “tries to give meaning” to the “signs” produced by the child it will “encourage the development of spoken language” (Lindon, 2012).  </w:t>
      </w:r>
    </w:p>
    <w:p w14:paraId="35561EB9" w14:textId="77777777" w:rsidR="002A43C2" w:rsidRDefault="002A43C2" w:rsidP="002A43C2">
      <w:pPr>
        <w:pStyle w:val="Normal1"/>
      </w:pPr>
      <w:r>
        <w:t>It is important as a practitioner to remember that “observations” of “depressed mother’s” has shown the “mother” maybe “less likely” to use baby talk however, the child would still learn to speak but the language may lack “richness” and “conversational” qualities. It is important that the mother receives “support” from others that is “non-judgemental" (Lindon, 2012). </w:t>
      </w:r>
    </w:p>
    <w:p w14:paraId="43E56B7C" w14:textId="77777777" w:rsidR="002A43C2" w:rsidRDefault="002A43C2" w:rsidP="002A43C2">
      <w:pPr>
        <w:pStyle w:val="Normal1"/>
      </w:pPr>
      <w:r>
        <w:t> </w:t>
      </w:r>
    </w:p>
    <w:p w14:paraId="03DA95DD" w14:textId="7E0DAEED" w:rsidR="002A43C2" w:rsidRDefault="002A43C2" w:rsidP="002A43C2">
      <w:pPr>
        <w:pStyle w:val="Normal1"/>
      </w:pPr>
      <w:r>
        <w:t>A study conducted to examine how “parental verbal and gesture input” can shape an infant's ideas about the “communicative functions of words and gestures” shows how we all develop individual meaning to language and that it is dependent on experiences and personal interpretation. The study shows that babies or infants initially accept both words and gestures as symbols because parents often produce both verbal labels and gestures but that these symbols and gestures can differ from child to child (Acredolo, Goodwyn and Namy, 2000). However, when considering this evidence, we do not teach a New-born baby to cry or frown when it needs something which lends itself to the idea of “innate biological” or in-built natural ability within all children to communicate from birth. </w:t>
      </w:r>
    </w:p>
    <w:p w14:paraId="6DFCAC83" w14:textId="11730585" w:rsidR="002A43C2" w:rsidRDefault="002A43C2" w:rsidP="002A43C2">
      <w:pPr>
        <w:pStyle w:val="Normal1"/>
      </w:pPr>
    </w:p>
    <w:p w14:paraId="04A77066" w14:textId="268FAB8F" w:rsidR="002A43C2" w:rsidRDefault="002A43C2" w:rsidP="002A43C2">
      <w:pPr>
        <w:pStyle w:val="Normal1"/>
      </w:pPr>
    </w:p>
    <w:p w14:paraId="70B550C2" w14:textId="76E80B13" w:rsidR="002A43C2" w:rsidRDefault="002A43C2" w:rsidP="002A43C2">
      <w:pPr>
        <w:pStyle w:val="Normal1"/>
      </w:pPr>
    </w:p>
    <w:p w14:paraId="3EFDC79F" w14:textId="28DFF202" w:rsidR="002A43C2" w:rsidRDefault="002A43C2" w:rsidP="002A43C2">
      <w:pPr>
        <w:pStyle w:val="Normal1"/>
      </w:pPr>
    </w:p>
    <w:p w14:paraId="32540900" w14:textId="77777777" w:rsidR="002A43C2" w:rsidRDefault="002A43C2" w:rsidP="002A43C2">
      <w:pPr>
        <w:pStyle w:val="Normal1"/>
      </w:pPr>
    </w:p>
    <w:p w14:paraId="428F8631" w14:textId="78983FF5" w:rsidR="00CB082C" w:rsidRDefault="00CB082C" w:rsidP="002A43C2">
      <w:pPr>
        <w:pStyle w:val="Normal1"/>
      </w:pPr>
      <w:r>
        <w:t>References</w:t>
      </w:r>
    </w:p>
    <w:p w14:paraId="0EB2CCCA" w14:textId="7C6710A9" w:rsidR="00CB082C" w:rsidRDefault="00CB082C" w:rsidP="00CB082C"/>
    <w:p w14:paraId="2ACE9E49" w14:textId="77777777" w:rsidR="00CB082C" w:rsidRDefault="00CB082C" w:rsidP="00CB082C">
      <w:pPr>
        <w:rPr>
          <w:color w:val="000000"/>
          <w:sz w:val="20"/>
          <w:szCs w:val="20"/>
        </w:rPr>
      </w:pPr>
      <w:r>
        <w:rPr>
          <w:color w:val="000000"/>
          <w:sz w:val="20"/>
          <w:szCs w:val="20"/>
        </w:rPr>
        <w:t xml:space="preserve">Abu-Ouf, N. and Jan, M. (2015). The impact of maternal iron deficiency and iron deficiency anemia on child s health. </w:t>
      </w:r>
      <w:r>
        <w:rPr>
          <w:i/>
          <w:iCs/>
          <w:color w:val="000000"/>
          <w:sz w:val="20"/>
          <w:szCs w:val="20"/>
        </w:rPr>
        <w:t>Saudi Medical Journal</w:t>
      </w:r>
      <w:r>
        <w:rPr>
          <w:color w:val="000000"/>
          <w:sz w:val="20"/>
          <w:szCs w:val="20"/>
        </w:rPr>
        <w:t xml:space="preserve">, [online] 36(2), pp.146 149. Available at: </w:t>
      </w:r>
      <w:r>
        <w:rPr>
          <w:sz w:val="20"/>
          <w:szCs w:val="20"/>
        </w:rPr>
        <w:t>https://www.ncbi.nlm.nih.gov/pmc/articles/PMC4375689/</w:t>
      </w:r>
      <w:r>
        <w:rPr>
          <w:color w:val="000000"/>
          <w:sz w:val="20"/>
          <w:szCs w:val="20"/>
        </w:rPr>
        <w:t>.</w:t>
      </w:r>
    </w:p>
    <w:p w14:paraId="6A1AF72D" w14:textId="77777777" w:rsidR="00CB082C" w:rsidRDefault="00CB082C" w:rsidP="00CB082C">
      <w:pPr>
        <w:rPr>
          <w:sz w:val="20"/>
          <w:szCs w:val="20"/>
        </w:rPr>
      </w:pPr>
      <w:r>
        <w:rPr>
          <w:sz w:val="20"/>
          <w:szCs w:val="20"/>
        </w:rPr>
        <w:t xml:space="preserve">Acredolo, L., Goodwyn, S. and Namy, L. (2000). </w:t>
      </w:r>
      <w:r>
        <w:rPr>
          <w:i/>
          <w:iCs/>
          <w:sz w:val="20"/>
          <w:szCs w:val="20"/>
        </w:rPr>
        <w:t>ResearchGate</w:t>
      </w:r>
      <w:r>
        <w:rPr>
          <w:sz w:val="20"/>
          <w:szCs w:val="20"/>
        </w:rPr>
        <w:t>. [online] ResearchGate. Available at: https://www.researchgate.net/deref/http%3A%2F%2Fdx.doi.org%2F10.1023%2FA%3A1006601812056 [Accessed 22 Mar. 2021].</w:t>
      </w:r>
    </w:p>
    <w:p w14:paraId="17FC86AE" w14:textId="77777777" w:rsidR="00CB082C" w:rsidRDefault="00CB082C" w:rsidP="00CB082C">
      <w:pPr>
        <w:rPr>
          <w:color w:val="000000"/>
          <w:sz w:val="20"/>
          <w:szCs w:val="20"/>
        </w:rPr>
      </w:pPr>
      <w:r>
        <w:rPr>
          <w:color w:val="000000"/>
          <w:sz w:val="20"/>
          <w:szCs w:val="20"/>
        </w:rPr>
        <w:t xml:space="preserve">Archer, C. and Siraj, I. (2015). </w:t>
      </w:r>
      <w:r>
        <w:rPr>
          <w:i/>
          <w:iCs/>
          <w:color w:val="000000"/>
          <w:sz w:val="20"/>
          <w:szCs w:val="20"/>
        </w:rPr>
        <w:t>Encouraging Physical Development Through Movement-Play</w:t>
      </w:r>
      <w:r>
        <w:rPr>
          <w:color w:val="000000"/>
          <w:sz w:val="20"/>
          <w:szCs w:val="20"/>
        </w:rPr>
        <w:t xml:space="preserve">. [online] </w:t>
      </w:r>
      <w:r>
        <w:rPr>
          <w:i/>
          <w:iCs/>
          <w:color w:val="000000"/>
          <w:sz w:val="20"/>
          <w:szCs w:val="20"/>
        </w:rPr>
        <w:t>Google Books</w:t>
      </w:r>
      <w:r>
        <w:rPr>
          <w:color w:val="000000"/>
          <w:sz w:val="20"/>
          <w:szCs w:val="20"/>
        </w:rPr>
        <w:t xml:space="preserve">. SAGE. Available at: </w:t>
      </w:r>
      <w:r>
        <w:rPr>
          <w:sz w:val="20"/>
          <w:szCs w:val="20"/>
        </w:rPr>
        <w:t>https://www.google.co.uk/books/edition/Encouraging_Physical_Development_Through/t_saCAAAQBAJ?hl=en&amp;gbpv=1&amp;dq=play+and+physical+development&amp;pg=PP1&amp;printsec=frontcover</w:t>
      </w:r>
      <w:r>
        <w:rPr>
          <w:color w:val="000000"/>
          <w:sz w:val="20"/>
          <w:szCs w:val="20"/>
        </w:rPr>
        <w:t xml:space="preserve"> [Accessed 8 Mar. 2021].</w:t>
      </w:r>
    </w:p>
    <w:p w14:paraId="1054B68D" w14:textId="77777777" w:rsidR="00CB082C" w:rsidRDefault="00CB082C" w:rsidP="00CB082C">
      <w:pPr>
        <w:rPr>
          <w:color w:val="212121"/>
          <w:sz w:val="20"/>
          <w:szCs w:val="20"/>
        </w:rPr>
      </w:pPr>
      <w:r>
        <w:rPr>
          <w:color w:val="212121"/>
          <w:sz w:val="20"/>
          <w:szCs w:val="20"/>
        </w:rPr>
        <w:t xml:space="preserve">Avinun, R., Belsky, D. W., Belsky, J., Caspi, A., Harrington, H., Moffitt, T. E., Poulton, R., Ramrakha, S., &amp; Wertz, J., (2019). Genetics of nurture: A test of the hypothesis that parents  genetics predict their observed caregiving. </w:t>
      </w:r>
      <w:r>
        <w:rPr>
          <w:i/>
          <w:iCs/>
          <w:color w:val="212121"/>
          <w:sz w:val="20"/>
          <w:szCs w:val="20"/>
        </w:rPr>
        <w:t>Developmental Psychology, 55</w:t>
      </w:r>
      <w:r>
        <w:rPr>
          <w:color w:val="212121"/>
          <w:sz w:val="20"/>
          <w:szCs w:val="20"/>
        </w:rPr>
        <w:t>(7), 1461 1472</w:t>
      </w:r>
    </w:p>
    <w:p w14:paraId="15FA1A6E" w14:textId="77777777" w:rsidR="00CB082C" w:rsidRDefault="00CB082C" w:rsidP="00CB082C">
      <w:pPr>
        <w:rPr>
          <w:color w:val="000000"/>
          <w:sz w:val="20"/>
          <w:szCs w:val="20"/>
        </w:rPr>
      </w:pPr>
      <w:r>
        <w:rPr>
          <w:color w:val="000000"/>
          <w:sz w:val="20"/>
          <w:szCs w:val="20"/>
        </w:rPr>
        <w:t xml:space="preserve">Cambridge Dictionary (n.d.). </w:t>
      </w:r>
      <w:r>
        <w:rPr>
          <w:i/>
          <w:iCs/>
          <w:color w:val="000000"/>
          <w:sz w:val="20"/>
          <w:szCs w:val="20"/>
        </w:rPr>
        <w:t>MALNUTRITION | meaning in the Cambridge English Dictionary</w:t>
      </w:r>
      <w:r>
        <w:rPr>
          <w:color w:val="000000"/>
          <w:sz w:val="20"/>
          <w:szCs w:val="20"/>
        </w:rPr>
        <w:t xml:space="preserve">. [online] dictionary.cambridge.org. Available at: </w:t>
      </w:r>
      <w:r>
        <w:rPr>
          <w:sz w:val="20"/>
          <w:szCs w:val="20"/>
        </w:rPr>
        <w:t>https://dictionary.cambridge.org/dictionary/english/malnutrition</w:t>
      </w:r>
      <w:r>
        <w:rPr>
          <w:color w:val="000000"/>
          <w:sz w:val="20"/>
          <w:szCs w:val="20"/>
        </w:rPr>
        <w:t xml:space="preserve"> [Accessed 12 Mar. 2021].</w:t>
      </w:r>
    </w:p>
    <w:p w14:paraId="470CA158" w14:textId="77777777" w:rsidR="00CB082C" w:rsidRDefault="00CB082C" w:rsidP="00CB082C">
      <w:pPr>
        <w:rPr>
          <w:color w:val="000000"/>
          <w:sz w:val="20"/>
          <w:szCs w:val="20"/>
        </w:rPr>
      </w:pPr>
      <w:r>
        <w:rPr>
          <w:color w:val="000000"/>
          <w:sz w:val="20"/>
          <w:szCs w:val="20"/>
        </w:rPr>
        <w:t xml:space="preserve">Childrens MD (2014). </w:t>
      </w:r>
      <w:r>
        <w:rPr>
          <w:i/>
          <w:iCs/>
          <w:color w:val="000000"/>
          <w:sz w:val="20"/>
          <w:szCs w:val="20"/>
        </w:rPr>
        <w:t>Valentines day</w:t>
      </w:r>
      <w:r>
        <w:rPr>
          <w:color w:val="000000"/>
          <w:sz w:val="20"/>
          <w:szCs w:val="20"/>
        </w:rPr>
        <w:t xml:space="preserve">. </w:t>
      </w:r>
      <w:r>
        <w:rPr>
          <w:i/>
          <w:iCs/>
          <w:color w:val="000000"/>
          <w:sz w:val="20"/>
          <w:szCs w:val="20"/>
        </w:rPr>
        <w:t>ChildrensMD.org</w:t>
      </w:r>
      <w:r>
        <w:rPr>
          <w:color w:val="000000"/>
          <w:sz w:val="20"/>
          <w:szCs w:val="20"/>
        </w:rPr>
        <w:t xml:space="preserve">. Available at: </w:t>
      </w:r>
      <w:r>
        <w:rPr>
          <w:sz w:val="20"/>
          <w:szCs w:val="20"/>
        </w:rPr>
        <w:t>https://childrensmd.org/wp-content/uploads/2014/02/ValentinesDay.jpg</w:t>
      </w:r>
      <w:r>
        <w:rPr>
          <w:color w:val="000000"/>
          <w:sz w:val="20"/>
          <w:szCs w:val="20"/>
        </w:rPr>
        <w:t xml:space="preserve"> [Accessed 2 Mar. 2021].</w:t>
      </w:r>
    </w:p>
    <w:p w14:paraId="70C9E0EA" w14:textId="77777777" w:rsidR="00CB082C" w:rsidRDefault="00CB082C" w:rsidP="00CB082C">
      <w:pPr>
        <w:rPr>
          <w:color w:val="000000"/>
          <w:sz w:val="20"/>
          <w:szCs w:val="20"/>
        </w:rPr>
      </w:pPr>
      <w:r>
        <w:rPr>
          <w:color w:val="000000"/>
          <w:sz w:val="20"/>
          <w:szCs w:val="20"/>
        </w:rPr>
        <w:t xml:space="preserve">Children's Parliament (n.d.). </w:t>
      </w:r>
      <w:r>
        <w:rPr>
          <w:i/>
          <w:iCs/>
          <w:color w:val="000000"/>
          <w:sz w:val="20"/>
          <w:szCs w:val="20"/>
        </w:rPr>
        <w:t> I d play all day and night if I could  A REPORT ON CHILDREN S VIEWS ON THEIR RIGHT TO PLAY A CONSULTATION BY THE CHILDREN S PARLIAMENT ON BEHALF OF THE INTERNATIONAL PLAY ASSOCIATION (SCOTLAND)</w:t>
      </w:r>
      <w:r>
        <w:rPr>
          <w:color w:val="000000"/>
          <w:sz w:val="20"/>
          <w:szCs w:val="20"/>
        </w:rPr>
        <w:t xml:space="preserve">. [online]. Available at: </w:t>
      </w:r>
      <w:r>
        <w:rPr>
          <w:sz w:val="20"/>
          <w:szCs w:val="20"/>
        </w:rPr>
        <w:t>https://www.childrensparliament.org.uk/wp-content/uploads/Right-to-play-report-for-web.pdf</w:t>
      </w:r>
      <w:r>
        <w:rPr>
          <w:color w:val="000000"/>
          <w:sz w:val="20"/>
          <w:szCs w:val="20"/>
        </w:rPr>
        <w:t xml:space="preserve"> [Accessed 4 Mar. 2021].</w:t>
      </w:r>
    </w:p>
    <w:p w14:paraId="5E4390EE" w14:textId="77777777" w:rsidR="00CB082C" w:rsidRDefault="00CB082C" w:rsidP="00CB082C">
      <w:pPr>
        <w:rPr>
          <w:sz w:val="20"/>
          <w:szCs w:val="20"/>
        </w:rPr>
      </w:pPr>
      <w:r>
        <w:rPr>
          <w:sz w:val="20"/>
          <w:szCs w:val="20"/>
        </w:rPr>
        <w:t xml:space="preserve">Christakis, N.A. and Fowler, J.H. (2007). The Spread of Obesity in a Large Social Network over 32 Years. </w:t>
      </w:r>
      <w:r>
        <w:rPr>
          <w:i/>
          <w:iCs/>
          <w:sz w:val="20"/>
          <w:szCs w:val="20"/>
        </w:rPr>
        <w:t>New England Journal of Medicine</w:t>
      </w:r>
      <w:r>
        <w:rPr>
          <w:sz w:val="20"/>
          <w:szCs w:val="20"/>
        </w:rPr>
        <w:t>, 357(4), pp.370 379.</w:t>
      </w:r>
    </w:p>
    <w:p w14:paraId="51B9CAF2" w14:textId="77777777" w:rsidR="00CB082C" w:rsidRDefault="00CB082C" w:rsidP="00CB082C">
      <w:pPr>
        <w:rPr>
          <w:sz w:val="20"/>
          <w:szCs w:val="20"/>
        </w:rPr>
      </w:pPr>
      <w:r>
        <w:rPr>
          <w:sz w:val="20"/>
          <w:szCs w:val="20"/>
        </w:rPr>
        <w:t xml:space="preserve">Crowley, K. (2017). </w:t>
      </w:r>
      <w:r>
        <w:rPr>
          <w:i/>
          <w:iCs/>
          <w:sz w:val="20"/>
          <w:szCs w:val="20"/>
        </w:rPr>
        <w:t>Child development - a practical introduction.</w:t>
      </w:r>
      <w:r>
        <w:rPr>
          <w:sz w:val="20"/>
          <w:szCs w:val="20"/>
        </w:rPr>
        <w:t xml:space="preserve"> 2nd ed. Sage Publications Ltd.</w:t>
      </w:r>
    </w:p>
    <w:p w14:paraId="6A187729" w14:textId="77777777" w:rsidR="00CB082C" w:rsidRDefault="00CB082C" w:rsidP="00CB082C">
      <w:pPr>
        <w:rPr>
          <w:color w:val="000000"/>
          <w:sz w:val="20"/>
          <w:szCs w:val="20"/>
        </w:rPr>
      </w:pPr>
      <w:r>
        <w:rPr>
          <w:color w:val="000000"/>
          <w:sz w:val="20"/>
          <w:szCs w:val="20"/>
        </w:rPr>
        <w:t xml:space="preserve">Department of Health and Social Care (2019). </w:t>
      </w:r>
      <w:r>
        <w:rPr>
          <w:i/>
          <w:iCs/>
          <w:color w:val="000000"/>
          <w:sz w:val="20"/>
          <w:szCs w:val="20"/>
        </w:rPr>
        <w:t>UK Chief Medical Officers  Physical Activity Guidelines</w:t>
      </w:r>
      <w:r>
        <w:rPr>
          <w:color w:val="000000"/>
          <w:sz w:val="20"/>
          <w:szCs w:val="20"/>
        </w:rPr>
        <w:t xml:space="preserve">. [online] </w:t>
      </w:r>
      <w:r>
        <w:rPr>
          <w:i/>
          <w:iCs/>
          <w:color w:val="000000"/>
          <w:sz w:val="20"/>
          <w:szCs w:val="20"/>
        </w:rPr>
        <w:t>gov.uk</w:t>
      </w:r>
      <w:r>
        <w:rPr>
          <w:color w:val="000000"/>
          <w:sz w:val="20"/>
          <w:szCs w:val="20"/>
        </w:rPr>
        <w:t xml:space="preserve">. GOV.UK. Available at: </w:t>
      </w:r>
      <w:r>
        <w:rPr>
          <w:sz w:val="20"/>
          <w:szCs w:val="20"/>
        </w:rPr>
        <w:t>https://assets.publishing.service.gov.uk/government/uploads/system/uploads/attachment_data/file/832868/uk-chief-medical-officers-physical-activity-guidelines.pdf</w:t>
      </w:r>
      <w:r>
        <w:rPr>
          <w:color w:val="000000"/>
          <w:sz w:val="20"/>
          <w:szCs w:val="20"/>
        </w:rPr>
        <w:t xml:space="preserve"> [Accessed 4 Mar. 2021].</w:t>
      </w:r>
    </w:p>
    <w:p w14:paraId="3EEEC383" w14:textId="77777777" w:rsidR="00CB082C" w:rsidRDefault="00CB082C" w:rsidP="00CB082C">
      <w:pPr>
        <w:rPr>
          <w:sz w:val="20"/>
          <w:szCs w:val="20"/>
        </w:rPr>
      </w:pPr>
      <w:r>
        <w:rPr>
          <w:sz w:val="20"/>
          <w:szCs w:val="20"/>
        </w:rPr>
        <w:t xml:space="preserve">Dunkel Schetter, C. and Tanner, L. (2012). Anxiety, depression and stress in pregnancy. </w:t>
      </w:r>
      <w:r>
        <w:rPr>
          <w:i/>
          <w:iCs/>
          <w:sz w:val="20"/>
          <w:szCs w:val="20"/>
        </w:rPr>
        <w:t>Current Opinion in Psychiatry</w:t>
      </w:r>
      <w:r>
        <w:rPr>
          <w:sz w:val="20"/>
          <w:szCs w:val="20"/>
        </w:rPr>
        <w:t>, 25(2), pp.141 148.</w:t>
      </w:r>
    </w:p>
    <w:p w14:paraId="21628B22" w14:textId="77777777" w:rsidR="00CB082C" w:rsidRDefault="00CB082C" w:rsidP="00CB082C">
      <w:pPr>
        <w:rPr>
          <w:color w:val="000000"/>
          <w:sz w:val="20"/>
          <w:szCs w:val="20"/>
        </w:rPr>
      </w:pPr>
      <w:r>
        <w:rPr>
          <w:color w:val="000000"/>
          <w:sz w:val="20"/>
          <w:szCs w:val="20"/>
        </w:rPr>
        <w:t xml:space="preserve">FoodFoundation.org.uk. (2020). </w:t>
      </w:r>
      <w:r>
        <w:rPr>
          <w:i/>
          <w:iCs/>
          <w:color w:val="000000"/>
          <w:sz w:val="20"/>
          <w:szCs w:val="20"/>
        </w:rPr>
        <w:t>NEW POLL DATA: MORE THAN FIVE MILLION PEOPLE IN HOUSEHOLDS WITH CHILDREN HAVE EXPERIENCED FOOD INSECURITY SINCE LOCKDOWN BEGAN - Food Foundation</w:t>
      </w:r>
      <w:r>
        <w:rPr>
          <w:color w:val="000000"/>
          <w:sz w:val="20"/>
          <w:szCs w:val="20"/>
        </w:rPr>
        <w:t xml:space="preserve">. [online] Available at: </w:t>
      </w:r>
      <w:r>
        <w:rPr>
          <w:sz w:val="20"/>
          <w:szCs w:val="20"/>
        </w:rPr>
        <w:t>https://foodfoundation.org.uk/vulnerable_groups/new-poll-data-more-than-five-million-people-in-households-with-children-have-experienced-food-insecurity-since-lockdown-began/</w:t>
      </w:r>
      <w:r>
        <w:rPr>
          <w:color w:val="000000"/>
          <w:sz w:val="20"/>
          <w:szCs w:val="20"/>
        </w:rPr>
        <w:t xml:space="preserve"> [Accessed 12 Mar. 2021].</w:t>
      </w:r>
    </w:p>
    <w:p w14:paraId="744ED9AC" w14:textId="77777777" w:rsidR="00CB082C" w:rsidRDefault="00CB082C" w:rsidP="00CB082C">
      <w:pPr>
        <w:rPr>
          <w:color w:val="000000"/>
          <w:sz w:val="20"/>
          <w:szCs w:val="20"/>
        </w:rPr>
      </w:pPr>
      <w:r>
        <w:rPr>
          <w:color w:val="000000"/>
          <w:sz w:val="20"/>
          <w:szCs w:val="20"/>
        </w:rPr>
        <w:t xml:space="preserve">Francis-Devine, B. (2021). Poverty in the UK: statistics. </w:t>
      </w:r>
      <w:r>
        <w:rPr>
          <w:i/>
          <w:iCs/>
          <w:color w:val="000000"/>
          <w:sz w:val="20"/>
          <w:szCs w:val="20"/>
        </w:rPr>
        <w:t>commonslibrary.parliament.uk</w:t>
      </w:r>
      <w:r>
        <w:rPr>
          <w:color w:val="000000"/>
          <w:sz w:val="20"/>
          <w:szCs w:val="20"/>
        </w:rPr>
        <w:t xml:space="preserve">. [online] Available at: </w:t>
      </w:r>
      <w:r>
        <w:rPr>
          <w:sz w:val="20"/>
          <w:szCs w:val="20"/>
        </w:rPr>
        <w:t>https://commonslibrary.parliament.uk/research-briefings/sn07096/#:~:text=In%202018%2F19%3A</w:t>
      </w:r>
      <w:r>
        <w:rPr>
          <w:color w:val="000000"/>
          <w:sz w:val="20"/>
          <w:szCs w:val="20"/>
        </w:rPr>
        <w:t xml:space="preserve"> [Accessed 12 Mar. 2021].</w:t>
      </w:r>
    </w:p>
    <w:p w14:paraId="4E7CDB39" w14:textId="77777777" w:rsidR="00CB082C" w:rsidRDefault="00CB082C" w:rsidP="00CB082C">
      <w:pPr>
        <w:rPr>
          <w:sz w:val="20"/>
          <w:szCs w:val="20"/>
        </w:rPr>
      </w:pPr>
      <w:r>
        <w:rPr>
          <w:color w:val="000000"/>
          <w:sz w:val="20"/>
          <w:szCs w:val="20"/>
        </w:rPr>
        <w:t xml:space="preserve">Grantz, K.L., </w:t>
      </w:r>
      <w:r>
        <w:rPr>
          <w:sz w:val="20"/>
          <w:szCs w:val="20"/>
        </w:rPr>
        <w:t xml:space="preserve">Grewal, J., </w:t>
      </w:r>
      <w:r>
        <w:rPr>
          <w:color w:val="000000"/>
          <w:sz w:val="20"/>
          <w:szCs w:val="20"/>
        </w:rPr>
        <w:t xml:space="preserve">Louis, G.M.B., </w:t>
      </w:r>
      <w:r>
        <w:rPr>
          <w:sz w:val="20"/>
          <w:szCs w:val="20"/>
        </w:rPr>
        <w:t xml:space="preserve">Tekola-Ayele, F., Workalemahu, T., and Zhang, C. (2018). Genetic and Environmental Influences on Fetal Growth Vary during Sensitive Periods in Pregnancy. </w:t>
      </w:r>
      <w:r>
        <w:rPr>
          <w:i/>
          <w:iCs/>
          <w:sz w:val="20"/>
          <w:szCs w:val="20"/>
        </w:rPr>
        <w:t>Scientific Reports</w:t>
      </w:r>
      <w:r>
        <w:rPr>
          <w:sz w:val="20"/>
          <w:szCs w:val="20"/>
        </w:rPr>
        <w:t>, [online] 8(1). Available at: https://www.nature.com/articles/s41598-018-25706-z [Accessed 8 Mar. 2021].</w:t>
      </w:r>
    </w:p>
    <w:p w14:paraId="7C400FA2" w14:textId="77777777" w:rsidR="00CB082C" w:rsidRDefault="00CB082C" w:rsidP="00CB082C">
      <w:pPr>
        <w:rPr>
          <w:color w:val="000000"/>
          <w:sz w:val="20"/>
          <w:szCs w:val="20"/>
        </w:rPr>
      </w:pPr>
      <w:r>
        <w:rPr>
          <w:color w:val="000000"/>
          <w:sz w:val="20"/>
          <w:szCs w:val="20"/>
        </w:rPr>
        <w:t xml:space="preserve">History &amp; Policy (2019). </w:t>
      </w:r>
      <w:r>
        <w:rPr>
          <w:i/>
          <w:iCs/>
          <w:color w:val="000000"/>
          <w:sz w:val="20"/>
          <w:szCs w:val="20"/>
        </w:rPr>
        <w:t>The provision of school meals since 1906: progress or a recipe for disaster?</w:t>
      </w:r>
      <w:r>
        <w:rPr>
          <w:color w:val="000000"/>
          <w:sz w:val="20"/>
          <w:szCs w:val="20"/>
        </w:rPr>
        <w:t xml:space="preserve"> [online] History &amp; Policy. Available at: </w:t>
      </w:r>
      <w:r>
        <w:rPr>
          <w:sz w:val="20"/>
          <w:szCs w:val="20"/>
        </w:rPr>
        <w:t>http://www.historyandpolicy.org/policy-papers/papers/the-provision-of-school-meals-since-1906-progress-or-a-recipe-for-disaster</w:t>
      </w:r>
      <w:r>
        <w:rPr>
          <w:color w:val="000000"/>
          <w:sz w:val="20"/>
          <w:szCs w:val="20"/>
        </w:rPr>
        <w:t xml:space="preserve"> [Accessed 12 Mar. 2021].</w:t>
      </w:r>
    </w:p>
    <w:p w14:paraId="5B1B6A02" w14:textId="77777777" w:rsidR="00CB082C" w:rsidRDefault="00CB082C" w:rsidP="00CB082C">
      <w:pPr>
        <w:rPr>
          <w:color w:val="000000"/>
          <w:sz w:val="20"/>
          <w:szCs w:val="20"/>
        </w:rPr>
      </w:pPr>
      <w:r>
        <w:rPr>
          <w:color w:val="000000"/>
          <w:sz w:val="20"/>
          <w:szCs w:val="20"/>
        </w:rPr>
        <w:t xml:space="preserve">Keith, R. (2020). </w:t>
      </w:r>
      <w:r>
        <w:rPr>
          <w:i/>
          <w:iCs/>
          <w:color w:val="000000"/>
          <w:sz w:val="20"/>
          <w:szCs w:val="20"/>
        </w:rPr>
        <w:t>Free School meals: the Lifelong Impact of Childhood Food Poverty</w:t>
      </w:r>
      <w:r>
        <w:rPr>
          <w:color w:val="000000"/>
          <w:sz w:val="20"/>
          <w:szCs w:val="20"/>
        </w:rPr>
        <w:t xml:space="preserve">. [online] The Conversation. Available at: </w:t>
      </w:r>
      <w:r>
        <w:rPr>
          <w:sz w:val="20"/>
          <w:szCs w:val="20"/>
        </w:rPr>
        <w:t>https://theconversation.com/free-school-meals-the-lifelong-impact-of-childhood-food-poverty-148660</w:t>
      </w:r>
      <w:r>
        <w:rPr>
          <w:color w:val="000000"/>
          <w:sz w:val="20"/>
          <w:szCs w:val="20"/>
        </w:rPr>
        <w:t xml:space="preserve"> [Accessed 12 Mar. 2021].</w:t>
      </w:r>
    </w:p>
    <w:p w14:paraId="13AB9FCA" w14:textId="77777777" w:rsidR="00CB082C" w:rsidRDefault="00CB082C" w:rsidP="00CB082C">
      <w:pPr>
        <w:rPr>
          <w:sz w:val="20"/>
          <w:szCs w:val="20"/>
        </w:rPr>
      </w:pPr>
      <w:r>
        <w:rPr>
          <w:sz w:val="20"/>
          <w:szCs w:val="20"/>
        </w:rPr>
        <w:t xml:space="preserve">Lemetyinen, H. (2012). </w:t>
      </w:r>
      <w:r>
        <w:rPr>
          <w:i/>
          <w:iCs/>
          <w:sz w:val="20"/>
          <w:szCs w:val="20"/>
        </w:rPr>
        <w:t>Language acquisition</w:t>
      </w:r>
      <w:r>
        <w:rPr>
          <w:sz w:val="20"/>
          <w:szCs w:val="20"/>
        </w:rPr>
        <w:t xml:space="preserve">. Simply Psychology. </w:t>
      </w:r>
      <w:r w:rsidRPr="00CB082C">
        <w:rPr>
          <w:sz w:val="20"/>
          <w:szCs w:val="20"/>
        </w:rPr>
        <w:t>https://www.sim</w:t>
      </w:r>
      <w:r>
        <w:rPr>
          <w:sz w:val="20"/>
          <w:szCs w:val="20"/>
        </w:rPr>
        <w:t xml:space="preserve">Lindon, J. (2012). </w:t>
      </w:r>
      <w:r>
        <w:rPr>
          <w:i/>
          <w:iCs/>
          <w:sz w:val="20"/>
          <w:szCs w:val="20"/>
        </w:rPr>
        <w:t>Understanding child development 0-8 Years</w:t>
      </w:r>
      <w:r>
        <w:rPr>
          <w:sz w:val="20"/>
          <w:szCs w:val="20"/>
        </w:rPr>
        <w:t>. 3rd ed. Italy: Hodder Education.</w:t>
      </w:r>
    </w:p>
    <w:p w14:paraId="08ED3BEB" w14:textId="77777777" w:rsidR="00CB082C" w:rsidRDefault="00CB082C" w:rsidP="00CB082C">
      <w:pPr>
        <w:rPr>
          <w:sz w:val="20"/>
          <w:szCs w:val="20"/>
        </w:rPr>
      </w:pPr>
      <w:r>
        <w:rPr>
          <w:sz w:val="20"/>
          <w:szCs w:val="20"/>
        </w:rPr>
        <w:t xml:space="preserve">Magagna, J. (2013). The development of language in the early months of life. </w:t>
      </w:r>
      <w:r>
        <w:rPr>
          <w:i/>
          <w:iCs/>
          <w:sz w:val="20"/>
          <w:szCs w:val="20"/>
        </w:rPr>
        <w:t>Infant Observation</w:t>
      </w:r>
      <w:r>
        <w:rPr>
          <w:sz w:val="20"/>
          <w:szCs w:val="20"/>
        </w:rPr>
        <w:t>, 16(2), pp.112 129.</w:t>
      </w:r>
    </w:p>
    <w:p w14:paraId="580BE4C5" w14:textId="77777777" w:rsidR="00CB082C" w:rsidRDefault="00CB082C" w:rsidP="00CB082C">
      <w:pPr>
        <w:rPr>
          <w:color w:val="000000"/>
          <w:sz w:val="20"/>
          <w:szCs w:val="20"/>
        </w:rPr>
      </w:pPr>
      <w:r>
        <w:rPr>
          <w:color w:val="000000"/>
          <w:sz w:val="20"/>
          <w:szCs w:val="20"/>
        </w:rPr>
        <w:t xml:space="preserve">Mcleod, S. (2018a). </w:t>
      </w:r>
      <w:r>
        <w:rPr>
          <w:i/>
          <w:iCs/>
          <w:color w:val="000000"/>
          <w:sz w:val="20"/>
          <w:szCs w:val="20"/>
        </w:rPr>
        <w:t>Jean Piaget s Theory of Cognitive Development</w:t>
      </w:r>
      <w:r>
        <w:rPr>
          <w:color w:val="000000"/>
          <w:sz w:val="20"/>
          <w:szCs w:val="20"/>
        </w:rPr>
        <w:t xml:space="preserve">. [online] Simplypsychology.org. Available at: </w:t>
      </w:r>
      <w:r>
        <w:rPr>
          <w:sz w:val="20"/>
          <w:szCs w:val="20"/>
        </w:rPr>
        <w:t>https://www.simplypsychology.org/piaget.html</w:t>
      </w:r>
      <w:r>
        <w:rPr>
          <w:color w:val="000000"/>
          <w:sz w:val="20"/>
          <w:szCs w:val="20"/>
        </w:rPr>
        <w:t>.</w:t>
      </w:r>
    </w:p>
    <w:p w14:paraId="29A3F0AC" w14:textId="77777777" w:rsidR="00CB082C" w:rsidRDefault="00CB082C" w:rsidP="00CB082C">
      <w:pPr>
        <w:rPr>
          <w:color w:val="000000"/>
          <w:sz w:val="20"/>
          <w:szCs w:val="20"/>
        </w:rPr>
      </w:pPr>
      <w:r>
        <w:rPr>
          <w:color w:val="000000"/>
          <w:sz w:val="20"/>
          <w:szCs w:val="20"/>
        </w:rPr>
        <w:t xml:space="preserve">Mcleod, S. (2018b). </w:t>
      </w:r>
      <w:r>
        <w:rPr>
          <w:i/>
          <w:iCs/>
          <w:color w:val="000000"/>
          <w:sz w:val="20"/>
          <w:szCs w:val="20"/>
        </w:rPr>
        <w:t>Lev Vygotsky s sociocultural theory</w:t>
      </w:r>
      <w:r>
        <w:rPr>
          <w:color w:val="000000"/>
          <w:sz w:val="20"/>
          <w:szCs w:val="20"/>
        </w:rPr>
        <w:t xml:space="preserve">. [online] Simply Psychology. Available at: </w:t>
      </w:r>
      <w:r>
        <w:rPr>
          <w:sz w:val="20"/>
          <w:szCs w:val="20"/>
        </w:rPr>
        <w:t>https://www.simplypsychology.org/vygotsky.html</w:t>
      </w:r>
      <w:r>
        <w:rPr>
          <w:color w:val="000000"/>
          <w:sz w:val="20"/>
          <w:szCs w:val="20"/>
        </w:rPr>
        <w:t xml:space="preserve"> [Accessed 5 Mar. 2021].</w:t>
      </w:r>
    </w:p>
    <w:p w14:paraId="0A86055F" w14:textId="77777777" w:rsidR="00CB082C" w:rsidRDefault="00CB082C" w:rsidP="00CB082C">
      <w:pPr>
        <w:rPr>
          <w:sz w:val="20"/>
          <w:szCs w:val="20"/>
        </w:rPr>
      </w:pPr>
      <w:r>
        <w:rPr>
          <w:sz w:val="20"/>
          <w:szCs w:val="20"/>
        </w:rPr>
        <w:t xml:space="preserve">Medline Plus (n.d.). </w:t>
      </w:r>
      <w:r>
        <w:rPr>
          <w:i/>
          <w:iCs/>
          <w:sz w:val="20"/>
          <w:szCs w:val="20"/>
        </w:rPr>
        <w:t>Is intelligence determined by genetics? MedlinePlus Genetics</w:t>
      </w:r>
      <w:r>
        <w:rPr>
          <w:sz w:val="20"/>
          <w:szCs w:val="20"/>
        </w:rPr>
        <w:t>. [online] medlineplus.gov. Available at: https://medlineplus.gov/genetics/understanding/traits/intelligence/ [Accessed 8 Mar. 2021].</w:t>
      </w:r>
    </w:p>
    <w:p w14:paraId="4DFFE8B9" w14:textId="77777777" w:rsidR="00CB082C" w:rsidRDefault="00CB082C" w:rsidP="00CB082C">
      <w:pPr>
        <w:rPr>
          <w:color w:val="000000"/>
          <w:sz w:val="20"/>
          <w:szCs w:val="20"/>
        </w:rPr>
      </w:pPr>
      <w:r>
        <w:rPr>
          <w:color w:val="000000"/>
          <w:sz w:val="20"/>
          <w:szCs w:val="20"/>
        </w:rPr>
        <w:t xml:space="preserve">Neville, B. (1997). </w:t>
      </w:r>
      <w:r>
        <w:rPr>
          <w:i/>
          <w:iCs/>
          <w:color w:val="000000"/>
          <w:sz w:val="20"/>
          <w:szCs w:val="20"/>
        </w:rPr>
        <w:t>Teaching Through Play: Teachers  Thinking and Classroom Practice</w:t>
      </w:r>
      <w:r>
        <w:rPr>
          <w:color w:val="000000"/>
          <w:sz w:val="20"/>
          <w:szCs w:val="20"/>
        </w:rPr>
        <w:t xml:space="preserve">. [online] </w:t>
      </w:r>
      <w:r>
        <w:rPr>
          <w:i/>
          <w:iCs/>
          <w:color w:val="000000"/>
          <w:sz w:val="20"/>
          <w:szCs w:val="20"/>
        </w:rPr>
        <w:t>Google Books</w:t>
      </w:r>
      <w:r>
        <w:rPr>
          <w:color w:val="000000"/>
          <w:sz w:val="20"/>
          <w:szCs w:val="20"/>
        </w:rPr>
        <w:t xml:space="preserve">. McGraw-Hill Education (UK). Available at: </w:t>
      </w:r>
      <w:r>
        <w:rPr>
          <w:sz w:val="20"/>
          <w:szCs w:val="20"/>
        </w:rPr>
        <w:t>https://www.google.co.uk/books/edition/Teaching_Through_Play/aUPlAAAAQBAJ?hl=en&amp;gbpv=1</w:t>
      </w:r>
      <w:r>
        <w:rPr>
          <w:color w:val="000000"/>
          <w:sz w:val="20"/>
          <w:szCs w:val="20"/>
        </w:rPr>
        <w:t xml:space="preserve"> [Accessed 11 Mar. 2021].</w:t>
      </w:r>
    </w:p>
    <w:p w14:paraId="40C1667E" w14:textId="77777777" w:rsidR="00CB082C" w:rsidRDefault="00CB082C" w:rsidP="00CB082C">
      <w:pPr>
        <w:rPr>
          <w:sz w:val="20"/>
          <w:szCs w:val="20"/>
        </w:rPr>
      </w:pPr>
      <w:r>
        <w:rPr>
          <w:sz w:val="20"/>
          <w:szCs w:val="20"/>
        </w:rPr>
        <w:t xml:space="preserve">Nilsson, M., Ferholt, B. and Lecusay, R. (2017).  The playing-exploring child : Reconceptualizing the relationship between play and learning in early childhood education. </w:t>
      </w:r>
      <w:r>
        <w:rPr>
          <w:i/>
          <w:iCs/>
          <w:sz w:val="20"/>
          <w:szCs w:val="20"/>
        </w:rPr>
        <w:t>Contemporary Issues in Early Childhood</w:t>
      </w:r>
      <w:r>
        <w:rPr>
          <w:sz w:val="20"/>
          <w:szCs w:val="20"/>
        </w:rPr>
        <w:t>, 19(3), pp.231 245.</w:t>
      </w:r>
    </w:p>
    <w:p w14:paraId="74358E90" w14:textId="77777777" w:rsidR="00CB082C" w:rsidRDefault="00CB082C" w:rsidP="00CB082C">
      <w:pPr>
        <w:rPr>
          <w:sz w:val="20"/>
          <w:szCs w:val="20"/>
        </w:rPr>
      </w:pPr>
      <w:r>
        <w:rPr>
          <w:color w:val="000000"/>
          <w:sz w:val="20"/>
          <w:szCs w:val="20"/>
        </w:rPr>
        <w:t>Petrill, S.A.</w:t>
      </w:r>
      <w:r>
        <w:rPr>
          <w:sz w:val="20"/>
          <w:szCs w:val="20"/>
        </w:rPr>
        <w:t xml:space="preserve"> and Plomin, R. (1997). Genetics and intelligence: What s new? </w:t>
      </w:r>
      <w:r>
        <w:rPr>
          <w:i/>
          <w:iCs/>
          <w:sz w:val="20"/>
          <w:szCs w:val="20"/>
        </w:rPr>
        <w:t>Intelligence</w:t>
      </w:r>
      <w:r>
        <w:rPr>
          <w:sz w:val="20"/>
          <w:szCs w:val="20"/>
        </w:rPr>
        <w:t>, 24(1), pp.53 77.</w:t>
      </w:r>
    </w:p>
    <w:p w14:paraId="4CE20F3D" w14:textId="77777777" w:rsidR="00CB082C" w:rsidRDefault="00CB082C" w:rsidP="00CB082C">
      <w:pPr>
        <w:rPr>
          <w:sz w:val="20"/>
          <w:szCs w:val="20"/>
        </w:rPr>
      </w:pPr>
      <w:r>
        <w:rPr>
          <w:sz w:val="20"/>
          <w:szCs w:val="20"/>
        </w:rPr>
        <w:t xml:space="preserve">Pinker, S. (2009). </w:t>
      </w:r>
      <w:r>
        <w:rPr>
          <w:i/>
          <w:iCs/>
          <w:sz w:val="20"/>
          <w:szCs w:val="20"/>
        </w:rPr>
        <w:t>Language Learnability and Language Development, With New Commentary by the Author: With New Commentary by the Author</w:t>
      </w:r>
      <w:r>
        <w:rPr>
          <w:sz w:val="20"/>
          <w:szCs w:val="20"/>
        </w:rPr>
        <w:t xml:space="preserve">. [online] </w:t>
      </w:r>
      <w:r>
        <w:rPr>
          <w:i/>
          <w:iCs/>
          <w:sz w:val="20"/>
          <w:szCs w:val="20"/>
        </w:rPr>
        <w:t>Google Books</w:t>
      </w:r>
      <w:r>
        <w:rPr>
          <w:sz w:val="20"/>
          <w:szCs w:val="20"/>
        </w:rPr>
        <w:t>. Harvard University Press. Available at: https://www.google.co.uk/books/edition/Language_Learnability_and_Language_Devel/P7iEJGLESOMC?hl=en&amp;gbpv=1&amp;dq=pinker+language+development&amp;pg=PR13&amp;printsec=frontcover.</w:t>
      </w:r>
    </w:p>
    <w:p w14:paraId="2CCA15B9" w14:textId="77777777" w:rsidR="00CB082C" w:rsidRDefault="00CB082C" w:rsidP="00CB082C">
      <w:pPr>
        <w:rPr>
          <w:sz w:val="20"/>
          <w:szCs w:val="20"/>
        </w:rPr>
      </w:pPr>
      <w:r>
        <w:rPr>
          <w:sz w:val="20"/>
          <w:szCs w:val="20"/>
        </w:rPr>
        <w:t xml:space="preserve">Pinker, S. (1995). </w:t>
      </w:r>
      <w:r>
        <w:rPr>
          <w:i/>
          <w:iCs/>
          <w:sz w:val="20"/>
          <w:szCs w:val="20"/>
        </w:rPr>
        <w:t>The Language Instinct: The New Science of Language and Mind</w:t>
      </w:r>
      <w:r>
        <w:rPr>
          <w:sz w:val="20"/>
          <w:szCs w:val="20"/>
        </w:rPr>
        <w:t xml:space="preserve">. [online] </w:t>
      </w:r>
      <w:r>
        <w:rPr>
          <w:i/>
          <w:iCs/>
          <w:sz w:val="20"/>
          <w:szCs w:val="20"/>
        </w:rPr>
        <w:t>Google Books</w:t>
      </w:r>
      <w:r>
        <w:rPr>
          <w:sz w:val="20"/>
          <w:szCs w:val="20"/>
        </w:rPr>
        <w:t>. Penguin Adult. Available at: https://www.google.co.uk/books/edition/The_Language_Instinct/6KQ4ENWvEuAC?hl=en&amp;gbpv=1&amp;dq=pinker+1994+the+language+instinct&amp;pg=PT4&amp;printsec=frontcover [Accessed 22 Mar. 2021].</w:t>
      </w:r>
    </w:p>
    <w:p w14:paraId="31F9E845" w14:textId="77777777" w:rsidR="00CB082C" w:rsidRDefault="00CB082C" w:rsidP="00CB082C">
      <w:pPr>
        <w:rPr>
          <w:color w:val="000000"/>
          <w:sz w:val="20"/>
          <w:szCs w:val="20"/>
        </w:rPr>
      </w:pPr>
      <w:r>
        <w:rPr>
          <w:color w:val="000000"/>
          <w:sz w:val="20"/>
          <w:szCs w:val="20"/>
        </w:rPr>
        <w:t xml:space="preserve">Play Wales (2002). </w:t>
      </w:r>
      <w:r>
        <w:rPr>
          <w:i/>
          <w:iCs/>
          <w:color w:val="000000"/>
          <w:sz w:val="20"/>
          <w:szCs w:val="20"/>
        </w:rPr>
        <w:t>Play Wales | School Play Policy</w:t>
      </w:r>
      <w:r>
        <w:rPr>
          <w:color w:val="000000"/>
          <w:sz w:val="20"/>
          <w:szCs w:val="20"/>
        </w:rPr>
        <w:t xml:space="preserve">. [online] </w:t>
      </w:r>
      <w:r>
        <w:rPr>
          <w:sz w:val="20"/>
          <w:szCs w:val="20"/>
        </w:rPr>
        <w:t>www.playwales.org.uk</w:t>
      </w:r>
      <w:r>
        <w:rPr>
          <w:color w:val="000000"/>
          <w:sz w:val="20"/>
          <w:szCs w:val="20"/>
        </w:rPr>
        <w:t xml:space="preserve">. Available at: </w:t>
      </w:r>
      <w:r>
        <w:rPr>
          <w:sz w:val="20"/>
          <w:szCs w:val="20"/>
        </w:rPr>
        <w:t>https://www.playwales.org.uk/eng/schoolplaypolicy</w:t>
      </w:r>
      <w:r>
        <w:rPr>
          <w:color w:val="000000"/>
          <w:sz w:val="20"/>
          <w:szCs w:val="20"/>
        </w:rPr>
        <w:t xml:space="preserve"> [Accessed 4 Mar. 2021].</w:t>
      </w:r>
    </w:p>
    <w:p w14:paraId="2F1B3004" w14:textId="77777777" w:rsidR="00CB082C" w:rsidRDefault="00CB082C" w:rsidP="00CB082C">
      <w:pPr>
        <w:rPr>
          <w:color w:val="000000"/>
          <w:sz w:val="20"/>
          <w:szCs w:val="20"/>
        </w:rPr>
      </w:pPr>
      <w:r>
        <w:rPr>
          <w:color w:val="000000"/>
          <w:sz w:val="20"/>
          <w:szCs w:val="20"/>
        </w:rPr>
        <w:t xml:space="preserve">Raising Children Network. (2019). </w:t>
      </w:r>
      <w:r>
        <w:rPr>
          <w:i/>
          <w:iCs/>
          <w:color w:val="000000"/>
          <w:sz w:val="20"/>
          <w:szCs w:val="20"/>
        </w:rPr>
        <w:t>Why play is important</w:t>
      </w:r>
      <w:r>
        <w:rPr>
          <w:color w:val="000000"/>
          <w:sz w:val="20"/>
          <w:szCs w:val="20"/>
        </w:rPr>
        <w:t xml:space="preserve">. [online] Available at: </w:t>
      </w:r>
      <w:r>
        <w:rPr>
          <w:sz w:val="20"/>
          <w:szCs w:val="20"/>
        </w:rPr>
        <w:t>https://raisingchildren.net.au/newborns/play-learning/play-ideas/why-play-is-important</w:t>
      </w:r>
      <w:r>
        <w:rPr>
          <w:color w:val="000000"/>
          <w:sz w:val="20"/>
          <w:szCs w:val="20"/>
        </w:rPr>
        <w:t xml:space="preserve"> [Accessed 28 Jul. 2019].</w:t>
      </w:r>
    </w:p>
    <w:p w14:paraId="32FB364F" w14:textId="77777777" w:rsidR="00CB082C" w:rsidRDefault="00CB082C" w:rsidP="00CB082C">
      <w:pPr>
        <w:rPr>
          <w:color w:val="3A3A3A"/>
          <w:sz w:val="20"/>
          <w:szCs w:val="20"/>
        </w:rPr>
      </w:pPr>
      <w:r>
        <w:rPr>
          <w:color w:val="3A3A3A"/>
          <w:sz w:val="20"/>
          <w:szCs w:val="20"/>
        </w:rPr>
        <w:t xml:space="preserve">Robinson, M. (2008). </w:t>
      </w:r>
      <w:r>
        <w:rPr>
          <w:i/>
          <w:iCs/>
          <w:color w:val="3A3A3A"/>
          <w:sz w:val="20"/>
          <w:szCs w:val="20"/>
        </w:rPr>
        <w:t>Child development 0-8 a journey through the early years</w:t>
      </w:r>
      <w:r>
        <w:rPr>
          <w:color w:val="3A3A3A"/>
          <w:sz w:val="20"/>
          <w:szCs w:val="20"/>
        </w:rPr>
        <w:t>, Maidenhead; New York: Open University Press, McGraw Hill.</w:t>
      </w:r>
    </w:p>
    <w:p w14:paraId="7ABF9205" w14:textId="77777777" w:rsidR="00CB082C" w:rsidRDefault="00CB082C" w:rsidP="00CB082C">
      <w:pPr>
        <w:rPr>
          <w:color w:val="000000"/>
          <w:sz w:val="20"/>
          <w:szCs w:val="20"/>
        </w:rPr>
      </w:pPr>
      <w:r>
        <w:rPr>
          <w:color w:val="000000"/>
          <w:sz w:val="20"/>
          <w:szCs w:val="20"/>
        </w:rPr>
        <w:t xml:space="preserve">Scientific Advisory Committee (2011). </w:t>
      </w:r>
      <w:r>
        <w:rPr>
          <w:i/>
          <w:iCs/>
          <w:color w:val="000000"/>
          <w:sz w:val="20"/>
          <w:szCs w:val="20"/>
        </w:rPr>
        <w:t>The influence of maternal, fetal and child nutrition on the development of chronic disease in later life 2011</w:t>
      </w:r>
      <w:r>
        <w:rPr>
          <w:color w:val="000000"/>
          <w:sz w:val="20"/>
          <w:szCs w:val="20"/>
        </w:rPr>
        <w:t xml:space="preserve">. [online]. Available at: </w:t>
      </w:r>
      <w:r>
        <w:rPr>
          <w:sz w:val="20"/>
          <w:szCs w:val="20"/>
        </w:rPr>
        <w:t>https://assets.publishing.service.gov.uk/government/uploads/system/uploads/attachment_data/file/339325/SACN_Early_Life_Nutrition_Report.pdf</w:t>
      </w:r>
      <w:r>
        <w:rPr>
          <w:color w:val="000000"/>
          <w:sz w:val="20"/>
          <w:szCs w:val="20"/>
        </w:rPr>
        <w:t>.</w:t>
      </w:r>
    </w:p>
    <w:p w14:paraId="153E4E48" w14:textId="77777777" w:rsidR="00CB082C" w:rsidRDefault="00CB082C" w:rsidP="00CB082C">
      <w:pPr>
        <w:rPr>
          <w:color w:val="000000"/>
          <w:sz w:val="20"/>
          <w:szCs w:val="20"/>
        </w:rPr>
      </w:pPr>
      <w:r>
        <w:rPr>
          <w:color w:val="000000"/>
          <w:sz w:val="20"/>
          <w:szCs w:val="20"/>
        </w:rPr>
        <w:t xml:space="preserve">Scrimshaw, N.S. (1998). Malnutrition, brain development, learning, and behavior. </w:t>
      </w:r>
      <w:r>
        <w:rPr>
          <w:i/>
          <w:iCs/>
          <w:color w:val="000000"/>
          <w:sz w:val="20"/>
          <w:szCs w:val="20"/>
        </w:rPr>
        <w:t>Nutrition Research</w:t>
      </w:r>
      <w:r>
        <w:rPr>
          <w:color w:val="000000"/>
          <w:sz w:val="20"/>
          <w:szCs w:val="20"/>
        </w:rPr>
        <w:t xml:space="preserve">, [online] 18(2), pp.351 379. Available at: </w:t>
      </w:r>
      <w:r>
        <w:rPr>
          <w:sz w:val="20"/>
          <w:szCs w:val="20"/>
        </w:rPr>
        <w:t>https://www.sciencedirect.com/science/article/pii/S027153179800027X</w:t>
      </w:r>
      <w:r>
        <w:rPr>
          <w:color w:val="000000"/>
          <w:sz w:val="20"/>
          <w:szCs w:val="20"/>
        </w:rPr>
        <w:t xml:space="preserve"> [Accessed 27 Feb. 2020].</w:t>
      </w:r>
    </w:p>
    <w:p w14:paraId="220B3C3A" w14:textId="77777777" w:rsidR="00CB082C" w:rsidRDefault="00CB082C" w:rsidP="00CB082C">
      <w:pPr>
        <w:rPr>
          <w:color w:val="212121"/>
          <w:sz w:val="20"/>
          <w:szCs w:val="20"/>
        </w:rPr>
      </w:pPr>
      <w:r>
        <w:rPr>
          <w:color w:val="212121"/>
          <w:sz w:val="20"/>
          <w:szCs w:val="20"/>
        </w:rPr>
        <w:t>Turkheimer, E. (2000). Three laws of behaviour genetics and what they mean. Current Directions in Psychological Science, 9, 160 164.</w:t>
      </w:r>
    </w:p>
    <w:p w14:paraId="352E0448" w14:textId="77777777" w:rsidR="00CB082C" w:rsidRDefault="00CB082C" w:rsidP="00CB082C">
      <w:pPr>
        <w:rPr>
          <w:color w:val="000000"/>
          <w:sz w:val="20"/>
          <w:szCs w:val="20"/>
        </w:rPr>
      </w:pPr>
      <w:r>
        <w:rPr>
          <w:color w:val="000000"/>
          <w:sz w:val="20"/>
          <w:szCs w:val="20"/>
        </w:rPr>
        <w:t xml:space="preserve">UNICEF DATA. (2020). </w:t>
      </w:r>
      <w:r>
        <w:rPr>
          <w:i/>
          <w:iCs/>
          <w:color w:val="000000"/>
          <w:sz w:val="20"/>
          <w:szCs w:val="20"/>
        </w:rPr>
        <w:t>Malnutrition in Children</w:t>
      </w:r>
      <w:r>
        <w:rPr>
          <w:color w:val="000000"/>
          <w:sz w:val="20"/>
          <w:szCs w:val="20"/>
        </w:rPr>
        <w:t xml:space="preserve">. [online] Available at: </w:t>
      </w:r>
      <w:r>
        <w:rPr>
          <w:sz w:val="20"/>
          <w:szCs w:val="20"/>
        </w:rPr>
        <w:t>https://data.unicef.org/topic/nutrition/malnutrition/#:~:text=Poor%20nutrition%20in%20the%20first</w:t>
      </w:r>
      <w:r>
        <w:rPr>
          <w:color w:val="000000"/>
          <w:sz w:val="20"/>
          <w:szCs w:val="20"/>
        </w:rPr>
        <w:t xml:space="preserve"> [Accessed 12 Mar. 2021].</w:t>
      </w:r>
    </w:p>
    <w:p w14:paraId="5355B2C7" w14:textId="77777777" w:rsidR="00CB082C" w:rsidRDefault="00CB082C" w:rsidP="00CB082C">
      <w:pPr>
        <w:rPr>
          <w:color w:val="000000"/>
          <w:sz w:val="20"/>
          <w:szCs w:val="20"/>
        </w:rPr>
      </w:pPr>
      <w:r>
        <w:rPr>
          <w:color w:val="000000"/>
          <w:sz w:val="20"/>
          <w:szCs w:val="20"/>
        </w:rPr>
        <w:t xml:space="preserve">Wang, S. and Aamodt, S. (2012). Play, stress, and the learning brain. </w:t>
      </w:r>
      <w:r>
        <w:rPr>
          <w:i/>
          <w:iCs/>
          <w:color w:val="000000"/>
          <w:sz w:val="20"/>
          <w:szCs w:val="20"/>
        </w:rPr>
        <w:t>Cerebrum: the Dana forum on brain science</w:t>
      </w:r>
      <w:r>
        <w:rPr>
          <w:color w:val="000000"/>
          <w:sz w:val="20"/>
          <w:szCs w:val="20"/>
        </w:rPr>
        <w:t xml:space="preserve">, [online] 2012, p.12. Available at: </w:t>
      </w:r>
      <w:r>
        <w:rPr>
          <w:sz w:val="20"/>
          <w:szCs w:val="20"/>
        </w:rPr>
        <w:t>https://www.ncbi.nlm.nih.gov/pmc/articles/PMC3574776/</w:t>
      </w:r>
      <w:r>
        <w:rPr>
          <w:color w:val="000000"/>
          <w:sz w:val="20"/>
          <w:szCs w:val="20"/>
        </w:rPr>
        <w:t xml:space="preserve"> [Accessed 4 Mar. 2021].</w:t>
      </w:r>
    </w:p>
    <w:p w14:paraId="6FDF74A0" w14:textId="77777777" w:rsidR="00CB082C" w:rsidRDefault="00CB082C" w:rsidP="00CB082C">
      <w:pPr>
        <w:rPr>
          <w:color w:val="000000"/>
          <w:sz w:val="20"/>
          <w:szCs w:val="20"/>
        </w:rPr>
      </w:pPr>
      <w:r>
        <w:rPr>
          <w:color w:val="000000"/>
          <w:sz w:val="20"/>
          <w:szCs w:val="20"/>
        </w:rPr>
        <w:t xml:space="preserve">Welsh Government (2015). </w:t>
      </w:r>
      <w:r>
        <w:rPr>
          <w:i/>
          <w:iCs/>
          <w:color w:val="000000"/>
          <w:sz w:val="20"/>
          <w:szCs w:val="20"/>
        </w:rPr>
        <w:t>Foundation Phase Framework Curriculum for Wales</w:t>
      </w:r>
      <w:r>
        <w:rPr>
          <w:color w:val="000000"/>
          <w:sz w:val="20"/>
          <w:szCs w:val="20"/>
        </w:rPr>
        <w:t xml:space="preserve">. [online]. Available at: </w:t>
      </w:r>
      <w:r>
        <w:rPr>
          <w:sz w:val="20"/>
          <w:szCs w:val="20"/>
        </w:rPr>
        <w:t>https://hwb.gov.wales/api/storage/d5d8e39c-b534-40cb-a3f5-7e2e126d8077/foundation-phase-framework.pdf</w:t>
      </w:r>
      <w:r>
        <w:rPr>
          <w:color w:val="000000"/>
          <w:sz w:val="20"/>
          <w:szCs w:val="20"/>
        </w:rPr>
        <w:t xml:space="preserve"> [Accessed 11 Mar. 2021].</w:t>
      </w:r>
    </w:p>
    <w:p w14:paraId="00606769" w14:textId="77777777" w:rsidR="00CB082C" w:rsidRDefault="00CB082C" w:rsidP="00CB082C">
      <w:pPr>
        <w:rPr>
          <w:color w:val="000000"/>
          <w:sz w:val="20"/>
          <w:szCs w:val="20"/>
        </w:rPr>
      </w:pPr>
      <w:r>
        <w:rPr>
          <w:color w:val="000000"/>
          <w:sz w:val="20"/>
          <w:szCs w:val="20"/>
        </w:rPr>
        <w:t xml:space="preserve">WorldData.info (2015). </w:t>
      </w:r>
      <w:r>
        <w:rPr>
          <w:i/>
          <w:iCs/>
          <w:color w:val="000000"/>
          <w:sz w:val="20"/>
          <w:szCs w:val="20"/>
        </w:rPr>
        <w:t>Average income around the world</w:t>
      </w:r>
      <w:r>
        <w:rPr>
          <w:color w:val="000000"/>
          <w:sz w:val="20"/>
          <w:szCs w:val="20"/>
        </w:rPr>
        <w:t xml:space="preserve">. [online] Worlddata.info. Available at: </w:t>
      </w:r>
      <w:r>
        <w:rPr>
          <w:sz w:val="20"/>
          <w:szCs w:val="20"/>
        </w:rPr>
        <w:t>https://www.worlddata.info/average-income.php</w:t>
      </w:r>
      <w:r>
        <w:rPr>
          <w:color w:val="000000"/>
          <w:sz w:val="20"/>
          <w:szCs w:val="20"/>
        </w:rPr>
        <w:t xml:space="preserve"> [Accessed 12 Mar. 2021].</w:t>
      </w:r>
    </w:p>
    <w:p w14:paraId="0C337860" w14:textId="77777777" w:rsidR="00CB082C" w:rsidRDefault="00CB082C" w:rsidP="00CB082C">
      <w:pPr>
        <w:rPr>
          <w:color w:val="000000"/>
          <w:sz w:val="20"/>
          <w:szCs w:val="20"/>
        </w:rPr>
      </w:pPr>
      <w:r>
        <w:rPr>
          <w:color w:val="000000"/>
          <w:sz w:val="20"/>
          <w:szCs w:val="20"/>
        </w:rPr>
        <w:t xml:space="preserve">World Health Organisation (2020). </w:t>
      </w:r>
      <w:r>
        <w:rPr>
          <w:i/>
          <w:iCs/>
          <w:color w:val="000000"/>
          <w:sz w:val="20"/>
          <w:szCs w:val="20"/>
        </w:rPr>
        <w:t>Fact sheets - Malnutrition</w:t>
      </w:r>
      <w:r>
        <w:rPr>
          <w:color w:val="000000"/>
          <w:sz w:val="20"/>
          <w:szCs w:val="20"/>
        </w:rPr>
        <w:t xml:space="preserve">. [online] </w:t>
      </w:r>
      <w:r>
        <w:rPr>
          <w:sz w:val="20"/>
          <w:szCs w:val="20"/>
        </w:rPr>
        <w:t>www.who.int</w:t>
      </w:r>
      <w:r>
        <w:rPr>
          <w:color w:val="000000"/>
          <w:sz w:val="20"/>
          <w:szCs w:val="20"/>
        </w:rPr>
        <w:t xml:space="preserve">. Available at: </w:t>
      </w:r>
      <w:r>
        <w:rPr>
          <w:sz w:val="20"/>
          <w:szCs w:val="20"/>
        </w:rPr>
        <w:t>https://www.who.int/news-room/fact-sheets/detail/malnutrition#:~:text=There%20are%204%20broad%20sub</w:t>
      </w:r>
      <w:r>
        <w:rPr>
          <w:color w:val="000000"/>
          <w:sz w:val="20"/>
          <w:szCs w:val="20"/>
        </w:rPr>
        <w:t xml:space="preserve"> [Accessed 12 Mar. 2021].</w:t>
      </w:r>
    </w:p>
    <w:p w14:paraId="7A8DC6AD" w14:textId="3DCD689F" w:rsidR="00CB082C" w:rsidRDefault="00CB082C" w:rsidP="00CB082C">
      <w:r w:rsidRPr="00CB082C">
        <w:rPr>
          <w:sz w:val="20"/>
          <w:szCs w:val="20"/>
        </w:rPr>
        <w:t>plypsychology.org/language.html</w:t>
      </w:r>
    </w:p>
    <w:p w14:paraId="18F714D7" w14:textId="0553CA8A" w:rsidR="00CB082C" w:rsidRDefault="00CB082C">
      <w:pPr>
        <w:jc w:val="center"/>
      </w:pPr>
    </w:p>
    <w:p w14:paraId="37789FD5" w14:textId="77777777" w:rsidR="00234105" w:rsidRDefault="00234105">
      <w:pPr>
        <w:pStyle w:val="Normal1"/>
      </w:pPr>
    </w:p>
    <w:sectPr w:rsidR="00234105">
      <w:pgSz w:w="11906" w:h="16838"/>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32559E6"/>
    <w:multiLevelType w:val="hybridMultilevel"/>
    <w:tmpl w:val="26C47E48"/>
    <w:lvl w:ilvl="0" w:tplc="0B6A39C4">
      <w:start w:val="1"/>
      <w:numFmt w:val="bullet"/>
      <w:lvlText w:val="•"/>
      <w:lvlJc w:val="left"/>
      <w:pPr>
        <w:ind w:left="720" w:hanging="360"/>
      </w:pPr>
      <w:rPr>
        <w:rFonts w:ascii="Calibri" w:hAnsi="Calibri" w:hint="default"/>
      </w:rPr>
    </w:lvl>
    <w:lvl w:ilvl="1" w:tplc="A70AD1E6" w:tentative="1">
      <w:start w:val="1"/>
      <w:numFmt w:val="bullet"/>
      <w:lvlText w:val="-"/>
      <w:lvlJc w:val="left"/>
      <w:pPr>
        <w:ind w:left="1440" w:hanging="360"/>
      </w:pPr>
      <w:rPr>
        <w:rFonts w:ascii="Courier New" w:hAnsi="Courier New" w:hint="default"/>
      </w:rPr>
    </w:lvl>
    <w:lvl w:ilvl="2" w:tplc="F12A77D0" w:tentative="1">
      <w:start w:val="1"/>
      <w:numFmt w:val="bullet"/>
      <w:lvlText w:val="◦"/>
      <w:lvlJc w:val="left"/>
      <w:pPr>
        <w:ind w:left="2160" w:hanging="360"/>
      </w:pPr>
      <w:rPr>
        <w:rFonts w:ascii="Calibri" w:hAnsi="Calibri" w:hint="default"/>
      </w:rPr>
    </w:lvl>
    <w:lvl w:ilvl="3" w:tplc="D004D090" w:tentative="1">
      <w:start w:val="1"/>
      <w:numFmt w:val="bullet"/>
      <w:lvlText w:val="•"/>
      <w:lvlJc w:val="left"/>
      <w:pPr>
        <w:ind w:left="2880" w:hanging="360"/>
      </w:pPr>
      <w:rPr>
        <w:rFonts w:ascii="Calibri" w:hAnsi="Calibri" w:hint="default"/>
      </w:rPr>
    </w:lvl>
    <w:lvl w:ilvl="4" w:tplc="AF106D28" w:tentative="1">
      <w:start w:val="1"/>
      <w:numFmt w:val="bullet"/>
      <w:lvlText w:val="-"/>
      <w:lvlJc w:val="left"/>
      <w:pPr>
        <w:ind w:left="3600" w:hanging="360"/>
      </w:pPr>
      <w:rPr>
        <w:rFonts w:ascii="Courier New" w:hAnsi="Courier New" w:hint="default"/>
      </w:rPr>
    </w:lvl>
    <w:lvl w:ilvl="5" w:tplc="0B449394" w:tentative="1">
      <w:start w:val="1"/>
      <w:numFmt w:val="bullet"/>
      <w:lvlText w:val="◦"/>
      <w:lvlJc w:val="left"/>
      <w:pPr>
        <w:ind w:left="4320" w:hanging="360"/>
      </w:pPr>
      <w:rPr>
        <w:rFonts w:ascii="Calibri" w:hAnsi="Calibri" w:hint="default"/>
      </w:rPr>
    </w:lvl>
    <w:lvl w:ilvl="6" w:tplc="01080C08" w:tentative="1">
      <w:start w:val="1"/>
      <w:numFmt w:val="bullet"/>
      <w:lvlText w:val="•"/>
      <w:lvlJc w:val="left"/>
      <w:pPr>
        <w:ind w:left="5040" w:hanging="360"/>
      </w:pPr>
      <w:rPr>
        <w:rFonts w:ascii="Calibri" w:hAnsi="Calibri" w:hint="default"/>
      </w:rPr>
    </w:lvl>
    <w:lvl w:ilvl="7" w:tplc="0ED0AFC8" w:tentative="1">
      <w:start w:val="1"/>
      <w:numFmt w:val="bullet"/>
      <w:lvlText w:val="-"/>
      <w:lvlJc w:val="left"/>
      <w:pPr>
        <w:ind w:left="5760" w:hanging="360"/>
      </w:pPr>
      <w:rPr>
        <w:rFonts w:ascii="Courier New" w:hAnsi="Courier New" w:hint="default"/>
      </w:rPr>
    </w:lvl>
    <w:lvl w:ilvl="8" w:tplc="082619C4" w:tentative="1">
      <w:start w:val="1"/>
      <w:numFmt w:val="bullet"/>
      <w:lvlText w:val="◦"/>
      <w:lvlJc w:val="left"/>
      <w:pPr>
        <w:ind w:left="6480" w:hanging="360"/>
      </w:pPr>
      <w:rPr>
        <w:rFonts w:ascii="Calibri" w:hAnsi="Calibri" w:hint="default"/>
      </w:rPr>
    </w:lvl>
  </w:abstractNum>
  <w:abstractNum w:abstractNumId="1" w15:restartNumberingAfterBreak="0">
    <w:nsid w:val="7C134512"/>
    <w:multiLevelType w:val="hybridMultilevel"/>
    <w:tmpl w:val="FB604A9C"/>
    <w:lvl w:ilvl="0" w:tplc="B442E06C">
      <w:start w:val="1"/>
      <w:numFmt w:val="bullet"/>
      <w:lvlText w:val="•"/>
      <w:lvlJc w:val="left"/>
      <w:pPr>
        <w:ind w:left="720" w:hanging="360"/>
      </w:pPr>
      <w:rPr>
        <w:rFonts w:ascii="Calibri" w:hAnsi="Calibri" w:hint="default"/>
      </w:rPr>
    </w:lvl>
    <w:lvl w:ilvl="1" w:tplc="1F42A10A" w:tentative="1">
      <w:start w:val="1"/>
      <w:numFmt w:val="bullet"/>
      <w:lvlText w:val="-"/>
      <w:lvlJc w:val="left"/>
      <w:pPr>
        <w:ind w:left="1440" w:hanging="360"/>
      </w:pPr>
      <w:rPr>
        <w:rFonts w:ascii="Courier New" w:hAnsi="Courier New" w:hint="default"/>
      </w:rPr>
    </w:lvl>
    <w:lvl w:ilvl="2" w:tplc="894810A4" w:tentative="1">
      <w:start w:val="1"/>
      <w:numFmt w:val="bullet"/>
      <w:lvlText w:val="◦"/>
      <w:lvlJc w:val="left"/>
      <w:pPr>
        <w:ind w:left="2160" w:hanging="360"/>
      </w:pPr>
      <w:rPr>
        <w:rFonts w:ascii="Calibri" w:hAnsi="Calibri" w:hint="default"/>
      </w:rPr>
    </w:lvl>
    <w:lvl w:ilvl="3" w:tplc="D0981378" w:tentative="1">
      <w:start w:val="1"/>
      <w:numFmt w:val="bullet"/>
      <w:lvlText w:val="•"/>
      <w:lvlJc w:val="left"/>
      <w:pPr>
        <w:ind w:left="2880" w:hanging="360"/>
      </w:pPr>
      <w:rPr>
        <w:rFonts w:ascii="Calibri" w:hAnsi="Calibri" w:hint="default"/>
      </w:rPr>
    </w:lvl>
    <w:lvl w:ilvl="4" w:tplc="4E52033A" w:tentative="1">
      <w:start w:val="1"/>
      <w:numFmt w:val="bullet"/>
      <w:lvlText w:val="-"/>
      <w:lvlJc w:val="left"/>
      <w:pPr>
        <w:ind w:left="3600" w:hanging="360"/>
      </w:pPr>
      <w:rPr>
        <w:rFonts w:ascii="Courier New" w:hAnsi="Courier New" w:hint="default"/>
      </w:rPr>
    </w:lvl>
    <w:lvl w:ilvl="5" w:tplc="104A3082" w:tentative="1">
      <w:start w:val="1"/>
      <w:numFmt w:val="bullet"/>
      <w:lvlText w:val="◦"/>
      <w:lvlJc w:val="left"/>
      <w:pPr>
        <w:ind w:left="4320" w:hanging="360"/>
      </w:pPr>
      <w:rPr>
        <w:rFonts w:ascii="Calibri" w:hAnsi="Calibri" w:hint="default"/>
      </w:rPr>
    </w:lvl>
    <w:lvl w:ilvl="6" w:tplc="31DC365E" w:tentative="1">
      <w:start w:val="1"/>
      <w:numFmt w:val="bullet"/>
      <w:lvlText w:val="•"/>
      <w:lvlJc w:val="left"/>
      <w:pPr>
        <w:ind w:left="5040" w:hanging="360"/>
      </w:pPr>
      <w:rPr>
        <w:rFonts w:ascii="Calibri" w:hAnsi="Calibri" w:hint="default"/>
      </w:rPr>
    </w:lvl>
    <w:lvl w:ilvl="7" w:tplc="2480884A" w:tentative="1">
      <w:start w:val="1"/>
      <w:numFmt w:val="bullet"/>
      <w:lvlText w:val="-"/>
      <w:lvlJc w:val="left"/>
      <w:pPr>
        <w:ind w:left="5760" w:hanging="360"/>
      </w:pPr>
      <w:rPr>
        <w:rFonts w:ascii="Courier New" w:hAnsi="Courier New" w:hint="default"/>
      </w:rPr>
    </w:lvl>
    <w:lvl w:ilvl="8" w:tplc="0F3A87F2" w:tentative="1">
      <w:start w:val="1"/>
      <w:numFmt w:val="bullet"/>
      <w:lvlText w:val="◦"/>
      <w:lvlJc w:val="left"/>
      <w:pPr>
        <w:ind w:left="6480" w:hanging="360"/>
      </w:pPr>
      <w:rPr>
        <w:rFonts w:ascii="Calibri" w:hAnsi="Calibri"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4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105"/>
    <w:rsid w:val="00234105"/>
    <w:rsid w:val="002555D0"/>
    <w:rsid w:val="002A43C2"/>
    <w:rsid w:val="004A787C"/>
    <w:rsid w:val="00516FFF"/>
    <w:rsid w:val="00607317"/>
    <w:rsid w:val="007461AA"/>
    <w:rsid w:val="00AF0F24"/>
    <w:rsid w:val="00BB7EA9"/>
    <w:rsid w:val="00CB082C"/>
    <w:rsid w:val="00F732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46BBE"/>
  <w15:docId w15:val="{A1CF272C-5CCE-4D1F-BF8B-854F20E91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basedOn w:val="Normal"/>
    <w:uiPriority w:val="1"/>
    <w:unhideWhenUsed/>
    <w:qFormat/>
    <w:rPr>
      <w:rFonts w:ascii="Calibri"/>
    </w:rPr>
  </w:style>
  <w:style w:type="paragraph" w:customStyle="1" w:styleId="Title1">
    <w:name w:val="Title1"/>
    <w:basedOn w:val="Normal1"/>
    <w:next w:val="Normal1"/>
    <w:uiPriority w:val="1"/>
    <w:unhideWhenUsed/>
    <w:qFormat/>
    <w:pPr>
      <w:spacing w:line="240" w:lineRule="auto"/>
    </w:pPr>
    <w:rPr>
      <w:rFonts w:ascii="Calibri Light"/>
      <w:sz w:val="56"/>
    </w:rPr>
  </w:style>
  <w:style w:type="paragraph" w:customStyle="1" w:styleId="Heading1">
    <w:name w:val="Heading1"/>
    <w:basedOn w:val="Normal1"/>
    <w:next w:val="Normal1"/>
    <w:uiPriority w:val="1"/>
    <w:unhideWhenUsed/>
    <w:qFormat/>
    <w:pPr>
      <w:keepNext/>
      <w:spacing w:before="480" w:after="120"/>
      <w:outlineLvl w:val="0"/>
    </w:pPr>
    <w:rPr>
      <w:rFonts w:ascii="Calibri Light"/>
      <w:color w:val="4472C4" w:themeColor="accent1"/>
      <w:sz w:val="32"/>
    </w:rPr>
  </w:style>
  <w:style w:type="paragraph" w:customStyle="1" w:styleId="Heading2">
    <w:name w:val="Heading2"/>
    <w:basedOn w:val="Normal1"/>
    <w:next w:val="Normal1"/>
    <w:uiPriority w:val="1"/>
    <w:unhideWhenUsed/>
    <w:qFormat/>
    <w:pPr>
      <w:keepNext/>
      <w:spacing w:before="40" w:after="0"/>
      <w:outlineLvl w:val="1"/>
    </w:pPr>
    <w:rPr>
      <w:rFonts w:ascii="Calibri Light"/>
      <w:color w:val="4472C4" w:themeColor="accent1"/>
      <w:sz w:val="26"/>
    </w:rPr>
  </w:style>
  <w:style w:type="character" w:customStyle="1" w:styleId="EmphasizeItalicize">
    <w:name w:val="EmphasizeItalicize"/>
    <w:uiPriority w:val="1"/>
    <w:unhideWhenUsed/>
    <w:qFormat/>
    <w:rPr>
      <w:rFonts w:ascii="Calibri"/>
      <w:b/>
      <w:i/>
    </w:rPr>
  </w:style>
  <w:style w:type="character" w:customStyle="1" w:styleId="Strong1">
    <w:name w:val="Strong1"/>
    <w:uiPriority w:val="1"/>
    <w:unhideWhenUsed/>
    <w:qFormat/>
    <w:rPr>
      <w:rFonts w:ascii="Calibri"/>
      <w:b/>
    </w:rPr>
  </w:style>
  <w:style w:type="character" w:customStyle="1" w:styleId="Emphasis1">
    <w:name w:val="Emphasis1"/>
    <w:uiPriority w:val="1"/>
    <w:unhideWhenUsed/>
    <w:qFormat/>
    <w:rPr>
      <w:rFonts w:ascii="Calibri"/>
      <w:i/>
    </w:rPr>
  </w:style>
  <w:style w:type="character" w:customStyle="1" w:styleId="SwayHyperlink">
    <w:name w:val="SwayHyperlink"/>
    <w:uiPriority w:val="1"/>
    <w:unhideWhenUsed/>
    <w:qFormat/>
    <w:rPr>
      <w:rFonts w:ascii="Calibri"/>
      <w:color w:val="0563C1" w:themeColor="hyperlink"/>
      <w:u w:val="single"/>
    </w:rPr>
  </w:style>
  <w:style w:type="character" w:customStyle="1" w:styleId="BoldHyperlink">
    <w:name w:val="BoldHyperlink"/>
    <w:uiPriority w:val="1"/>
    <w:unhideWhenUsed/>
    <w:qFormat/>
    <w:rPr>
      <w:rFonts w:ascii="Calibri"/>
      <w:b/>
      <w:color w:val="0563C1" w:themeColor="hyperlink"/>
      <w:u w:val="single"/>
    </w:rPr>
  </w:style>
  <w:style w:type="character" w:customStyle="1" w:styleId="ItalicHyperlink">
    <w:name w:val="ItalicHyperlink"/>
    <w:uiPriority w:val="1"/>
    <w:unhideWhenUsed/>
    <w:qFormat/>
    <w:rPr>
      <w:rFonts w:ascii="Calibri"/>
      <w:i/>
      <w:color w:val="0563C1" w:themeColor="hyperlink"/>
      <w:u w:val="single"/>
    </w:rPr>
  </w:style>
  <w:style w:type="character" w:customStyle="1" w:styleId="BoldItalicHyperlink">
    <w:name w:val="BoldItalicHyperlink"/>
    <w:uiPriority w:val="1"/>
    <w:unhideWhenUsed/>
    <w:qFormat/>
    <w:rPr>
      <w:rFonts w:ascii="Calibri"/>
      <w:b/>
      <w:i/>
      <w:color w:val="0563C1" w:themeColor="hyperlink"/>
      <w:u w:val="single"/>
    </w:rPr>
  </w:style>
  <w:style w:type="paragraph" w:customStyle="1" w:styleId="Caption1">
    <w:name w:val="Caption1"/>
    <w:basedOn w:val="Normal1"/>
    <w:next w:val="Normal1"/>
    <w:uiPriority w:val="1"/>
    <w:unhideWhenUsed/>
    <w:qFormat/>
    <w:pPr>
      <w:spacing w:after="200" w:line="240" w:lineRule="auto"/>
      <w:jc w:val="center"/>
    </w:pPr>
    <w:rPr>
      <w:i/>
      <w:color w:val="44546A" w:themeColor="text2"/>
      <w:sz w:val="18"/>
    </w:rPr>
  </w:style>
  <w:style w:type="paragraph" w:customStyle="1" w:styleId="FootnoteText">
    <w:name w:val="FootnoteText"/>
    <w:basedOn w:val="Normal1"/>
    <w:next w:val="Normal1"/>
    <w:uiPriority w:val="1"/>
    <w:unhideWhenUsed/>
    <w:qFormat/>
    <w:pPr>
      <w:spacing w:after="0" w:line="240" w:lineRule="auto"/>
    </w:pPr>
    <w:rPr>
      <w:sz w:val="20"/>
    </w:rPr>
  </w:style>
  <w:style w:type="paragraph" w:customStyle="1" w:styleId="IntenseQuote">
    <w:name w:val="IntenseQuote"/>
    <w:basedOn w:val="Normal1"/>
    <w:next w:val="Normal1"/>
    <w:uiPriority w:val="1"/>
    <w:unhideWhenUsed/>
    <w:qFormat/>
    <w:pPr>
      <w:pBdr>
        <w:top w:val="single" w:sz="4" w:space="10" w:color="4472C4" w:themeColor="accent1"/>
        <w:bottom w:val="single" w:sz="4" w:space="10" w:color="4472C4" w:themeColor="accent1"/>
      </w:pBdr>
      <w:spacing w:before="360" w:after="360"/>
      <w:jc w:val="center"/>
    </w:pPr>
    <w:rPr>
      <w:i/>
      <w:color w:val="4472C4" w:themeColor="accent1"/>
    </w:rPr>
  </w:style>
  <w:style w:type="character" w:styleId="Hyperlink">
    <w:name w:val="Hyperlink"/>
    <w:basedOn w:val="DefaultParagraphFont"/>
    <w:uiPriority w:val="99"/>
    <w:unhideWhenUsed/>
    <w:rsid w:val="00CB082C"/>
    <w:rPr>
      <w:color w:val="0000FF"/>
      <w:u w:val="single"/>
    </w:rPr>
  </w:style>
  <w:style w:type="character" w:styleId="UnresolvedMention">
    <w:name w:val="Unresolved Mention"/>
    <w:basedOn w:val="DefaultParagraphFont"/>
    <w:uiPriority w:val="99"/>
    <w:semiHidden/>
    <w:unhideWhenUsed/>
    <w:rsid w:val="00F732FF"/>
    <w:rPr>
      <w:color w:val="605E5C"/>
      <w:shd w:val="clear" w:color="auto" w:fill="E1DFDD"/>
    </w:rPr>
  </w:style>
  <w:style w:type="character" w:styleId="FollowedHyperlink">
    <w:name w:val="FollowedHyperlink"/>
    <w:basedOn w:val="DefaultParagraphFont"/>
    <w:uiPriority w:val="99"/>
    <w:semiHidden/>
    <w:unhideWhenUsed/>
    <w:rsid w:val="00AF0F2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6336300">
      <w:bodyDiv w:val="1"/>
      <w:marLeft w:val="0"/>
      <w:marRight w:val="0"/>
      <w:marTop w:val="0"/>
      <w:marBottom w:val="0"/>
      <w:divBdr>
        <w:top w:val="none" w:sz="0" w:space="0" w:color="auto"/>
        <w:left w:val="none" w:sz="0" w:space="0" w:color="auto"/>
        <w:bottom w:val="none" w:sz="0" w:space="0" w:color="auto"/>
        <w:right w:val="none" w:sz="0" w:space="0" w:color="auto"/>
      </w:divBdr>
    </w:div>
    <w:div w:id="197546954">
      <w:bodyDiv w:val="1"/>
      <w:marLeft w:val="0"/>
      <w:marRight w:val="0"/>
      <w:marTop w:val="0"/>
      <w:marBottom w:val="0"/>
      <w:divBdr>
        <w:top w:val="none" w:sz="0" w:space="0" w:color="auto"/>
        <w:left w:val="none" w:sz="0" w:space="0" w:color="auto"/>
        <w:bottom w:val="none" w:sz="0" w:space="0" w:color="auto"/>
        <w:right w:val="none" w:sz="0" w:space="0" w:color="auto"/>
      </w:divBdr>
    </w:div>
    <w:div w:id="225148363">
      <w:bodyDiv w:val="1"/>
      <w:marLeft w:val="0"/>
      <w:marRight w:val="0"/>
      <w:marTop w:val="0"/>
      <w:marBottom w:val="0"/>
      <w:divBdr>
        <w:top w:val="none" w:sz="0" w:space="0" w:color="auto"/>
        <w:left w:val="none" w:sz="0" w:space="0" w:color="auto"/>
        <w:bottom w:val="none" w:sz="0" w:space="0" w:color="auto"/>
        <w:right w:val="none" w:sz="0" w:space="0" w:color="auto"/>
      </w:divBdr>
    </w:div>
    <w:div w:id="268510805">
      <w:bodyDiv w:val="1"/>
      <w:marLeft w:val="0"/>
      <w:marRight w:val="0"/>
      <w:marTop w:val="0"/>
      <w:marBottom w:val="0"/>
      <w:divBdr>
        <w:top w:val="none" w:sz="0" w:space="0" w:color="auto"/>
        <w:left w:val="none" w:sz="0" w:space="0" w:color="auto"/>
        <w:bottom w:val="none" w:sz="0" w:space="0" w:color="auto"/>
        <w:right w:val="none" w:sz="0" w:space="0" w:color="auto"/>
      </w:divBdr>
    </w:div>
    <w:div w:id="270550169">
      <w:bodyDiv w:val="1"/>
      <w:marLeft w:val="0"/>
      <w:marRight w:val="0"/>
      <w:marTop w:val="0"/>
      <w:marBottom w:val="0"/>
      <w:divBdr>
        <w:top w:val="none" w:sz="0" w:space="0" w:color="auto"/>
        <w:left w:val="none" w:sz="0" w:space="0" w:color="auto"/>
        <w:bottom w:val="none" w:sz="0" w:space="0" w:color="auto"/>
        <w:right w:val="none" w:sz="0" w:space="0" w:color="auto"/>
      </w:divBdr>
    </w:div>
    <w:div w:id="290749390">
      <w:bodyDiv w:val="1"/>
      <w:marLeft w:val="0"/>
      <w:marRight w:val="0"/>
      <w:marTop w:val="0"/>
      <w:marBottom w:val="0"/>
      <w:divBdr>
        <w:top w:val="none" w:sz="0" w:space="0" w:color="auto"/>
        <w:left w:val="none" w:sz="0" w:space="0" w:color="auto"/>
        <w:bottom w:val="none" w:sz="0" w:space="0" w:color="auto"/>
        <w:right w:val="none" w:sz="0" w:space="0" w:color="auto"/>
      </w:divBdr>
    </w:div>
    <w:div w:id="307056035">
      <w:bodyDiv w:val="1"/>
      <w:marLeft w:val="0"/>
      <w:marRight w:val="0"/>
      <w:marTop w:val="0"/>
      <w:marBottom w:val="0"/>
      <w:divBdr>
        <w:top w:val="none" w:sz="0" w:space="0" w:color="auto"/>
        <w:left w:val="none" w:sz="0" w:space="0" w:color="auto"/>
        <w:bottom w:val="none" w:sz="0" w:space="0" w:color="auto"/>
        <w:right w:val="none" w:sz="0" w:space="0" w:color="auto"/>
      </w:divBdr>
    </w:div>
    <w:div w:id="393161120">
      <w:bodyDiv w:val="1"/>
      <w:marLeft w:val="0"/>
      <w:marRight w:val="0"/>
      <w:marTop w:val="0"/>
      <w:marBottom w:val="0"/>
      <w:divBdr>
        <w:top w:val="none" w:sz="0" w:space="0" w:color="auto"/>
        <w:left w:val="none" w:sz="0" w:space="0" w:color="auto"/>
        <w:bottom w:val="none" w:sz="0" w:space="0" w:color="auto"/>
        <w:right w:val="none" w:sz="0" w:space="0" w:color="auto"/>
      </w:divBdr>
    </w:div>
    <w:div w:id="431510106">
      <w:bodyDiv w:val="1"/>
      <w:marLeft w:val="0"/>
      <w:marRight w:val="0"/>
      <w:marTop w:val="0"/>
      <w:marBottom w:val="0"/>
      <w:divBdr>
        <w:top w:val="none" w:sz="0" w:space="0" w:color="auto"/>
        <w:left w:val="none" w:sz="0" w:space="0" w:color="auto"/>
        <w:bottom w:val="none" w:sz="0" w:space="0" w:color="auto"/>
        <w:right w:val="none" w:sz="0" w:space="0" w:color="auto"/>
      </w:divBdr>
    </w:div>
    <w:div w:id="435519385">
      <w:bodyDiv w:val="1"/>
      <w:marLeft w:val="0"/>
      <w:marRight w:val="0"/>
      <w:marTop w:val="0"/>
      <w:marBottom w:val="0"/>
      <w:divBdr>
        <w:top w:val="none" w:sz="0" w:space="0" w:color="auto"/>
        <w:left w:val="none" w:sz="0" w:space="0" w:color="auto"/>
        <w:bottom w:val="none" w:sz="0" w:space="0" w:color="auto"/>
        <w:right w:val="none" w:sz="0" w:space="0" w:color="auto"/>
      </w:divBdr>
    </w:div>
    <w:div w:id="439565186">
      <w:bodyDiv w:val="1"/>
      <w:marLeft w:val="0"/>
      <w:marRight w:val="0"/>
      <w:marTop w:val="0"/>
      <w:marBottom w:val="0"/>
      <w:divBdr>
        <w:top w:val="none" w:sz="0" w:space="0" w:color="auto"/>
        <w:left w:val="none" w:sz="0" w:space="0" w:color="auto"/>
        <w:bottom w:val="none" w:sz="0" w:space="0" w:color="auto"/>
        <w:right w:val="none" w:sz="0" w:space="0" w:color="auto"/>
      </w:divBdr>
    </w:div>
    <w:div w:id="485171593">
      <w:bodyDiv w:val="1"/>
      <w:marLeft w:val="0"/>
      <w:marRight w:val="0"/>
      <w:marTop w:val="0"/>
      <w:marBottom w:val="0"/>
      <w:divBdr>
        <w:top w:val="none" w:sz="0" w:space="0" w:color="auto"/>
        <w:left w:val="none" w:sz="0" w:space="0" w:color="auto"/>
        <w:bottom w:val="none" w:sz="0" w:space="0" w:color="auto"/>
        <w:right w:val="none" w:sz="0" w:space="0" w:color="auto"/>
      </w:divBdr>
    </w:div>
    <w:div w:id="575747644">
      <w:bodyDiv w:val="1"/>
      <w:marLeft w:val="0"/>
      <w:marRight w:val="0"/>
      <w:marTop w:val="0"/>
      <w:marBottom w:val="0"/>
      <w:divBdr>
        <w:top w:val="none" w:sz="0" w:space="0" w:color="auto"/>
        <w:left w:val="none" w:sz="0" w:space="0" w:color="auto"/>
        <w:bottom w:val="none" w:sz="0" w:space="0" w:color="auto"/>
        <w:right w:val="none" w:sz="0" w:space="0" w:color="auto"/>
      </w:divBdr>
    </w:div>
    <w:div w:id="601955981">
      <w:bodyDiv w:val="1"/>
      <w:marLeft w:val="0"/>
      <w:marRight w:val="0"/>
      <w:marTop w:val="0"/>
      <w:marBottom w:val="0"/>
      <w:divBdr>
        <w:top w:val="none" w:sz="0" w:space="0" w:color="auto"/>
        <w:left w:val="none" w:sz="0" w:space="0" w:color="auto"/>
        <w:bottom w:val="none" w:sz="0" w:space="0" w:color="auto"/>
        <w:right w:val="none" w:sz="0" w:space="0" w:color="auto"/>
      </w:divBdr>
    </w:div>
    <w:div w:id="605187539">
      <w:bodyDiv w:val="1"/>
      <w:marLeft w:val="0"/>
      <w:marRight w:val="0"/>
      <w:marTop w:val="0"/>
      <w:marBottom w:val="0"/>
      <w:divBdr>
        <w:top w:val="none" w:sz="0" w:space="0" w:color="auto"/>
        <w:left w:val="none" w:sz="0" w:space="0" w:color="auto"/>
        <w:bottom w:val="none" w:sz="0" w:space="0" w:color="auto"/>
        <w:right w:val="none" w:sz="0" w:space="0" w:color="auto"/>
      </w:divBdr>
    </w:div>
    <w:div w:id="607398231">
      <w:bodyDiv w:val="1"/>
      <w:marLeft w:val="0"/>
      <w:marRight w:val="0"/>
      <w:marTop w:val="0"/>
      <w:marBottom w:val="0"/>
      <w:divBdr>
        <w:top w:val="none" w:sz="0" w:space="0" w:color="auto"/>
        <w:left w:val="none" w:sz="0" w:space="0" w:color="auto"/>
        <w:bottom w:val="none" w:sz="0" w:space="0" w:color="auto"/>
        <w:right w:val="none" w:sz="0" w:space="0" w:color="auto"/>
      </w:divBdr>
    </w:div>
    <w:div w:id="653415573">
      <w:bodyDiv w:val="1"/>
      <w:marLeft w:val="0"/>
      <w:marRight w:val="0"/>
      <w:marTop w:val="0"/>
      <w:marBottom w:val="0"/>
      <w:divBdr>
        <w:top w:val="none" w:sz="0" w:space="0" w:color="auto"/>
        <w:left w:val="none" w:sz="0" w:space="0" w:color="auto"/>
        <w:bottom w:val="none" w:sz="0" w:space="0" w:color="auto"/>
        <w:right w:val="none" w:sz="0" w:space="0" w:color="auto"/>
      </w:divBdr>
    </w:div>
    <w:div w:id="663313170">
      <w:bodyDiv w:val="1"/>
      <w:marLeft w:val="0"/>
      <w:marRight w:val="0"/>
      <w:marTop w:val="0"/>
      <w:marBottom w:val="0"/>
      <w:divBdr>
        <w:top w:val="none" w:sz="0" w:space="0" w:color="auto"/>
        <w:left w:val="none" w:sz="0" w:space="0" w:color="auto"/>
        <w:bottom w:val="none" w:sz="0" w:space="0" w:color="auto"/>
        <w:right w:val="none" w:sz="0" w:space="0" w:color="auto"/>
      </w:divBdr>
    </w:div>
    <w:div w:id="753628783">
      <w:bodyDiv w:val="1"/>
      <w:marLeft w:val="0"/>
      <w:marRight w:val="0"/>
      <w:marTop w:val="0"/>
      <w:marBottom w:val="0"/>
      <w:divBdr>
        <w:top w:val="none" w:sz="0" w:space="0" w:color="auto"/>
        <w:left w:val="none" w:sz="0" w:space="0" w:color="auto"/>
        <w:bottom w:val="none" w:sz="0" w:space="0" w:color="auto"/>
        <w:right w:val="none" w:sz="0" w:space="0" w:color="auto"/>
      </w:divBdr>
    </w:div>
    <w:div w:id="919869388">
      <w:bodyDiv w:val="1"/>
      <w:marLeft w:val="0"/>
      <w:marRight w:val="0"/>
      <w:marTop w:val="0"/>
      <w:marBottom w:val="0"/>
      <w:divBdr>
        <w:top w:val="none" w:sz="0" w:space="0" w:color="auto"/>
        <w:left w:val="none" w:sz="0" w:space="0" w:color="auto"/>
        <w:bottom w:val="none" w:sz="0" w:space="0" w:color="auto"/>
        <w:right w:val="none" w:sz="0" w:space="0" w:color="auto"/>
      </w:divBdr>
    </w:div>
    <w:div w:id="974988215">
      <w:bodyDiv w:val="1"/>
      <w:marLeft w:val="0"/>
      <w:marRight w:val="0"/>
      <w:marTop w:val="0"/>
      <w:marBottom w:val="0"/>
      <w:divBdr>
        <w:top w:val="none" w:sz="0" w:space="0" w:color="auto"/>
        <w:left w:val="none" w:sz="0" w:space="0" w:color="auto"/>
        <w:bottom w:val="none" w:sz="0" w:space="0" w:color="auto"/>
        <w:right w:val="none" w:sz="0" w:space="0" w:color="auto"/>
      </w:divBdr>
    </w:div>
    <w:div w:id="1084492836">
      <w:bodyDiv w:val="1"/>
      <w:marLeft w:val="0"/>
      <w:marRight w:val="0"/>
      <w:marTop w:val="0"/>
      <w:marBottom w:val="0"/>
      <w:divBdr>
        <w:top w:val="none" w:sz="0" w:space="0" w:color="auto"/>
        <w:left w:val="none" w:sz="0" w:space="0" w:color="auto"/>
        <w:bottom w:val="none" w:sz="0" w:space="0" w:color="auto"/>
        <w:right w:val="none" w:sz="0" w:space="0" w:color="auto"/>
      </w:divBdr>
    </w:div>
    <w:div w:id="1091390896">
      <w:bodyDiv w:val="1"/>
      <w:marLeft w:val="0"/>
      <w:marRight w:val="0"/>
      <w:marTop w:val="0"/>
      <w:marBottom w:val="0"/>
      <w:divBdr>
        <w:top w:val="none" w:sz="0" w:space="0" w:color="auto"/>
        <w:left w:val="none" w:sz="0" w:space="0" w:color="auto"/>
        <w:bottom w:val="none" w:sz="0" w:space="0" w:color="auto"/>
        <w:right w:val="none" w:sz="0" w:space="0" w:color="auto"/>
      </w:divBdr>
    </w:div>
    <w:div w:id="1097214601">
      <w:bodyDiv w:val="1"/>
      <w:marLeft w:val="0"/>
      <w:marRight w:val="0"/>
      <w:marTop w:val="0"/>
      <w:marBottom w:val="0"/>
      <w:divBdr>
        <w:top w:val="none" w:sz="0" w:space="0" w:color="auto"/>
        <w:left w:val="none" w:sz="0" w:space="0" w:color="auto"/>
        <w:bottom w:val="none" w:sz="0" w:space="0" w:color="auto"/>
        <w:right w:val="none" w:sz="0" w:space="0" w:color="auto"/>
      </w:divBdr>
    </w:div>
    <w:div w:id="1119686655">
      <w:bodyDiv w:val="1"/>
      <w:marLeft w:val="0"/>
      <w:marRight w:val="0"/>
      <w:marTop w:val="0"/>
      <w:marBottom w:val="0"/>
      <w:divBdr>
        <w:top w:val="none" w:sz="0" w:space="0" w:color="auto"/>
        <w:left w:val="none" w:sz="0" w:space="0" w:color="auto"/>
        <w:bottom w:val="none" w:sz="0" w:space="0" w:color="auto"/>
        <w:right w:val="none" w:sz="0" w:space="0" w:color="auto"/>
      </w:divBdr>
    </w:div>
    <w:div w:id="1126581244">
      <w:bodyDiv w:val="1"/>
      <w:marLeft w:val="0"/>
      <w:marRight w:val="0"/>
      <w:marTop w:val="0"/>
      <w:marBottom w:val="0"/>
      <w:divBdr>
        <w:top w:val="none" w:sz="0" w:space="0" w:color="auto"/>
        <w:left w:val="none" w:sz="0" w:space="0" w:color="auto"/>
        <w:bottom w:val="none" w:sz="0" w:space="0" w:color="auto"/>
        <w:right w:val="none" w:sz="0" w:space="0" w:color="auto"/>
      </w:divBdr>
    </w:div>
    <w:div w:id="1168789560">
      <w:bodyDiv w:val="1"/>
      <w:marLeft w:val="0"/>
      <w:marRight w:val="0"/>
      <w:marTop w:val="0"/>
      <w:marBottom w:val="0"/>
      <w:divBdr>
        <w:top w:val="none" w:sz="0" w:space="0" w:color="auto"/>
        <w:left w:val="none" w:sz="0" w:space="0" w:color="auto"/>
        <w:bottom w:val="none" w:sz="0" w:space="0" w:color="auto"/>
        <w:right w:val="none" w:sz="0" w:space="0" w:color="auto"/>
      </w:divBdr>
    </w:div>
    <w:div w:id="1170096156">
      <w:bodyDiv w:val="1"/>
      <w:marLeft w:val="0"/>
      <w:marRight w:val="0"/>
      <w:marTop w:val="0"/>
      <w:marBottom w:val="0"/>
      <w:divBdr>
        <w:top w:val="none" w:sz="0" w:space="0" w:color="auto"/>
        <w:left w:val="none" w:sz="0" w:space="0" w:color="auto"/>
        <w:bottom w:val="none" w:sz="0" w:space="0" w:color="auto"/>
        <w:right w:val="none" w:sz="0" w:space="0" w:color="auto"/>
      </w:divBdr>
    </w:div>
    <w:div w:id="1201630433">
      <w:bodyDiv w:val="1"/>
      <w:marLeft w:val="0"/>
      <w:marRight w:val="0"/>
      <w:marTop w:val="0"/>
      <w:marBottom w:val="0"/>
      <w:divBdr>
        <w:top w:val="none" w:sz="0" w:space="0" w:color="auto"/>
        <w:left w:val="none" w:sz="0" w:space="0" w:color="auto"/>
        <w:bottom w:val="none" w:sz="0" w:space="0" w:color="auto"/>
        <w:right w:val="none" w:sz="0" w:space="0" w:color="auto"/>
      </w:divBdr>
    </w:div>
    <w:div w:id="1251281826">
      <w:bodyDiv w:val="1"/>
      <w:marLeft w:val="0"/>
      <w:marRight w:val="0"/>
      <w:marTop w:val="0"/>
      <w:marBottom w:val="0"/>
      <w:divBdr>
        <w:top w:val="none" w:sz="0" w:space="0" w:color="auto"/>
        <w:left w:val="none" w:sz="0" w:space="0" w:color="auto"/>
        <w:bottom w:val="none" w:sz="0" w:space="0" w:color="auto"/>
        <w:right w:val="none" w:sz="0" w:space="0" w:color="auto"/>
      </w:divBdr>
    </w:div>
    <w:div w:id="1267732036">
      <w:bodyDiv w:val="1"/>
      <w:marLeft w:val="0"/>
      <w:marRight w:val="0"/>
      <w:marTop w:val="0"/>
      <w:marBottom w:val="0"/>
      <w:divBdr>
        <w:top w:val="none" w:sz="0" w:space="0" w:color="auto"/>
        <w:left w:val="none" w:sz="0" w:space="0" w:color="auto"/>
        <w:bottom w:val="none" w:sz="0" w:space="0" w:color="auto"/>
        <w:right w:val="none" w:sz="0" w:space="0" w:color="auto"/>
      </w:divBdr>
    </w:div>
    <w:div w:id="1304852605">
      <w:bodyDiv w:val="1"/>
      <w:marLeft w:val="0"/>
      <w:marRight w:val="0"/>
      <w:marTop w:val="0"/>
      <w:marBottom w:val="0"/>
      <w:divBdr>
        <w:top w:val="none" w:sz="0" w:space="0" w:color="auto"/>
        <w:left w:val="none" w:sz="0" w:space="0" w:color="auto"/>
        <w:bottom w:val="none" w:sz="0" w:space="0" w:color="auto"/>
        <w:right w:val="none" w:sz="0" w:space="0" w:color="auto"/>
      </w:divBdr>
    </w:div>
    <w:div w:id="1384670859">
      <w:bodyDiv w:val="1"/>
      <w:marLeft w:val="0"/>
      <w:marRight w:val="0"/>
      <w:marTop w:val="0"/>
      <w:marBottom w:val="0"/>
      <w:divBdr>
        <w:top w:val="none" w:sz="0" w:space="0" w:color="auto"/>
        <w:left w:val="none" w:sz="0" w:space="0" w:color="auto"/>
        <w:bottom w:val="none" w:sz="0" w:space="0" w:color="auto"/>
        <w:right w:val="none" w:sz="0" w:space="0" w:color="auto"/>
      </w:divBdr>
    </w:div>
    <w:div w:id="1402602275">
      <w:bodyDiv w:val="1"/>
      <w:marLeft w:val="0"/>
      <w:marRight w:val="0"/>
      <w:marTop w:val="0"/>
      <w:marBottom w:val="0"/>
      <w:divBdr>
        <w:top w:val="none" w:sz="0" w:space="0" w:color="auto"/>
        <w:left w:val="none" w:sz="0" w:space="0" w:color="auto"/>
        <w:bottom w:val="none" w:sz="0" w:space="0" w:color="auto"/>
        <w:right w:val="none" w:sz="0" w:space="0" w:color="auto"/>
      </w:divBdr>
    </w:div>
    <w:div w:id="1451582828">
      <w:bodyDiv w:val="1"/>
      <w:marLeft w:val="0"/>
      <w:marRight w:val="0"/>
      <w:marTop w:val="0"/>
      <w:marBottom w:val="0"/>
      <w:divBdr>
        <w:top w:val="none" w:sz="0" w:space="0" w:color="auto"/>
        <w:left w:val="none" w:sz="0" w:space="0" w:color="auto"/>
        <w:bottom w:val="none" w:sz="0" w:space="0" w:color="auto"/>
        <w:right w:val="none" w:sz="0" w:space="0" w:color="auto"/>
      </w:divBdr>
    </w:div>
    <w:div w:id="1508250917">
      <w:bodyDiv w:val="1"/>
      <w:marLeft w:val="0"/>
      <w:marRight w:val="0"/>
      <w:marTop w:val="0"/>
      <w:marBottom w:val="0"/>
      <w:divBdr>
        <w:top w:val="none" w:sz="0" w:space="0" w:color="auto"/>
        <w:left w:val="none" w:sz="0" w:space="0" w:color="auto"/>
        <w:bottom w:val="none" w:sz="0" w:space="0" w:color="auto"/>
        <w:right w:val="none" w:sz="0" w:space="0" w:color="auto"/>
      </w:divBdr>
    </w:div>
    <w:div w:id="1531918936">
      <w:bodyDiv w:val="1"/>
      <w:marLeft w:val="0"/>
      <w:marRight w:val="0"/>
      <w:marTop w:val="0"/>
      <w:marBottom w:val="0"/>
      <w:divBdr>
        <w:top w:val="none" w:sz="0" w:space="0" w:color="auto"/>
        <w:left w:val="none" w:sz="0" w:space="0" w:color="auto"/>
        <w:bottom w:val="none" w:sz="0" w:space="0" w:color="auto"/>
        <w:right w:val="none" w:sz="0" w:space="0" w:color="auto"/>
      </w:divBdr>
    </w:div>
    <w:div w:id="1532184708">
      <w:bodyDiv w:val="1"/>
      <w:marLeft w:val="0"/>
      <w:marRight w:val="0"/>
      <w:marTop w:val="0"/>
      <w:marBottom w:val="0"/>
      <w:divBdr>
        <w:top w:val="none" w:sz="0" w:space="0" w:color="auto"/>
        <w:left w:val="none" w:sz="0" w:space="0" w:color="auto"/>
        <w:bottom w:val="none" w:sz="0" w:space="0" w:color="auto"/>
        <w:right w:val="none" w:sz="0" w:space="0" w:color="auto"/>
      </w:divBdr>
    </w:div>
    <w:div w:id="1551844765">
      <w:bodyDiv w:val="1"/>
      <w:marLeft w:val="0"/>
      <w:marRight w:val="0"/>
      <w:marTop w:val="0"/>
      <w:marBottom w:val="0"/>
      <w:divBdr>
        <w:top w:val="none" w:sz="0" w:space="0" w:color="auto"/>
        <w:left w:val="none" w:sz="0" w:space="0" w:color="auto"/>
        <w:bottom w:val="none" w:sz="0" w:space="0" w:color="auto"/>
        <w:right w:val="none" w:sz="0" w:space="0" w:color="auto"/>
      </w:divBdr>
    </w:div>
    <w:div w:id="1604998147">
      <w:bodyDiv w:val="1"/>
      <w:marLeft w:val="0"/>
      <w:marRight w:val="0"/>
      <w:marTop w:val="0"/>
      <w:marBottom w:val="0"/>
      <w:divBdr>
        <w:top w:val="none" w:sz="0" w:space="0" w:color="auto"/>
        <w:left w:val="none" w:sz="0" w:space="0" w:color="auto"/>
        <w:bottom w:val="none" w:sz="0" w:space="0" w:color="auto"/>
        <w:right w:val="none" w:sz="0" w:space="0" w:color="auto"/>
      </w:divBdr>
    </w:div>
    <w:div w:id="1605304879">
      <w:bodyDiv w:val="1"/>
      <w:marLeft w:val="0"/>
      <w:marRight w:val="0"/>
      <w:marTop w:val="0"/>
      <w:marBottom w:val="0"/>
      <w:divBdr>
        <w:top w:val="none" w:sz="0" w:space="0" w:color="auto"/>
        <w:left w:val="none" w:sz="0" w:space="0" w:color="auto"/>
        <w:bottom w:val="none" w:sz="0" w:space="0" w:color="auto"/>
        <w:right w:val="none" w:sz="0" w:space="0" w:color="auto"/>
      </w:divBdr>
    </w:div>
    <w:div w:id="1629160267">
      <w:bodyDiv w:val="1"/>
      <w:marLeft w:val="0"/>
      <w:marRight w:val="0"/>
      <w:marTop w:val="0"/>
      <w:marBottom w:val="0"/>
      <w:divBdr>
        <w:top w:val="none" w:sz="0" w:space="0" w:color="auto"/>
        <w:left w:val="none" w:sz="0" w:space="0" w:color="auto"/>
        <w:bottom w:val="none" w:sz="0" w:space="0" w:color="auto"/>
        <w:right w:val="none" w:sz="0" w:space="0" w:color="auto"/>
      </w:divBdr>
    </w:div>
    <w:div w:id="1698775506">
      <w:bodyDiv w:val="1"/>
      <w:marLeft w:val="0"/>
      <w:marRight w:val="0"/>
      <w:marTop w:val="0"/>
      <w:marBottom w:val="0"/>
      <w:divBdr>
        <w:top w:val="none" w:sz="0" w:space="0" w:color="auto"/>
        <w:left w:val="none" w:sz="0" w:space="0" w:color="auto"/>
        <w:bottom w:val="none" w:sz="0" w:space="0" w:color="auto"/>
        <w:right w:val="none" w:sz="0" w:space="0" w:color="auto"/>
      </w:divBdr>
    </w:div>
    <w:div w:id="1758360391">
      <w:bodyDiv w:val="1"/>
      <w:marLeft w:val="0"/>
      <w:marRight w:val="0"/>
      <w:marTop w:val="0"/>
      <w:marBottom w:val="0"/>
      <w:divBdr>
        <w:top w:val="none" w:sz="0" w:space="0" w:color="auto"/>
        <w:left w:val="none" w:sz="0" w:space="0" w:color="auto"/>
        <w:bottom w:val="none" w:sz="0" w:space="0" w:color="auto"/>
        <w:right w:val="none" w:sz="0" w:space="0" w:color="auto"/>
      </w:divBdr>
    </w:div>
    <w:div w:id="1784571189">
      <w:bodyDiv w:val="1"/>
      <w:marLeft w:val="0"/>
      <w:marRight w:val="0"/>
      <w:marTop w:val="0"/>
      <w:marBottom w:val="0"/>
      <w:divBdr>
        <w:top w:val="none" w:sz="0" w:space="0" w:color="auto"/>
        <w:left w:val="none" w:sz="0" w:space="0" w:color="auto"/>
        <w:bottom w:val="none" w:sz="0" w:space="0" w:color="auto"/>
        <w:right w:val="none" w:sz="0" w:space="0" w:color="auto"/>
      </w:divBdr>
    </w:div>
    <w:div w:id="1787383255">
      <w:bodyDiv w:val="1"/>
      <w:marLeft w:val="0"/>
      <w:marRight w:val="0"/>
      <w:marTop w:val="0"/>
      <w:marBottom w:val="0"/>
      <w:divBdr>
        <w:top w:val="none" w:sz="0" w:space="0" w:color="auto"/>
        <w:left w:val="none" w:sz="0" w:space="0" w:color="auto"/>
        <w:bottom w:val="none" w:sz="0" w:space="0" w:color="auto"/>
        <w:right w:val="none" w:sz="0" w:space="0" w:color="auto"/>
      </w:divBdr>
    </w:div>
    <w:div w:id="1837308736">
      <w:bodyDiv w:val="1"/>
      <w:marLeft w:val="0"/>
      <w:marRight w:val="0"/>
      <w:marTop w:val="0"/>
      <w:marBottom w:val="0"/>
      <w:divBdr>
        <w:top w:val="none" w:sz="0" w:space="0" w:color="auto"/>
        <w:left w:val="none" w:sz="0" w:space="0" w:color="auto"/>
        <w:bottom w:val="none" w:sz="0" w:space="0" w:color="auto"/>
        <w:right w:val="none" w:sz="0" w:space="0" w:color="auto"/>
      </w:divBdr>
    </w:div>
    <w:div w:id="1838039752">
      <w:bodyDiv w:val="1"/>
      <w:marLeft w:val="0"/>
      <w:marRight w:val="0"/>
      <w:marTop w:val="0"/>
      <w:marBottom w:val="0"/>
      <w:divBdr>
        <w:top w:val="none" w:sz="0" w:space="0" w:color="auto"/>
        <w:left w:val="none" w:sz="0" w:space="0" w:color="auto"/>
        <w:bottom w:val="none" w:sz="0" w:space="0" w:color="auto"/>
        <w:right w:val="none" w:sz="0" w:space="0" w:color="auto"/>
      </w:divBdr>
    </w:div>
    <w:div w:id="191335060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sway.office.com/8kSV5mfmK58EDTzU" TargetMode="External" /><Relationship Id="rId13" Type="http://schemas.openxmlformats.org/officeDocument/2006/relationships/image" Target="media/image1.jpg" /><Relationship Id="rId18" Type="http://schemas.openxmlformats.org/officeDocument/2006/relationships/image" Target="media/image4.jpg" /><Relationship Id="rId26" Type="http://schemas.openxmlformats.org/officeDocument/2006/relationships/hyperlink" Target="https://unsplash.com/@jasonrosewell?utm_source=unsplash&amp;utm_medium=referral&amp;utm_content=creditCopyText" TargetMode="External" /><Relationship Id="rId3" Type="http://schemas.openxmlformats.org/officeDocument/2006/relationships/customXml" Target="../customXml/item3.xml" /><Relationship Id="rId21" Type="http://schemas.openxmlformats.org/officeDocument/2006/relationships/image" Target="media/image6.jpg" /><Relationship Id="rId7" Type="http://schemas.openxmlformats.org/officeDocument/2006/relationships/webSettings" Target="webSettings.xml" /><Relationship Id="rId12" Type="http://schemas.openxmlformats.org/officeDocument/2006/relationships/hyperlink" Target="https://unsplash.com/@jontyson?utm_source=unsplash&amp;utm_medium=referral&amp;utm_content=creditCopyText" TargetMode="External" /><Relationship Id="rId17" Type="http://schemas.openxmlformats.org/officeDocument/2006/relationships/image" Target="media/image3.jpg" /><Relationship Id="rId25" Type="http://schemas.openxmlformats.org/officeDocument/2006/relationships/image" Target="media/image8.jpg" /><Relationship Id="rId2" Type="http://schemas.openxmlformats.org/officeDocument/2006/relationships/customXml" Target="../customXml/item2.xml" /><Relationship Id="rId16" Type="http://schemas.openxmlformats.org/officeDocument/2006/relationships/hyperlink" Target="https://unsplash.com/@nate_dumlao?utm_source=unsplash&amp;utm_medium=referral&amp;utm_content=creditCopyText" TargetMode="External" /><Relationship Id="rId20" Type="http://schemas.openxmlformats.org/officeDocument/2006/relationships/image" Target="media/image5.jpg" /><Relationship Id="rId29"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settings" Target="settings.xml" /><Relationship Id="rId11" Type="http://schemas.openxmlformats.org/officeDocument/2006/relationships/hyperlink" Target="https://sway.office.com/TKHfNFbSOZhkk5ju" TargetMode="External" /><Relationship Id="rId24" Type="http://schemas.openxmlformats.org/officeDocument/2006/relationships/image" Target="media/image7.jpg" /><Relationship Id="rId5" Type="http://schemas.openxmlformats.org/officeDocument/2006/relationships/styles" Target="styles.xml" /><Relationship Id="rId15" Type="http://schemas.openxmlformats.org/officeDocument/2006/relationships/image" Target="media/image2.jpg" /><Relationship Id="rId23" Type="http://schemas.openxmlformats.org/officeDocument/2006/relationships/hyperlink" Target="https://unsplash.com/@linsyorozuya?utm_source=unsplash&amp;utm_medium=referral&amp;utm_content=creditCopyText" TargetMode="External" /><Relationship Id="rId28" Type="http://schemas.openxmlformats.org/officeDocument/2006/relationships/fontTable" Target="fontTable.xml" /><Relationship Id="rId10" Type="http://schemas.openxmlformats.org/officeDocument/2006/relationships/hyperlink" Target="https://sway.office.com/v2jpxf3gNhE79Qxh" TargetMode="External" /><Relationship Id="rId19" Type="http://schemas.openxmlformats.org/officeDocument/2006/relationships/hyperlink" Target="https://unsplash.com/@freestocks?utm_source=unsplash&amp;utm_medium=referral&amp;utm_content=creditCopyText" TargetMode="External" /><Relationship Id="rId4" Type="http://schemas.openxmlformats.org/officeDocument/2006/relationships/numbering" Target="numbering.xml" /><Relationship Id="rId9" Type="http://schemas.openxmlformats.org/officeDocument/2006/relationships/hyperlink" Target="https://sway.office.com/KJS4Cj4yBUDNJUK5" TargetMode="External" /><Relationship Id="rId14" Type="http://schemas.openxmlformats.org/officeDocument/2006/relationships/hyperlink" Target="https://unsplash.com/@zoncoll?utm_source=unsplash&amp;utm_medium=referral&amp;utm_content=creditCopyText" TargetMode="External" /><Relationship Id="rId22" Type="http://schemas.openxmlformats.org/officeDocument/2006/relationships/hyperlink" Target="https://unsplash.com/@mr_t55?utm_source=unsplash&amp;utm_medium=referral&amp;utm_content=creditCopyText" TargetMode="External" /><Relationship Id="rId27" Type="http://schemas.openxmlformats.org/officeDocument/2006/relationships/image" Target="media/image9.jp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80bdae9b514fc33ae93dd6f60128a0bc">
  <xsd:schema xmlns:xsd="http://www.w3.org/2001/XMLSchema" xmlns:xs="http://www.w3.org/2001/XMLSchema" xmlns:p="http://schemas.microsoft.com/office/2006/metadata/properties" xmlns:ns3="f54e4810-f1f5-4bce-aa8e-e4722dc561be" xmlns:ns4="7b23fa32-4003-4364-bee1-595462966394" targetNamespace="http://schemas.microsoft.com/office/2006/metadata/properties" ma:root="true" ma:fieldsID="2f6d07b12b16d5e63aac36340bc27611" ns3:_="" ns4:_="">
    <xsd:import namespace="f54e4810-f1f5-4bce-aa8e-e4722dc561be"/>
    <xsd:import namespace="7b23fa32-4003-4364-bee1-59546296639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12A1A4D-2A1B-4D67-A686-E344A20FB276}">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5EAB5A7B-C55A-4B38-9884-4C54A9781451}">
  <ds:schemaRefs>
    <ds:schemaRef ds:uri="http://schemas.microsoft.com/sharepoint/v3/contenttype/forms"/>
  </ds:schemaRefs>
</ds:datastoreItem>
</file>

<file path=customXml/itemProps3.xml><?xml version="1.0" encoding="utf-8"?>
<ds:datastoreItem xmlns:ds="http://schemas.openxmlformats.org/officeDocument/2006/customXml" ds:itemID="{3313A90D-5521-40D8-8D73-F3933EEDF0BD}">
  <ds:schemaRefs>
    <ds:schemaRef ds:uri="http://schemas.microsoft.com/office/2006/metadata/contentType"/>
    <ds:schemaRef ds:uri="http://schemas.microsoft.com/office/2006/metadata/properties/metaAttributes"/>
    <ds:schemaRef ds:uri="http://www.w3.org/2000/xmlns/"/>
    <ds:schemaRef ds:uri="http://www.w3.org/2001/XMLSchema"/>
    <ds:schemaRef ds:uri="f54e4810-f1f5-4bce-aa8e-e4722dc561be"/>
    <ds:schemaRef ds:uri="7b23fa32-4003-4364-bee1-595462966394"/>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4448</Words>
  <Characters>25354</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Michelle Lorrainne Winkett (2004059)</cp:lastModifiedBy>
  <cp:revision>2</cp:revision>
  <dcterms:created xsi:type="dcterms:W3CDTF">2021-03-23T14:25:00Z</dcterms:created>
  <dcterms:modified xsi:type="dcterms:W3CDTF">2021-03-23T14:25:00Z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