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B50C8D" w14:textId="738742E1" w:rsidR="00E616E0" w:rsidRPr="009C239C" w:rsidRDefault="00E616E0">
      <w:pPr>
        <w:rPr>
          <w:rFonts w:ascii="Times New Roman" w:hAnsi="Times New Roman" w:cs="Times New Roman"/>
          <w:b/>
          <w:bCs/>
          <w:sz w:val="24"/>
          <w:szCs w:val="24"/>
          <w:u w:val="single"/>
        </w:rPr>
      </w:pPr>
      <w:r w:rsidRPr="009C239C">
        <w:rPr>
          <w:rFonts w:ascii="Times New Roman" w:hAnsi="Times New Roman" w:cs="Times New Roman"/>
          <w:b/>
          <w:bCs/>
          <w:sz w:val="24"/>
          <w:szCs w:val="24"/>
          <w:u w:val="single"/>
        </w:rPr>
        <w:t>ASSIGNMENT A</w:t>
      </w:r>
    </w:p>
    <w:p w14:paraId="0CC78F38" w14:textId="54BE8467" w:rsidR="0082049D" w:rsidRDefault="009C239C">
      <w:pPr>
        <w:rPr>
          <w:rFonts w:ascii="Times New Roman" w:hAnsi="Times New Roman" w:cs="Times New Roman"/>
          <w:b/>
          <w:bCs/>
          <w:sz w:val="24"/>
          <w:szCs w:val="24"/>
        </w:rPr>
      </w:pPr>
      <w:r>
        <w:rPr>
          <w:rFonts w:ascii="Times New Roman" w:hAnsi="Times New Roman" w:cs="Times New Roman"/>
          <w:b/>
          <w:bCs/>
          <w:sz w:val="24"/>
          <w:szCs w:val="24"/>
        </w:rPr>
        <w:t>1500-word</w:t>
      </w:r>
      <w:r w:rsidR="00E616E0" w:rsidRPr="00E616E0">
        <w:rPr>
          <w:rFonts w:ascii="Times New Roman" w:hAnsi="Times New Roman" w:cs="Times New Roman"/>
          <w:b/>
          <w:bCs/>
          <w:sz w:val="24"/>
          <w:szCs w:val="24"/>
        </w:rPr>
        <w:t xml:space="preserve"> book review/journal article, and </w:t>
      </w:r>
      <w:r>
        <w:rPr>
          <w:rFonts w:ascii="Times New Roman" w:hAnsi="Times New Roman" w:cs="Times New Roman"/>
          <w:b/>
          <w:bCs/>
          <w:sz w:val="24"/>
          <w:szCs w:val="24"/>
        </w:rPr>
        <w:t>1000-word</w:t>
      </w:r>
      <w:r w:rsidR="00E616E0" w:rsidRPr="00E616E0">
        <w:rPr>
          <w:rFonts w:ascii="Times New Roman" w:hAnsi="Times New Roman" w:cs="Times New Roman"/>
          <w:b/>
          <w:bCs/>
          <w:sz w:val="24"/>
          <w:szCs w:val="24"/>
        </w:rPr>
        <w:t xml:space="preserve"> document report</w:t>
      </w:r>
      <w:r w:rsidR="00251E89">
        <w:rPr>
          <w:rFonts w:ascii="Times New Roman" w:hAnsi="Times New Roman" w:cs="Times New Roman"/>
          <w:b/>
          <w:bCs/>
          <w:sz w:val="24"/>
          <w:szCs w:val="24"/>
        </w:rPr>
        <w:t xml:space="preserve"> (primar</w:t>
      </w:r>
      <w:r>
        <w:rPr>
          <w:rFonts w:ascii="Times New Roman" w:hAnsi="Times New Roman" w:cs="Times New Roman"/>
          <w:b/>
          <w:bCs/>
          <w:sz w:val="24"/>
          <w:szCs w:val="24"/>
        </w:rPr>
        <w:t xml:space="preserve">y source) </w:t>
      </w:r>
    </w:p>
    <w:p w14:paraId="64E2CA6B" w14:textId="77777777" w:rsidR="000E55D5" w:rsidRDefault="000E55D5">
      <w:pPr>
        <w:rPr>
          <w:rFonts w:ascii="Times New Roman" w:hAnsi="Times New Roman" w:cs="Times New Roman"/>
          <w:sz w:val="24"/>
          <w:szCs w:val="24"/>
          <w:u w:val="single"/>
        </w:rPr>
      </w:pPr>
    </w:p>
    <w:p w14:paraId="35522990" w14:textId="28F54848" w:rsidR="00E616E0" w:rsidRDefault="000E55D5">
      <w:pPr>
        <w:rPr>
          <w:rFonts w:ascii="Times New Roman" w:hAnsi="Times New Roman" w:cs="Times New Roman"/>
          <w:sz w:val="24"/>
          <w:szCs w:val="24"/>
          <w:u w:val="single"/>
        </w:rPr>
      </w:pPr>
      <w:r w:rsidRPr="000E55D5">
        <w:rPr>
          <w:rFonts w:ascii="Times New Roman" w:hAnsi="Times New Roman" w:cs="Times New Roman"/>
          <w:sz w:val="24"/>
          <w:szCs w:val="24"/>
          <w:u w:val="single"/>
        </w:rPr>
        <w:t>BOOK REVIEW</w:t>
      </w:r>
    </w:p>
    <w:p w14:paraId="1205E0A6" w14:textId="2443B406" w:rsidR="001B54AB" w:rsidRPr="001B54AB" w:rsidRDefault="001B54AB" w:rsidP="001B54AB">
      <w:pPr>
        <w:spacing w:after="0" w:line="480" w:lineRule="auto"/>
        <w:ind w:firstLine="720"/>
        <w:rPr>
          <w:rFonts w:ascii="Times New Roman" w:eastAsia="Times New Roman" w:hAnsi="Times New Roman" w:cs="Times New Roman"/>
          <w:sz w:val="24"/>
          <w:szCs w:val="24"/>
          <w:lang w:eastAsia="en-GB"/>
        </w:rPr>
      </w:pPr>
      <w:r w:rsidRPr="001B54AB">
        <w:rPr>
          <w:rFonts w:ascii="Times New Roman" w:eastAsia="Times New Roman" w:hAnsi="Times New Roman" w:cs="Times New Roman"/>
          <w:sz w:val="24"/>
          <w:szCs w:val="24"/>
          <w:lang w:eastAsia="en-GB"/>
        </w:rPr>
        <w:t xml:space="preserve">The book </w:t>
      </w:r>
      <w:r w:rsidRPr="00773531">
        <w:rPr>
          <w:rFonts w:ascii="Times New Roman" w:eastAsia="Times New Roman" w:hAnsi="Times New Roman" w:cs="Times New Roman"/>
          <w:i/>
          <w:iCs/>
          <w:sz w:val="24"/>
          <w:szCs w:val="24"/>
          <w:lang w:eastAsia="en-GB"/>
        </w:rPr>
        <w:t>Women At War 1914 - 1918</w:t>
      </w:r>
      <w:r w:rsidRPr="001B54AB">
        <w:rPr>
          <w:rFonts w:ascii="Times New Roman" w:eastAsia="Times New Roman" w:hAnsi="Times New Roman" w:cs="Times New Roman"/>
          <w:sz w:val="24"/>
          <w:szCs w:val="24"/>
          <w:lang w:eastAsia="en-GB"/>
        </w:rPr>
        <w:t xml:space="preserve"> by Arthur Marwick offers a thorough examination of how women's roles and lives were affected by World War I at this crucial juncture in history. Marwick provides a clear picture of the special opportunities and difficulties that women encountered during the Great War by delving deeply into the experiences of women both at home and on the front lines.</w:t>
      </w:r>
      <w:r>
        <w:rPr>
          <w:rFonts w:ascii="Times New Roman" w:eastAsia="Times New Roman" w:hAnsi="Times New Roman" w:cs="Times New Roman"/>
          <w:sz w:val="24"/>
          <w:szCs w:val="24"/>
          <w:lang w:eastAsia="en-GB"/>
        </w:rPr>
        <w:t xml:space="preserve"> </w:t>
      </w:r>
      <w:r w:rsidRPr="001B54AB">
        <w:rPr>
          <w:rFonts w:ascii="Times New Roman" w:eastAsia="Times New Roman" w:hAnsi="Times New Roman" w:cs="Times New Roman"/>
          <w:sz w:val="24"/>
          <w:szCs w:val="24"/>
          <w:lang w:eastAsia="en-GB"/>
        </w:rPr>
        <w:t>Marwick begins by placing the early 20th century's sociopolitical climate in context and emphasising the prevailing gender norms that kept women in the home. He contends that the start of World War I caused a significant change in the expectations placed on women, as they were expected to take on new tasks and responsibilities in the absence of men who were called to fight on the front lines. Marwick looks closely at the manner in which women worked throughout the war, in non-traditional jobs including factory work and military duty as well as more conventional positions like nursing and caring for others.</w:t>
      </w:r>
    </w:p>
    <w:p w14:paraId="55B70030" w14:textId="3DC18A49" w:rsidR="000E55D5" w:rsidRDefault="00BF4F1F" w:rsidP="00BF4F1F">
      <w:pPr>
        <w:spacing w:before="100" w:beforeAutospacing="1" w:after="100" w:afterAutospacing="1" w:line="480" w:lineRule="auto"/>
        <w:ind w:firstLine="720"/>
        <w:rPr>
          <w:rFonts w:ascii="Times New Roman" w:eastAsia="Times New Roman" w:hAnsi="Times New Roman" w:cs="Times New Roman"/>
          <w:sz w:val="24"/>
          <w:szCs w:val="24"/>
          <w:lang w:eastAsia="en-GB"/>
        </w:rPr>
      </w:pPr>
      <w:r w:rsidRPr="000E55D5">
        <w:rPr>
          <w:rFonts w:ascii="Times New Roman" w:eastAsia="Times New Roman" w:hAnsi="Times New Roman" w:cs="Times New Roman"/>
          <w:sz w:val="24"/>
          <w:szCs w:val="24"/>
          <w:lang w:eastAsia="en-GB"/>
        </w:rPr>
        <w:t>During World War 1, women were seen working in industries that were considered male-dominated.</w:t>
      </w:r>
      <w:r w:rsidR="00B42210">
        <w:rPr>
          <w:rStyle w:val="FootnoteReference"/>
          <w:rFonts w:ascii="Times New Roman" w:eastAsia="Times New Roman" w:hAnsi="Times New Roman" w:cs="Times New Roman"/>
          <w:sz w:val="24"/>
          <w:szCs w:val="24"/>
          <w:lang w:eastAsia="en-GB"/>
        </w:rPr>
        <w:footnoteReference w:id="1"/>
      </w:r>
      <w:r w:rsidR="000E55D5" w:rsidRPr="000E55D5">
        <w:rPr>
          <w:rFonts w:ascii="Times New Roman" w:eastAsia="Times New Roman" w:hAnsi="Times New Roman" w:cs="Times New Roman"/>
          <w:sz w:val="24"/>
          <w:szCs w:val="24"/>
          <w:lang w:eastAsia="en-GB"/>
        </w:rPr>
        <w:t xml:space="preserve"> </w:t>
      </w:r>
      <w:r w:rsidRPr="000E55D5">
        <w:rPr>
          <w:rFonts w:ascii="Times New Roman" w:eastAsia="Times New Roman" w:hAnsi="Times New Roman" w:cs="Times New Roman"/>
          <w:sz w:val="24"/>
          <w:szCs w:val="24"/>
          <w:lang w:eastAsia="en-GB"/>
        </w:rPr>
        <w:t>Some people were appalled by this, as they did not believe that women should have been working in these industries</w:t>
      </w:r>
      <w:r>
        <w:rPr>
          <w:rFonts w:ascii="Times New Roman" w:eastAsia="Times New Roman" w:hAnsi="Times New Roman" w:cs="Times New Roman"/>
          <w:sz w:val="24"/>
          <w:szCs w:val="24"/>
          <w:lang w:eastAsia="en-GB"/>
        </w:rPr>
        <w:t xml:space="preserve">. </w:t>
      </w:r>
      <w:r w:rsidR="000E55D5" w:rsidRPr="000E55D5">
        <w:rPr>
          <w:rFonts w:ascii="Times New Roman" w:eastAsia="Times New Roman" w:hAnsi="Times New Roman" w:cs="Times New Roman"/>
          <w:sz w:val="24"/>
          <w:szCs w:val="24"/>
          <w:lang w:eastAsia="en-GB"/>
        </w:rPr>
        <w:t xml:space="preserve">Women served in the armed forces as early as 1901 in Queen Alexandra's Imperial Military Nursing Service, established in 1901, but getting permanent status in the regular Army for women did not occur until 1948. In World War I, they did not have the same roles and opportunities as men. The </w:t>
      </w:r>
      <w:r w:rsidR="00F25E69">
        <w:rPr>
          <w:rFonts w:ascii="Times New Roman" w:eastAsia="Times New Roman" w:hAnsi="Times New Roman" w:cs="Times New Roman"/>
          <w:sz w:val="24"/>
          <w:szCs w:val="24"/>
          <w:lang w:eastAsia="en-GB"/>
        </w:rPr>
        <w:t>UK</w:t>
      </w:r>
      <w:r w:rsidR="000E55D5" w:rsidRPr="000E55D5">
        <w:rPr>
          <w:rFonts w:ascii="Times New Roman" w:eastAsia="Times New Roman" w:hAnsi="Times New Roman" w:cs="Times New Roman"/>
          <w:sz w:val="24"/>
          <w:szCs w:val="24"/>
          <w:lang w:eastAsia="en-GB"/>
        </w:rPr>
        <w:t xml:space="preserve"> established the </w:t>
      </w:r>
      <w:r w:rsidR="008F22EA">
        <w:rPr>
          <w:rFonts w:ascii="Times New Roman" w:eastAsia="Times New Roman" w:hAnsi="Times New Roman" w:cs="Times New Roman"/>
          <w:sz w:val="24"/>
          <w:szCs w:val="24"/>
          <w:lang w:eastAsia="en-GB"/>
        </w:rPr>
        <w:t xml:space="preserve">Royal </w:t>
      </w:r>
      <w:r w:rsidR="000E55D5" w:rsidRPr="000E55D5">
        <w:rPr>
          <w:rFonts w:ascii="Times New Roman" w:eastAsia="Times New Roman" w:hAnsi="Times New Roman" w:cs="Times New Roman"/>
          <w:sz w:val="24"/>
          <w:szCs w:val="24"/>
          <w:lang w:eastAsia="en-GB"/>
        </w:rPr>
        <w:t xml:space="preserve">Army </w:t>
      </w:r>
      <w:r w:rsidR="008F22EA">
        <w:rPr>
          <w:rFonts w:ascii="Times New Roman" w:eastAsia="Times New Roman" w:hAnsi="Times New Roman" w:cs="Times New Roman"/>
          <w:sz w:val="24"/>
          <w:szCs w:val="24"/>
          <w:lang w:eastAsia="en-GB"/>
        </w:rPr>
        <w:t>Medical</w:t>
      </w:r>
      <w:r w:rsidR="000E55D5" w:rsidRPr="000E55D5">
        <w:rPr>
          <w:rFonts w:ascii="Times New Roman" w:eastAsia="Times New Roman" w:hAnsi="Times New Roman" w:cs="Times New Roman"/>
          <w:sz w:val="24"/>
          <w:szCs w:val="24"/>
          <w:lang w:eastAsia="en-GB"/>
        </w:rPr>
        <w:t xml:space="preserve"> Corps as part of the U</w:t>
      </w:r>
      <w:r w:rsidR="00B42210">
        <w:rPr>
          <w:rFonts w:ascii="Times New Roman" w:eastAsia="Times New Roman" w:hAnsi="Times New Roman" w:cs="Times New Roman"/>
          <w:sz w:val="24"/>
          <w:szCs w:val="24"/>
          <w:lang w:eastAsia="en-GB"/>
        </w:rPr>
        <w:t>K</w:t>
      </w:r>
      <w:r w:rsidR="000E55D5" w:rsidRPr="000E55D5">
        <w:rPr>
          <w:rFonts w:ascii="Times New Roman" w:eastAsia="Times New Roman" w:hAnsi="Times New Roman" w:cs="Times New Roman"/>
          <w:sz w:val="24"/>
          <w:szCs w:val="24"/>
          <w:lang w:eastAsia="en-GB"/>
        </w:rPr>
        <w:t xml:space="preserve"> Army Medical Department. This was the first </w:t>
      </w:r>
      <w:r w:rsidR="000E55D5" w:rsidRPr="000E55D5">
        <w:rPr>
          <w:rFonts w:ascii="Times New Roman" w:eastAsia="Times New Roman" w:hAnsi="Times New Roman" w:cs="Times New Roman"/>
          <w:sz w:val="24"/>
          <w:szCs w:val="24"/>
          <w:lang w:eastAsia="en-GB"/>
        </w:rPr>
        <w:lastRenderedPageBreak/>
        <w:t xml:space="preserve">time women were inducted into the Army in any capacity; all were relative to their male counterparts in rank and pay, starting with probation officers and ending with colonels. The women worked close to the front lines, sometimes under fire, in France and Belgium with the </w:t>
      </w:r>
      <w:r w:rsidR="008F22EA">
        <w:rPr>
          <w:rFonts w:ascii="Times New Roman" w:hAnsi="Times New Roman" w:cs="Times New Roman"/>
          <w:sz w:val="24"/>
          <w:szCs w:val="24"/>
        </w:rPr>
        <w:t>British</w:t>
      </w:r>
      <w:r w:rsidR="008F22EA" w:rsidRPr="008F22EA">
        <w:rPr>
          <w:rFonts w:ascii="Times New Roman" w:hAnsi="Times New Roman" w:cs="Times New Roman"/>
          <w:sz w:val="24"/>
          <w:szCs w:val="24"/>
        </w:rPr>
        <w:t xml:space="preserve"> Expeditionary Forces</w:t>
      </w:r>
      <w:r w:rsidR="008F22EA">
        <w:rPr>
          <w:rFonts w:ascii="Times New Roman" w:hAnsi="Times New Roman" w:cs="Times New Roman"/>
          <w:sz w:val="24"/>
          <w:szCs w:val="24"/>
        </w:rPr>
        <w:t xml:space="preserve"> </w:t>
      </w:r>
      <w:r w:rsidR="000E55D5" w:rsidRPr="000E55D5">
        <w:rPr>
          <w:rFonts w:ascii="Times New Roman" w:eastAsia="Times New Roman" w:hAnsi="Times New Roman" w:cs="Times New Roman"/>
          <w:sz w:val="24"/>
          <w:szCs w:val="24"/>
          <w:lang w:eastAsia="en-GB"/>
        </w:rPr>
        <w:t xml:space="preserve">and with other military Allied forces. By the </w:t>
      </w:r>
      <w:r w:rsidR="008F22EA">
        <w:rPr>
          <w:rFonts w:ascii="Times New Roman" w:eastAsia="Times New Roman" w:hAnsi="Times New Roman" w:cs="Times New Roman"/>
          <w:sz w:val="24"/>
          <w:szCs w:val="24"/>
          <w:lang w:eastAsia="en-GB"/>
        </w:rPr>
        <w:t>war's end</w:t>
      </w:r>
      <w:r w:rsidR="000E55D5" w:rsidRPr="000E55D5">
        <w:rPr>
          <w:rFonts w:ascii="Times New Roman" w:eastAsia="Times New Roman" w:hAnsi="Times New Roman" w:cs="Times New Roman"/>
          <w:sz w:val="24"/>
          <w:szCs w:val="24"/>
          <w:lang w:eastAsia="en-GB"/>
        </w:rPr>
        <w:t>, approximately 2</w:t>
      </w:r>
      <w:r w:rsidR="008F22EA">
        <w:rPr>
          <w:rFonts w:ascii="Times New Roman" w:eastAsia="Times New Roman" w:hAnsi="Times New Roman" w:cs="Times New Roman"/>
          <w:sz w:val="24"/>
          <w:szCs w:val="24"/>
          <w:lang w:eastAsia="en-GB"/>
        </w:rPr>
        <w:t>6</w:t>
      </w:r>
      <w:r w:rsidR="000E55D5" w:rsidRPr="000E55D5">
        <w:rPr>
          <w:rFonts w:ascii="Times New Roman" w:eastAsia="Times New Roman" w:hAnsi="Times New Roman" w:cs="Times New Roman"/>
          <w:sz w:val="24"/>
          <w:szCs w:val="24"/>
          <w:lang w:eastAsia="en-GB"/>
        </w:rPr>
        <w:t>,</w:t>
      </w:r>
      <w:r w:rsidR="008F22EA">
        <w:rPr>
          <w:rFonts w:ascii="Times New Roman" w:eastAsia="Times New Roman" w:hAnsi="Times New Roman" w:cs="Times New Roman"/>
          <w:sz w:val="24"/>
          <w:szCs w:val="24"/>
          <w:lang w:eastAsia="en-GB"/>
        </w:rPr>
        <w:t>062</w:t>
      </w:r>
      <w:r w:rsidR="000E55D5" w:rsidRPr="000E55D5">
        <w:rPr>
          <w:rFonts w:ascii="Times New Roman" w:eastAsia="Times New Roman" w:hAnsi="Times New Roman" w:cs="Times New Roman"/>
          <w:sz w:val="24"/>
          <w:szCs w:val="24"/>
          <w:lang w:eastAsia="en-GB"/>
        </w:rPr>
        <w:t xml:space="preserve"> </w:t>
      </w:r>
      <w:r w:rsidR="008F22EA">
        <w:rPr>
          <w:rFonts w:ascii="Times New Roman" w:eastAsia="Times New Roman" w:hAnsi="Times New Roman" w:cs="Times New Roman"/>
          <w:sz w:val="24"/>
          <w:szCs w:val="24"/>
          <w:lang w:eastAsia="en-GB"/>
        </w:rPr>
        <w:t>British</w:t>
      </w:r>
      <w:r w:rsidR="000E55D5" w:rsidRPr="000E55D5">
        <w:rPr>
          <w:rFonts w:ascii="Times New Roman" w:eastAsia="Times New Roman" w:hAnsi="Times New Roman" w:cs="Times New Roman"/>
          <w:sz w:val="24"/>
          <w:szCs w:val="24"/>
          <w:lang w:eastAsia="en-GB"/>
        </w:rPr>
        <w:t xml:space="preserve"> Army Nurses were serving at home and overseas.</w:t>
      </w:r>
      <w:r w:rsidR="008F22EA">
        <w:rPr>
          <w:rStyle w:val="FootnoteReference"/>
          <w:rFonts w:ascii="Times New Roman" w:eastAsia="Times New Roman" w:hAnsi="Times New Roman" w:cs="Times New Roman"/>
          <w:sz w:val="24"/>
          <w:szCs w:val="24"/>
          <w:lang w:eastAsia="en-GB"/>
        </w:rPr>
        <w:footnoteReference w:id="2"/>
      </w:r>
      <w:r w:rsidR="00F25E69">
        <w:rPr>
          <w:rFonts w:ascii="Times New Roman" w:eastAsia="Times New Roman" w:hAnsi="Times New Roman" w:cs="Times New Roman"/>
          <w:sz w:val="24"/>
          <w:szCs w:val="24"/>
          <w:lang w:eastAsia="en-GB"/>
        </w:rPr>
        <w:t xml:space="preserve"> </w:t>
      </w:r>
    </w:p>
    <w:p w14:paraId="6087AB44" w14:textId="56F49FCF" w:rsidR="000E55D5" w:rsidRDefault="000E55D5" w:rsidP="000E55D5">
      <w:pPr>
        <w:spacing w:before="100" w:beforeAutospacing="1" w:after="100" w:afterAutospacing="1" w:line="480" w:lineRule="auto"/>
        <w:ind w:firstLine="720"/>
        <w:rPr>
          <w:rFonts w:ascii="Times New Roman" w:eastAsia="Times New Roman" w:hAnsi="Times New Roman" w:cs="Times New Roman"/>
          <w:sz w:val="24"/>
          <w:szCs w:val="24"/>
          <w:lang w:eastAsia="en-GB"/>
        </w:rPr>
      </w:pPr>
      <w:r w:rsidRPr="000E55D5">
        <w:rPr>
          <w:rFonts w:ascii="Times New Roman" w:eastAsia="Times New Roman" w:hAnsi="Times New Roman" w:cs="Times New Roman"/>
          <w:sz w:val="24"/>
          <w:szCs w:val="24"/>
          <w:lang w:eastAsia="en-GB"/>
        </w:rPr>
        <w:t xml:space="preserve">The participation of women in the workforce during the war led to changes in societal attitudes. </w:t>
      </w:r>
      <w:r w:rsidR="00BF4F1F">
        <w:rPr>
          <w:rFonts w:ascii="Times New Roman" w:eastAsia="Times New Roman" w:hAnsi="Times New Roman" w:cs="Times New Roman"/>
          <w:sz w:val="24"/>
          <w:szCs w:val="24"/>
          <w:lang w:eastAsia="en-GB"/>
        </w:rPr>
        <w:t>Marwick noted that o</w:t>
      </w:r>
      <w:r w:rsidRPr="000E55D5">
        <w:rPr>
          <w:rFonts w:ascii="Times New Roman" w:eastAsia="Times New Roman" w:hAnsi="Times New Roman" w:cs="Times New Roman"/>
          <w:sz w:val="24"/>
          <w:szCs w:val="24"/>
          <w:lang w:eastAsia="en-GB"/>
        </w:rPr>
        <w:t xml:space="preserve">ver a million women joined the workforce in the </w:t>
      </w:r>
      <w:r w:rsidR="00F25E69">
        <w:rPr>
          <w:rFonts w:ascii="Times New Roman" w:eastAsia="Times New Roman" w:hAnsi="Times New Roman" w:cs="Times New Roman"/>
          <w:sz w:val="24"/>
          <w:szCs w:val="24"/>
          <w:lang w:eastAsia="en-GB"/>
        </w:rPr>
        <w:t>UK</w:t>
      </w:r>
      <w:r w:rsidRPr="000E55D5">
        <w:rPr>
          <w:rFonts w:ascii="Times New Roman" w:eastAsia="Times New Roman" w:hAnsi="Times New Roman" w:cs="Times New Roman"/>
          <w:sz w:val="24"/>
          <w:szCs w:val="24"/>
          <w:lang w:eastAsia="en-GB"/>
        </w:rPr>
        <w:t xml:space="preserve">. Many took over the jobs of men who left for war. This increase in working women can be largely attributed to the start of the war, approximately </w:t>
      </w:r>
      <w:r w:rsidR="00D15F70">
        <w:rPr>
          <w:rFonts w:ascii="Times New Roman" w:eastAsia="Times New Roman" w:hAnsi="Times New Roman" w:cs="Times New Roman"/>
          <w:sz w:val="24"/>
          <w:szCs w:val="24"/>
          <w:lang w:eastAsia="en-GB"/>
        </w:rPr>
        <w:t>5</w:t>
      </w:r>
      <w:r w:rsidRPr="000E55D5">
        <w:rPr>
          <w:rFonts w:ascii="Times New Roman" w:eastAsia="Times New Roman" w:hAnsi="Times New Roman" w:cs="Times New Roman"/>
          <w:sz w:val="24"/>
          <w:szCs w:val="24"/>
          <w:lang w:eastAsia="en-GB"/>
        </w:rPr>
        <w:t>.9 million women were working and this increased to 7.</w:t>
      </w:r>
      <w:r w:rsidR="00D15F70">
        <w:rPr>
          <w:rFonts w:ascii="Times New Roman" w:eastAsia="Times New Roman" w:hAnsi="Times New Roman" w:cs="Times New Roman"/>
          <w:sz w:val="24"/>
          <w:szCs w:val="24"/>
          <w:lang w:eastAsia="en-GB"/>
        </w:rPr>
        <w:t>3</w:t>
      </w:r>
      <w:r w:rsidRPr="000E55D5">
        <w:rPr>
          <w:rFonts w:ascii="Times New Roman" w:eastAsia="Times New Roman" w:hAnsi="Times New Roman" w:cs="Times New Roman"/>
          <w:sz w:val="24"/>
          <w:szCs w:val="24"/>
          <w:lang w:eastAsia="en-GB"/>
        </w:rPr>
        <w:t xml:space="preserve"> million by the end of 1918.</w:t>
      </w:r>
      <w:r w:rsidR="00D15F70">
        <w:rPr>
          <w:rStyle w:val="FootnoteReference"/>
          <w:rFonts w:ascii="Times New Roman" w:eastAsia="Times New Roman" w:hAnsi="Times New Roman" w:cs="Times New Roman"/>
          <w:sz w:val="24"/>
          <w:szCs w:val="24"/>
          <w:lang w:eastAsia="en-GB"/>
        </w:rPr>
        <w:footnoteReference w:id="3"/>
      </w:r>
      <w:r w:rsidRPr="000E55D5">
        <w:rPr>
          <w:rFonts w:ascii="Times New Roman" w:eastAsia="Times New Roman" w:hAnsi="Times New Roman" w:cs="Times New Roman"/>
          <w:sz w:val="24"/>
          <w:szCs w:val="24"/>
          <w:lang w:eastAsia="en-GB"/>
        </w:rPr>
        <w:t xml:space="preserve"> It was viewed in Britain and some ways in other countries</w:t>
      </w:r>
      <w:r w:rsidR="00D15F70">
        <w:rPr>
          <w:rFonts w:ascii="Times New Roman" w:eastAsia="Times New Roman" w:hAnsi="Times New Roman" w:cs="Times New Roman"/>
          <w:sz w:val="24"/>
          <w:szCs w:val="24"/>
          <w:lang w:eastAsia="en-GB"/>
        </w:rPr>
        <w:t>,</w:t>
      </w:r>
      <w:r w:rsidRPr="000E55D5">
        <w:rPr>
          <w:rFonts w:ascii="Times New Roman" w:eastAsia="Times New Roman" w:hAnsi="Times New Roman" w:cs="Times New Roman"/>
          <w:sz w:val="24"/>
          <w:szCs w:val="24"/>
          <w:lang w:eastAsia="en-GB"/>
        </w:rPr>
        <w:t xml:space="preserve"> as a release from the confinements of their pre-war working lives. The jobs that were available to women were primarily making munitions, an occupation which by 1917 had employed 80% of all women. These jobs were </w:t>
      </w:r>
      <w:r w:rsidR="00D15F70">
        <w:rPr>
          <w:rFonts w:ascii="Times New Roman" w:eastAsia="Times New Roman" w:hAnsi="Times New Roman" w:cs="Times New Roman"/>
          <w:sz w:val="24"/>
          <w:szCs w:val="24"/>
          <w:lang w:eastAsia="en-GB"/>
        </w:rPr>
        <w:t>well-paying</w:t>
      </w:r>
      <w:r w:rsidRPr="000E55D5">
        <w:rPr>
          <w:rFonts w:ascii="Times New Roman" w:eastAsia="Times New Roman" w:hAnsi="Times New Roman" w:cs="Times New Roman"/>
          <w:sz w:val="24"/>
          <w:szCs w:val="24"/>
          <w:lang w:eastAsia="en-GB"/>
        </w:rPr>
        <w:t xml:space="preserve"> and were a massive improvement from the customary </w:t>
      </w:r>
      <w:r w:rsidR="00D15F70">
        <w:rPr>
          <w:rFonts w:ascii="Times New Roman" w:eastAsia="Times New Roman" w:hAnsi="Times New Roman" w:cs="Times New Roman"/>
          <w:sz w:val="24"/>
          <w:szCs w:val="24"/>
          <w:lang w:eastAsia="en-GB"/>
        </w:rPr>
        <w:t>low-paying</w:t>
      </w:r>
      <w:r w:rsidRPr="000E55D5">
        <w:rPr>
          <w:rFonts w:ascii="Times New Roman" w:eastAsia="Times New Roman" w:hAnsi="Times New Roman" w:cs="Times New Roman"/>
          <w:sz w:val="24"/>
          <w:szCs w:val="24"/>
          <w:lang w:eastAsia="en-GB"/>
        </w:rPr>
        <w:t xml:space="preserve"> jobs that were normally available to women. The number of women working in engineering and metal industries doubled. They were now handling dangerous chemicals, working with explosion hazards that had been previously labelled as </w:t>
      </w:r>
      <w:r w:rsidR="006135AD">
        <w:rPr>
          <w:rFonts w:ascii="Times New Roman" w:eastAsia="Times New Roman" w:hAnsi="Times New Roman" w:cs="Times New Roman"/>
          <w:sz w:val="24"/>
          <w:szCs w:val="24"/>
          <w:lang w:eastAsia="en-GB"/>
        </w:rPr>
        <w:t>“</w:t>
      </w:r>
      <w:r w:rsidRPr="000E55D5">
        <w:rPr>
          <w:rFonts w:ascii="Times New Roman" w:eastAsia="Times New Roman" w:hAnsi="Times New Roman" w:cs="Times New Roman"/>
          <w:sz w:val="24"/>
          <w:szCs w:val="24"/>
          <w:lang w:eastAsia="en-GB"/>
        </w:rPr>
        <w:t>men's work</w:t>
      </w:r>
      <w:r w:rsidR="006135AD">
        <w:rPr>
          <w:rFonts w:ascii="Times New Roman" w:eastAsia="Times New Roman" w:hAnsi="Times New Roman" w:cs="Times New Roman"/>
          <w:sz w:val="24"/>
          <w:szCs w:val="24"/>
          <w:lang w:eastAsia="en-GB"/>
        </w:rPr>
        <w:t>”</w:t>
      </w:r>
      <w:r w:rsidRPr="000E55D5">
        <w:rPr>
          <w:rFonts w:ascii="Times New Roman" w:eastAsia="Times New Roman" w:hAnsi="Times New Roman" w:cs="Times New Roman"/>
          <w:sz w:val="24"/>
          <w:szCs w:val="24"/>
          <w:lang w:eastAsia="en-GB"/>
        </w:rPr>
        <w:t>. This was all a drastic change from women's usual occupations, which especially in Britain, involved domestic services.</w:t>
      </w:r>
      <w:r w:rsidR="006135AD">
        <w:rPr>
          <w:rStyle w:val="FootnoteReference"/>
          <w:rFonts w:ascii="Times New Roman" w:eastAsia="Times New Roman" w:hAnsi="Times New Roman" w:cs="Times New Roman"/>
          <w:sz w:val="24"/>
          <w:szCs w:val="24"/>
          <w:lang w:eastAsia="en-GB"/>
        </w:rPr>
        <w:footnoteReference w:id="4"/>
      </w:r>
      <w:r w:rsidRPr="000E55D5">
        <w:rPr>
          <w:rFonts w:ascii="Times New Roman" w:eastAsia="Times New Roman" w:hAnsi="Times New Roman" w:cs="Times New Roman"/>
          <w:sz w:val="24"/>
          <w:szCs w:val="24"/>
          <w:lang w:eastAsia="en-GB"/>
        </w:rPr>
        <w:t xml:space="preserve"> Though this was thought of as the birth of women's involvement in heavy industry, these women were laid off once peace returned, since married women were expected to stop working and some single women were looking forward to marriage.</w:t>
      </w:r>
      <w:r w:rsidR="006135AD">
        <w:rPr>
          <w:rStyle w:val="FootnoteReference"/>
          <w:rFonts w:ascii="Times New Roman" w:eastAsia="Times New Roman" w:hAnsi="Times New Roman" w:cs="Times New Roman"/>
          <w:sz w:val="24"/>
          <w:szCs w:val="24"/>
          <w:lang w:eastAsia="en-GB"/>
        </w:rPr>
        <w:footnoteReference w:id="5"/>
      </w:r>
    </w:p>
    <w:p w14:paraId="4E155A30" w14:textId="1E5B8313" w:rsidR="001B54AB" w:rsidRPr="000E55D5" w:rsidRDefault="000E55D5" w:rsidP="008238D7">
      <w:pPr>
        <w:spacing w:before="100" w:beforeAutospacing="1" w:after="100" w:afterAutospacing="1" w:line="480" w:lineRule="auto"/>
        <w:ind w:firstLine="720"/>
        <w:rPr>
          <w:rFonts w:ascii="Times New Roman" w:eastAsia="Times New Roman" w:hAnsi="Times New Roman" w:cs="Times New Roman"/>
          <w:sz w:val="24"/>
          <w:szCs w:val="24"/>
          <w:lang w:eastAsia="en-GB"/>
        </w:rPr>
      </w:pPr>
      <w:r w:rsidRPr="000E55D5">
        <w:rPr>
          <w:rFonts w:ascii="Times New Roman" w:eastAsia="Times New Roman" w:hAnsi="Times New Roman" w:cs="Times New Roman"/>
          <w:sz w:val="24"/>
          <w:szCs w:val="24"/>
          <w:lang w:eastAsia="en-GB"/>
        </w:rPr>
        <w:lastRenderedPageBreak/>
        <w:t xml:space="preserve">Female workers fulfilling dangerous munitions work were </w:t>
      </w:r>
      <w:r w:rsidR="006135AD">
        <w:rPr>
          <w:rFonts w:ascii="Times New Roman" w:eastAsia="Times New Roman" w:hAnsi="Times New Roman" w:cs="Times New Roman"/>
          <w:sz w:val="24"/>
          <w:szCs w:val="24"/>
          <w:lang w:eastAsia="en-GB"/>
        </w:rPr>
        <w:t xml:space="preserve">called </w:t>
      </w:r>
      <w:proofErr w:type="spellStart"/>
      <w:r w:rsidR="006135AD">
        <w:rPr>
          <w:rFonts w:ascii="Times New Roman" w:eastAsia="Times New Roman" w:hAnsi="Times New Roman" w:cs="Times New Roman"/>
          <w:sz w:val="24"/>
          <w:szCs w:val="24"/>
          <w:lang w:eastAsia="en-GB"/>
        </w:rPr>
        <w:t>munitionettes</w:t>
      </w:r>
      <w:proofErr w:type="spellEnd"/>
      <w:r w:rsidR="006135AD">
        <w:rPr>
          <w:rFonts w:ascii="Times New Roman" w:eastAsia="Times New Roman" w:hAnsi="Times New Roman" w:cs="Times New Roman"/>
          <w:sz w:val="24"/>
          <w:szCs w:val="24"/>
          <w:lang w:eastAsia="en-GB"/>
        </w:rPr>
        <w:t xml:space="preserve"> and</w:t>
      </w:r>
      <w:r w:rsidRPr="000E55D5">
        <w:rPr>
          <w:rFonts w:ascii="Times New Roman" w:eastAsia="Times New Roman" w:hAnsi="Times New Roman" w:cs="Times New Roman"/>
          <w:sz w:val="24"/>
          <w:szCs w:val="24"/>
          <w:lang w:eastAsia="en-GB"/>
        </w:rPr>
        <w:t xml:space="preserve"> as a result of working with TNT which turned their skin yellow, a relatively unpublicised health effect. An industrial accident that caused an explosion at a munitions factory killed 134 workers, mostly women and girls. This was known as the Silvertown explosion and it brought attention to the health risks of choosing these jobs. The health effects of working with TNT and other chemicals included liver and kidney damage and anaemia.</w:t>
      </w:r>
      <w:r w:rsidR="00EB64CD">
        <w:rPr>
          <w:rStyle w:val="FootnoteReference"/>
          <w:rFonts w:ascii="Times New Roman" w:eastAsia="Times New Roman" w:hAnsi="Times New Roman" w:cs="Times New Roman"/>
          <w:sz w:val="24"/>
          <w:szCs w:val="24"/>
          <w:lang w:eastAsia="en-GB"/>
        </w:rPr>
        <w:footnoteReference w:id="6"/>
      </w:r>
      <w:r w:rsidRPr="000E55D5">
        <w:rPr>
          <w:rFonts w:ascii="Times New Roman" w:eastAsia="Times New Roman" w:hAnsi="Times New Roman" w:cs="Times New Roman"/>
          <w:sz w:val="24"/>
          <w:szCs w:val="24"/>
          <w:lang w:eastAsia="en-GB"/>
        </w:rPr>
        <w:t xml:space="preserve"> Many women died of TNT poisoning.</w:t>
      </w:r>
      <w:r w:rsidR="008238D7">
        <w:rPr>
          <w:rFonts w:ascii="Times New Roman" w:eastAsia="Times New Roman" w:hAnsi="Times New Roman" w:cs="Times New Roman"/>
          <w:sz w:val="24"/>
          <w:szCs w:val="24"/>
          <w:lang w:eastAsia="en-GB"/>
        </w:rPr>
        <w:t xml:space="preserve"> </w:t>
      </w:r>
      <w:r w:rsidR="0093428E" w:rsidRPr="0093428E">
        <w:rPr>
          <w:rFonts w:ascii="Times New Roman" w:eastAsia="Times New Roman" w:hAnsi="Times New Roman" w:cs="Times New Roman"/>
          <w:sz w:val="24"/>
          <w:szCs w:val="24"/>
          <w:lang w:eastAsia="en-GB"/>
        </w:rPr>
        <w:t xml:space="preserve">Marwick's careful attention to detail and thorough research are two of the book's strongest points. </w:t>
      </w:r>
      <w:r w:rsidR="008238D7">
        <w:rPr>
          <w:rFonts w:ascii="Times New Roman" w:eastAsia="Times New Roman" w:hAnsi="Times New Roman" w:cs="Times New Roman"/>
          <w:sz w:val="24"/>
          <w:szCs w:val="24"/>
          <w:lang w:eastAsia="en-GB"/>
        </w:rPr>
        <w:t>To</w:t>
      </w:r>
      <w:r w:rsidR="0093428E" w:rsidRPr="0093428E">
        <w:rPr>
          <w:rFonts w:ascii="Times New Roman" w:eastAsia="Times New Roman" w:hAnsi="Times New Roman" w:cs="Times New Roman"/>
          <w:sz w:val="24"/>
          <w:szCs w:val="24"/>
          <w:lang w:eastAsia="en-GB"/>
        </w:rPr>
        <w:t xml:space="preserve"> provide a complex and comprehensive picture of women's experiences during World War I, he consults a wide range of original materials, such as letters, diaries, and official papers. Marwick criticises the one-dimensional account of women's history throughout the war and highlights the range of experiences of women from all walks of life by giving them a voice.</w:t>
      </w:r>
      <w:r w:rsidR="008238D7">
        <w:rPr>
          <w:rFonts w:ascii="Times New Roman" w:eastAsia="Times New Roman" w:hAnsi="Times New Roman" w:cs="Times New Roman"/>
          <w:sz w:val="24"/>
          <w:szCs w:val="24"/>
          <w:lang w:eastAsia="en-GB"/>
        </w:rPr>
        <w:t xml:space="preserve"> </w:t>
      </w:r>
      <w:r w:rsidR="0093428E">
        <w:rPr>
          <w:rFonts w:ascii="Times New Roman" w:eastAsia="Times New Roman" w:hAnsi="Times New Roman" w:cs="Times New Roman"/>
          <w:sz w:val="24"/>
          <w:szCs w:val="24"/>
          <w:lang w:eastAsia="en-GB"/>
        </w:rPr>
        <w:t xml:space="preserve">For example, referencing Emmeline and Christabel Pankhurst’s </w:t>
      </w:r>
      <w:r w:rsidR="007E6C2B">
        <w:rPr>
          <w:rFonts w:ascii="Times New Roman" w:eastAsia="Times New Roman" w:hAnsi="Times New Roman" w:cs="Times New Roman"/>
          <w:sz w:val="24"/>
          <w:szCs w:val="24"/>
          <w:lang w:eastAsia="en-GB"/>
        </w:rPr>
        <w:t>speeches</w:t>
      </w:r>
      <w:r w:rsidR="007E6C2B">
        <w:rPr>
          <w:rStyle w:val="FootnoteReference"/>
          <w:rFonts w:ascii="Times New Roman" w:eastAsia="Times New Roman" w:hAnsi="Times New Roman" w:cs="Times New Roman"/>
          <w:sz w:val="24"/>
          <w:szCs w:val="24"/>
          <w:lang w:eastAsia="en-GB"/>
        </w:rPr>
        <w:footnoteReference w:id="7"/>
      </w:r>
      <w:r w:rsidR="0093428E">
        <w:rPr>
          <w:rFonts w:ascii="Times New Roman" w:eastAsia="Times New Roman" w:hAnsi="Times New Roman" w:cs="Times New Roman"/>
          <w:sz w:val="24"/>
          <w:szCs w:val="24"/>
          <w:lang w:eastAsia="en-GB"/>
        </w:rPr>
        <w:t xml:space="preserve"> and an extract from a diary of woman who worked in a munition factory.</w:t>
      </w:r>
      <w:r w:rsidR="0093428E">
        <w:rPr>
          <w:rStyle w:val="FootnoteReference"/>
          <w:rFonts w:ascii="Times New Roman" w:eastAsia="Times New Roman" w:hAnsi="Times New Roman" w:cs="Times New Roman"/>
          <w:sz w:val="24"/>
          <w:szCs w:val="24"/>
          <w:lang w:eastAsia="en-GB"/>
        </w:rPr>
        <w:footnoteReference w:id="8"/>
      </w:r>
    </w:p>
    <w:p w14:paraId="5E1E98EA" w14:textId="0BDD6FE8" w:rsidR="000E55D5" w:rsidRDefault="000E55D5" w:rsidP="00F25E69">
      <w:pPr>
        <w:spacing w:before="100" w:beforeAutospacing="1" w:after="100" w:afterAutospacing="1" w:line="480" w:lineRule="auto"/>
        <w:ind w:firstLine="720"/>
        <w:rPr>
          <w:rFonts w:ascii="Times New Roman" w:eastAsia="Times New Roman" w:hAnsi="Times New Roman" w:cs="Times New Roman"/>
          <w:sz w:val="24"/>
          <w:szCs w:val="24"/>
          <w:lang w:eastAsia="en-GB"/>
        </w:rPr>
      </w:pPr>
      <w:r w:rsidRPr="00F761A4">
        <w:rPr>
          <w:rFonts w:ascii="Times New Roman" w:eastAsia="Times New Roman" w:hAnsi="Times New Roman" w:cs="Times New Roman"/>
          <w:sz w:val="24"/>
          <w:szCs w:val="24"/>
          <w:lang w:eastAsia="en-GB"/>
        </w:rPr>
        <w:t xml:space="preserve">Women contributed to the warfare in many ways, and their efforts were vital in sustaining the war effort and bolstering morale on the home front. Women from the working classes, in particular, were expected to maintain their domestic duties despite the strains of war. However, they were now to undertake these duties with the added knowledge that it was contributing to the troops at the front. Women in the workforce were employed in areas such as public transport, which included buses, trams, and trains that had previously been operated by men. Agricultural and industrial work were also key areas in which women played a vital </w:t>
      </w:r>
      <w:r w:rsidRPr="00F761A4">
        <w:rPr>
          <w:rFonts w:ascii="Times New Roman" w:eastAsia="Times New Roman" w:hAnsi="Times New Roman" w:cs="Times New Roman"/>
          <w:sz w:val="24"/>
          <w:szCs w:val="24"/>
          <w:lang w:eastAsia="en-GB"/>
        </w:rPr>
        <w:lastRenderedPageBreak/>
        <w:t>role. The Women's Land Army was established in 1917 to combat the food crisis of 1917-18 caused by unrestricted German submarine warfare.</w:t>
      </w:r>
      <w:r w:rsidR="00F761A4" w:rsidRPr="00F761A4">
        <w:rPr>
          <w:rStyle w:val="FootnoteReference"/>
          <w:rFonts w:ascii="Times New Roman" w:eastAsia="Times New Roman" w:hAnsi="Times New Roman" w:cs="Times New Roman"/>
          <w:sz w:val="24"/>
          <w:szCs w:val="24"/>
          <w:lang w:eastAsia="en-GB"/>
        </w:rPr>
        <w:footnoteReference w:id="9"/>
      </w:r>
    </w:p>
    <w:p w14:paraId="7D83C2F3" w14:textId="05E32D24" w:rsidR="00F761A4" w:rsidRPr="00F761A4" w:rsidRDefault="00F761A4" w:rsidP="00F761A4">
      <w:pPr>
        <w:spacing w:after="0" w:line="480" w:lineRule="auto"/>
        <w:ind w:firstLine="720"/>
        <w:rPr>
          <w:rFonts w:ascii="Times New Roman" w:eastAsia="Times New Roman" w:hAnsi="Times New Roman" w:cs="Times New Roman"/>
          <w:sz w:val="24"/>
          <w:szCs w:val="24"/>
          <w:lang w:eastAsia="en-GB"/>
        </w:rPr>
      </w:pPr>
      <w:r w:rsidRPr="00F761A4">
        <w:rPr>
          <w:rFonts w:ascii="Times New Roman" w:eastAsia="Times New Roman" w:hAnsi="Times New Roman" w:cs="Times New Roman"/>
          <w:sz w:val="24"/>
          <w:szCs w:val="24"/>
          <w:lang w:eastAsia="en-GB"/>
        </w:rPr>
        <w:t>Furthermore, Marwick makes a particularly strong case for how women's involvement in the war effort both questioned and changed social norms. He contends that the feminist movements of the 1920s and later derived from women's newly discovered freedom and agency during the war. Marwick complicates our understanding of women's history and the trajectory of gender relations in the 20th century by stressing the ways in which women negotiated and fought the limitations of gender norms during the war.</w:t>
      </w:r>
      <w:r>
        <w:rPr>
          <w:rFonts w:ascii="Times New Roman" w:eastAsia="Times New Roman" w:hAnsi="Times New Roman" w:cs="Times New Roman"/>
          <w:sz w:val="24"/>
          <w:szCs w:val="24"/>
          <w:lang w:eastAsia="en-GB"/>
        </w:rPr>
        <w:t xml:space="preserve"> </w:t>
      </w:r>
      <w:r w:rsidRPr="00F761A4">
        <w:rPr>
          <w:rFonts w:ascii="Times New Roman" w:eastAsia="Times New Roman" w:hAnsi="Times New Roman" w:cs="Times New Roman"/>
          <w:sz w:val="24"/>
          <w:szCs w:val="24"/>
          <w:lang w:eastAsia="en-GB"/>
        </w:rPr>
        <w:t>Marwick's book does, however, have a flaw in that it mostly ignores the experiences of working-class and women of colour during the war. Although he recognises the contributions of women from various backgrounds, he concentrates most of his research on middle-class, white women. A more thorough understanding of women's experiences during World War I would have been possible with an intersectional approach that takes into account the intersecting axes of gender, race, and class. This would have enhanced Marwick's analysis.</w:t>
      </w:r>
    </w:p>
    <w:p w14:paraId="71D092CD" w14:textId="67DF5344" w:rsidR="00F25E69" w:rsidRDefault="000E55D5" w:rsidP="00F25E69">
      <w:pPr>
        <w:spacing w:before="100" w:beforeAutospacing="1" w:after="100" w:afterAutospacing="1" w:line="480" w:lineRule="auto"/>
        <w:ind w:firstLine="720"/>
        <w:rPr>
          <w:rFonts w:ascii="Times New Roman" w:eastAsia="Times New Roman" w:hAnsi="Times New Roman" w:cs="Times New Roman"/>
          <w:sz w:val="24"/>
          <w:szCs w:val="24"/>
          <w:lang w:eastAsia="en-GB"/>
        </w:rPr>
      </w:pPr>
      <w:r w:rsidRPr="000E55D5">
        <w:rPr>
          <w:rFonts w:ascii="Times New Roman" w:eastAsia="Times New Roman" w:hAnsi="Times New Roman" w:cs="Times New Roman"/>
          <w:sz w:val="24"/>
          <w:szCs w:val="24"/>
          <w:lang w:eastAsia="en-GB"/>
        </w:rPr>
        <w:t xml:space="preserve">The invaluable contribution of </w:t>
      </w:r>
      <w:r w:rsidR="00F25E69">
        <w:rPr>
          <w:rFonts w:ascii="Times New Roman" w:eastAsia="Times New Roman" w:hAnsi="Times New Roman" w:cs="Times New Roman"/>
          <w:sz w:val="24"/>
          <w:szCs w:val="24"/>
          <w:lang w:eastAsia="en-GB"/>
        </w:rPr>
        <w:t xml:space="preserve">British </w:t>
      </w:r>
      <w:r w:rsidRPr="000E55D5">
        <w:rPr>
          <w:rFonts w:ascii="Times New Roman" w:eastAsia="Times New Roman" w:hAnsi="Times New Roman" w:cs="Times New Roman"/>
          <w:sz w:val="24"/>
          <w:szCs w:val="24"/>
          <w:lang w:eastAsia="en-GB"/>
        </w:rPr>
        <w:t xml:space="preserve">women during World War I showed that women could indeed step out of their pre-war domestic sphere and participate equally in the public arena. </w:t>
      </w:r>
      <w:r w:rsidR="00F25E69">
        <w:rPr>
          <w:rFonts w:ascii="Times New Roman" w:eastAsia="Times New Roman" w:hAnsi="Times New Roman" w:cs="Times New Roman"/>
          <w:sz w:val="24"/>
          <w:szCs w:val="24"/>
          <w:lang w:eastAsia="en-GB"/>
        </w:rPr>
        <w:t>British</w:t>
      </w:r>
      <w:r w:rsidRPr="000E55D5">
        <w:rPr>
          <w:rFonts w:ascii="Times New Roman" w:eastAsia="Times New Roman" w:hAnsi="Times New Roman" w:cs="Times New Roman"/>
          <w:sz w:val="24"/>
          <w:szCs w:val="24"/>
          <w:lang w:eastAsia="en-GB"/>
        </w:rPr>
        <w:t xml:space="preserve"> women aided the war effort greatly through their </w:t>
      </w:r>
      <w:r w:rsidR="00F761A4">
        <w:rPr>
          <w:rFonts w:ascii="Times New Roman" w:eastAsia="Times New Roman" w:hAnsi="Times New Roman" w:cs="Times New Roman"/>
          <w:sz w:val="24"/>
          <w:szCs w:val="24"/>
          <w:lang w:eastAsia="en-GB"/>
        </w:rPr>
        <w:t>labour</w:t>
      </w:r>
      <w:r w:rsidRPr="000E55D5">
        <w:rPr>
          <w:rFonts w:ascii="Times New Roman" w:eastAsia="Times New Roman" w:hAnsi="Times New Roman" w:cs="Times New Roman"/>
          <w:sz w:val="24"/>
          <w:szCs w:val="24"/>
          <w:lang w:eastAsia="en-GB"/>
        </w:rPr>
        <w:t xml:space="preserve"> in the </w:t>
      </w:r>
      <w:r w:rsidR="00F25E69">
        <w:rPr>
          <w:rFonts w:ascii="Times New Roman" w:eastAsia="Times New Roman" w:hAnsi="Times New Roman" w:cs="Times New Roman"/>
          <w:sz w:val="24"/>
          <w:szCs w:val="24"/>
          <w:lang w:eastAsia="en-GB"/>
        </w:rPr>
        <w:t>UK</w:t>
      </w:r>
      <w:r w:rsidRPr="000E55D5">
        <w:rPr>
          <w:rFonts w:ascii="Times New Roman" w:eastAsia="Times New Roman" w:hAnsi="Times New Roman" w:cs="Times New Roman"/>
          <w:sz w:val="24"/>
          <w:szCs w:val="24"/>
          <w:lang w:eastAsia="en-GB"/>
        </w:rPr>
        <w:t xml:space="preserve">, as well as through their efforts and sacrifices on the war front in France. It was through their role in industry and commerce, in particular, that women demonstrated the value of their input to the country. By providing this demonstration, women succeeded in modifying some people's opinion of them, and in setting the stage for the upheaval of traditional gender roles through the 1920s and beyond. This was a significant outcome of the war, as it was a necessary first step towards eventually achieving equal rights. Remember the ladies and the </w:t>
      </w:r>
      <w:r w:rsidRPr="000E55D5">
        <w:rPr>
          <w:rFonts w:ascii="Times New Roman" w:eastAsia="Times New Roman" w:hAnsi="Times New Roman" w:cs="Times New Roman"/>
          <w:sz w:val="24"/>
          <w:szCs w:val="24"/>
          <w:lang w:eastAsia="en-GB"/>
        </w:rPr>
        <w:lastRenderedPageBreak/>
        <w:t xml:space="preserve">women's suffrage amendment were established during the war and women used this to press for suffrage as a war measure. Their argument was hard to refute: if women were capable of these considerable contributions to the war effort, and were still held back as second-class citizens, then perhaps women's capabilities were being sorely underutilized in the current state of </w:t>
      </w:r>
      <w:r w:rsidR="00F25E69">
        <w:rPr>
          <w:rFonts w:ascii="Times New Roman" w:eastAsia="Times New Roman" w:hAnsi="Times New Roman" w:cs="Times New Roman"/>
          <w:sz w:val="24"/>
          <w:szCs w:val="24"/>
          <w:lang w:eastAsia="en-GB"/>
        </w:rPr>
        <w:t>British</w:t>
      </w:r>
      <w:r w:rsidRPr="000E55D5">
        <w:rPr>
          <w:rFonts w:ascii="Times New Roman" w:eastAsia="Times New Roman" w:hAnsi="Times New Roman" w:cs="Times New Roman"/>
          <w:sz w:val="24"/>
          <w:szCs w:val="24"/>
          <w:lang w:eastAsia="en-GB"/>
        </w:rPr>
        <w:t xml:space="preserve"> society. The consciousness of women's capabilities was growing and women were becoming more and more confident of their importance to the nation. Steps toward equality were small, but solidly made in the war period, and laid the groundwork for future gains.</w:t>
      </w:r>
    </w:p>
    <w:p w14:paraId="7EF2F4F4" w14:textId="76311E09" w:rsidR="000E55D5" w:rsidRPr="000E55D5" w:rsidRDefault="00F761A4" w:rsidP="00F761A4">
      <w:pPr>
        <w:spacing w:after="0" w:line="480" w:lineRule="auto"/>
        <w:ind w:firstLine="720"/>
        <w:rPr>
          <w:rFonts w:ascii="Times New Roman" w:eastAsia="Times New Roman" w:hAnsi="Times New Roman" w:cs="Times New Roman"/>
          <w:sz w:val="24"/>
          <w:szCs w:val="24"/>
          <w:lang w:eastAsia="en-GB"/>
        </w:rPr>
      </w:pPr>
      <w:r w:rsidRPr="00F761A4">
        <w:rPr>
          <w:rFonts w:ascii="Times New Roman" w:eastAsia="Times New Roman" w:hAnsi="Times New Roman" w:cs="Times New Roman"/>
          <w:sz w:val="24"/>
          <w:szCs w:val="24"/>
          <w:lang w:eastAsia="en-GB"/>
        </w:rPr>
        <w:t xml:space="preserve">In summary, everyone interested in gender studies, women's history, or the history of war should read Marwick's book. </w:t>
      </w:r>
      <w:r w:rsidRPr="00F761A4">
        <w:rPr>
          <w:rFonts w:ascii="Times New Roman" w:eastAsia="Times New Roman" w:hAnsi="Times New Roman" w:cs="Times New Roman"/>
          <w:i/>
          <w:iCs/>
          <w:sz w:val="24"/>
          <w:szCs w:val="24"/>
          <w:lang w:eastAsia="en-GB"/>
        </w:rPr>
        <w:t>Women At War 1914 - 1918</w:t>
      </w:r>
      <w:r w:rsidRPr="00F761A4">
        <w:rPr>
          <w:rFonts w:ascii="Times New Roman" w:eastAsia="Times New Roman" w:hAnsi="Times New Roman" w:cs="Times New Roman"/>
          <w:sz w:val="24"/>
          <w:szCs w:val="24"/>
          <w:lang w:eastAsia="en-GB"/>
        </w:rPr>
        <w:t xml:space="preserve"> is a significant contribution to the body of knowledge on women's roles during World War I because of the author's painstaking research, insightful analysis, and persuasive arguments. Marwick's work reminds us of the agency, resiliency, and strength of women in the face of hardship as we continue to debate issues of gender equality and societal change.</w:t>
      </w:r>
      <w:r>
        <w:rPr>
          <w:rFonts w:ascii="Times New Roman" w:eastAsia="Times New Roman" w:hAnsi="Times New Roman" w:cs="Times New Roman"/>
          <w:sz w:val="24"/>
          <w:szCs w:val="24"/>
          <w:lang w:eastAsia="en-GB"/>
        </w:rPr>
        <w:t xml:space="preserve"> </w:t>
      </w:r>
      <w:r w:rsidR="000E55D5" w:rsidRPr="000E55D5">
        <w:rPr>
          <w:rFonts w:ascii="Times New Roman" w:eastAsia="Times New Roman" w:hAnsi="Times New Roman" w:cs="Times New Roman"/>
          <w:sz w:val="24"/>
          <w:szCs w:val="24"/>
          <w:lang w:eastAsia="en-GB"/>
        </w:rPr>
        <w:t xml:space="preserve">However, the sharp decline in opportunities for </w:t>
      </w:r>
      <w:r w:rsidR="00F25E69">
        <w:rPr>
          <w:rFonts w:ascii="Times New Roman" w:eastAsia="Times New Roman" w:hAnsi="Times New Roman" w:cs="Times New Roman"/>
          <w:sz w:val="24"/>
          <w:szCs w:val="24"/>
          <w:lang w:eastAsia="en-GB"/>
        </w:rPr>
        <w:t>British</w:t>
      </w:r>
      <w:r w:rsidR="000E55D5" w:rsidRPr="000E55D5">
        <w:rPr>
          <w:rFonts w:ascii="Times New Roman" w:eastAsia="Times New Roman" w:hAnsi="Times New Roman" w:cs="Times New Roman"/>
          <w:sz w:val="24"/>
          <w:szCs w:val="24"/>
          <w:lang w:eastAsia="en-GB"/>
        </w:rPr>
        <w:t xml:space="preserve"> women following the war, as men returned to the workforce and women were relieved of their duties </w:t>
      </w:r>
      <w:r w:rsidR="00773531">
        <w:rPr>
          <w:rFonts w:ascii="Times New Roman" w:eastAsia="Times New Roman" w:hAnsi="Times New Roman" w:cs="Times New Roman"/>
          <w:sz w:val="24"/>
          <w:szCs w:val="24"/>
          <w:lang w:eastAsia="en-GB"/>
        </w:rPr>
        <w:t>“</w:t>
      </w:r>
      <w:r w:rsidR="000E55D5" w:rsidRPr="000E55D5">
        <w:rPr>
          <w:rFonts w:ascii="Times New Roman" w:eastAsia="Times New Roman" w:hAnsi="Times New Roman" w:cs="Times New Roman"/>
          <w:sz w:val="24"/>
          <w:szCs w:val="24"/>
          <w:lang w:eastAsia="en-GB"/>
        </w:rPr>
        <w:t>for the boys</w:t>
      </w:r>
      <w:r w:rsidR="00773531">
        <w:rPr>
          <w:rFonts w:ascii="Times New Roman" w:eastAsia="Times New Roman" w:hAnsi="Times New Roman" w:cs="Times New Roman"/>
          <w:sz w:val="24"/>
          <w:szCs w:val="24"/>
          <w:lang w:eastAsia="en-GB"/>
        </w:rPr>
        <w:t>”</w:t>
      </w:r>
      <w:r w:rsidR="000E55D5" w:rsidRPr="000E55D5">
        <w:rPr>
          <w:rFonts w:ascii="Times New Roman" w:eastAsia="Times New Roman" w:hAnsi="Times New Roman" w:cs="Times New Roman"/>
          <w:sz w:val="24"/>
          <w:szCs w:val="24"/>
          <w:lang w:eastAsia="en-GB"/>
        </w:rPr>
        <w:t xml:space="preserve"> was a disappointment for the hardworking </w:t>
      </w:r>
      <w:r w:rsidR="00F25E69">
        <w:rPr>
          <w:rFonts w:ascii="Times New Roman" w:eastAsia="Times New Roman" w:hAnsi="Times New Roman" w:cs="Times New Roman"/>
          <w:sz w:val="24"/>
          <w:szCs w:val="24"/>
          <w:lang w:eastAsia="en-GB"/>
        </w:rPr>
        <w:t>British</w:t>
      </w:r>
      <w:r w:rsidR="000E55D5" w:rsidRPr="000E55D5">
        <w:rPr>
          <w:rFonts w:ascii="Times New Roman" w:eastAsia="Times New Roman" w:hAnsi="Times New Roman" w:cs="Times New Roman"/>
          <w:sz w:val="24"/>
          <w:szCs w:val="24"/>
          <w:lang w:eastAsia="en-GB"/>
        </w:rPr>
        <w:t xml:space="preserve"> women. Though the war had demonstrated the capabilities of women and had certainly changed the attitudes towards women in society, </w:t>
      </w:r>
      <w:r w:rsidR="00F25E69">
        <w:rPr>
          <w:rFonts w:ascii="Times New Roman" w:eastAsia="Times New Roman" w:hAnsi="Times New Roman" w:cs="Times New Roman"/>
          <w:sz w:val="24"/>
          <w:szCs w:val="24"/>
          <w:lang w:eastAsia="en-GB"/>
        </w:rPr>
        <w:t>British</w:t>
      </w:r>
      <w:r w:rsidR="000E55D5" w:rsidRPr="000E55D5">
        <w:rPr>
          <w:rFonts w:ascii="Times New Roman" w:eastAsia="Times New Roman" w:hAnsi="Times New Roman" w:cs="Times New Roman"/>
          <w:sz w:val="24"/>
          <w:szCs w:val="24"/>
          <w:lang w:eastAsia="en-GB"/>
        </w:rPr>
        <w:t xml:space="preserve"> women were no better off economically or politically with the war's end. With no end to the fight for women's suffrage in sight and a return to the conditions of the working class before the war, many may have seen the war effort as a failure. Nevertheless, the war had showcased the unexplored potential of half the country's population, and it did not take long for future generations of </w:t>
      </w:r>
      <w:r w:rsidR="00F25E69">
        <w:rPr>
          <w:rFonts w:ascii="Times New Roman" w:eastAsia="Times New Roman" w:hAnsi="Times New Roman" w:cs="Times New Roman"/>
          <w:sz w:val="24"/>
          <w:szCs w:val="24"/>
          <w:lang w:eastAsia="en-GB"/>
        </w:rPr>
        <w:t xml:space="preserve">British </w:t>
      </w:r>
      <w:r w:rsidR="000E55D5" w:rsidRPr="000E55D5">
        <w:rPr>
          <w:rFonts w:ascii="Times New Roman" w:eastAsia="Times New Roman" w:hAnsi="Times New Roman" w:cs="Times New Roman"/>
          <w:sz w:val="24"/>
          <w:szCs w:val="24"/>
          <w:lang w:eastAsia="en-GB"/>
        </w:rPr>
        <w:t>women to demand a chance to realize that potential.</w:t>
      </w:r>
    </w:p>
    <w:p w14:paraId="141080D1" w14:textId="77777777" w:rsidR="000E55D5" w:rsidRDefault="000E55D5">
      <w:pPr>
        <w:rPr>
          <w:rFonts w:ascii="Times New Roman" w:hAnsi="Times New Roman" w:cs="Times New Roman"/>
          <w:b/>
          <w:bCs/>
          <w:sz w:val="24"/>
          <w:szCs w:val="24"/>
        </w:rPr>
      </w:pPr>
    </w:p>
    <w:p w14:paraId="3E445D80" w14:textId="77777777" w:rsidR="00F761A4" w:rsidRDefault="00F761A4">
      <w:pPr>
        <w:rPr>
          <w:rFonts w:ascii="Times New Roman" w:hAnsi="Times New Roman" w:cs="Times New Roman"/>
          <w:b/>
          <w:bCs/>
          <w:sz w:val="24"/>
          <w:szCs w:val="24"/>
        </w:rPr>
      </w:pPr>
    </w:p>
    <w:p w14:paraId="1EFC4B63" w14:textId="63926102" w:rsidR="000E55D5" w:rsidRDefault="000E55D5">
      <w:pPr>
        <w:rPr>
          <w:rFonts w:ascii="Times New Roman" w:hAnsi="Times New Roman" w:cs="Times New Roman"/>
          <w:b/>
          <w:bCs/>
          <w:sz w:val="24"/>
          <w:szCs w:val="24"/>
        </w:rPr>
      </w:pPr>
      <w:r>
        <w:rPr>
          <w:rFonts w:ascii="Times New Roman" w:hAnsi="Times New Roman" w:cs="Times New Roman"/>
          <w:b/>
          <w:bCs/>
          <w:sz w:val="24"/>
          <w:szCs w:val="24"/>
        </w:rPr>
        <w:lastRenderedPageBreak/>
        <w:t>Reference</w:t>
      </w:r>
    </w:p>
    <w:p w14:paraId="7FB3EA71" w14:textId="77777777" w:rsidR="000E55D5" w:rsidRPr="00124D20" w:rsidRDefault="000E55D5" w:rsidP="000E55D5">
      <w:pPr>
        <w:spacing w:after="0" w:line="240" w:lineRule="auto"/>
        <w:rPr>
          <w:rFonts w:ascii="Times New Roman" w:eastAsia="Times New Roman" w:hAnsi="Times New Roman" w:cs="Times New Roman"/>
          <w:sz w:val="24"/>
          <w:szCs w:val="24"/>
          <w:lang w:eastAsia="en-GB"/>
        </w:rPr>
      </w:pPr>
      <w:r w:rsidRPr="00124D20">
        <w:rPr>
          <w:rFonts w:ascii="Times New Roman" w:eastAsia="Times New Roman" w:hAnsi="Times New Roman" w:cs="Times New Roman"/>
          <w:sz w:val="24"/>
          <w:szCs w:val="24"/>
          <w:lang w:eastAsia="en-GB"/>
        </w:rPr>
        <w:t xml:space="preserve">Marwick, Arthur, </w:t>
      </w:r>
      <w:r w:rsidRPr="00124D20">
        <w:rPr>
          <w:rFonts w:ascii="Times New Roman" w:eastAsia="Times New Roman" w:hAnsi="Times New Roman" w:cs="Times New Roman"/>
          <w:i/>
          <w:iCs/>
          <w:sz w:val="24"/>
          <w:szCs w:val="24"/>
          <w:lang w:eastAsia="en-GB"/>
        </w:rPr>
        <w:t>Women at War, 1914-1918</w:t>
      </w:r>
      <w:r w:rsidRPr="00124D20">
        <w:rPr>
          <w:rFonts w:ascii="Times New Roman" w:eastAsia="Times New Roman" w:hAnsi="Times New Roman" w:cs="Times New Roman"/>
          <w:sz w:val="24"/>
          <w:szCs w:val="24"/>
          <w:lang w:eastAsia="en-GB"/>
        </w:rPr>
        <w:t xml:space="preserve"> (London: Croom Helm [for] the Imperial War Museum, 1977)</w:t>
      </w:r>
    </w:p>
    <w:p w14:paraId="26E10A48" w14:textId="77777777" w:rsidR="000E55D5" w:rsidRDefault="000E55D5">
      <w:pPr>
        <w:rPr>
          <w:rFonts w:ascii="Times New Roman" w:hAnsi="Times New Roman" w:cs="Times New Roman"/>
          <w:sz w:val="24"/>
          <w:szCs w:val="24"/>
        </w:rPr>
      </w:pPr>
    </w:p>
    <w:p w14:paraId="0D8B053C" w14:textId="77777777" w:rsidR="003B1545" w:rsidRDefault="003B1545">
      <w:pPr>
        <w:rPr>
          <w:rFonts w:ascii="Times New Roman" w:hAnsi="Times New Roman" w:cs="Times New Roman"/>
          <w:sz w:val="24"/>
          <w:szCs w:val="24"/>
        </w:rPr>
      </w:pPr>
    </w:p>
    <w:p w14:paraId="291F543A" w14:textId="77777777" w:rsidR="003B1545" w:rsidRDefault="003B1545">
      <w:pPr>
        <w:rPr>
          <w:rFonts w:ascii="Times New Roman" w:hAnsi="Times New Roman" w:cs="Times New Roman"/>
          <w:sz w:val="24"/>
          <w:szCs w:val="24"/>
        </w:rPr>
      </w:pPr>
    </w:p>
    <w:p w14:paraId="36A98588" w14:textId="77777777" w:rsidR="003B1545" w:rsidRDefault="003B1545">
      <w:pPr>
        <w:rPr>
          <w:rFonts w:ascii="Times New Roman" w:hAnsi="Times New Roman" w:cs="Times New Roman"/>
          <w:sz w:val="24"/>
          <w:szCs w:val="24"/>
        </w:rPr>
      </w:pPr>
    </w:p>
    <w:p w14:paraId="2F7D7DDB" w14:textId="77777777" w:rsidR="003B1545" w:rsidRDefault="003B1545">
      <w:pPr>
        <w:rPr>
          <w:rFonts w:ascii="Times New Roman" w:hAnsi="Times New Roman" w:cs="Times New Roman"/>
          <w:sz w:val="24"/>
          <w:szCs w:val="24"/>
        </w:rPr>
      </w:pPr>
    </w:p>
    <w:p w14:paraId="73CE5FC2" w14:textId="77777777" w:rsidR="003B1545" w:rsidRDefault="003B1545">
      <w:pPr>
        <w:rPr>
          <w:rFonts w:ascii="Times New Roman" w:hAnsi="Times New Roman" w:cs="Times New Roman"/>
          <w:sz w:val="24"/>
          <w:szCs w:val="24"/>
        </w:rPr>
      </w:pPr>
    </w:p>
    <w:p w14:paraId="616C8FC9" w14:textId="77777777" w:rsidR="003B1545" w:rsidRDefault="003B1545">
      <w:pPr>
        <w:rPr>
          <w:rFonts w:ascii="Times New Roman" w:hAnsi="Times New Roman" w:cs="Times New Roman"/>
          <w:sz w:val="24"/>
          <w:szCs w:val="24"/>
        </w:rPr>
      </w:pPr>
    </w:p>
    <w:p w14:paraId="3154B27B" w14:textId="77777777" w:rsidR="003B1545" w:rsidRDefault="003B1545">
      <w:pPr>
        <w:rPr>
          <w:rFonts w:ascii="Times New Roman" w:hAnsi="Times New Roman" w:cs="Times New Roman"/>
          <w:sz w:val="24"/>
          <w:szCs w:val="24"/>
        </w:rPr>
      </w:pPr>
    </w:p>
    <w:p w14:paraId="28E74992" w14:textId="77777777" w:rsidR="003B1545" w:rsidRDefault="003B1545">
      <w:pPr>
        <w:rPr>
          <w:rFonts w:ascii="Times New Roman" w:hAnsi="Times New Roman" w:cs="Times New Roman"/>
          <w:sz w:val="24"/>
          <w:szCs w:val="24"/>
        </w:rPr>
      </w:pPr>
    </w:p>
    <w:p w14:paraId="738690AD" w14:textId="77777777" w:rsidR="003B1545" w:rsidRDefault="003B1545">
      <w:pPr>
        <w:rPr>
          <w:rFonts w:ascii="Times New Roman" w:hAnsi="Times New Roman" w:cs="Times New Roman"/>
          <w:sz w:val="24"/>
          <w:szCs w:val="24"/>
        </w:rPr>
      </w:pPr>
    </w:p>
    <w:p w14:paraId="39A8EC4E" w14:textId="77777777" w:rsidR="003B1545" w:rsidRDefault="003B1545">
      <w:pPr>
        <w:rPr>
          <w:rFonts w:ascii="Times New Roman" w:hAnsi="Times New Roman" w:cs="Times New Roman"/>
          <w:sz w:val="24"/>
          <w:szCs w:val="24"/>
        </w:rPr>
      </w:pPr>
    </w:p>
    <w:p w14:paraId="2565B465" w14:textId="77777777" w:rsidR="003B1545" w:rsidRDefault="003B1545">
      <w:pPr>
        <w:rPr>
          <w:rFonts w:ascii="Times New Roman" w:hAnsi="Times New Roman" w:cs="Times New Roman"/>
          <w:sz w:val="24"/>
          <w:szCs w:val="24"/>
        </w:rPr>
      </w:pPr>
    </w:p>
    <w:p w14:paraId="57FC8F66" w14:textId="77777777" w:rsidR="003B1545" w:rsidRDefault="003B1545">
      <w:pPr>
        <w:rPr>
          <w:rFonts w:ascii="Times New Roman" w:hAnsi="Times New Roman" w:cs="Times New Roman"/>
          <w:sz w:val="24"/>
          <w:szCs w:val="24"/>
        </w:rPr>
      </w:pPr>
    </w:p>
    <w:p w14:paraId="6046C1D9" w14:textId="77777777" w:rsidR="003B1545" w:rsidRDefault="003B1545">
      <w:pPr>
        <w:rPr>
          <w:rFonts w:ascii="Times New Roman" w:hAnsi="Times New Roman" w:cs="Times New Roman"/>
          <w:sz w:val="24"/>
          <w:szCs w:val="24"/>
        </w:rPr>
      </w:pPr>
    </w:p>
    <w:p w14:paraId="0DDBF667" w14:textId="77777777" w:rsidR="003B1545" w:rsidRDefault="003B1545">
      <w:pPr>
        <w:rPr>
          <w:rFonts w:ascii="Times New Roman" w:hAnsi="Times New Roman" w:cs="Times New Roman"/>
          <w:sz w:val="24"/>
          <w:szCs w:val="24"/>
        </w:rPr>
      </w:pPr>
    </w:p>
    <w:p w14:paraId="74972266" w14:textId="77777777" w:rsidR="003B1545" w:rsidRDefault="003B1545">
      <w:pPr>
        <w:rPr>
          <w:rFonts w:ascii="Times New Roman" w:hAnsi="Times New Roman" w:cs="Times New Roman"/>
          <w:sz w:val="24"/>
          <w:szCs w:val="24"/>
        </w:rPr>
      </w:pPr>
    </w:p>
    <w:p w14:paraId="241C4AF8" w14:textId="77777777" w:rsidR="003B1545" w:rsidRDefault="003B1545">
      <w:pPr>
        <w:rPr>
          <w:rFonts w:ascii="Times New Roman" w:hAnsi="Times New Roman" w:cs="Times New Roman"/>
          <w:sz w:val="24"/>
          <w:szCs w:val="24"/>
        </w:rPr>
      </w:pPr>
    </w:p>
    <w:p w14:paraId="594D0E86" w14:textId="77777777" w:rsidR="003B1545" w:rsidRDefault="003B1545">
      <w:pPr>
        <w:rPr>
          <w:rFonts w:ascii="Times New Roman" w:hAnsi="Times New Roman" w:cs="Times New Roman"/>
          <w:sz w:val="24"/>
          <w:szCs w:val="24"/>
        </w:rPr>
      </w:pPr>
    </w:p>
    <w:p w14:paraId="4ECAD6C3" w14:textId="77777777" w:rsidR="003B1545" w:rsidRDefault="003B1545">
      <w:pPr>
        <w:rPr>
          <w:rFonts w:ascii="Times New Roman" w:hAnsi="Times New Roman" w:cs="Times New Roman"/>
          <w:sz w:val="24"/>
          <w:szCs w:val="24"/>
        </w:rPr>
      </w:pPr>
    </w:p>
    <w:p w14:paraId="72DEAF55" w14:textId="77777777" w:rsidR="00F761A4" w:rsidRDefault="00F761A4">
      <w:pPr>
        <w:rPr>
          <w:rFonts w:ascii="Times New Roman" w:hAnsi="Times New Roman" w:cs="Times New Roman"/>
          <w:sz w:val="24"/>
          <w:szCs w:val="24"/>
        </w:rPr>
      </w:pPr>
    </w:p>
    <w:p w14:paraId="6B3AAD23" w14:textId="77777777" w:rsidR="00F761A4" w:rsidRDefault="00F761A4">
      <w:pPr>
        <w:rPr>
          <w:rFonts w:ascii="Times New Roman" w:hAnsi="Times New Roman" w:cs="Times New Roman"/>
          <w:sz w:val="24"/>
          <w:szCs w:val="24"/>
        </w:rPr>
      </w:pPr>
    </w:p>
    <w:p w14:paraId="392622D8" w14:textId="77777777" w:rsidR="00F761A4" w:rsidRDefault="00F761A4">
      <w:pPr>
        <w:rPr>
          <w:rFonts w:ascii="Times New Roman" w:hAnsi="Times New Roman" w:cs="Times New Roman"/>
          <w:sz w:val="24"/>
          <w:szCs w:val="24"/>
        </w:rPr>
      </w:pPr>
    </w:p>
    <w:p w14:paraId="13C9DEEB" w14:textId="77777777" w:rsidR="00F761A4" w:rsidRDefault="00F761A4">
      <w:pPr>
        <w:rPr>
          <w:rFonts w:ascii="Times New Roman" w:hAnsi="Times New Roman" w:cs="Times New Roman"/>
          <w:sz w:val="24"/>
          <w:szCs w:val="24"/>
        </w:rPr>
      </w:pPr>
    </w:p>
    <w:p w14:paraId="4F0F6B79" w14:textId="77777777" w:rsidR="00F761A4" w:rsidRDefault="00F761A4">
      <w:pPr>
        <w:rPr>
          <w:rFonts w:ascii="Times New Roman" w:hAnsi="Times New Roman" w:cs="Times New Roman"/>
          <w:sz w:val="24"/>
          <w:szCs w:val="24"/>
        </w:rPr>
      </w:pPr>
    </w:p>
    <w:p w14:paraId="5BDF1237" w14:textId="77777777" w:rsidR="00F761A4" w:rsidRDefault="00F761A4">
      <w:pPr>
        <w:rPr>
          <w:rFonts w:ascii="Times New Roman" w:hAnsi="Times New Roman" w:cs="Times New Roman"/>
          <w:sz w:val="24"/>
          <w:szCs w:val="24"/>
        </w:rPr>
      </w:pPr>
    </w:p>
    <w:p w14:paraId="56410958" w14:textId="77777777" w:rsidR="00F761A4" w:rsidRDefault="00F761A4">
      <w:pPr>
        <w:rPr>
          <w:rFonts w:ascii="Times New Roman" w:hAnsi="Times New Roman" w:cs="Times New Roman"/>
          <w:sz w:val="24"/>
          <w:szCs w:val="24"/>
        </w:rPr>
      </w:pPr>
    </w:p>
    <w:p w14:paraId="7DB20805" w14:textId="77777777" w:rsidR="003B1545" w:rsidRDefault="003B1545">
      <w:pPr>
        <w:rPr>
          <w:rFonts w:ascii="Times New Roman" w:hAnsi="Times New Roman" w:cs="Times New Roman"/>
          <w:sz w:val="24"/>
          <w:szCs w:val="24"/>
        </w:rPr>
      </w:pPr>
    </w:p>
    <w:p w14:paraId="1195E111" w14:textId="77777777" w:rsidR="003B1545" w:rsidRDefault="003B1545">
      <w:pPr>
        <w:rPr>
          <w:rFonts w:ascii="Times New Roman" w:hAnsi="Times New Roman" w:cs="Times New Roman"/>
          <w:sz w:val="24"/>
          <w:szCs w:val="24"/>
        </w:rPr>
      </w:pPr>
    </w:p>
    <w:p w14:paraId="0A21A9D5" w14:textId="53FD7058" w:rsidR="003B1545" w:rsidRDefault="003B1545">
      <w:pPr>
        <w:rPr>
          <w:rFonts w:ascii="Times New Roman" w:hAnsi="Times New Roman" w:cs="Times New Roman"/>
          <w:sz w:val="24"/>
          <w:szCs w:val="24"/>
          <w:u w:val="single"/>
        </w:rPr>
      </w:pPr>
      <w:r w:rsidRPr="003B1545">
        <w:rPr>
          <w:rFonts w:ascii="Times New Roman" w:hAnsi="Times New Roman" w:cs="Times New Roman"/>
          <w:sz w:val="24"/>
          <w:szCs w:val="24"/>
          <w:u w:val="single"/>
        </w:rPr>
        <w:lastRenderedPageBreak/>
        <w:t>WORD DOCUMENT REPORT</w:t>
      </w:r>
    </w:p>
    <w:p w14:paraId="01DBFA8F" w14:textId="77777777" w:rsidR="00B550AD" w:rsidRDefault="00B550AD">
      <w:pPr>
        <w:rPr>
          <w:rFonts w:ascii="Times New Roman" w:hAnsi="Times New Roman" w:cs="Times New Roman"/>
          <w:b/>
          <w:bCs/>
          <w:sz w:val="24"/>
          <w:szCs w:val="24"/>
        </w:rPr>
      </w:pPr>
    </w:p>
    <w:p w14:paraId="055C9D6A" w14:textId="18DCF47D" w:rsidR="006466D1" w:rsidRPr="00106EFE" w:rsidRDefault="006466D1" w:rsidP="006466D1">
      <w:pPr>
        <w:rPr>
          <w:rFonts w:ascii="Times New Roman" w:hAnsi="Times New Roman" w:cs="Times New Roman"/>
          <w:sz w:val="24"/>
          <w:szCs w:val="24"/>
        </w:rPr>
      </w:pPr>
      <w:r w:rsidRPr="006466D1">
        <w:rPr>
          <w:rFonts w:ascii="Times New Roman" w:hAnsi="Times New Roman" w:cs="Times New Roman"/>
          <w:sz w:val="24"/>
          <w:szCs w:val="24"/>
        </w:rPr>
        <w:t xml:space="preserve">Report on </w:t>
      </w:r>
      <w:r w:rsidRPr="006466D1">
        <w:rPr>
          <w:rFonts w:ascii="Times New Roman" w:hAnsi="Times New Roman" w:cs="Times New Roman"/>
          <w:i/>
          <w:iCs/>
          <w:sz w:val="24"/>
          <w:szCs w:val="24"/>
        </w:rPr>
        <w:t>Letters of The Earl of Oxford and Asquith To A Friend: First Series 1915 – 1922</w:t>
      </w:r>
      <w:r w:rsidR="00106EFE">
        <w:rPr>
          <w:rFonts w:ascii="Times New Roman" w:hAnsi="Times New Roman" w:cs="Times New Roman"/>
          <w:i/>
          <w:iCs/>
          <w:sz w:val="24"/>
          <w:szCs w:val="24"/>
        </w:rPr>
        <w:t xml:space="preserve"> </w:t>
      </w:r>
      <w:r w:rsidR="00106EFE">
        <w:rPr>
          <w:rFonts w:ascii="Times New Roman" w:hAnsi="Times New Roman" w:cs="Times New Roman"/>
          <w:sz w:val="24"/>
          <w:szCs w:val="24"/>
        </w:rPr>
        <w:t>by Herbert H. Asquith.</w:t>
      </w:r>
    </w:p>
    <w:p w14:paraId="396EE776" w14:textId="77777777" w:rsidR="00773531" w:rsidRDefault="00773531" w:rsidP="006466D1">
      <w:pPr>
        <w:rPr>
          <w:rFonts w:ascii="Times New Roman" w:hAnsi="Times New Roman" w:cs="Times New Roman"/>
          <w:sz w:val="24"/>
          <w:szCs w:val="24"/>
        </w:rPr>
      </w:pPr>
    </w:p>
    <w:p w14:paraId="15079DA3" w14:textId="4903FF88" w:rsidR="006466D1" w:rsidRPr="00962DF0" w:rsidRDefault="006466D1" w:rsidP="006466D1">
      <w:pPr>
        <w:rPr>
          <w:rFonts w:ascii="Times New Roman" w:hAnsi="Times New Roman" w:cs="Times New Roman"/>
          <w:b/>
          <w:bCs/>
          <w:sz w:val="24"/>
          <w:szCs w:val="24"/>
        </w:rPr>
      </w:pPr>
      <w:r w:rsidRPr="00962DF0">
        <w:rPr>
          <w:rFonts w:ascii="Times New Roman" w:hAnsi="Times New Roman" w:cs="Times New Roman"/>
          <w:b/>
          <w:bCs/>
          <w:sz w:val="24"/>
          <w:szCs w:val="24"/>
        </w:rPr>
        <w:t>Introduction:</w:t>
      </w:r>
    </w:p>
    <w:p w14:paraId="42270908" w14:textId="1F7A1F59" w:rsidR="00773531" w:rsidRPr="00773531" w:rsidRDefault="00773531" w:rsidP="00773531">
      <w:pPr>
        <w:spacing w:after="0" w:line="480" w:lineRule="auto"/>
        <w:rPr>
          <w:rFonts w:ascii="Times New Roman" w:eastAsia="Times New Roman" w:hAnsi="Times New Roman" w:cs="Times New Roman"/>
          <w:sz w:val="24"/>
          <w:szCs w:val="24"/>
          <w:lang w:eastAsia="en-GB"/>
        </w:rPr>
      </w:pPr>
      <w:r w:rsidRPr="00773531">
        <w:rPr>
          <w:rFonts w:ascii="Times New Roman" w:eastAsia="Times New Roman" w:hAnsi="Times New Roman" w:cs="Times New Roman"/>
          <w:i/>
          <w:iCs/>
          <w:sz w:val="24"/>
          <w:szCs w:val="24"/>
          <w:lang w:eastAsia="en-GB"/>
        </w:rPr>
        <w:t>Letters of The Earl of Oxford and Asquith To A Friend: First Series 1915–1922</w:t>
      </w:r>
      <w:r w:rsidRPr="00773531">
        <w:rPr>
          <w:rFonts w:ascii="Times New Roman" w:eastAsia="Times New Roman" w:hAnsi="Times New Roman" w:cs="Times New Roman"/>
          <w:sz w:val="24"/>
          <w:szCs w:val="24"/>
          <w:lang w:eastAsia="en-GB"/>
        </w:rPr>
        <w:t>, a collection of letters, offers a fascinating look into the life and ideas of Herbert H. Asquith, a well-known British statesman and prime minister at an important point in British history. The letters, which are a compilation of letters that Asquith exchanged</w:t>
      </w:r>
      <w:r w:rsidR="00106EFE">
        <w:rPr>
          <w:rFonts w:ascii="Times New Roman" w:eastAsia="Times New Roman" w:hAnsi="Times New Roman" w:cs="Times New Roman"/>
          <w:sz w:val="24"/>
          <w:szCs w:val="24"/>
          <w:lang w:eastAsia="en-GB"/>
        </w:rPr>
        <w:t xml:space="preserve"> with his friends</w:t>
      </w:r>
      <w:r w:rsidRPr="00773531">
        <w:rPr>
          <w:rFonts w:ascii="Times New Roman" w:eastAsia="Times New Roman" w:hAnsi="Times New Roman" w:cs="Times New Roman"/>
          <w:sz w:val="24"/>
          <w:szCs w:val="24"/>
          <w:lang w:eastAsia="en-GB"/>
        </w:rPr>
        <w:t>, provide a close-knit viewpoint on the issues and happenings of the time.</w:t>
      </w:r>
    </w:p>
    <w:p w14:paraId="792CEADA" w14:textId="77777777" w:rsidR="00773531" w:rsidRPr="006466D1" w:rsidRDefault="00773531" w:rsidP="006466D1">
      <w:pPr>
        <w:rPr>
          <w:rFonts w:ascii="Times New Roman" w:hAnsi="Times New Roman" w:cs="Times New Roman"/>
          <w:sz w:val="24"/>
          <w:szCs w:val="24"/>
        </w:rPr>
      </w:pPr>
    </w:p>
    <w:p w14:paraId="426938E4" w14:textId="77777777" w:rsidR="006466D1" w:rsidRPr="00962DF0" w:rsidRDefault="006466D1" w:rsidP="006466D1">
      <w:pPr>
        <w:rPr>
          <w:rFonts w:ascii="Times New Roman" w:hAnsi="Times New Roman" w:cs="Times New Roman"/>
          <w:b/>
          <w:bCs/>
          <w:sz w:val="24"/>
          <w:szCs w:val="24"/>
        </w:rPr>
      </w:pPr>
      <w:r w:rsidRPr="00962DF0">
        <w:rPr>
          <w:rFonts w:ascii="Times New Roman" w:hAnsi="Times New Roman" w:cs="Times New Roman"/>
          <w:b/>
          <w:bCs/>
          <w:sz w:val="24"/>
          <w:szCs w:val="24"/>
        </w:rPr>
        <w:t>Summary:</w:t>
      </w:r>
    </w:p>
    <w:p w14:paraId="75C06C05" w14:textId="77777777" w:rsidR="00773531" w:rsidRPr="00773531" w:rsidRDefault="00773531" w:rsidP="00773531">
      <w:pPr>
        <w:spacing w:after="0" w:line="480" w:lineRule="auto"/>
        <w:rPr>
          <w:rFonts w:ascii="Times New Roman" w:eastAsia="Times New Roman" w:hAnsi="Times New Roman" w:cs="Times New Roman"/>
          <w:sz w:val="24"/>
          <w:szCs w:val="24"/>
          <w:lang w:eastAsia="en-GB"/>
        </w:rPr>
      </w:pPr>
      <w:r w:rsidRPr="00773531">
        <w:rPr>
          <w:rFonts w:ascii="Times New Roman" w:eastAsia="Times New Roman" w:hAnsi="Times New Roman" w:cs="Times New Roman"/>
          <w:sz w:val="24"/>
          <w:szCs w:val="24"/>
          <w:lang w:eastAsia="en-GB"/>
        </w:rPr>
        <w:t>The collection covers the turbulent years from 1915 and 1922, which included World War I, the interwar years, and the war's aftermath. In addition to giving a firsthand picture of the political, social, and personal changes that marked this period, Asquith's letters also shed light on his decision-making process, leadership style, and relationships with influential people of the day.</w:t>
      </w:r>
    </w:p>
    <w:p w14:paraId="4A9053C5" w14:textId="77777777" w:rsidR="00773531" w:rsidRPr="006466D1" w:rsidRDefault="00773531" w:rsidP="006466D1">
      <w:pPr>
        <w:rPr>
          <w:rFonts w:ascii="Times New Roman" w:hAnsi="Times New Roman" w:cs="Times New Roman"/>
          <w:sz w:val="24"/>
          <w:szCs w:val="24"/>
        </w:rPr>
      </w:pPr>
    </w:p>
    <w:p w14:paraId="1B54E0E9" w14:textId="22450C95" w:rsidR="00962DF0" w:rsidRPr="00962DF0" w:rsidRDefault="006466D1" w:rsidP="00076C81">
      <w:pPr>
        <w:spacing w:line="480" w:lineRule="auto"/>
        <w:rPr>
          <w:rFonts w:ascii="Times New Roman" w:hAnsi="Times New Roman" w:cs="Times New Roman"/>
          <w:b/>
          <w:bCs/>
          <w:sz w:val="24"/>
          <w:szCs w:val="24"/>
        </w:rPr>
      </w:pPr>
      <w:r w:rsidRPr="00962DF0">
        <w:rPr>
          <w:rFonts w:ascii="Times New Roman" w:hAnsi="Times New Roman" w:cs="Times New Roman"/>
          <w:b/>
          <w:bCs/>
          <w:sz w:val="24"/>
          <w:szCs w:val="24"/>
        </w:rPr>
        <w:t>Key Themes:</w:t>
      </w:r>
    </w:p>
    <w:p w14:paraId="6C197392" w14:textId="77777777" w:rsidR="00962DF0" w:rsidRDefault="006466D1" w:rsidP="00076C81">
      <w:pPr>
        <w:spacing w:line="480" w:lineRule="auto"/>
        <w:rPr>
          <w:rFonts w:ascii="Times New Roman" w:hAnsi="Times New Roman" w:cs="Times New Roman"/>
          <w:sz w:val="24"/>
          <w:szCs w:val="24"/>
        </w:rPr>
      </w:pPr>
      <w:r w:rsidRPr="006466D1">
        <w:rPr>
          <w:rFonts w:ascii="Times New Roman" w:hAnsi="Times New Roman" w:cs="Times New Roman"/>
          <w:sz w:val="24"/>
          <w:szCs w:val="24"/>
        </w:rPr>
        <w:t xml:space="preserve">World War I and Leadership Challenges: </w:t>
      </w:r>
    </w:p>
    <w:p w14:paraId="3BF456FC" w14:textId="6F58480D" w:rsidR="00734221" w:rsidRPr="00734221" w:rsidRDefault="00962DF0" w:rsidP="00076C81">
      <w:pPr>
        <w:spacing w:after="0" w:line="480" w:lineRule="auto"/>
        <w:ind w:firstLine="720"/>
        <w:rPr>
          <w:rFonts w:ascii="Times New Roman" w:eastAsia="Times New Roman" w:hAnsi="Times New Roman" w:cs="Times New Roman"/>
          <w:sz w:val="24"/>
          <w:szCs w:val="24"/>
          <w:lang w:eastAsia="en-GB"/>
        </w:rPr>
      </w:pPr>
      <w:r w:rsidRPr="00962DF0">
        <w:rPr>
          <w:rFonts w:ascii="Times New Roman" w:eastAsia="Times New Roman" w:hAnsi="Times New Roman" w:cs="Times New Roman"/>
          <w:sz w:val="24"/>
          <w:szCs w:val="24"/>
          <w:lang w:eastAsia="en-GB"/>
        </w:rPr>
        <w:t>The enormous difficulties Asquith experienced as Prime Minister during World War I are evident in his writings. Asquith's correspondence provides insight into the challenges of wartime leadership, including topics such as handling political disputes and public opinion, overseeing the war effort and conscription, and more</w:t>
      </w:r>
      <w:r w:rsidR="00A47481">
        <w:rPr>
          <w:rFonts w:ascii="Times New Roman" w:eastAsia="Times New Roman" w:hAnsi="Times New Roman" w:cs="Times New Roman"/>
          <w:sz w:val="24"/>
          <w:szCs w:val="24"/>
          <w:lang w:eastAsia="en-GB"/>
        </w:rPr>
        <w:t xml:space="preserve">; “I am encompassed with all sorts and </w:t>
      </w:r>
      <w:r w:rsidR="00A47481">
        <w:rPr>
          <w:rFonts w:ascii="Times New Roman" w:eastAsia="Times New Roman" w:hAnsi="Times New Roman" w:cs="Times New Roman"/>
          <w:sz w:val="24"/>
          <w:szCs w:val="24"/>
          <w:lang w:eastAsia="en-GB"/>
        </w:rPr>
        <w:lastRenderedPageBreak/>
        <w:t>sizes of problems and worries and cares.”</w:t>
      </w:r>
      <w:r w:rsidR="00A47481">
        <w:rPr>
          <w:rStyle w:val="FootnoteReference"/>
          <w:rFonts w:ascii="Times New Roman" w:eastAsia="Times New Roman" w:hAnsi="Times New Roman" w:cs="Times New Roman"/>
          <w:sz w:val="24"/>
          <w:szCs w:val="24"/>
          <w:lang w:eastAsia="en-GB"/>
        </w:rPr>
        <w:footnoteReference w:id="10"/>
      </w:r>
      <w:r w:rsidR="00A47481">
        <w:rPr>
          <w:rFonts w:ascii="Times New Roman" w:eastAsia="Times New Roman" w:hAnsi="Times New Roman" w:cs="Times New Roman"/>
          <w:sz w:val="24"/>
          <w:szCs w:val="24"/>
          <w:lang w:eastAsia="en-GB"/>
        </w:rPr>
        <w:t xml:space="preserve"> </w:t>
      </w:r>
      <w:r w:rsidR="00734221" w:rsidRPr="00734221">
        <w:rPr>
          <w:rFonts w:ascii="Times New Roman" w:eastAsia="Times New Roman" w:hAnsi="Times New Roman" w:cs="Times New Roman"/>
          <w:sz w:val="24"/>
          <w:szCs w:val="24"/>
          <w:lang w:eastAsia="en-GB"/>
        </w:rPr>
        <w:t>He had to deal with a lot of leadership issues while leading a country that was at war.</w:t>
      </w:r>
      <w:r w:rsidR="00734221">
        <w:rPr>
          <w:rFonts w:ascii="Times New Roman" w:eastAsia="Times New Roman" w:hAnsi="Times New Roman" w:cs="Times New Roman"/>
          <w:sz w:val="24"/>
          <w:szCs w:val="24"/>
          <w:lang w:eastAsia="en-GB"/>
        </w:rPr>
        <w:t xml:space="preserve"> </w:t>
      </w:r>
      <w:r w:rsidR="00734221" w:rsidRPr="00734221">
        <w:rPr>
          <w:rFonts w:ascii="Times New Roman" w:eastAsia="Times New Roman" w:hAnsi="Times New Roman" w:cs="Times New Roman"/>
          <w:sz w:val="24"/>
          <w:szCs w:val="24"/>
          <w:lang w:eastAsia="en-GB"/>
        </w:rPr>
        <w:t>The organisation of the war effort itself was one of Asquith's main concerns. In his capacity as prime minister, he carried the heavy burden of directing Britain's involvement in the war, which included not only the tactical demands of military preparation and action but also the logistical difficulties of troop mobilisation, supply coordination, and domestic morale maintenance. In this sense, Asquith's leadership was distinguished by his ability to manage the conflict's enormous human and material costs while still advancing the interests of the Allies. He was confronted with the grim reality of trench warfare and the tremendous number of losses it caused, forcing him to make tough choices about the deployment of troops, the distribution of resources, and military tactics.</w:t>
      </w:r>
    </w:p>
    <w:p w14:paraId="7628B62C" w14:textId="77777777" w:rsidR="00962DF0" w:rsidRDefault="00962DF0" w:rsidP="00076C81">
      <w:pPr>
        <w:spacing w:line="480" w:lineRule="auto"/>
        <w:rPr>
          <w:rFonts w:ascii="Times New Roman" w:hAnsi="Times New Roman" w:cs="Times New Roman"/>
          <w:sz w:val="24"/>
          <w:szCs w:val="24"/>
        </w:rPr>
      </w:pPr>
    </w:p>
    <w:p w14:paraId="112BC8A1" w14:textId="57BC8434" w:rsidR="00962DF0" w:rsidRDefault="006466D1" w:rsidP="00076C81">
      <w:pPr>
        <w:spacing w:line="480" w:lineRule="auto"/>
        <w:rPr>
          <w:rFonts w:ascii="Times New Roman" w:hAnsi="Times New Roman" w:cs="Times New Roman"/>
          <w:sz w:val="24"/>
          <w:szCs w:val="24"/>
        </w:rPr>
      </w:pPr>
      <w:r w:rsidRPr="006466D1">
        <w:rPr>
          <w:rFonts w:ascii="Times New Roman" w:hAnsi="Times New Roman" w:cs="Times New Roman"/>
          <w:sz w:val="24"/>
          <w:szCs w:val="24"/>
        </w:rPr>
        <w:t xml:space="preserve">Political Intrigues and Alliances: </w:t>
      </w:r>
    </w:p>
    <w:p w14:paraId="750E3C25" w14:textId="298562B4" w:rsidR="00962DF0" w:rsidRPr="00962DF0" w:rsidRDefault="00962DF0" w:rsidP="00076C81">
      <w:pPr>
        <w:spacing w:after="0" w:line="480" w:lineRule="auto"/>
        <w:ind w:firstLine="720"/>
        <w:rPr>
          <w:rFonts w:ascii="Times New Roman" w:eastAsia="Times New Roman" w:hAnsi="Times New Roman" w:cs="Times New Roman"/>
          <w:sz w:val="24"/>
          <w:szCs w:val="24"/>
          <w:lang w:eastAsia="en-GB"/>
        </w:rPr>
      </w:pPr>
      <w:r w:rsidRPr="00962DF0">
        <w:rPr>
          <w:rFonts w:ascii="Times New Roman" w:eastAsia="Times New Roman" w:hAnsi="Times New Roman" w:cs="Times New Roman"/>
          <w:sz w:val="24"/>
          <w:szCs w:val="24"/>
          <w:lang w:eastAsia="en-GB"/>
        </w:rPr>
        <w:t>The correspondence sheds light on the intricate workings of British politics in the early 1900s, encompassing the emergence and disintegration of political coalitions, internal party strife, and the fluctuating power structures within the administration.</w:t>
      </w:r>
      <w:r>
        <w:rPr>
          <w:rFonts w:ascii="Times New Roman" w:eastAsia="Times New Roman" w:hAnsi="Times New Roman" w:cs="Times New Roman"/>
          <w:sz w:val="24"/>
          <w:szCs w:val="24"/>
          <w:lang w:eastAsia="en-GB"/>
        </w:rPr>
        <w:t xml:space="preserve"> </w:t>
      </w:r>
      <w:r w:rsidRPr="00962DF0">
        <w:rPr>
          <w:rFonts w:ascii="Times New Roman" w:eastAsia="Times New Roman" w:hAnsi="Times New Roman" w:cs="Times New Roman"/>
          <w:sz w:val="24"/>
          <w:szCs w:val="24"/>
          <w:lang w:eastAsia="en-GB"/>
        </w:rPr>
        <w:t>The complex network of alliances that united nations in a mutual defence arrangement was one of the distinguishing characteristics of World War I. These coalitions, which were formed in the years preceding the start of hostilities, functioned to both increase the scope of the fight and discourage attack. The principal coalition between the Central Powers of Germany, Austria-Hungary, and the Ottoman Empire was the Triple Entente, consisting of France, Russia, and Great Britain.</w:t>
      </w:r>
    </w:p>
    <w:p w14:paraId="54410C3B" w14:textId="77777777" w:rsidR="00962DF0" w:rsidRDefault="00962DF0" w:rsidP="00076C81">
      <w:pPr>
        <w:spacing w:line="480" w:lineRule="auto"/>
        <w:rPr>
          <w:rFonts w:ascii="Times New Roman" w:hAnsi="Times New Roman" w:cs="Times New Roman"/>
          <w:sz w:val="24"/>
          <w:szCs w:val="24"/>
        </w:rPr>
      </w:pPr>
    </w:p>
    <w:p w14:paraId="10AE9C3C" w14:textId="77777777" w:rsidR="00962DF0" w:rsidRDefault="006466D1" w:rsidP="00076C81">
      <w:pPr>
        <w:spacing w:line="480" w:lineRule="auto"/>
        <w:rPr>
          <w:rFonts w:ascii="Times New Roman" w:hAnsi="Times New Roman" w:cs="Times New Roman"/>
          <w:sz w:val="24"/>
          <w:szCs w:val="24"/>
        </w:rPr>
      </w:pPr>
      <w:r w:rsidRPr="006466D1">
        <w:rPr>
          <w:rFonts w:ascii="Times New Roman" w:hAnsi="Times New Roman" w:cs="Times New Roman"/>
          <w:sz w:val="24"/>
          <w:szCs w:val="24"/>
        </w:rPr>
        <w:lastRenderedPageBreak/>
        <w:t>Personal Reflections and Relationships:</w:t>
      </w:r>
    </w:p>
    <w:p w14:paraId="1F7F8811" w14:textId="3E706A7A" w:rsidR="00866EAC" w:rsidRPr="00866EAC" w:rsidRDefault="00962DF0" w:rsidP="005A1635">
      <w:pPr>
        <w:spacing w:after="0" w:line="480" w:lineRule="auto"/>
        <w:ind w:firstLine="720"/>
        <w:rPr>
          <w:rFonts w:ascii="Times New Roman" w:eastAsia="Times New Roman" w:hAnsi="Times New Roman" w:cs="Times New Roman"/>
          <w:sz w:val="24"/>
          <w:szCs w:val="24"/>
          <w:lang w:eastAsia="en-GB"/>
        </w:rPr>
      </w:pPr>
      <w:r w:rsidRPr="00962DF0">
        <w:rPr>
          <w:rFonts w:ascii="Times New Roman" w:eastAsia="Times New Roman" w:hAnsi="Times New Roman" w:cs="Times New Roman"/>
          <w:sz w:val="24"/>
          <w:szCs w:val="24"/>
          <w:lang w:eastAsia="en-GB"/>
        </w:rPr>
        <w:t>Apart from discussing political issues, Asquith's correspondence provides insights into his private life, encompassing his relationships, family, and personal hardships.</w:t>
      </w:r>
      <w:r w:rsidR="005A1635">
        <w:rPr>
          <w:rFonts w:ascii="Times New Roman" w:eastAsia="Times New Roman" w:hAnsi="Times New Roman" w:cs="Times New Roman"/>
          <w:sz w:val="24"/>
          <w:szCs w:val="24"/>
          <w:lang w:eastAsia="en-GB"/>
        </w:rPr>
        <w:t xml:space="preserve"> </w:t>
      </w:r>
      <w:r w:rsidR="005A1635" w:rsidRPr="005A1635">
        <w:rPr>
          <w:rFonts w:ascii="Times New Roman" w:hAnsi="Times New Roman" w:cs="Times New Roman"/>
          <w:sz w:val="24"/>
          <w:szCs w:val="24"/>
        </w:rPr>
        <w:t>In the summer of 1915, Asquith's son Raymond was killed at the front. This deep personal loss is reflected in the change in Asquith's correspondence. The friendly tone is replaced with longer letters expressing Asquith's grief, “This has been a great blow to me and I am much shaken by it.”</w:t>
      </w:r>
      <w:r w:rsidR="005A1635" w:rsidRPr="005A1635">
        <w:rPr>
          <w:rStyle w:val="FootnoteReference"/>
          <w:rFonts w:ascii="Times New Roman" w:hAnsi="Times New Roman" w:cs="Times New Roman"/>
          <w:sz w:val="24"/>
          <w:szCs w:val="24"/>
        </w:rPr>
        <w:footnoteReference w:id="11"/>
      </w:r>
      <w:r w:rsidR="005A1635">
        <w:rPr>
          <w:rFonts w:ascii="Times New Roman" w:eastAsia="Times New Roman" w:hAnsi="Times New Roman" w:cs="Times New Roman"/>
          <w:sz w:val="24"/>
          <w:szCs w:val="24"/>
          <w:lang w:eastAsia="en-GB"/>
        </w:rPr>
        <w:t xml:space="preserve"> </w:t>
      </w:r>
      <w:r w:rsidRPr="00962DF0">
        <w:rPr>
          <w:rFonts w:ascii="Times New Roman" w:eastAsia="Times New Roman" w:hAnsi="Times New Roman" w:cs="Times New Roman"/>
          <w:sz w:val="24"/>
          <w:szCs w:val="24"/>
          <w:lang w:eastAsia="en-GB"/>
        </w:rPr>
        <w:t>His letters to</w:t>
      </w:r>
      <w:r w:rsidR="005A1635">
        <w:rPr>
          <w:rFonts w:ascii="Times New Roman" w:eastAsia="Times New Roman" w:hAnsi="Times New Roman" w:cs="Times New Roman"/>
          <w:sz w:val="24"/>
          <w:szCs w:val="24"/>
          <w:lang w:eastAsia="en-GB"/>
        </w:rPr>
        <w:t xml:space="preserve"> his friends</w:t>
      </w:r>
      <w:r w:rsidRPr="00962DF0">
        <w:rPr>
          <w:rFonts w:ascii="Times New Roman" w:eastAsia="Times New Roman" w:hAnsi="Times New Roman" w:cs="Times New Roman"/>
          <w:sz w:val="24"/>
          <w:szCs w:val="24"/>
          <w:lang w:eastAsia="en-GB"/>
        </w:rPr>
        <w:t xml:space="preserve"> offer insight into their continuing companionship and encouragement of one another during difficult times.</w:t>
      </w:r>
      <w:r w:rsidR="00712443">
        <w:rPr>
          <w:rFonts w:ascii="Times New Roman" w:eastAsia="Times New Roman" w:hAnsi="Times New Roman" w:cs="Times New Roman"/>
          <w:sz w:val="24"/>
          <w:szCs w:val="24"/>
          <w:lang w:eastAsia="en-GB"/>
        </w:rPr>
        <w:t xml:space="preserve"> </w:t>
      </w:r>
      <w:r w:rsidR="00866EAC" w:rsidRPr="00866EAC">
        <w:rPr>
          <w:rFonts w:ascii="Times New Roman" w:eastAsia="Times New Roman" w:hAnsi="Times New Roman" w:cs="Times New Roman"/>
          <w:sz w:val="24"/>
          <w:szCs w:val="24"/>
          <w:lang w:eastAsia="en-GB"/>
        </w:rPr>
        <w:t>For those who went through it, World War I was not only a worldwide struggle fought on the battlefield but also a very intimate and emotional event. Asquith's leadership during World War I was notable for its ability to sustain personal connections and relationships in the face of chaos and upheaval. Asquith continued to have a strong emotional connection to everyone in his immediate circle, including his friends, family, coworkers, and advisors, despite the responsibilities of his role as prime minister. His letters to trusted friend and confidant, provide a glimpse into his deepest feelings and innermost thoughts during this tumultuous time.</w:t>
      </w:r>
    </w:p>
    <w:p w14:paraId="04699D87" w14:textId="77777777" w:rsidR="00962DF0" w:rsidRDefault="00962DF0" w:rsidP="00076C81">
      <w:pPr>
        <w:spacing w:line="480" w:lineRule="auto"/>
        <w:rPr>
          <w:rFonts w:ascii="Times New Roman" w:hAnsi="Times New Roman" w:cs="Times New Roman"/>
          <w:sz w:val="24"/>
          <w:szCs w:val="24"/>
        </w:rPr>
      </w:pPr>
    </w:p>
    <w:p w14:paraId="1C950BA0" w14:textId="197CF3C8" w:rsidR="00712443" w:rsidRDefault="006466D1" w:rsidP="00076C81">
      <w:pPr>
        <w:spacing w:line="480" w:lineRule="auto"/>
        <w:rPr>
          <w:rFonts w:ascii="Times New Roman" w:hAnsi="Times New Roman" w:cs="Times New Roman"/>
          <w:sz w:val="24"/>
          <w:szCs w:val="24"/>
        </w:rPr>
      </w:pPr>
      <w:r w:rsidRPr="006466D1">
        <w:rPr>
          <w:rFonts w:ascii="Times New Roman" w:hAnsi="Times New Roman" w:cs="Times New Roman"/>
          <w:sz w:val="24"/>
          <w:szCs w:val="24"/>
        </w:rPr>
        <w:t>Post-War Reconstruction and Challenges</w:t>
      </w:r>
      <w:r w:rsidR="00712443">
        <w:rPr>
          <w:rFonts w:ascii="Times New Roman" w:hAnsi="Times New Roman" w:cs="Times New Roman"/>
          <w:sz w:val="24"/>
          <w:szCs w:val="24"/>
        </w:rPr>
        <w:t>:</w:t>
      </w:r>
    </w:p>
    <w:p w14:paraId="39FEB270" w14:textId="4FBADF72" w:rsidR="00076C81" w:rsidRPr="00076C81" w:rsidRDefault="00712443" w:rsidP="00076C81">
      <w:pPr>
        <w:spacing w:after="0" w:line="480" w:lineRule="auto"/>
        <w:ind w:firstLine="720"/>
        <w:rPr>
          <w:rFonts w:ascii="Times New Roman" w:eastAsia="Times New Roman" w:hAnsi="Times New Roman" w:cs="Times New Roman"/>
          <w:sz w:val="24"/>
          <w:szCs w:val="24"/>
          <w:lang w:eastAsia="en-GB"/>
        </w:rPr>
      </w:pPr>
      <w:r w:rsidRPr="00712443">
        <w:rPr>
          <w:rFonts w:ascii="Times New Roman" w:eastAsia="Times New Roman" w:hAnsi="Times New Roman" w:cs="Times New Roman"/>
          <w:sz w:val="24"/>
          <w:szCs w:val="24"/>
          <w:lang w:eastAsia="en-GB"/>
        </w:rPr>
        <w:t>Asquith faced the difficult task of reconstructing Britain after World War I and dealing with the social and economic issues the conflict had brought about. His letters provide insightful information about the post-war reconstruction efforts and the discussions around social welfare, housing, and unemployment.</w:t>
      </w:r>
      <w:r w:rsidR="00076C81">
        <w:rPr>
          <w:rFonts w:ascii="Times New Roman" w:eastAsia="Times New Roman" w:hAnsi="Times New Roman" w:cs="Times New Roman"/>
          <w:sz w:val="24"/>
          <w:szCs w:val="24"/>
          <w:lang w:eastAsia="en-GB"/>
        </w:rPr>
        <w:t xml:space="preserve"> </w:t>
      </w:r>
      <w:r w:rsidR="00076C81" w:rsidRPr="00076C81">
        <w:rPr>
          <w:rFonts w:ascii="Times New Roman" w:eastAsia="Times New Roman" w:hAnsi="Times New Roman" w:cs="Times New Roman"/>
          <w:sz w:val="24"/>
          <w:szCs w:val="24"/>
          <w:lang w:eastAsia="en-GB"/>
        </w:rPr>
        <w:t xml:space="preserve">In the years following World War I, reconstructing countries ravaged by years of fighting was one of the biggest tasks facing </w:t>
      </w:r>
      <w:r w:rsidR="00076C81" w:rsidRPr="00076C81">
        <w:rPr>
          <w:rFonts w:ascii="Times New Roman" w:eastAsia="Times New Roman" w:hAnsi="Times New Roman" w:cs="Times New Roman"/>
          <w:sz w:val="24"/>
          <w:szCs w:val="24"/>
          <w:lang w:eastAsia="en-GB"/>
        </w:rPr>
        <w:lastRenderedPageBreak/>
        <w:t>Asquith and other presidents. The conflict had left a path of devastation in its wake, both material and psychological, with economies in ruins, cities reduced to rubble, and millions of lives lost or irrevocably changed. During this time, he led with a dedication to progressive reform and social justice, addressing the underlying causes of social unrest and advancing greater equality and opportunity for all citizens.</w:t>
      </w:r>
      <w:r w:rsidR="00076C81">
        <w:rPr>
          <w:rFonts w:ascii="Times New Roman" w:eastAsia="Times New Roman" w:hAnsi="Times New Roman" w:cs="Times New Roman"/>
          <w:sz w:val="24"/>
          <w:szCs w:val="24"/>
          <w:lang w:eastAsia="en-GB"/>
        </w:rPr>
        <w:t xml:space="preserve"> </w:t>
      </w:r>
      <w:r w:rsidR="00076C81" w:rsidRPr="00076C81">
        <w:rPr>
          <w:rFonts w:ascii="Times New Roman" w:eastAsia="Times New Roman" w:hAnsi="Times New Roman" w:cs="Times New Roman"/>
          <w:sz w:val="24"/>
          <w:szCs w:val="24"/>
          <w:lang w:eastAsia="en-GB"/>
        </w:rPr>
        <w:t xml:space="preserve">The need to establish a durable peace and stop future hostilities from erupting was one of the post-war era's most urgent issues. </w:t>
      </w:r>
    </w:p>
    <w:p w14:paraId="01F78522" w14:textId="77777777" w:rsidR="00076C81" w:rsidRDefault="00076C81" w:rsidP="00076C81">
      <w:pPr>
        <w:spacing w:line="480" w:lineRule="auto"/>
        <w:rPr>
          <w:rFonts w:ascii="Times New Roman" w:hAnsi="Times New Roman" w:cs="Times New Roman"/>
          <w:sz w:val="24"/>
          <w:szCs w:val="24"/>
        </w:rPr>
      </w:pPr>
    </w:p>
    <w:p w14:paraId="2BFFC4AD" w14:textId="4224E857" w:rsidR="00076C81" w:rsidRDefault="006466D1" w:rsidP="00076C81">
      <w:pPr>
        <w:spacing w:line="480" w:lineRule="auto"/>
        <w:rPr>
          <w:rFonts w:ascii="Times New Roman" w:hAnsi="Times New Roman" w:cs="Times New Roman"/>
          <w:sz w:val="24"/>
          <w:szCs w:val="24"/>
        </w:rPr>
      </w:pPr>
      <w:r w:rsidRPr="006466D1">
        <w:rPr>
          <w:rFonts w:ascii="Times New Roman" w:hAnsi="Times New Roman" w:cs="Times New Roman"/>
          <w:sz w:val="24"/>
          <w:szCs w:val="24"/>
        </w:rPr>
        <w:t>Significance and Contribution:</w:t>
      </w:r>
    </w:p>
    <w:p w14:paraId="3B26FF97" w14:textId="5E2102AD" w:rsidR="000943FF" w:rsidRPr="000943FF" w:rsidRDefault="006466D1" w:rsidP="000943FF">
      <w:pPr>
        <w:spacing w:line="480" w:lineRule="auto"/>
        <w:ind w:firstLine="720"/>
        <w:rPr>
          <w:rFonts w:ascii="Times New Roman" w:hAnsi="Times New Roman" w:cs="Times New Roman"/>
          <w:sz w:val="24"/>
          <w:szCs w:val="24"/>
        </w:rPr>
      </w:pPr>
      <w:r w:rsidRPr="00E9469F">
        <w:rPr>
          <w:rFonts w:ascii="Times New Roman" w:hAnsi="Times New Roman" w:cs="Times New Roman"/>
          <w:sz w:val="24"/>
          <w:szCs w:val="24"/>
        </w:rPr>
        <w:t xml:space="preserve">The </w:t>
      </w:r>
      <w:r w:rsidRPr="00E9469F">
        <w:rPr>
          <w:rFonts w:ascii="Times New Roman" w:hAnsi="Times New Roman" w:cs="Times New Roman"/>
          <w:i/>
          <w:iCs/>
          <w:sz w:val="24"/>
          <w:szCs w:val="24"/>
        </w:rPr>
        <w:t>Letters of The Earl of Oxford and Asquith To A Friend: First Series 1915 – 1922</w:t>
      </w:r>
      <w:r w:rsidRPr="00E9469F">
        <w:rPr>
          <w:rFonts w:ascii="Times New Roman" w:hAnsi="Times New Roman" w:cs="Times New Roman"/>
          <w:sz w:val="24"/>
          <w:szCs w:val="24"/>
        </w:rPr>
        <w:t xml:space="preserve"> serves as a valuable resource for historians, scholars, and enthusiasts interested in British political history and the life of Herbert H. Asquith. </w:t>
      </w:r>
      <w:r w:rsidR="000943FF" w:rsidRPr="000943FF">
        <w:rPr>
          <w:rFonts w:ascii="Times New Roman" w:eastAsia="Times New Roman" w:hAnsi="Times New Roman" w:cs="Times New Roman"/>
          <w:sz w:val="24"/>
          <w:szCs w:val="24"/>
          <w:lang w:eastAsia="en-GB"/>
        </w:rPr>
        <w:t>This collection's capacity to offer a fuller picture of Herbert H. Asquith as a private person and political leader is among its most important contributions. Asquith offers readers an insight into his deepest thoughts and motivations by sharing his own thoughts, feelings, and reflections through his communication with</w:t>
      </w:r>
      <w:r w:rsidR="00106EFE">
        <w:rPr>
          <w:rFonts w:ascii="Times New Roman" w:eastAsia="Times New Roman" w:hAnsi="Times New Roman" w:cs="Times New Roman"/>
          <w:sz w:val="24"/>
          <w:szCs w:val="24"/>
          <w:lang w:eastAsia="en-GB"/>
        </w:rPr>
        <w:t xml:space="preserve"> his friends</w:t>
      </w:r>
      <w:r w:rsidR="000943FF" w:rsidRPr="000943FF">
        <w:rPr>
          <w:rFonts w:ascii="Times New Roman" w:eastAsia="Times New Roman" w:hAnsi="Times New Roman" w:cs="Times New Roman"/>
          <w:sz w:val="24"/>
          <w:szCs w:val="24"/>
          <w:lang w:eastAsia="en-GB"/>
        </w:rPr>
        <w:t xml:space="preserve">. Historians and academics can better comprehend Asquith's character, temperament, and leadership style by examining his private letters, which also </w:t>
      </w:r>
      <w:r w:rsidR="000943FF">
        <w:rPr>
          <w:rFonts w:ascii="Times New Roman" w:eastAsia="Times New Roman" w:hAnsi="Times New Roman" w:cs="Times New Roman"/>
          <w:sz w:val="24"/>
          <w:szCs w:val="24"/>
          <w:lang w:eastAsia="en-GB"/>
        </w:rPr>
        <w:t>contribute</w:t>
      </w:r>
      <w:r w:rsidR="000943FF" w:rsidRPr="000943FF">
        <w:rPr>
          <w:rFonts w:ascii="Times New Roman" w:eastAsia="Times New Roman" w:hAnsi="Times New Roman" w:cs="Times New Roman"/>
          <w:sz w:val="24"/>
          <w:szCs w:val="24"/>
          <w:lang w:eastAsia="en-GB"/>
        </w:rPr>
        <w:t xml:space="preserve"> to our knowledge of his significance in British political history.</w:t>
      </w:r>
      <w:r w:rsidR="000943FF">
        <w:rPr>
          <w:rFonts w:ascii="Times New Roman" w:eastAsia="Times New Roman" w:hAnsi="Times New Roman" w:cs="Times New Roman"/>
          <w:sz w:val="24"/>
          <w:szCs w:val="24"/>
          <w:lang w:eastAsia="en-GB"/>
        </w:rPr>
        <w:t xml:space="preserve"> </w:t>
      </w:r>
      <w:r w:rsidR="000943FF" w:rsidRPr="000943FF">
        <w:rPr>
          <w:rFonts w:ascii="Times New Roman" w:eastAsia="Times New Roman" w:hAnsi="Times New Roman" w:cs="Times New Roman"/>
          <w:sz w:val="24"/>
          <w:szCs w:val="24"/>
          <w:lang w:eastAsia="en-GB"/>
        </w:rPr>
        <w:t xml:space="preserve">The collection also illuminates the friendships and personal connections that influenced Asquith's life and work. His letters to </w:t>
      </w:r>
      <w:r w:rsidR="00106EFE">
        <w:rPr>
          <w:rFonts w:ascii="Times New Roman" w:eastAsia="Times New Roman" w:hAnsi="Times New Roman" w:cs="Times New Roman"/>
          <w:sz w:val="24"/>
          <w:szCs w:val="24"/>
          <w:lang w:eastAsia="en-GB"/>
        </w:rPr>
        <w:t>his friends</w:t>
      </w:r>
      <w:r w:rsidR="000943FF" w:rsidRPr="000943FF">
        <w:rPr>
          <w:rFonts w:ascii="Times New Roman" w:eastAsia="Times New Roman" w:hAnsi="Times New Roman" w:cs="Times New Roman"/>
          <w:sz w:val="24"/>
          <w:szCs w:val="24"/>
          <w:lang w:eastAsia="en-GB"/>
        </w:rPr>
        <w:t xml:space="preserve"> demonstrate the closeness of their friendship and the assistance they </w:t>
      </w:r>
      <w:r w:rsidR="00106EFE">
        <w:rPr>
          <w:rFonts w:ascii="Times New Roman" w:eastAsia="Times New Roman" w:hAnsi="Times New Roman" w:cs="Times New Roman"/>
          <w:sz w:val="24"/>
          <w:szCs w:val="24"/>
          <w:lang w:eastAsia="en-GB"/>
        </w:rPr>
        <w:t>give</w:t>
      </w:r>
      <w:r w:rsidR="000943FF" w:rsidRPr="000943FF">
        <w:rPr>
          <w:rFonts w:ascii="Times New Roman" w:eastAsia="Times New Roman" w:hAnsi="Times New Roman" w:cs="Times New Roman"/>
          <w:sz w:val="24"/>
          <w:szCs w:val="24"/>
          <w:lang w:eastAsia="en-GB"/>
        </w:rPr>
        <w:t xml:space="preserve"> to each other in difficult times. Historians and academics are better able to understand the human side of political leadership and the significance of personal networks and allies in influencing historical events by delving into Asquith's relationships and networks.</w:t>
      </w:r>
    </w:p>
    <w:p w14:paraId="5C12EAFC" w14:textId="77777777" w:rsidR="000943FF" w:rsidRDefault="000943FF" w:rsidP="00076C81">
      <w:pPr>
        <w:spacing w:line="480" w:lineRule="auto"/>
        <w:ind w:firstLine="720"/>
        <w:rPr>
          <w:rFonts w:ascii="Times New Roman" w:hAnsi="Times New Roman" w:cs="Times New Roman"/>
          <w:sz w:val="24"/>
          <w:szCs w:val="24"/>
        </w:rPr>
      </w:pPr>
    </w:p>
    <w:p w14:paraId="0294BD1B" w14:textId="77777777" w:rsidR="00106EFE" w:rsidRDefault="00106EFE" w:rsidP="00076C81">
      <w:pPr>
        <w:spacing w:line="480" w:lineRule="auto"/>
        <w:ind w:firstLine="720"/>
        <w:rPr>
          <w:rFonts w:ascii="Times New Roman" w:hAnsi="Times New Roman" w:cs="Times New Roman"/>
          <w:sz w:val="24"/>
          <w:szCs w:val="24"/>
        </w:rPr>
      </w:pPr>
    </w:p>
    <w:p w14:paraId="30E46839" w14:textId="73CAC8DC" w:rsidR="006466D1" w:rsidRPr="00712443" w:rsidRDefault="006466D1" w:rsidP="00712443">
      <w:pPr>
        <w:spacing w:line="480" w:lineRule="auto"/>
        <w:rPr>
          <w:rFonts w:ascii="Times New Roman" w:hAnsi="Times New Roman" w:cs="Times New Roman"/>
          <w:b/>
          <w:bCs/>
          <w:sz w:val="24"/>
          <w:szCs w:val="24"/>
        </w:rPr>
      </w:pPr>
      <w:r w:rsidRPr="00712443">
        <w:rPr>
          <w:rFonts w:ascii="Times New Roman" w:hAnsi="Times New Roman" w:cs="Times New Roman"/>
          <w:b/>
          <w:bCs/>
          <w:sz w:val="24"/>
          <w:szCs w:val="24"/>
        </w:rPr>
        <w:lastRenderedPageBreak/>
        <w:t>Conclusion:</w:t>
      </w:r>
    </w:p>
    <w:p w14:paraId="5C85EF85" w14:textId="58B41656" w:rsidR="00E9469F" w:rsidRPr="00E9469F" w:rsidRDefault="00E9469F" w:rsidP="00E9469F">
      <w:pPr>
        <w:spacing w:after="0" w:line="480" w:lineRule="auto"/>
        <w:ind w:firstLine="720"/>
        <w:rPr>
          <w:rFonts w:ascii="Times New Roman" w:eastAsia="Times New Roman" w:hAnsi="Times New Roman" w:cs="Times New Roman"/>
          <w:sz w:val="24"/>
          <w:szCs w:val="24"/>
          <w:lang w:eastAsia="en-GB"/>
        </w:rPr>
      </w:pPr>
      <w:r w:rsidRPr="00E9469F">
        <w:rPr>
          <w:rFonts w:ascii="Times New Roman" w:eastAsia="Times New Roman" w:hAnsi="Times New Roman" w:cs="Times New Roman"/>
          <w:sz w:val="24"/>
          <w:szCs w:val="24"/>
          <w:lang w:eastAsia="en-GB"/>
        </w:rPr>
        <w:t>In conclusion, the Earl of Oxford and Herbert H. Asquith's communication offers an engrossing and perceptive portrait of a crucial character in British political history. One of Britain's most important leaders throughout World War I and the interwar years, Asquith's relationships, leadership, and personality are vividly brought to life via his writings, providing readers with an insightful look into his inner workings.</w:t>
      </w:r>
      <w:r>
        <w:rPr>
          <w:rFonts w:ascii="Times New Roman" w:eastAsia="Times New Roman" w:hAnsi="Times New Roman" w:cs="Times New Roman"/>
          <w:sz w:val="24"/>
          <w:szCs w:val="24"/>
          <w:lang w:eastAsia="en-GB"/>
        </w:rPr>
        <w:t xml:space="preserve"> </w:t>
      </w:r>
      <w:r w:rsidRPr="00E9469F">
        <w:rPr>
          <w:rFonts w:ascii="Times New Roman" w:eastAsia="Times New Roman" w:hAnsi="Times New Roman" w:cs="Times New Roman"/>
          <w:sz w:val="24"/>
          <w:szCs w:val="24"/>
          <w:lang w:eastAsia="en-GB"/>
        </w:rPr>
        <w:t>The collection provides evidence of the continuing value of private letters in comprehending the nuances of historical people and events. Asquith's private conversations with the Earl of Oxford shed light on the depth of his friendships, the difficulties he encountered as a leader, and the introspective thoughts that influenced his choices during a turbulent time in British history.</w:t>
      </w:r>
    </w:p>
    <w:p w14:paraId="68E0CEB8" w14:textId="77777777" w:rsidR="00B550AD" w:rsidRDefault="00B550AD">
      <w:pPr>
        <w:rPr>
          <w:rFonts w:ascii="Times New Roman" w:hAnsi="Times New Roman" w:cs="Times New Roman"/>
          <w:b/>
          <w:bCs/>
          <w:sz w:val="24"/>
          <w:szCs w:val="24"/>
        </w:rPr>
      </w:pPr>
    </w:p>
    <w:p w14:paraId="7C78B99A" w14:textId="77777777" w:rsidR="00B550AD" w:rsidRDefault="00B550AD">
      <w:pPr>
        <w:rPr>
          <w:rFonts w:ascii="Times New Roman" w:hAnsi="Times New Roman" w:cs="Times New Roman"/>
          <w:b/>
          <w:bCs/>
          <w:sz w:val="24"/>
          <w:szCs w:val="24"/>
        </w:rPr>
      </w:pPr>
    </w:p>
    <w:p w14:paraId="7155ECD5" w14:textId="1367496E" w:rsidR="003B1545" w:rsidRDefault="00F761A4">
      <w:pPr>
        <w:rPr>
          <w:rFonts w:ascii="Times New Roman" w:hAnsi="Times New Roman" w:cs="Times New Roman"/>
          <w:b/>
          <w:bCs/>
          <w:sz w:val="24"/>
          <w:szCs w:val="24"/>
        </w:rPr>
      </w:pPr>
      <w:r w:rsidRPr="00F761A4">
        <w:rPr>
          <w:rFonts w:ascii="Times New Roman" w:hAnsi="Times New Roman" w:cs="Times New Roman"/>
          <w:b/>
          <w:bCs/>
          <w:sz w:val="24"/>
          <w:szCs w:val="24"/>
        </w:rPr>
        <w:t>Reference</w:t>
      </w:r>
    </w:p>
    <w:p w14:paraId="2FEC55EF" w14:textId="74F12E83" w:rsidR="00F761A4" w:rsidRDefault="00F761A4">
      <w:pPr>
        <w:rPr>
          <w:rFonts w:ascii="Times New Roman" w:hAnsi="Times New Roman" w:cs="Times New Roman"/>
          <w:sz w:val="24"/>
          <w:szCs w:val="24"/>
        </w:rPr>
      </w:pPr>
      <w:bookmarkStart w:id="7" w:name="_Hlk165367231"/>
      <w:r w:rsidRPr="00F761A4">
        <w:rPr>
          <w:rFonts w:ascii="Times New Roman" w:hAnsi="Times New Roman" w:cs="Times New Roman"/>
          <w:sz w:val="24"/>
          <w:szCs w:val="24"/>
        </w:rPr>
        <w:t>A</w:t>
      </w:r>
      <w:r>
        <w:rPr>
          <w:rFonts w:ascii="Times New Roman" w:hAnsi="Times New Roman" w:cs="Times New Roman"/>
          <w:sz w:val="24"/>
          <w:szCs w:val="24"/>
        </w:rPr>
        <w:t xml:space="preserve">squith, </w:t>
      </w:r>
      <w:r w:rsidR="00B550AD">
        <w:rPr>
          <w:rFonts w:ascii="Times New Roman" w:hAnsi="Times New Roman" w:cs="Times New Roman"/>
          <w:sz w:val="24"/>
          <w:szCs w:val="24"/>
        </w:rPr>
        <w:t xml:space="preserve">Herbert, H., </w:t>
      </w:r>
      <w:r w:rsidR="00B550AD">
        <w:rPr>
          <w:rFonts w:ascii="Times New Roman" w:hAnsi="Times New Roman" w:cs="Times New Roman"/>
          <w:i/>
          <w:iCs/>
          <w:sz w:val="24"/>
          <w:szCs w:val="24"/>
        </w:rPr>
        <w:t xml:space="preserve">Letters of The Earl of Oxford and Asquith To A Friend: Fist Series 1915 – 1922 </w:t>
      </w:r>
      <w:r w:rsidR="00B550AD">
        <w:rPr>
          <w:rFonts w:ascii="Times New Roman" w:hAnsi="Times New Roman" w:cs="Times New Roman"/>
          <w:sz w:val="24"/>
          <w:szCs w:val="24"/>
        </w:rPr>
        <w:t>(London: Geoffrey Bles, 1933)</w:t>
      </w:r>
    </w:p>
    <w:bookmarkEnd w:id="7"/>
    <w:p w14:paraId="47A585B7" w14:textId="77777777" w:rsidR="00866EAC" w:rsidRDefault="00866EAC">
      <w:pPr>
        <w:rPr>
          <w:rFonts w:ascii="Times New Roman" w:hAnsi="Times New Roman" w:cs="Times New Roman"/>
          <w:sz w:val="24"/>
          <w:szCs w:val="24"/>
        </w:rPr>
      </w:pPr>
    </w:p>
    <w:p w14:paraId="22C090E7" w14:textId="77777777" w:rsidR="00866EAC" w:rsidRDefault="00866EAC">
      <w:pPr>
        <w:rPr>
          <w:rFonts w:ascii="Times New Roman" w:hAnsi="Times New Roman" w:cs="Times New Roman"/>
          <w:sz w:val="24"/>
          <w:szCs w:val="24"/>
        </w:rPr>
      </w:pPr>
    </w:p>
    <w:p w14:paraId="66F2B8EB" w14:textId="77777777" w:rsidR="00866EAC" w:rsidRDefault="00866EAC">
      <w:pPr>
        <w:rPr>
          <w:rFonts w:ascii="Times New Roman" w:hAnsi="Times New Roman" w:cs="Times New Roman"/>
          <w:sz w:val="24"/>
          <w:szCs w:val="24"/>
        </w:rPr>
      </w:pPr>
    </w:p>
    <w:p w14:paraId="6BD814EE" w14:textId="77777777" w:rsidR="00866EAC" w:rsidRDefault="00866EAC" w:rsidP="00866EAC"/>
    <w:p w14:paraId="516824F0" w14:textId="77777777" w:rsidR="00866EAC" w:rsidRDefault="00866EAC" w:rsidP="00866EAC"/>
    <w:p w14:paraId="67A04740" w14:textId="77777777" w:rsidR="00866EAC" w:rsidRDefault="00866EAC" w:rsidP="00866EAC"/>
    <w:p w14:paraId="75D1FB64" w14:textId="77777777" w:rsidR="00866EAC" w:rsidRDefault="00866EAC" w:rsidP="00866EAC"/>
    <w:p w14:paraId="64AAE293" w14:textId="61CB8EDF" w:rsidR="00866EAC" w:rsidRDefault="000943FF" w:rsidP="00866EAC">
      <w:r>
        <w:br/>
      </w:r>
    </w:p>
    <w:p w14:paraId="76BCD937" w14:textId="2298FA6B" w:rsidR="00866EAC" w:rsidRDefault="000943FF" w:rsidP="00866EAC">
      <w:r>
        <w:br/>
      </w:r>
    </w:p>
    <w:p w14:paraId="26CE1FFF" w14:textId="77777777" w:rsidR="00866EAC" w:rsidRDefault="00866EAC" w:rsidP="00866EAC"/>
    <w:p w14:paraId="706C80E5" w14:textId="77777777" w:rsidR="00866EAC" w:rsidRPr="00B550AD" w:rsidRDefault="00866EAC">
      <w:pPr>
        <w:rPr>
          <w:rFonts w:ascii="Times New Roman" w:hAnsi="Times New Roman" w:cs="Times New Roman"/>
          <w:sz w:val="24"/>
          <w:szCs w:val="24"/>
        </w:rPr>
      </w:pPr>
    </w:p>
    <w:sectPr w:rsidR="00866EAC" w:rsidRPr="00B550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8E68D5" w14:textId="77777777" w:rsidR="00B42210" w:rsidRDefault="00B42210" w:rsidP="00B42210">
      <w:pPr>
        <w:spacing w:after="0" w:line="240" w:lineRule="auto"/>
      </w:pPr>
      <w:r>
        <w:separator/>
      </w:r>
    </w:p>
  </w:endnote>
  <w:endnote w:type="continuationSeparator" w:id="0">
    <w:p w14:paraId="3B587265" w14:textId="77777777" w:rsidR="00B42210" w:rsidRDefault="00B42210" w:rsidP="00B42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6599CF" w14:textId="77777777" w:rsidR="00B42210" w:rsidRDefault="00B42210" w:rsidP="00B42210">
      <w:pPr>
        <w:spacing w:after="0" w:line="240" w:lineRule="auto"/>
      </w:pPr>
      <w:r>
        <w:separator/>
      </w:r>
    </w:p>
  </w:footnote>
  <w:footnote w:type="continuationSeparator" w:id="0">
    <w:p w14:paraId="5E83218B" w14:textId="77777777" w:rsidR="00B42210" w:rsidRDefault="00B42210" w:rsidP="00B42210">
      <w:pPr>
        <w:spacing w:after="0" w:line="240" w:lineRule="auto"/>
      </w:pPr>
      <w:r>
        <w:continuationSeparator/>
      </w:r>
    </w:p>
  </w:footnote>
  <w:footnote w:id="1">
    <w:p w14:paraId="6040988F" w14:textId="73E1EA40" w:rsidR="00B42210" w:rsidRDefault="00B42210">
      <w:pPr>
        <w:pStyle w:val="FootnoteText"/>
      </w:pPr>
      <w:r>
        <w:rPr>
          <w:rStyle w:val="FootnoteReference"/>
        </w:rPr>
        <w:footnoteRef/>
      </w:r>
      <w:r>
        <w:t xml:space="preserve"> </w:t>
      </w:r>
      <w:bookmarkStart w:id="0" w:name="_Hlk165285844"/>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sidRPr="00124D20">
        <w:rPr>
          <w:rFonts w:ascii="Times New Roman" w:eastAsia="Times New Roman" w:hAnsi="Times New Roman" w:cs="Times New Roman"/>
          <w:sz w:val="18"/>
          <w:szCs w:val="18"/>
          <w:lang w:eastAsia="en-GB"/>
        </w:rPr>
        <w:t xml:space="preserve"> (London: Croom Helm [for] the Imperial War Museum, 1977)</w:t>
      </w:r>
      <w:r>
        <w:rPr>
          <w:rFonts w:ascii="Times New Roman" w:eastAsia="Times New Roman" w:hAnsi="Times New Roman" w:cs="Times New Roman"/>
          <w:sz w:val="18"/>
          <w:szCs w:val="18"/>
          <w:lang w:eastAsia="en-GB"/>
        </w:rPr>
        <w:t>, p. 16.</w:t>
      </w:r>
      <w:bookmarkEnd w:id="0"/>
    </w:p>
  </w:footnote>
  <w:footnote w:id="2">
    <w:p w14:paraId="692A2AD9" w14:textId="7DBD14C2" w:rsidR="008F22EA" w:rsidRDefault="008F22EA">
      <w:pPr>
        <w:pStyle w:val="FootnoteText"/>
      </w:pPr>
      <w:r>
        <w:rPr>
          <w:rStyle w:val="FootnoteReference"/>
        </w:rPr>
        <w:footnoteRef/>
      </w:r>
      <w:r>
        <w:t xml:space="preserve"> </w:t>
      </w:r>
      <w:bookmarkStart w:id="1" w:name="_Hlk165286725"/>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w:t>
      </w:r>
      <w:r w:rsidR="002923DA">
        <w:rPr>
          <w:rFonts w:ascii="Times New Roman" w:eastAsia="Times New Roman" w:hAnsi="Times New Roman" w:cs="Times New Roman"/>
          <w:sz w:val="18"/>
          <w:szCs w:val="18"/>
          <w:lang w:eastAsia="en-GB"/>
        </w:rPr>
        <w:t xml:space="preserve"> </w:t>
      </w:r>
      <w:r>
        <w:rPr>
          <w:rFonts w:ascii="Times New Roman" w:eastAsia="Times New Roman" w:hAnsi="Times New Roman" w:cs="Times New Roman"/>
          <w:sz w:val="18"/>
          <w:szCs w:val="18"/>
          <w:lang w:eastAsia="en-GB"/>
        </w:rPr>
        <w:t>p. 16</w:t>
      </w:r>
      <w:r w:rsidR="002923DA">
        <w:rPr>
          <w:rFonts w:ascii="Times New Roman" w:eastAsia="Times New Roman" w:hAnsi="Times New Roman" w:cs="Times New Roman"/>
          <w:sz w:val="18"/>
          <w:szCs w:val="18"/>
          <w:lang w:eastAsia="en-GB"/>
        </w:rPr>
        <w:t>7 - 168</w:t>
      </w:r>
      <w:r>
        <w:rPr>
          <w:rFonts w:ascii="Times New Roman" w:eastAsia="Times New Roman" w:hAnsi="Times New Roman" w:cs="Times New Roman"/>
          <w:sz w:val="18"/>
          <w:szCs w:val="18"/>
          <w:lang w:eastAsia="en-GB"/>
        </w:rPr>
        <w:t>.</w:t>
      </w:r>
      <w:bookmarkEnd w:id="1"/>
    </w:p>
  </w:footnote>
  <w:footnote w:id="3">
    <w:p w14:paraId="2A94506C" w14:textId="5905F912" w:rsidR="00D15F70" w:rsidRDefault="00D15F70">
      <w:pPr>
        <w:pStyle w:val="FootnoteText"/>
      </w:pPr>
      <w:r>
        <w:rPr>
          <w:rStyle w:val="FootnoteReference"/>
        </w:rPr>
        <w:footnoteRef/>
      </w:r>
      <w:r>
        <w:t xml:space="preserve"> </w:t>
      </w:r>
      <w:bookmarkStart w:id="2" w:name="_Hlk165287329"/>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166.</w:t>
      </w:r>
      <w:bookmarkEnd w:id="2"/>
    </w:p>
  </w:footnote>
  <w:footnote w:id="4">
    <w:p w14:paraId="1EAAFB6E" w14:textId="1FF6B7C4" w:rsidR="006135AD" w:rsidRDefault="006135AD">
      <w:pPr>
        <w:pStyle w:val="FootnoteText"/>
      </w:pPr>
      <w:r>
        <w:rPr>
          <w:rStyle w:val="FootnoteReference"/>
        </w:rPr>
        <w:footnoteRef/>
      </w:r>
      <w:r>
        <w:t xml:space="preserve"> </w:t>
      </w:r>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162.</w:t>
      </w:r>
    </w:p>
  </w:footnote>
  <w:footnote w:id="5">
    <w:p w14:paraId="01A3BE97" w14:textId="559D6EE2" w:rsidR="006135AD" w:rsidRDefault="006135AD">
      <w:pPr>
        <w:pStyle w:val="FootnoteText"/>
      </w:pPr>
      <w:r>
        <w:rPr>
          <w:rStyle w:val="FootnoteReference"/>
        </w:rPr>
        <w:footnoteRef/>
      </w:r>
      <w:r>
        <w:t xml:space="preserve"> </w:t>
      </w:r>
      <w:bookmarkStart w:id="3" w:name="_Hlk165287722"/>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163.</w:t>
      </w:r>
      <w:bookmarkEnd w:id="3"/>
    </w:p>
  </w:footnote>
  <w:footnote w:id="6">
    <w:p w14:paraId="601592FB" w14:textId="2E2EA248" w:rsidR="00EB64CD" w:rsidRDefault="00EB64CD">
      <w:pPr>
        <w:pStyle w:val="FootnoteText"/>
      </w:pPr>
      <w:r>
        <w:rPr>
          <w:rStyle w:val="FootnoteReference"/>
        </w:rPr>
        <w:footnoteRef/>
      </w:r>
      <w:r>
        <w:t xml:space="preserve"> </w:t>
      </w:r>
      <w:bookmarkStart w:id="4" w:name="_Hlk165290099"/>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68.</w:t>
      </w:r>
    </w:p>
    <w:bookmarkEnd w:id="4"/>
  </w:footnote>
  <w:footnote w:id="7">
    <w:p w14:paraId="6813A65D" w14:textId="1CEC92DB" w:rsidR="007E6C2B" w:rsidRDefault="007E6C2B">
      <w:pPr>
        <w:pStyle w:val="FootnoteText"/>
      </w:pPr>
      <w:r>
        <w:rPr>
          <w:rStyle w:val="FootnoteReference"/>
        </w:rPr>
        <w:footnoteRef/>
      </w:r>
      <w:r>
        <w:t xml:space="preserve"> </w:t>
      </w:r>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156 – 157.</w:t>
      </w:r>
    </w:p>
  </w:footnote>
  <w:footnote w:id="8">
    <w:p w14:paraId="602E0CC5" w14:textId="06C78007" w:rsidR="0093428E" w:rsidRDefault="0093428E" w:rsidP="0093428E">
      <w:pPr>
        <w:pStyle w:val="FootnoteText"/>
      </w:pPr>
      <w:r>
        <w:rPr>
          <w:rStyle w:val="FootnoteReference"/>
        </w:rPr>
        <w:footnoteRef/>
      </w:r>
      <w:r>
        <w:t xml:space="preserve"> </w:t>
      </w:r>
      <w:bookmarkStart w:id="5" w:name="_Hlk165291427"/>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60 - 67.</w:t>
      </w:r>
      <w:bookmarkEnd w:id="5"/>
    </w:p>
    <w:p w14:paraId="67BC91EE" w14:textId="61ACD3AE" w:rsidR="0093428E" w:rsidRDefault="0093428E">
      <w:pPr>
        <w:pStyle w:val="FootnoteText"/>
      </w:pPr>
    </w:p>
  </w:footnote>
  <w:footnote w:id="9">
    <w:p w14:paraId="491AC104" w14:textId="7D03291A" w:rsidR="00F761A4" w:rsidRDefault="00F761A4">
      <w:pPr>
        <w:pStyle w:val="FootnoteText"/>
      </w:pPr>
      <w:r>
        <w:rPr>
          <w:rStyle w:val="FootnoteReference"/>
        </w:rPr>
        <w:footnoteRef/>
      </w:r>
      <w:r>
        <w:t xml:space="preserve"> </w:t>
      </w:r>
      <w:r w:rsidRPr="004A7A06">
        <w:rPr>
          <w:rFonts w:ascii="Times New Roman" w:hAnsi="Times New Roman" w:cs="Times New Roman"/>
          <w:sz w:val="18"/>
          <w:szCs w:val="18"/>
        </w:rPr>
        <w:t xml:space="preserve">Arthur </w:t>
      </w:r>
      <w:r w:rsidRPr="00124D20">
        <w:rPr>
          <w:rFonts w:ascii="Times New Roman" w:eastAsia="Times New Roman" w:hAnsi="Times New Roman" w:cs="Times New Roman"/>
          <w:sz w:val="18"/>
          <w:szCs w:val="18"/>
          <w:lang w:eastAsia="en-GB"/>
        </w:rPr>
        <w:t xml:space="preserve">Marwick, </w:t>
      </w:r>
      <w:r w:rsidRPr="00124D20">
        <w:rPr>
          <w:rFonts w:ascii="Times New Roman" w:eastAsia="Times New Roman" w:hAnsi="Times New Roman" w:cs="Times New Roman"/>
          <w:i/>
          <w:iCs/>
          <w:sz w:val="18"/>
          <w:szCs w:val="18"/>
          <w:lang w:eastAsia="en-GB"/>
        </w:rPr>
        <w:t>Women at War, 1914-1918</w:t>
      </w:r>
      <w:r>
        <w:rPr>
          <w:rFonts w:ascii="Times New Roman" w:eastAsia="Times New Roman" w:hAnsi="Times New Roman" w:cs="Times New Roman"/>
          <w:sz w:val="18"/>
          <w:szCs w:val="18"/>
          <w:lang w:eastAsia="en-GB"/>
        </w:rPr>
        <w:t>, p. 140 – 141.</w:t>
      </w:r>
    </w:p>
  </w:footnote>
  <w:footnote w:id="10">
    <w:p w14:paraId="28D1165B" w14:textId="5E263BCE" w:rsidR="00A47481" w:rsidRDefault="00A47481">
      <w:pPr>
        <w:pStyle w:val="FootnoteText"/>
      </w:pPr>
      <w:r>
        <w:rPr>
          <w:rStyle w:val="FootnoteReference"/>
        </w:rPr>
        <w:footnoteRef/>
      </w:r>
      <w:r>
        <w:t xml:space="preserve"> </w:t>
      </w:r>
      <w:r w:rsidRPr="005A1635">
        <w:rPr>
          <w:rFonts w:ascii="Times New Roman" w:hAnsi="Times New Roman" w:cs="Times New Roman"/>
          <w:sz w:val="18"/>
          <w:szCs w:val="18"/>
        </w:rPr>
        <w:t xml:space="preserve">Herbert H. Asquith, </w:t>
      </w:r>
      <w:r w:rsidRPr="005A1635">
        <w:rPr>
          <w:rFonts w:ascii="Times New Roman" w:hAnsi="Times New Roman" w:cs="Times New Roman"/>
          <w:i/>
          <w:iCs/>
          <w:sz w:val="18"/>
          <w:szCs w:val="18"/>
        </w:rPr>
        <w:t xml:space="preserve">Letters of The Earl of Oxford and Asquith To A Friend: Fist Series 1915 – 1922 </w:t>
      </w:r>
      <w:r w:rsidRPr="005A1635">
        <w:rPr>
          <w:rFonts w:ascii="Times New Roman" w:hAnsi="Times New Roman" w:cs="Times New Roman"/>
          <w:sz w:val="18"/>
          <w:szCs w:val="18"/>
        </w:rPr>
        <w:t xml:space="preserve">(London: Geoffrey Bles, 1933), p. </w:t>
      </w:r>
      <w:r>
        <w:rPr>
          <w:rFonts w:ascii="Times New Roman" w:hAnsi="Times New Roman" w:cs="Times New Roman"/>
          <w:sz w:val="18"/>
          <w:szCs w:val="18"/>
        </w:rPr>
        <w:t>6</w:t>
      </w:r>
      <w:r w:rsidRPr="005A1635">
        <w:rPr>
          <w:rFonts w:ascii="Times New Roman" w:hAnsi="Times New Roman" w:cs="Times New Roman"/>
          <w:sz w:val="18"/>
          <w:szCs w:val="18"/>
        </w:rPr>
        <w:t>.</w:t>
      </w:r>
    </w:p>
  </w:footnote>
  <w:footnote w:id="11">
    <w:p w14:paraId="0A90A144" w14:textId="01FD83A4" w:rsidR="005A1635" w:rsidRDefault="005A1635" w:rsidP="005A1635">
      <w:pPr>
        <w:rPr>
          <w:rFonts w:ascii="Times New Roman" w:hAnsi="Times New Roman" w:cs="Times New Roman"/>
          <w:sz w:val="24"/>
          <w:szCs w:val="24"/>
        </w:rPr>
      </w:pPr>
      <w:r>
        <w:rPr>
          <w:rStyle w:val="FootnoteReference"/>
        </w:rPr>
        <w:footnoteRef/>
      </w:r>
      <w:r>
        <w:t xml:space="preserve"> </w:t>
      </w:r>
      <w:bookmarkStart w:id="6" w:name="_Hlk165368162"/>
      <w:r w:rsidRPr="005A1635">
        <w:rPr>
          <w:rFonts w:ascii="Times New Roman" w:hAnsi="Times New Roman" w:cs="Times New Roman"/>
          <w:sz w:val="18"/>
          <w:szCs w:val="18"/>
        </w:rPr>
        <w:t xml:space="preserve">Herbert H. Asquith, </w:t>
      </w:r>
      <w:r w:rsidRPr="005A1635">
        <w:rPr>
          <w:rFonts w:ascii="Times New Roman" w:hAnsi="Times New Roman" w:cs="Times New Roman"/>
          <w:i/>
          <w:iCs/>
          <w:sz w:val="18"/>
          <w:szCs w:val="18"/>
        </w:rPr>
        <w:t xml:space="preserve">Letters of The Earl of Oxford and Asquith To A Friend: Fist Series 1915 – 1922 </w:t>
      </w:r>
      <w:r w:rsidRPr="005A1635">
        <w:rPr>
          <w:rFonts w:ascii="Times New Roman" w:hAnsi="Times New Roman" w:cs="Times New Roman"/>
          <w:sz w:val="18"/>
          <w:szCs w:val="18"/>
        </w:rPr>
        <w:t>(London: Geoffrey Bles, 1933), p. 10.</w:t>
      </w:r>
      <w:bookmarkEnd w:id="6"/>
    </w:p>
    <w:p w14:paraId="2BB34CF1" w14:textId="698764B3" w:rsidR="005A1635" w:rsidRDefault="005A163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1EF39DC"/>
    <w:multiLevelType w:val="multilevel"/>
    <w:tmpl w:val="BEDA6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57507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6E0"/>
    <w:rsid w:val="0003418D"/>
    <w:rsid w:val="00076C81"/>
    <w:rsid w:val="00084D87"/>
    <w:rsid w:val="000943FF"/>
    <w:rsid w:val="000E55D5"/>
    <w:rsid w:val="000F3A44"/>
    <w:rsid w:val="00106EFE"/>
    <w:rsid w:val="00167A2C"/>
    <w:rsid w:val="001B54AB"/>
    <w:rsid w:val="00207DCD"/>
    <w:rsid w:val="00251E89"/>
    <w:rsid w:val="002923DA"/>
    <w:rsid w:val="003272A5"/>
    <w:rsid w:val="003B1545"/>
    <w:rsid w:val="005A1635"/>
    <w:rsid w:val="006135AD"/>
    <w:rsid w:val="006466D1"/>
    <w:rsid w:val="006542A3"/>
    <w:rsid w:val="00663FD2"/>
    <w:rsid w:val="00712443"/>
    <w:rsid w:val="00734221"/>
    <w:rsid w:val="00773531"/>
    <w:rsid w:val="007E6C2B"/>
    <w:rsid w:val="0082049D"/>
    <w:rsid w:val="008238D7"/>
    <w:rsid w:val="00866EAC"/>
    <w:rsid w:val="008F22EA"/>
    <w:rsid w:val="0093428E"/>
    <w:rsid w:val="00962DF0"/>
    <w:rsid w:val="009C239C"/>
    <w:rsid w:val="00A47481"/>
    <w:rsid w:val="00B42210"/>
    <w:rsid w:val="00B550AD"/>
    <w:rsid w:val="00BF4F1F"/>
    <w:rsid w:val="00D15F70"/>
    <w:rsid w:val="00E56FD9"/>
    <w:rsid w:val="00E616E0"/>
    <w:rsid w:val="00E9469F"/>
    <w:rsid w:val="00EB64CD"/>
    <w:rsid w:val="00F25E69"/>
    <w:rsid w:val="00F76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AA8581"/>
  <w15:chartTrackingRefBased/>
  <w15:docId w15:val="{6FDBD329-8814-4411-A571-7E3F7A94D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16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6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6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6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6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6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6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6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6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6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6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6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6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6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6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6E0"/>
    <w:rPr>
      <w:rFonts w:eastAsiaTheme="majorEastAsia" w:cstheme="majorBidi"/>
      <w:color w:val="272727" w:themeColor="text1" w:themeTint="D8"/>
    </w:rPr>
  </w:style>
  <w:style w:type="paragraph" w:styleId="Title">
    <w:name w:val="Title"/>
    <w:basedOn w:val="Normal"/>
    <w:next w:val="Normal"/>
    <w:link w:val="TitleChar"/>
    <w:uiPriority w:val="10"/>
    <w:qFormat/>
    <w:rsid w:val="00E616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6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6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6E0"/>
    <w:pPr>
      <w:spacing w:before="160"/>
      <w:jc w:val="center"/>
    </w:pPr>
    <w:rPr>
      <w:i/>
      <w:iCs/>
      <w:color w:val="404040" w:themeColor="text1" w:themeTint="BF"/>
    </w:rPr>
  </w:style>
  <w:style w:type="character" w:customStyle="1" w:styleId="QuoteChar">
    <w:name w:val="Quote Char"/>
    <w:basedOn w:val="DefaultParagraphFont"/>
    <w:link w:val="Quote"/>
    <w:uiPriority w:val="29"/>
    <w:rsid w:val="00E616E0"/>
    <w:rPr>
      <w:i/>
      <w:iCs/>
      <w:color w:val="404040" w:themeColor="text1" w:themeTint="BF"/>
    </w:rPr>
  </w:style>
  <w:style w:type="paragraph" w:styleId="ListParagraph">
    <w:name w:val="List Paragraph"/>
    <w:basedOn w:val="Normal"/>
    <w:uiPriority w:val="34"/>
    <w:qFormat/>
    <w:rsid w:val="00E616E0"/>
    <w:pPr>
      <w:ind w:left="720"/>
      <w:contextualSpacing/>
    </w:pPr>
  </w:style>
  <w:style w:type="character" w:styleId="IntenseEmphasis">
    <w:name w:val="Intense Emphasis"/>
    <w:basedOn w:val="DefaultParagraphFont"/>
    <w:uiPriority w:val="21"/>
    <w:qFormat/>
    <w:rsid w:val="00E616E0"/>
    <w:rPr>
      <w:i/>
      <w:iCs/>
      <w:color w:val="0F4761" w:themeColor="accent1" w:themeShade="BF"/>
    </w:rPr>
  </w:style>
  <w:style w:type="paragraph" w:styleId="IntenseQuote">
    <w:name w:val="Intense Quote"/>
    <w:basedOn w:val="Normal"/>
    <w:next w:val="Normal"/>
    <w:link w:val="IntenseQuoteChar"/>
    <w:uiPriority w:val="30"/>
    <w:qFormat/>
    <w:rsid w:val="00E61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6E0"/>
    <w:rPr>
      <w:i/>
      <w:iCs/>
      <w:color w:val="0F4761" w:themeColor="accent1" w:themeShade="BF"/>
    </w:rPr>
  </w:style>
  <w:style w:type="character" w:styleId="IntenseReference">
    <w:name w:val="Intense Reference"/>
    <w:basedOn w:val="DefaultParagraphFont"/>
    <w:uiPriority w:val="32"/>
    <w:qFormat/>
    <w:rsid w:val="00E616E0"/>
    <w:rPr>
      <w:b/>
      <w:bCs/>
      <w:smallCaps/>
      <w:color w:val="0F4761" w:themeColor="accent1" w:themeShade="BF"/>
      <w:spacing w:val="5"/>
    </w:rPr>
  </w:style>
  <w:style w:type="paragraph" w:styleId="FootnoteText">
    <w:name w:val="footnote text"/>
    <w:basedOn w:val="Normal"/>
    <w:link w:val="FootnoteTextChar"/>
    <w:uiPriority w:val="99"/>
    <w:semiHidden/>
    <w:unhideWhenUsed/>
    <w:rsid w:val="00B4221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2210"/>
    <w:rPr>
      <w:sz w:val="20"/>
      <w:szCs w:val="20"/>
    </w:rPr>
  </w:style>
  <w:style w:type="character" w:styleId="FootnoteReference">
    <w:name w:val="footnote reference"/>
    <w:basedOn w:val="DefaultParagraphFont"/>
    <w:uiPriority w:val="99"/>
    <w:semiHidden/>
    <w:unhideWhenUsed/>
    <w:rsid w:val="00B42210"/>
    <w:rPr>
      <w:vertAlign w:val="superscript"/>
    </w:rPr>
  </w:style>
  <w:style w:type="paragraph" w:styleId="NormalWeb">
    <w:name w:val="Normal (Web)"/>
    <w:basedOn w:val="Normal"/>
    <w:uiPriority w:val="99"/>
    <w:semiHidden/>
    <w:unhideWhenUsed/>
    <w:rsid w:val="006466D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466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9566">
      <w:bodyDiv w:val="1"/>
      <w:marLeft w:val="0"/>
      <w:marRight w:val="0"/>
      <w:marTop w:val="0"/>
      <w:marBottom w:val="0"/>
      <w:divBdr>
        <w:top w:val="none" w:sz="0" w:space="0" w:color="auto"/>
        <w:left w:val="none" w:sz="0" w:space="0" w:color="auto"/>
        <w:bottom w:val="none" w:sz="0" w:space="0" w:color="auto"/>
        <w:right w:val="none" w:sz="0" w:space="0" w:color="auto"/>
      </w:divBdr>
    </w:div>
    <w:div w:id="133766450">
      <w:bodyDiv w:val="1"/>
      <w:marLeft w:val="0"/>
      <w:marRight w:val="0"/>
      <w:marTop w:val="0"/>
      <w:marBottom w:val="0"/>
      <w:divBdr>
        <w:top w:val="none" w:sz="0" w:space="0" w:color="auto"/>
        <w:left w:val="none" w:sz="0" w:space="0" w:color="auto"/>
        <w:bottom w:val="none" w:sz="0" w:space="0" w:color="auto"/>
        <w:right w:val="none" w:sz="0" w:space="0" w:color="auto"/>
      </w:divBdr>
    </w:div>
    <w:div w:id="219904265">
      <w:bodyDiv w:val="1"/>
      <w:marLeft w:val="0"/>
      <w:marRight w:val="0"/>
      <w:marTop w:val="0"/>
      <w:marBottom w:val="0"/>
      <w:divBdr>
        <w:top w:val="none" w:sz="0" w:space="0" w:color="auto"/>
        <w:left w:val="none" w:sz="0" w:space="0" w:color="auto"/>
        <w:bottom w:val="none" w:sz="0" w:space="0" w:color="auto"/>
        <w:right w:val="none" w:sz="0" w:space="0" w:color="auto"/>
      </w:divBdr>
    </w:div>
    <w:div w:id="226578341">
      <w:bodyDiv w:val="1"/>
      <w:marLeft w:val="0"/>
      <w:marRight w:val="0"/>
      <w:marTop w:val="0"/>
      <w:marBottom w:val="0"/>
      <w:divBdr>
        <w:top w:val="none" w:sz="0" w:space="0" w:color="auto"/>
        <w:left w:val="none" w:sz="0" w:space="0" w:color="auto"/>
        <w:bottom w:val="none" w:sz="0" w:space="0" w:color="auto"/>
        <w:right w:val="none" w:sz="0" w:space="0" w:color="auto"/>
      </w:divBdr>
    </w:div>
    <w:div w:id="405031937">
      <w:bodyDiv w:val="1"/>
      <w:marLeft w:val="0"/>
      <w:marRight w:val="0"/>
      <w:marTop w:val="0"/>
      <w:marBottom w:val="0"/>
      <w:divBdr>
        <w:top w:val="none" w:sz="0" w:space="0" w:color="auto"/>
        <w:left w:val="none" w:sz="0" w:space="0" w:color="auto"/>
        <w:bottom w:val="none" w:sz="0" w:space="0" w:color="auto"/>
        <w:right w:val="none" w:sz="0" w:space="0" w:color="auto"/>
      </w:divBdr>
    </w:div>
    <w:div w:id="441077165">
      <w:bodyDiv w:val="1"/>
      <w:marLeft w:val="0"/>
      <w:marRight w:val="0"/>
      <w:marTop w:val="0"/>
      <w:marBottom w:val="0"/>
      <w:divBdr>
        <w:top w:val="none" w:sz="0" w:space="0" w:color="auto"/>
        <w:left w:val="none" w:sz="0" w:space="0" w:color="auto"/>
        <w:bottom w:val="none" w:sz="0" w:space="0" w:color="auto"/>
        <w:right w:val="none" w:sz="0" w:space="0" w:color="auto"/>
      </w:divBdr>
    </w:div>
    <w:div w:id="447890405">
      <w:bodyDiv w:val="1"/>
      <w:marLeft w:val="0"/>
      <w:marRight w:val="0"/>
      <w:marTop w:val="0"/>
      <w:marBottom w:val="0"/>
      <w:divBdr>
        <w:top w:val="none" w:sz="0" w:space="0" w:color="auto"/>
        <w:left w:val="none" w:sz="0" w:space="0" w:color="auto"/>
        <w:bottom w:val="none" w:sz="0" w:space="0" w:color="auto"/>
        <w:right w:val="none" w:sz="0" w:space="0" w:color="auto"/>
      </w:divBdr>
    </w:div>
    <w:div w:id="519243990">
      <w:bodyDiv w:val="1"/>
      <w:marLeft w:val="0"/>
      <w:marRight w:val="0"/>
      <w:marTop w:val="0"/>
      <w:marBottom w:val="0"/>
      <w:divBdr>
        <w:top w:val="none" w:sz="0" w:space="0" w:color="auto"/>
        <w:left w:val="none" w:sz="0" w:space="0" w:color="auto"/>
        <w:bottom w:val="none" w:sz="0" w:space="0" w:color="auto"/>
        <w:right w:val="none" w:sz="0" w:space="0" w:color="auto"/>
      </w:divBdr>
    </w:div>
    <w:div w:id="556861581">
      <w:bodyDiv w:val="1"/>
      <w:marLeft w:val="0"/>
      <w:marRight w:val="0"/>
      <w:marTop w:val="0"/>
      <w:marBottom w:val="0"/>
      <w:divBdr>
        <w:top w:val="none" w:sz="0" w:space="0" w:color="auto"/>
        <w:left w:val="none" w:sz="0" w:space="0" w:color="auto"/>
        <w:bottom w:val="none" w:sz="0" w:space="0" w:color="auto"/>
        <w:right w:val="none" w:sz="0" w:space="0" w:color="auto"/>
      </w:divBdr>
    </w:div>
    <w:div w:id="573272918">
      <w:bodyDiv w:val="1"/>
      <w:marLeft w:val="0"/>
      <w:marRight w:val="0"/>
      <w:marTop w:val="0"/>
      <w:marBottom w:val="0"/>
      <w:divBdr>
        <w:top w:val="none" w:sz="0" w:space="0" w:color="auto"/>
        <w:left w:val="none" w:sz="0" w:space="0" w:color="auto"/>
        <w:bottom w:val="none" w:sz="0" w:space="0" w:color="auto"/>
        <w:right w:val="none" w:sz="0" w:space="0" w:color="auto"/>
      </w:divBdr>
    </w:div>
    <w:div w:id="587080221">
      <w:bodyDiv w:val="1"/>
      <w:marLeft w:val="0"/>
      <w:marRight w:val="0"/>
      <w:marTop w:val="0"/>
      <w:marBottom w:val="0"/>
      <w:divBdr>
        <w:top w:val="none" w:sz="0" w:space="0" w:color="auto"/>
        <w:left w:val="none" w:sz="0" w:space="0" w:color="auto"/>
        <w:bottom w:val="none" w:sz="0" w:space="0" w:color="auto"/>
        <w:right w:val="none" w:sz="0" w:space="0" w:color="auto"/>
      </w:divBdr>
    </w:div>
    <w:div w:id="630483557">
      <w:bodyDiv w:val="1"/>
      <w:marLeft w:val="0"/>
      <w:marRight w:val="0"/>
      <w:marTop w:val="0"/>
      <w:marBottom w:val="0"/>
      <w:divBdr>
        <w:top w:val="none" w:sz="0" w:space="0" w:color="auto"/>
        <w:left w:val="none" w:sz="0" w:space="0" w:color="auto"/>
        <w:bottom w:val="none" w:sz="0" w:space="0" w:color="auto"/>
        <w:right w:val="none" w:sz="0" w:space="0" w:color="auto"/>
      </w:divBdr>
    </w:div>
    <w:div w:id="683171674">
      <w:bodyDiv w:val="1"/>
      <w:marLeft w:val="0"/>
      <w:marRight w:val="0"/>
      <w:marTop w:val="0"/>
      <w:marBottom w:val="0"/>
      <w:divBdr>
        <w:top w:val="none" w:sz="0" w:space="0" w:color="auto"/>
        <w:left w:val="none" w:sz="0" w:space="0" w:color="auto"/>
        <w:bottom w:val="none" w:sz="0" w:space="0" w:color="auto"/>
        <w:right w:val="none" w:sz="0" w:space="0" w:color="auto"/>
      </w:divBdr>
    </w:div>
    <w:div w:id="735590902">
      <w:bodyDiv w:val="1"/>
      <w:marLeft w:val="0"/>
      <w:marRight w:val="0"/>
      <w:marTop w:val="0"/>
      <w:marBottom w:val="0"/>
      <w:divBdr>
        <w:top w:val="none" w:sz="0" w:space="0" w:color="auto"/>
        <w:left w:val="none" w:sz="0" w:space="0" w:color="auto"/>
        <w:bottom w:val="none" w:sz="0" w:space="0" w:color="auto"/>
        <w:right w:val="none" w:sz="0" w:space="0" w:color="auto"/>
      </w:divBdr>
    </w:div>
    <w:div w:id="797918805">
      <w:bodyDiv w:val="1"/>
      <w:marLeft w:val="0"/>
      <w:marRight w:val="0"/>
      <w:marTop w:val="0"/>
      <w:marBottom w:val="0"/>
      <w:divBdr>
        <w:top w:val="none" w:sz="0" w:space="0" w:color="auto"/>
        <w:left w:val="none" w:sz="0" w:space="0" w:color="auto"/>
        <w:bottom w:val="none" w:sz="0" w:space="0" w:color="auto"/>
        <w:right w:val="none" w:sz="0" w:space="0" w:color="auto"/>
      </w:divBdr>
    </w:div>
    <w:div w:id="861556706">
      <w:bodyDiv w:val="1"/>
      <w:marLeft w:val="0"/>
      <w:marRight w:val="0"/>
      <w:marTop w:val="0"/>
      <w:marBottom w:val="0"/>
      <w:divBdr>
        <w:top w:val="none" w:sz="0" w:space="0" w:color="auto"/>
        <w:left w:val="none" w:sz="0" w:space="0" w:color="auto"/>
        <w:bottom w:val="none" w:sz="0" w:space="0" w:color="auto"/>
        <w:right w:val="none" w:sz="0" w:space="0" w:color="auto"/>
      </w:divBdr>
    </w:div>
    <w:div w:id="971903563">
      <w:bodyDiv w:val="1"/>
      <w:marLeft w:val="0"/>
      <w:marRight w:val="0"/>
      <w:marTop w:val="0"/>
      <w:marBottom w:val="0"/>
      <w:divBdr>
        <w:top w:val="none" w:sz="0" w:space="0" w:color="auto"/>
        <w:left w:val="none" w:sz="0" w:space="0" w:color="auto"/>
        <w:bottom w:val="none" w:sz="0" w:space="0" w:color="auto"/>
        <w:right w:val="none" w:sz="0" w:space="0" w:color="auto"/>
      </w:divBdr>
    </w:div>
    <w:div w:id="1244802213">
      <w:bodyDiv w:val="1"/>
      <w:marLeft w:val="0"/>
      <w:marRight w:val="0"/>
      <w:marTop w:val="0"/>
      <w:marBottom w:val="0"/>
      <w:divBdr>
        <w:top w:val="none" w:sz="0" w:space="0" w:color="auto"/>
        <w:left w:val="none" w:sz="0" w:space="0" w:color="auto"/>
        <w:bottom w:val="none" w:sz="0" w:space="0" w:color="auto"/>
        <w:right w:val="none" w:sz="0" w:space="0" w:color="auto"/>
      </w:divBdr>
    </w:div>
    <w:div w:id="1630935442">
      <w:bodyDiv w:val="1"/>
      <w:marLeft w:val="0"/>
      <w:marRight w:val="0"/>
      <w:marTop w:val="0"/>
      <w:marBottom w:val="0"/>
      <w:divBdr>
        <w:top w:val="none" w:sz="0" w:space="0" w:color="auto"/>
        <w:left w:val="none" w:sz="0" w:space="0" w:color="auto"/>
        <w:bottom w:val="none" w:sz="0" w:space="0" w:color="auto"/>
        <w:right w:val="none" w:sz="0" w:space="0" w:color="auto"/>
      </w:divBdr>
    </w:div>
    <w:div w:id="1677537643">
      <w:bodyDiv w:val="1"/>
      <w:marLeft w:val="0"/>
      <w:marRight w:val="0"/>
      <w:marTop w:val="0"/>
      <w:marBottom w:val="0"/>
      <w:divBdr>
        <w:top w:val="none" w:sz="0" w:space="0" w:color="auto"/>
        <w:left w:val="none" w:sz="0" w:space="0" w:color="auto"/>
        <w:bottom w:val="none" w:sz="0" w:space="0" w:color="auto"/>
        <w:right w:val="none" w:sz="0" w:space="0" w:color="auto"/>
      </w:divBdr>
    </w:div>
    <w:div w:id="1700812670">
      <w:bodyDiv w:val="1"/>
      <w:marLeft w:val="0"/>
      <w:marRight w:val="0"/>
      <w:marTop w:val="0"/>
      <w:marBottom w:val="0"/>
      <w:divBdr>
        <w:top w:val="none" w:sz="0" w:space="0" w:color="auto"/>
        <w:left w:val="none" w:sz="0" w:space="0" w:color="auto"/>
        <w:bottom w:val="none" w:sz="0" w:space="0" w:color="auto"/>
        <w:right w:val="none" w:sz="0" w:space="0" w:color="auto"/>
      </w:divBdr>
    </w:div>
    <w:div w:id="1708604395">
      <w:bodyDiv w:val="1"/>
      <w:marLeft w:val="0"/>
      <w:marRight w:val="0"/>
      <w:marTop w:val="0"/>
      <w:marBottom w:val="0"/>
      <w:divBdr>
        <w:top w:val="none" w:sz="0" w:space="0" w:color="auto"/>
        <w:left w:val="none" w:sz="0" w:space="0" w:color="auto"/>
        <w:bottom w:val="none" w:sz="0" w:space="0" w:color="auto"/>
        <w:right w:val="none" w:sz="0" w:space="0" w:color="auto"/>
      </w:divBdr>
    </w:div>
    <w:div w:id="1760179401">
      <w:bodyDiv w:val="1"/>
      <w:marLeft w:val="0"/>
      <w:marRight w:val="0"/>
      <w:marTop w:val="0"/>
      <w:marBottom w:val="0"/>
      <w:divBdr>
        <w:top w:val="none" w:sz="0" w:space="0" w:color="auto"/>
        <w:left w:val="none" w:sz="0" w:space="0" w:color="auto"/>
        <w:bottom w:val="none" w:sz="0" w:space="0" w:color="auto"/>
        <w:right w:val="none" w:sz="0" w:space="0" w:color="auto"/>
      </w:divBdr>
    </w:div>
    <w:div w:id="1840579327">
      <w:bodyDiv w:val="1"/>
      <w:marLeft w:val="0"/>
      <w:marRight w:val="0"/>
      <w:marTop w:val="0"/>
      <w:marBottom w:val="0"/>
      <w:divBdr>
        <w:top w:val="none" w:sz="0" w:space="0" w:color="auto"/>
        <w:left w:val="none" w:sz="0" w:space="0" w:color="auto"/>
        <w:bottom w:val="none" w:sz="0" w:space="0" w:color="auto"/>
        <w:right w:val="none" w:sz="0" w:space="0" w:color="auto"/>
      </w:divBdr>
    </w:div>
    <w:div w:id="1905018946">
      <w:bodyDiv w:val="1"/>
      <w:marLeft w:val="0"/>
      <w:marRight w:val="0"/>
      <w:marTop w:val="0"/>
      <w:marBottom w:val="0"/>
      <w:divBdr>
        <w:top w:val="none" w:sz="0" w:space="0" w:color="auto"/>
        <w:left w:val="none" w:sz="0" w:space="0" w:color="auto"/>
        <w:bottom w:val="none" w:sz="0" w:space="0" w:color="auto"/>
        <w:right w:val="none" w:sz="0" w:space="0" w:color="auto"/>
      </w:divBdr>
    </w:div>
    <w:div w:id="1963263717">
      <w:bodyDiv w:val="1"/>
      <w:marLeft w:val="0"/>
      <w:marRight w:val="0"/>
      <w:marTop w:val="0"/>
      <w:marBottom w:val="0"/>
      <w:divBdr>
        <w:top w:val="none" w:sz="0" w:space="0" w:color="auto"/>
        <w:left w:val="none" w:sz="0" w:space="0" w:color="auto"/>
        <w:bottom w:val="none" w:sz="0" w:space="0" w:color="auto"/>
        <w:right w:val="none" w:sz="0" w:space="0" w:color="auto"/>
      </w:divBdr>
    </w:div>
    <w:div w:id="2011516019">
      <w:bodyDiv w:val="1"/>
      <w:marLeft w:val="0"/>
      <w:marRight w:val="0"/>
      <w:marTop w:val="0"/>
      <w:marBottom w:val="0"/>
      <w:divBdr>
        <w:top w:val="none" w:sz="0" w:space="0" w:color="auto"/>
        <w:left w:val="none" w:sz="0" w:space="0" w:color="auto"/>
        <w:bottom w:val="none" w:sz="0" w:space="0" w:color="auto"/>
        <w:right w:val="none" w:sz="0" w:space="0" w:color="auto"/>
      </w:divBdr>
    </w:div>
    <w:div w:id="2074037241">
      <w:bodyDiv w:val="1"/>
      <w:marLeft w:val="0"/>
      <w:marRight w:val="0"/>
      <w:marTop w:val="0"/>
      <w:marBottom w:val="0"/>
      <w:divBdr>
        <w:top w:val="none" w:sz="0" w:space="0" w:color="auto"/>
        <w:left w:val="none" w:sz="0" w:space="0" w:color="auto"/>
        <w:bottom w:val="none" w:sz="0" w:space="0" w:color="auto"/>
        <w:right w:val="none" w:sz="0" w:space="0" w:color="auto"/>
      </w:divBdr>
    </w:div>
    <w:div w:id="2132819780">
      <w:bodyDiv w:val="1"/>
      <w:marLeft w:val="0"/>
      <w:marRight w:val="0"/>
      <w:marTop w:val="0"/>
      <w:marBottom w:val="0"/>
      <w:divBdr>
        <w:top w:val="none" w:sz="0" w:space="0" w:color="auto"/>
        <w:left w:val="none" w:sz="0" w:space="0" w:color="auto"/>
        <w:bottom w:val="none" w:sz="0" w:space="0" w:color="auto"/>
        <w:right w:val="none" w:sz="0" w:space="0" w:color="auto"/>
      </w:divBdr>
    </w:div>
    <w:div w:id="2136946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358FF-0A20-4011-9B63-159909661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2670</Words>
  <Characters>14310</Characters>
  <Application>Microsoft Office Word</Application>
  <DocSecurity>0</DocSecurity>
  <Lines>265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Ancar Gordon</dc:creator>
  <cp:keywords/>
  <dc:description/>
  <cp:lastModifiedBy>Ancar Gordon</cp:lastModifiedBy>
  <cp:revision>16</cp:revision>
  <dcterms:created xsi:type="dcterms:W3CDTF">2024-04-25T09:23:00Z</dcterms:created>
  <dcterms:modified xsi:type="dcterms:W3CDTF">2024-05-01T11:12:00Z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8986e0e1-715e-481d-97bd-df3b3391a7d2</vt:lpwstr>
  </property>
</Properties>
</file>