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C97" w:rsidRDefault="006661B8" w:rsidP="006661B8">
      <w:pPr>
        <w:jc w:val="center"/>
        <w:rPr>
          <w:u w:val="single"/>
        </w:rPr>
      </w:pPr>
      <w:r w:rsidRPr="006661B8">
        <w:rPr>
          <w:u w:val="single"/>
        </w:rPr>
        <w:t xml:space="preserve">WORKBOOK 1 </w:t>
      </w:r>
    </w:p>
    <w:p w:rsidR="006661B8" w:rsidRDefault="006661B8" w:rsidP="006661B8">
      <w:pPr>
        <w:rPr>
          <w:u w:val="single"/>
        </w:rPr>
      </w:pPr>
      <w:r>
        <w:rPr>
          <w:u w:val="single"/>
        </w:rPr>
        <w:t xml:space="preserve">QUESTION 1 </w:t>
      </w:r>
    </w:p>
    <w:p w:rsidR="006661B8" w:rsidRDefault="006661B8" w:rsidP="006661B8">
      <w:r w:rsidRPr="006661B8">
        <w:t xml:space="preserve">Focussing upon the last 12 months of your career, critically evaluate your own performance using principles of reflection (e.g., skills development, academic achievements, CPD and training).  Analyse the importance of continuous personal and professional development in achieving organisation objectives and the use of reflective practice in personal and professional development.  </w:t>
      </w:r>
    </w:p>
    <w:p w:rsidR="006661B8" w:rsidRDefault="006661B8" w:rsidP="006661B8">
      <w:r>
        <w:t xml:space="preserve"> </w:t>
      </w:r>
    </w:p>
    <w:p w:rsidR="006661B8" w:rsidRPr="00F10120" w:rsidRDefault="006661B8" w:rsidP="006661B8">
      <w:pPr>
        <w:rPr>
          <w:rFonts w:ascii="Times New Roman" w:hAnsi="Times New Roman" w:cs="Times New Roman"/>
        </w:rPr>
      </w:pPr>
      <w:r w:rsidRPr="00F10120">
        <w:rPr>
          <w:rFonts w:ascii="Times New Roman" w:hAnsi="Times New Roman" w:cs="Times New Roman"/>
        </w:rPr>
        <w:t>I have an interest in suspect interviewing and have had the chance to improve and develop my expertise over the previous year by undertaking the Tier 3 Suspect interview course. Reflecting on my previous interviews, I realised I was often unprepared, hurriedly putting together interview plans owing to a lack of time, expertise, and organisational abilities. Moon (1999) defined reflection as "the process of learning from experience." Reflection is thinking back to what w</w:t>
      </w:r>
      <w:r w:rsidR="00706B4F">
        <w:rPr>
          <w:rFonts w:ascii="Times New Roman" w:hAnsi="Times New Roman" w:cs="Times New Roman"/>
        </w:rPr>
        <w:t>e already know in order to</w:t>
      </w:r>
      <w:r w:rsidRPr="00F10120">
        <w:rPr>
          <w:rFonts w:ascii="Times New Roman" w:hAnsi="Times New Roman" w:cs="Times New Roman"/>
        </w:rPr>
        <w:t xml:space="preserve"> understand something new. </w:t>
      </w:r>
    </w:p>
    <w:p w:rsidR="006661B8" w:rsidRPr="00F10120" w:rsidRDefault="006661B8" w:rsidP="006661B8">
      <w:pPr>
        <w:rPr>
          <w:rFonts w:ascii="Times New Roman" w:hAnsi="Times New Roman" w:cs="Times New Roman"/>
        </w:rPr>
      </w:pPr>
      <w:r w:rsidRPr="00F10120">
        <w:rPr>
          <w:rFonts w:ascii="Times New Roman" w:hAnsi="Times New Roman" w:cs="Times New Roman"/>
        </w:rPr>
        <w:t>Using Driscolls’ (2007) reflective model of a 3-question approach I have learnt from those experiences and developed my skills and confidence. In the first phase of the mod</w:t>
      </w:r>
      <w:r w:rsidR="00706B4F">
        <w:rPr>
          <w:rFonts w:ascii="Times New Roman" w:hAnsi="Times New Roman" w:cs="Times New Roman"/>
        </w:rPr>
        <w:t>el, the 'What' question is asked</w:t>
      </w:r>
      <w:r w:rsidRPr="00F10120">
        <w:rPr>
          <w:rFonts w:ascii="Times New Roman" w:hAnsi="Times New Roman" w:cs="Times New Roman"/>
        </w:rPr>
        <w:t xml:space="preserve">. I attended the course thinking I was an experienced interviewer who would find the course easy.  </w:t>
      </w:r>
    </w:p>
    <w:p w:rsidR="006661B8" w:rsidRPr="00F10120" w:rsidRDefault="00706B4F" w:rsidP="006661B8">
      <w:pPr>
        <w:rPr>
          <w:rFonts w:ascii="Times New Roman" w:hAnsi="Times New Roman" w:cs="Times New Roman"/>
        </w:rPr>
      </w:pPr>
      <w:r>
        <w:rPr>
          <w:rFonts w:ascii="Times New Roman" w:hAnsi="Times New Roman" w:cs="Times New Roman"/>
        </w:rPr>
        <w:t>Driscoll's 2007 model's 'So w</w:t>
      </w:r>
      <w:r w:rsidR="006661B8" w:rsidRPr="00F10120">
        <w:rPr>
          <w:rFonts w:ascii="Times New Roman" w:hAnsi="Times New Roman" w:cs="Times New Roman"/>
        </w:rPr>
        <w:t>hat' stage required me to reflect on the experience and analyse what I had learnt as a result. I role-played an interview with a suspect at the start of the training. I had not prepared for the interview, and despite my confidence in my abilities, the 'suspect' gained control of the conversation and led me away from the alleged offence. I was disappointed that the assessment interview had not gone well, but I could see how my lack of preparation had contributed to this. G</w:t>
      </w:r>
      <w:r>
        <w:rPr>
          <w:rFonts w:ascii="Times New Roman" w:hAnsi="Times New Roman" w:cs="Times New Roman"/>
        </w:rPr>
        <w:t>riffiths (2008) discovered weaknesses</w:t>
      </w:r>
      <w:r w:rsidR="006661B8" w:rsidRPr="00F10120">
        <w:rPr>
          <w:rFonts w:ascii="Times New Roman" w:hAnsi="Times New Roman" w:cs="Times New Roman"/>
        </w:rPr>
        <w:t xml:space="preserve"> in interviewing skills in his research of police interviews, which he attributed to a lack of planning.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I was able to reflect on my interviewing abilities and analyse what I could do better in the third step of Driscoll's </w:t>
      </w:r>
      <w:r w:rsidR="00706B4F">
        <w:rPr>
          <w:rFonts w:ascii="Times New Roman" w:hAnsi="Times New Roman" w:cs="Times New Roman"/>
        </w:rPr>
        <w:t xml:space="preserve">`Now what` </w:t>
      </w:r>
      <w:r w:rsidRPr="00F10120">
        <w:rPr>
          <w:rFonts w:ascii="Times New Roman" w:hAnsi="Times New Roman" w:cs="Times New Roman"/>
        </w:rPr>
        <w:t xml:space="preserve">stage of reflection. According to Walsh &amp; Milne's (2007) research, investigators do not see themselves as lacking in interviewing abilities. According to their findings, officers often fail to recognise their own shortcomings in interviewing abilities, limiting </w:t>
      </w:r>
      <w:r w:rsidR="00706B4F">
        <w:rPr>
          <w:rFonts w:ascii="Times New Roman" w:hAnsi="Times New Roman" w:cs="Times New Roman"/>
        </w:rPr>
        <w:t>opportunities for</w:t>
      </w:r>
      <w:r w:rsidRPr="00F10120">
        <w:rPr>
          <w:rFonts w:ascii="Times New Roman" w:hAnsi="Times New Roman" w:cs="Times New Roman"/>
        </w:rPr>
        <w:t xml:space="preserve"> improvement. On reflection, I believe that my inability to acknowledge my own limitations was a contributing factor. Until it was pointed out to me, I was unaware of a gap in my interviewing skills and knowledge. Officers are taught the importance of evaluating information obtained during the interview in relation to other sources and how they should assess their performance as reflective practitioners after the interview (Schon 1983).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I felt overwhelmed and believed that changing my habits would be difficult. People are less likely to try to change if they do not believe they can, even if the change is desirable or advantageous, according to research (Chambliss and Murray, 1979). My apprehension about change arose from the fact that my skills had developed through time. Changing my routine would be difficult, it would mean challenging assumptions and unlearning certain practices and patterns of behaviour to develop new learning. Reflecting allowed me to make sense of what I had learnt and to see it from an unfamiliar viewpoint. It encouraged me to develop new ways of conducting interviews which although were difficult at first, if developed well would be extremely advantageous in the future.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Throughout the three-week course I was continually critiqued. I saw this as a good opportunity to improve my interviewing skills and I willingly accepted any feedback given. I practiced the principles during the interviews. After each interview I was asked by the trainer how I thought the interview had gone, what went well and what I thought I could improve on next time. Each time I reflected on how I </w:t>
      </w:r>
      <w:r w:rsidRPr="00F10120">
        <w:rPr>
          <w:rFonts w:ascii="Times New Roman" w:hAnsi="Times New Roman" w:cs="Times New Roman"/>
        </w:rPr>
        <w:lastRenderedPageBreak/>
        <w:t xml:space="preserve">had performed in that interview. Studies indicate that practitioners perform significantly better on subsequent tasks when they reflect on what they learned from the task they completed (Di Stefano, Pisano and Staats 2015; Perusso, Blankesteij and Leal 2020)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Following the course, I had the opportunity to reflect on what I had learned and put my newly acquired skills and knowledge into practise. To help me reflect on workplace interviewing, I used the Gibbs Reflective Cycle (Gibbs 1998), which recognises that when learning is considered as a cycle, the importance of reflection becomes apparent. The first stage involves describing the situation. Over the years, I have interviewed a number of suspects for serious crimes. I have always felt less comfortable interviewing suspects who remained silent.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The model's second stage involves understanding the emotions that were created by the situation. Learning, according to Illeris (2015), has emotional and social components. Knowledge can be easily assessed or measured through performance, but the emotional and social aspects are more difficult to understand and capture. During silent interviews, I am frequently anxious. I lacked the confidence to deal with these interviews effectively. This is corroborated by Yeschke's (1997) observation that a brief period of silence might feel endless to apprehensive interviewers who lack self-confidence.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I used the model's evaluation stage to identify that a silent interview had a negative impact on my ability to ask questions. After each interview, I reflected and became frustrated that I had not asked all of the pertinent questions. I wanted to ensure that this issue was addressed. Silent interviews can cause interviewers pressure, stress, and anxiety, according to A/DI Dan McCarthy (2021), who conducted research on suspect interviews. According to his work, multiple studies had been carried out on the impact of oppressive silence by interviewers however little research has been done in relation to the silence of the interviewees. Without uttering a word, the interviewee can manipulate, control, and intimidate an unprepared interviewer, Shepherd (1993). McCarthy goes on to explain that 'silent treatment' is a type of ostracism in which a lack of communication is used to express disapproval and punishment. Silence has an influence on people because it produces a sense of vulnerability. McCarthy’s study suggests the interviewer may experience situational stress from the silence and that factors such as silence, anxiety and stress can cause even the most skilled individuals to lose their ability to perform basic functions.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Using the analysis stage of Gibbs`s model I have examined my performance in subsequent interviews whereby the person interviewed remained silent. I reflected on the techniques I had been taught for dealing with silent interviews, and I applied them, always keeping in mind that stillness may cause unnecessary stress. I remained calm and stated that, while they had the right to remain silent, it was my obligation to question them. I explained why I would continue to ask questions based on my legal expertise and stated cases. I had not realised that the silence was increasing my anxiety. When a suspect remains silent, according to DI McCarthy's research, interviewers feel under pressure. By acknowledging that these types of interviews can cause anxiety and stress I have been able to employ techniques such as mindfulness and self-awareness which limits any stress they can cause. Previous experience of being in these interviews meant that I had pre-existing ideas about how to approach specific situations. I have since learnt to take a step away and understand that it is not the interview that causes stress, but the silence associated with it.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The fourth stage of Gibbs model is the conclusion. I was pleased with how I handled the situation, and our interaction was polite and professional. Later, I reflected on my encounter with the suspect. I had learnt a lot during the course, but the real learning occurred when I was able to put the learning into practice. I concluded that being mindful of how the situation could affect my stress levels enabled me to control my emotions. I was also conscious that these situations could arise in future and would need to bear this in mind. </w:t>
      </w:r>
    </w:p>
    <w:p w:rsidR="006661B8" w:rsidRPr="00F10120" w:rsidRDefault="006661B8" w:rsidP="006661B8">
      <w:pPr>
        <w:rPr>
          <w:rFonts w:ascii="Times New Roman" w:hAnsi="Times New Roman" w:cs="Times New Roman"/>
        </w:rPr>
      </w:pPr>
      <w:r w:rsidRPr="00F10120">
        <w:rPr>
          <w:rFonts w:ascii="Times New Roman" w:hAnsi="Times New Roman" w:cs="Times New Roman"/>
        </w:rPr>
        <w:lastRenderedPageBreak/>
        <w:t xml:space="preserve">The final stage of Gibbs model relates to an action plan. Using the knowledge gained over the last year I have used critical reflection to analyse and assess my interviewing abilities. As a result of refining my reflective skills, my interview techniques have improved. I am able to gather the information I need more efficiently as I am better able to respond to challenges, manage emotions, gain self-awareness, and cope with stress. I will continue to build on my knowledge and experience in the future by asking that I am involved in more challenging interviews, even if they are out of my comfort zone. Research by Allan, Sniehotta and Johnson (2013) has demonstrated that implementing an action plan where the intended action has been specified in advance, can increase the likelihood of goal attainment. However, their research also found that despite there being benefits of action planning for meeting goals and behaviour change, action plans are not always effective. This could be put down to the variances in individual's planning abilities and their failure to maintain the plans they create.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This upskilling of my interview ability has formed part of my Continuing Professional Development (CPD). I have done this in several ways. I have made it one of my main personal objectives in my Personal Development Review requesting that I be utilised to conduct suspect interview over the coming year. I will continuously update my interview portfolio with work that I have conducted which will assist me in reflecting on interviews that have gone well and interview skills that I could improve on. I will ensure to keep up to date with any new policies and guidance. This, I believe will help me manage my own learning and development. It also assists me in achieving two of South Wales Police`s operational objectives of ensuring that personnel feel empowered to make positive changes in their working practises, achieving this through critical reflection. This ties into another operational goal, which focuses on knowledge and skills gaps when it comes to responding to and preventing harm from serious crime.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A huge importance is placed on CPD. It is a structured approach to training and development and is crucial for maintaining high standards, enhancing knowledge and skills, identifying objectives and to ensure individuals are up to date with current policies. It has been shown to improve productivity. It not only improves learning ability but encourages independent learning and demonstrates ambition and commitment to professional self-improvement. It can keep track of and document skills and helps identify ability gaps. CPD can take several forms. It can be professional and mandatory and set by the organisation, meeting basic needs. It can ensure competence and make certain that best practice and organisational CPD requirements are met. Mandatory learning objectives must be adhered to, and behaviour changes achieved. The potential of employees is maximised, which helps boost morale. CPD training and courses can serve as a benchmark for performance evaluations.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CPD can also be personal and self-initiated. This is critical for advancing one's career. An individual can determine how they acquire new skills and knowledge and how long it will take as it is bespoke to them. It shifts responsibility for personal development from the organisation to the individual. For maximum results CPD needs to be linked to both individual and organisational goals if both individual and organisational change are to be achieved (Jones and Fear 1994). Active learning is one of the most effective ways to accomplish this (Richardson 1998)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CPD can be broken down into three questions: What will I learn, how will I learn, and how well will I learn. Portfolios can be a valuable assessment tools to evaluate learning and identify developmental needs.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Yam, Griffiths, and Yeoh (2020) discussed the benefits of CPD and found that it assisted with improving knowledge and practise. They questioned if this could be taken a step further and based on an incentive type approach which would motivate people to participate. Individuals not always having time to complete CPD to defined deadlines was a resounding disadvantage to this.  </w:t>
      </w:r>
    </w:p>
    <w:p w:rsidR="006661B8" w:rsidRPr="00F10120" w:rsidRDefault="006661B8" w:rsidP="006661B8">
      <w:pPr>
        <w:rPr>
          <w:rFonts w:ascii="Times New Roman" w:hAnsi="Times New Roman" w:cs="Times New Roman"/>
        </w:rPr>
      </w:pPr>
      <w:r w:rsidRPr="00F10120">
        <w:rPr>
          <w:rFonts w:ascii="Times New Roman" w:hAnsi="Times New Roman" w:cs="Times New Roman"/>
        </w:rPr>
        <w:lastRenderedPageBreak/>
        <w:t xml:space="preserve">Even though there is a vast amount of documentation relating to the positives of CPD, there are also negatives. Not all learning can be measured by CPD. Unmeasured Learning can still take place which is not always documented. People can be demotivated if they do not hit objectives and aims. Stress can also play factor. Penetar and Friedl (2005) have focused on this and have identified that there is a close link between individuals work stress and their performance. When an individual's stress level is high their CPD is low. This needs to be recognised rather than focusing on goals that may not have been met. Stress management is vital in order to increase CPD. According to McArdle and Cotts' (2010) research, many people find it difficult to progress beyond the task description when asked to critically reflect on previous CPD experiences. Many people find it difficult to move beyond the description of the task. Reflection on practice often fails to get started, lacks any depth or substance, or quickly falters and stalls altogether.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The mere carrying out of a developmental activity may not be enough to enable future improvements and individuals should be encouraged to reflect on their experiences. Reflection can contribute to learning. Learning is at its best when individuals are encouraged to reflect and to take part in CPD. Reflection promotes self-awareness and slows down activity, providing time to process learning and link it to previous ideas. Refection and CPD should be encouraged together. </w:t>
      </w:r>
    </w:p>
    <w:p w:rsidR="006661B8" w:rsidRPr="00F10120" w:rsidRDefault="006661B8" w:rsidP="006661B8">
      <w:pPr>
        <w:rPr>
          <w:rFonts w:ascii="Times New Roman" w:hAnsi="Times New Roman" w:cs="Times New Roman"/>
        </w:rPr>
      </w:pPr>
      <w:r w:rsidRPr="00F10120">
        <w:rPr>
          <w:rFonts w:ascii="Times New Roman" w:hAnsi="Times New Roman" w:cs="Times New Roman"/>
        </w:rPr>
        <w:t xml:space="preserve">Research has shown the importance of reflection to continuous professional development allowing individuals to identify where they can improve and recognise gaps in their own learning which will improve their future development. </w:t>
      </w:r>
    </w:p>
    <w:p w:rsidR="006661B8" w:rsidRDefault="00706B4F" w:rsidP="006661B8">
      <w:pPr>
        <w:rPr>
          <w:u w:val="single"/>
        </w:rPr>
      </w:pPr>
      <w:r>
        <w:rPr>
          <w:u w:val="single"/>
        </w:rPr>
        <w:t>Word count – 2176</w:t>
      </w:r>
      <w:r w:rsidR="006661B8" w:rsidRPr="006661B8">
        <w:rPr>
          <w:u w:val="single"/>
        </w:rPr>
        <w:t xml:space="preserve">  </w:t>
      </w:r>
    </w:p>
    <w:p w:rsidR="00EE3851" w:rsidRDefault="00EE3851" w:rsidP="00515ED9">
      <w:pPr>
        <w:rPr>
          <w:u w:val="single"/>
        </w:rPr>
      </w:pPr>
    </w:p>
    <w:p w:rsidR="00515ED9" w:rsidRPr="00827C13" w:rsidRDefault="00515ED9" w:rsidP="00515ED9">
      <w:pPr>
        <w:rPr>
          <w:u w:val="single"/>
        </w:rPr>
      </w:pPr>
      <w:r>
        <w:rPr>
          <w:u w:val="single"/>
        </w:rPr>
        <w:t xml:space="preserve">Question 1 – References </w:t>
      </w:r>
    </w:p>
    <w:p w:rsidR="00515ED9" w:rsidRPr="00515ED9" w:rsidRDefault="00515ED9" w:rsidP="00515ED9">
      <w:r w:rsidRPr="00515ED9">
        <w:t>Allan, J; Sniehotta,F &amp; Johnston, M (2013) `The Best Laid Plans: Planning skill determines the effectiveness of action plans and implementation intentions</w:t>
      </w:r>
      <w:r w:rsidRPr="00515ED9">
        <w:rPr>
          <w:i/>
        </w:rPr>
        <w:t>`</w:t>
      </w:r>
      <w:r w:rsidRPr="00515ED9">
        <w:t xml:space="preserve">. </w:t>
      </w:r>
      <w:r w:rsidRPr="00515ED9">
        <w:rPr>
          <w:i/>
        </w:rPr>
        <w:t>Annals of behavioral medicine</w:t>
      </w:r>
      <w:r w:rsidRPr="00515ED9">
        <w:t xml:space="preserve">, Volume 46, Pp 114-120 </w:t>
      </w:r>
    </w:p>
    <w:p w:rsidR="00515ED9" w:rsidRPr="00515ED9" w:rsidRDefault="00515ED9" w:rsidP="00515ED9"/>
    <w:p w:rsidR="00515ED9" w:rsidRPr="00515ED9" w:rsidRDefault="00515ED9" w:rsidP="00515ED9">
      <w:r w:rsidRPr="00515ED9">
        <w:t xml:space="preserve">Chambliss, C &amp; Murray, E (1979) `Efficacy attribution, locus of control, and weight loss`. </w:t>
      </w:r>
      <w:r w:rsidRPr="00515ED9">
        <w:rPr>
          <w:i/>
        </w:rPr>
        <w:t>Cognitive Therapy and Research</w:t>
      </w:r>
      <w:r w:rsidRPr="00515ED9">
        <w:t xml:space="preserve"> Volume 3, Pp 349–353 </w:t>
      </w:r>
    </w:p>
    <w:p w:rsidR="00515ED9" w:rsidRPr="00515ED9" w:rsidRDefault="00515ED9" w:rsidP="00515ED9"/>
    <w:p w:rsidR="00515ED9" w:rsidRPr="00515ED9" w:rsidRDefault="00515ED9" w:rsidP="00515ED9">
      <w:r w:rsidRPr="00515ED9">
        <w:t xml:space="preserve">Di Stefano, G; Pisano, G &amp; Staats,B (2015) `Learning by Thinking: How Reflection Aids Performance`. </w:t>
      </w:r>
      <w:r w:rsidRPr="00515ED9">
        <w:rPr>
          <w:i/>
        </w:rPr>
        <w:t>Academy of Management Proceedings</w:t>
      </w:r>
      <w:r w:rsidRPr="00515ED9">
        <w:t>, Volume 1, Pp.12709-12709</w:t>
      </w:r>
    </w:p>
    <w:p w:rsidR="00515ED9" w:rsidRPr="00515ED9" w:rsidRDefault="00515ED9" w:rsidP="00515ED9"/>
    <w:p w:rsidR="00515ED9" w:rsidRPr="00515ED9" w:rsidRDefault="00515ED9" w:rsidP="00515ED9">
      <w:r w:rsidRPr="00515ED9">
        <w:t xml:space="preserve">Driscoll, J. (2007) </w:t>
      </w:r>
      <w:r w:rsidRPr="00515ED9">
        <w:rPr>
          <w:i/>
        </w:rPr>
        <w:t>Practising Clinical Supervision: A Reflective Approach</w:t>
      </w:r>
      <w:r w:rsidRPr="00515ED9">
        <w:t>, London, Bailliere Tindall.</w:t>
      </w:r>
    </w:p>
    <w:p w:rsidR="00515ED9" w:rsidRPr="00515ED9" w:rsidRDefault="00515ED9" w:rsidP="00515ED9"/>
    <w:p w:rsidR="00515ED9" w:rsidRPr="00515ED9" w:rsidRDefault="00515ED9" w:rsidP="00515ED9">
      <w:r w:rsidRPr="00515ED9">
        <w:t xml:space="preserve">Griffiths A. (2008). </w:t>
      </w:r>
      <w:r w:rsidR="00C0016B">
        <w:t>`</w:t>
      </w:r>
      <w:r w:rsidRPr="00515ED9">
        <w:t>An examination into the efficacy of police advanced investigative interview training</w:t>
      </w:r>
      <w:r w:rsidR="00C0016B">
        <w:t>`</w:t>
      </w:r>
      <w:r w:rsidRPr="00515ED9">
        <w:t>. PhD thesis. Institute of Criminal Justice Studies. University of Portsmouth.</w:t>
      </w:r>
    </w:p>
    <w:p w:rsidR="00515ED9" w:rsidRPr="00515ED9" w:rsidRDefault="00515ED9" w:rsidP="00515ED9"/>
    <w:p w:rsidR="00515ED9" w:rsidRPr="00515ED9" w:rsidRDefault="00515ED9" w:rsidP="00515ED9">
      <w:r w:rsidRPr="00515ED9">
        <w:t xml:space="preserve">Gibbs, G. (1988) </w:t>
      </w:r>
      <w:r w:rsidRPr="00515ED9">
        <w:rPr>
          <w:i/>
        </w:rPr>
        <w:t>Learning by Doing: A guide to teaching and learning methods</w:t>
      </w:r>
      <w:r w:rsidRPr="00515ED9">
        <w:t>, Oxford, Oxford Polytechnic.</w:t>
      </w:r>
    </w:p>
    <w:p w:rsidR="00515ED9" w:rsidRPr="00515ED9" w:rsidRDefault="00515ED9" w:rsidP="00515ED9"/>
    <w:p w:rsidR="00515ED9" w:rsidRPr="00515ED9" w:rsidRDefault="00515ED9" w:rsidP="00515ED9">
      <w:r w:rsidRPr="00515ED9">
        <w:t xml:space="preserve">Jones, N &amp; Fear, N (1994). ‘Continuing Professional Development: perspectives from human resource professionals’. </w:t>
      </w:r>
      <w:r w:rsidRPr="00515ED9">
        <w:rPr>
          <w:i/>
        </w:rPr>
        <w:t>Personnel Review</w:t>
      </w:r>
      <w:r w:rsidRPr="00515ED9">
        <w:t>, Volume 23 issue 8, Pp 49-60.</w:t>
      </w:r>
    </w:p>
    <w:p w:rsidR="00515ED9" w:rsidRPr="00515ED9" w:rsidRDefault="00515ED9" w:rsidP="00515ED9"/>
    <w:p w:rsidR="00515ED9" w:rsidRPr="00515ED9" w:rsidRDefault="00515ED9" w:rsidP="00515ED9">
      <w:r w:rsidRPr="00515ED9">
        <w:t xml:space="preserve">Illeris, K (2015) `The development of a comprehensive and coherent theory of learning`.  </w:t>
      </w:r>
      <w:r w:rsidRPr="00515ED9">
        <w:rPr>
          <w:i/>
        </w:rPr>
        <w:t>European Journal of Education</w:t>
      </w:r>
      <w:r w:rsidRPr="00515ED9">
        <w:t>, Volume 50, Issue 1. Pp 29 - 40</w:t>
      </w:r>
    </w:p>
    <w:p w:rsidR="00515ED9" w:rsidRPr="00515ED9" w:rsidRDefault="00515ED9" w:rsidP="00515ED9"/>
    <w:p w:rsidR="00515ED9" w:rsidRPr="00515ED9" w:rsidRDefault="00515ED9" w:rsidP="00515ED9">
      <w:r w:rsidRPr="00515ED9">
        <w:t>McArdle, K and Coutts, N (2010) `Taking teachers’ continuous professional development (CPD) beyond reflection: adding shared sense-making and collaborative engagement for professional renewal`</w:t>
      </w:r>
      <w:r w:rsidRPr="00515ED9">
        <w:rPr>
          <w:i/>
        </w:rPr>
        <w:t xml:space="preserve"> Studies in Continuing Education</w:t>
      </w:r>
      <w:r w:rsidRPr="00515ED9">
        <w:t>.  Volume 32, Issue 3. Pp 201 - 215</w:t>
      </w:r>
    </w:p>
    <w:p w:rsidR="00515ED9" w:rsidRPr="00515ED9" w:rsidRDefault="00515ED9" w:rsidP="00515ED9"/>
    <w:p w:rsidR="00515ED9" w:rsidRPr="00515ED9" w:rsidRDefault="00515ED9" w:rsidP="00515ED9">
      <w:r w:rsidRPr="00515ED9">
        <w:t xml:space="preserve">McCarthy, D (2021) </w:t>
      </w:r>
      <w:r w:rsidRPr="00515ED9">
        <w:rPr>
          <w:i/>
        </w:rPr>
        <w:t>Dealing with the silent treatment during suspect interviews. Expanding the horizons of current research to help investigators face 'no comment' suspects in the interview room</w:t>
      </w:r>
      <w:r w:rsidRPr="00515ED9">
        <w:t>. Available on: https://www.learn.college.police.uk. Last accessed 08/01/2021</w:t>
      </w:r>
    </w:p>
    <w:p w:rsidR="00515ED9" w:rsidRPr="00515ED9" w:rsidRDefault="00515ED9" w:rsidP="00515ED9"/>
    <w:p w:rsidR="00515ED9" w:rsidRPr="00515ED9" w:rsidRDefault="00515ED9" w:rsidP="00515ED9">
      <w:r w:rsidRPr="00515ED9">
        <w:t xml:space="preserve">Moon (1999).  </w:t>
      </w:r>
      <w:r w:rsidRPr="00515ED9">
        <w:rPr>
          <w:i/>
        </w:rPr>
        <w:t>Learning Journals: A Handbook for Academics, Students and professional Development</w:t>
      </w:r>
      <w:r w:rsidRPr="00515ED9">
        <w:t>. Kogan Page</w:t>
      </w:r>
    </w:p>
    <w:p w:rsidR="00515ED9" w:rsidRPr="00515ED9" w:rsidRDefault="00515ED9" w:rsidP="00515ED9"/>
    <w:p w:rsidR="00515ED9" w:rsidRPr="00515ED9" w:rsidRDefault="00515ED9" w:rsidP="00515ED9">
      <w:r w:rsidRPr="00515ED9">
        <w:t xml:space="preserve">Penetar, D.M. &amp; Friedl, K.E. (2005). `The physiology of performance, stress and readiness`. </w:t>
      </w:r>
      <w:r w:rsidRPr="00515ED9">
        <w:rPr>
          <w:i/>
        </w:rPr>
        <w:t>Advances in human performance and cognitive engineering research</w:t>
      </w:r>
      <w:r w:rsidRPr="00515ED9">
        <w:t>. Volume 5, Pp 267-305.</w:t>
      </w:r>
    </w:p>
    <w:p w:rsidR="00515ED9" w:rsidRPr="00515ED9" w:rsidRDefault="00515ED9" w:rsidP="00515ED9"/>
    <w:p w:rsidR="00515ED9" w:rsidRPr="00515ED9" w:rsidRDefault="00515ED9" w:rsidP="00515ED9">
      <w:r w:rsidRPr="00515ED9">
        <w:t xml:space="preserve">Perusso, A; Blankesteijn, M &amp; Leal, R. (2020) `The contribution of reflective learning to experiential learning in business education`. </w:t>
      </w:r>
      <w:r w:rsidRPr="00515ED9">
        <w:rPr>
          <w:i/>
        </w:rPr>
        <w:t>Assessment and evaluation in higher education</w:t>
      </w:r>
      <w:r w:rsidRPr="00515ED9">
        <w:t>, Volume 45, issue 7, pp.1001-15</w:t>
      </w:r>
    </w:p>
    <w:p w:rsidR="00515ED9" w:rsidRPr="00515ED9" w:rsidRDefault="00515ED9" w:rsidP="00515ED9"/>
    <w:p w:rsidR="00515ED9" w:rsidRPr="00515ED9" w:rsidRDefault="00515ED9" w:rsidP="00515ED9">
      <w:r w:rsidRPr="00515ED9">
        <w:t xml:space="preserve">Richardson, J. (1998). `We’re all here to learn`.  </w:t>
      </w:r>
      <w:r w:rsidRPr="00515ED9">
        <w:rPr>
          <w:i/>
        </w:rPr>
        <w:t>Journal of Staff Development</w:t>
      </w:r>
      <w:r w:rsidRPr="00515ED9">
        <w:t>, Volume 19 issue 4, Pp 49-55.</w:t>
      </w:r>
    </w:p>
    <w:p w:rsidR="00515ED9" w:rsidRPr="00515ED9" w:rsidRDefault="00515ED9" w:rsidP="00515ED9"/>
    <w:p w:rsidR="00515ED9" w:rsidRPr="00515ED9" w:rsidRDefault="00515ED9" w:rsidP="00515ED9">
      <w:r w:rsidRPr="00515ED9">
        <w:t xml:space="preserve">Schon, D. A. (1983) </w:t>
      </w:r>
      <w:r w:rsidRPr="00515ED9">
        <w:rPr>
          <w:i/>
        </w:rPr>
        <w:t>The Reflective Practitioner: How Professionals Think in Action</w:t>
      </w:r>
      <w:r w:rsidRPr="00515ED9">
        <w:t>. London: Temple Smith.</w:t>
      </w:r>
    </w:p>
    <w:p w:rsidR="00515ED9" w:rsidRPr="00515ED9" w:rsidRDefault="00515ED9" w:rsidP="00515ED9"/>
    <w:p w:rsidR="00515ED9" w:rsidRPr="00515ED9" w:rsidRDefault="00515ED9" w:rsidP="00515ED9">
      <w:r w:rsidRPr="00515ED9">
        <w:t xml:space="preserve">Shepherd E, (1993) </w:t>
      </w:r>
      <w:r w:rsidRPr="00515ED9">
        <w:rPr>
          <w:i/>
        </w:rPr>
        <w:t>'Aspects of police interviewing</w:t>
      </w:r>
      <w:r w:rsidRPr="00515ED9">
        <w:t>'. British Psychological Society: Leicester.</w:t>
      </w:r>
    </w:p>
    <w:p w:rsidR="00515ED9" w:rsidRPr="00515ED9" w:rsidRDefault="00515ED9" w:rsidP="00515ED9"/>
    <w:p w:rsidR="00515ED9" w:rsidRPr="00515ED9" w:rsidRDefault="00515ED9" w:rsidP="00515ED9">
      <w:r w:rsidRPr="00515ED9">
        <w:t xml:space="preserve">Walsh,D &amp; Milne, R (2007) `Perceptions of benefit fraud staff in the UK: Giving P.E.A.C.E a chance?`. </w:t>
      </w:r>
      <w:r w:rsidRPr="00515ED9">
        <w:rPr>
          <w:i/>
        </w:rPr>
        <w:t>Public Administration (London)</w:t>
      </w:r>
      <w:r w:rsidRPr="00515ED9">
        <w:t xml:space="preserve">. Volume 85 issue 2. Pp 525-540 </w:t>
      </w:r>
    </w:p>
    <w:p w:rsidR="00515ED9" w:rsidRPr="00515ED9" w:rsidRDefault="00515ED9" w:rsidP="00515ED9"/>
    <w:p w:rsidR="00515ED9" w:rsidRPr="00515ED9" w:rsidRDefault="00515ED9" w:rsidP="00515ED9">
      <w:r w:rsidRPr="00515ED9">
        <w:lastRenderedPageBreak/>
        <w:t xml:space="preserve">Yam, C; Griffiths, S &amp; Yeoh, E (2020) `What helps and hinders doctors in engaging in continuous professional development? An explanatory sequential design`. </w:t>
      </w:r>
      <w:r w:rsidRPr="00515ED9">
        <w:rPr>
          <w:i/>
        </w:rPr>
        <w:t>San Francisco: Public Library of Science</w:t>
      </w:r>
      <w:r w:rsidRPr="00515ED9">
        <w:t xml:space="preserve">. Volume 15. Issue 8. </w:t>
      </w:r>
    </w:p>
    <w:p w:rsidR="00515ED9" w:rsidRPr="00515ED9" w:rsidRDefault="00515ED9" w:rsidP="00515ED9"/>
    <w:p w:rsidR="00515ED9" w:rsidRPr="00515ED9" w:rsidRDefault="00515ED9" w:rsidP="00515ED9">
      <w:r w:rsidRPr="00515ED9">
        <w:t xml:space="preserve">Yeschke, C. (1997). </w:t>
      </w:r>
      <w:r w:rsidRPr="00515ED9">
        <w:rPr>
          <w:i/>
        </w:rPr>
        <w:t>The art of investigative interviewing: A human approach to testimonial evidence</w:t>
      </w:r>
      <w:r w:rsidRPr="00515ED9">
        <w:t>. Boston, MA: Butterworth-Heinemann</w:t>
      </w:r>
    </w:p>
    <w:p w:rsidR="00515ED9" w:rsidRDefault="00515ED9" w:rsidP="00515ED9">
      <w:pPr>
        <w:rPr>
          <w:u w:val="single"/>
        </w:rPr>
      </w:pPr>
    </w:p>
    <w:p w:rsidR="0068506B" w:rsidRDefault="0068506B" w:rsidP="00515ED9">
      <w:pPr>
        <w:rPr>
          <w:u w:val="single"/>
        </w:rPr>
      </w:pPr>
    </w:p>
    <w:p w:rsidR="0068506B" w:rsidRDefault="0068506B" w:rsidP="00515ED9">
      <w:pPr>
        <w:rPr>
          <w:u w:val="single"/>
        </w:rPr>
      </w:pPr>
    </w:p>
    <w:p w:rsidR="00E11FD7" w:rsidRDefault="00E11FD7" w:rsidP="00515ED9">
      <w:pPr>
        <w:rPr>
          <w:u w:val="single"/>
        </w:rPr>
      </w:pPr>
      <w:r>
        <w:rPr>
          <w:u w:val="single"/>
        </w:rPr>
        <w:t xml:space="preserve">QUESTION 2 </w:t>
      </w:r>
    </w:p>
    <w:p w:rsidR="00E11FD7" w:rsidRPr="00E11FD7" w:rsidRDefault="00E11FD7" w:rsidP="00E11FD7">
      <w:r w:rsidRPr="00E11FD7">
        <w:t xml:space="preserve">Give a brief description of the investigation including social and legislative contexts and any relevant cultural, ethnicity and language issues.   </w:t>
      </w:r>
    </w:p>
    <w:p w:rsidR="00E11FD7" w:rsidRPr="00E11FD7" w:rsidRDefault="00E11FD7" w:rsidP="00E11FD7">
      <w:pPr>
        <w:rPr>
          <w:u w:val="single"/>
        </w:rPr>
      </w:pPr>
      <w:r w:rsidRPr="00E11FD7">
        <w:t>Demonstrate your critical thinking, analysis and evaluation of assumptions, generalisations and material (that may be incomplete) and how you communicated your conclusions to specialist and non-specialist investigators/departments.</w:t>
      </w:r>
      <w:r w:rsidRPr="00E11FD7">
        <w:rPr>
          <w:u w:val="single"/>
        </w:rPr>
        <w:t xml:space="preserve">  </w:t>
      </w:r>
    </w:p>
    <w:p w:rsidR="00E11FD7" w:rsidRDefault="00E11FD7" w:rsidP="00E11FD7">
      <w:r w:rsidRPr="00E11FD7">
        <w:t xml:space="preserve">Critically evaluate the challenges associated with the investigation and the actions undertaken to effectively deal with such challenging situations.  </w:t>
      </w:r>
    </w:p>
    <w:p w:rsidR="00E11FD7" w:rsidRDefault="00E11FD7" w:rsidP="00E11FD7"/>
    <w:p w:rsidR="00CC51ED" w:rsidRDefault="00CC51ED" w:rsidP="00E11FD7"/>
    <w:p w:rsidR="00F24898" w:rsidRPr="00F24898" w:rsidRDefault="00F24898" w:rsidP="00F24898">
      <w:pPr>
        <w:rPr>
          <w:rFonts w:ascii="Times New Roman" w:hAnsi="Times New Roman" w:cs="Times New Roman"/>
        </w:rPr>
      </w:pPr>
      <w:r w:rsidRPr="00F24898">
        <w:rPr>
          <w:rFonts w:ascii="Times New Roman" w:hAnsi="Times New Roman" w:cs="Times New Roman"/>
        </w:rPr>
        <w:t>This case relates to an Honour base</w:t>
      </w:r>
      <w:r w:rsidR="006953AF">
        <w:rPr>
          <w:rFonts w:ascii="Times New Roman" w:hAnsi="Times New Roman" w:cs="Times New Roman"/>
        </w:rPr>
        <w:t>d</w:t>
      </w:r>
      <w:r w:rsidRPr="00F24898">
        <w:rPr>
          <w:rFonts w:ascii="Times New Roman" w:hAnsi="Times New Roman" w:cs="Times New Roman"/>
        </w:rPr>
        <w:t xml:space="preserve"> abuse investigation. `MI` reported that his girlfriend and first cousin `NS` (14 years old) had been detained by her parents against her will. He was concerned that her parents were arranging her marriage and they were beating her as he had seen injuries to her body. NS was spoken to and confirmed that she had been in a relationship with MI which she ended when her parents found out. MI continued to contact NS and made threats to kill her parents.   </w:t>
      </w:r>
    </w:p>
    <w:p w:rsidR="00CC51ED" w:rsidRDefault="00F24898" w:rsidP="00F24898">
      <w:pPr>
        <w:rPr>
          <w:rFonts w:ascii="Times New Roman" w:hAnsi="Times New Roman" w:cs="Times New Roman"/>
        </w:rPr>
      </w:pPr>
      <w:r w:rsidRPr="00F24898">
        <w:rPr>
          <w:rFonts w:ascii="Times New Roman" w:hAnsi="Times New Roman" w:cs="Times New Roman"/>
        </w:rPr>
        <w:t xml:space="preserve">I analysed the facts I had been given. I considered several issues, including MI's allegation that NS had been beaten and had to question the likelihood that NS had been or would be a victim of honour-based abuse (HBA). Siddiqui (2014 as cited in Bates 2018) has defined HBA as a form of gender-based violence. This is supported by evidence which shows that HBA most often involves female victims and male perpetrators (Hester et al, 2015). I was mindful that my expertise lay in Child protection, and this case highlighted to me that officers specialise in either child or domestic abuse related offences. Being conscious of this, I dealt with this challenging situation by seeking advice from an HBA expert within the </w:t>
      </w:r>
      <w:r w:rsidR="006953AF">
        <w:rPr>
          <w:rFonts w:ascii="Times New Roman" w:hAnsi="Times New Roman" w:cs="Times New Roman"/>
        </w:rPr>
        <w:t xml:space="preserve">Domestic Abuse (DA) </w:t>
      </w:r>
      <w:r w:rsidRPr="00F24898">
        <w:rPr>
          <w:rFonts w:ascii="Times New Roman" w:hAnsi="Times New Roman" w:cs="Times New Roman"/>
        </w:rPr>
        <w:t>department. I requested that they complete a HBA risk assessment to establish rapid need assessment and enhanced support. Although more people are aware of HBA, police officers like me still lack the knowledge and understanding to deal with the issues surrounding it. As Aplin (2019</w:t>
      </w:r>
      <w:r w:rsidR="006953AF">
        <w:rPr>
          <w:rFonts w:ascii="Times New Roman" w:hAnsi="Times New Roman" w:cs="Times New Roman"/>
        </w:rPr>
        <w:t>) has highlighted, even making</w:t>
      </w:r>
      <w:r w:rsidRPr="00F24898">
        <w:rPr>
          <w:rFonts w:ascii="Times New Roman" w:hAnsi="Times New Roman" w:cs="Times New Roman"/>
        </w:rPr>
        <w:t xml:space="preserve"> HBA allegations to the police significantly increases the victim's risk of violence and this can be seen as family dishonour worthy of punishment. Concerns have been raised that HBA victims are left in danger because of police</w:t>
      </w:r>
      <w:r w:rsidR="00CC51ED">
        <w:rPr>
          <w:rFonts w:ascii="Times New Roman" w:hAnsi="Times New Roman" w:cs="Times New Roman"/>
        </w:rPr>
        <w:t xml:space="preserve"> interventions (Patel 2003</w:t>
      </w:r>
      <w:r w:rsidR="00012B8B" w:rsidRPr="00012B8B">
        <w:t xml:space="preserve"> </w:t>
      </w:r>
      <w:r w:rsidR="00012B8B" w:rsidRPr="00012B8B">
        <w:rPr>
          <w:rFonts w:ascii="Times New Roman" w:hAnsi="Times New Roman" w:cs="Times New Roman"/>
        </w:rPr>
        <w:t>as cited in Aplin 2019</w:t>
      </w:r>
      <w:r w:rsidR="00CC51ED">
        <w:rPr>
          <w:rFonts w:ascii="Times New Roman" w:hAnsi="Times New Roman" w:cs="Times New Roman"/>
        </w:rPr>
        <w:t xml:space="preserve">).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Another difficulty when investigating HBA is that Police Officers often fail to identify and record HBA as there is no individual offence of committing honour-based abuse. The offence is investigated in accordance with other laws relating to murder, unexplained death/suicide, forced marriage, sexual </w:t>
      </w:r>
      <w:r w:rsidRPr="00F24898">
        <w:rPr>
          <w:rFonts w:ascii="Times New Roman" w:hAnsi="Times New Roman" w:cs="Times New Roman"/>
        </w:rPr>
        <w:lastRenderedPageBreak/>
        <w:t>offences, domestic abuse, child abuse, kidnapping, false imprisonment, threats to kill, assault and harassment. As reported by HMIC (2014) it is not the lack of UK laws and policies to support honour-based</w:t>
      </w:r>
      <w:r w:rsidR="006953AF">
        <w:rPr>
          <w:rFonts w:ascii="Times New Roman" w:hAnsi="Times New Roman" w:cs="Times New Roman"/>
        </w:rPr>
        <w:t xml:space="preserve"> abuse but the poor application of them</w:t>
      </w:r>
      <w:r w:rsidRPr="00F24898">
        <w:rPr>
          <w:rFonts w:ascii="Times New Roman" w:hAnsi="Times New Roman" w:cs="Times New Roman"/>
        </w:rPr>
        <w:t xml:space="preserve"> by of</w:t>
      </w:r>
      <w:r w:rsidR="006953AF">
        <w:rPr>
          <w:rFonts w:ascii="Times New Roman" w:hAnsi="Times New Roman" w:cs="Times New Roman"/>
        </w:rPr>
        <w:t>ficers. Racial differences and p</w:t>
      </w:r>
      <w:r w:rsidRPr="00F24898">
        <w:rPr>
          <w:rFonts w:ascii="Times New Roman" w:hAnsi="Times New Roman" w:cs="Times New Roman"/>
        </w:rPr>
        <w:t xml:space="preserve">olice officer`s fear of racist practice makes HBA different from Domestic Abuse. HBA is distinct states Chesler (2009) and should be separated from the traditional restrictions of DA (Sen 2005). Contrary to DA, Perpetrators of HBA are not always the partner. Many family members are involved in HBA which makes the victim feel more isolated. This is different from DA whereby victims often have other family members to trust and turn to. Cooperation between family members is rarely seen with typical DA cases (Chesler 2010). A private member's bill proposed that the term honour should be removed from the term HBA. It was argued that doing this would have simplified the issues surrounding HBA &amp; aligned it with traditional DA. Belur (2008) is critical of this, stating that this would have pushed victims of HBA into the box labelled DA rather than given them special attention. This may have led to cultural issues being overlooked. IKWRO (2017) assisted in campaigning against this bill, and it was withdrawn. However, it is also argued that isolating HBA as a separate offence can be dangerous as it promotes a `hand`s off` distancing approach by professionals (Carens 2006). Siddiqui`s (2003 as cited in Aplin 2019) research has identified that Professional's fear being accused of interfering in culture and being labelled racist. </w:t>
      </w:r>
    </w:p>
    <w:p w:rsidR="00F24898" w:rsidRPr="00F24898" w:rsidRDefault="00F24898" w:rsidP="00F24898">
      <w:pPr>
        <w:rPr>
          <w:rFonts w:ascii="Times New Roman" w:hAnsi="Times New Roman" w:cs="Times New Roman"/>
        </w:rPr>
      </w:pPr>
      <w:r w:rsidRPr="00F24898">
        <w:rPr>
          <w:rFonts w:ascii="Times New Roman" w:hAnsi="Times New Roman" w:cs="Times New Roman"/>
        </w:rPr>
        <w:t>Burman et al (2004) states that there needs to be a balance of treating people the same within the law and not being afraid to tackle cultural issues and treating people differently when necessary.  Study shows that professionals tend to apply a blanket approach to treat everyone the same. We should not divide women's experiences but neither should we merge the two as by doing so cultural issues can be overlo</w:t>
      </w:r>
      <w:r w:rsidR="00CC51ED">
        <w:rPr>
          <w:rFonts w:ascii="Times New Roman" w:hAnsi="Times New Roman" w:cs="Times New Roman"/>
        </w:rPr>
        <w:t xml:space="preserve">oked (Thiara and Gill 2010).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The indicators of HBA were present, NS was clearly afraid of repercussions from her family. She refused to communicate with me at home for fear that her sister or mother would hear. I had already acknowledged that HBA is often committed with some degree of approval and/or collusion from multiple family members in response to perceived immoral/shameful behaviour by the victim. It can be committed to protect or defend the honour of an individual, family and/or community for alleged or perceived breaches of the family and/or community`s code of honour. There is often an uneven power relation between men and women, with men enjoying a higher status within the family dynamic (Gangoli, Razak and McCarry 2006). The involvement of female family members carrying out HBA is a unique feature and women play a significant role in ensuring that women adhere to gender norms (Sen, 2005). Lisa Bates`s (2018) research found that females are more involved in perpetrating HBA than in other forms of domestic abuse, but primary perpetrators are still mostly male and victims overwhelmingly female. Understanding the roles within HBA is problematic. Where there are multiple perpetrators, their functions vary and overlap. This highlights the collective nature of the crime as a group activity. Research shows that HBA occurs when families feel they are losing control (Razack 2004). Preserving the chastity of women and retaining male honours is often prioritised over the life of a woman (Eisner and Ghuneim 2013). In Aplin`s (2019) study of 100 cases, women were the victim in 96 of them, reinforcing that HBA is a gendered crime. The research shows that the two main triggers for HBA are females becoming too westernised or becoming sexually active before marriage. This fear of westernisation supports Cantle's (2001) assessment that such communities keep themselves to themselves to protect themselves from unwholesome western influences.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A UK Police inspection in 2015 noted that female family members were often involved in carrying out or facilitating the abuse of younger female family members. The types of abuse differed. Abuse from mothers mainly consisted of controlling behaviour and emotional manipulation, such as threats of self-harm or crying/pleading with victims not to shame them. Alpin's (2019) research showed that mothers use physical violence or hard psychological abuse consisting of intrusive surveillance, dark threats, taunts, false imprisonment, and emotional blackmail. In a collective society woman who fail </w:t>
      </w:r>
      <w:r w:rsidRPr="00F24898">
        <w:rPr>
          <w:rFonts w:ascii="Times New Roman" w:hAnsi="Times New Roman" w:cs="Times New Roman"/>
        </w:rPr>
        <w:lastRenderedPageBreak/>
        <w:t xml:space="preserve">to keep others in line can end up tarred with the same brush (Van Eck 2003 as cited in Cooney 2014). The findings regarding violence from mothers' contrasts with Bates`s (2018) analysis whereby it is the mother-in-law who is more likely to use violence by beating. Women's roles in HBA are complicated, and the line between perpetrator and victim frequently blurred, some would argue that these mothers are coerced victims. It is not known whether a female abuser has a choice in their actions. Bates (2018) has identified three types of women as perpetrators of this type of abuse. These are Controllers, women who orchestrate or direct the abuse of others. Women who carry out the abuse in support of their husbands/sons are referred to as Collaborators and Coerced Women are described as passive, who are frequently coerced or intimidated into carrying out the abuse and could even be labelled victims of abuse. There are difficulties in understanding whether a mother is oppressed or a controlling perpetrator. This could explain why female perpetrators are not always recognised and is the reason children are left at risk. Officers appear to fluctuate between seeing mothers as secondary victims or perpetrators (Aplin 2019).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Some women are regarded as having no choice, probably because they are afraid for their own safety and must consider the risk to their own honour and reputation. There are arguments that this could have arisen from self-interest or fear (Payton, 2011 as cited in Aplin 2019 page 221). It could also be down to patriarchal bargain (Kandiyoti, 1988) where conforming to social norms, rather than personal relationships will give women greater protection, security, and stability.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I was met with the challenge of speaking with the parents. I used an interpreter to facilitate communication. For fear of repercussions, I chose not to tell them that NS had confirmed that she had been in a relationship with MI after considering the risks that she may be a victim of HBA. It was clear the parents were concerned about repercussions from their local community, and it would be detrimental to them if the community knew NS had been in a relationship with MI. They believed that MI was a bad influence on NS they told me that he dealt drugs and was grooming their daughter. I was mindful that this information did not affect my judgement of the case. Aplin's (2019) research outlined how perpetrators of HBA often demonise any outside influences, this can influence the decision making of police. Aplin`s research outlines that where an alleged criminal boyfriend is involved police often side with perpetrating parents rather than the victim. Police can be persuaded by the parents and conform to stereotypes that the victim`s boyfriend is an extremist, drug dealer or groomer. The officers doubt the truthfulness of the victim and the issue of HBA can become entirely side-tracked with the alleged harassment of the parents being prioritised. Labelling the victim as problematic can wrongly counterbalance the risks posed by parents. However, Aplin`s research also shows that not all officers are influenced by these tactics and some police officers understand the complicated dynamic and agendas involved in HBA and are aware of the tactics used to influence outcomes.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I was mindful not to accept the parents' explanations that NS was lying. Aplin goes on to say that officers do not always recognise cultural differences and the importance of recognising the trigger that a victim in a sexual relationship would bring shame. Instead, they are convinced by parents that it is the teenager's difficult behaviour that is causing problems. I was mindful of relying on my instinct that NS was not being truthful. This is supported by </w:t>
      </w:r>
      <w:r w:rsidR="005430C5">
        <w:rPr>
          <w:rFonts w:ascii="Times New Roman" w:hAnsi="Times New Roman" w:cs="Times New Roman"/>
        </w:rPr>
        <w:t>(Manning 1978) who states that o</w:t>
      </w:r>
      <w:r w:rsidRPr="00F24898">
        <w:rPr>
          <w:rFonts w:ascii="Times New Roman" w:hAnsi="Times New Roman" w:cs="Times New Roman"/>
        </w:rPr>
        <w:t>fficers often say that they can distinguish between tru</w:t>
      </w:r>
      <w:bookmarkStart w:id="0" w:name="_GoBack"/>
      <w:bookmarkEnd w:id="0"/>
      <w:r w:rsidRPr="00F24898">
        <w:rPr>
          <w:rFonts w:ascii="Times New Roman" w:hAnsi="Times New Roman" w:cs="Times New Roman"/>
        </w:rPr>
        <w:t xml:space="preserve">th and lies between genuine and non-genuine victims which suggests they make moral judgements and on the spot decisions on innocence or guilt. Officers misreading victims or situations can lead to the wrong decisions being made. This may explain why in Aplin's study that 73 percent of children were returned home to the perpetrators which is contrary to the NSPCC (2015) stance and main priority that victims should be believed. However, in contrast, Aplin's research also found evidence that victims do use the system to get out of the household. Children have expectations that going into care would be better than life at home so fabricate a complaint. Teenagers use the police as leverage for them to re-establish control over strict parents and attain increased freedoms.   </w:t>
      </w:r>
    </w:p>
    <w:p w:rsidR="00F24898" w:rsidRPr="00F24898" w:rsidRDefault="00F24898" w:rsidP="00F24898">
      <w:pPr>
        <w:rPr>
          <w:rFonts w:ascii="Times New Roman" w:hAnsi="Times New Roman" w:cs="Times New Roman"/>
        </w:rPr>
      </w:pPr>
      <w:r w:rsidRPr="00F24898">
        <w:rPr>
          <w:rFonts w:ascii="Times New Roman" w:hAnsi="Times New Roman" w:cs="Times New Roman"/>
        </w:rPr>
        <w:lastRenderedPageBreak/>
        <w:t xml:space="preserve">The challenges I identified within this investigation involved evaluating what NS was telling me against other concerns that I had recognised. I was concerned that the mother and sisters were not protective factors and believed that NS may be at risk even though I had no evidence of this. I also realised how critical it is to get advice and guidance from professionals in HBA risk assessments. I recognised that the assistance they could provide would be critical in meeting victim`s needs.  </w:t>
      </w:r>
    </w:p>
    <w:p w:rsidR="00F24898" w:rsidRPr="00F24898" w:rsidRDefault="00F24898" w:rsidP="00F24898">
      <w:pPr>
        <w:rPr>
          <w:rFonts w:ascii="Times New Roman" w:hAnsi="Times New Roman" w:cs="Times New Roman"/>
        </w:rPr>
      </w:pPr>
      <w:r w:rsidRPr="00F24898">
        <w:rPr>
          <w:rFonts w:ascii="Times New Roman" w:hAnsi="Times New Roman" w:cs="Times New Roman"/>
        </w:rPr>
        <w:t>A case conference was convened, and NS was discussed. Section 17 of the Children's Act (1989) places a duty on local authorities to safeguard and prioritise the welfare of children that live in their area. The child’s interest should be paramount even if it conflicts with the wishes of the parent. In the conference I communicated to the audience the information that I had gathered. Seeley (2013) states th</w:t>
      </w:r>
      <w:r w:rsidR="00561D9A">
        <w:rPr>
          <w:rFonts w:ascii="Times New Roman" w:hAnsi="Times New Roman" w:cs="Times New Roman"/>
        </w:rPr>
        <w:t>at the more precise and clearly</w:t>
      </w:r>
      <w:r w:rsidRPr="00F24898">
        <w:rPr>
          <w:rFonts w:ascii="Times New Roman" w:hAnsi="Times New Roman" w:cs="Times New Roman"/>
        </w:rPr>
        <w:t xml:space="preserve"> we do this the more effective we are at communicating. The meeting was made up of professionals who specialised in the field of HBA and family members whose first language was not English. I used appropriate language and terminology mindful of avoiding jargon and ensured that all present at the meeting understood my concerns. I did this by identifying non-verbal signals. The family members were encouraged to participate and put forward their views. This is supported by Dallimore et al (2008), the greater the number of individuals participating in the discussion, the more one’s arguments are challenged. This increases the opportunity to think through problems and solutions, formulate counterarguments, and respond thoughtfully.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I found this to be a difficult and challenging case. It made me realise how critical it is to recognise indicators of HBA early and the importance of conducting rigorous risk assessments and not jumping to conclusions based on preconceived ideas. This is supported by Taylor &amp; White (2006) who concluded that Professionals when making decisions, need to stay in uncertainty for longer in order avoid making quick judgements and wrongly interpreting situations.  </w:t>
      </w: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Aplin's (2019) research supports the view that women are vital to ending HBA. Professionals should consider the role played by the mother rather than assuming that she will naturally protect. The idea that women use violence against other women, particularly in their own families, can be upsetting and uncomfortable as it goes against feminist solidarity (Rew, Gangoli and Gill 2013) which may explain why the issue has received so little attention. </w:t>
      </w:r>
    </w:p>
    <w:p w:rsidR="00F24898" w:rsidRDefault="00DA7BFC" w:rsidP="00F24898">
      <w:pPr>
        <w:rPr>
          <w:rFonts w:ascii="Times New Roman" w:hAnsi="Times New Roman" w:cs="Times New Roman"/>
          <w:u w:val="single"/>
        </w:rPr>
      </w:pPr>
      <w:r>
        <w:rPr>
          <w:rFonts w:ascii="Times New Roman" w:hAnsi="Times New Roman" w:cs="Times New Roman"/>
          <w:u w:val="single"/>
        </w:rPr>
        <w:t>Word count – 2159</w:t>
      </w:r>
      <w:r w:rsidR="00F24898" w:rsidRPr="00CC51ED">
        <w:rPr>
          <w:rFonts w:ascii="Times New Roman" w:hAnsi="Times New Roman" w:cs="Times New Roman"/>
          <w:u w:val="single"/>
        </w:rPr>
        <w:t xml:space="preserve">  </w:t>
      </w:r>
    </w:p>
    <w:p w:rsidR="00CC51ED" w:rsidRPr="00CC51ED" w:rsidRDefault="00CC51ED" w:rsidP="00F24898">
      <w:pPr>
        <w:rPr>
          <w:rFonts w:ascii="Times New Roman" w:hAnsi="Times New Roman" w:cs="Times New Roman"/>
          <w:u w:val="single"/>
        </w:rPr>
      </w:pPr>
    </w:p>
    <w:p w:rsidR="00827C13" w:rsidRDefault="00827C13" w:rsidP="00F24898">
      <w:pPr>
        <w:rPr>
          <w:rFonts w:ascii="Times New Roman" w:hAnsi="Times New Roman" w:cs="Times New Roman"/>
          <w:u w:val="single"/>
        </w:rPr>
      </w:pPr>
    </w:p>
    <w:p w:rsidR="00F24898" w:rsidRPr="00827C13" w:rsidRDefault="00827C13" w:rsidP="00F24898">
      <w:pPr>
        <w:rPr>
          <w:rFonts w:ascii="Times New Roman" w:hAnsi="Times New Roman" w:cs="Times New Roman"/>
          <w:u w:val="single"/>
        </w:rPr>
      </w:pPr>
      <w:r>
        <w:rPr>
          <w:rFonts w:ascii="Times New Roman" w:hAnsi="Times New Roman" w:cs="Times New Roman"/>
          <w:u w:val="single"/>
        </w:rPr>
        <w:t xml:space="preserve">References – Question 2 </w:t>
      </w:r>
    </w:p>
    <w:p w:rsidR="00F24898" w:rsidRPr="00F24898" w:rsidRDefault="00827C13" w:rsidP="00F24898">
      <w:pPr>
        <w:rPr>
          <w:rFonts w:ascii="Times New Roman" w:hAnsi="Times New Roman" w:cs="Times New Roman"/>
        </w:rPr>
      </w:pPr>
      <w:r>
        <w:rPr>
          <w:rFonts w:ascii="Times New Roman" w:hAnsi="Times New Roman" w:cs="Times New Roman"/>
        </w:rPr>
        <w:t>Aplin, R (2019)</w:t>
      </w:r>
      <w:r w:rsidR="00F24898" w:rsidRPr="00F24898">
        <w:rPr>
          <w:rFonts w:ascii="Times New Roman" w:hAnsi="Times New Roman" w:cs="Times New Roman"/>
        </w:rPr>
        <w:t xml:space="preserve"> </w:t>
      </w:r>
      <w:r w:rsidR="00F24898" w:rsidRPr="00827C13">
        <w:rPr>
          <w:rFonts w:ascii="Times New Roman" w:hAnsi="Times New Roman" w:cs="Times New Roman"/>
          <w:i/>
        </w:rPr>
        <w:t>Policing UK Honour based Abuse Crime.</w:t>
      </w:r>
      <w:r>
        <w:rPr>
          <w:rFonts w:ascii="Times New Roman" w:hAnsi="Times New Roman" w:cs="Times New Roman"/>
        </w:rPr>
        <w:t xml:space="preserve"> 1st edition.</w:t>
      </w:r>
      <w:r w:rsidR="00F24898" w:rsidRPr="00F24898">
        <w:rPr>
          <w:rFonts w:ascii="Times New Roman" w:hAnsi="Times New Roman" w:cs="Times New Roman"/>
        </w:rPr>
        <w:t xml:space="preserve"> Springer Inte</w:t>
      </w:r>
      <w:r>
        <w:rPr>
          <w:rFonts w:ascii="Times New Roman" w:hAnsi="Times New Roman" w:cs="Times New Roman"/>
        </w:rPr>
        <w:t>rnational Publishing.</w:t>
      </w:r>
    </w:p>
    <w:p w:rsidR="00F24898" w:rsidRPr="00F24898" w:rsidRDefault="00F24898" w:rsidP="00F24898">
      <w:pPr>
        <w:rPr>
          <w:rFonts w:ascii="Times New Roman" w:hAnsi="Times New Roman" w:cs="Times New Roman"/>
        </w:rPr>
      </w:pPr>
    </w:p>
    <w:p w:rsidR="00F24898" w:rsidRPr="00F24898" w:rsidRDefault="00827C13" w:rsidP="00F24898">
      <w:pPr>
        <w:rPr>
          <w:rFonts w:ascii="Times New Roman" w:hAnsi="Times New Roman" w:cs="Times New Roman"/>
        </w:rPr>
      </w:pPr>
      <w:r>
        <w:rPr>
          <w:rFonts w:ascii="Times New Roman" w:hAnsi="Times New Roman" w:cs="Times New Roman"/>
        </w:rPr>
        <w:t>Bates, L (2018)</w:t>
      </w:r>
      <w:r w:rsidR="00F24898" w:rsidRPr="00F24898">
        <w:rPr>
          <w:rFonts w:ascii="Times New Roman" w:hAnsi="Times New Roman" w:cs="Times New Roman"/>
        </w:rPr>
        <w:t xml:space="preserve"> </w:t>
      </w:r>
      <w:r>
        <w:rPr>
          <w:rFonts w:ascii="Times New Roman" w:hAnsi="Times New Roman" w:cs="Times New Roman"/>
        </w:rPr>
        <w:t>`</w:t>
      </w:r>
      <w:r w:rsidR="00F24898" w:rsidRPr="00F24898">
        <w:rPr>
          <w:rFonts w:ascii="Times New Roman" w:hAnsi="Times New Roman" w:cs="Times New Roman"/>
        </w:rPr>
        <w:t>Females perpetrating honour-based abuse: Controllers, Collaborators or Coerced</w:t>
      </w:r>
      <w:r>
        <w:rPr>
          <w:rFonts w:ascii="Times New Roman" w:hAnsi="Times New Roman" w:cs="Times New Roman"/>
        </w:rPr>
        <w:t>`</w:t>
      </w:r>
      <w:r w:rsidR="00F24898" w:rsidRPr="00F24898">
        <w:rPr>
          <w:rFonts w:ascii="Times New Roman" w:hAnsi="Times New Roman" w:cs="Times New Roman"/>
        </w:rPr>
        <w:t xml:space="preserve">. </w:t>
      </w:r>
      <w:r w:rsidR="00F24898" w:rsidRPr="00827C13">
        <w:rPr>
          <w:rFonts w:ascii="Times New Roman" w:hAnsi="Times New Roman" w:cs="Times New Roman"/>
          <w:i/>
        </w:rPr>
        <w:t>Journal of Aggression</w:t>
      </w:r>
      <w:r w:rsidR="00F24898" w:rsidRPr="00F24898">
        <w:rPr>
          <w:rFonts w:ascii="Times New Roman" w:hAnsi="Times New Roman" w:cs="Times New Roman"/>
        </w:rPr>
        <w:t>. Conflict and Peace</w:t>
      </w:r>
      <w:r>
        <w:rPr>
          <w:rFonts w:ascii="Times New Roman" w:hAnsi="Times New Roman" w:cs="Times New Roman"/>
        </w:rPr>
        <w:t xml:space="preserve"> research, Volume 10, Issue 4, P</w:t>
      </w:r>
      <w:r w:rsidR="00F24898" w:rsidRPr="00F24898">
        <w:rPr>
          <w:rFonts w:ascii="Times New Roman" w:hAnsi="Times New Roman" w:cs="Times New Roman"/>
        </w:rPr>
        <w:t>p. 293-303</w:t>
      </w:r>
    </w:p>
    <w:p w:rsidR="00F24898" w:rsidRPr="00F24898" w:rsidRDefault="00F24898" w:rsidP="00F24898">
      <w:pPr>
        <w:rPr>
          <w:rFonts w:ascii="Times New Roman" w:hAnsi="Times New Roman" w:cs="Times New Roman"/>
        </w:rPr>
      </w:pPr>
    </w:p>
    <w:p w:rsidR="00F24898" w:rsidRPr="00F24898" w:rsidRDefault="00827C13" w:rsidP="00F24898">
      <w:pPr>
        <w:rPr>
          <w:rFonts w:ascii="Times New Roman" w:hAnsi="Times New Roman" w:cs="Times New Roman"/>
        </w:rPr>
      </w:pPr>
      <w:r>
        <w:rPr>
          <w:rFonts w:ascii="Times New Roman" w:hAnsi="Times New Roman" w:cs="Times New Roman"/>
        </w:rPr>
        <w:t>Belur, J (2008)</w:t>
      </w:r>
      <w:r w:rsidR="00F24898" w:rsidRPr="00F24898">
        <w:rPr>
          <w:rFonts w:ascii="Times New Roman" w:hAnsi="Times New Roman" w:cs="Times New Roman"/>
        </w:rPr>
        <w:t xml:space="preserve"> </w:t>
      </w:r>
      <w:r>
        <w:rPr>
          <w:rFonts w:ascii="Times New Roman" w:hAnsi="Times New Roman" w:cs="Times New Roman"/>
        </w:rPr>
        <w:t>`</w:t>
      </w:r>
      <w:r w:rsidR="00F24898" w:rsidRPr="00F24898">
        <w:rPr>
          <w:rFonts w:ascii="Times New Roman" w:hAnsi="Times New Roman" w:cs="Times New Roman"/>
        </w:rPr>
        <w:t>Is Policing domestic violence institutionally racist? A case study of South Asian Women</w:t>
      </w:r>
      <w:r>
        <w:rPr>
          <w:rFonts w:ascii="Times New Roman" w:hAnsi="Times New Roman" w:cs="Times New Roman"/>
        </w:rPr>
        <w:t xml:space="preserve">`. </w:t>
      </w:r>
      <w:r w:rsidRPr="00827C13">
        <w:rPr>
          <w:rFonts w:ascii="Times New Roman" w:hAnsi="Times New Roman" w:cs="Times New Roman"/>
          <w:i/>
        </w:rPr>
        <w:t>Policing and Society</w:t>
      </w:r>
      <w:r>
        <w:rPr>
          <w:rFonts w:ascii="Times New Roman" w:hAnsi="Times New Roman" w:cs="Times New Roman"/>
        </w:rPr>
        <w:t>. Pp</w:t>
      </w:r>
      <w:r w:rsidR="00F24898" w:rsidRPr="00F24898">
        <w:rPr>
          <w:rFonts w:ascii="Times New Roman" w:hAnsi="Times New Roman" w:cs="Times New Roman"/>
        </w:rPr>
        <w:t xml:space="preserve"> 426-444 </w:t>
      </w:r>
    </w:p>
    <w:p w:rsidR="00827C13" w:rsidRDefault="00827C13" w:rsidP="00F24898">
      <w:pPr>
        <w:rPr>
          <w:rFonts w:ascii="Times New Roman" w:hAnsi="Times New Roman" w:cs="Times New Roman"/>
        </w:rPr>
      </w:pPr>
    </w:p>
    <w:p w:rsidR="00F24898" w:rsidRDefault="00F24898" w:rsidP="00F24898">
      <w:pPr>
        <w:rPr>
          <w:rFonts w:ascii="Times New Roman" w:hAnsi="Times New Roman" w:cs="Times New Roman"/>
        </w:rPr>
      </w:pPr>
      <w:r w:rsidRPr="00F24898">
        <w:rPr>
          <w:rFonts w:ascii="Times New Roman" w:hAnsi="Times New Roman" w:cs="Times New Roman"/>
        </w:rPr>
        <w:lastRenderedPageBreak/>
        <w:t xml:space="preserve">Burman E, Smailes S, Chantler, Khatidja (2004-08). </w:t>
      </w:r>
      <w:r w:rsidR="00827C13">
        <w:rPr>
          <w:rFonts w:ascii="Times New Roman" w:hAnsi="Times New Roman" w:cs="Times New Roman"/>
        </w:rPr>
        <w:t>`</w:t>
      </w:r>
      <w:r w:rsidRPr="00F24898">
        <w:rPr>
          <w:rFonts w:ascii="Times New Roman" w:hAnsi="Times New Roman" w:cs="Times New Roman"/>
        </w:rPr>
        <w:t>`Culture` as a Barrier to Service Provision and Delivery: Domestic Violence Services for Minoritized Women</w:t>
      </w:r>
      <w:r w:rsidR="00827C13">
        <w:rPr>
          <w:rFonts w:ascii="Times New Roman" w:hAnsi="Times New Roman" w:cs="Times New Roman"/>
        </w:rPr>
        <w:t xml:space="preserve">`. </w:t>
      </w:r>
      <w:r w:rsidR="00827C13" w:rsidRPr="00827C13">
        <w:rPr>
          <w:rFonts w:ascii="Times New Roman" w:hAnsi="Times New Roman" w:cs="Times New Roman"/>
          <w:i/>
        </w:rPr>
        <w:t>Critical social policy</w:t>
      </w:r>
      <w:r w:rsidR="00827C13">
        <w:rPr>
          <w:rFonts w:ascii="Times New Roman" w:hAnsi="Times New Roman" w:cs="Times New Roman"/>
        </w:rPr>
        <w:t>. Volume 24, P</w:t>
      </w:r>
      <w:r w:rsidR="00D452D9">
        <w:rPr>
          <w:rFonts w:ascii="Times New Roman" w:hAnsi="Times New Roman" w:cs="Times New Roman"/>
        </w:rPr>
        <w:t xml:space="preserve">p 332- 357 </w:t>
      </w:r>
    </w:p>
    <w:p w:rsidR="00D452D9" w:rsidRDefault="00D452D9" w:rsidP="00F24898">
      <w:pPr>
        <w:rPr>
          <w:rFonts w:ascii="Times New Roman" w:hAnsi="Times New Roman" w:cs="Times New Roman"/>
        </w:rPr>
      </w:pPr>
    </w:p>
    <w:p w:rsidR="00D452D9" w:rsidRPr="00F24898" w:rsidRDefault="00D452D9" w:rsidP="00F24898">
      <w:pPr>
        <w:rPr>
          <w:rFonts w:ascii="Times New Roman" w:hAnsi="Times New Roman" w:cs="Times New Roman"/>
        </w:rPr>
      </w:pPr>
      <w:r w:rsidRPr="00D452D9">
        <w:rPr>
          <w:rFonts w:ascii="Times New Roman" w:hAnsi="Times New Roman" w:cs="Times New Roman"/>
        </w:rPr>
        <w:t>Cantle, T (2001) Review of community cohesion in Oldham, The Institute of Community Cohesion, Coventry University, Coventry.</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Carens, J (2006) </w:t>
      </w:r>
      <w:r w:rsidRPr="00827C13">
        <w:rPr>
          <w:rFonts w:ascii="Times New Roman" w:hAnsi="Times New Roman" w:cs="Times New Roman"/>
          <w:i/>
        </w:rPr>
        <w:t>Culture, citizenship and community: A contextual exploration of justice as evenhanded-ness</w:t>
      </w:r>
      <w:r w:rsidRPr="00F24898">
        <w:rPr>
          <w:rFonts w:ascii="Times New Roman" w:hAnsi="Times New Roman" w:cs="Times New Roman"/>
        </w:rPr>
        <w:t xml:space="preserve">. Oxford: Oxford University Press. </w:t>
      </w:r>
    </w:p>
    <w:p w:rsidR="00F24898" w:rsidRPr="00F24898" w:rsidRDefault="00F24898" w:rsidP="00F24898">
      <w:pPr>
        <w:rPr>
          <w:rFonts w:ascii="Times New Roman" w:hAnsi="Times New Roman" w:cs="Times New Roman"/>
        </w:rPr>
      </w:pPr>
    </w:p>
    <w:p w:rsidR="00F24898" w:rsidRPr="00F24898" w:rsidRDefault="00827C13" w:rsidP="00F24898">
      <w:pPr>
        <w:rPr>
          <w:rFonts w:ascii="Times New Roman" w:hAnsi="Times New Roman" w:cs="Times New Roman"/>
        </w:rPr>
      </w:pPr>
      <w:r>
        <w:rPr>
          <w:rFonts w:ascii="Times New Roman" w:hAnsi="Times New Roman" w:cs="Times New Roman"/>
        </w:rPr>
        <w:t>Chesler, P (2009) `</w:t>
      </w:r>
      <w:r w:rsidR="00F24898" w:rsidRPr="00F24898">
        <w:rPr>
          <w:rFonts w:ascii="Times New Roman" w:hAnsi="Times New Roman" w:cs="Times New Roman"/>
        </w:rPr>
        <w:t>Are honour killings simply domestic violence?</w:t>
      </w:r>
      <w:r>
        <w:rPr>
          <w:rFonts w:ascii="Times New Roman" w:hAnsi="Times New Roman" w:cs="Times New Roman"/>
        </w:rPr>
        <w:t>`</w:t>
      </w:r>
      <w:r w:rsidR="00F24898" w:rsidRPr="00F24898">
        <w:rPr>
          <w:rFonts w:ascii="Times New Roman" w:hAnsi="Times New Roman" w:cs="Times New Roman"/>
        </w:rPr>
        <w:t xml:space="preserve"> </w:t>
      </w:r>
      <w:r w:rsidRPr="00732F83">
        <w:rPr>
          <w:rFonts w:ascii="Times New Roman" w:hAnsi="Times New Roman" w:cs="Times New Roman"/>
          <w:i/>
        </w:rPr>
        <w:t>Middle East quarterly</w:t>
      </w:r>
      <w:r>
        <w:rPr>
          <w:rFonts w:ascii="Times New Roman" w:hAnsi="Times New Roman" w:cs="Times New Roman"/>
        </w:rPr>
        <w:t xml:space="preserve">. Volume 16. Issue 2. Pp G1 </w:t>
      </w:r>
    </w:p>
    <w:p w:rsidR="00F24898" w:rsidRPr="00F24898" w:rsidRDefault="00F24898" w:rsidP="00F24898">
      <w:pPr>
        <w:rPr>
          <w:rFonts w:ascii="Times New Roman" w:hAnsi="Times New Roman" w:cs="Times New Roman"/>
        </w:rPr>
      </w:pPr>
    </w:p>
    <w:p w:rsidR="00F24898" w:rsidRDefault="00732F83" w:rsidP="00F24898">
      <w:pPr>
        <w:rPr>
          <w:rFonts w:ascii="Times New Roman" w:hAnsi="Times New Roman" w:cs="Times New Roman"/>
        </w:rPr>
      </w:pPr>
      <w:r>
        <w:rPr>
          <w:rFonts w:ascii="Times New Roman" w:hAnsi="Times New Roman" w:cs="Times New Roman"/>
        </w:rPr>
        <w:t>Chesler, P (2010) `</w:t>
      </w:r>
      <w:r w:rsidR="00F24898" w:rsidRPr="00F24898">
        <w:rPr>
          <w:rFonts w:ascii="Times New Roman" w:hAnsi="Times New Roman" w:cs="Times New Roman"/>
        </w:rPr>
        <w:t>Worldwide trends in honour killings</w:t>
      </w:r>
      <w:r>
        <w:rPr>
          <w:rFonts w:ascii="Times New Roman" w:hAnsi="Times New Roman" w:cs="Times New Roman"/>
        </w:rPr>
        <w:t>`</w:t>
      </w:r>
      <w:r w:rsidR="00F24898" w:rsidRPr="00F24898">
        <w:rPr>
          <w:rFonts w:ascii="Times New Roman" w:hAnsi="Times New Roman" w:cs="Times New Roman"/>
        </w:rPr>
        <w:t xml:space="preserve">. </w:t>
      </w:r>
      <w:r w:rsidR="00F24898" w:rsidRPr="00732F83">
        <w:rPr>
          <w:rFonts w:ascii="Times New Roman" w:hAnsi="Times New Roman" w:cs="Times New Roman"/>
          <w:i/>
        </w:rPr>
        <w:t>Middle East quarterly</w:t>
      </w:r>
      <w:r>
        <w:rPr>
          <w:rFonts w:ascii="Times New Roman" w:hAnsi="Times New Roman" w:cs="Times New Roman"/>
        </w:rPr>
        <w:t>. Volume 17. Issue 2. Pp 3</w:t>
      </w:r>
      <w:r w:rsidR="00F24898" w:rsidRPr="00F24898">
        <w:rPr>
          <w:rFonts w:ascii="Times New Roman" w:hAnsi="Times New Roman" w:cs="Times New Roman"/>
        </w:rPr>
        <w:t xml:space="preserve"> </w:t>
      </w:r>
    </w:p>
    <w:p w:rsidR="00732F83" w:rsidRPr="00F24898" w:rsidRDefault="00732F83"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Children`s Act </w:t>
      </w:r>
      <w:r w:rsidR="00732F83">
        <w:rPr>
          <w:rFonts w:ascii="Times New Roman" w:hAnsi="Times New Roman" w:cs="Times New Roman"/>
        </w:rPr>
        <w:t>(</w:t>
      </w:r>
      <w:r w:rsidRPr="00F24898">
        <w:rPr>
          <w:rFonts w:ascii="Times New Roman" w:hAnsi="Times New Roman" w:cs="Times New Roman"/>
        </w:rPr>
        <w:t>1989</w:t>
      </w:r>
      <w:r w:rsidR="00732F83">
        <w:rPr>
          <w:rFonts w:ascii="Times New Roman" w:hAnsi="Times New Roman" w:cs="Times New Roman"/>
        </w:rPr>
        <w:t>)</w:t>
      </w:r>
      <w:r w:rsidRPr="00F24898">
        <w:rPr>
          <w:rFonts w:ascii="Times New Roman" w:hAnsi="Times New Roman" w:cs="Times New Roman"/>
        </w:rPr>
        <w:t xml:space="preserve"> </w:t>
      </w:r>
      <w:r w:rsidR="00732F83" w:rsidRPr="00732F83">
        <w:rPr>
          <w:rFonts w:ascii="Times New Roman" w:hAnsi="Times New Roman" w:cs="Times New Roman"/>
          <w:i/>
        </w:rPr>
        <w:t>UK Public General Acts. C 41. Part III Provisions of services for children in need, their families and others</w:t>
      </w:r>
      <w:r w:rsidR="00732F83">
        <w:rPr>
          <w:rFonts w:ascii="Times New Roman" w:hAnsi="Times New Roman" w:cs="Times New Roman"/>
        </w:rPr>
        <w:t xml:space="preserve">. Available at: http://www.legislation.gov.uk . </w:t>
      </w:r>
      <w:r w:rsidRPr="00F24898">
        <w:rPr>
          <w:rFonts w:ascii="Times New Roman" w:hAnsi="Times New Roman" w:cs="Times New Roman"/>
        </w:rPr>
        <w:t xml:space="preserve">(Accessed 20 December 2021) </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Cooney, M. (2014). </w:t>
      </w:r>
      <w:r w:rsidR="00217311">
        <w:rPr>
          <w:rFonts w:ascii="Times New Roman" w:hAnsi="Times New Roman" w:cs="Times New Roman"/>
        </w:rPr>
        <w:t>`</w:t>
      </w:r>
      <w:r w:rsidRPr="00F24898">
        <w:rPr>
          <w:rFonts w:ascii="Times New Roman" w:hAnsi="Times New Roman" w:cs="Times New Roman"/>
        </w:rPr>
        <w:t>Death by family: Honour violence as punishment</w:t>
      </w:r>
      <w:r w:rsidR="00217311">
        <w:rPr>
          <w:rFonts w:ascii="Times New Roman" w:hAnsi="Times New Roman" w:cs="Times New Roman"/>
        </w:rPr>
        <w:t>`</w:t>
      </w:r>
      <w:r w:rsidRPr="00F24898">
        <w:rPr>
          <w:rFonts w:ascii="Times New Roman" w:hAnsi="Times New Roman" w:cs="Times New Roman"/>
        </w:rPr>
        <w:t xml:space="preserve">. </w:t>
      </w:r>
      <w:r w:rsidRPr="00217311">
        <w:rPr>
          <w:rFonts w:ascii="Times New Roman" w:hAnsi="Times New Roman" w:cs="Times New Roman"/>
          <w:i/>
        </w:rPr>
        <w:t>Punishment &amp; Society</w:t>
      </w:r>
      <w:r w:rsidR="00217311">
        <w:rPr>
          <w:rFonts w:ascii="Times New Roman" w:hAnsi="Times New Roman" w:cs="Times New Roman"/>
        </w:rPr>
        <w:t>. Volume 16. Issue 4. Pp</w:t>
      </w:r>
      <w:r w:rsidRPr="00F24898">
        <w:rPr>
          <w:rFonts w:ascii="Times New Roman" w:hAnsi="Times New Roman" w:cs="Times New Roman"/>
        </w:rPr>
        <w:t xml:space="preserve"> 406-427 .</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Dallimore E, Hertenstein J, Platt M, Washington H. (2008) </w:t>
      </w:r>
      <w:r w:rsidR="00217311">
        <w:rPr>
          <w:rFonts w:ascii="Times New Roman" w:hAnsi="Times New Roman" w:cs="Times New Roman"/>
        </w:rPr>
        <w:t>`</w:t>
      </w:r>
      <w:r w:rsidRPr="00F24898">
        <w:rPr>
          <w:rFonts w:ascii="Times New Roman" w:hAnsi="Times New Roman" w:cs="Times New Roman"/>
        </w:rPr>
        <w:t>Using Discussion pedagogy to enhance Oral and Written Communication Skills</w:t>
      </w:r>
      <w:r w:rsidR="00217311">
        <w:rPr>
          <w:rFonts w:ascii="Times New Roman" w:hAnsi="Times New Roman" w:cs="Times New Roman"/>
        </w:rPr>
        <w:t>`</w:t>
      </w:r>
      <w:r w:rsidRPr="00F24898">
        <w:rPr>
          <w:rFonts w:ascii="Times New Roman" w:hAnsi="Times New Roman" w:cs="Times New Roman"/>
        </w:rPr>
        <w:t xml:space="preserve">. </w:t>
      </w:r>
      <w:r w:rsidRPr="00217311">
        <w:rPr>
          <w:rFonts w:ascii="Times New Roman" w:hAnsi="Times New Roman" w:cs="Times New Roman"/>
          <w:i/>
        </w:rPr>
        <w:t>College Teaching</w:t>
      </w:r>
      <w:r w:rsidRPr="00F24898">
        <w:rPr>
          <w:rFonts w:ascii="Times New Roman" w:hAnsi="Times New Roman" w:cs="Times New Roman"/>
        </w:rPr>
        <w:t>. Vol</w:t>
      </w:r>
      <w:r w:rsidR="00217311">
        <w:rPr>
          <w:rFonts w:ascii="Times New Roman" w:hAnsi="Times New Roman" w:cs="Times New Roman"/>
        </w:rPr>
        <w:t>ume</w:t>
      </w:r>
      <w:r w:rsidRPr="00F24898">
        <w:rPr>
          <w:rFonts w:ascii="Times New Roman" w:hAnsi="Times New Roman" w:cs="Times New Roman"/>
        </w:rPr>
        <w:t xml:space="preserve"> 56</w:t>
      </w:r>
      <w:r w:rsidR="00217311">
        <w:rPr>
          <w:rFonts w:ascii="Times New Roman" w:hAnsi="Times New Roman" w:cs="Times New Roman"/>
        </w:rPr>
        <w:t xml:space="preserve">. Issue 3. </w:t>
      </w:r>
      <w:r w:rsidRPr="00F24898">
        <w:rPr>
          <w:rFonts w:ascii="Times New Roman" w:hAnsi="Times New Roman" w:cs="Times New Roman"/>
        </w:rPr>
        <w:t>P</w:t>
      </w:r>
      <w:r w:rsidR="00217311">
        <w:rPr>
          <w:rFonts w:ascii="Times New Roman" w:hAnsi="Times New Roman" w:cs="Times New Roman"/>
        </w:rPr>
        <w:t>p</w:t>
      </w:r>
      <w:r w:rsidRPr="00F24898">
        <w:rPr>
          <w:rFonts w:ascii="Times New Roman" w:hAnsi="Times New Roman" w:cs="Times New Roman"/>
        </w:rPr>
        <w:t xml:space="preserve"> 163 – 172  </w:t>
      </w:r>
    </w:p>
    <w:p w:rsidR="00F24898" w:rsidRPr="00F24898" w:rsidRDefault="00F24898" w:rsidP="00F24898">
      <w:pPr>
        <w:rPr>
          <w:rFonts w:ascii="Times New Roman" w:hAnsi="Times New Roman" w:cs="Times New Roman"/>
        </w:rPr>
      </w:pPr>
    </w:p>
    <w:p w:rsidR="00F24898" w:rsidRPr="00F24898" w:rsidRDefault="00217311" w:rsidP="00F24898">
      <w:pPr>
        <w:rPr>
          <w:rFonts w:ascii="Times New Roman" w:hAnsi="Times New Roman" w:cs="Times New Roman"/>
        </w:rPr>
      </w:pPr>
      <w:r>
        <w:rPr>
          <w:rFonts w:ascii="Times New Roman" w:hAnsi="Times New Roman" w:cs="Times New Roman"/>
        </w:rPr>
        <w:t>Eisner, M &amp; Ghuneim L (2013)</w:t>
      </w:r>
      <w:r w:rsidR="00F24898" w:rsidRPr="00F24898">
        <w:rPr>
          <w:rFonts w:ascii="Times New Roman" w:hAnsi="Times New Roman" w:cs="Times New Roman"/>
        </w:rPr>
        <w:t xml:space="preserve"> </w:t>
      </w:r>
      <w:r>
        <w:rPr>
          <w:rFonts w:ascii="Times New Roman" w:hAnsi="Times New Roman" w:cs="Times New Roman"/>
        </w:rPr>
        <w:t>`</w:t>
      </w:r>
      <w:r w:rsidR="00F24898" w:rsidRPr="00F24898">
        <w:rPr>
          <w:rFonts w:ascii="Times New Roman" w:hAnsi="Times New Roman" w:cs="Times New Roman"/>
        </w:rPr>
        <w:t>Honour killing attitudes amongst adolescents in Amman, Jordan</w:t>
      </w:r>
      <w:r>
        <w:rPr>
          <w:rFonts w:ascii="Times New Roman" w:hAnsi="Times New Roman" w:cs="Times New Roman"/>
        </w:rPr>
        <w:t>`</w:t>
      </w:r>
      <w:r w:rsidR="00F24898" w:rsidRPr="00F24898">
        <w:rPr>
          <w:rFonts w:ascii="Times New Roman" w:hAnsi="Times New Roman" w:cs="Times New Roman"/>
        </w:rPr>
        <w:t xml:space="preserve">. </w:t>
      </w:r>
      <w:r w:rsidR="00F24898" w:rsidRPr="00217311">
        <w:rPr>
          <w:rFonts w:ascii="Times New Roman" w:hAnsi="Times New Roman" w:cs="Times New Roman"/>
          <w:i/>
        </w:rPr>
        <w:t>Aggressive behaviour</w:t>
      </w:r>
      <w:r>
        <w:rPr>
          <w:rFonts w:ascii="Times New Roman" w:hAnsi="Times New Roman" w:cs="Times New Roman"/>
        </w:rPr>
        <w:t xml:space="preserve">. Volume </w:t>
      </w:r>
      <w:r w:rsidR="00F24898" w:rsidRPr="00F24898">
        <w:rPr>
          <w:rFonts w:ascii="Times New Roman" w:hAnsi="Times New Roman" w:cs="Times New Roman"/>
        </w:rPr>
        <w:t>39</w:t>
      </w:r>
      <w:r>
        <w:rPr>
          <w:rFonts w:ascii="Times New Roman" w:hAnsi="Times New Roman" w:cs="Times New Roman"/>
        </w:rPr>
        <w:t>. Issue 5</w:t>
      </w:r>
      <w:r w:rsidR="00F24898" w:rsidRPr="00F24898">
        <w:rPr>
          <w:rFonts w:ascii="Times New Roman" w:hAnsi="Times New Roman" w:cs="Times New Roman"/>
        </w:rPr>
        <w:t xml:space="preserve"> </w:t>
      </w:r>
      <w:r>
        <w:rPr>
          <w:rFonts w:ascii="Times New Roman" w:hAnsi="Times New Roman" w:cs="Times New Roman"/>
        </w:rPr>
        <w:t>Pp 405-417</w:t>
      </w:r>
      <w:r w:rsidR="00F24898" w:rsidRPr="00F24898">
        <w:rPr>
          <w:rFonts w:ascii="Times New Roman" w:hAnsi="Times New Roman" w:cs="Times New Roman"/>
        </w:rPr>
        <w:t>.</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Gangoli, G</w:t>
      </w:r>
      <w:r w:rsidR="00217311">
        <w:rPr>
          <w:rFonts w:ascii="Times New Roman" w:hAnsi="Times New Roman" w:cs="Times New Roman"/>
        </w:rPr>
        <w:t>; Razak, A &amp; McCarry, M. (2006)</w:t>
      </w:r>
      <w:r w:rsidRPr="00F24898">
        <w:rPr>
          <w:rFonts w:ascii="Times New Roman" w:hAnsi="Times New Roman" w:cs="Times New Roman"/>
        </w:rPr>
        <w:t xml:space="preserve"> </w:t>
      </w:r>
      <w:r w:rsidRPr="00217311">
        <w:rPr>
          <w:rFonts w:ascii="Times New Roman" w:hAnsi="Times New Roman" w:cs="Times New Roman"/>
          <w:i/>
        </w:rPr>
        <w:t>Forced marriage and domestic violence among South Asian communities in North East England</w:t>
      </w:r>
      <w:r w:rsidRPr="00F24898">
        <w:rPr>
          <w:rFonts w:ascii="Times New Roman" w:hAnsi="Times New Roman" w:cs="Times New Roman"/>
        </w:rPr>
        <w:t>. School for Policy Studies, University of Bristol</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Her Majesty`s Inspectora</w:t>
      </w:r>
      <w:r w:rsidR="00217311">
        <w:rPr>
          <w:rFonts w:ascii="Times New Roman" w:hAnsi="Times New Roman" w:cs="Times New Roman"/>
        </w:rPr>
        <w:t>te of Constabulary - HMIC (2014</w:t>
      </w:r>
      <w:r w:rsidRPr="00F24898">
        <w:rPr>
          <w:rFonts w:ascii="Times New Roman" w:hAnsi="Times New Roman" w:cs="Times New Roman"/>
        </w:rPr>
        <w:t xml:space="preserve">). </w:t>
      </w:r>
      <w:r w:rsidRPr="00217311">
        <w:rPr>
          <w:rFonts w:ascii="Times New Roman" w:hAnsi="Times New Roman" w:cs="Times New Roman"/>
          <w:i/>
        </w:rPr>
        <w:t>Everyone’s business: Improving the Po</w:t>
      </w:r>
      <w:r w:rsidR="00217311" w:rsidRPr="00217311">
        <w:rPr>
          <w:rFonts w:ascii="Times New Roman" w:hAnsi="Times New Roman" w:cs="Times New Roman"/>
          <w:i/>
        </w:rPr>
        <w:t>lice response to domestic abuse</w:t>
      </w:r>
      <w:r w:rsidRPr="00F24898">
        <w:rPr>
          <w:rFonts w:ascii="Times New Roman" w:hAnsi="Times New Roman" w:cs="Times New Roman"/>
        </w:rPr>
        <w:t xml:space="preserve">. London </w:t>
      </w:r>
    </w:p>
    <w:p w:rsidR="00F24898" w:rsidRPr="00F24898" w:rsidRDefault="00F24898" w:rsidP="00F24898">
      <w:pPr>
        <w:rPr>
          <w:rFonts w:ascii="Times New Roman" w:hAnsi="Times New Roman" w:cs="Times New Roman"/>
        </w:rPr>
      </w:pPr>
    </w:p>
    <w:p w:rsidR="00F24898" w:rsidRPr="00217311" w:rsidRDefault="00F24898" w:rsidP="00F24898">
      <w:pPr>
        <w:rPr>
          <w:rFonts w:ascii="Times New Roman" w:hAnsi="Times New Roman" w:cs="Times New Roman"/>
        </w:rPr>
      </w:pPr>
      <w:r w:rsidRPr="00F24898">
        <w:rPr>
          <w:rFonts w:ascii="Times New Roman" w:hAnsi="Times New Roman" w:cs="Times New Roman"/>
        </w:rPr>
        <w:t>Her Majesty’s</w:t>
      </w:r>
      <w:r w:rsidR="00217311">
        <w:rPr>
          <w:rFonts w:ascii="Times New Roman" w:hAnsi="Times New Roman" w:cs="Times New Roman"/>
        </w:rPr>
        <w:t xml:space="preserve"> Inspectorate of Constabulary –HMIC </w:t>
      </w:r>
      <w:r w:rsidRPr="00F24898">
        <w:rPr>
          <w:rFonts w:ascii="Times New Roman" w:hAnsi="Times New Roman" w:cs="Times New Roman"/>
        </w:rPr>
        <w:t xml:space="preserve">(2015). </w:t>
      </w:r>
      <w:r w:rsidRPr="00217311">
        <w:rPr>
          <w:rFonts w:ascii="Times New Roman" w:hAnsi="Times New Roman" w:cs="Times New Roman"/>
          <w:i/>
        </w:rPr>
        <w:t>The depths of dishonour: Hidden voices and shameful crimes: An inspection of the police response to honour-based violence, forced marriage and female genital mutilation</w:t>
      </w:r>
      <w:r w:rsidR="00217311">
        <w:rPr>
          <w:rFonts w:ascii="Times New Roman" w:hAnsi="Times New Roman" w:cs="Times New Roman"/>
          <w:i/>
        </w:rPr>
        <w:t xml:space="preserve">. </w:t>
      </w:r>
      <w:r w:rsidR="00217311" w:rsidRPr="00217311">
        <w:rPr>
          <w:rFonts w:ascii="Times New Roman" w:hAnsi="Times New Roman" w:cs="Times New Roman"/>
        </w:rPr>
        <w:t xml:space="preserve">London </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Hester, M; Gangoli, G; Gill, A &amp; Mulvihill, N; Bates, L; Matolcsi, A; Walker, S &amp; Yar, K (2015) </w:t>
      </w:r>
      <w:r w:rsidRPr="00217311">
        <w:rPr>
          <w:rFonts w:ascii="Times New Roman" w:hAnsi="Times New Roman" w:cs="Times New Roman"/>
          <w:i/>
        </w:rPr>
        <w:t>Victim/survivor voices – a participatory research project. Report for Her Majesty’s Inspectorate of Constabulary. Honour-based violence inspection.</w:t>
      </w:r>
      <w:r w:rsidRPr="00F24898">
        <w:rPr>
          <w:rFonts w:ascii="Times New Roman" w:hAnsi="Times New Roman" w:cs="Times New Roman"/>
        </w:rPr>
        <w:t xml:space="preserve"> University of Bristol. </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IKWRO (2017). </w:t>
      </w:r>
      <w:r w:rsidRPr="00217311">
        <w:rPr>
          <w:rFonts w:ascii="Times New Roman" w:hAnsi="Times New Roman" w:cs="Times New Roman"/>
          <w:i/>
        </w:rPr>
        <w:t>Campaign Success: Nusrat Ghani MP withdraws her bill which proposed to ban the term "honour" based violence and conflate it with domestic violence.</w:t>
      </w:r>
      <w:r w:rsidRPr="00F24898">
        <w:rPr>
          <w:rFonts w:ascii="Times New Roman" w:hAnsi="Times New Roman" w:cs="Times New Roman"/>
        </w:rPr>
        <w:t xml:space="preserve"> Retrieved from Iranian and Kurdish Wome</w:t>
      </w:r>
      <w:r w:rsidR="00217311">
        <w:rPr>
          <w:rFonts w:ascii="Times New Roman" w:hAnsi="Times New Roman" w:cs="Times New Roman"/>
        </w:rPr>
        <w:t>n`s Rights Organisation (IKWRO). Available at:</w:t>
      </w:r>
      <w:r w:rsidRPr="00F24898">
        <w:rPr>
          <w:rFonts w:ascii="Times New Roman" w:hAnsi="Times New Roman" w:cs="Times New Roman"/>
        </w:rPr>
        <w:t xml:space="preserve"> http://ikwro.org.uk (Accessed 01/12/2021) </w:t>
      </w:r>
    </w:p>
    <w:p w:rsidR="00F24898" w:rsidRPr="00F24898" w:rsidRDefault="00F24898" w:rsidP="00F24898">
      <w:pPr>
        <w:rPr>
          <w:rFonts w:ascii="Times New Roman" w:hAnsi="Times New Roman" w:cs="Times New Roman"/>
        </w:rPr>
      </w:pPr>
    </w:p>
    <w:p w:rsidR="00F24898" w:rsidRPr="00F24898" w:rsidRDefault="00217311" w:rsidP="00F24898">
      <w:pPr>
        <w:rPr>
          <w:rFonts w:ascii="Times New Roman" w:hAnsi="Times New Roman" w:cs="Times New Roman"/>
        </w:rPr>
      </w:pPr>
      <w:r>
        <w:rPr>
          <w:rFonts w:ascii="Times New Roman" w:hAnsi="Times New Roman" w:cs="Times New Roman"/>
        </w:rPr>
        <w:t>Kandiyoti, D. (1988)</w:t>
      </w:r>
      <w:r w:rsidR="00F24898" w:rsidRPr="00F24898">
        <w:rPr>
          <w:rFonts w:ascii="Times New Roman" w:hAnsi="Times New Roman" w:cs="Times New Roman"/>
        </w:rPr>
        <w:t xml:space="preserve"> </w:t>
      </w:r>
      <w:r>
        <w:rPr>
          <w:rFonts w:ascii="Times New Roman" w:hAnsi="Times New Roman" w:cs="Times New Roman"/>
        </w:rPr>
        <w:t>`</w:t>
      </w:r>
      <w:r w:rsidR="00F24898" w:rsidRPr="00F24898">
        <w:rPr>
          <w:rFonts w:ascii="Times New Roman" w:hAnsi="Times New Roman" w:cs="Times New Roman"/>
        </w:rPr>
        <w:t>Bargaining with Patriarchy</w:t>
      </w:r>
      <w:r>
        <w:rPr>
          <w:rFonts w:ascii="Times New Roman" w:hAnsi="Times New Roman" w:cs="Times New Roman"/>
        </w:rPr>
        <w:t>`</w:t>
      </w:r>
      <w:r w:rsidR="00F24898" w:rsidRPr="00F24898">
        <w:rPr>
          <w:rFonts w:ascii="Times New Roman" w:hAnsi="Times New Roman" w:cs="Times New Roman"/>
        </w:rPr>
        <w:t xml:space="preserve">. </w:t>
      </w:r>
      <w:r w:rsidR="00F24898" w:rsidRPr="00217311">
        <w:rPr>
          <w:rFonts w:ascii="Times New Roman" w:hAnsi="Times New Roman" w:cs="Times New Roman"/>
          <w:i/>
        </w:rPr>
        <w:t>Gender and Society</w:t>
      </w:r>
      <w:r>
        <w:rPr>
          <w:rFonts w:ascii="Times New Roman" w:hAnsi="Times New Roman" w:cs="Times New Roman"/>
        </w:rPr>
        <w:t xml:space="preserve"> Volume 2, Issue 3, P</w:t>
      </w:r>
      <w:r w:rsidR="00F24898" w:rsidRPr="00F24898">
        <w:rPr>
          <w:rFonts w:ascii="Times New Roman" w:hAnsi="Times New Roman" w:cs="Times New Roman"/>
        </w:rPr>
        <w:t>p. 274-290.</w:t>
      </w:r>
    </w:p>
    <w:p w:rsidR="00F24898" w:rsidRPr="00F24898" w:rsidRDefault="00F24898" w:rsidP="00F24898">
      <w:pPr>
        <w:rPr>
          <w:rFonts w:ascii="Times New Roman" w:hAnsi="Times New Roman" w:cs="Times New Roman"/>
        </w:rPr>
      </w:pPr>
    </w:p>
    <w:p w:rsidR="00F24898" w:rsidRPr="00F24898" w:rsidRDefault="00217311" w:rsidP="00F24898">
      <w:pPr>
        <w:rPr>
          <w:rFonts w:ascii="Times New Roman" w:hAnsi="Times New Roman" w:cs="Times New Roman"/>
        </w:rPr>
      </w:pPr>
      <w:r>
        <w:rPr>
          <w:rFonts w:ascii="Times New Roman" w:hAnsi="Times New Roman" w:cs="Times New Roman"/>
        </w:rPr>
        <w:t xml:space="preserve">Manning, P (1978) </w:t>
      </w:r>
      <w:r w:rsidRPr="00217311">
        <w:rPr>
          <w:rFonts w:ascii="Times New Roman" w:hAnsi="Times New Roman" w:cs="Times New Roman"/>
          <w:i/>
        </w:rPr>
        <w:t>The Police:</w:t>
      </w:r>
      <w:r w:rsidR="00F24898" w:rsidRPr="00217311">
        <w:rPr>
          <w:rFonts w:ascii="Times New Roman" w:hAnsi="Times New Roman" w:cs="Times New Roman"/>
          <w:i/>
        </w:rPr>
        <w:t>Manda</w:t>
      </w:r>
      <w:r w:rsidRPr="00217311">
        <w:rPr>
          <w:rFonts w:ascii="Times New Roman" w:hAnsi="Times New Roman" w:cs="Times New Roman"/>
          <w:i/>
        </w:rPr>
        <w:t>te, strategies and appearances</w:t>
      </w:r>
      <w:r>
        <w:rPr>
          <w:rFonts w:ascii="Times New Roman" w:hAnsi="Times New Roman" w:cs="Times New Roman"/>
        </w:rPr>
        <w:t>.</w:t>
      </w:r>
      <w:r w:rsidR="00F24898" w:rsidRPr="00F24898">
        <w:rPr>
          <w:rFonts w:ascii="Times New Roman" w:hAnsi="Times New Roman" w:cs="Times New Roman"/>
        </w:rPr>
        <w:t xml:space="preserve"> Santa Monica, CA: Goodyear Publishing Company Inc</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National society for the Prevention of Cruelty to Children, (NSPCC). (2015) </w:t>
      </w:r>
      <w:r w:rsidRPr="00012B8B">
        <w:rPr>
          <w:rFonts w:ascii="Times New Roman" w:hAnsi="Times New Roman" w:cs="Times New Roman"/>
          <w:i/>
        </w:rPr>
        <w:t>Achieving positive outcomes for children in relation to return home from care</w:t>
      </w:r>
      <w:r w:rsidRPr="00F24898">
        <w:rPr>
          <w:rFonts w:ascii="Times New Roman" w:hAnsi="Times New Roman" w:cs="Times New Roman"/>
        </w:rPr>
        <w:t xml:space="preserve">. </w:t>
      </w:r>
      <w:r w:rsidR="00012B8B">
        <w:rPr>
          <w:rFonts w:ascii="Times New Roman" w:hAnsi="Times New Roman" w:cs="Times New Roman"/>
        </w:rPr>
        <w:t>Available at -</w:t>
      </w:r>
      <w:r w:rsidRPr="00F24898">
        <w:rPr>
          <w:rFonts w:ascii="Times New Roman" w:hAnsi="Times New Roman" w:cs="Times New Roman"/>
        </w:rPr>
        <w:t>https://www.nspcc.org.uk (Accessed 19/12/2021)</w:t>
      </w:r>
    </w:p>
    <w:p w:rsidR="00F24898" w:rsidRPr="00F24898" w:rsidRDefault="00F24898" w:rsidP="00F24898">
      <w:pPr>
        <w:rPr>
          <w:rFonts w:ascii="Times New Roman" w:hAnsi="Times New Roman" w:cs="Times New Roman"/>
        </w:rPr>
      </w:pPr>
    </w:p>
    <w:p w:rsidR="00F24898" w:rsidRPr="00F24898" w:rsidRDefault="00A505D1" w:rsidP="00F24898">
      <w:pPr>
        <w:rPr>
          <w:rFonts w:ascii="Times New Roman" w:hAnsi="Times New Roman" w:cs="Times New Roman"/>
        </w:rPr>
      </w:pPr>
      <w:r>
        <w:rPr>
          <w:rFonts w:ascii="Times New Roman" w:hAnsi="Times New Roman" w:cs="Times New Roman"/>
        </w:rPr>
        <w:t>Razack, S. (2004) `</w:t>
      </w:r>
      <w:r w:rsidR="00F24898" w:rsidRPr="00F24898">
        <w:rPr>
          <w:rFonts w:ascii="Times New Roman" w:hAnsi="Times New Roman" w:cs="Times New Roman"/>
        </w:rPr>
        <w:t>Imperilled Muslim women, dangerous Muslim men civilised Europeans: Legal social responses to forced marriages</w:t>
      </w:r>
      <w:r>
        <w:rPr>
          <w:rFonts w:ascii="Times New Roman" w:hAnsi="Times New Roman" w:cs="Times New Roman"/>
        </w:rPr>
        <w:t>`</w:t>
      </w:r>
      <w:r w:rsidR="00F24898" w:rsidRPr="00F24898">
        <w:rPr>
          <w:rFonts w:ascii="Times New Roman" w:hAnsi="Times New Roman" w:cs="Times New Roman"/>
        </w:rPr>
        <w:t xml:space="preserve">. </w:t>
      </w:r>
      <w:r w:rsidR="00F24898" w:rsidRPr="00A505D1">
        <w:rPr>
          <w:rFonts w:ascii="Times New Roman" w:hAnsi="Times New Roman" w:cs="Times New Roman"/>
          <w:i/>
        </w:rPr>
        <w:t xml:space="preserve"> Feminist Legal Studies</w:t>
      </w:r>
      <w:r w:rsidR="00F24898" w:rsidRPr="00F24898">
        <w:rPr>
          <w:rFonts w:ascii="Times New Roman" w:hAnsi="Times New Roman" w:cs="Times New Roman"/>
        </w:rPr>
        <w:t>, p 129 - 174.</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Rew, M; Gangoli, G &amp; Gill, A (2013) </w:t>
      </w:r>
      <w:r w:rsidR="00A505D1">
        <w:rPr>
          <w:rFonts w:ascii="Times New Roman" w:hAnsi="Times New Roman" w:cs="Times New Roman"/>
        </w:rPr>
        <w:t>`</w:t>
      </w:r>
      <w:r w:rsidRPr="00F24898">
        <w:rPr>
          <w:rFonts w:ascii="Times New Roman" w:hAnsi="Times New Roman" w:cs="Times New Roman"/>
        </w:rPr>
        <w:t>Violence between f</w:t>
      </w:r>
      <w:r w:rsidR="00A505D1">
        <w:rPr>
          <w:rFonts w:ascii="Times New Roman" w:hAnsi="Times New Roman" w:cs="Times New Roman"/>
        </w:rPr>
        <w:t>emale in laws in India`.</w:t>
      </w:r>
      <w:r w:rsidRPr="00A505D1">
        <w:rPr>
          <w:rFonts w:ascii="Times New Roman" w:hAnsi="Times New Roman" w:cs="Times New Roman"/>
          <w:i/>
        </w:rPr>
        <w:t xml:space="preserve"> Journal of international women`s studies</w:t>
      </w:r>
      <w:r w:rsidR="00A505D1">
        <w:rPr>
          <w:rFonts w:ascii="Times New Roman" w:hAnsi="Times New Roman" w:cs="Times New Roman"/>
        </w:rPr>
        <w:t>.</w:t>
      </w:r>
      <w:r w:rsidRPr="00F24898">
        <w:rPr>
          <w:rFonts w:ascii="Times New Roman" w:hAnsi="Times New Roman" w:cs="Times New Roman"/>
        </w:rPr>
        <w:t xml:space="preserve"> Vol</w:t>
      </w:r>
      <w:r w:rsidR="00A505D1">
        <w:rPr>
          <w:rFonts w:ascii="Times New Roman" w:hAnsi="Times New Roman" w:cs="Times New Roman"/>
        </w:rPr>
        <w:t>ume 14. P</w:t>
      </w:r>
      <w:r w:rsidRPr="00F24898">
        <w:rPr>
          <w:rFonts w:ascii="Times New Roman" w:hAnsi="Times New Roman" w:cs="Times New Roman"/>
        </w:rPr>
        <w:t xml:space="preserve">p 147-160 </w:t>
      </w:r>
    </w:p>
    <w:p w:rsidR="00F24898" w:rsidRPr="00F24898" w:rsidRDefault="00F24898" w:rsidP="00F24898">
      <w:pPr>
        <w:rPr>
          <w:rFonts w:ascii="Times New Roman" w:hAnsi="Times New Roman" w:cs="Times New Roman"/>
        </w:rPr>
      </w:pPr>
    </w:p>
    <w:p w:rsidR="00F24898" w:rsidRPr="00F24898" w:rsidRDefault="00636928" w:rsidP="00F24898">
      <w:pPr>
        <w:rPr>
          <w:rFonts w:ascii="Times New Roman" w:hAnsi="Times New Roman" w:cs="Times New Roman"/>
        </w:rPr>
      </w:pPr>
      <w:r>
        <w:rPr>
          <w:rFonts w:ascii="Times New Roman" w:hAnsi="Times New Roman" w:cs="Times New Roman"/>
        </w:rPr>
        <w:t>Seeley, J</w:t>
      </w:r>
      <w:r w:rsidR="00F24898" w:rsidRPr="00F24898">
        <w:rPr>
          <w:rFonts w:ascii="Times New Roman" w:hAnsi="Times New Roman" w:cs="Times New Roman"/>
        </w:rPr>
        <w:t xml:space="preserve"> (2013) </w:t>
      </w:r>
      <w:r w:rsidR="00F24898" w:rsidRPr="00636928">
        <w:rPr>
          <w:rFonts w:ascii="Times New Roman" w:hAnsi="Times New Roman" w:cs="Times New Roman"/>
          <w:i/>
        </w:rPr>
        <w:t>The Oxford guide to effective writing and speaking: how to communicate clearly</w:t>
      </w:r>
      <w:r w:rsidR="00F24898" w:rsidRPr="00F24898">
        <w:rPr>
          <w:rFonts w:ascii="Times New Roman" w:hAnsi="Times New Roman" w:cs="Times New Roman"/>
        </w:rPr>
        <w:t xml:space="preserve"> Third edition. Oxford University Press. </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Sen, P (2005)</w:t>
      </w:r>
      <w:r w:rsidRPr="00636928">
        <w:rPr>
          <w:rFonts w:ascii="Times New Roman" w:hAnsi="Times New Roman" w:cs="Times New Roman"/>
          <w:i/>
        </w:rPr>
        <w:t xml:space="preserve"> Crimes of honour, value and meaning</w:t>
      </w:r>
      <w:r w:rsidRPr="00F24898">
        <w:rPr>
          <w:rFonts w:ascii="Times New Roman" w:hAnsi="Times New Roman" w:cs="Times New Roman"/>
        </w:rPr>
        <w:t>. London: Zed Books</w:t>
      </w:r>
    </w:p>
    <w:p w:rsidR="00F24898" w:rsidRPr="00F24898" w:rsidRDefault="00F24898" w:rsidP="00F24898">
      <w:pPr>
        <w:rPr>
          <w:rFonts w:ascii="Times New Roman" w:hAnsi="Times New Roman" w:cs="Times New Roman"/>
        </w:rPr>
      </w:pPr>
    </w:p>
    <w:p w:rsidR="00F24898" w:rsidRPr="00F24898" w:rsidRDefault="00F24898" w:rsidP="00F24898">
      <w:pPr>
        <w:rPr>
          <w:rFonts w:ascii="Times New Roman" w:hAnsi="Times New Roman" w:cs="Times New Roman"/>
        </w:rPr>
      </w:pPr>
      <w:r w:rsidRPr="00F24898">
        <w:rPr>
          <w:rFonts w:ascii="Times New Roman" w:hAnsi="Times New Roman" w:cs="Times New Roman"/>
        </w:rPr>
        <w:t xml:space="preserve">Taylor C &amp; White S (2006) </w:t>
      </w:r>
      <w:r w:rsidR="00D452D9">
        <w:rPr>
          <w:rFonts w:ascii="Times New Roman" w:hAnsi="Times New Roman" w:cs="Times New Roman"/>
        </w:rPr>
        <w:t>`</w:t>
      </w:r>
      <w:r w:rsidRPr="00F24898">
        <w:rPr>
          <w:rFonts w:ascii="Times New Roman" w:hAnsi="Times New Roman" w:cs="Times New Roman"/>
        </w:rPr>
        <w:t>Knowledge</w:t>
      </w:r>
      <w:r w:rsidR="00D452D9">
        <w:rPr>
          <w:rFonts w:ascii="Times New Roman" w:hAnsi="Times New Roman" w:cs="Times New Roman"/>
        </w:rPr>
        <w:t xml:space="preserve"> and reasoning in social work: Educating for humane J</w:t>
      </w:r>
      <w:r w:rsidRPr="00F24898">
        <w:rPr>
          <w:rFonts w:ascii="Times New Roman" w:hAnsi="Times New Roman" w:cs="Times New Roman"/>
        </w:rPr>
        <w:t>udgement</w:t>
      </w:r>
      <w:r w:rsidR="00D452D9">
        <w:rPr>
          <w:rFonts w:ascii="Times New Roman" w:hAnsi="Times New Roman" w:cs="Times New Roman"/>
        </w:rPr>
        <w:t>`</w:t>
      </w:r>
      <w:r w:rsidRPr="00F24898">
        <w:rPr>
          <w:rFonts w:ascii="Times New Roman" w:hAnsi="Times New Roman" w:cs="Times New Roman"/>
        </w:rPr>
        <w:t xml:space="preserve">. </w:t>
      </w:r>
      <w:r w:rsidRPr="00D452D9">
        <w:rPr>
          <w:rFonts w:ascii="Times New Roman" w:hAnsi="Times New Roman" w:cs="Times New Roman"/>
          <w:i/>
        </w:rPr>
        <w:t>The British journal of social work</w:t>
      </w:r>
      <w:r w:rsidR="00D452D9">
        <w:rPr>
          <w:rFonts w:ascii="Times New Roman" w:hAnsi="Times New Roman" w:cs="Times New Roman"/>
        </w:rPr>
        <w:t xml:space="preserve">. Volume </w:t>
      </w:r>
      <w:r w:rsidRPr="00F24898">
        <w:rPr>
          <w:rFonts w:ascii="Times New Roman" w:hAnsi="Times New Roman" w:cs="Times New Roman"/>
        </w:rPr>
        <w:t>36. P</w:t>
      </w:r>
      <w:r w:rsidR="00D452D9">
        <w:rPr>
          <w:rFonts w:ascii="Times New Roman" w:hAnsi="Times New Roman" w:cs="Times New Roman"/>
        </w:rPr>
        <w:t>p</w:t>
      </w:r>
      <w:r w:rsidRPr="00F24898">
        <w:rPr>
          <w:rFonts w:ascii="Times New Roman" w:hAnsi="Times New Roman" w:cs="Times New Roman"/>
        </w:rPr>
        <w:t xml:space="preserve"> 937 – 954 </w:t>
      </w:r>
    </w:p>
    <w:p w:rsidR="00F24898" w:rsidRPr="00F24898" w:rsidRDefault="00F24898" w:rsidP="00F24898">
      <w:pPr>
        <w:rPr>
          <w:rFonts w:ascii="Times New Roman" w:hAnsi="Times New Roman" w:cs="Times New Roman"/>
        </w:rPr>
      </w:pPr>
    </w:p>
    <w:p w:rsidR="00F24898" w:rsidRPr="00C21AF8" w:rsidRDefault="00F24898" w:rsidP="00C21AF8">
      <w:pPr>
        <w:rPr>
          <w:rFonts w:ascii="Times New Roman" w:hAnsi="Times New Roman" w:cs="Times New Roman"/>
        </w:rPr>
      </w:pPr>
      <w:r w:rsidRPr="00F24898">
        <w:rPr>
          <w:rFonts w:ascii="Times New Roman" w:hAnsi="Times New Roman" w:cs="Times New Roman"/>
        </w:rPr>
        <w:t>Thiara, R &amp; Gill, A</w:t>
      </w:r>
      <w:r w:rsidR="00D452D9">
        <w:rPr>
          <w:rFonts w:ascii="Times New Roman" w:hAnsi="Times New Roman" w:cs="Times New Roman"/>
        </w:rPr>
        <w:t xml:space="preserve"> </w:t>
      </w:r>
      <w:r w:rsidRPr="00F24898">
        <w:rPr>
          <w:rFonts w:ascii="Times New Roman" w:hAnsi="Times New Roman" w:cs="Times New Roman"/>
        </w:rPr>
        <w:t xml:space="preserve">(2010) </w:t>
      </w:r>
      <w:r w:rsidRPr="00D452D9">
        <w:rPr>
          <w:rFonts w:ascii="Times New Roman" w:hAnsi="Times New Roman" w:cs="Times New Roman"/>
          <w:i/>
        </w:rPr>
        <w:t>Violence against women in South Asian communities: Issues for policy and practice</w:t>
      </w:r>
      <w:r w:rsidR="00D452D9">
        <w:rPr>
          <w:rFonts w:ascii="Times New Roman" w:hAnsi="Times New Roman" w:cs="Times New Roman"/>
        </w:rPr>
        <w:t>. London: Jessica Kingsley.</w:t>
      </w:r>
    </w:p>
    <w:p w:rsidR="00E11FD7" w:rsidRDefault="00E11FD7" w:rsidP="00E11FD7">
      <w:pPr>
        <w:rPr>
          <w:rFonts w:ascii="Times New Roman" w:hAnsi="Times New Roman" w:cs="Times New Roman"/>
        </w:rPr>
      </w:pPr>
    </w:p>
    <w:p w:rsidR="00C21AF8" w:rsidRPr="00C21AF8" w:rsidRDefault="00C21AF8" w:rsidP="00E11FD7">
      <w:pPr>
        <w:rPr>
          <w:rFonts w:ascii="Times New Roman" w:hAnsi="Times New Roman" w:cs="Times New Roman"/>
        </w:rPr>
      </w:pPr>
    </w:p>
    <w:p w:rsidR="00E11FD7" w:rsidRDefault="00E11FD7" w:rsidP="00E11FD7">
      <w:pPr>
        <w:rPr>
          <w:u w:val="single"/>
        </w:rPr>
      </w:pPr>
      <w:r w:rsidRPr="00E11FD7">
        <w:rPr>
          <w:u w:val="single"/>
        </w:rPr>
        <w:t>QU</w:t>
      </w:r>
      <w:r>
        <w:rPr>
          <w:u w:val="single"/>
        </w:rPr>
        <w:t>E</w:t>
      </w:r>
      <w:r w:rsidRPr="00E11FD7">
        <w:rPr>
          <w:u w:val="single"/>
        </w:rPr>
        <w:t xml:space="preserve">STION 3 </w:t>
      </w:r>
    </w:p>
    <w:p w:rsidR="00E11FD7" w:rsidRDefault="00E11FD7" w:rsidP="00E11FD7">
      <w:r w:rsidRPr="00E11FD7">
        <w:t>Give a brief description of the incident including social and legislative contexts and any relevant cultural, et</w:t>
      </w:r>
      <w:r>
        <w:t xml:space="preserve">hnicity and language issues.   </w:t>
      </w:r>
    </w:p>
    <w:p w:rsidR="00E11FD7" w:rsidRPr="00E11FD7" w:rsidRDefault="00E11FD7" w:rsidP="00E11FD7">
      <w:r w:rsidRPr="00E11FD7">
        <w:t>Analyse how you employed established techniques t</w:t>
      </w:r>
      <w:r>
        <w:t xml:space="preserve">o progress the investigation. </w:t>
      </w:r>
      <w:r w:rsidRPr="00E11FD7">
        <w:t xml:space="preserve">Critically evaluate how you applied specific legislation and or powers to the investigation.  </w:t>
      </w:r>
    </w:p>
    <w:p w:rsidR="00E11FD7" w:rsidRDefault="00E11FD7" w:rsidP="00E11FD7">
      <w:pPr>
        <w:rPr>
          <w:u w:val="single"/>
        </w:rPr>
      </w:pPr>
      <w:r w:rsidRPr="00E11FD7">
        <w:t xml:space="preserve">Explore the use of the techniques you applied to the investigation and demonstrate your understanding of their use. </w:t>
      </w:r>
      <w:r w:rsidRPr="00E11FD7">
        <w:rPr>
          <w:u w:val="single"/>
        </w:rPr>
        <w:t xml:space="preserve"> </w:t>
      </w:r>
    </w:p>
    <w:p w:rsidR="00EE3851" w:rsidRPr="00EE3851" w:rsidRDefault="00EE3851" w:rsidP="00E11FD7">
      <w:pPr>
        <w:rPr>
          <w:rFonts w:ascii="Times New Roman" w:hAnsi="Times New Roman" w:cs="Times New Roman"/>
        </w:rPr>
      </w:pP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This investigation relates to the death of a French male `FP`. FP was found deceased on the pavement outside his home address. FP`s partner AJ was arrested for his murder. This was a difficult case to prove, I had to investigate whether FP was intentionally pushed and killed or had he accidentally fallen to his death.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I critically evaluated the legislation that was available. The two specific pieces of Legislation that I considered and compared were the offences of murder and manslaughter. Under the law of England and Wales, a murder is committed where a person of sound mind unlawfully kills another person with intent to kill or cause Grievous harm. Murder requires intent, such as premeditation. The presence of malice distinguishes murder from manslaughter (Weinstock et al 1996). The necessary intention exists if the defendant feels sure that death, or serious bodily harm, is a virtual certainty because of their actions, R v Matthews (2003 as cited in Crown Prosecution Service – CPS guidelines 2019). By contrast, where the defendant did not mean to kill but was grossly negligent a manslaughter charge could be pursued.  </w:t>
      </w:r>
    </w:p>
    <w:p w:rsidR="00EE3851" w:rsidRPr="00EE3851" w:rsidRDefault="00EE3851" w:rsidP="00EE3851">
      <w:pPr>
        <w:rPr>
          <w:rFonts w:ascii="Times New Roman" w:hAnsi="Times New Roman" w:cs="Times New Roman"/>
        </w:rPr>
      </w:pPr>
      <w:r w:rsidRPr="00EE3851">
        <w:rPr>
          <w:rFonts w:ascii="Times New Roman" w:hAnsi="Times New Roman" w:cs="Times New Roman"/>
        </w:rPr>
        <w:t>According to CPS legal guidance, Manslaughter can be committed in 3 ways- Involuntary manslaughter whereby the defendant has an intent but also a partial defence such as loss of control, Involuntary manslaughter whereby the defendants conduct was grossly negligent given the risks of death and did in fact kill or involuntary manslaughter in which the defendant committed an unlawful act involving a danger or some harm that resulted in death. These offences involve the perpetrator engaging in a conscious and voluntary course of conduct that results in the death of another person. The difference between these two types of involuntary manslaughter is when the wrongness of the originating behaviour becomes more serious, moving from a negligent to a criminal act, the level of risk required to prove the offence decreases from a high to a reasonable risk (McGorrey and McMahon 2019)</w:t>
      </w:r>
    </w:p>
    <w:p w:rsidR="00EE3851" w:rsidRPr="00EE3851" w:rsidRDefault="00EE3851" w:rsidP="00EE3851">
      <w:pPr>
        <w:rPr>
          <w:rFonts w:ascii="Times New Roman" w:hAnsi="Times New Roman" w:cs="Times New Roman"/>
        </w:rPr>
      </w:pPr>
      <w:r w:rsidRPr="00EE3851">
        <w:rPr>
          <w:rFonts w:ascii="Times New Roman" w:hAnsi="Times New Roman" w:cs="Times New Roman"/>
        </w:rPr>
        <w:t>When looking at Manslaughter we needed to conside</w:t>
      </w:r>
      <w:r w:rsidR="00B37959">
        <w:rPr>
          <w:rFonts w:ascii="Times New Roman" w:hAnsi="Times New Roman" w:cs="Times New Roman"/>
        </w:rPr>
        <w:t xml:space="preserve">r whether there was an intent </w:t>
      </w:r>
      <w:r w:rsidRPr="00EE3851">
        <w:rPr>
          <w:rFonts w:ascii="Times New Roman" w:hAnsi="Times New Roman" w:cs="Times New Roman"/>
        </w:rPr>
        <w:t>`</w:t>
      </w:r>
      <w:r w:rsidRPr="00B37959">
        <w:rPr>
          <w:rFonts w:ascii="Times New Roman" w:hAnsi="Times New Roman" w:cs="Times New Roman"/>
          <w:i/>
        </w:rPr>
        <w:t>Mens rea</w:t>
      </w:r>
      <w:r w:rsidRPr="00EE3851">
        <w:rPr>
          <w:rFonts w:ascii="Times New Roman" w:hAnsi="Times New Roman" w:cs="Times New Roman"/>
        </w:rPr>
        <w:t>`</w:t>
      </w:r>
      <w:r w:rsidR="00B37959">
        <w:rPr>
          <w:rFonts w:ascii="Times New Roman" w:hAnsi="Times New Roman" w:cs="Times New Roman"/>
        </w:rPr>
        <w:t>.</w:t>
      </w:r>
      <w:r w:rsidRPr="00EE3851">
        <w:rPr>
          <w:rFonts w:ascii="Times New Roman" w:hAnsi="Times New Roman" w:cs="Times New Roman"/>
        </w:rPr>
        <w:t xml:space="preserve"> The act is not criminal unless the intent is criminal (Sayre, 1932). </w:t>
      </w:r>
      <w:r w:rsidRPr="00B37959">
        <w:rPr>
          <w:rFonts w:ascii="Times New Roman" w:hAnsi="Times New Roman" w:cs="Times New Roman"/>
          <w:i/>
        </w:rPr>
        <w:t>Mens rea</w:t>
      </w:r>
      <w:r w:rsidRPr="00EE3851">
        <w:rPr>
          <w:rFonts w:ascii="Times New Roman" w:hAnsi="Times New Roman" w:cs="Times New Roman"/>
        </w:rPr>
        <w:t xml:space="preserve"> defences where the defendant argues that they did not have the required criminal intent are complex and are considered more complicated that the insanity defence (Weinstock 1996). Using a successful </w:t>
      </w:r>
      <w:r w:rsidR="00B37959">
        <w:rPr>
          <w:rFonts w:ascii="Times New Roman" w:hAnsi="Times New Roman" w:cs="Times New Roman"/>
          <w:i/>
        </w:rPr>
        <w:t>m</w:t>
      </w:r>
      <w:r w:rsidRPr="00B37959">
        <w:rPr>
          <w:rFonts w:ascii="Times New Roman" w:hAnsi="Times New Roman" w:cs="Times New Roman"/>
          <w:i/>
        </w:rPr>
        <w:t>ens rea</w:t>
      </w:r>
      <w:r w:rsidRPr="00EE3851">
        <w:rPr>
          <w:rFonts w:ascii="Times New Roman" w:hAnsi="Times New Roman" w:cs="Times New Roman"/>
        </w:rPr>
        <w:t xml:space="preserve"> defence could allow a defendant to walk free regardless of dangerousness considerations. (Borum and Fulero, 1999).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Another consideration was the defence of loss of control, brought in by the Coroners and Justice Act 2009. An element of this defence is the consideration that any reasonable person may have reacted or behaved in the same way. It does not matter whether the loss of control was sudden. As stated by Edwards (2010) the distinction between loss of self-control which may provide an excuse and a loss of temper which does not is a fine one and is a matter for the jury.   </w:t>
      </w:r>
    </w:p>
    <w:p w:rsidR="00EE3851" w:rsidRPr="00EE3851" w:rsidRDefault="00EE3851" w:rsidP="00EE3851">
      <w:pPr>
        <w:rPr>
          <w:rFonts w:ascii="Times New Roman" w:hAnsi="Times New Roman" w:cs="Times New Roman"/>
        </w:rPr>
      </w:pPr>
      <w:r w:rsidRPr="00EE3851">
        <w:rPr>
          <w:rFonts w:ascii="Times New Roman" w:hAnsi="Times New Roman" w:cs="Times New Roman"/>
        </w:rPr>
        <w:t>AJ was interviewed and admitted to the actus rea that he had pushed FP out of the doorway in temper after an argument</w:t>
      </w:r>
      <w:r w:rsidR="00B37959">
        <w:rPr>
          <w:rFonts w:ascii="Times New Roman" w:hAnsi="Times New Roman" w:cs="Times New Roman"/>
        </w:rPr>
        <w:t xml:space="preserve"> but made no admission to the </w:t>
      </w:r>
      <w:r w:rsidR="00B37959" w:rsidRPr="00B37959">
        <w:rPr>
          <w:rFonts w:ascii="Times New Roman" w:hAnsi="Times New Roman" w:cs="Times New Roman"/>
          <w:i/>
        </w:rPr>
        <w:t>m</w:t>
      </w:r>
      <w:r w:rsidRPr="00B37959">
        <w:rPr>
          <w:rFonts w:ascii="Times New Roman" w:hAnsi="Times New Roman" w:cs="Times New Roman"/>
          <w:i/>
        </w:rPr>
        <w:t>ens rea</w:t>
      </w:r>
      <w:r w:rsidR="003C7CCA">
        <w:rPr>
          <w:rFonts w:ascii="Times New Roman" w:hAnsi="Times New Roman" w:cs="Times New Roman"/>
          <w:i/>
        </w:rPr>
        <w:t>,</w:t>
      </w:r>
      <w:r w:rsidRPr="00EE3851">
        <w:rPr>
          <w:rFonts w:ascii="Times New Roman" w:hAnsi="Times New Roman" w:cs="Times New Roman"/>
        </w:rPr>
        <w:t xml:space="preserve"> the intent to kill was not evident. I critically </w:t>
      </w:r>
      <w:r w:rsidRPr="00EE3851">
        <w:rPr>
          <w:rFonts w:ascii="Times New Roman" w:hAnsi="Times New Roman" w:cs="Times New Roman"/>
        </w:rPr>
        <w:lastRenderedPageBreak/>
        <w:t xml:space="preserve">evaluated the evidence that AJ had provided and compared this with the points to prove for the offence or murder and manslaughter. By reviewing the legislation against the available evidence, I established that AJ was culpable of manslaughter, that is, that he knew the risk of death or knew that his act of pushing AJ out of the doorway would have led to his death but carried out the act anyway. Evidently, he had been overcome by a loss of control.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Established techniques were employed to gather the evidence that would indicate that he took risks that would be evident to an objective person and that those risks would lead to serious harm or death.  </w:t>
      </w:r>
    </w:p>
    <w:p w:rsidR="00EE3851" w:rsidRPr="00EE3851" w:rsidRDefault="003C7CCA" w:rsidP="00EE3851">
      <w:pPr>
        <w:rPr>
          <w:rFonts w:ascii="Times New Roman" w:hAnsi="Times New Roman" w:cs="Times New Roman"/>
        </w:rPr>
      </w:pPr>
      <w:r>
        <w:rPr>
          <w:rFonts w:ascii="Times New Roman" w:hAnsi="Times New Roman" w:cs="Times New Roman"/>
        </w:rPr>
        <w:t>A key aspect of this case were</w:t>
      </w:r>
      <w:r w:rsidR="00EE3851" w:rsidRPr="00EE3851">
        <w:rPr>
          <w:rFonts w:ascii="Times New Roman" w:hAnsi="Times New Roman" w:cs="Times New Roman"/>
        </w:rPr>
        <w:t xml:space="preserve"> the characteristics of the scene. The house was elevated from the road, with a tiered front garden. The height from pavement to front door was approximately 15 feet. The steps leading to the pavement were extremely steep and dangerous, and any person with a normal</w:t>
      </w:r>
      <w:r w:rsidR="00D3535F">
        <w:rPr>
          <w:rFonts w:ascii="Times New Roman" w:hAnsi="Times New Roman" w:cs="Times New Roman"/>
        </w:rPr>
        <w:t xml:space="preserve"> </w:t>
      </w:r>
      <w:r w:rsidR="00EE3851" w:rsidRPr="00EE3851">
        <w:rPr>
          <w:rFonts w:ascii="Times New Roman" w:hAnsi="Times New Roman" w:cs="Times New Roman"/>
        </w:rPr>
        <w:t>degree of tolerance and self-restraint would know that pushing a person with any force from this height would surely result in them falling to their death. As Moran (2003 as cited in Quirk 2005 p408) outlined – The appropriateness of behaviour such as attentiveness to risk or self-control is judged against an objective standard of what a normal person would do, they give the example of `What w</w:t>
      </w:r>
      <w:r>
        <w:rPr>
          <w:rFonts w:ascii="Times New Roman" w:hAnsi="Times New Roman" w:cs="Times New Roman"/>
        </w:rPr>
        <w:t>ould the man on Clapham bus do`.</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There were several forensic issues and opportunities at the scene. To investigate this case, I employed various techniques such as Blood pattern analysis, Footprint analysis and Biomechanics.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One of the techniques applied to the investigation was blood pattern analysis of the scene. Blood was found on the corner of a brick wall at the bottom of the steps. Blood stains are a common by-product of violent crime and analysis of these stains is vital in crime scene investigation, Taylor et al (2016) </w:t>
      </w:r>
      <w:r w:rsidR="003C7CCA">
        <w:rPr>
          <w:rFonts w:ascii="Times New Roman" w:hAnsi="Times New Roman" w:cs="Times New Roman"/>
        </w:rPr>
        <w:t xml:space="preserve">who </w:t>
      </w:r>
      <w:r w:rsidRPr="00EE3851">
        <w:rPr>
          <w:rFonts w:ascii="Times New Roman" w:hAnsi="Times New Roman" w:cs="Times New Roman"/>
        </w:rPr>
        <w:t xml:space="preserve">goes on to explain that in these situations understanding the way the stains were deposited is important. Bloodstain patterns have reproducible features that allow a connection between the distribution of bloodstains and the underlying mechanism of their formation. Blood pattern analysists identify the type of blood pattern and the pattern extent. Prior to their examination they are usually given contextual information about the scene, such as eyewitness account, the position of the victim and the injuries sustained. Consideration must be given when relying on this evidence as Taylor et al`s research found that the hypothesising of contextual information is often integrated into blood pattern decisions. He stressed the importance of taking steps to minimise the effects of contextual information. In this case a scientist examined the scene and blood pattern and provided their observations that the overall nature of the bloodstaining did not assist in determining whether FP fell or was pushed down the steps. There were insufficient details to comment on the bloodstaining.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The second technique used in this case involved requesting the expertise of a Biomechanics expert to fully establish the nature of the fall and the level of force used by the suspect to push the victim from the front door to the pavement below. I researched the Expert Advisers Database and identified Mike Brown from Advanced Simtech </w:t>
      </w:r>
      <w:r w:rsidR="003C7CCA">
        <w:rPr>
          <w:rFonts w:ascii="Times New Roman" w:hAnsi="Times New Roman" w:cs="Times New Roman"/>
        </w:rPr>
        <w:t xml:space="preserve">- </w:t>
      </w:r>
      <w:r w:rsidRPr="00EE3851">
        <w:rPr>
          <w:rFonts w:ascii="Times New Roman" w:hAnsi="Times New Roman" w:cs="Times New Roman"/>
        </w:rPr>
        <w:t xml:space="preserve">an expert specialising in reconstructing accidents, forensic laser scanning and analysing biomechanical data. He proposed to build a 3D virtual model. He would create a suitable human body computer model (based on an average male) to start understanding the physics of the event and to look at the several ways that the fall may have occurred. This would help to explain how the body would move, and more importantly fall/react in that unique environment. Phase 2 would include the specifics of the deceased </w:t>
      </w:r>
      <w:r w:rsidR="00053B03">
        <w:rPr>
          <w:rFonts w:ascii="Times New Roman" w:hAnsi="Times New Roman" w:cs="Times New Roman"/>
        </w:rPr>
        <w:t xml:space="preserve">- </w:t>
      </w:r>
      <w:r w:rsidRPr="00EE3851">
        <w:rPr>
          <w:rFonts w:ascii="Times New Roman" w:hAnsi="Times New Roman" w:cs="Times New Roman"/>
        </w:rPr>
        <w:t xml:space="preserve">height, weight etc. Phase 3 would involve reconstructing an actual 3D model of the crime scene. Phase 1 was completed, and a computerised scaled representation of the scene was created which showed reconstructions of falls from different angles. The report received was limited in detail and included lots of different variables. The cost of the work totalled £20,000. Consideration had to be given to weigh up whether the benefit of using this technique would justify the high cost.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Aquila et al (2019) conducted research on virtual methods when analysing a crime scene. A reproduction of the scene was created. The purpose of the research was to demonstrate how the </w:t>
      </w:r>
      <w:r w:rsidRPr="00EE3851">
        <w:rPr>
          <w:rFonts w:ascii="Times New Roman" w:hAnsi="Times New Roman" w:cs="Times New Roman"/>
        </w:rPr>
        <w:lastRenderedPageBreak/>
        <w:t>application of 3D models could support a criminal investigation. He argued that this analysis is useful for comparing various techniques and for demonstrating what is most likely to have occurred. He used the 3D application to analyse a crime scene. A murder with an unknown number of suspects was analysed, one suspect had been arrested but investigators were unsure whether there were other persons involved. Scene investigation and Forensic investigation of the victim and the identified</w:t>
      </w:r>
      <w:r w:rsidR="002821FC">
        <w:rPr>
          <w:rFonts w:ascii="Times New Roman" w:hAnsi="Times New Roman" w:cs="Times New Roman"/>
        </w:rPr>
        <w:t xml:space="preserve"> </w:t>
      </w:r>
      <w:r w:rsidRPr="00EE3851">
        <w:rPr>
          <w:rFonts w:ascii="Times New Roman" w:hAnsi="Times New Roman" w:cs="Times New Roman"/>
        </w:rPr>
        <w:t>suspect had been carried out but it had failed to identify the number of offenders. 3D modelling was then used. A series of potential mechanisms of the murder were devised and reproduced in the models. Ten dynamics with different sequences of blows were reproduced. The reconstruction considered the height/weight of the murderer and victim and their mutual positions along with other factors such as injuries received, and the evidence obtained from the crime scene. Different sequences were progressively excluded when they were identified as being incompatible with other evidence. As a result of the reconstruction, it was possible to show that a single killer was involved. This simulation was used in Court as scientific evidence. However, Theoretical models can`t always be applied to the crime scene. There are often unknown variables which must be interpreted c</w:t>
      </w:r>
      <w:r w:rsidR="00D7086B">
        <w:rPr>
          <w:rFonts w:ascii="Times New Roman" w:hAnsi="Times New Roman" w:cs="Times New Roman"/>
        </w:rPr>
        <w:t xml:space="preserve">autiously, Kunz et al (2017).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The third technique employed related to Footprint analysis. A partial footprint was found in soil in the front top tier garden. A cast of this print was obtained, this involved the filling of a three-dimensional footwear impression with a substance that retained the characteristics that were left by the footprint (Bodziak 1999).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The relevance and importance of identifying whether this footprint belonged to FP was determined. This is supported by DiMaggio`s (2005) research that footprints are unique to an individual and possess certain peculiar characteristics which can be used in forensic identification. Mr Walker, Head of Podiatry services in Sheffield NHS Hospital was identified as an expert witness. He was asked to examine the size and dimensions of the cast against FP`s post-mortem pictures. He was able to confirm that the impression was in fact a human footprint as it had the characteristics of a human foot. Further comparisons were made. The post-mortem pictures showed that FP had a Hallux Abducto Valgus (a Bunion deformity) on the side of his foot. The characteristics of the cast showed that the person who left the print on the soil also had a bunion. However, I had to take into consideration that there were some characteristics of the cast that were different, the cast appeared narrower than FP`s foot. This could have been due to how much weight he had used when making the footprint. It would be expected that a weight bearing foot would be wider and longer than a non-weight bearing foot. Mr Walker concluded that his examination gave moderate support for his hypothesis that FP`s right foot produced the questioned impression.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Two dimensional footprints are more commonly recovered from a hard surface whereas three-dimensional foot impressions are more commonly recovered from a softer surface such as soil or sand. It is less common to have a three-dimensional foot impression recovered from a crime scene (DiMaggio 2005). The footprint recovered from the scene is referred to as a `questioned` footprint Vernon (2020). To compare questioned footprints to a known source, reference footprints need to be taken from a known person. Ideally a like for like reference footprint or impression made by the person of interest under a range of circumstances (DiMaggio and Vernon, 2011). These can include standing and walking prints, prints from hard or soft surfaces. Footprints or impressions are usually collected from a living person.  </w:t>
      </w:r>
    </w:p>
    <w:p w:rsidR="00EE3851" w:rsidRPr="00EE3851" w:rsidRDefault="00EE3851" w:rsidP="00EE3851">
      <w:pPr>
        <w:rPr>
          <w:rFonts w:ascii="Times New Roman" w:hAnsi="Times New Roman" w:cs="Times New Roman"/>
        </w:rPr>
      </w:pPr>
      <w:r w:rsidRPr="00EE3851">
        <w:rPr>
          <w:rFonts w:ascii="Times New Roman" w:hAnsi="Times New Roman" w:cs="Times New Roman"/>
        </w:rPr>
        <w:t>Methodologies have been established for barefoot print measurements to be compared against two-dimensional footprints. There are several different ways to compare footprints. Vernon et al (2005) outlines the overlay and measurement methods and refers to the validated Reel or Gunn method. The Gunn approach involves lines being drawn from the footprints heel to the foremost aspect of each toe, lines are also drawn across medial and lateral aspects of the footprint. Although the Gunn method is</w:t>
      </w:r>
      <w:r w:rsidR="00D7086B">
        <w:rPr>
          <w:rFonts w:ascii="Times New Roman" w:hAnsi="Times New Roman" w:cs="Times New Roman"/>
        </w:rPr>
        <w:t xml:space="preserve"> </w:t>
      </w:r>
      <w:r w:rsidRPr="00EE3851">
        <w:rPr>
          <w:rFonts w:ascii="Times New Roman" w:hAnsi="Times New Roman" w:cs="Times New Roman"/>
        </w:rPr>
        <w:t>widely used, the original research of this method is believed to be unscientific. The overlay method is</w:t>
      </w:r>
      <w:r w:rsidR="007A0468">
        <w:rPr>
          <w:rFonts w:ascii="Times New Roman" w:hAnsi="Times New Roman" w:cs="Times New Roman"/>
        </w:rPr>
        <w:t xml:space="preserve"> </w:t>
      </w:r>
      <w:r w:rsidRPr="00EE3851">
        <w:rPr>
          <w:rFonts w:ascii="Times New Roman" w:hAnsi="Times New Roman" w:cs="Times New Roman"/>
        </w:rPr>
        <w:lastRenderedPageBreak/>
        <w:t xml:space="preserve">an entirely different approach and instead of lines relies on the tracing of the outline of footprints along with any features or minute details. DiMaggio introduced terminology to define certain features of the foot even further. The resulting data is then used to form conclusions regarding the relationship between the two footprints, in terms of strength of agreement or disagreement.  </w:t>
      </w:r>
    </w:p>
    <w:p w:rsidR="00EE3851" w:rsidRPr="00EE3851" w:rsidRDefault="00EE3851" w:rsidP="00EE3851">
      <w:pPr>
        <w:rPr>
          <w:rFonts w:ascii="Times New Roman" w:hAnsi="Times New Roman" w:cs="Times New Roman"/>
        </w:rPr>
      </w:pPr>
      <w:r w:rsidRPr="00EE3851">
        <w:rPr>
          <w:rFonts w:ascii="Times New Roman" w:hAnsi="Times New Roman" w:cs="Times New Roman"/>
        </w:rPr>
        <w:t>Although the uniqueness of footprint morphology has not been determined, research relating to two-dimensional footprints has suggested strong individuality can be identified by the shape of a person’s footprint (Kennedy et al, 2005). Research published by Kennedy et al, (2005) determined a probability of 1 in 1.27 billion in terms of two people sharing the same shaped foot, from a database of 24,000 footprints. However, determining this level of individuality is based on comparison of clear fully detai</w:t>
      </w:r>
      <w:r w:rsidR="00053B03">
        <w:rPr>
          <w:rFonts w:ascii="Times New Roman" w:hAnsi="Times New Roman" w:cs="Times New Roman"/>
        </w:rPr>
        <w:t>led two-dimensional footprints. S</w:t>
      </w:r>
      <w:r w:rsidRPr="00EE3851">
        <w:rPr>
          <w:rFonts w:ascii="Times New Roman" w:hAnsi="Times New Roman" w:cs="Times New Roman"/>
        </w:rPr>
        <w:t>uch clarity is rarely found in crime scene prints, this reduces the detail of the print and the strength of evidence. Where there are three-dimensional foot impressions at a crime scene consideration must be given to these limitations when making comparisons of this nature. Two-dimensional footprint analysis and comparison techni</w:t>
      </w:r>
      <w:r w:rsidR="00D7086B">
        <w:rPr>
          <w:rFonts w:ascii="Times New Roman" w:hAnsi="Times New Roman" w:cs="Times New Roman"/>
        </w:rPr>
        <w:t xml:space="preserve">ques are far more successful.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Footwear and footprint analysis is a vital established technique used in Policing. The results obtained can be contributed to the National Intelligence Model. Footwear marks are obtained in accordance with the footwear Marks Recovery Manual, NPIA (2007).  </w:t>
      </w:r>
    </w:p>
    <w:p w:rsidR="00EE3851" w:rsidRPr="00EE3851" w:rsidRDefault="00EE3851" w:rsidP="00EE3851">
      <w:pPr>
        <w:rPr>
          <w:rFonts w:ascii="Times New Roman" w:hAnsi="Times New Roman" w:cs="Times New Roman"/>
        </w:rPr>
      </w:pPr>
      <w:r w:rsidRPr="00EE3851">
        <w:rPr>
          <w:rFonts w:ascii="Times New Roman" w:hAnsi="Times New Roman" w:cs="Times New Roman"/>
        </w:rPr>
        <w:t xml:space="preserve">I considered all techniques available and decided to employ the use of the Footprint expert in Court as I believed that this evidence would be easily understood. The decision was made that the evidence provide by the Biomechanics expert could become overly complicated and technical.  </w:t>
      </w:r>
    </w:p>
    <w:p w:rsidR="00EE3851" w:rsidRDefault="00EE3851" w:rsidP="00EE3851">
      <w:pPr>
        <w:rPr>
          <w:u w:val="single"/>
        </w:rPr>
      </w:pPr>
      <w:r>
        <w:rPr>
          <w:u w:val="single"/>
        </w:rPr>
        <w:t xml:space="preserve">Word Count - </w:t>
      </w:r>
      <w:r w:rsidRPr="00EE3851">
        <w:rPr>
          <w:u w:val="single"/>
        </w:rPr>
        <w:t>1996</w:t>
      </w:r>
    </w:p>
    <w:p w:rsidR="00E11FD7" w:rsidRDefault="00E11FD7" w:rsidP="00E11FD7">
      <w:pPr>
        <w:rPr>
          <w:u w:val="single"/>
        </w:rPr>
      </w:pPr>
    </w:p>
    <w:p w:rsidR="00D7086B" w:rsidRPr="00D7086B" w:rsidRDefault="00D7086B" w:rsidP="00D7086B">
      <w:pPr>
        <w:rPr>
          <w:u w:val="single"/>
        </w:rPr>
      </w:pPr>
      <w:r w:rsidRPr="00D7086B">
        <w:rPr>
          <w:u w:val="single"/>
        </w:rPr>
        <w:t xml:space="preserve">References – Question 3 </w:t>
      </w:r>
    </w:p>
    <w:p w:rsidR="00D7086B" w:rsidRPr="00D7086B" w:rsidRDefault="00D7086B" w:rsidP="00D7086B">
      <w:r w:rsidRPr="00D7086B">
        <w:t xml:space="preserve">Aquila, I; Sacco, M;Aquila, G, Raffaele, R; Manca,A; Capoccia,G; Cordasco,F &amp; Ricci, P (2019) </w:t>
      </w:r>
      <w:r w:rsidR="00673DF1">
        <w:t>`</w:t>
      </w:r>
      <w:r w:rsidRPr="00D7086B">
        <w:t>The Reconstruction of the Dynamic of a Murder Using 3D Motion Capture and 3D Model Buildings: The Investigation of a Dubious Forensic Case</w:t>
      </w:r>
      <w:r w:rsidR="00673DF1">
        <w:t>`</w:t>
      </w:r>
      <w:r w:rsidRPr="00D7086B">
        <w:t xml:space="preserve">. </w:t>
      </w:r>
      <w:r w:rsidRPr="00673DF1">
        <w:rPr>
          <w:i/>
        </w:rPr>
        <w:t>Journal of forensic science</w:t>
      </w:r>
      <w:r w:rsidRPr="00D7086B">
        <w:t>, Volume 64. P</w:t>
      </w:r>
      <w:r w:rsidR="00673DF1">
        <w:t xml:space="preserve">p </w:t>
      </w:r>
      <w:r w:rsidRPr="00D7086B">
        <w:t xml:space="preserve">1540 – 1543 </w:t>
      </w:r>
    </w:p>
    <w:p w:rsidR="00D7086B" w:rsidRPr="00D7086B" w:rsidRDefault="00D7086B" w:rsidP="00D7086B"/>
    <w:p w:rsidR="00D7086B" w:rsidRPr="00D7086B" w:rsidRDefault="00D7086B" w:rsidP="00D7086B">
      <w:r w:rsidRPr="00D7086B">
        <w:t xml:space="preserve">Bodziak, W (1999) </w:t>
      </w:r>
      <w:r w:rsidRPr="00673DF1">
        <w:rPr>
          <w:i/>
        </w:rPr>
        <w:t>Footwear Impression Evidence: Detection, Recovery and Examination</w:t>
      </w:r>
      <w:r w:rsidR="00673DF1">
        <w:t>, Second E</w:t>
      </w:r>
      <w:r w:rsidRPr="00D7086B">
        <w:t xml:space="preserve">dition. CRC Press. </w:t>
      </w:r>
    </w:p>
    <w:p w:rsidR="00D7086B" w:rsidRPr="00D7086B" w:rsidRDefault="00D7086B" w:rsidP="00D7086B"/>
    <w:p w:rsidR="00D7086B" w:rsidRPr="00D7086B" w:rsidRDefault="00D7086B" w:rsidP="00D7086B">
      <w:r w:rsidRPr="00D7086B">
        <w:t xml:space="preserve">Borum,R &amp; Fulero,S. (1999). </w:t>
      </w:r>
      <w:r w:rsidR="00673DF1">
        <w:t>`</w:t>
      </w:r>
      <w:r w:rsidRPr="00D7086B">
        <w:t>Empirical research on the insanity defense and attempted reforms: Evidence toward informed policy</w:t>
      </w:r>
      <w:r w:rsidR="00673DF1">
        <w:t>`</w:t>
      </w:r>
      <w:r w:rsidRPr="00D7086B">
        <w:t xml:space="preserve">. </w:t>
      </w:r>
      <w:r w:rsidRPr="00673DF1">
        <w:rPr>
          <w:i/>
        </w:rPr>
        <w:t>Law and human behavior</w:t>
      </w:r>
      <w:r w:rsidRPr="00D7086B">
        <w:t>, Volume 23, p.375-394</w:t>
      </w:r>
    </w:p>
    <w:p w:rsidR="00D7086B" w:rsidRPr="00D7086B" w:rsidRDefault="00D7086B" w:rsidP="00D7086B"/>
    <w:p w:rsidR="00D7086B" w:rsidRPr="00D7086B" w:rsidRDefault="00D7086B" w:rsidP="00D7086B">
      <w:r w:rsidRPr="00D7086B">
        <w:t>Brown, M.</w:t>
      </w:r>
      <w:r w:rsidR="00673DF1">
        <w:t xml:space="preserve"> (2019)</w:t>
      </w:r>
      <w:r w:rsidRPr="00D7086B">
        <w:t xml:space="preserve"> </w:t>
      </w:r>
      <w:r w:rsidRPr="00673DF1">
        <w:rPr>
          <w:i/>
        </w:rPr>
        <w:t>Advanced Simtech</w:t>
      </w:r>
      <w:r w:rsidR="00673DF1">
        <w:rPr>
          <w:i/>
        </w:rPr>
        <w:t xml:space="preserve">. </w:t>
      </w:r>
      <w:r w:rsidR="00673DF1" w:rsidRPr="00673DF1">
        <w:t>Available at</w:t>
      </w:r>
      <w:r w:rsidRPr="00673DF1">
        <w:t>: https://advancedsimtech.com</w:t>
      </w:r>
      <w:r w:rsidRPr="00D7086B">
        <w:t>. (Accessed 23/12/2021)</w:t>
      </w:r>
    </w:p>
    <w:p w:rsidR="00D7086B" w:rsidRPr="00D7086B" w:rsidRDefault="00D7086B" w:rsidP="00D7086B"/>
    <w:p w:rsidR="00D7086B" w:rsidRPr="00D7086B" w:rsidRDefault="00D7086B" w:rsidP="00D7086B">
      <w:r w:rsidRPr="00D7086B">
        <w:t xml:space="preserve">Coroners and Justice Act </w:t>
      </w:r>
      <w:r w:rsidR="00A738B0">
        <w:t>(</w:t>
      </w:r>
      <w:r w:rsidRPr="00D7086B">
        <w:t>2009</w:t>
      </w:r>
      <w:r w:rsidR="00A738B0">
        <w:t>) C</w:t>
      </w:r>
      <w:r w:rsidRPr="00D7086B">
        <w:t xml:space="preserve">hapter 1. </w:t>
      </w:r>
      <w:r w:rsidR="00A738B0" w:rsidRPr="00A738B0">
        <w:rPr>
          <w:i/>
        </w:rPr>
        <w:t>Partial defence to murder – loss of control</w:t>
      </w:r>
      <w:r w:rsidR="00A738B0">
        <w:t xml:space="preserve">. </w:t>
      </w:r>
      <w:r w:rsidRPr="00D7086B">
        <w:t>Available at: https://www.Legislation.gov.uk. (Accessed:</w:t>
      </w:r>
      <w:r w:rsidR="00A738B0">
        <w:t xml:space="preserve"> </w:t>
      </w:r>
      <w:r w:rsidRPr="00D7086B">
        <w:t>23/12/2021)</w:t>
      </w:r>
    </w:p>
    <w:p w:rsidR="00D7086B" w:rsidRPr="00D7086B" w:rsidRDefault="00D7086B" w:rsidP="00D7086B"/>
    <w:p w:rsidR="00D7086B" w:rsidRPr="00D7086B" w:rsidRDefault="00D7086B" w:rsidP="00D7086B">
      <w:r w:rsidRPr="00D7086B">
        <w:lastRenderedPageBreak/>
        <w:t>Crown Prosecution Service Legal guidelines</w:t>
      </w:r>
      <w:r w:rsidR="00A738B0">
        <w:t xml:space="preserve"> (2019)</w:t>
      </w:r>
      <w:r w:rsidRPr="00D7086B">
        <w:t xml:space="preserve">. </w:t>
      </w:r>
      <w:r w:rsidRPr="00A738B0">
        <w:rPr>
          <w:i/>
        </w:rPr>
        <w:t>Homicide: Murder and Manslaughter</w:t>
      </w:r>
      <w:r w:rsidRPr="00D7086B">
        <w:t>. Available at https://www.cps.gov.uk (Accessed:23/12/2021)</w:t>
      </w:r>
    </w:p>
    <w:p w:rsidR="00D7086B" w:rsidRPr="00D7086B" w:rsidRDefault="00D7086B" w:rsidP="00D7086B"/>
    <w:p w:rsidR="00D7086B" w:rsidRPr="00D7086B" w:rsidRDefault="00D7086B" w:rsidP="00D7086B">
      <w:r w:rsidRPr="00D7086B">
        <w:t xml:space="preserve">DiMaggio, J. (2005) </w:t>
      </w:r>
      <w:r w:rsidRPr="00A738B0">
        <w:rPr>
          <w:i/>
        </w:rPr>
        <w:t>The role of feet and footwear in medicolegal investigations. Forensic Medicine of the Lower Extremity</w:t>
      </w:r>
      <w:r w:rsidRPr="00D7086B">
        <w:t>. 1st ed. Totowa, NJ: Humana Press</w:t>
      </w:r>
    </w:p>
    <w:p w:rsidR="00D7086B" w:rsidRPr="00D7086B" w:rsidRDefault="00D7086B" w:rsidP="00D7086B"/>
    <w:p w:rsidR="00D7086B" w:rsidRPr="00D7086B" w:rsidRDefault="00D7086B" w:rsidP="00D7086B">
      <w:r w:rsidRPr="00D7086B">
        <w:t xml:space="preserve">DiMaggio, J &amp; Vernon, W. (2011). </w:t>
      </w:r>
      <w:r w:rsidRPr="00A738B0">
        <w:rPr>
          <w:i/>
        </w:rPr>
        <w:t>Forensic Podiatry: Principles and Methods</w:t>
      </w:r>
      <w:r w:rsidR="00A738B0">
        <w:t>. England,</w:t>
      </w:r>
      <w:r w:rsidRPr="00D7086B">
        <w:t xml:space="preserve"> Humana Press.</w:t>
      </w:r>
    </w:p>
    <w:p w:rsidR="00D7086B" w:rsidRPr="00D7086B" w:rsidRDefault="00D7086B" w:rsidP="00D7086B"/>
    <w:p w:rsidR="00D7086B" w:rsidRPr="00D7086B" w:rsidRDefault="00D7086B" w:rsidP="00D7086B">
      <w:r w:rsidRPr="00D7086B">
        <w:t xml:space="preserve">Edwards, S. (2010) </w:t>
      </w:r>
      <w:r w:rsidR="00A738B0">
        <w:t>`</w:t>
      </w:r>
      <w:r w:rsidRPr="00D7086B">
        <w:t>Anger and Fear ar</w:t>
      </w:r>
      <w:r w:rsidR="00A738B0">
        <w:t>e</w:t>
      </w:r>
      <w:r w:rsidRPr="00D7086B">
        <w:t xml:space="preserve"> Justifiable Preludes for loss of self-control</w:t>
      </w:r>
      <w:r w:rsidR="00A738B0">
        <w:t>`</w:t>
      </w:r>
      <w:r w:rsidRPr="00D7086B">
        <w:t xml:space="preserve">. </w:t>
      </w:r>
      <w:r w:rsidRPr="00A738B0">
        <w:rPr>
          <w:i/>
        </w:rPr>
        <w:t>Journal of criminal law</w:t>
      </w:r>
      <w:r w:rsidR="00A738B0">
        <w:t xml:space="preserve"> (Hertford). Volume 74 Pp</w:t>
      </w:r>
      <w:r w:rsidRPr="00D7086B">
        <w:t xml:space="preserve"> 223-241 </w:t>
      </w:r>
    </w:p>
    <w:p w:rsidR="00D7086B" w:rsidRPr="00D7086B" w:rsidRDefault="00D7086B" w:rsidP="00D7086B"/>
    <w:p w:rsidR="00D7086B" w:rsidRPr="00D7086B" w:rsidRDefault="00D7086B" w:rsidP="00D7086B">
      <w:r w:rsidRPr="00D7086B">
        <w:t>Kennedy, R; Chen, S; Pressman, I &amp; Yamashita</w:t>
      </w:r>
      <w:r w:rsidR="00A738B0">
        <w:t>,</w:t>
      </w:r>
      <w:r w:rsidRPr="00D7086B">
        <w:t xml:space="preserve"> A (2005). </w:t>
      </w:r>
      <w:r w:rsidR="00A738B0">
        <w:t>`</w:t>
      </w:r>
      <w:r w:rsidRPr="00D7086B">
        <w:t>Large-Scale Statistical Analysis of Barefoot Impressions</w:t>
      </w:r>
      <w:r w:rsidR="00A738B0">
        <w:t>`</w:t>
      </w:r>
      <w:r w:rsidRPr="00D7086B">
        <w:t>. J</w:t>
      </w:r>
      <w:r w:rsidRPr="00A738B0">
        <w:rPr>
          <w:i/>
        </w:rPr>
        <w:t>ournal of Forensic Sciences</w:t>
      </w:r>
      <w:r w:rsidRPr="00D7086B">
        <w:t xml:space="preserve">, </w:t>
      </w:r>
      <w:r w:rsidR="00A738B0">
        <w:t xml:space="preserve">Pp </w:t>
      </w:r>
      <w:r w:rsidRPr="00D7086B">
        <w:t xml:space="preserve">1071 - 80 </w:t>
      </w:r>
    </w:p>
    <w:p w:rsidR="00D7086B" w:rsidRPr="00D7086B" w:rsidRDefault="00D7086B" w:rsidP="00D7086B"/>
    <w:p w:rsidR="00D7086B" w:rsidRPr="00D7086B" w:rsidRDefault="00D7086B" w:rsidP="00D7086B">
      <w:r w:rsidRPr="00D7086B">
        <w:t xml:space="preserve">Kunz, S; Graw, M; Adamec, J. (2017) </w:t>
      </w:r>
      <w:r w:rsidR="00A738B0">
        <w:t>`</w:t>
      </w:r>
      <w:r w:rsidRPr="00D7086B">
        <w:t>A proclaimed accidental fall of an infant – an experimental case reconstruction study</w:t>
      </w:r>
      <w:r w:rsidR="00A738B0">
        <w:t>`</w:t>
      </w:r>
      <w:r w:rsidRPr="00D7086B">
        <w:t>.</w:t>
      </w:r>
      <w:r w:rsidRPr="00A738B0">
        <w:rPr>
          <w:i/>
        </w:rPr>
        <w:t xml:space="preserve"> </w:t>
      </w:r>
      <w:r w:rsidR="00A738B0" w:rsidRPr="00A738B0">
        <w:rPr>
          <w:i/>
        </w:rPr>
        <w:t>International</w:t>
      </w:r>
      <w:r w:rsidRPr="00A738B0">
        <w:rPr>
          <w:i/>
        </w:rPr>
        <w:t xml:space="preserve"> journal of legal medicine,</w:t>
      </w:r>
      <w:r w:rsidRPr="00D7086B">
        <w:t xml:space="preserve"> Volume 132</w:t>
      </w:r>
      <w:r w:rsidR="00A738B0">
        <w:t>. Issue 1</w:t>
      </w:r>
      <w:r w:rsidRPr="00D7086B">
        <w:t xml:space="preserve"> </w:t>
      </w:r>
      <w:r w:rsidR="00A738B0">
        <w:t>P</w:t>
      </w:r>
      <w:r w:rsidRPr="00D7086B">
        <w:t xml:space="preserve">p 205-210 </w:t>
      </w:r>
    </w:p>
    <w:p w:rsidR="00D7086B" w:rsidRPr="00D7086B" w:rsidRDefault="00D7086B" w:rsidP="00D7086B"/>
    <w:p w:rsidR="00D7086B" w:rsidRPr="00D7086B" w:rsidRDefault="00D7086B" w:rsidP="00D7086B">
      <w:r w:rsidRPr="00D7086B">
        <w:t xml:space="preserve">National Policing Improvement Agency (2007) </w:t>
      </w:r>
      <w:r w:rsidRPr="00E854DB">
        <w:rPr>
          <w:i/>
        </w:rPr>
        <w:t>Footwear Marks Recovery Manual</w:t>
      </w:r>
      <w:r w:rsidRPr="00D7086B">
        <w:t xml:space="preserve">. Available at: https://library.college.police.uk/docs/appref/NPIA-(2007)-Footwear-Marks-Recovery-Manual.pdf. (Accessed 24/12/2021) </w:t>
      </w:r>
    </w:p>
    <w:p w:rsidR="00D7086B" w:rsidRPr="00D7086B" w:rsidRDefault="00D7086B" w:rsidP="00D7086B"/>
    <w:p w:rsidR="00D7086B" w:rsidRPr="00D7086B" w:rsidRDefault="00D7086B" w:rsidP="00D7086B">
      <w:r w:rsidRPr="00D7086B">
        <w:t xml:space="preserve">MacIntyre,M; Darby,W; Sones,A; Li,J; Leong,G &amp; Weinstock, R (2021) </w:t>
      </w:r>
      <w:r w:rsidR="00E854DB">
        <w:t>`</w:t>
      </w:r>
      <w:r w:rsidRPr="00D7086B">
        <w:t xml:space="preserve">Voluntary intoxication, homicide and </w:t>
      </w:r>
      <w:r w:rsidRPr="00E854DB">
        <w:rPr>
          <w:i/>
        </w:rPr>
        <w:t>mens</w:t>
      </w:r>
      <w:r w:rsidRPr="00D7086B">
        <w:t xml:space="preserve"> rea: Past, present and future</w:t>
      </w:r>
      <w:r w:rsidR="00E854DB">
        <w:t>`</w:t>
      </w:r>
      <w:r w:rsidRPr="00D7086B">
        <w:t xml:space="preserve">. </w:t>
      </w:r>
      <w:r w:rsidRPr="00E854DB">
        <w:rPr>
          <w:i/>
        </w:rPr>
        <w:t>Behavioural sciences and the law</w:t>
      </w:r>
      <w:r w:rsidRPr="00D7086B">
        <w:t xml:space="preserve">. Volume 39 </w:t>
      </w:r>
      <w:r w:rsidR="00E854DB">
        <w:t>P</w:t>
      </w:r>
      <w:r w:rsidRPr="00D7086B">
        <w:t xml:space="preserve">p 150-169 </w:t>
      </w:r>
    </w:p>
    <w:p w:rsidR="00D7086B" w:rsidRPr="00D7086B" w:rsidRDefault="00D7086B" w:rsidP="00D7086B"/>
    <w:p w:rsidR="00D7086B" w:rsidRPr="00D7086B" w:rsidRDefault="00D7086B" w:rsidP="00D7086B">
      <w:r w:rsidRPr="00D7086B">
        <w:t xml:space="preserve">McGorrery, P and McMahon, M. (2019) </w:t>
      </w:r>
      <w:r w:rsidR="00E854DB">
        <w:t>`</w:t>
      </w:r>
      <w:r w:rsidRPr="00D7086B">
        <w:t>Causing someone else to commit suicide: Incitement or manslaughter?</w:t>
      </w:r>
      <w:r w:rsidR="00E854DB">
        <w:t>`</w:t>
      </w:r>
      <w:r w:rsidRPr="00D7086B">
        <w:t xml:space="preserve">. </w:t>
      </w:r>
      <w:r w:rsidRPr="00E854DB">
        <w:rPr>
          <w:i/>
        </w:rPr>
        <w:t>Alternative Law Journal</w:t>
      </w:r>
      <w:r w:rsidRPr="00D7086B">
        <w:t xml:space="preserve">. Volume 44 (10) Pp 23-28 </w:t>
      </w:r>
    </w:p>
    <w:p w:rsidR="00D7086B" w:rsidRPr="00D7086B" w:rsidRDefault="00D7086B" w:rsidP="00D7086B"/>
    <w:p w:rsidR="00D7086B" w:rsidRPr="00D7086B" w:rsidRDefault="00D7086B" w:rsidP="00D7086B">
      <w:r w:rsidRPr="00D7086B">
        <w:t xml:space="preserve">Quirk, H (2005) </w:t>
      </w:r>
      <w:r w:rsidR="00E672EE">
        <w:t>`</w:t>
      </w:r>
      <w:r w:rsidRPr="00D7086B">
        <w:t>Rethinking the Reasonable person: An Egalitarian Reconstruction of the Objective standard, by Mayo Moran</w:t>
      </w:r>
      <w:r w:rsidR="00E672EE">
        <w:t>`</w:t>
      </w:r>
      <w:r w:rsidRPr="00D7086B">
        <w:t xml:space="preserve">. </w:t>
      </w:r>
      <w:r w:rsidRPr="00E672EE">
        <w:rPr>
          <w:i/>
        </w:rPr>
        <w:t>British journal of criminology</w:t>
      </w:r>
      <w:r w:rsidRPr="00D7086B">
        <w:t xml:space="preserve"> Vol</w:t>
      </w:r>
      <w:r w:rsidR="00E672EE">
        <w:t>ume</w:t>
      </w:r>
      <w:r w:rsidRPr="00D7086B">
        <w:t xml:space="preserve"> 45. P 408 – 411  </w:t>
      </w:r>
    </w:p>
    <w:p w:rsidR="00D7086B" w:rsidRPr="00D7086B" w:rsidRDefault="00D7086B" w:rsidP="00D7086B"/>
    <w:p w:rsidR="00D7086B" w:rsidRPr="00D7086B" w:rsidRDefault="00D7086B" w:rsidP="00D7086B">
      <w:r w:rsidRPr="00D7086B">
        <w:t xml:space="preserve">Sayre,F (1932) Mens Rea. Havard law review. Volume 45 (6) Pp 974- 1026 </w:t>
      </w:r>
    </w:p>
    <w:p w:rsidR="00D7086B" w:rsidRPr="00D7086B" w:rsidRDefault="00D7086B" w:rsidP="00D7086B"/>
    <w:p w:rsidR="00D7086B" w:rsidRPr="00D7086B" w:rsidRDefault="00D7086B" w:rsidP="00D7086B">
      <w:r w:rsidRPr="00D7086B">
        <w:t>Taylor,M; Laber,T; Kish,P; Owens,G &amp; Osborne, N</w:t>
      </w:r>
      <w:r w:rsidR="00E672EE">
        <w:t xml:space="preserve"> (2016) `</w:t>
      </w:r>
      <w:r w:rsidRPr="00D7086B">
        <w:t>The Reliability of pattern classification in blood pattern analysis, Part 1. Bloodstain patterns on rigid non-absorbent surfaces</w:t>
      </w:r>
      <w:r w:rsidR="00E672EE">
        <w:t>`</w:t>
      </w:r>
      <w:r w:rsidRPr="00D7086B">
        <w:t xml:space="preserve">. </w:t>
      </w:r>
      <w:r w:rsidRPr="00E672EE">
        <w:rPr>
          <w:i/>
        </w:rPr>
        <w:t>Journal of fore</w:t>
      </w:r>
      <w:r w:rsidR="00E672EE">
        <w:rPr>
          <w:i/>
        </w:rPr>
        <w:t>n</w:t>
      </w:r>
      <w:r w:rsidRPr="00E672EE">
        <w:rPr>
          <w:i/>
        </w:rPr>
        <w:t>sic sciences</w:t>
      </w:r>
      <w:r w:rsidRPr="00D7086B">
        <w:t>, Volume 61. P</w:t>
      </w:r>
      <w:r w:rsidR="00E672EE">
        <w:t>p</w:t>
      </w:r>
      <w:r w:rsidRPr="00D7086B">
        <w:t xml:space="preserve"> 922-927</w:t>
      </w:r>
    </w:p>
    <w:p w:rsidR="00D7086B" w:rsidRPr="00D7086B" w:rsidRDefault="00D7086B" w:rsidP="00D7086B"/>
    <w:p w:rsidR="00D7086B" w:rsidRDefault="00D7086B" w:rsidP="00D7086B">
      <w:r w:rsidRPr="00D7086B">
        <w:t xml:space="preserve">Vernon,W; Borthwick,A; Farndon,L; Nancarrow,S &amp; Walker,J (2005) </w:t>
      </w:r>
      <w:r w:rsidR="00E672EE">
        <w:t>`</w:t>
      </w:r>
      <w:r w:rsidRPr="00D7086B">
        <w:t>Issues of podiatry status in the UK</w:t>
      </w:r>
      <w:r w:rsidR="00E672EE">
        <w:t>`</w:t>
      </w:r>
      <w:r w:rsidRPr="00D7086B">
        <w:t>.</w:t>
      </w:r>
      <w:r w:rsidRPr="00E672EE">
        <w:rPr>
          <w:i/>
        </w:rPr>
        <w:t xml:space="preserve"> British Journal of Podiatry</w:t>
      </w:r>
      <w:r w:rsidRPr="00D7086B">
        <w:t>. Volume 8. P</w:t>
      </w:r>
      <w:r w:rsidR="00E672EE">
        <w:t>p</w:t>
      </w:r>
      <w:r w:rsidRPr="00D7086B">
        <w:t xml:space="preserve"> 6–10 </w:t>
      </w:r>
    </w:p>
    <w:p w:rsidR="00E672EE" w:rsidRPr="00D7086B" w:rsidRDefault="00E672EE" w:rsidP="00D7086B"/>
    <w:p w:rsidR="00D7086B" w:rsidRPr="00D7086B" w:rsidRDefault="00D7086B" w:rsidP="00D7086B">
      <w:r w:rsidRPr="00D7086B">
        <w:t xml:space="preserve">Vernon,W; Reel,S 7 Howsam, N (2020) </w:t>
      </w:r>
      <w:r w:rsidR="00E672EE">
        <w:t>`</w:t>
      </w:r>
      <w:r w:rsidRPr="00D7086B">
        <w:t>Examination and Interpretation of Bare Footprints in Forensic Investigations</w:t>
      </w:r>
      <w:r w:rsidR="00E672EE">
        <w:t>`</w:t>
      </w:r>
      <w:r w:rsidRPr="00D7086B">
        <w:t xml:space="preserve">. </w:t>
      </w:r>
      <w:r w:rsidRPr="00E672EE">
        <w:rPr>
          <w:i/>
        </w:rPr>
        <w:t>Research and Reports in Forensic Medical science</w:t>
      </w:r>
      <w:r w:rsidR="00E672EE">
        <w:t>, Volume 10. Pp</w:t>
      </w:r>
      <w:r w:rsidRPr="00D7086B">
        <w:t xml:space="preserve"> 1</w:t>
      </w:r>
    </w:p>
    <w:p w:rsidR="00D7086B" w:rsidRPr="00D7086B" w:rsidRDefault="00D7086B" w:rsidP="00D7086B"/>
    <w:p w:rsidR="00D7086B" w:rsidRPr="00D7086B" w:rsidRDefault="00D7086B" w:rsidP="00D7086B">
      <w:r w:rsidRPr="00D7086B">
        <w:t xml:space="preserve">Weinstock,R; Leong, G &amp; Silva, J (1996) </w:t>
      </w:r>
      <w:r w:rsidR="00E672EE">
        <w:t>`</w:t>
      </w:r>
      <w:r w:rsidRPr="00D7086B">
        <w:t>California's diminished capacity defense</w:t>
      </w:r>
      <w:r w:rsidR="00E672EE">
        <w:t>`</w:t>
      </w:r>
      <w:r w:rsidRPr="00E672EE">
        <w:rPr>
          <w:i/>
        </w:rPr>
        <w:t xml:space="preserve"> Evolution and transformation</w:t>
      </w:r>
      <w:r w:rsidRPr="00D7086B">
        <w:t xml:space="preserve">. Volume 24. Number 3. </w:t>
      </w:r>
    </w:p>
    <w:p w:rsidR="00D7086B" w:rsidRPr="00D7086B" w:rsidRDefault="00D7086B" w:rsidP="00D7086B">
      <w:pPr>
        <w:rPr>
          <w:u w:val="single"/>
        </w:rPr>
      </w:pPr>
    </w:p>
    <w:p w:rsidR="00D7086B" w:rsidRDefault="00D7086B" w:rsidP="00E11FD7">
      <w:pPr>
        <w:rPr>
          <w:u w:val="single"/>
        </w:rPr>
      </w:pPr>
    </w:p>
    <w:p w:rsidR="00E11FD7" w:rsidRDefault="00E11FD7" w:rsidP="00E11FD7">
      <w:pPr>
        <w:rPr>
          <w:u w:val="single"/>
        </w:rPr>
      </w:pPr>
    </w:p>
    <w:p w:rsidR="00E11FD7" w:rsidRDefault="00E11FD7" w:rsidP="00E11FD7">
      <w:pPr>
        <w:rPr>
          <w:u w:val="single"/>
        </w:rPr>
      </w:pPr>
    </w:p>
    <w:p w:rsidR="00E11FD7" w:rsidRDefault="00E11FD7" w:rsidP="00E11FD7">
      <w:pPr>
        <w:rPr>
          <w:u w:val="single"/>
        </w:rPr>
      </w:pPr>
    </w:p>
    <w:p w:rsidR="0068506B" w:rsidRDefault="0068506B" w:rsidP="00E11FD7">
      <w:pPr>
        <w:rPr>
          <w:u w:val="single"/>
        </w:rPr>
      </w:pPr>
    </w:p>
    <w:p w:rsidR="00E11FD7" w:rsidRPr="00E11FD7" w:rsidRDefault="00E11FD7" w:rsidP="00E11FD7">
      <w:pPr>
        <w:rPr>
          <w:u w:val="single"/>
        </w:rPr>
      </w:pPr>
      <w:r w:rsidRPr="00E11FD7">
        <w:rPr>
          <w:u w:val="single"/>
        </w:rPr>
        <w:t xml:space="preserve">QUESTION 4  </w:t>
      </w:r>
    </w:p>
    <w:p w:rsidR="00E11FD7" w:rsidRDefault="00E11FD7" w:rsidP="00E11FD7">
      <w:r>
        <w:t xml:space="preserve">Research and critically analyse current theories and methodologies relevant to your own specified area of investigation. (e.g., use of specialist interviewing techniques, crime scene management, NDM). </w:t>
      </w:r>
    </w:p>
    <w:p w:rsidR="00E11FD7" w:rsidRDefault="00E11FD7" w:rsidP="00E11FD7">
      <w:r>
        <w:t xml:space="preserve">Evaluate the importance of applying skills, knowledge and experience to reach appropriate investigative outcomes.  </w:t>
      </w:r>
    </w:p>
    <w:p w:rsidR="00845044" w:rsidRDefault="00845044" w:rsidP="00E11FD7"/>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I have focused my research on Child interview techniques and methodologies. Over the last 30 years the way children in the UK can give evidence has changed dramatically (Goodman and Bottoms 1996) Following the Cleveland Inquiry, Dame Butler-Sloss' (1988) report recognised that interviewing children is a specialised skill requiring expert training, preparation, and proper implementation.  </w:t>
      </w:r>
    </w:p>
    <w:p w:rsidR="00845044" w:rsidRPr="00845044" w:rsidRDefault="00845044" w:rsidP="00845044">
      <w:pPr>
        <w:rPr>
          <w:rFonts w:ascii="Times New Roman" w:hAnsi="Times New Roman" w:cs="Times New Roman"/>
        </w:rPr>
      </w:pPr>
      <w:r w:rsidRPr="00845044">
        <w:rPr>
          <w:rFonts w:ascii="Times New Roman" w:hAnsi="Times New Roman" w:cs="Times New Roman"/>
        </w:rPr>
        <w:t>The Criminal Justice Acts of 1988 and 1991 introduced several provisions for child witnesses in England and Wales, including the publication of Working Together (Department of Health, 1991) and the Home Office`s Memorandum of Good Practice (1992). According to these recommendations, interviews with children should be conducted in a phased manner, with an initial rapport phase, a free narrative period, a questionin</w:t>
      </w:r>
      <w:r w:rsidR="0068506B">
        <w:rPr>
          <w:rFonts w:ascii="Times New Roman" w:hAnsi="Times New Roman" w:cs="Times New Roman"/>
        </w:rPr>
        <w:t xml:space="preserve">g phase, and a closure phase.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In 2000, Alridge and Wood carried out research and sent questionnaires to Welsh police forces. Officers' views on interviewing child witnesses were obtained. The research argued that the child, interviewer, and legal system all benefitted from the child interview guidelines. The interview procedure for the child was significantly faster than obtaining a written statement, the interview created a much more comfortable atmosphere, and officers considered that the new provisions reduced the child's stress and trauma. Similar findings were found in the Davies et al (1995 cited by Alridge and Wood in 2000) study. One of the most significant benefits of video recorded interviews </w:t>
      </w:r>
      <w:r w:rsidRPr="00845044">
        <w:rPr>
          <w:rFonts w:ascii="Times New Roman" w:hAnsi="Times New Roman" w:cs="Times New Roman"/>
        </w:rPr>
        <w:lastRenderedPageBreak/>
        <w:t xml:space="preserve">was that the evidence obtained during the interview could be used as evidence in chief at court. The interviewer's impartiality and safeguarding practices were evident in the video recorded interview, which is an advantage for the interviewer. On the other hand, some officers in the study stated that filming the entire procedure can be detrimental because it exposes the interviewer to criticism. It is likely that the interviewers' concerns and sense of vulnerability derives from their belief that their training is not good enough.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The fact that the child's emotional response could be observed via video link was regarded beneficial in court in terms of the jury's reaction. However, some findings from Davies et al`s (1995 as cited in Alridge and Wood 2000) research contradicted this suggestion, with some officers believing that video interviews have less impact than live evidence. Along with the advantages, officers in this study reported disadvantages for the child witness, the most significant of which is that it is unrealistic to expect the child to settle into an unfamiliar setting and freely report the alleged abuse. They also suggested that the presence of the video camera may cause some children distress, and the video interview process was too formal. Some children will find it difficult to share their experiences, each child and issue must be managed individually. The officer's lack of knowledge about children's language development was identified as a training need. The officer's training frequently emphasises the importance of using age-appropriate language, yet this cannot be done correctly without knowledge of child development. Research by Davies, Marshall, and Robertson (1998 as cited in Aldridge and Wood 2000) supports this, suggesting that offices should receive additional language training.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The Coroners and Justice Act 2009 brought in amendments to the Youth Justice and Criminal Evidence Act 1999. Achieving best Evidence ABE was first published in 2002 and then updated in 2007 and 2011. This guidance replaced the Memorandum of good practice for video-interviewing children. When interviewing children, ABE (2011) outlines best practises. While this is a recommended rule of conduct rather than a legally binding one, interviewers should be aware that significant deviations from best practise may need to be justified in court. Interviewers must consider that each witness is unique, and the child should be interviewed depending on their needs and circumstances. Training alone is unlikely to produce a good-quality interview. Continuous evaluations of the interviews are required to ensure they are of high quality, which enables interviewers to acquire, maintain, and improve on their skills. The purpose of an interview is to obtain a true and accurate account of events, as well as obtaining additional information to assist with the investigation. The child needs to be assessed prior to the interview taking place. A well-conducted interview can only occur if proper planning has taken place, setting the goals, and determining the techniques used. The interview begins with a free narrative phase, with the questioning gradually becoming more specific to gain more information. This method may not be suitable for some witnesses with limited communication abilities. When possible, open-ended questions should be used first, followed by specific-closed questions if necessary. Forced-choice questions and leading questions should only be used as a last resort.  A free recall account should be obtained without giving the person being interviewed any memory cues, 'Tell me what happened,' for example, is a good open question because the individual being interviewed can provide an account in their own terms. Closed, focused, and leading questions, such as 'did this happen yesterday?', may not always elicit free recall. Importantly, research has shown that information provided in response to open prompts is more accurate than information obtained through other means (Dent and Stephenson 1979).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Carson and La Rooy's (2014) study aimed to learn more about police interviewers' perceptions and views about child interviewing guidelines, as well investigating attitudes toward psychological science and whether failure to apply it can be associated with not achieving best evidence. When interviewing child victims, they believe it is critical to use evidence-based procedures rather than using methods based on personal opinions and subjective experiences concerning child memory and development. Despite widespread agreement that children should be interviewed using effective and </w:t>
      </w:r>
      <w:r w:rsidRPr="00845044">
        <w:rPr>
          <w:rFonts w:ascii="Times New Roman" w:hAnsi="Times New Roman" w:cs="Times New Roman"/>
        </w:rPr>
        <w:lastRenderedPageBreak/>
        <w:t xml:space="preserve">appropriate methods, investigations of interview practises done around the world have repeatedly demonstrated that such processes are rarely followed (Lamb et al 2008). Sternberg et al. (2001 as cited in Lamb et al) looked at 119 interviews conducted in England and Wales and discovered that only half of the children were told that it was OK to answer "I don't know" when giving answers, and leading and suggestive questions were used to gather 40% of the information.  </w:t>
      </w:r>
    </w:p>
    <w:p w:rsidR="00845044" w:rsidRPr="00845044" w:rsidRDefault="00845044" w:rsidP="00845044">
      <w:pPr>
        <w:rPr>
          <w:rFonts w:ascii="Times New Roman" w:hAnsi="Times New Roman" w:cs="Times New Roman"/>
        </w:rPr>
      </w:pPr>
      <w:r w:rsidRPr="00845044">
        <w:rPr>
          <w:rFonts w:ascii="Times New Roman" w:hAnsi="Times New Roman" w:cs="Times New Roman"/>
        </w:rPr>
        <w:t>In a study of 100 interviews with children conducted by police officers, Myklebust and Bjrklund (2006) discovered that, regardless of how well trained, experienced, or competent the officers were, they used ten times the number of closed questions than the recommended open prompts. The interviewers were often aware of the recommended guidelines and methods from their initial training, but they did not provide explanations for why they did not follow the evidence-based recommendations. Antaki et al (2015) conducted research that analysed and compared the practises</w:t>
      </w:r>
      <w:r w:rsidR="007A0468">
        <w:rPr>
          <w:rFonts w:ascii="Times New Roman" w:hAnsi="Times New Roman" w:cs="Times New Roman"/>
        </w:rPr>
        <w:t xml:space="preserve"> </w:t>
      </w:r>
      <w:r w:rsidRPr="00845044">
        <w:rPr>
          <w:rFonts w:ascii="Times New Roman" w:hAnsi="Times New Roman" w:cs="Times New Roman"/>
        </w:rPr>
        <w:t xml:space="preserve">recommended in the ABE guidelines with the actual practises of interviewing officers. The researchers looked at 20 interviews conducted by officers between 2010 and 2013. The well-being of the witnesses is prioritised throughout ABE. Witnesses should only be openly challenged about inconsistencies in exceptional circumstances and only when necessary. However, there is no script advising officers on how to do this; officers are left to their own devices when it comes to asking questions in a way that does not make the officer appear suspicious of the youngster or imply that the child is lying. Antaki et al analysed the interviews and discovered that the interviewers did not always follow the guidelines. The interviewers asked probed questions about the complainant's behaviour, implying fault with questions like "Why didn't you do X?" and "How come you didn't do Y?". One explanation for the interviewers' not following ABE's best practise is that they face a dilemma. They must obtain an account of what occurred, but they must also ensure that the description is free of inconsistency, ambiguity, or implausibility. The importance of making the victims' account as satisfactory as possible is emphasised. Apart from two interviews, the rest of the interviewers in this study asked challenging questions.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Powell, Wright, and Clarke`s (2010) study revealed that police officers do not consider the actual interview to be the issue, but the challenge in interviewing relates to their elevated levels of anxiety and apprehension that such interviews can cause when conducted with children who have experienced abuse.  While there is no direct link between empathy and the amount of information obtained, research shows that when officers are more emphatic in interviews, they ask more appropriate questions, which leads to more relevant information being obtained (Oxburgh et al, 2014). Ahern et al. (2017) discovered that establishing rapport over time through positive contact and neutral topic talk was more likely to result in good trustworthy relationships that could lead to later disclosures. There is a link between positive police interactions with children who then go to provide more detailed and credible accounts of abuse (Davidson et al, 2006). However, because of a lack of resources, this is challenging, as it requires the development of a unique skill set that would require training, time, and practise.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When children in interview fail to make disclosures, officers can become anxious. Research by Hershkowitz, Horowitz &amp; Lamb (2005), shows there is a link between disclosure rates and age, with children aged 7 to 14 years being more likely to disclose abuse than children under 7 years. Adolescents, on the other hand, make less disclosures. Leach et al`s (2016) study confirmed that there is a link between age and disclosure, but that this is influenced by other factors such as younger children being less likely to disclose abuse because they may not recognise abusive behaviour, be afraid of reporting it, or feel loyal to the suspect. Adolescents may believe abusive actions as consensual rather than abusive. This shows that officers need to have a better understanding of why disclosure may or may not occur during an interview.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It's also been suggested that police officers' own opinions play a role, leading to inaccurate evaluations and interpretations of facts. Hughes-Scholes et al. (2014) found that interviewers' signs </w:t>
      </w:r>
      <w:r w:rsidRPr="00845044">
        <w:rPr>
          <w:rFonts w:ascii="Times New Roman" w:hAnsi="Times New Roman" w:cs="Times New Roman"/>
        </w:rPr>
        <w:lastRenderedPageBreak/>
        <w:t xml:space="preserve">for determining the truthfulness of children's statements aren't always reliable. The perceived credibility of the witness is one factor that influences officers' decisions; nevertheless, the lack of a clear and universal way of measuring this is a problem (Powell, Wright and Clarke 2010). Hughes-Scholes et al, (2014) research show that it will be easier to understand and follow best practise recommendations if these assumptions are challenged through expert training.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In contrast, these changes, and guidelines for children, do not include interviewing child suspects. According to Gooch and Berg (2019) the lack of child-specific guidance during child suspect interviews hinders the successful communication with the child. The Youth Justice and Criminal Evidence Act of 1999 recognises that children under the age of 18 are 'vulnerable,' but little thought has been given to how this can affect how child suspects react when questioned by police.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The interview is the first time a child suspect provides an account of the incident, which could then lead to the commencement of criminal procedures. Gooch &amp; Berg (2019) have argued that consideration must be given to developing training to assist police officers when interviewing a child suspect. This is crucial for a child's right to a fair trial, as well as for their welfare and future well-being. Evidence was presented to the All-Party Parliamentary Group for Children (2013–2014) that suggested that `many children and young people who are arrested find the experience highly stressful and traumatic’.  </w:t>
      </w:r>
    </w:p>
    <w:p w:rsidR="00845044" w:rsidRPr="00845044" w:rsidRDefault="00845044" w:rsidP="00845044">
      <w:pPr>
        <w:rPr>
          <w:rFonts w:ascii="Times New Roman" w:hAnsi="Times New Roman" w:cs="Times New Roman"/>
        </w:rPr>
      </w:pPr>
      <w:r w:rsidRPr="00845044">
        <w:rPr>
          <w:rFonts w:ascii="Times New Roman" w:hAnsi="Times New Roman" w:cs="Times New Roman"/>
        </w:rPr>
        <w:t xml:space="preserve">Again, when interviewing a child suspect, Officers are expected to know what level of development children should be at, at a certain age/stage. Furthermore, according to Bryan et al. (2007 as cited in Gooch and Berg 2019), children in the criminal justice system find it more difficult providing accurate and reliable accounts as they often have more complex welfare issues, including, emotional and mental health concerns, low IQ, low literacy levels, special educational needs, communication difficulties, abuse, trauma, loss or neglect, mental health, and substance misuse issues. These concerns have prompted a request for young defendants to be assessed and all those who work with them to receive specialised training (Ventress et al, 2008 as cited in Gooch &amp; Berg 2019). It might be argued that this is covered by Annex G, Code of Practice C, which states that while considering a detained child's competence to be interviewed, a custody officer should consider their needs. This does not, however, include recommendations that specialised officers' interview detained children as if they were witnesses, this is concerning. According to Bateman's (2017 as cited in Gooch &amp; Berg 2019) research, theft is by far the most common crime committed by children. For this low-level offence, an officer with basic training is most likely to interview the child. These officers are unlikely to have had specialised child interview training, making it unlikely that they will recognise the child's needs/disability because they have not been trained to do so. The key findings of Gooch &amp; Berg's (2019) study are that the expertise of the interviewer depends on the severity of the crime rather than the child's abilities or vulnerabilities. Officers who obtain basic training are considered to be sufficiently trained to interview any child suspect.  </w:t>
      </w:r>
    </w:p>
    <w:p w:rsidR="00845044" w:rsidRPr="0068506B" w:rsidRDefault="00845044" w:rsidP="00845044">
      <w:pPr>
        <w:rPr>
          <w:rFonts w:ascii="Times New Roman" w:hAnsi="Times New Roman" w:cs="Times New Roman"/>
        </w:rPr>
      </w:pPr>
      <w:r w:rsidRPr="00845044">
        <w:rPr>
          <w:rFonts w:ascii="Times New Roman" w:hAnsi="Times New Roman" w:cs="Times New Roman"/>
        </w:rPr>
        <w:t>When interviewing children, it's important that the interview process is transparent, officers use appropriate questions and are open-minded, understanding, and non-judgmental (Read et al, 2014) Poor interviewers may be the result of a lack of training. Officers who receive training that includes simulated interviews with feedback on actual recorded interviews are better prepared to follow recommendations (Lamb et al, 2008). A study into why officers failed to adhere to best practice guidelines showed that most police officers who have more than ten years of service had not received further training since the completion of the training course (Smith, Powell and Lum 2009). Therefore, ongoing training is crucial for officers to conduct high quality interviews in ac</w:t>
      </w:r>
      <w:r w:rsidR="0068506B">
        <w:rPr>
          <w:rFonts w:ascii="Times New Roman" w:hAnsi="Times New Roman" w:cs="Times New Roman"/>
        </w:rPr>
        <w:t xml:space="preserve">cordance with the guidelines.  </w:t>
      </w:r>
    </w:p>
    <w:p w:rsidR="00845044" w:rsidRDefault="00845044" w:rsidP="00845044">
      <w:pPr>
        <w:rPr>
          <w:u w:val="single"/>
        </w:rPr>
      </w:pPr>
      <w:r w:rsidRPr="00845044">
        <w:rPr>
          <w:u w:val="single"/>
        </w:rPr>
        <w:t xml:space="preserve">Word count – 2174  </w:t>
      </w:r>
    </w:p>
    <w:p w:rsidR="0068506B" w:rsidRPr="00845044" w:rsidRDefault="0068506B" w:rsidP="00845044">
      <w:pPr>
        <w:rPr>
          <w:u w:val="single"/>
        </w:rPr>
      </w:pPr>
    </w:p>
    <w:p w:rsidR="00075578" w:rsidRPr="0068506B" w:rsidRDefault="00075578" w:rsidP="00075578">
      <w:pPr>
        <w:rPr>
          <w:u w:val="single"/>
        </w:rPr>
      </w:pPr>
      <w:r w:rsidRPr="0068506B">
        <w:rPr>
          <w:u w:val="single"/>
        </w:rPr>
        <w:lastRenderedPageBreak/>
        <w:t xml:space="preserve">References – Question 4 </w:t>
      </w:r>
    </w:p>
    <w:p w:rsidR="00075578" w:rsidRDefault="00075578" w:rsidP="00075578">
      <w:r>
        <w:t xml:space="preserve">Ahern, E; Sadler, L; Lamb, M &amp; Gariglietti, G. (2017) </w:t>
      </w:r>
      <w:r w:rsidR="0068506B">
        <w:t>`</w:t>
      </w:r>
      <w:r>
        <w:t>Practitioner Perspectives on Child Sexual Exploitation: Rapport Building with Young People</w:t>
      </w:r>
      <w:r w:rsidR="0068506B">
        <w:t xml:space="preserve">`.  </w:t>
      </w:r>
      <w:r w:rsidRPr="0068506B">
        <w:rPr>
          <w:i/>
        </w:rPr>
        <w:t>Journal of Child Sexual Abuse</w:t>
      </w:r>
      <w:r>
        <w:t>. Volume 26, Pp 78-91.</w:t>
      </w:r>
    </w:p>
    <w:p w:rsidR="00075578" w:rsidRDefault="00075578" w:rsidP="00075578"/>
    <w:p w:rsidR="00075578" w:rsidRDefault="00075578" w:rsidP="00075578">
      <w:r>
        <w:t>Aldridge, M and Wood, J. (2000) `Interviewing Child Witnesses within Memorandum Guidelines. A survey of police officers in England and Wales`.</w:t>
      </w:r>
      <w:r w:rsidRPr="0068506B">
        <w:rPr>
          <w:i/>
        </w:rPr>
        <w:t xml:space="preserve"> Children &amp; Society</w:t>
      </w:r>
      <w:r>
        <w:t>. Volume 14. Pp 168 – 181</w:t>
      </w:r>
    </w:p>
    <w:p w:rsidR="00075578" w:rsidRDefault="00075578" w:rsidP="00075578"/>
    <w:p w:rsidR="00075578" w:rsidRDefault="00075578" w:rsidP="00075578">
      <w:r>
        <w:t>All Party Parliamentary Group for Children (2013–2014) ‘</w:t>
      </w:r>
      <w:r w:rsidRPr="0068506B">
        <w:rPr>
          <w:i/>
        </w:rPr>
        <w:t>It’s all about trust’: Building good relationships between children and the police</w:t>
      </w:r>
      <w:r>
        <w:t xml:space="preserve">. Report of the inquiry held by the All Party Parliamentary Group for Children 2013-2014. Available at: https://www.basw.co.uk. </w:t>
      </w:r>
      <w:r w:rsidR="00305B14">
        <w:t>(</w:t>
      </w:r>
      <w:r>
        <w:t>Accessed 03/01/2021</w:t>
      </w:r>
      <w:r w:rsidR="00305B14">
        <w:t>)</w:t>
      </w:r>
    </w:p>
    <w:p w:rsidR="00075578" w:rsidRDefault="00075578" w:rsidP="00075578"/>
    <w:p w:rsidR="00075578" w:rsidRDefault="00075578" w:rsidP="00075578">
      <w:r>
        <w:t xml:space="preserve">Antaki et al (2015) </w:t>
      </w:r>
      <w:r w:rsidR="00305B14">
        <w:t>`</w:t>
      </w:r>
      <w:r>
        <w:t>Police interviews with vulnerable people alleging sexual assault: Probing inconsistency and questioning conduct</w:t>
      </w:r>
      <w:r w:rsidR="00305B14">
        <w:t>`</w:t>
      </w:r>
      <w:r>
        <w:t xml:space="preserve">. </w:t>
      </w:r>
      <w:r w:rsidRPr="00305B14">
        <w:rPr>
          <w:i/>
        </w:rPr>
        <w:t xml:space="preserve">Journal of Sociolinguistics </w:t>
      </w:r>
      <w:r w:rsidR="00305B14">
        <w:t>. Volume 19. P</w:t>
      </w:r>
      <w:r>
        <w:t>p 328-350</w:t>
      </w:r>
    </w:p>
    <w:p w:rsidR="00075578" w:rsidRDefault="00075578" w:rsidP="00075578"/>
    <w:p w:rsidR="00075578" w:rsidRDefault="00075578" w:rsidP="00075578">
      <w:r>
        <w:t xml:space="preserve">Butler-Sloss E (1988) </w:t>
      </w:r>
      <w:r w:rsidRPr="00B92D19">
        <w:rPr>
          <w:i/>
        </w:rPr>
        <w:t>Summary of the Cleveland inquiry</w:t>
      </w:r>
      <w:r>
        <w:t xml:space="preserve">. Available at: https://www.bmj.com/  </w:t>
      </w:r>
      <w:r w:rsidR="00B92D19">
        <w:t>(</w:t>
      </w:r>
      <w:r>
        <w:t>Accessed on 03/01/2021</w:t>
      </w:r>
      <w:r w:rsidR="00B92D19">
        <w:t>)</w:t>
      </w:r>
      <w:r>
        <w:t xml:space="preserve"> </w:t>
      </w:r>
    </w:p>
    <w:p w:rsidR="00075578" w:rsidRDefault="00075578" w:rsidP="00075578"/>
    <w:p w:rsidR="00075578" w:rsidRDefault="00075578" w:rsidP="00075578">
      <w:r>
        <w:t>Carson &amp; Rooy (2014) `Common sense Psychology’ is a Barrier to the Implementation of Best Practice Child Interviewing Guidelines: A qualitative analysis of Police Officers’ beliefs in Scotland</w:t>
      </w:r>
      <w:r w:rsidR="00B92D19">
        <w:t>`</w:t>
      </w:r>
      <w:r>
        <w:t xml:space="preserve">. </w:t>
      </w:r>
      <w:r w:rsidRPr="00B92D19">
        <w:rPr>
          <w:i/>
        </w:rPr>
        <w:t>Journal of police and criminal psychology</w:t>
      </w:r>
      <w:r>
        <w:t xml:space="preserve">. Volume 30. Pp 50-62. </w:t>
      </w:r>
    </w:p>
    <w:p w:rsidR="00075578" w:rsidRDefault="00075578" w:rsidP="00075578"/>
    <w:p w:rsidR="00075578" w:rsidRDefault="00075578" w:rsidP="00075578">
      <w:r>
        <w:t xml:space="preserve">Coroners and Justice Act (2009) </w:t>
      </w:r>
      <w:r w:rsidRPr="00E006B6">
        <w:rPr>
          <w:i/>
        </w:rPr>
        <w:t xml:space="preserve">UK Public General Acts. C 25. </w:t>
      </w:r>
      <w:r w:rsidR="00E006B6" w:rsidRPr="00E006B6">
        <w:rPr>
          <w:i/>
        </w:rPr>
        <w:t>Part 3 Criminal evidence, investigations and procedure. Chapter 3 Vulnerable and intimidated witnesses.</w:t>
      </w:r>
      <w:r w:rsidR="00E006B6">
        <w:t xml:space="preserve"> </w:t>
      </w:r>
      <w:r>
        <w:t xml:space="preserve">Available at https://www.legislation.gov.uk/ </w:t>
      </w:r>
      <w:r w:rsidR="00B92D19">
        <w:t>(</w:t>
      </w:r>
      <w:r>
        <w:t>Accessed on 03/01/2021</w:t>
      </w:r>
      <w:r w:rsidR="00B92D19">
        <w:t>)</w:t>
      </w:r>
    </w:p>
    <w:p w:rsidR="00075578" w:rsidRDefault="00075578" w:rsidP="00075578"/>
    <w:p w:rsidR="00075578" w:rsidRDefault="00075578" w:rsidP="00075578">
      <w:r>
        <w:t xml:space="preserve">Criminal Justice Act (1988). </w:t>
      </w:r>
      <w:r w:rsidRPr="00E006B6">
        <w:rPr>
          <w:i/>
        </w:rPr>
        <w:t>UK Public General Acts. C 33.</w:t>
      </w:r>
      <w:r w:rsidR="00E006B6">
        <w:rPr>
          <w:i/>
        </w:rPr>
        <w:t xml:space="preserve"> Part III Other Provisions and Evidence in Criminal Proceedings. </w:t>
      </w:r>
      <w:r w:rsidRPr="00E006B6">
        <w:rPr>
          <w:i/>
        </w:rPr>
        <w:t xml:space="preserve"> </w:t>
      </w:r>
      <w:r>
        <w:t xml:space="preserve">Available at https://www.legislation.gov.uk/ </w:t>
      </w:r>
      <w:r w:rsidR="00B92D19">
        <w:t>(</w:t>
      </w:r>
      <w:r>
        <w:t>Accessed on 03/01/2021</w:t>
      </w:r>
      <w:r w:rsidR="00B92D19">
        <w:t>)</w:t>
      </w:r>
    </w:p>
    <w:p w:rsidR="00075578" w:rsidRDefault="00075578" w:rsidP="00075578"/>
    <w:p w:rsidR="00075578" w:rsidRDefault="00075578" w:rsidP="00075578">
      <w:r>
        <w:t xml:space="preserve">Criminal Justice Act (1991). </w:t>
      </w:r>
      <w:r w:rsidRPr="00E006B6">
        <w:rPr>
          <w:i/>
        </w:rPr>
        <w:t xml:space="preserve">UK Public General Acts. C 53. </w:t>
      </w:r>
      <w:r w:rsidR="00E006B6" w:rsidRPr="00E006B6">
        <w:rPr>
          <w:i/>
        </w:rPr>
        <w:t>Part III Children and Young Persons</w:t>
      </w:r>
      <w:r w:rsidR="00E006B6">
        <w:t xml:space="preserve">. </w:t>
      </w:r>
      <w:r>
        <w:t xml:space="preserve">Available at https://www.legislation.gov.uk/ </w:t>
      </w:r>
      <w:r w:rsidR="00B92D19">
        <w:t>(</w:t>
      </w:r>
      <w:r>
        <w:t>Accessed on 03/01/2021</w:t>
      </w:r>
      <w:r w:rsidR="00B92D19">
        <w:t>)</w:t>
      </w:r>
    </w:p>
    <w:p w:rsidR="00075578" w:rsidRDefault="00075578" w:rsidP="00075578"/>
    <w:p w:rsidR="00075578" w:rsidRDefault="00075578" w:rsidP="00075578">
      <w:r>
        <w:t>Davidson, J; Bifulco, A; Thomas, G &amp; Ramsay, M. (2006):</w:t>
      </w:r>
      <w:r w:rsidR="00E006B6">
        <w:t xml:space="preserve"> `</w:t>
      </w:r>
      <w:r>
        <w:t>Child Victims of Sexual Abuse: Children's Experience of the Investigative Process in the Criminal Justice System</w:t>
      </w:r>
      <w:r w:rsidR="00E006B6">
        <w:t>`</w:t>
      </w:r>
      <w:r>
        <w:t>.</w:t>
      </w:r>
      <w:r w:rsidRPr="00E006B6">
        <w:rPr>
          <w:i/>
        </w:rPr>
        <w:t xml:space="preserve"> Practice</w:t>
      </w:r>
      <w:r w:rsidR="00E006B6">
        <w:t>.</w:t>
      </w:r>
      <w:r>
        <w:t xml:space="preserve"> Volume 18, Issue 4,  Pp - 247-263.</w:t>
      </w:r>
    </w:p>
    <w:p w:rsidR="00075578" w:rsidRDefault="00075578" w:rsidP="00075578"/>
    <w:p w:rsidR="00075578" w:rsidRDefault="00075578" w:rsidP="00075578">
      <w:r>
        <w:lastRenderedPageBreak/>
        <w:t>Davies,  G,  Marshall,  E  and  Robertson,  N  (1998)</w:t>
      </w:r>
      <w:r w:rsidR="00E006B6">
        <w:t xml:space="preserve"> </w:t>
      </w:r>
      <w:r w:rsidRPr="00E006B6">
        <w:rPr>
          <w:i/>
        </w:rPr>
        <w:t>Child  A</w:t>
      </w:r>
      <w:r w:rsidR="00E006B6" w:rsidRPr="00E006B6">
        <w:rPr>
          <w:i/>
        </w:rPr>
        <w:t xml:space="preserve">buse: </w:t>
      </w:r>
      <w:r w:rsidRPr="00E006B6">
        <w:rPr>
          <w:i/>
        </w:rPr>
        <w:t>Training  Investigating  Officers.  Police Research Series, Paper 94. Policing and reducing crime unit</w:t>
      </w:r>
      <w:r w:rsidR="00E006B6">
        <w:t xml:space="preserve">. </w:t>
      </w:r>
      <w:r w:rsidR="00E006B6" w:rsidRPr="00E006B6">
        <w:t>Great Britain, Home Office, Policing and Reducing Crime Unit</w:t>
      </w:r>
    </w:p>
    <w:p w:rsidR="00E006B6" w:rsidRDefault="00E006B6" w:rsidP="00075578"/>
    <w:p w:rsidR="00075578" w:rsidRDefault="00075578" w:rsidP="00075578">
      <w:r>
        <w:t xml:space="preserve">Dent HR, Stephenson GM (1979) </w:t>
      </w:r>
      <w:r w:rsidR="00E006B6">
        <w:t>`</w:t>
      </w:r>
      <w:r>
        <w:t>An experimental study of the effectiveness of different techniques of questioning child witnesses</w:t>
      </w:r>
      <w:r w:rsidR="00E006B6">
        <w:t>`</w:t>
      </w:r>
      <w:r>
        <w:t xml:space="preserve">. </w:t>
      </w:r>
      <w:r w:rsidRPr="00E006B6">
        <w:rPr>
          <w:i/>
        </w:rPr>
        <w:t>British Journal of Social and Clinical Psychology</w:t>
      </w:r>
      <w:r>
        <w:t>. Volume 18. Pp 41–51</w:t>
      </w:r>
    </w:p>
    <w:p w:rsidR="00075578" w:rsidRDefault="00075578" w:rsidP="00075578"/>
    <w:p w:rsidR="00075578" w:rsidRDefault="00075578" w:rsidP="00075578">
      <w:r>
        <w:t xml:space="preserve">Department of Health (1991) </w:t>
      </w:r>
      <w:r w:rsidRPr="00E006B6">
        <w:rPr>
          <w:i/>
        </w:rPr>
        <w:t>Working Together under the Children Act 1989: A guide to arrangements for inter-agency co-operation for the protection of children from abuse</w:t>
      </w:r>
      <w:r>
        <w:t>.  HMSO London</w:t>
      </w:r>
    </w:p>
    <w:p w:rsidR="00075578" w:rsidRDefault="00075578" w:rsidP="00075578"/>
    <w:p w:rsidR="00075578" w:rsidRDefault="00075578" w:rsidP="00075578">
      <w:r>
        <w:t xml:space="preserve">Gooch ,K  &amp; Berg, P (2019) </w:t>
      </w:r>
      <w:r w:rsidR="00E006B6">
        <w:t>`</w:t>
      </w:r>
      <w:r>
        <w:t>What Happens in the Beginning, Matters in the End: Achieving Best, Evidence with Child Suspects in the Police Station</w:t>
      </w:r>
      <w:r w:rsidR="00E006B6">
        <w:t>`</w:t>
      </w:r>
      <w:r>
        <w:t xml:space="preserve">. </w:t>
      </w:r>
      <w:r w:rsidRPr="00E006B6">
        <w:rPr>
          <w:i/>
        </w:rPr>
        <w:t>Youth Justice 2019</w:t>
      </w:r>
      <w:r>
        <w:t>, Volume. 19(2). Pp  85–101</w:t>
      </w:r>
    </w:p>
    <w:p w:rsidR="00075578" w:rsidRDefault="00075578" w:rsidP="00075578"/>
    <w:p w:rsidR="00075578" w:rsidRDefault="00075578" w:rsidP="00075578">
      <w:r>
        <w:t xml:space="preserve">Goodman, GS and Bottoms, BL (1996) </w:t>
      </w:r>
      <w:r w:rsidR="00E006B6">
        <w:rPr>
          <w:i/>
        </w:rPr>
        <w:t>Perspectives on Child Abuse</w:t>
      </w:r>
      <w:r w:rsidRPr="00E006B6">
        <w:rPr>
          <w:i/>
        </w:rPr>
        <w:t xml:space="preserve"> and  Children's  Testimony: Psychological Research and Law California</w:t>
      </w:r>
      <w:r>
        <w:t>. Thousand Oaks: SAGE Publications, Inc</w:t>
      </w:r>
    </w:p>
    <w:p w:rsidR="00075578" w:rsidRDefault="00075578" w:rsidP="00075578"/>
    <w:p w:rsidR="00075578" w:rsidRDefault="00075578" w:rsidP="00075578">
      <w:r>
        <w:t>Hershkowitz, I; Horowitz, D &amp; Lamb, M. (2005)</w:t>
      </w:r>
      <w:r w:rsidR="00E006B6">
        <w:t xml:space="preserve"> `</w:t>
      </w:r>
      <w:r>
        <w:t>Trends in Children's Disclosure of Abuse in Israel: A Nation</w:t>
      </w:r>
      <w:r w:rsidR="00E006B6">
        <w:t xml:space="preserve">al Study. Child Abuse &amp; Neglect. </w:t>
      </w:r>
      <w:r w:rsidRPr="00E006B6">
        <w:rPr>
          <w:i/>
        </w:rPr>
        <w:t>The International Journal</w:t>
      </w:r>
      <w:r>
        <w:t>.  Volume 29, Issue 11, Pp 1203-1214.</w:t>
      </w:r>
    </w:p>
    <w:p w:rsidR="00075578" w:rsidRDefault="00075578" w:rsidP="00075578"/>
    <w:p w:rsidR="00075578" w:rsidRDefault="00075578" w:rsidP="00075578">
      <w:r>
        <w:t xml:space="preserve">Home Office and Department of Health. (1992) </w:t>
      </w:r>
      <w:r w:rsidRPr="00E006B6">
        <w:rPr>
          <w:i/>
        </w:rPr>
        <w:t>Memorandum of Good Practice on video recorded interviews with child witnesses for criminal proceedings</w:t>
      </w:r>
      <w:r>
        <w:t xml:space="preserve">. Stationery Office Books </w:t>
      </w:r>
    </w:p>
    <w:p w:rsidR="00075578" w:rsidRDefault="00075578" w:rsidP="00075578"/>
    <w:p w:rsidR="00075578" w:rsidRDefault="00075578" w:rsidP="00075578">
      <w:r>
        <w:t xml:space="preserve">Hughes-Scholes, C; Powell, M &amp; Sharman, S. (2014) </w:t>
      </w:r>
      <w:r w:rsidR="00E006B6">
        <w:t>`</w:t>
      </w:r>
      <w:r>
        <w:t>An examination of police officers’ beliefs about how children report abuse</w:t>
      </w:r>
      <w:r w:rsidR="00E006B6">
        <w:t>`</w:t>
      </w:r>
      <w:r>
        <w:t xml:space="preserve">. </w:t>
      </w:r>
      <w:r w:rsidRPr="00E006B6">
        <w:rPr>
          <w:i/>
        </w:rPr>
        <w:t>Psychiatry, Psychology and Law</w:t>
      </w:r>
      <w:r>
        <w:t>. Volume 21, Issue 1. Pp 127-138</w:t>
      </w:r>
    </w:p>
    <w:p w:rsidR="00075578" w:rsidRDefault="00075578" w:rsidP="00075578"/>
    <w:p w:rsidR="00075578" w:rsidRDefault="00075578" w:rsidP="00075578">
      <w:r>
        <w:t xml:space="preserve">Lamb, ME; Hershkowitz, I; Orbach, Y; Esplin, PW; Sternberg, J; Aldridge, J; Pearson, S; &amp; Bowler,L (2008) </w:t>
      </w:r>
      <w:r w:rsidR="00E006B6">
        <w:t>`</w:t>
      </w:r>
      <w:r>
        <w:t>Use of a Structured Investigative Protocol Enhances the Quality of Investigative Interviews With Alleged Victims of Child Sexual Abuse in Britain</w:t>
      </w:r>
      <w:r w:rsidR="00E006B6">
        <w:t>`</w:t>
      </w:r>
      <w:r>
        <w:t xml:space="preserve">. </w:t>
      </w:r>
      <w:r w:rsidRPr="00E006B6">
        <w:rPr>
          <w:i/>
        </w:rPr>
        <w:t>Applied cognitive psychology</w:t>
      </w:r>
      <w:r>
        <w:t xml:space="preserve">. </w:t>
      </w:r>
      <w:r w:rsidR="00E006B6" w:rsidRPr="00E006B6">
        <w:t>Volume 23.</w:t>
      </w:r>
      <w:r w:rsidR="00E006B6">
        <w:t xml:space="preserve"> </w:t>
      </w:r>
      <w:r>
        <w:t xml:space="preserve">Pp 449 – 467 </w:t>
      </w:r>
    </w:p>
    <w:p w:rsidR="00075578" w:rsidRDefault="00075578" w:rsidP="00075578"/>
    <w:p w:rsidR="00075578" w:rsidRDefault="00075578" w:rsidP="00075578">
      <w:r>
        <w:t>Leach, C; Powell, M &amp; Anglim, J. (2016)</w:t>
      </w:r>
      <w:r w:rsidR="00E006B6">
        <w:t xml:space="preserve"> `</w:t>
      </w:r>
      <w:r>
        <w:t>The effect of victim age on police authorisation of charges in cases of child sexual abuse</w:t>
      </w:r>
      <w:r w:rsidR="00E006B6">
        <w:t>`</w:t>
      </w:r>
      <w:r>
        <w:t xml:space="preserve">. </w:t>
      </w:r>
      <w:r w:rsidRPr="00E006B6">
        <w:rPr>
          <w:i/>
        </w:rPr>
        <w:t>Psychiatry, Psychology and Law</w:t>
      </w:r>
      <w:r>
        <w:t xml:space="preserve">. </w:t>
      </w:r>
      <w:r w:rsidR="00E006B6">
        <w:t xml:space="preserve"> Volume 23, Issue 2. </w:t>
      </w:r>
      <w:r>
        <w:t>Pp 302-316.</w:t>
      </w:r>
    </w:p>
    <w:p w:rsidR="00075578" w:rsidRDefault="00075578" w:rsidP="00075578"/>
    <w:p w:rsidR="00075578" w:rsidRDefault="00075578" w:rsidP="00075578">
      <w:r>
        <w:lastRenderedPageBreak/>
        <w:t>Martin, D; Kell</w:t>
      </w:r>
      <w:r w:rsidR="00100542">
        <w:t>y, L; Jackson, S &amp; Byszko, S. (</w:t>
      </w:r>
      <w:r>
        <w:t xml:space="preserve">2017) </w:t>
      </w:r>
      <w:r w:rsidR="00E006B6">
        <w:t>`</w:t>
      </w:r>
      <w:r>
        <w:t>Policing child abuse:</w:t>
      </w:r>
      <w:r w:rsidR="00E006B6">
        <w:t xml:space="preserve"> </w:t>
      </w:r>
      <w:r>
        <w:t>Challenges and opportunities for specialist units</w:t>
      </w:r>
      <w:r w:rsidR="00E006B6">
        <w:t>`</w:t>
      </w:r>
      <w:r>
        <w:t xml:space="preserve">. </w:t>
      </w:r>
      <w:r w:rsidRPr="00E006B6">
        <w:rPr>
          <w:i/>
        </w:rPr>
        <w:t>Journal of Criminological research, policy and practice</w:t>
      </w:r>
      <w:r>
        <w:t xml:space="preserve">. Volume 3, Issue 2. Pp 132 </w:t>
      </w:r>
      <w:r w:rsidR="00100542">
        <w:t>–</w:t>
      </w:r>
      <w:r>
        <w:t xml:space="preserve"> 141</w:t>
      </w:r>
    </w:p>
    <w:p w:rsidR="00100542" w:rsidRDefault="00100542" w:rsidP="00075578"/>
    <w:p w:rsidR="00075578" w:rsidRDefault="00075578" w:rsidP="00075578">
      <w:r>
        <w:t xml:space="preserve">Ministry of Justice. (2011) Achieving best evidence in criminal proceedings. </w:t>
      </w:r>
      <w:r w:rsidRPr="003358C3">
        <w:rPr>
          <w:i/>
        </w:rPr>
        <w:t>Guidance on interviewing victims and witnessed and guidance on using special measures</w:t>
      </w:r>
      <w:r>
        <w:t>. Available at</w:t>
      </w:r>
      <w:r w:rsidR="00100542">
        <w:t xml:space="preserve"> https://www.cps.gov.uk/Profili</w:t>
      </w:r>
      <w:r>
        <w:t>ng 3:165–181</w:t>
      </w:r>
      <w:r w:rsidR="00100542">
        <w:t xml:space="preserve">. (Accessed on 14/1/2021) </w:t>
      </w:r>
    </w:p>
    <w:p w:rsidR="00100542" w:rsidRDefault="00100542" w:rsidP="00075578"/>
    <w:p w:rsidR="00075578" w:rsidRDefault="00075578" w:rsidP="00075578">
      <w:r>
        <w:t xml:space="preserve">Myklebust, T &amp; Bjørklund, RA (2006) </w:t>
      </w:r>
      <w:r w:rsidR="003358C3">
        <w:t>`</w:t>
      </w:r>
      <w:r>
        <w:t>The effect of long-term training on police officers’ use of open and closed questions in field investigative interviews of children</w:t>
      </w:r>
      <w:r w:rsidR="003358C3">
        <w:t>`</w:t>
      </w:r>
      <w:r>
        <w:t xml:space="preserve"> (FIIC). </w:t>
      </w:r>
      <w:r w:rsidRPr="003358C3">
        <w:rPr>
          <w:i/>
        </w:rPr>
        <w:t>Journal of Investigative psychology and Offender Profiling</w:t>
      </w:r>
      <w:r>
        <w:t xml:space="preserve">. Volume 3. Pp 165–181 </w:t>
      </w:r>
    </w:p>
    <w:p w:rsidR="00075578" w:rsidRDefault="00075578" w:rsidP="00075578"/>
    <w:p w:rsidR="00075578" w:rsidRDefault="00075578" w:rsidP="00075578">
      <w:r>
        <w:t>Oxburgh, G; Ost, J; Morris, P &amp; Cherryman, J. (2014)</w:t>
      </w:r>
      <w:r w:rsidR="003358C3">
        <w:t xml:space="preserve"> `</w:t>
      </w:r>
      <w:r>
        <w:t>The impact of question type and empathy on police interviews with suspects of homicide, filicide and child sexual abuse</w:t>
      </w:r>
      <w:r w:rsidR="003358C3">
        <w:t>`</w:t>
      </w:r>
      <w:r>
        <w:t xml:space="preserve">. </w:t>
      </w:r>
      <w:r w:rsidRPr="003358C3">
        <w:rPr>
          <w:i/>
        </w:rPr>
        <w:t>Psychiatry, Psychology and Law</w:t>
      </w:r>
      <w:r>
        <w:t>. Volume 21, Issue 6, Pp -903-917.</w:t>
      </w:r>
    </w:p>
    <w:p w:rsidR="00075578" w:rsidRDefault="00075578" w:rsidP="00075578"/>
    <w:p w:rsidR="00075578" w:rsidRDefault="00075578" w:rsidP="00075578">
      <w:r>
        <w:t>Police and Criminal Evidence Act (1984). Code G. Revised 2012.</w:t>
      </w:r>
      <w:r w:rsidRPr="003358C3">
        <w:rPr>
          <w:i/>
        </w:rPr>
        <w:t xml:space="preserve"> Code of practice for the statutory power of arrest by Police officers</w:t>
      </w:r>
      <w:r>
        <w:t xml:space="preserve">. Available at: https://www.gov.uk/government/publications/pace-code-g-2012. </w:t>
      </w:r>
      <w:r w:rsidR="003358C3">
        <w:t>(</w:t>
      </w:r>
      <w:r>
        <w:t>Accessed on 03/01/2021</w:t>
      </w:r>
      <w:r w:rsidR="003358C3">
        <w:t>)</w:t>
      </w:r>
      <w:r>
        <w:t>.</w:t>
      </w:r>
    </w:p>
    <w:p w:rsidR="00075578" w:rsidRDefault="00075578" w:rsidP="00075578">
      <w:r>
        <w:t xml:space="preserve"> </w:t>
      </w:r>
    </w:p>
    <w:p w:rsidR="00075578" w:rsidRDefault="00075578" w:rsidP="00075578">
      <w:r>
        <w:t xml:space="preserve">Powell, M; Wright, R &amp; Clarke, S (2010) </w:t>
      </w:r>
      <w:r w:rsidR="003358C3">
        <w:t>`</w:t>
      </w:r>
      <w:r>
        <w:t>Improving the competency of police officers in conducting investigative interviews with children</w:t>
      </w:r>
      <w:r w:rsidR="003358C3">
        <w:t>`</w:t>
      </w:r>
      <w:r>
        <w:t xml:space="preserve">. </w:t>
      </w:r>
      <w:r w:rsidRPr="003358C3">
        <w:rPr>
          <w:i/>
        </w:rPr>
        <w:t>Police Practice and Research</w:t>
      </w:r>
      <w:r w:rsidR="003358C3">
        <w:t>. Volume 11. P</w:t>
      </w:r>
      <w:r>
        <w:t>p 211–226</w:t>
      </w:r>
    </w:p>
    <w:p w:rsidR="00075578" w:rsidRDefault="00075578" w:rsidP="00075578"/>
    <w:p w:rsidR="00075578" w:rsidRDefault="00075578" w:rsidP="00075578">
      <w:r>
        <w:t xml:space="preserve">Read, J; Powell, M; Kebbell, M; Milne, B &amp; Steinberg, R. (2014) </w:t>
      </w:r>
      <w:r w:rsidR="003358C3">
        <w:t>`</w:t>
      </w:r>
      <w:r>
        <w:t>Evaluating police interviewing practices with suspects in child-sexual abuse cases</w:t>
      </w:r>
      <w:r w:rsidR="003358C3">
        <w:t>`</w:t>
      </w:r>
      <w:r>
        <w:t xml:space="preserve">. </w:t>
      </w:r>
      <w:r w:rsidRPr="003358C3">
        <w:rPr>
          <w:i/>
        </w:rPr>
        <w:t>Policing &amp; Society; Abingdon</w:t>
      </w:r>
      <w:r w:rsidR="003358C3">
        <w:rPr>
          <w:i/>
        </w:rPr>
        <w:t>.</w:t>
      </w:r>
      <w:r>
        <w:t xml:space="preserve"> Volume 24, Issue 5, Page 523.</w:t>
      </w:r>
    </w:p>
    <w:p w:rsidR="00075578" w:rsidRDefault="00075578" w:rsidP="00075578"/>
    <w:p w:rsidR="00075578" w:rsidRDefault="00075578" w:rsidP="00075578">
      <w:r>
        <w:t>Smith, R; Powell, M &amp; Lum, J. (2009)</w:t>
      </w:r>
      <w:r w:rsidR="003358C3">
        <w:t xml:space="preserve"> `</w:t>
      </w:r>
      <w:r>
        <w:t>The relationship between job status, interviewing experience, gender, and police officers' adherence to open-ended questions</w:t>
      </w:r>
      <w:r w:rsidR="003358C3">
        <w:t>`.</w:t>
      </w:r>
      <w:r>
        <w:t xml:space="preserve"> </w:t>
      </w:r>
      <w:r w:rsidRPr="003358C3">
        <w:rPr>
          <w:i/>
        </w:rPr>
        <w:t>Legal and Criminological Psychology; Leicester</w:t>
      </w:r>
      <w:r>
        <w:t>.  Volume 14, Issue 1, Page 51.</w:t>
      </w:r>
    </w:p>
    <w:p w:rsidR="00075578" w:rsidRDefault="00075578" w:rsidP="00075578"/>
    <w:p w:rsidR="00075578" w:rsidRDefault="00075578" w:rsidP="00075578">
      <w:r>
        <w:t>Ste</w:t>
      </w:r>
      <w:r w:rsidR="003358C3">
        <w:t>rnberg, KJ; Lamb, ME; Davies, GM</w:t>
      </w:r>
      <w:r>
        <w:t xml:space="preserve"> &amp;</w:t>
      </w:r>
      <w:r w:rsidR="003358C3">
        <w:t xml:space="preserve"> </w:t>
      </w:r>
      <w:r>
        <w:t xml:space="preserve">Westcott, HL (2001) </w:t>
      </w:r>
      <w:r w:rsidR="003358C3">
        <w:t>`</w:t>
      </w:r>
      <w:r>
        <w:t>The memorandum of good practice: theory versus application</w:t>
      </w:r>
      <w:r w:rsidR="003358C3">
        <w:t>`</w:t>
      </w:r>
      <w:r>
        <w:t xml:space="preserve">. </w:t>
      </w:r>
      <w:r w:rsidRPr="003358C3">
        <w:rPr>
          <w:i/>
        </w:rPr>
        <w:t xml:space="preserve">Child Abuse </w:t>
      </w:r>
      <w:r w:rsidR="003358C3" w:rsidRPr="003358C3">
        <w:rPr>
          <w:i/>
        </w:rPr>
        <w:t xml:space="preserve">and </w:t>
      </w:r>
      <w:r w:rsidRPr="003358C3">
        <w:rPr>
          <w:i/>
        </w:rPr>
        <w:t>Neglect</w:t>
      </w:r>
      <w:r w:rsidR="003358C3">
        <w:rPr>
          <w:i/>
        </w:rPr>
        <w:t xml:space="preserve">. </w:t>
      </w:r>
      <w:r w:rsidR="003358C3" w:rsidRPr="003358C3">
        <w:t>Volume 25. Issue 5. Pp</w:t>
      </w:r>
      <w:r w:rsidR="003358C3">
        <w:t xml:space="preserve"> </w:t>
      </w:r>
      <w:r w:rsidR="003358C3" w:rsidRPr="003358C3">
        <w:t>669 – 681.</w:t>
      </w:r>
      <w:r w:rsidR="003358C3">
        <w:rPr>
          <w:i/>
        </w:rPr>
        <w:t xml:space="preserve"> </w:t>
      </w:r>
      <w:r>
        <w:t xml:space="preserve"> </w:t>
      </w:r>
    </w:p>
    <w:p w:rsidR="00075578" w:rsidRDefault="00075578" w:rsidP="00075578"/>
    <w:p w:rsidR="007A0468" w:rsidRDefault="00075578" w:rsidP="00E11FD7">
      <w:r>
        <w:t xml:space="preserve">Youth Justice and Criminal Evidence Act 1999. </w:t>
      </w:r>
      <w:r w:rsidRPr="00446DD4">
        <w:rPr>
          <w:i/>
        </w:rPr>
        <w:t>UK Public General Acts. C 23.</w:t>
      </w:r>
      <w:r w:rsidR="00446DD4" w:rsidRPr="00446DD4">
        <w:rPr>
          <w:i/>
        </w:rPr>
        <w:t xml:space="preserve"> Part II Giving of evidence or information for purposes of criminal proceedings. Chapter 1 Special measures in case of vulnerable and intimidated witnesses</w:t>
      </w:r>
      <w:r w:rsidR="00446DD4">
        <w:t xml:space="preserve">. </w:t>
      </w:r>
      <w:r>
        <w:t xml:space="preserve"> Available at https://www.cps.gov.uk/ </w:t>
      </w:r>
      <w:r w:rsidR="00446DD4">
        <w:t>(</w:t>
      </w:r>
      <w:r>
        <w:t>Accessed on 03/01/2021</w:t>
      </w:r>
      <w:r w:rsidR="00446DD4">
        <w:t>)</w:t>
      </w:r>
      <w:r>
        <w:t>.</w:t>
      </w:r>
    </w:p>
    <w:p w:rsidR="00E11FD7" w:rsidRPr="007A0468" w:rsidRDefault="00E11FD7" w:rsidP="00E11FD7">
      <w:r>
        <w:rPr>
          <w:u w:val="single"/>
        </w:rPr>
        <w:lastRenderedPageBreak/>
        <w:t xml:space="preserve">QUESTION 5  </w:t>
      </w:r>
    </w:p>
    <w:p w:rsidR="00E11FD7" w:rsidRDefault="00E11FD7" w:rsidP="00E11FD7">
      <w:r>
        <w:t xml:space="preserve">Personal Development Plan (PDP) </w:t>
      </w:r>
    </w:p>
    <w:p w:rsidR="00E11FD7" w:rsidRDefault="00E11FD7" w:rsidP="00E11FD7">
      <w:r>
        <w:t xml:space="preserve">As part of your reflective process, please use this table to aid you in identifying the next steps for development. Consider using SMART as part of your answer. </w:t>
      </w:r>
    </w:p>
    <w:p w:rsidR="00EC55BB" w:rsidRDefault="00EC55BB" w:rsidP="00E11FD7"/>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I have decided to make three personal developmental plans. They include both short term and long-term goals.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I will use SMART to assist me in developing my plans. The SMART mnemonic was developed by corporate planner George Doran (1981) and is used as a tool to assist with setting goals and objectives. It includes elements such as being specific, focusing on a defined area for improvement and being realistic. Also being measurable, quantifying, or proposing a progress indicator. It is assignable, so you can specify who will do it. Being realistic, indicating what results can realistically be accomplished given the available resources, and finally, being time-related, expressing when the goals can be attained. Focus should not be placed on the objective alone. It is the combination of the objective and action plan that is important. It is worth noting that not all plans have five objectives.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Doran wrote about management objectives and suggested that goals be assigned to a specific person. People still utilise the SMART criteria today, but instead of having the goals set for them, they set themselves their own objectives. Research by Rubin (2002) has suggested that goals should be set based on some representation of these letters. The word assignable is frequently replaced with achievable. After changing the term achievable, the word realistic can be replaced with relevant.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My first plan relates to completing the Welsh Sylfaen course. This is a course that began in January 2021, I set this objective for myself because I wanted to improve my Welsh language skills. I believe that accomplishing this goal will benefit me not only in my personal life, but also in the workplace and for any positions that I may apply for in the future. This was a self-generated objective that I had wanted to undertake for some time but had not had the opportunity to do so. Objectives that are self-generated are more likely to result in greater commitment than goals that are set by others, according to Deci and Ryan's (1985) research on self-determination theory. To achieve this goal, understand that I will need to remain committed and practise whenever possible. When I am thinking about an English sentence, I try to work out how I would phrase it in Welsh instead. Every Thursday, I attend a 3-hour online session and complete the homework and online preparation work beforehand. My knowledge and understanding is assessed by my Welsh Tutor, who has scheduled termly one-on-one sessions with everyone on the course to discuss our progress. Learners gain from formative feedback that informs them of their progress toward their goals in order for their goals to be realistic (Day and Tosey 2011). I am realistic about this task because I know it will be difficult to commit to. I work full-time, am in the middle of a degree course, and am responsible for two children and a home. I understand that in order to complete the Welsh course successfully, I must commit to attending every Thursday lesson; missing even one lesson would be detrimental. I need to make sure that I complete all assigned work and that I complete the personal goals that I have set for myself, such as doing Duolingo exercises every day, watching YouTube videos, and speaking Welsh to friends, colleagues, and my own children whenever feasible.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The knowledge gained will be measured and assessed, as I will be required to take a WJEC oral and written exam at the end of the year. I will be able to enrol for the Canolradd level if I pass these exams.  Bandura's (1997) research states that progress toward more specific goals is easier to verify. My overall goal is to attend classes as often as possible and to sit the end-of-year exam. I will continue working toward this aim, and hopefully, I will see progress and my Welsh will improve. </w:t>
      </w:r>
      <w:r w:rsidRPr="00EC55BB">
        <w:rPr>
          <w:rFonts w:ascii="Times New Roman" w:hAnsi="Times New Roman" w:cs="Times New Roman"/>
        </w:rPr>
        <w:lastRenderedPageBreak/>
        <w:t xml:space="preserve">According to Locke and Latham (1990), research data supports the assumption that goal-setting techniques work and work well.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My second developmental plan is to achieve a work-related goal. Last year, I completed the suspect interview training. My specific aim is to strengthen my interviewing abilities, which I plan to accomplish by volunteering to conduct more suspect interviews. As a result, my confidence will increase, and my knowledge and abilities will improve. Due to other work commitments and my personal availability, I have not had the opportunity to complete many interviews. Volunteering to interview a murder suspect would require me to be available for three to four days in a row, which is not always possible, owing to childcare obligations.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I will be able to measure this goal in two ways: personally, the more interviews I conduct, the more my confidence will grow, and professionally, interview advisors will monitor interviews that I conduct and will be able to go through the interviews with me to provide feedback and will recommend when I will be able to conduct more challenging interviews in the future based on the interview they have assessed. This will allow me to reflect on the interview that I have conducted and would be a good indicator of my progress. In order to engage students in their learning, encouraging reflection and providing feedback are considered highly beneficial (Bullock and Wikeley 2008). My colleagues who have completed the interview course will be able to offer support, knowledge, and experience. I could get guidance from the force interview advisor and interview trainers if necessary.   </w:t>
      </w:r>
    </w:p>
    <w:p w:rsidR="00EC55BB" w:rsidRPr="00EC55BB" w:rsidRDefault="00EC55BB" w:rsidP="00EC55BB">
      <w:pPr>
        <w:rPr>
          <w:rFonts w:ascii="Times New Roman" w:hAnsi="Times New Roman" w:cs="Times New Roman"/>
        </w:rPr>
      </w:pPr>
      <w:r w:rsidRPr="00EC55BB">
        <w:rPr>
          <w:rFonts w:ascii="Times New Roman" w:hAnsi="Times New Roman" w:cs="Times New Roman"/>
        </w:rPr>
        <w:t>I am realistic and recognise that I will not always be available to conduct these interviews; but, in order to improve, I recognise that I must make time or better organise my time in order to provide myself with these opportunities. This year, I completed my Personal Development Review (PDR)</w:t>
      </w:r>
      <w:r>
        <w:rPr>
          <w:rFonts w:ascii="Times New Roman" w:hAnsi="Times New Roman" w:cs="Times New Roman"/>
        </w:rPr>
        <w:t xml:space="preserve"> </w:t>
      </w:r>
      <w:r w:rsidRPr="00EC55BB">
        <w:rPr>
          <w:rFonts w:ascii="Times New Roman" w:hAnsi="Times New Roman" w:cs="Times New Roman"/>
        </w:rPr>
        <w:t xml:space="preserve">and updated it to request that I be considered for any interviewing opportunities that may arise. My supervisors are aware of my plan. Personally, I have spoken to family members and advised them that in order to achieve this objective, I may require childcare support. All the parties with whom I have communicated have shown their willingness to help me achieve my aim. I have established a realistic personal goal for myself: by the time I submit my next PDR, I would like to have performed another suspect interview. This will be my goal for all future PDR submissions. Specific, challenging, realistic, and proximal in time goals, according to Locke and Latham (2002), engage the learner's commitment.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Zimmerman's (2008) Model of Self-Regulated Learning, based on social-cognitive theory and research, is an alternative to SMART. It has proposed 'well-formed outcomes' as a framework for target or goal formulation and action planning that is more rigorous, holistic, and research based. Self-regulation entails students proactively focusing on their behaviours, thoughts, feelings, or strategies in order to reach self-defined objectives. They rely on affective, cognitive, motivational, and behavioural feedback to change their strategies and behaviours when they are unable to initially attain their goals (Zimmerman, 1989). To achieve self-set goals, the plans are cyclically adapted based on performance feedback. His research shows that Self-regulated learners, are proactive learners who use self-regulation processes like goal setting, self-observation, and self-evaluation in combination with task strategies such as time management, organisational strategies, and self-motivational beliefs. Learners will manage their academic behaviours and beliefs in three cyclical phases: forethought (the processes that occur before any effort to act), performance control (the processes that occur during learning efforts), and self-reflection (the processes that occur afterward). Performance control processes are influenced by foresight processes, which in turn influence the self-reflection phase processes. When self-reflection processes influence the foresight phase processes during future learning attempts, a cycle is complete.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I will consider this criterion to assist me when outlining my third personal development plan. The Forethought phase of the Zimmerman model entails establishing a goal, conducting a task analysis, and strategically planning how to achieve this goal. I have set a goal for myself to finish and pass the </w:t>
      </w:r>
      <w:r w:rsidRPr="00EC55BB">
        <w:rPr>
          <w:rFonts w:ascii="Times New Roman" w:hAnsi="Times New Roman" w:cs="Times New Roman"/>
        </w:rPr>
        <w:lastRenderedPageBreak/>
        <w:t xml:space="preserve">Professional Investigators Degree. To do this I need to think about the standards and quality of work I am expected and must achieve, as well as the level of work I want to and would be able to realistically attain. I have not undertaken any formal academic learning in almost 25 years, so I knew this would be a difficult challenge to complete. However, I believe that now is the ideal time to continue my education as my children are older and I will be able to devote more time to studying. This is backed up by (Pintrich &amp; de Groot, 1990), who claim that a student's desired level of performance has an impact on goal setting.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I set a specific goal for myself to return to the learning environment with the goal of acquiring a qualification at the end. This aim would focus on my abilities to improve my writing and encourage me to learn in new ways. According to studies reviewed by Zimmerman (2008), attainable yet challenging goals are the most effective in encouraging educational attainment. Because I have target dates for when the individuals' assessments must be completed, the goal I have set for myself is measurable. I have set personal goals for when I want each piece of work accomplished, allowing myself enough time in case an issue arises that causes me to fall behind schedule. My objective is to submit my work on time, with the goal of passing each module as a measure of success. This is a goal I would like to accomplish. This is a course that I will be taking with other students, I will be attending sessions with them where we will be able to share our progress and assist one another. My university tutor will be able to provide support in assisting me to complete this course.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Again, I am realistic and recognise that this will be a challenging task as I have other obligations that will use some of my time. As a result, I need to successfully prioritise my time and keep to the schedule I have developed; I have set myself deadlines for when I need to complete the various work. I cannot afford to put off any work for fear that other issues may arise, such as being asked to work longer hours due to work demands, illness, or any other child-related commitment. I need to have a reserve of time set aside in case I need it. The course is divided into three sections. The first assignments must be completed by January, the second by May, and the third by the end of the year. I find that focusing on the Goal that needs to be prioritised first works best as thinking about future tasks is overwhelming. According to Zimmerman's (2008) research, it is more successful to track progress toward a goal, receive feedback, and act on it at small time intervals than at long time intervals. Goals should ideally be arranged in a hierarchical order, with lesser goals supporting the achievement of a larger goal.  </w:t>
      </w:r>
    </w:p>
    <w:p w:rsidR="00EC55BB" w:rsidRPr="00EC55BB" w:rsidRDefault="00EC55BB" w:rsidP="00EC55BB">
      <w:pPr>
        <w:rPr>
          <w:rFonts w:ascii="Times New Roman" w:hAnsi="Times New Roman" w:cs="Times New Roman"/>
        </w:rPr>
      </w:pPr>
      <w:r w:rsidRPr="00EC55BB">
        <w:rPr>
          <w:rFonts w:ascii="Times New Roman" w:hAnsi="Times New Roman" w:cs="Times New Roman"/>
        </w:rPr>
        <w:t xml:space="preserve">I am motivated to complete the course. This is helped by the fact that it is relevant and useful to my day-to-day role, I am interested in the subject, and I want to improve my knowledge and skills in this field. These factors will drive me forward toward my aim of obtaining a degree. If the task is useful, the individual will be more motivated to complete it and learn from it, and they will employ more learning strategies (Wigfield, Hoa, &amp; Lutz Klauda 2008). Zimmerman discusses behaviour control in his research. This is something I am aware of, and I am conscious that this is something I need to consider. I have a lot of commitments in a variety of areas. I must be careful not to become overwhelmed.  Boekaerts &amp; Corno, (2005) found that students experience emotions while performing academic activities; hence, managing emotions is critical, especially when the tasks may interfere with the students' ability to perform. Zimmerman's self-regulated learning model is crucial because it demonstrates the importance of the relationship between motivation and self-regulation. I have completed the assignments on time because of the short-term goals I set for myself according to my detailed timetable. Whilst doing this I was mindful of my emotional needs. At times, the volume of work was overwhelming, However, I managed it and took time out when needed. Throughout the process, I received feedback that encouraged me and boosted my knowledge and confidence. This has improved my performance and prompted me to reflect on my work thus far and how I may improve it in the next step, when I submit the next batch of assignments.   </w:t>
      </w:r>
    </w:p>
    <w:p w:rsidR="00EC55BB" w:rsidRPr="00EC55BB" w:rsidRDefault="00EC55BB" w:rsidP="00EC55BB">
      <w:pPr>
        <w:rPr>
          <w:rFonts w:ascii="Times New Roman" w:hAnsi="Times New Roman" w:cs="Times New Roman"/>
        </w:rPr>
      </w:pPr>
      <w:r w:rsidRPr="00EC55BB">
        <w:rPr>
          <w:rFonts w:ascii="Times New Roman" w:hAnsi="Times New Roman" w:cs="Times New Roman"/>
        </w:rPr>
        <w:lastRenderedPageBreak/>
        <w:t xml:space="preserve">I have clear and precise goals and assistance from tutors, colleagues, and family members to support me through the year. I am confident that I will reach the goals that I have set for myself. This is supported by Boekarts (2002), who has proposed that goal planning influences performance and improves achievement. According to Moeller, Theilier, and Wu (2012), the degree of participation of the individual in the identification of learning goals, the personalisation of learning goals, and the use of SMART goals to evaluate the quality of student goals all play a significant role in the degree of achievement of the individual. </w:t>
      </w:r>
    </w:p>
    <w:p w:rsidR="00EC55BB" w:rsidRDefault="00EC55BB" w:rsidP="00EC55BB"/>
    <w:p w:rsidR="00EC55BB" w:rsidRPr="00EC55BB" w:rsidRDefault="00EC55BB" w:rsidP="00EC55BB">
      <w:pPr>
        <w:rPr>
          <w:u w:val="single"/>
        </w:rPr>
      </w:pPr>
      <w:r w:rsidRPr="00EC55BB">
        <w:rPr>
          <w:u w:val="single"/>
        </w:rPr>
        <w:t xml:space="preserve">References - Personal Development Plan  </w:t>
      </w:r>
    </w:p>
    <w:p w:rsidR="00EC55BB" w:rsidRDefault="00EC55BB" w:rsidP="00EC55BB"/>
    <w:p w:rsidR="00EC55BB" w:rsidRDefault="00EC55BB" w:rsidP="00EC55BB">
      <w:r>
        <w:t xml:space="preserve">Bandura, A (1997) Self-efficacy: </w:t>
      </w:r>
      <w:r w:rsidRPr="00EC55BB">
        <w:rPr>
          <w:i/>
        </w:rPr>
        <w:t>The exercise of control</w:t>
      </w:r>
      <w:r>
        <w:t>. New York: Freeman</w:t>
      </w:r>
    </w:p>
    <w:p w:rsidR="00EC55BB" w:rsidRDefault="00EC55BB" w:rsidP="00EC55BB"/>
    <w:p w:rsidR="00EC55BB" w:rsidRDefault="00EC55BB" w:rsidP="00EC55BB">
      <w:r>
        <w:t xml:space="preserve">Boekaerts, M. (2002). </w:t>
      </w:r>
      <w:r w:rsidRPr="00EC55BB">
        <w:rPr>
          <w:i/>
        </w:rPr>
        <w:t>Motivation to learn. Educational Practice Serie</w:t>
      </w:r>
      <w:r>
        <w:t>s. Geneva: International Bureau of Education</w:t>
      </w:r>
    </w:p>
    <w:p w:rsidR="00EC55BB" w:rsidRDefault="00EC55BB" w:rsidP="00EC55BB"/>
    <w:p w:rsidR="00EC55BB" w:rsidRDefault="00EC55BB" w:rsidP="00EC55BB">
      <w:r>
        <w:t xml:space="preserve">Boekaerts, M &amp; Corno, L (2005). `Self-regulation in the classroom: A perspective on assessment and intervention`. </w:t>
      </w:r>
      <w:r w:rsidRPr="00EC55BB">
        <w:rPr>
          <w:i/>
        </w:rPr>
        <w:t>Applied Psychology</w:t>
      </w:r>
      <w:r>
        <w:t>, Volume 54, issue 2, Pp 199-231</w:t>
      </w:r>
    </w:p>
    <w:p w:rsidR="00EC55BB" w:rsidRDefault="00EC55BB" w:rsidP="00EC55BB"/>
    <w:p w:rsidR="00EC55BB" w:rsidRDefault="00EC55BB" w:rsidP="00EC55BB">
      <w:r>
        <w:t xml:space="preserve">Bullock, K and Wikeley, F (2008) `Every child should have one: What it means to be a learning guide`. </w:t>
      </w:r>
      <w:r w:rsidRPr="00EC55BB">
        <w:rPr>
          <w:i/>
        </w:rPr>
        <w:t>Improving Schools</w:t>
      </w:r>
      <w:r w:rsidR="00514016">
        <w:t>. Volume 11, issue 1 P</w:t>
      </w:r>
      <w:r>
        <w:t>p 49–60.</w:t>
      </w:r>
    </w:p>
    <w:p w:rsidR="00EC55BB" w:rsidRDefault="00EC55BB" w:rsidP="00EC55BB"/>
    <w:p w:rsidR="00EC55BB" w:rsidRDefault="00EC55BB" w:rsidP="00EC55BB">
      <w:r>
        <w:t xml:space="preserve">Day, T and Tosey, P (2011) `Beyond SMART? A new framework for goal setting`. </w:t>
      </w:r>
      <w:r w:rsidRPr="00514016">
        <w:rPr>
          <w:i/>
        </w:rPr>
        <w:t>The Curriculum Journal</w:t>
      </w:r>
      <w:r>
        <w:t>. Volume 22, Issue 4, 515–534</w:t>
      </w:r>
    </w:p>
    <w:p w:rsidR="00EC55BB" w:rsidRDefault="00EC55BB" w:rsidP="00EC55BB"/>
    <w:p w:rsidR="00514016" w:rsidRDefault="00EC55BB" w:rsidP="00EC55BB">
      <w:r>
        <w:t xml:space="preserve">Deci, E.L., and R.M. Ryan. 1985. </w:t>
      </w:r>
      <w:r w:rsidRPr="00514016">
        <w:rPr>
          <w:i/>
        </w:rPr>
        <w:t>Intrinsic motivation and self-determination in human behavior</w:t>
      </w:r>
      <w:r>
        <w:t>. New York: Plenum.</w:t>
      </w:r>
    </w:p>
    <w:p w:rsidR="00EC55BB" w:rsidRDefault="00EC55BB" w:rsidP="00EC55BB">
      <w:r>
        <w:t xml:space="preserve">Doran, G (1981) `There's a S.M.A.R.T. way to write management's goals and objectives`. </w:t>
      </w:r>
      <w:r w:rsidRPr="00514016">
        <w:rPr>
          <w:i/>
        </w:rPr>
        <w:t>Management Review</w:t>
      </w:r>
      <w:r>
        <w:t xml:space="preserve">. Volume 70. Pp 35 – 36 </w:t>
      </w:r>
    </w:p>
    <w:p w:rsidR="00EC55BB" w:rsidRDefault="00EC55BB" w:rsidP="00EC55BB"/>
    <w:p w:rsidR="00EC55BB" w:rsidRDefault="00EC55BB" w:rsidP="00EC55BB">
      <w:r>
        <w:t xml:space="preserve">Locke, E. A. &amp; Latham, G. P. (1990). </w:t>
      </w:r>
      <w:r w:rsidRPr="00514016">
        <w:rPr>
          <w:i/>
        </w:rPr>
        <w:t>A theory of goal setting and task performance</w:t>
      </w:r>
      <w:r>
        <w:t>. Upper Saddle River, NJ: Prentice-Hall</w:t>
      </w:r>
    </w:p>
    <w:p w:rsidR="00EC55BB" w:rsidRDefault="00EC55BB" w:rsidP="00EC55BB"/>
    <w:p w:rsidR="00EC55BB" w:rsidRDefault="00EC55BB" w:rsidP="00EC55BB">
      <w:r>
        <w:t xml:space="preserve">Locke, E, and Latham, G (2002) `Building a practically useful theory of goal setting and task motivation: A 35-year odyssey`. </w:t>
      </w:r>
      <w:r w:rsidRPr="00514016">
        <w:rPr>
          <w:i/>
        </w:rPr>
        <w:t>American Psychologist</w:t>
      </w:r>
      <w:r>
        <w:t xml:space="preserve"> Volume 57, issue 9 Pp 705–17</w:t>
      </w:r>
    </w:p>
    <w:p w:rsidR="00EC55BB" w:rsidRDefault="00EC55BB" w:rsidP="00EC55BB"/>
    <w:p w:rsidR="00EC55BB" w:rsidRDefault="00EC55BB" w:rsidP="00EC55BB">
      <w:r>
        <w:t xml:space="preserve">Moeller, A; Theiler, J &amp; Wu, C (2012) </w:t>
      </w:r>
      <w:r w:rsidR="00514016">
        <w:t>`</w:t>
      </w:r>
      <w:r>
        <w:t>Goal Setting and Student Achievement: A Longitudinal Study</w:t>
      </w:r>
      <w:r w:rsidR="00514016">
        <w:t>`</w:t>
      </w:r>
      <w:r>
        <w:t xml:space="preserve">. </w:t>
      </w:r>
      <w:r w:rsidRPr="00514016">
        <w:rPr>
          <w:i/>
        </w:rPr>
        <w:t>The Modern Language Journal</w:t>
      </w:r>
      <w:r>
        <w:t>. Volume 96, Issue 2. Pp153 - 169</w:t>
      </w:r>
    </w:p>
    <w:p w:rsidR="00EC55BB" w:rsidRDefault="00EC55BB" w:rsidP="00EC55BB"/>
    <w:p w:rsidR="00EC55BB" w:rsidRDefault="00EC55BB" w:rsidP="00EC55BB">
      <w:r>
        <w:t xml:space="preserve">Panadero, E and Alonso-Tapia, J (2014) </w:t>
      </w:r>
      <w:r w:rsidR="00725653">
        <w:t>`How do students self-regulate?</w:t>
      </w:r>
      <w:r>
        <w:t xml:space="preserve"> </w:t>
      </w:r>
      <w:r w:rsidRPr="00725653">
        <w:t>Review of Zimmerman’s cyclical model of self-regulated learning</w:t>
      </w:r>
      <w:r w:rsidR="00725653">
        <w:t>`</w:t>
      </w:r>
      <w:r>
        <w:t xml:space="preserve">. </w:t>
      </w:r>
      <w:r w:rsidR="00725653" w:rsidRPr="00725653">
        <w:rPr>
          <w:i/>
        </w:rPr>
        <w:t>Annals of Psychology</w:t>
      </w:r>
      <w:r w:rsidR="00725653">
        <w:t xml:space="preserve">. </w:t>
      </w:r>
      <w:r>
        <w:t>Volume 30, Issue 2, Pp 450-462</w:t>
      </w:r>
    </w:p>
    <w:p w:rsidR="00EC55BB" w:rsidRDefault="00EC55BB" w:rsidP="00EC55BB"/>
    <w:p w:rsidR="00EC55BB" w:rsidRDefault="00EC55BB" w:rsidP="00EC55BB">
      <w:r>
        <w:t xml:space="preserve">Pintrich, P &amp; de Groot, E (1990) `Motivational and self-regulated learning components of classroom academic performance`. </w:t>
      </w:r>
      <w:r w:rsidRPr="00725653">
        <w:rPr>
          <w:i/>
        </w:rPr>
        <w:t>Journal of Educational Psychology</w:t>
      </w:r>
      <w:r>
        <w:t>, Volume 82. Issue 1, Pp 33-40.</w:t>
      </w:r>
    </w:p>
    <w:p w:rsidR="00EC55BB" w:rsidRDefault="00EC55BB" w:rsidP="00EC55BB"/>
    <w:p w:rsidR="00EC55BB" w:rsidRDefault="00EC55BB" w:rsidP="00EC55BB">
      <w:r>
        <w:t xml:space="preserve">Rubin, R (2002) `Will the Real SMART Goals Please Stand Up?` </w:t>
      </w:r>
      <w:r w:rsidRPr="00725653">
        <w:rPr>
          <w:i/>
        </w:rPr>
        <w:t>The Industrial-Organizational Psychologist</w:t>
      </w:r>
      <w:r>
        <w:t>. Volume 39. Issue 4.  Saint Louis University</w:t>
      </w:r>
    </w:p>
    <w:p w:rsidR="00EC55BB" w:rsidRDefault="00EC55BB" w:rsidP="00EC55BB"/>
    <w:p w:rsidR="00EC55BB" w:rsidRDefault="00EC55BB" w:rsidP="00EC55BB">
      <w:r>
        <w:t xml:space="preserve">Wigfield, A; Hoa, L &amp; Lutz K (2008). `The role of achievement values in the regulation of achievement behaviors`. </w:t>
      </w:r>
      <w:r w:rsidRPr="00725653">
        <w:rPr>
          <w:i/>
        </w:rPr>
        <w:t>Motivation and self-regulated learning. Theory, research and applications</w:t>
      </w:r>
      <w:r>
        <w:t xml:space="preserve"> Pp. 169-195. </w:t>
      </w:r>
    </w:p>
    <w:p w:rsidR="00EC55BB" w:rsidRDefault="00EC55BB" w:rsidP="00EC55BB"/>
    <w:p w:rsidR="00EC55BB" w:rsidRDefault="00EC55BB" w:rsidP="00EC55BB">
      <w:r>
        <w:t xml:space="preserve">Zimmerman, B (1989). </w:t>
      </w:r>
      <w:r w:rsidR="007A53F7">
        <w:t>`</w:t>
      </w:r>
      <w:r>
        <w:t>A Social Cognitive View of Self-Regulated Academic Learning</w:t>
      </w:r>
      <w:r w:rsidR="007A53F7">
        <w:t>`</w:t>
      </w:r>
      <w:r>
        <w:t xml:space="preserve">. </w:t>
      </w:r>
      <w:r w:rsidR="007A53F7">
        <w:rPr>
          <w:i/>
        </w:rPr>
        <w:t>Journal of education P</w:t>
      </w:r>
      <w:r w:rsidRPr="007A53F7">
        <w:rPr>
          <w:i/>
        </w:rPr>
        <w:t>sychology</w:t>
      </w:r>
      <w:r>
        <w:t xml:space="preserve">. Volume 81. Issue 3 Pp 329 – 339 </w:t>
      </w:r>
    </w:p>
    <w:p w:rsidR="00EC55BB" w:rsidRDefault="00EC55BB" w:rsidP="00EC55BB"/>
    <w:p w:rsidR="00EC55BB" w:rsidRDefault="00EC55BB" w:rsidP="00F73682">
      <w:r>
        <w:t xml:space="preserve">Zimmerman, B.J. (2008) </w:t>
      </w:r>
      <w:r w:rsidR="00F73682">
        <w:t xml:space="preserve">`Investigating Self-Regulation and Motivation: Historical Background, Methodological developments, and Future Prospects`. </w:t>
      </w:r>
      <w:r w:rsidR="00F73682" w:rsidRPr="00F73682">
        <w:rPr>
          <w:i/>
        </w:rPr>
        <w:t>Ameri</w:t>
      </w:r>
      <w:r w:rsidR="00F73682">
        <w:rPr>
          <w:i/>
        </w:rPr>
        <w:t xml:space="preserve">can Educational Research Journal. </w:t>
      </w:r>
      <w:r w:rsidR="00F73682">
        <w:t>Volume 45, Issue 1, Pp. 166 –183</w:t>
      </w:r>
    </w:p>
    <w:p w:rsidR="00EC55BB" w:rsidRDefault="00EC55BB" w:rsidP="00EC55BB"/>
    <w:p w:rsidR="00EC55BB" w:rsidRDefault="00EC55BB" w:rsidP="00EC55BB"/>
    <w:p w:rsidR="00EC55BB" w:rsidRDefault="00EC55BB" w:rsidP="00EC55BB"/>
    <w:p w:rsidR="00EC55BB" w:rsidRDefault="00EC55BB" w:rsidP="00EC55BB"/>
    <w:p w:rsidR="00EC55BB" w:rsidRDefault="00EC55BB" w:rsidP="00EC55BB"/>
    <w:p w:rsidR="00EC55BB" w:rsidRDefault="00EC55BB" w:rsidP="00EC55BB"/>
    <w:p w:rsidR="00E11FD7" w:rsidRDefault="00E11FD7" w:rsidP="00E11FD7"/>
    <w:p w:rsidR="00E11FD7" w:rsidRDefault="00E11FD7" w:rsidP="00E11FD7"/>
    <w:p w:rsidR="00E11FD7" w:rsidRDefault="00E11FD7" w:rsidP="00E11FD7"/>
    <w:p w:rsidR="00E11FD7" w:rsidRDefault="00E11FD7" w:rsidP="00E11FD7"/>
    <w:p w:rsidR="00E11FD7" w:rsidRPr="00E11FD7" w:rsidRDefault="00E11FD7" w:rsidP="00E11FD7"/>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515ED9" w:rsidRDefault="00515ED9" w:rsidP="00515ED9">
      <w:pPr>
        <w:rPr>
          <w:u w:val="single"/>
        </w:rPr>
      </w:pPr>
    </w:p>
    <w:p w:rsidR="00515ED9" w:rsidRPr="006661B8" w:rsidRDefault="00515ED9" w:rsidP="006661B8">
      <w:pPr>
        <w:rPr>
          <w:u w:val="single"/>
        </w:rPr>
      </w:pPr>
    </w:p>
    <w:p w:rsidR="006661B8" w:rsidRDefault="006661B8" w:rsidP="006661B8"/>
    <w:p w:rsidR="006661B8" w:rsidRDefault="006661B8" w:rsidP="006661B8">
      <w:r>
        <w:t xml:space="preserve"> </w:t>
      </w:r>
    </w:p>
    <w:p w:rsidR="006661B8" w:rsidRDefault="006661B8" w:rsidP="006661B8"/>
    <w:p w:rsidR="006661B8" w:rsidRDefault="006661B8" w:rsidP="006661B8"/>
    <w:p w:rsidR="006661B8" w:rsidRPr="006661B8" w:rsidRDefault="006661B8" w:rsidP="006661B8"/>
    <w:sectPr w:rsidR="006661B8" w:rsidRPr="006661B8" w:rsidSect="006661B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1B8" w:rsidRDefault="006661B8" w:rsidP="006661B8">
      <w:pPr>
        <w:spacing w:after="0" w:line="240" w:lineRule="auto"/>
      </w:pPr>
      <w:r>
        <w:separator/>
      </w:r>
    </w:p>
  </w:endnote>
  <w:endnote w:type="continuationSeparator" w:id="0">
    <w:p w:rsidR="006661B8" w:rsidRDefault="006661B8" w:rsidP="00666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120" w:rsidRDefault="00522134" w:rsidP="00522134">
    <w:pPr>
      <w:pStyle w:val="Footer"/>
      <w:rPr>
        <w:color w:val="000000"/>
        <w:sz w:val="17"/>
      </w:rPr>
    </w:pPr>
    <w:bookmarkStart w:id="3" w:name="TITUS1FooterEvenPages"/>
    <w:r>
      <w:rPr>
        <w:color w:val="000000"/>
        <w:sz w:val="17"/>
      </w:rPr>
      <w:t> </w:t>
    </w:r>
  </w:p>
  <w:bookmarkEnd w:id="3"/>
  <w:p w:rsidR="00F10120" w:rsidRDefault="00F10120" w:rsidP="00F10120">
    <w:pPr>
      <w:pStyle w:val="Footer"/>
    </w:pPr>
  </w:p>
  <w:p w:rsidR="006661B8" w:rsidRDefault="006661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1B8" w:rsidRDefault="00522134" w:rsidP="00522134">
    <w:pPr>
      <w:pStyle w:val="Footer"/>
      <w:rPr>
        <w:color w:val="000000"/>
        <w:sz w:val="17"/>
      </w:rPr>
    </w:pPr>
    <w:bookmarkStart w:id="4" w:name="TITUS1FooterPrimary"/>
    <w:r>
      <w:rPr>
        <w:color w:val="000000"/>
        <w:sz w:val="17"/>
      </w:rPr>
      <w:t> </w:t>
    </w:r>
  </w:p>
  <w:bookmarkEnd w:id="4"/>
  <w:p w:rsidR="006661B8" w:rsidRDefault="00666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1B8" w:rsidRDefault="00522134" w:rsidP="00522134">
    <w:pPr>
      <w:pStyle w:val="Footer"/>
      <w:rPr>
        <w:color w:val="000000"/>
        <w:sz w:val="17"/>
      </w:rPr>
    </w:pPr>
    <w:bookmarkStart w:id="6" w:name="TITUS1FooterFirstPage"/>
    <w:r>
      <w:rPr>
        <w:color w:val="000000"/>
        <w:sz w:val="17"/>
      </w:rPr>
      <w:t> </w:t>
    </w:r>
  </w:p>
  <w:bookmarkEnd w:id="6"/>
  <w:p w:rsidR="006661B8" w:rsidRDefault="00666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1B8" w:rsidRDefault="006661B8" w:rsidP="006661B8">
      <w:pPr>
        <w:spacing w:after="0" w:line="240" w:lineRule="auto"/>
      </w:pPr>
      <w:r>
        <w:separator/>
      </w:r>
    </w:p>
  </w:footnote>
  <w:footnote w:type="continuationSeparator" w:id="0">
    <w:p w:rsidR="006661B8" w:rsidRDefault="006661B8" w:rsidP="00666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120" w:rsidRDefault="00522134" w:rsidP="00522134">
    <w:pPr>
      <w:pStyle w:val="Header"/>
      <w:rPr>
        <w:color w:val="000000"/>
        <w:sz w:val="17"/>
      </w:rPr>
    </w:pPr>
    <w:bookmarkStart w:id="1" w:name="TITUS1HeaderEvenPages"/>
    <w:r>
      <w:rPr>
        <w:color w:val="000000"/>
        <w:sz w:val="17"/>
      </w:rPr>
      <w:t> </w:t>
    </w:r>
  </w:p>
  <w:bookmarkEnd w:id="1"/>
  <w:p w:rsidR="00F10120" w:rsidRDefault="00F10120" w:rsidP="00F10120">
    <w:pPr>
      <w:pStyle w:val="Header"/>
    </w:pPr>
  </w:p>
  <w:p w:rsidR="006661B8" w:rsidRDefault="006661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1B8" w:rsidRDefault="00522134" w:rsidP="00522134">
    <w:pPr>
      <w:pStyle w:val="Header"/>
      <w:rPr>
        <w:color w:val="000000"/>
        <w:sz w:val="17"/>
      </w:rPr>
    </w:pPr>
    <w:bookmarkStart w:id="2" w:name="TITUS1HeaderPrimary"/>
    <w:r>
      <w:rPr>
        <w:color w:val="000000"/>
        <w:sz w:val="17"/>
      </w:rPr>
      <w:t> </w:t>
    </w:r>
  </w:p>
  <w:bookmarkEnd w:id="2"/>
  <w:p w:rsidR="006661B8" w:rsidRDefault="006661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1B8" w:rsidRDefault="00522134" w:rsidP="00522134">
    <w:pPr>
      <w:pStyle w:val="Header"/>
      <w:rPr>
        <w:color w:val="000000"/>
        <w:sz w:val="17"/>
      </w:rPr>
    </w:pPr>
    <w:bookmarkStart w:id="5" w:name="TITUS1HeaderFirstPage"/>
    <w:r>
      <w:rPr>
        <w:color w:val="000000"/>
        <w:sz w:val="17"/>
      </w:rPr>
      <w:t> </w:t>
    </w:r>
  </w:p>
  <w:bookmarkEnd w:id="5"/>
  <w:p w:rsidR="006661B8" w:rsidRDefault="006661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1B8"/>
    <w:rsid w:val="00012B8B"/>
    <w:rsid w:val="00053B03"/>
    <w:rsid w:val="00075578"/>
    <w:rsid w:val="000930BC"/>
    <w:rsid w:val="000F56F1"/>
    <w:rsid w:val="00100542"/>
    <w:rsid w:val="001774DC"/>
    <w:rsid w:val="00217311"/>
    <w:rsid w:val="002821FC"/>
    <w:rsid w:val="00305B14"/>
    <w:rsid w:val="00334175"/>
    <w:rsid w:val="003358C3"/>
    <w:rsid w:val="003A57B2"/>
    <w:rsid w:val="003C7CCA"/>
    <w:rsid w:val="00446DD4"/>
    <w:rsid w:val="00514016"/>
    <w:rsid w:val="00515ED9"/>
    <w:rsid w:val="00522134"/>
    <w:rsid w:val="005430C5"/>
    <w:rsid w:val="00561D9A"/>
    <w:rsid w:val="005C7846"/>
    <w:rsid w:val="00636928"/>
    <w:rsid w:val="006661B8"/>
    <w:rsid w:val="00673DF1"/>
    <w:rsid w:val="0068506B"/>
    <w:rsid w:val="006953AF"/>
    <w:rsid w:val="006E5958"/>
    <w:rsid w:val="00706B4F"/>
    <w:rsid w:val="00725653"/>
    <w:rsid w:val="00732F83"/>
    <w:rsid w:val="007A0468"/>
    <w:rsid w:val="007A53F7"/>
    <w:rsid w:val="007C5A7C"/>
    <w:rsid w:val="00827C13"/>
    <w:rsid w:val="00845044"/>
    <w:rsid w:val="00981AE7"/>
    <w:rsid w:val="00A0680A"/>
    <w:rsid w:val="00A505D1"/>
    <w:rsid w:val="00A738B0"/>
    <w:rsid w:val="00B201A2"/>
    <w:rsid w:val="00B37959"/>
    <w:rsid w:val="00B92D19"/>
    <w:rsid w:val="00BD0057"/>
    <w:rsid w:val="00C0016B"/>
    <w:rsid w:val="00C21AF8"/>
    <w:rsid w:val="00CC51ED"/>
    <w:rsid w:val="00D1787C"/>
    <w:rsid w:val="00D3535F"/>
    <w:rsid w:val="00D452D9"/>
    <w:rsid w:val="00D7086B"/>
    <w:rsid w:val="00DA7BFC"/>
    <w:rsid w:val="00E006B6"/>
    <w:rsid w:val="00E11FD7"/>
    <w:rsid w:val="00E672EE"/>
    <w:rsid w:val="00E854DB"/>
    <w:rsid w:val="00EC55BB"/>
    <w:rsid w:val="00EE3851"/>
    <w:rsid w:val="00F10120"/>
    <w:rsid w:val="00F24898"/>
    <w:rsid w:val="00F527CA"/>
    <w:rsid w:val="00F73682"/>
    <w:rsid w:val="00FE5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B9E63"/>
  <w15:chartTrackingRefBased/>
  <w15:docId w15:val="{7E3BB7F4-0521-4B78-886C-A0DEF2CD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1B8"/>
  </w:style>
  <w:style w:type="paragraph" w:styleId="Footer">
    <w:name w:val="footer"/>
    <w:basedOn w:val="Normal"/>
    <w:link w:val="FooterChar"/>
    <w:uiPriority w:val="99"/>
    <w:unhideWhenUsed/>
    <w:rsid w:val="00666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29</Pages>
  <Words>13711</Words>
  <Characters>78156</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Herbert,Sara swp1692</dc:creator>
  <cp:keywords/>
  <dc:description/>
  <cp:lastModifiedBy>Herbert,Sara swp1692</cp:lastModifiedBy>
  <cp:revision>14</cp:revision>
  <dcterms:created xsi:type="dcterms:W3CDTF">2022-01-15T12:51:00Z</dcterms:created>
  <dcterms:modified xsi:type="dcterms:W3CDTF">2022-01-15T17:30:00Z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094d774d-ffdd-4af3-b89f-0add30a7a6fa</vt:lpwstr>
  </property>
  <property fmtid="{D5CDD505-2E9C-101B-9397-08002B2CF9AE}" pid="3" name="Classification">
    <vt:lpwstr>OFFICIAL</vt:lpwstr>
  </property>
  <property fmtid="{D5CDD505-2E9C-101B-9397-08002B2CF9AE}" pid="4" name="Visibility">
    <vt:lpwstr>NOT VISIBLE</vt:lpwstr>
  </property>
</Properties>
</file>