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14546A" w:rsidRDefault="00AA498E" w14:paraId="45BE451D" w14:textId="77777777">
      <w:pPr>
        <w:spacing w:before="2400"/>
        <w:jc w:val="center"/>
      </w:pPr>
      <w:r>
        <w:rPr>
          <w:b/>
          <w:bCs/>
          <w:color w:val="C8102E"/>
          <w:sz w:val="32"/>
          <w:szCs w:val="32"/>
        </w:rPr>
        <w:t>LCHS4003</w:t>
      </w:r>
    </w:p>
    <w:p w:rsidR="0014546A" w:rsidRDefault="00AA498E" w14:paraId="5FDF756B" w14:textId="77777777">
      <w:pPr>
        <w:spacing w:before="80" w:after="400"/>
        <w:jc w:val="center"/>
      </w:pPr>
      <w:r>
        <w:rPr>
          <w:sz w:val="26"/>
          <w:szCs w:val="26"/>
        </w:rPr>
        <w:t>Component 1 Resit Assessment</w:t>
      </w:r>
    </w:p>
    <w:p w:rsidR="0014546A" w:rsidRDefault="00AA498E" w14:paraId="2EDC96DC" w14:textId="77777777">
      <w:pPr>
        <w:spacing w:before="400"/>
        <w:jc w:val="center"/>
      </w:pPr>
      <w:r>
        <w:rPr>
          <w:i/>
          <w:iCs/>
          <w:sz w:val="22"/>
          <w:szCs w:val="22"/>
        </w:rPr>
        <w:t>Task 1: Ambulance Services Poster</w:t>
      </w:r>
    </w:p>
    <w:p w:rsidR="0014546A" w:rsidRDefault="00AA498E" w14:paraId="587A579E" w14:textId="77777777">
      <w:pPr>
        <w:spacing w:after="400"/>
        <w:jc w:val="center"/>
      </w:pPr>
      <w:r>
        <w:rPr>
          <w:i/>
          <w:iCs/>
          <w:sz w:val="22"/>
          <w:szCs w:val="22"/>
        </w:rPr>
        <w:t>Task 2: Residential Care Homes Essay</w:t>
      </w:r>
    </w:p>
    <w:p w:rsidR="0014546A" w:rsidP="4D56EC8F" w:rsidRDefault="00AA498E" w14:paraId="455FAFF7" w14:textId="48801907">
      <w:pPr>
        <w:spacing w:before="800"/>
        <w:jc w:val="center"/>
        <w:rPr>
          <w:sz w:val="22"/>
          <w:szCs w:val="22"/>
        </w:rPr>
      </w:pPr>
      <w:r w:rsidRPr="4D56EC8F" w:rsidR="00AA498E">
        <w:rPr>
          <w:sz w:val="22"/>
          <w:szCs w:val="22"/>
        </w:rPr>
        <w:t xml:space="preserve">Name: </w:t>
      </w:r>
      <w:r w:rsidRPr="4D56EC8F" w:rsidR="0C4A6EDB">
        <w:rPr>
          <w:sz w:val="22"/>
          <w:szCs w:val="22"/>
        </w:rPr>
        <w:t>Danielle Dolan</w:t>
      </w:r>
    </w:p>
    <w:p w:rsidR="0014546A" w:rsidRDefault="00AA498E" w14:paraId="705FBDC6" w14:textId="5B0F0E9F">
      <w:pPr>
        <w:jc w:val="center"/>
      </w:pPr>
      <w:r w:rsidRPr="4D56EC8F" w:rsidR="00AA498E">
        <w:rPr>
          <w:sz w:val="22"/>
          <w:szCs w:val="22"/>
        </w:rPr>
        <w:t xml:space="preserve">Student Number: </w:t>
      </w:r>
      <w:r w:rsidRPr="4D56EC8F" w:rsidR="05AE7CA6">
        <w:rPr>
          <w:sz w:val="22"/>
          <w:szCs w:val="22"/>
        </w:rPr>
        <w:t>2507563</w:t>
      </w:r>
    </w:p>
    <w:p w:rsidR="0014546A" w:rsidP="4D56EC8F" w:rsidRDefault="00AA498E" w14:paraId="600A130B" w14:textId="1BB6B65A">
      <w:pPr>
        <w:jc w:val="center"/>
        <w:rPr>
          <w:sz w:val="22"/>
          <w:szCs w:val="22"/>
        </w:rPr>
      </w:pPr>
      <w:r w:rsidRPr="4D56EC8F" w:rsidR="00AA498E">
        <w:rPr>
          <w:sz w:val="22"/>
          <w:szCs w:val="22"/>
        </w:rPr>
        <w:t>Module Code and Title: LCHS4003</w:t>
      </w:r>
    </w:p>
    <w:p w:rsidR="0014546A" w:rsidP="4D56EC8F" w:rsidRDefault="00AA498E" w14:paraId="12C0C4A4" w14:textId="51D75FD3">
      <w:pPr>
        <w:pStyle w:val="Normal"/>
        <w:jc w:val="center"/>
        <w:rPr>
          <w:rFonts w:ascii="Times New Roman" w:hAnsi="Times New Roman" w:eastAsia="Times New Roman" w:cs="Times New Roman"/>
          <w:noProof w:val="0"/>
          <w:sz w:val="22"/>
          <w:szCs w:val="22"/>
          <w:lang w:val="en-GB"/>
        </w:rPr>
      </w:pPr>
      <w:r w:rsidRPr="4D56EC8F" w:rsidR="00AA498E">
        <w:rPr>
          <w:sz w:val="22"/>
          <w:szCs w:val="22"/>
        </w:rPr>
        <w:t xml:space="preserve">Lecturer: </w:t>
      </w:r>
      <w:r w:rsidRPr="4D56EC8F" w:rsidR="47C010F2">
        <w:rPr>
          <w:rFonts w:ascii="Times New Roman" w:hAnsi="Times New Roman" w:eastAsia="Times New Roman" w:cs="Times New Roman"/>
          <w:noProof w:val="0"/>
          <w:sz w:val="22"/>
          <w:szCs w:val="22"/>
          <w:lang w:val="en-GB"/>
        </w:rPr>
        <w:t>Daniel Haruna</w:t>
      </w:r>
    </w:p>
    <w:p w:rsidR="0014546A" w:rsidRDefault="0014546A" w14:paraId="672A6659" w14:textId="77777777">
      <w:pPr>
        <w:sectPr w:rsidR="0014546A">
          <w:pgSz w:w="11906" w:h="16838" w:orient="portrait"/>
          <w:pgMar w:top="720" w:right="1000" w:bottom="720" w:left="1000" w:header="708" w:footer="708" w:gutter="0"/>
          <w:cols w:space="720"/>
          <w:docGrid w:linePitch="360"/>
        </w:sectPr>
      </w:pPr>
    </w:p>
    <w:tbl>
      <w:tblPr>
        <w:tblW w:w="5000" w:type="pct"/>
        <w:tblInd w:w="-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10696"/>
      </w:tblGrid>
      <w:tr w:rsidR="0014546A" w14:paraId="3641E329" w14:textId="77777777">
        <w:tblPrEx>
          <w:tblCellMar>
            <w:top w:w="0" w:type="dxa"/>
            <w:bottom w:w="0" w:type="dxa"/>
          </w:tblCellMar>
        </w:tblPrEx>
        <w:tc>
          <w:tcPr>
            <w:tcW w:w="5000" w:type="pct"/>
            <w:shd w:val="clear" w:color="auto" w:fill="C8102E"/>
            <w:tcMar>
              <w:top w:w="160" w:type="dxa"/>
              <w:left w:w="200" w:type="dxa"/>
              <w:bottom w:w="160" w:type="dxa"/>
              <w:right w:w="200" w:type="dxa"/>
            </w:tcMar>
          </w:tcPr>
          <w:p w:rsidR="0014546A" w:rsidRDefault="00AA498E" w14:paraId="0A7FF6B0" w14:textId="77777777">
            <w:pPr>
              <w:jc w:val="center"/>
            </w:pPr>
            <w:r>
              <w:rPr>
                <w:rFonts w:ascii="Calibri" w:hAnsi="Calibri" w:eastAsia="Calibri" w:cs="Calibri"/>
                <w:b/>
                <w:bCs/>
                <w:color w:val="FFFFFF"/>
                <w:sz w:val="44"/>
                <w:szCs w:val="44"/>
              </w:rPr>
              <w:t>AMBULANCE SERVICES</w:t>
            </w:r>
          </w:p>
          <w:p w:rsidR="0014546A" w:rsidRDefault="00AA498E" w14:paraId="6E12CA78" w14:textId="77777777">
            <w:pPr>
              <w:spacing w:before="40"/>
              <w:jc w:val="center"/>
            </w:pPr>
            <w:r>
              <w:rPr>
                <w:rFonts w:ascii="Calibri" w:hAnsi="Calibri" w:eastAsia="Calibri" w:cs="Calibri"/>
                <w:i/>
                <w:iCs/>
                <w:color w:val="FFFFFF"/>
              </w:rPr>
              <w:t>Blue lights, changing demand: an emergency response system under pressure</w:t>
            </w:r>
          </w:p>
        </w:tc>
      </w:tr>
    </w:tbl>
    <w:p w:rsidR="0014546A" w:rsidRDefault="0014546A" w14:paraId="0A37501D" w14:textId="77777777">
      <w:pPr>
        <w:spacing w:after="100"/>
      </w:pPr>
    </w:p>
    <w:tbl>
      <w:tblPr>
        <w:tblW w:w="5000" w:type="pct"/>
        <w:tblInd w:w="-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5196"/>
        <w:gridCol w:w="5500"/>
      </w:tblGrid>
      <w:tr w:rsidR="0014546A" w14:paraId="287C8AAC" w14:textId="77777777">
        <w:tblPrEx>
          <w:tblCellMar>
            <w:top w:w="0" w:type="dxa"/>
            <w:bottom w:w="0" w:type="dxa"/>
          </w:tblCellMar>
        </w:tblPrEx>
        <w:tc>
          <w:tcPr>
            <w:tcW w:w="2500" w:type="pct"/>
            <w:tcMar>
              <w:top w:w="160" w:type="dxa"/>
              <w:left w:w="200" w:type="dxa"/>
              <w:bottom w:w="160" w:type="dxa"/>
              <w:right w:w="200" w:type="dxa"/>
            </w:tcMar>
          </w:tcPr>
          <w:p w:rsidR="0014546A" w:rsidRDefault="00AA498E" w14:paraId="22C51F58" w14:textId="77777777">
            <w:pPr>
              <w:pBdr>
                <w:bottom w:val="single" w:color="C8102E" w:sz="6" w:space="2"/>
              </w:pBdr>
              <w:spacing w:before="120" w:after="80"/>
            </w:pPr>
            <w:r>
              <w:rPr>
                <w:rFonts w:ascii="Calibri" w:hAnsi="Calibri" w:eastAsia="Calibri" w:cs="Calibri"/>
                <w:b/>
                <w:bCs/>
                <w:color w:val="C8102E"/>
                <w:sz w:val="24"/>
                <w:szCs w:val="24"/>
              </w:rPr>
              <w:t>WHAT IS THE AMBULANCE SERVICE?</w:t>
            </w:r>
          </w:p>
          <w:p w:rsidR="0014546A" w:rsidRDefault="00AA498E" w14:paraId="7A4E53E4" w14:textId="77777777">
            <w:pPr>
              <w:spacing w:after="100" w:line="264" w:lineRule="auto"/>
            </w:pPr>
            <w:r>
              <w:rPr>
                <w:rFonts w:ascii="Calibri" w:hAnsi="Calibri" w:eastAsia="Calibri" w:cs="Calibri"/>
                <w:color w:val="222222"/>
                <w:sz w:val="19"/>
                <w:szCs w:val="19"/>
              </w:rPr>
              <w:t>The ambulance service is the emergency-response arm of the NHS. It responds to 999 and 111 calls, providing life-saving treatment at the scene, conveying patients to hospital when needed, and running non-emergency Patient Transport Services for those unable to travel independently. In England, ten regional NHS ambulance trusts cover the country, with Scotland, Wales and Northern Ireland running separate services.</w:t>
            </w:r>
          </w:p>
          <w:p w:rsidR="0014546A" w:rsidRDefault="00AA498E" w14:paraId="08525ED2" w14:textId="77777777">
            <w:pPr>
              <w:pBdr>
                <w:bottom w:val="single" w:color="C8102E" w:sz="6" w:space="2"/>
              </w:pBdr>
              <w:spacing w:before="120" w:after="80"/>
            </w:pPr>
            <w:r>
              <w:rPr>
                <w:rFonts w:ascii="Calibri" w:hAnsi="Calibri" w:eastAsia="Calibri" w:cs="Calibri"/>
                <w:b/>
                <w:bCs/>
                <w:color w:val="C8102E"/>
                <w:sz w:val="24"/>
                <w:szCs w:val="24"/>
              </w:rPr>
              <w:t>A BRIEF HISTORY</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854"/>
              <w:gridCol w:w="3932"/>
            </w:tblGrid>
            <w:tr w:rsidR="0014546A" w14:paraId="10372A8F" w14:textId="77777777">
              <w:tblPrEx>
                <w:tblCellMar>
                  <w:top w:w="0" w:type="dxa"/>
                  <w:bottom w:w="0" w:type="dxa"/>
                </w:tblCellMar>
              </w:tblPrEx>
              <w:tc>
                <w:tcPr>
                  <w:tcW w:w="700" w:type="pct"/>
                  <w:tcMar>
                    <w:top w:w="160" w:type="dxa"/>
                    <w:left w:w="200" w:type="dxa"/>
                    <w:bottom w:w="160" w:type="dxa"/>
                    <w:right w:w="200" w:type="dxa"/>
                  </w:tcMar>
                </w:tcPr>
                <w:p w:rsidR="0014546A" w:rsidRDefault="00AA498E" w14:paraId="343601E2" w14:textId="77777777">
                  <w:r>
                    <w:rPr>
                      <w:b/>
                      <w:bCs/>
                      <w:color w:val="C8102E"/>
                      <w:sz w:val="19"/>
                      <w:szCs w:val="19"/>
                    </w:rPr>
                    <w:t>1866</w:t>
                  </w:r>
                </w:p>
              </w:tc>
              <w:tc>
                <w:tcPr>
                  <w:tcW w:w="4300" w:type="pct"/>
                  <w:tcMar>
                    <w:top w:w="160" w:type="dxa"/>
                    <w:left w:w="200" w:type="dxa"/>
                    <w:bottom w:w="160" w:type="dxa"/>
                    <w:right w:w="200" w:type="dxa"/>
                  </w:tcMar>
                </w:tcPr>
                <w:p w:rsidR="0014546A" w:rsidRDefault="00AA498E" w14:paraId="0ABC6FC2" w14:textId="77777777">
                  <w:r>
                    <w:rPr>
                      <w:color w:val="222222"/>
                      <w:sz w:val="18"/>
                      <w:szCs w:val="18"/>
                    </w:rPr>
                    <w:t>Hospital Carriage Fund provides horse-drawn carriages for infectious patients in London</w:t>
                  </w:r>
                </w:p>
              </w:tc>
            </w:tr>
            <w:tr w:rsidR="0014546A" w14:paraId="3007ACAE" w14:textId="77777777">
              <w:tblPrEx>
                <w:tblCellMar>
                  <w:top w:w="0" w:type="dxa"/>
                  <w:bottom w:w="0" w:type="dxa"/>
                </w:tblCellMar>
              </w:tblPrEx>
              <w:tc>
                <w:tcPr>
                  <w:tcW w:w="700" w:type="pct"/>
                  <w:tcMar>
                    <w:top w:w="160" w:type="dxa"/>
                    <w:left w:w="200" w:type="dxa"/>
                    <w:bottom w:w="160" w:type="dxa"/>
                    <w:right w:w="200" w:type="dxa"/>
                  </w:tcMar>
                </w:tcPr>
                <w:p w:rsidR="0014546A" w:rsidRDefault="00AA498E" w14:paraId="1B0BE69A" w14:textId="77777777">
                  <w:r>
                    <w:rPr>
                      <w:b/>
                      <w:bCs/>
                      <w:color w:val="C8102E"/>
                      <w:sz w:val="19"/>
                      <w:szCs w:val="19"/>
                    </w:rPr>
                    <w:t>1897</w:t>
                  </w:r>
                </w:p>
              </w:tc>
              <w:tc>
                <w:tcPr>
                  <w:tcW w:w="4300" w:type="pct"/>
                  <w:tcMar>
                    <w:top w:w="160" w:type="dxa"/>
                    <w:left w:w="200" w:type="dxa"/>
                    <w:bottom w:w="160" w:type="dxa"/>
                    <w:right w:w="200" w:type="dxa"/>
                  </w:tcMar>
                </w:tcPr>
                <w:p w:rsidR="0014546A" w:rsidRDefault="00AA498E" w14:paraId="4F0529FB" w14:textId="77777777">
                  <w:r>
                    <w:rPr>
                      <w:color w:val="222222"/>
                      <w:sz w:val="18"/>
                      <w:szCs w:val="18"/>
                    </w:rPr>
                    <w:t>Locally funded services, such as the Metropolitan Asylums Board, begin operating</w:t>
                  </w:r>
                </w:p>
              </w:tc>
            </w:tr>
            <w:tr w:rsidR="0014546A" w14:paraId="45F60681" w14:textId="77777777">
              <w:tblPrEx>
                <w:tblCellMar>
                  <w:top w:w="0" w:type="dxa"/>
                  <w:bottom w:w="0" w:type="dxa"/>
                </w:tblCellMar>
              </w:tblPrEx>
              <w:tc>
                <w:tcPr>
                  <w:tcW w:w="700" w:type="pct"/>
                  <w:tcMar>
                    <w:top w:w="160" w:type="dxa"/>
                    <w:left w:w="200" w:type="dxa"/>
                    <w:bottom w:w="160" w:type="dxa"/>
                    <w:right w:w="200" w:type="dxa"/>
                  </w:tcMar>
                </w:tcPr>
                <w:p w:rsidR="0014546A" w:rsidRDefault="00AA498E" w14:paraId="27514272" w14:textId="77777777">
                  <w:r>
                    <w:rPr>
                      <w:b/>
                      <w:bCs/>
                      <w:color w:val="C8102E"/>
                      <w:sz w:val="19"/>
                      <w:szCs w:val="19"/>
                    </w:rPr>
                    <w:t>1930</w:t>
                  </w:r>
                </w:p>
              </w:tc>
              <w:tc>
                <w:tcPr>
                  <w:tcW w:w="4300" w:type="pct"/>
                  <w:tcMar>
                    <w:top w:w="160" w:type="dxa"/>
                    <w:left w:w="200" w:type="dxa"/>
                    <w:bottom w:w="160" w:type="dxa"/>
                    <w:right w:w="200" w:type="dxa"/>
                  </w:tcMar>
                </w:tcPr>
                <w:p w:rsidR="0014546A" w:rsidRDefault="00AA498E" w14:paraId="5CAA9D6B" w14:textId="77777777">
                  <w:r>
                    <w:rPr>
                      <w:color w:val="222222"/>
                      <w:sz w:val="18"/>
                      <w:szCs w:val="18"/>
                    </w:rPr>
                    <w:t>First motorised ambulance in London replaces horse-drawn carriages</w:t>
                  </w:r>
                </w:p>
              </w:tc>
            </w:tr>
            <w:tr w:rsidR="0014546A" w14:paraId="07274361" w14:textId="77777777">
              <w:tblPrEx>
                <w:tblCellMar>
                  <w:top w:w="0" w:type="dxa"/>
                  <w:bottom w:w="0" w:type="dxa"/>
                </w:tblCellMar>
              </w:tblPrEx>
              <w:tc>
                <w:tcPr>
                  <w:tcW w:w="700" w:type="pct"/>
                  <w:tcMar>
                    <w:top w:w="160" w:type="dxa"/>
                    <w:left w:w="200" w:type="dxa"/>
                    <w:bottom w:w="160" w:type="dxa"/>
                    <w:right w:w="200" w:type="dxa"/>
                  </w:tcMar>
                </w:tcPr>
                <w:p w:rsidR="0014546A" w:rsidRDefault="00AA498E" w14:paraId="14D96941" w14:textId="77777777">
                  <w:r>
                    <w:rPr>
                      <w:b/>
                      <w:bCs/>
                      <w:color w:val="C8102E"/>
                      <w:sz w:val="19"/>
                      <w:szCs w:val="19"/>
                    </w:rPr>
                    <w:t>1948</w:t>
                  </w:r>
                </w:p>
              </w:tc>
              <w:tc>
                <w:tcPr>
                  <w:tcW w:w="4300" w:type="pct"/>
                  <w:tcMar>
                    <w:top w:w="160" w:type="dxa"/>
                    <w:left w:w="200" w:type="dxa"/>
                    <w:bottom w:w="160" w:type="dxa"/>
                    <w:right w:w="200" w:type="dxa"/>
                  </w:tcMar>
                </w:tcPr>
                <w:p w:rsidR="0014546A" w:rsidRDefault="00AA498E" w14:paraId="1772E3F3" w14:textId="77777777">
                  <w:r>
                    <w:rPr>
                      <w:color w:val="222222"/>
                      <w:sz w:val="18"/>
                      <w:szCs w:val="18"/>
                    </w:rPr>
                    <w:t>NHS founded; ambulance services established across the country</w:t>
                  </w:r>
                </w:p>
              </w:tc>
            </w:tr>
            <w:tr w:rsidR="0014546A" w14:paraId="365D69A2" w14:textId="77777777">
              <w:tblPrEx>
                <w:tblCellMar>
                  <w:top w:w="0" w:type="dxa"/>
                  <w:bottom w:w="0" w:type="dxa"/>
                </w:tblCellMar>
              </w:tblPrEx>
              <w:tc>
                <w:tcPr>
                  <w:tcW w:w="700" w:type="pct"/>
                  <w:tcMar>
                    <w:top w:w="160" w:type="dxa"/>
                    <w:left w:w="200" w:type="dxa"/>
                    <w:bottom w:w="160" w:type="dxa"/>
                    <w:right w:w="200" w:type="dxa"/>
                  </w:tcMar>
                </w:tcPr>
                <w:p w:rsidR="0014546A" w:rsidRDefault="00AA498E" w14:paraId="61E2A2A0" w14:textId="77777777">
                  <w:r>
                    <w:rPr>
                      <w:b/>
                      <w:bCs/>
                      <w:color w:val="C8102E"/>
                      <w:sz w:val="19"/>
                      <w:szCs w:val="19"/>
                    </w:rPr>
                    <w:t>1974</w:t>
                  </w:r>
                </w:p>
              </w:tc>
              <w:tc>
                <w:tcPr>
                  <w:tcW w:w="4300" w:type="pct"/>
                  <w:tcMar>
                    <w:top w:w="160" w:type="dxa"/>
                    <w:left w:w="200" w:type="dxa"/>
                    <w:bottom w:w="160" w:type="dxa"/>
                    <w:right w:w="200" w:type="dxa"/>
                  </w:tcMar>
                </w:tcPr>
                <w:p w:rsidR="0014546A" w:rsidRDefault="00AA498E" w14:paraId="75D56437" w14:textId="77777777">
                  <w:r>
                    <w:rPr>
                      <w:color w:val="222222"/>
                      <w:sz w:val="18"/>
                      <w:szCs w:val="18"/>
                    </w:rPr>
                    <w:t>Local services reorganised into larger regional ambulance authorities</w:t>
                  </w:r>
                </w:p>
              </w:tc>
            </w:tr>
            <w:tr w:rsidR="0014546A" w14:paraId="0B3940CA" w14:textId="77777777">
              <w:tblPrEx>
                <w:tblCellMar>
                  <w:top w:w="0" w:type="dxa"/>
                  <w:bottom w:w="0" w:type="dxa"/>
                </w:tblCellMar>
              </w:tblPrEx>
              <w:tc>
                <w:tcPr>
                  <w:tcW w:w="700" w:type="pct"/>
                  <w:tcMar>
                    <w:top w:w="160" w:type="dxa"/>
                    <w:left w:w="200" w:type="dxa"/>
                    <w:bottom w:w="160" w:type="dxa"/>
                    <w:right w:w="200" w:type="dxa"/>
                  </w:tcMar>
                </w:tcPr>
                <w:p w:rsidR="0014546A" w:rsidRDefault="00AA498E" w14:paraId="208C3D7B" w14:textId="77777777">
                  <w:r>
                    <w:rPr>
                      <w:b/>
                      <w:bCs/>
                      <w:color w:val="C8102E"/>
                      <w:sz w:val="19"/>
                      <w:szCs w:val="19"/>
                    </w:rPr>
                    <w:t>1990s</w:t>
                  </w:r>
                </w:p>
              </w:tc>
              <w:tc>
                <w:tcPr>
                  <w:tcW w:w="4300" w:type="pct"/>
                  <w:tcMar>
                    <w:top w:w="160" w:type="dxa"/>
                    <w:left w:w="200" w:type="dxa"/>
                    <w:bottom w:w="160" w:type="dxa"/>
                    <w:right w:w="200" w:type="dxa"/>
                  </w:tcMar>
                </w:tcPr>
                <w:p w:rsidR="0014546A" w:rsidRDefault="00AA498E" w14:paraId="512A7586" w14:textId="77777777">
                  <w:r>
                    <w:rPr>
                      <w:color w:val="222222"/>
                      <w:sz w:val="18"/>
                      <w:szCs w:val="18"/>
                    </w:rPr>
                    <w:t>First full-time Paramedic degree course launched</w:t>
                  </w:r>
                </w:p>
              </w:tc>
            </w:tr>
            <w:tr w:rsidR="0014546A" w14:paraId="619E89ED" w14:textId="77777777">
              <w:tblPrEx>
                <w:tblCellMar>
                  <w:top w:w="0" w:type="dxa"/>
                  <w:bottom w:w="0" w:type="dxa"/>
                </w:tblCellMar>
              </w:tblPrEx>
              <w:tc>
                <w:tcPr>
                  <w:tcW w:w="700" w:type="pct"/>
                  <w:tcMar>
                    <w:top w:w="160" w:type="dxa"/>
                    <w:left w:w="200" w:type="dxa"/>
                    <w:bottom w:w="160" w:type="dxa"/>
                    <w:right w:w="200" w:type="dxa"/>
                  </w:tcMar>
                </w:tcPr>
                <w:p w:rsidR="0014546A" w:rsidRDefault="00AA498E" w14:paraId="5C61D62B" w14:textId="77777777">
                  <w:r>
                    <w:rPr>
                      <w:b/>
                      <w:bCs/>
                      <w:color w:val="C8102E"/>
                      <w:sz w:val="19"/>
                      <w:szCs w:val="19"/>
                    </w:rPr>
                    <w:t>2018</w:t>
                  </w:r>
                </w:p>
              </w:tc>
              <w:tc>
                <w:tcPr>
                  <w:tcW w:w="4300" w:type="pct"/>
                  <w:tcMar>
                    <w:top w:w="160" w:type="dxa"/>
                    <w:left w:w="200" w:type="dxa"/>
                    <w:bottom w:w="160" w:type="dxa"/>
                    <w:right w:w="200" w:type="dxa"/>
                  </w:tcMar>
                </w:tcPr>
                <w:p w:rsidR="0014546A" w:rsidRDefault="00AA498E" w14:paraId="39C41B91" w14:textId="77777777">
                  <w:r>
                    <w:rPr>
                      <w:color w:val="222222"/>
                      <w:sz w:val="18"/>
                      <w:szCs w:val="18"/>
                    </w:rPr>
                    <w:t>National response-time categories (1-4) introduced</w:t>
                  </w:r>
                </w:p>
              </w:tc>
            </w:tr>
          </w:tbl>
          <w:p w:rsidR="0014546A" w:rsidRDefault="00AA498E" w14:paraId="518AE6CD" w14:textId="77777777">
            <w:pPr>
              <w:pBdr>
                <w:bottom w:val="single" w:color="C8102E" w:sz="6" w:space="2"/>
              </w:pBdr>
              <w:spacing w:before="120" w:after="80"/>
            </w:pPr>
            <w:r>
              <w:rPr>
                <w:rFonts w:ascii="Calibri" w:hAnsi="Calibri" w:eastAsia="Calibri" w:cs="Calibri"/>
                <w:b/>
                <w:bCs/>
                <w:color w:val="C8102E"/>
                <w:sz w:val="24"/>
                <w:szCs w:val="24"/>
              </w:rPr>
              <w:t>HOW IT FUNCTIONS TODAY</w:t>
            </w:r>
          </w:p>
          <w:p w:rsidR="0014546A" w:rsidRDefault="00AA498E" w14:paraId="46CA1A9A" w14:textId="77777777">
            <w:pPr>
              <w:spacing w:after="100" w:line="264" w:lineRule="auto"/>
            </w:pPr>
            <w:r>
              <w:rPr>
                <w:rFonts w:ascii="Calibri" w:hAnsi="Calibri" w:eastAsia="Calibri" w:cs="Calibri"/>
                <w:color w:val="222222"/>
                <w:sz w:val="19"/>
                <w:szCs w:val="19"/>
              </w:rPr>
              <w:t>Calls are triaged into four categories, from Category 1 (immediately life-threatening) to Category 4 (less urgent). Around 27,000 999 calls are made every day in England, a figure that has risen year on year. Paramedics now complete a three-year degree and carry around 30 medicines to incidents, a world away from the eight-week course and stretcher-only kit of the 1960s. Roughly half of incidents result in a patient being taken to an Emergency Department.</w:t>
            </w:r>
          </w:p>
        </w:tc>
        <w:tc>
          <w:tcPr>
            <w:tcW w:w="2500" w:type="pct"/>
            <w:tcMar>
              <w:top w:w="160" w:type="dxa"/>
              <w:left w:w="200" w:type="dxa"/>
              <w:bottom w:w="160" w:type="dxa"/>
              <w:right w:w="200" w:type="dxa"/>
            </w:tcMar>
          </w:tcPr>
          <w:p w:rsidR="0014546A" w:rsidRDefault="00AA498E" w14:paraId="36C7328C" w14:textId="77777777">
            <w:pPr>
              <w:pBdr>
                <w:bottom w:val="single" w:color="C8102E" w:sz="6" w:space="2"/>
              </w:pBdr>
              <w:spacing w:before="120" w:after="80"/>
            </w:pPr>
            <w:r>
              <w:rPr>
                <w:rFonts w:ascii="Calibri" w:hAnsi="Calibri" w:eastAsia="Calibri" w:cs="Calibri"/>
                <w:b/>
                <w:bCs/>
                <w:color w:val="C8102E"/>
                <w:sz w:val="24"/>
                <w:szCs w:val="24"/>
              </w:rPr>
              <w:t>TWO KEY CHALLENGES</w:t>
            </w:r>
          </w:p>
          <w:p w:rsidR="0014546A" w:rsidRDefault="00AA498E" w14:paraId="2F3F8F80" w14:textId="77777777">
            <w:pPr>
              <w:pStyle w:val="ListParagraph"/>
              <w:numPr>
                <w:ilvl w:val="0"/>
                <w:numId w:val="2"/>
              </w:numPr>
              <w:spacing w:after="60"/>
            </w:pPr>
            <w:r>
              <w:rPr>
                <w:rFonts w:ascii="Calibri" w:hAnsi="Calibri" w:eastAsia="Calibri" w:cs="Calibri"/>
                <w:color w:val="222222"/>
                <w:sz w:val="19"/>
                <w:szCs w:val="19"/>
              </w:rPr>
              <w:t>Hospital handover delays: When ambulances arrive at hospital, crews should hand patients to A&amp;E staff within 15 minutes. In practice, the national average has been well above this for years, peaking at over 43 minutes in December 2024. Ambulances queuing outside hospitals cannot respond to new 999 calls, creating a knock-on effect across the whole system.</w:t>
            </w:r>
          </w:p>
          <w:p w:rsidR="0014546A" w:rsidRDefault="00AA498E" w14:paraId="32A5B9E4" w14:textId="77777777">
            <w:pPr>
              <w:pStyle w:val="ListParagraph"/>
              <w:numPr>
                <w:ilvl w:val="0"/>
                <w:numId w:val="2"/>
              </w:numPr>
              <w:spacing w:after="60"/>
            </w:pPr>
            <w:r>
              <w:rPr>
                <w:rFonts w:ascii="Calibri" w:hAnsi="Calibri" w:eastAsia="Calibri" w:cs="Calibri"/>
                <w:color w:val="222222"/>
                <w:sz w:val="19"/>
                <w:szCs w:val="19"/>
              </w:rPr>
              <w:t>Workforce strain and rising demand: An ageing population with more complex, long-term conditions is driving record call volumes, while paramedics report high rates of burnout, moral distress and sickness absence linked to repeated handover queuing and corridor care. Coroners have issued a growing number of Prevention of Future Deaths reports citing ambulance delays as a contributing factor.</w:t>
            </w:r>
          </w:p>
          <w:p w:rsidR="0014546A" w:rsidRDefault="00AA498E" w14:paraId="5DAB6C7B" w14:textId="77777777">
            <w:pPr>
              <w:spacing w:before="120"/>
            </w:pPr>
            <w:r>
              <w:rPr>
                <w:noProof/>
              </w:rPr>
              <w:drawing>
                <wp:inline distT="0" distB="0" distL="0" distR="0" wp14:anchorId="70D78901" wp14:editId="07777777">
                  <wp:extent cx="3238500" cy="1885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3238500" cy="1885950"/>
                          </a:xfrm>
                          <a:prstGeom prst="rect">
                            <a:avLst/>
                          </a:prstGeom>
                        </pic:spPr>
                      </pic:pic>
                    </a:graphicData>
                  </a:graphic>
                </wp:inline>
              </w:drawing>
            </w:r>
          </w:p>
          <w:p w:rsidR="0014546A" w:rsidRDefault="00AA498E" w14:paraId="2A08CF65" w14:textId="77777777">
            <w:pPr>
              <w:jc w:val="center"/>
            </w:pPr>
            <w:r>
              <w:rPr>
                <w:i/>
                <w:iCs/>
                <w:color w:val="555555"/>
                <w:sz w:val="14"/>
                <w:szCs w:val="14"/>
              </w:rPr>
              <w:t>Source: Nuffield Trust, Ambulance handover delays (2026)</w:t>
            </w:r>
          </w:p>
          <w:p w:rsidR="0014546A" w:rsidRDefault="00AA498E" w14:paraId="3BF7FB99" w14:textId="77777777">
            <w:pPr>
              <w:pBdr>
                <w:bottom w:val="single" w:color="C8102E" w:sz="6" w:space="2"/>
              </w:pBdr>
              <w:spacing w:before="120" w:after="80"/>
            </w:pPr>
            <w:r>
              <w:rPr>
                <w:rFonts w:ascii="Calibri" w:hAnsi="Calibri" w:eastAsia="Calibri" w:cs="Calibri"/>
                <w:b/>
                <w:bCs/>
                <w:color w:val="C8102E"/>
                <w:sz w:val="24"/>
                <w:szCs w:val="24"/>
              </w:rPr>
              <w:t>WHY IT MATTERS</w:t>
            </w:r>
          </w:p>
          <w:p w:rsidR="0014546A" w:rsidRDefault="00AA498E" w14:paraId="6CBDF029" w14:textId="77777777">
            <w:pPr>
              <w:spacing w:after="100" w:line="264" w:lineRule="auto"/>
            </w:pPr>
            <w:r>
              <w:rPr>
                <w:rFonts w:ascii="Calibri" w:hAnsi="Calibri" w:eastAsia="Calibri" w:cs="Calibri"/>
                <w:color w:val="222222"/>
                <w:sz w:val="19"/>
                <w:szCs w:val="19"/>
              </w:rPr>
              <w:t>For Category 1 and 2 patients, such as those suffering cardiac arrest, stroke or major trauma, minutes directly affect survival and long-term outcomes. Handover delays and workforce strain do not just slow the system down; they translate into real, documented harm, making the ambulance service one of the clearest examples of how pressure in one part of the NHS ripples through the rest.</w:t>
            </w:r>
          </w:p>
        </w:tc>
      </w:tr>
    </w:tbl>
    <w:p w:rsidR="0014546A" w:rsidRDefault="0014546A" w14:paraId="02EB378F" w14:textId="77777777">
      <w:pPr>
        <w:spacing w:before="120"/>
      </w:pPr>
    </w:p>
    <w:p w:rsidR="0014546A" w:rsidRDefault="00AA498E" w14:paraId="37EDC976" w14:textId="77777777">
      <w:pPr>
        <w:pBdr>
          <w:top w:val="single" w:color="CCCCCC" w:sz="4" w:space="4"/>
        </w:pBdr>
        <w:spacing w:before="120"/>
      </w:pPr>
      <w:r>
        <w:rPr>
          <w:i/>
          <w:iCs/>
          <w:color w:val="555555"/>
          <w:sz w:val="13"/>
          <w:szCs w:val="13"/>
        </w:rPr>
        <w:t>References: London Ambulance Service NHS Trust (2025) Our History; House of Commons Library (2026) Ambulance service response times; Nuffield Trust (2026) Ambulance handover delays; Association of Ambulance Chief Executives, written evidence to Parliament (2026).</w:t>
      </w:r>
    </w:p>
    <w:p w:rsidR="0014546A" w:rsidRDefault="0014546A" w14:paraId="6A05A809" w14:textId="77777777">
      <w:pPr>
        <w:sectPr w:rsidR="0014546A">
          <w:pgSz w:w="11906" w:h="16838" w:orient="landscape"/>
          <w:pgMar w:top="500" w:right="600" w:bottom="500" w:left="600" w:header="708" w:footer="708" w:gutter="0"/>
          <w:cols w:space="720"/>
          <w:docGrid w:linePitch="360"/>
        </w:sectPr>
      </w:pPr>
    </w:p>
    <w:p w:rsidR="0014546A" w:rsidRDefault="00AA498E" w14:paraId="7BBEF942" w14:textId="77777777">
      <w:pPr>
        <w:pStyle w:val="Title"/>
        <w:spacing w:after="240"/>
      </w:pPr>
      <w:r>
        <w:t>Residential Care Homes: Origins, Current Function and Significance to Service Users</w:t>
      </w:r>
    </w:p>
    <w:p w:rsidR="0014546A" w:rsidRDefault="00AA498E" w14:paraId="7B89FD26" w14:textId="77777777">
      <w:pPr>
        <w:pStyle w:val="Heading1"/>
        <w:spacing w:before="240" w:after="120"/>
      </w:pPr>
      <w:r>
        <w:rPr>
          <w:b/>
          <w:bCs/>
          <w:color w:val="222222"/>
        </w:rPr>
        <w:t>Historical Origins</w:t>
      </w:r>
    </w:p>
    <w:p w:rsidR="0014546A" w:rsidRDefault="00AA498E" w14:paraId="1418C5CE" w14:textId="77777777">
      <w:pPr>
        <w:spacing w:after="160" w:line="360" w:lineRule="auto"/>
        <w:jc w:val="both"/>
      </w:pPr>
      <w:r>
        <w:rPr>
          <w:sz w:val="22"/>
          <w:szCs w:val="22"/>
        </w:rPr>
        <w:t>The residential care home as it exists today has roots stretching back nearly a thousand years, but its modern character owes most to the Poor Law system. Under the 1601 Act for the Relief of the Poor, each parish became responsible for housing those deemed the "impotent poor": people too old, ill or disabled to work. Many were placed in almshouses, while others ended up in the workhouses that developed over the following centuries. The 1834 Poor Law Amendment Act hardened this system further, abolishing ou</w:t>
      </w:r>
      <w:r>
        <w:rPr>
          <w:sz w:val="22"/>
          <w:szCs w:val="22"/>
        </w:rPr>
        <w:t>tdoor relief for many claimants and making the workhouse the primary route to support. Conditions were deliberately harsh, intended to deter all but the most desperate from seeking help.</w:t>
      </w:r>
    </w:p>
    <w:p w:rsidR="0014546A" w:rsidRDefault="00AA498E" w14:paraId="2016C862" w14:textId="77777777">
      <w:pPr>
        <w:spacing w:after="160" w:line="360" w:lineRule="auto"/>
        <w:jc w:val="both"/>
      </w:pPr>
      <w:r>
        <w:rPr>
          <w:sz w:val="22"/>
          <w:szCs w:val="22"/>
        </w:rPr>
        <w:t>Although the 1948 National Assistance Act formally abolished the Poor Law and the workhouse, the institutional legacy did not disappear overnight. As late as 1960, over half of local authority accommodation for older people was still housed in former workhouse buildings, and some continued in a similar role into the 1980s. It took a landmark 1962 study to expose the scale of the problem: it documented stark inequalities between privately funded and publicly funded homes and found that workhouse attitudes, i</w:t>
      </w:r>
      <w:r>
        <w:rPr>
          <w:sz w:val="22"/>
          <w:szCs w:val="22"/>
        </w:rPr>
        <w:t>ncluding secrecy around resident deaths, persisted well after the buildings had been renamed. The reform this triggered brought basic standards such as single-occupancy rooms and central heating into common practice. The 1980s then saw a further shift, as government policy encouraged the growth of private, self-funded care homes, moving the sector away from near-total local authority provision towards the mixed economy of care that exists today.</w:t>
      </w:r>
    </w:p>
    <w:p w:rsidR="0014546A" w:rsidRDefault="00AA498E" w14:paraId="6A20D66E" w14:textId="77777777">
      <w:pPr>
        <w:pStyle w:val="Heading1"/>
        <w:spacing w:before="240" w:after="120"/>
      </w:pPr>
      <w:r>
        <w:rPr>
          <w:b/>
          <w:bCs/>
          <w:color w:val="222222"/>
        </w:rPr>
        <w:t>Current Functioning</w:t>
      </w:r>
    </w:p>
    <w:p w:rsidR="0014546A" w:rsidRDefault="00AA498E" w14:paraId="4B792618" w14:textId="77777777">
      <w:pPr>
        <w:spacing w:after="160" w:line="360" w:lineRule="auto"/>
        <w:jc w:val="both"/>
      </w:pPr>
      <w:r>
        <w:rPr>
          <w:sz w:val="22"/>
          <w:szCs w:val="22"/>
        </w:rPr>
        <w:t>Residential care homes in England are now regulated by the Care Quality Commission (CQC), which registers and inspects providers against standards covering safety, effectiveness, leadership and person-centred care. As of March 2025, the CQC regulated over 14,000 residential care homes, split between nursing and non-nursing settings, with average weekly fees running from around £1,300 for standard residential care up to £1,560 or more for specialist dementia or nursing support. Roughly half of residents fund</w:t>
      </w:r>
      <w:r>
        <w:rPr>
          <w:sz w:val="22"/>
          <w:szCs w:val="22"/>
        </w:rPr>
        <w:t xml:space="preserve"> their own care in full, while the remainder rely on local authority or NHS support, a split that has shaped ongoing debate about the fairness and sustainability of the system.</w:t>
      </w:r>
    </w:p>
    <w:p w:rsidR="0014546A" w:rsidRDefault="00AA498E" w14:paraId="7D0A2528" w14:textId="77777777">
      <w:pPr>
        <w:pStyle w:val="Heading1"/>
        <w:spacing w:before="240" w:after="120"/>
      </w:pPr>
      <w:r>
        <w:rPr>
          <w:b/>
          <w:bCs/>
          <w:color w:val="222222"/>
        </w:rPr>
        <w:t>Two Key Challenges</w:t>
      </w:r>
    </w:p>
    <w:p w:rsidR="0014546A" w:rsidRDefault="00AA498E" w14:paraId="3272B04A" w14:textId="77777777">
      <w:pPr>
        <w:spacing w:after="160" w:line="360" w:lineRule="auto"/>
        <w:jc w:val="both"/>
      </w:pPr>
      <w:r>
        <w:rPr>
          <w:sz w:val="22"/>
          <w:szCs w:val="22"/>
        </w:rPr>
        <w:t>The sector faces significant workforce pressure. Adult social care carries tens of thousands of vacancies nationally, alongside a turnover rate of around a quarter of the workforce each year, driven largely by pay that lags behind other sectors and heavy reliance on zero-hours contracts. Restrictions on international recruitment visas since 2024 have made this worse, removing a route that many providers had depended on to fill posts.</w:t>
      </w:r>
    </w:p>
    <w:p w:rsidR="0014546A" w:rsidRDefault="00AA498E" w14:paraId="257B69D1" w14:textId="77777777">
      <w:pPr>
        <w:spacing w:after="160" w:line="360" w:lineRule="auto"/>
        <w:jc w:val="both"/>
      </w:pPr>
      <w:r>
        <w:rPr>
          <w:sz w:val="22"/>
          <w:szCs w:val="22"/>
        </w:rPr>
        <w:t>Funding presents an equally serious challenge. Local authorities have struggled to raise fee rates in line with rising costs such as the National Living Wage, leaving many providers operating on very thin margins. This has contributed to home closures, particularly among smaller and older facilities unable to meet rising regulatory expectations, shrinking overall bed capacity even as demand from an ageing population continues to grow.</w:t>
      </w:r>
    </w:p>
    <w:p w:rsidR="0014546A" w:rsidRDefault="00AA498E" w14:paraId="07EF768C" w14:textId="77777777">
      <w:pPr>
        <w:pStyle w:val="Heading1"/>
        <w:spacing w:before="240" w:after="120"/>
      </w:pPr>
      <w:r>
        <w:rPr>
          <w:b/>
          <w:bCs/>
          <w:color w:val="222222"/>
        </w:rPr>
        <w:t>Significance to Quality of Life</w:t>
      </w:r>
    </w:p>
    <w:p w:rsidR="0014546A" w:rsidRDefault="00AA498E" w14:paraId="111219E8" w14:textId="77777777">
      <w:pPr>
        <w:spacing w:after="160" w:line="360" w:lineRule="auto"/>
        <w:jc w:val="both"/>
      </w:pPr>
      <w:r>
        <w:rPr>
          <w:sz w:val="22"/>
          <w:szCs w:val="22"/>
        </w:rPr>
        <w:t>Despite these pressures, residential care homes remain central to the quality of life of many older and disabled people. They provide not only personal care and clinical oversight but also social contact, structure and a sense of safety that can be difficult to sustain living alone. Person-centred approaches, now a measurable expectation under CQC inspection, aim to preserve residents' dignity, choice and identity rather than treating care as a purely custodial function, a philosophy that stands in direct c</w:t>
      </w:r>
      <w:r>
        <w:rPr>
          <w:sz w:val="22"/>
          <w:szCs w:val="22"/>
        </w:rPr>
        <w:t>ontrast to the institutional origins the sector emerged from.</w:t>
      </w:r>
    </w:p>
    <w:p w:rsidR="0014546A" w:rsidRDefault="00AA498E" w14:paraId="071E4E01" w14:textId="77777777">
      <w:pPr>
        <w:pStyle w:val="Heading1"/>
        <w:spacing w:before="240" w:after="120"/>
      </w:pPr>
      <w:r>
        <w:rPr>
          <w:b/>
          <w:bCs/>
          <w:color w:val="222222"/>
        </w:rPr>
        <w:t>References</w:t>
      </w:r>
    </w:p>
    <w:p w:rsidR="0014546A" w:rsidRDefault="00AA498E" w14:paraId="6E708493" w14:textId="77777777">
      <w:pPr>
        <w:spacing w:after="120"/>
        <w:ind w:left="720" w:hanging="720"/>
      </w:pPr>
      <w:r>
        <w:t>British Geriatrics Society (2015) The Elderly and the Workhouse. Available at: https://www.bgs.org.uk/resources/the-elderly-and-the-workhouse</w:t>
      </w:r>
    </w:p>
    <w:p w:rsidR="0014546A" w:rsidRDefault="00AA498E" w14:paraId="3B1C166F" w14:textId="77777777">
      <w:pPr>
        <w:spacing w:after="120"/>
        <w:ind w:left="720" w:hanging="720"/>
      </w:pPr>
      <w:r>
        <w:t>Care Quality Commission (2025) State of Care 2024/25. Available at: https://www.cqc.org.uk</w:t>
      </w:r>
    </w:p>
    <w:p w:rsidR="0014546A" w:rsidRDefault="00AA498E" w14:paraId="30D8EE47" w14:textId="77777777">
      <w:pPr>
        <w:spacing w:after="120"/>
        <w:ind w:left="720" w:hanging="720"/>
      </w:pPr>
      <w:r>
        <w:t>carehome.co.uk (2025) A History of Care Homes. Available at: https://www.carehome.co.uk/advice/a-history-of-care-homes</w:t>
      </w:r>
    </w:p>
    <w:p w:rsidR="0014546A" w:rsidRDefault="00AA498E" w14:paraId="68D44516" w14:textId="77777777">
      <w:pPr>
        <w:spacing w:after="120"/>
        <w:ind w:left="720" w:hanging="720"/>
      </w:pPr>
      <w:r>
        <w:t>everyLIFE Technologies (2026) Social Care Statistics 2026. Available at: https://www.everylifetechnologies.com/content-hub/social-care-statistics/</w:t>
      </w:r>
    </w:p>
    <w:p w:rsidR="0014546A" w:rsidRDefault="00AA498E" w14:paraId="7EBC4CAC" w14:textId="77777777">
      <w:pPr>
        <w:spacing w:after="120"/>
        <w:ind w:left="720" w:hanging="720"/>
      </w:pPr>
      <w:r>
        <w:t>GOV.UK (2025) Adult Social Care Workforce Survey: April 2025 Report. Available at: https://www.gov.uk/government/statistics/adult-social-care-workforce-survey-april-2025</w:t>
      </w:r>
    </w:p>
    <w:sectPr w:rsidR="0014546A">
      <w:pgSz w:w="11906" w:h="16838" w:orient="portrait"/>
      <w:pgMar w:top="1000" w:right="1200" w:bottom="1000" w:left="120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271C6"/>
    <w:multiLevelType w:val="hybridMultilevel"/>
    <w:tmpl w:val="FFFFFFFF"/>
    <w:lvl w:ilvl="0" w:tplc="1430BEC0">
      <w:start w:val="1"/>
      <w:numFmt w:val="bullet"/>
      <w:lvlText w:val="•"/>
      <w:lvlJc w:val="left"/>
      <w:pPr>
        <w:ind w:left="260" w:hanging="160"/>
      </w:pPr>
    </w:lvl>
    <w:lvl w:ilvl="1" w:tplc="85A201CE">
      <w:numFmt w:val="decimal"/>
      <w:lvlText w:val=""/>
      <w:lvlJc w:val="left"/>
    </w:lvl>
    <w:lvl w:ilvl="2" w:tplc="83C46834">
      <w:numFmt w:val="decimal"/>
      <w:lvlText w:val=""/>
      <w:lvlJc w:val="left"/>
    </w:lvl>
    <w:lvl w:ilvl="3" w:tplc="22AEB16C">
      <w:numFmt w:val="decimal"/>
      <w:lvlText w:val=""/>
      <w:lvlJc w:val="left"/>
    </w:lvl>
    <w:lvl w:ilvl="4" w:tplc="0832BBA0">
      <w:numFmt w:val="decimal"/>
      <w:lvlText w:val=""/>
      <w:lvlJc w:val="left"/>
    </w:lvl>
    <w:lvl w:ilvl="5" w:tplc="7CBA6D90">
      <w:numFmt w:val="decimal"/>
      <w:lvlText w:val=""/>
      <w:lvlJc w:val="left"/>
    </w:lvl>
    <w:lvl w:ilvl="6" w:tplc="ABCE83C8">
      <w:numFmt w:val="decimal"/>
      <w:lvlText w:val=""/>
      <w:lvlJc w:val="left"/>
    </w:lvl>
    <w:lvl w:ilvl="7" w:tplc="25326BC0">
      <w:numFmt w:val="decimal"/>
      <w:lvlText w:val=""/>
      <w:lvlJc w:val="left"/>
    </w:lvl>
    <w:lvl w:ilvl="8" w:tplc="02A01D1E">
      <w:numFmt w:val="decimal"/>
      <w:lvlText w:val=""/>
      <w:lvlJc w:val="left"/>
    </w:lvl>
  </w:abstractNum>
  <w:abstractNum w:abstractNumId="1" w15:restartNumberingAfterBreak="0">
    <w:nsid w:val="7C690A5A"/>
    <w:multiLevelType w:val="hybridMultilevel"/>
    <w:tmpl w:val="FFFFFFFF"/>
    <w:lvl w:ilvl="0" w:tplc="9BEC489A">
      <w:start w:val="1"/>
      <w:numFmt w:val="bullet"/>
      <w:lvlText w:val="●"/>
      <w:lvlJc w:val="left"/>
      <w:pPr>
        <w:ind w:left="720" w:hanging="360"/>
      </w:pPr>
    </w:lvl>
    <w:lvl w:ilvl="1" w:tplc="AF3E8A3C">
      <w:start w:val="1"/>
      <w:numFmt w:val="bullet"/>
      <w:lvlText w:val="○"/>
      <w:lvlJc w:val="left"/>
      <w:pPr>
        <w:ind w:left="1440" w:hanging="360"/>
      </w:pPr>
    </w:lvl>
    <w:lvl w:ilvl="2" w:tplc="C6ECC5AE">
      <w:start w:val="1"/>
      <w:numFmt w:val="bullet"/>
      <w:lvlText w:val="■"/>
      <w:lvlJc w:val="left"/>
      <w:pPr>
        <w:ind w:left="2160" w:hanging="360"/>
      </w:pPr>
    </w:lvl>
    <w:lvl w:ilvl="3" w:tplc="2FA664D8">
      <w:start w:val="1"/>
      <w:numFmt w:val="bullet"/>
      <w:lvlText w:val="●"/>
      <w:lvlJc w:val="left"/>
      <w:pPr>
        <w:ind w:left="2880" w:hanging="360"/>
      </w:pPr>
    </w:lvl>
    <w:lvl w:ilvl="4" w:tplc="33AA7DE8">
      <w:start w:val="1"/>
      <w:numFmt w:val="bullet"/>
      <w:lvlText w:val="○"/>
      <w:lvlJc w:val="left"/>
      <w:pPr>
        <w:ind w:left="3600" w:hanging="360"/>
      </w:pPr>
    </w:lvl>
    <w:lvl w:ilvl="5" w:tplc="C316C33A">
      <w:start w:val="1"/>
      <w:numFmt w:val="bullet"/>
      <w:lvlText w:val="■"/>
      <w:lvlJc w:val="left"/>
      <w:pPr>
        <w:ind w:left="4320" w:hanging="360"/>
      </w:pPr>
    </w:lvl>
    <w:lvl w:ilvl="6" w:tplc="0D663CB2">
      <w:start w:val="1"/>
      <w:numFmt w:val="bullet"/>
      <w:lvlText w:val="●"/>
      <w:lvlJc w:val="left"/>
      <w:pPr>
        <w:ind w:left="5040" w:hanging="360"/>
      </w:pPr>
    </w:lvl>
    <w:lvl w:ilvl="7" w:tplc="0A3AA618">
      <w:start w:val="1"/>
      <w:numFmt w:val="bullet"/>
      <w:lvlText w:val="●"/>
      <w:lvlJc w:val="left"/>
      <w:pPr>
        <w:ind w:left="5760" w:hanging="360"/>
      </w:pPr>
    </w:lvl>
    <w:lvl w:ilvl="8" w:tplc="8EBE81C2">
      <w:start w:val="1"/>
      <w:numFmt w:val="bullet"/>
      <w:lvlText w:val="●"/>
      <w:lvlJc w:val="left"/>
      <w:pPr>
        <w:ind w:left="6480" w:hanging="360"/>
      </w:pPr>
    </w:lvl>
  </w:abstractNum>
  <w:num w:numId="1" w16cid:durableId="640116430">
    <w:abstractNumId w:val="1"/>
    <w:lvlOverride w:ilvl="0">
      <w:startOverride w:val="1"/>
    </w:lvlOverride>
  </w:num>
  <w:num w:numId="2" w16cid:durableId="74661263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546A"/>
    <w:rsid w:val="0014546A"/>
    <w:rsid w:val="004B4D0F"/>
    <w:rsid w:val="00AA498E"/>
    <w:rsid w:val="05AE7CA6"/>
    <w:rsid w:val="0C4A6EDB"/>
    <w:rsid w:val="47C010F2"/>
    <w:rsid w:val="4D56EC8F"/>
    <w:rsid w:val="6D10C8F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2E09DF3"/>
  <w15:docId w15:val="{980F8D54-DB19-4CC1-A44A-DD9064872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styleId="EndnoteTextChar" w:customStyle="1">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Danielle Dolan (2507563)</lastModifiedBy>
  <revision>2</revision>
  <dcterms:created xsi:type="dcterms:W3CDTF">2026-07-29T20:17:00.0000000Z</dcterms:created>
  <dcterms:modified xsi:type="dcterms:W3CDTF">2026-07-29T20:18:53.0618715Z</dcterms:modified>
</coreProperties>
</file>