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558C8" w14:textId="77777777" w:rsidR="00170BB1" w:rsidRPr="008A6414" w:rsidRDefault="00170BB1" w:rsidP="00E672F9">
      <w:pPr>
        <w:spacing w:line="360" w:lineRule="auto"/>
        <w:jc w:val="center"/>
        <w:rPr>
          <w:rFonts w:ascii="Times New Roman" w:eastAsia="Times New Roman" w:hAnsi="Times New Roman" w:cs="Times New Roman"/>
          <w:b/>
          <w:sz w:val="32"/>
          <w:szCs w:val="32"/>
          <w:lang w:val="en-GB"/>
        </w:rPr>
      </w:pPr>
    </w:p>
    <w:p w14:paraId="05BBA556" w14:textId="77777777" w:rsidR="00170BB1" w:rsidRPr="008A6414" w:rsidRDefault="00170BB1" w:rsidP="00E672F9">
      <w:pPr>
        <w:spacing w:line="360" w:lineRule="auto"/>
        <w:jc w:val="center"/>
        <w:rPr>
          <w:rFonts w:ascii="Times New Roman" w:eastAsia="Times New Roman" w:hAnsi="Times New Roman" w:cs="Times New Roman"/>
          <w:b/>
          <w:sz w:val="32"/>
          <w:szCs w:val="32"/>
          <w:lang w:val="en-GB"/>
        </w:rPr>
      </w:pPr>
    </w:p>
    <w:p w14:paraId="0AC27BF5" w14:textId="77777777" w:rsidR="00170BB1" w:rsidRPr="008A6414" w:rsidRDefault="00170BB1" w:rsidP="00E672F9">
      <w:pPr>
        <w:spacing w:line="360" w:lineRule="auto"/>
        <w:jc w:val="center"/>
        <w:rPr>
          <w:rFonts w:ascii="Times New Roman" w:eastAsia="Times New Roman" w:hAnsi="Times New Roman" w:cs="Times New Roman"/>
          <w:b/>
          <w:sz w:val="32"/>
          <w:szCs w:val="32"/>
          <w:lang w:val="en-GB"/>
        </w:rPr>
      </w:pPr>
    </w:p>
    <w:p w14:paraId="621A23D1" w14:textId="77777777" w:rsidR="00170BB1" w:rsidRPr="008A6414" w:rsidRDefault="00170BB1" w:rsidP="00E672F9">
      <w:pPr>
        <w:spacing w:line="360" w:lineRule="auto"/>
        <w:jc w:val="center"/>
        <w:rPr>
          <w:rFonts w:ascii="Times New Roman" w:eastAsia="Times New Roman" w:hAnsi="Times New Roman" w:cs="Times New Roman"/>
          <w:b/>
          <w:sz w:val="32"/>
          <w:szCs w:val="32"/>
          <w:lang w:val="en-GB"/>
        </w:rPr>
      </w:pPr>
    </w:p>
    <w:p w14:paraId="1FDD0383" w14:textId="77777777" w:rsidR="00170BB1" w:rsidRPr="008A6414" w:rsidRDefault="00170BB1" w:rsidP="00E672F9">
      <w:pPr>
        <w:spacing w:line="360" w:lineRule="auto"/>
        <w:jc w:val="center"/>
        <w:rPr>
          <w:rFonts w:ascii="Times New Roman" w:eastAsia="Times New Roman" w:hAnsi="Times New Roman" w:cs="Times New Roman"/>
          <w:b/>
          <w:sz w:val="32"/>
          <w:szCs w:val="32"/>
          <w:lang w:val="en-GB"/>
        </w:rPr>
      </w:pPr>
    </w:p>
    <w:p w14:paraId="7CDC725B" w14:textId="77777777" w:rsidR="00170BB1" w:rsidRPr="008A6414" w:rsidRDefault="00170BB1" w:rsidP="00E672F9">
      <w:pPr>
        <w:spacing w:line="360" w:lineRule="auto"/>
        <w:jc w:val="center"/>
        <w:rPr>
          <w:rFonts w:ascii="Times New Roman" w:eastAsia="Times New Roman" w:hAnsi="Times New Roman" w:cs="Times New Roman"/>
          <w:b/>
          <w:sz w:val="32"/>
          <w:szCs w:val="32"/>
          <w:lang w:val="en-GB"/>
        </w:rPr>
      </w:pPr>
    </w:p>
    <w:p w14:paraId="301C0EFC" w14:textId="77777777" w:rsidR="00170BB1" w:rsidRPr="008A6414" w:rsidRDefault="00170BB1" w:rsidP="00E672F9">
      <w:pPr>
        <w:spacing w:line="360" w:lineRule="auto"/>
        <w:jc w:val="center"/>
        <w:rPr>
          <w:rFonts w:ascii="Times New Roman" w:eastAsia="Times New Roman" w:hAnsi="Times New Roman" w:cs="Times New Roman"/>
          <w:b/>
          <w:sz w:val="32"/>
          <w:szCs w:val="32"/>
          <w:lang w:val="en-GB"/>
        </w:rPr>
      </w:pPr>
    </w:p>
    <w:p w14:paraId="3F77B230" w14:textId="77777777" w:rsidR="00170BB1" w:rsidRPr="008A6414" w:rsidRDefault="00170BB1" w:rsidP="00E672F9">
      <w:pPr>
        <w:spacing w:line="360" w:lineRule="auto"/>
        <w:jc w:val="center"/>
        <w:rPr>
          <w:rFonts w:ascii="Times New Roman" w:eastAsia="Times New Roman" w:hAnsi="Times New Roman" w:cs="Times New Roman"/>
          <w:b/>
          <w:sz w:val="32"/>
          <w:szCs w:val="32"/>
          <w:lang w:val="en-GB"/>
        </w:rPr>
      </w:pPr>
    </w:p>
    <w:p w14:paraId="6DFBB0B4" w14:textId="77777777" w:rsidR="00A415CD" w:rsidRDefault="00A415CD" w:rsidP="002B0CA4">
      <w:pPr>
        <w:spacing w:line="360" w:lineRule="auto"/>
        <w:rPr>
          <w:rFonts w:ascii="Times New Roman" w:eastAsia="Times New Roman" w:hAnsi="Times New Roman" w:cs="Times New Roman"/>
          <w:b/>
          <w:sz w:val="32"/>
          <w:szCs w:val="32"/>
          <w:lang w:val="en-GB"/>
        </w:rPr>
      </w:pPr>
    </w:p>
    <w:p w14:paraId="6BB6DE5A" w14:textId="77777777" w:rsidR="00A415CD" w:rsidRDefault="00A415CD" w:rsidP="00E672F9">
      <w:pPr>
        <w:spacing w:line="360" w:lineRule="auto"/>
        <w:jc w:val="center"/>
        <w:rPr>
          <w:rFonts w:ascii="Times New Roman" w:eastAsia="Times New Roman" w:hAnsi="Times New Roman" w:cs="Times New Roman"/>
          <w:b/>
          <w:sz w:val="32"/>
          <w:szCs w:val="32"/>
          <w:lang w:val="en-GB"/>
        </w:rPr>
      </w:pPr>
    </w:p>
    <w:p w14:paraId="617D115D" w14:textId="77777777" w:rsidR="00A415CD" w:rsidRDefault="00A415CD" w:rsidP="00E672F9">
      <w:pPr>
        <w:spacing w:line="360" w:lineRule="auto"/>
        <w:jc w:val="center"/>
        <w:rPr>
          <w:rFonts w:ascii="Times New Roman" w:eastAsia="Times New Roman" w:hAnsi="Times New Roman" w:cs="Times New Roman"/>
          <w:b/>
          <w:sz w:val="32"/>
          <w:szCs w:val="32"/>
          <w:lang w:val="en-GB"/>
        </w:rPr>
      </w:pPr>
    </w:p>
    <w:p w14:paraId="16100191" w14:textId="77777777" w:rsidR="008D5B62" w:rsidRDefault="000D496B" w:rsidP="00E672F9">
      <w:pPr>
        <w:spacing w:line="360" w:lineRule="auto"/>
        <w:jc w:val="center"/>
        <w:rPr>
          <w:rFonts w:ascii="Times New Roman" w:eastAsia="Times New Roman" w:hAnsi="Times New Roman" w:cs="Times New Roman"/>
          <w:b/>
          <w:sz w:val="32"/>
          <w:szCs w:val="32"/>
          <w:lang w:val="en-GB"/>
        </w:rPr>
      </w:pPr>
      <w:r w:rsidRPr="000D496B">
        <w:rPr>
          <w:rFonts w:ascii="Times New Roman" w:eastAsia="Times New Roman" w:hAnsi="Times New Roman" w:cs="Times New Roman"/>
          <w:b/>
          <w:sz w:val="32"/>
          <w:szCs w:val="32"/>
          <w:lang w:val="en-GB"/>
        </w:rPr>
        <w:t>INTERNATIONAL FINANCIAL MANAGEMENT</w:t>
      </w:r>
    </w:p>
    <w:p w14:paraId="5FCC604D" w14:textId="382CE836" w:rsidR="00FE1C3B" w:rsidRDefault="00FE1C3B" w:rsidP="00E672F9">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Patricia Constandache</w:t>
      </w:r>
    </w:p>
    <w:p w14:paraId="6472388F" w14:textId="21F33F33" w:rsidR="00FE1C3B" w:rsidRDefault="00FE1C3B" w:rsidP="00E672F9">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Id student 2020640</w:t>
      </w:r>
    </w:p>
    <w:p w14:paraId="3958D4FD" w14:textId="076E9051" w:rsidR="00FE1C3B" w:rsidRDefault="00FE1C3B" w:rsidP="00E672F9">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Assignment 1</w:t>
      </w:r>
    </w:p>
    <w:p w14:paraId="7F18D6E9" w14:textId="77777777" w:rsidR="009D28DC" w:rsidRPr="008A6414" w:rsidRDefault="008D5B62" w:rsidP="008D5B62">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sdt>
      <w:sdtPr>
        <w:rPr>
          <w:rFonts w:ascii="Arial" w:eastAsia="Arial" w:hAnsi="Arial" w:cs="Arial"/>
          <w:b w:val="0"/>
          <w:bCs w:val="0"/>
          <w:color w:val="000000" w:themeColor="text1"/>
          <w:sz w:val="22"/>
          <w:szCs w:val="22"/>
        </w:rPr>
        <w:id w:val="545537813"/>
        <w:docPartObj>
          <w:docPartGallery w:val="Table of Contents"/>
          <w:docPartUnique/>
        </w:docPartObj>
      </w:sdtPr>
      <w:sdtEndPr>
        <w:rPr>
          <w:color w:val="auto"/>
        </w:rPr>
      </w:sdtEndPr>
      <w:sdtContent>
        <w:p w14:paraId="76F9B488" w14:textId="77777777" w:rsidR="00157C0E" w:rsidRPr="00476307" w:rsidRDefault="00157C0E" w:rsidP="00157C0E">
          <w:pPr>
            <w:pStyle w:val="TOCHeading"/>
            <w:spacing w:line="360" w:lineRule="auto"/>
            <w:jc w:val="center"/>
            <w:rPr>
              <w:rFonts w:ascii="Times New Roman" w:hAnsi="Times New Roman" w:cs="Times New Roman"/>
              <w:color w:val="000000" w:themeColor="text1"/>
            </w:rPr>
          </w:pPr>
          <w:r w:rsidRPr="00476307">
            <w:rPr>
              <w:rFonts w:ascii="Times New Roman" w:hAnsi="Times New Roman" w:cs="Times New Roman"/>
              <w:color w:val="000000" w:themeColor="text1"/>
            </w:rPr>
            <w:t>Table of Contents</w:t>
          </w:r>
        </w:p>
        <w:p w14:paraId="648FCA67" w14:textId="77777777" w:rsidR="00491026" w:rsidRPr="00491026" w:rsidRDefault="004445D4" w:rsidP="00491026">
          <w:pPr>
            <w:pStyle w:val="TOC1"/>
            <w:tabs>
              <w:tab w:val="right" w:leader="dot" w:pos="9350"/>
            </w:tabs>
            <w:spacing w:after="0" w:line="360" w:lineRule="auto"/>
            <w:jc w:val="both"/>
            <w:rPr>
              <w:rFonts w:ascii="Times New Roman" w:eastAsiaTheme="minorEastAsia" w:hAnsi="Times New Roman" w:cs="Times New Roman"/>
              <w:noProof/>
              <w:sz w:val="24"/>
              <w:lang w:val="en-IN" w:eastAsia="en-IN"/>
            </w:rPr>
          </w:pPr>
          <w:r w:rsidRPr="008A6414">
            <w:rPr>
              <w:rFonts w:ascii="Times New Roman" w:hAnsi="Times New Roman" w:cs="Times New Roman"/>
              <w:sz w:val="24"/>
              <w:szCs w:val="24"/>
            </w:rPr>
            <w:fldChar w:fldCharType="begin"/>
          </w:r>
          <w:r w:rsidR="00157C0E" w:rsidRPr="008A6414">
            <w:rPr>
              <w:rFonts w:ascii="Times New Roman" w:hAnsi="Times New Roman" w:cs="Times New Roman"/>
              <w:sz w:val="24"/>
              <w:szCs w:val="24"/>
            </w:rPr>
            <w:instrText xml:space="preserve"> TOC \o "1-3" \h \z \u </w:instrText>
          </w:r>
          <w:r w:rsidRPr="008A6414">
            <w:rPr>
              <w:rFonts w:ascii="Times New Roman" w:hAnsi="Times New Roman" w:cs="Times New Roman"/>
              <w:sz w:val="24"/>
              <w:szCs w:val="24"/>
            </w:rPr>
            <w:fldChar w:fldCharType="separate"/>
          </w:r>
          <w:hyperlink w:anchor="_Toc133852313" w:history="1">
            <w:r w:rsidR="00491026" w:rsidRPr="00491026">
              <w:rPr>
                <w:rStyle w:val="Hyperlink"/>
                <w:rFonts w:ascii="Times New Roman" w:hAnsi="Times New Roman" w:cs="Times New Roman"/>
                <w:noProof/>
                <w:color w:val="auto"/>
                <w:sz w:val="24"/>
              </w:rPr>
              <w:t>Introduction</w:t>
            </w:r>
            <w:r w:rsidR="00491026" w:rsidRPr="00491026">
              <w:rPr>
                <w:rFonts w:ascii="Times New Roman" w:hAnsi="Times New Roman" w:cs="Times New Roman"/>
                <w:noProof/>
                <w:webHidden/>
                <w:sz w:val="24"/>
              </w:rPr>
              <w:tab/>
            </w:r>
            <w:r w:rsidR="00491026" w:rsidRPr="00491026">
              <w:rPr>
                <w:rFonts w:ascii="Times New Roman" w:hAnsi="Times New Roman" w:cs="Times New Roman"/>
                <w:noProof/>
                <w:webHidden/>
                <w:sz w:val="24"/>
              </w:rPr>
              <w:fldChar w:fldCharType="begin"/>
            </w:r>
            <w:r w:rsidR="00491026" w:rsidRPr="00491026">
              <w:rPr>
                <w:rFonts w:ascii="Times New Roman" w:hAnsi="Times New Roman" w:cs="Times New Roman"/>
                <w:noProof/>
                <w:webHidden/>
                <w:sz w:val="24"/>
              </w:rPr>
              <w:instrText xml:space="preserve"> PAGEREF _Toc133852313 \h </w:instrText>
            </w:r>
            <w:r w:rsidR="00491026" w:rsidRPr="00491026">
              <w:rPr>
                <w:rFonts w:ascii="Times New Roman" w:hAnsi="Times New Roman" w:cs="Times New Roman"/>
                <w:noProof/>
                <w:webHidden/>
                <w:sz w:val="24"/>
              </w:rPr>
            </w:r>
            <w:r w:rsidR="00491026" w:rsidRPr="00491026">
              <w:rPr>
                <w:rFonts w:ascii="Times New Roman" w:hAnsi="Times New Roman" w:cs="Times New Roman"/>
                <w:noProof/>
                <w:webHidden/>
                <w:sz w:val="24"/>
              </w:rPr>
              <w:fldChar w:fldCharType="separate"/>
            </w:r>
            <w:r w:rsidR="00491026" w:rsidRPr="00491026">
              <w:rPr>
                <w:rFonts w:ascii="Times New Roman" w:hAnsi="Times New Roman" w:cs="Times New Roman"/>
                <w:noProof/>
                <w:webHidden/>
                <w:sz w:val="24"/>
              </w:rPr>
              <w:t>3</w:t>
            </w:r>
            <w:r w:rsidR="00491026" w:rsidRPr="00491026">
              <w:rPr>
                <w:rFonts w:ascii="Times New Roman" w:hAnsi="Times New Roman" w:cs="Times New Roman"/>
                <w:noProof/>
                <w:webHidden/>
                <w:sz w:val="24"/>
              </w:rPr>
              <w:fldChar w:fldCharType="end"/>
            </w:r>
          </w:hyperlink>
        </w:p>
        <w:p w14:paraId="7B54BB23" w14:textId="77777777" w:rsidR="00491026" w:rsidRPr="00491026" w:rsidRDefault="00000000" w:rsidP="00491026">
          <w:pPr>
            <w:pStyle w:val="TOC2"/>
            <w:tabs>
              <w:tab w:val="right" w:leader="dot" w:pos="9350"/>
            </w:tabs>
            <w:spacing w:after="0" w:line="360" w:lineRule="auto"/>
            <w:jc w:val="both"/>
            <w:rPr>
              <w:rFonts w:ascii="Times New Roman" w:eastAsiaTheme="minorEastAsia" w:hAnsi="Times New Roman" w:cs="Times New Roman"/>
              <w:noProof/>
              <w:sz w:val="24"/>
              <w:lang w:val="en-IN" w:eastAsia="en-IN"/>
            </w:rPr>
          </w:pPr>
          <w:hyperlink w:anchor="_Toc133852314" w:history="1">
            <w:r w:rsidR="00491026" w:rsidRPr="00491026">
              <w:rPr>
                <w:rStyle w:val="Hyperlink"/>
                <w:rFonts w:ascii="Times New Roman" w:hAnsi="Times New Roman" w:cs="Times New Roman"/>
                <w:noProof/>
                <w:color w:val="auto"/>
                <w:sz w:val="24"/>
              </w:rPr>
              <w:t>Critical evaluation of dividend distribution policy in IFM</w:t>
            </w:r>
            <w:r w:rsidR="00491026" w:rsidRPr="00491026">
              <w:rPr>
                <w:rFonts w:ascii="Times New Roman" w:hAnsi="Times New Roman" w:cs="Times New Roman"/>
                <w:noProof/>
                <w:webHidden/>
                <w:sz w:val="24"/>
              </w:rPr>
              <w:tab/>
            </w:r>
            <w:r w:rsidR="00491026" w:rsidRPr="00491026">
              <w:rPr>
                <w:rFonts w:ascii="Times New Roman" w:hAnsi="Times New Roman" w:cs="Times New Roman"/>
                <w:noProof/>
                <w:webHidden/>
                <w:sz w:val="24"/>
              </w:rPr>
              <w:fldChar w:fldCharType="begin"/>
            </w:r>
            <w:r w:rsidR="00491026" w:rsidRPr="00491026">
              <w:rPr>
                <w:rFonts w:ascii="Times New Roman" w:hAnsi="Times New Roman" w:cs="Times New Roman"/>
                <w:noProof/>
                <w:webHidden/>
                <w:sz w:val="24"/>
              </w:rPr>
              <w:instrText xml:space="preserve"> PAGEREF _Toc133852314 \h </w:instrText>
            </w:r>
            <w:r w:rsidR="00491026" w:rsidRPr="00491026">
              <w:rPr>
                <w:rFonts w:ascii="Times New Roman" w:hAnsi="Times New Roman" w:cs="Times New Roman"/>
                <w:noProof/>
                <w:webHidden/>
                <w:sz w:val="24"/>
              </w:rPr>
            </w:r>
            <w:r w:rsidR="00491026" w:rsidRPr="00491026">
              <w:rPr>
                <w:rFonts w:ascii="Times New Roman" w:hAnsi="Times New Roman" w:cs="Times New Roman"/>
                <w:noProof/>
                <w:webHidden/>
                <w:sz w:val="24"/>
              </w:rPr>
              <w:fldChar w:fldCharType="separate"/>
            </w:r>
            <w:r w:rsidR="00491026" w:rsidRPr="00491026">
              <w:rPr>
                <w:rFonts w:ascii="Times New Roman" w:hAnsi="Times New Roman" w:cs="Times New Roman"/>
                <w:noProof/>
                <w:webHidden/>
                <w:sz w:val="24"/>
              </w:rPr>
              <w:t>3</w:t>
            </w:r>
            <w:r w:rsidR="00491026" w:rsidRPr="00491026">
              <w:rPr>
                <w:rFonts w:ascii="Times New Roman" w:hAnsi="Times New Roman" w:cs="Times New Roman"/>
                <w:noProof/>
                <w:webHidden/>
                <w:sz w:val="24"/>
              </w:rPr>
              <w:fldChar w:fldCharType="end"/>
            </w:r>
          </w:hyperlink>
        </w:p>
        <w:p w14:paraId="7C9C393A" w14:textId="77777777" w:rsidR="00491026" w:rsidRPr="00491026" w:rsidRDefault="00000000" w:rsidP="00491026">
          <w:pPr>
            <w:pStyle w:val="TOC2"/>
            <w:tabs>
              <w:tab w:val="right" w:leader="dot" w:pos="9350"/>
            </w:tabs>
            <w:spacing w:after="0" w:line="360" w:lineRule="auto"/>
            <w:jc w:val="both"/>
            <w:rPr>
              <w:rFonts w:ascii="Times New Roman" w:eastAsiaTheme="minorEastAsia" w:hAnsi="Times New Roman" w:cs="Times New Roman"/>
              <w:noProof/>
              <w:sz w:val="24"/>
              <w:lang w:val="en-IN" w:eastAsia="en-IN"/>
            </w:rPr>
          </w:pPr>
          <w:hyperlink w:anchor="_Toc133852315" w:history="1">
            <w:r w:rsidR="00491026" w:rsidRPr="00491026">
              <w:rPr>
                <w:rStyle w:val="Hyperlink"/>
                <w:rFonts w:ascii="Times New Roman" w:hAnsi="Times New Roman" w:cs="Times New Roman"/>
                <w:noProof/>
                <w:color w:val="auto"/>
                <w:sz w:val="24"/>
              </w:rPr>
              <w:t>Application of hypothesis theory in the Context of HSBC Holdings</w:t>
            </w:r>
            <w:r w:rsidR="00491026" w:rsidRPr="00491026">
              <w:rPr>
                <w:rFonts w:ascii="Times New Roman" w:hAnsi="Times New Roman" w:cs="Times New Roman"/>
                <w:noProof/>
                <w:webHidden/>
                <w:sz w:val="24"/>
              </w:rPr>
              <w:tab/>
            </w:r>
            <w:r w:rsidR="00491026" w:rsidRPr="00491026">
              <w:rPr>
                <w:rFonts w:ascii="Times New Roman" w:hAnsi="Times New Roman" w:cs="Times New Roman"/>
                <w:noProof/>
                <w:webHidden/>
                <w:sz w:val="24"/>
              </w:rPr>
              <w:fldChar w:fldCharType="begin"/>
            </w:r>
            <w:r w:rsidR="00491026" w:rsidRPr="00491026">
              <w:rPr>
                <w:rFonts w:ascii="Times New Roman" w:hAnsi="Times New Roman" w:cs="Times New Roman"/>
                <w:noProof/>
                <w:webHidden/>
                <w:sz w:val="24"/>
              </w:rPr>
              <w:instrText xml:space="preserve"> PAGEREF _Toc133852315 \h </w:instrText>
            </w:r>
            <w:r w:rsidR="00491026" w:rsidRPr="00491026">
              <w:rPr>
                <w:rFonts w:ascii="Times New Roman" w:hAnsi="Times New Roman" w:cs="Times New Roman"/>
                <w:noProof/>
                <w:webHidden/>
                <w:sz w:val="24"/>
              </w:rPr>
            </w:r>
            <w:r w:rsidR="00491026" w:rsidRPr="00491026">
              <w:rPr>
                <w:rFonts w:ascii="Times New Roman" w:hAnsi="Times New Roman" w:cs="Times New Roman"/>
                <w:noProof/>
                <w:webHidden/>
                <w:sz w:val="24"/>
              </w:rPr>
              <w:fldChar w:fldCharType="separate"/>
            </w:r>
            <w:r w:rsidR="00491026" w:rsidRPr="00491026">
              <w:rPr>
                <w:rFonts w:ascii="Times New Roman" w:hAnsi="Times New Roman" w:cs="Times New Roman"/>
                <w:noProof/>
                <w:webHidden/>
                <w:sz w:val="24"/>
              </w:rPr>
              <w:t>4</w:t>
            </w:r>
            <w:r w:rsidR="00491026" w:rsidRPr="00491026">
              <w:rPr>
                <w:rFonts w:ascii="Times New Roman" w:hAnsi="Times New Roman" w:cs="Times New Roman"/>
                <w:noProof/>
                <w:webHidden/>
                <w:sz w:val="24"/>
              </w:rPr>
              <w:fldChar w:fldCharType="end"/>
            </w:r>
          </w:hyperlink>
        </w:p>
        <w:p w14:paraId="104C6EAB" w14:textId="77777777" w:rsidR="00491026" w:rsidRPr="00491026" w:rsidRDefault="00000000" w:rsidP="00491026">
          <w:pPr>
            <w:pStyle w:val="TOC2"/>
            <w:tabs>
              <w:tab w:val="right" w:leader="dot" w:pos="9350"/>
            </w:tabs>
            <w:spacing w:after="0" w:line="360" w:lineRule="auto"/>
            <w:jc w:val="both"/>
            <w:rPr>
              <w:rFonts w:ascii="Times New Roman" w:eastAsiaTheme="minorEastAsia" w:hAnsi="Times New Roman" w:cs="Times New Roman"/>
              <w:noProof/>
              <w:sz w:val="24"/>
              <w:lang w:val="en-IN" w:eastAsia="en-IN"/>
            </w:rPr>
          </w:pPr>
          <w:hyperlink w:anchor="_Toc133852316" w:history="1">
            <w:r w:rsidR="00491026" w:rsidRPr="00491026">
              <w:rPr>
                <w:rStyle w:val="Hyperlink"/>
                <w:rFonts w:ascii="Times New Roman" w:hAnsi="Times New Roman" w:cs="Times New Roman"/>
                <w:noProof/>
                <w:color w:val="auto"/>
                <w:sz w:val="24"/>
              </w:rPr>
              <w:t>Critical analysis of the corporation’s methods of appraising projects for HSBC Holdings</w:t>
            </w:r>
            <w:r w:rsidR="00491026" w:rsidRPr="00491026">
              <w:rPr>
                <w:rFonts w:ascii="Times New Roman" w:hAnsi="Times New Roman" w:cs="Times New Roman"/>
                <w:noProof/>
                <w:webHidden/>
                <w:sz w:val="24"/>
              </w:rPr>
              <w:tab/>
            </w:r>
            <w:r w:rsidR="00491026" w:rsidRPr="00491026">
              <w:rPr>
                <w:rFonts w:ascii="Times New Roman" w:hAnsi="Times New Roman" w:cs="Times New Roman"/>
                <w:noProof/>
                <w:webHidden/>
                <w:sz w:val="24"/>
              </w:rPr>
              <w:fldChar w:fldCharType="begin"/>
            </w:r>
            <w:r w:rsidR="00491026" w:rsidRPr="00491026">
              <w:rPr>
                <w:rFonts w:ascii="Times New Roman" w:hAnsi="Times New Roman" w:cs="Times New Roman"/>
                <w:noProof/>
                <w:webHidden/>
                <w:sz w:val="24"/>
              </w:rPr>
              <w:instrText xml:space="preserve"> PAGEREF _Toc133852316 \h </w:instrText>
            </w:r>
            <w:r w:rsidR="00491026" w:rsidRPr="00491026">
              <w:rPr>
                <w:rFonts w:ascii="Times New Roman" w:hAnsi="Times New Roman" w:cs="Times New Roman"/>
                <w:noProof/>
                <w:webHidden/>
                <w:sz w:val="24"/>
              </w:rPr>
            </w:r>
            <w:r w:rsidR="00491026" w:rsidRPr="00491026">
              <w:rPr>
                <w:rFonts w:ascii="Times New Roman" w:hAnsi="Times New Roman" w:cs="Times New Roman"/>
                <w:noProof/>
                <w:webHidden/>
                <w:sz w:val="24"/>
              </w:rPr>
              <w:fldChar w:fldCharType="separate"/>
            </w:r>
            <w:r w:rsidR="00491026" w:rsidRPr="00491026">
              <w:rPr>
                <w:rFonts w:ascii="Times New Roman" w:hAnsi="Times New Roman" w:cs="Times New Roman"/>
                <w:noProof/>
                <w:webHidden/>
                <w:sz w:val="24"/>
              </w:rPr>
              <w:t>5</w:t>
            </w:r>
            <w:r w:rsidR="00491026" w:rsidRPr="00491026">
              <w:rPr>
                <w:rFonts w:ascii="Times New Roman" w:hAnsi="Times New Roman" w:cs="Times New Roman"/>
                <w:noProof/>
                <w:webHidden/>
                <w:sz w:val="24"/>
              </w:rPr>
              <w:fldChar w:fldCharType="end"/>
            </w:r>
          </w:hyperlink>
        </w:p>
        <w:p w14:paraId="5F3E4EB1" w14:textId="77777777" w:rsidR="00491026" w:rsidRPr="00491026" w:rsidRDefault="00000000" w:rsidP="00491026">
          <w:pPr>
            <w:pStyle w:val="TOC1"/>
            <w:tabs>
              <w:tab w:val="right" w:leader="dot" w:pos="9350"/>
            </w:tabs>
            <w:spacing w:after="0" w:line="360" w:lineRule="auto"/>
            <w:jc w:val="both"/>
            <w:rPr>
              <w:rFonts w:ascii="Times New Roman" w:eastAsiaTheme="minorEastAsia" w:hAnsi="Times New Roman" w:cs="Times New Roman"/>
              <w:noProof/>
              <w:sz w:val="24"/>
              <w:lang w:val="en-IN" w:eastAsia="en-IN"/>
            </w:rPr>
          </w:pPr>
          <w:hyperlink w:anchor="_Toc133852317" w:history="1">
            <w:r w:rsidR="00491026" w:rsidRPr="00491026">
              <w:rPr>
                <w:rStyle w:val="Hyperlink"/>
                <w:rFonts w:ascii="Times New Roman" w:hAnsi="Times New Roman" w:cs="Times New Roman"/>
                <w:noProof/>
                <w:color w:val="auto"/>
                <w:sz w:val="24"/>
              </w:rPr>
              <w:t>Conclusion</w:t>
            </w:r>
            <w:r w:rsidR="00491026" w:rsidRPr="00491026">
              <w:rPr>
                <w:rFonts w:ascii="Times New Roman" w:hAnsi="Times New Roman" w:cs="Times New Roman"/>
                <w:noProof/>
                <w:webHidden/>
                <w:sz w:val="24"/>
              </w:rPr>
              <w:tab/>
            </w:r>
            <w:r w:rsidR="00491026" w:rsidRPr="00491026">
              <w:rPr>
                <w:rFonts w:ascii="Times New Roman" w:hAnsi="Times New Roman" w:cs="Times New Roman"/>
                <w:noProof/>
                <w:webHidden/>
                <w:sz w:val="24"/>
              </w:rPr>
              <w:fldChar w:fldCharType="begin"/>
            </w:r>
            <w:r w:rsidR="00491026" w:rsidRPr="00491026">
              <w:rPr>
                <w:rFonts w:ascii="Times New Roman" w:hAnsi="Times New Roman" w:cs="Times New Roman"/>
                <w:noProof/>
                <w:webHidden/>
                <w:sz w:val="24"/>
              </w:rPr>
              <w:instrText xml:space="preserve"> PAGEREF _Toc133852317 \h </w:instrText>
            </w:r>
            <w:r w:rsidR="00491026" w:rsidRPr="00491026">
              <w:rPr>
                <w:rFonts w:ascii="Times New Roman" w:hAnsi="Times New Roman" w:cs="Times New Roman"/>
                <w:noProof/>
                <w:webHidden/>
                <w:sz w:val="24"/>
              </w:rPr>
            </w:r>
            <w:r w:rsidR="00491026" w:rsidRPr="00491026">
              <w:rPr>
                <w:rFonts w:ascii="Times New Roman" w:hAnsi="Times New Roman" w:cs="Times New Roman"/>
                <w:noProof/>
                <w:webHidden/>
                <w:sz w:val="24"/>
              </w:rPr>
              <w:fldChar w:fldCharType="separate"/>
            </w:r>
            <w:r w:rsidR="00491026" w:rsidRPr="00491026">
              <w:rPr>
                <w:rFonts w:ascii="Times New Roman" w:hAnsi="Times New Roman" w:cs="Times New Roman"/>
                <w:noProof/>
                <w:webHidden/>
                <w:sz w:val="24"/>
              </w:rPr>
              <w:t>7</w:t>
            </w:r>
            <w:r w:rsidR="00491026" w:rsidRPr="00491026">
              <w:rPr>
                <w:rFonts w:ascii="Times New Roman" w:hAnsi="Times New Roman" w:cs="Times New Roman"/>
                <w:noProof/>
                <w:webHidden/>
                <w:sz w:val="24"/>
              </w:rPr>
              <w:fldChar w:fldCharType="end"/>
            </w:r>
          </w:hyperlink>
        </w:p>
        <w:p w14:paraId="745DBB75" w14:textId="77777777" w:rsidR="00491026" w:rsidRPr="00491026" w:rsidRDefault="00000000" w:rsidP="00491026">
          <w:pPr>
            <w:pStyle w:val="TOC1"/>
            <w:tabs>
              <w:tab w:val="right" w:leader="dot" w:pos="9350"/>
            </w:tabs>
            <w:spacing w:after="0" w:line="360" w:lineRule="auto"/>
            <w:jc w:val="both"/>
            <w:rPr>
              <w:rFonts w:ascii="Times New Roman" w:eastAsiaTheme="minorEastAsia" w:hAnsi="Times New Roman" w:cs="Times New Roman"/>
              <w:noProof/>
              <w:sz w:val="24"/>
              <w:lang w:val="en-IN" w:eastAsia="en-IN"/>
            </w:rPr>
          </w:pPr>
          <w:hyperlink w:anchor="_Toc133852318" w:history="1">
            <w:r w:rsidR="00491026" w:rsidRPr="00491026">
              <w:rPr>
                <w:rStyle w:val="Hyperlink"/>
                <w:rFonts w:ascii="Times New Roman" w:hAnsi="Times New Roman" w:cs="Times New Roman"/>
                <w:noProof/>
                <w:color w:val="auto"/>
                <w:sz w:val="24"/>
                <w:lang w:val="en-GB"/>
              </w:rPr>
              <w:t>References</w:t>
            </w:r>
            <w:r w:rsidR="00491026" w:rsidRPr="00491026">
              <w:rPr>
                <w:rFonts w:ascii="Times New Roman" w:hAnsi="Times New Roman" w:cs="Times New Roman"/>
                <w:noProof/>
                <w:webHidden/>
                <w:sz w:val="24"/>
              </w:rPr>
              <w:tab/>
            </w:r>
            <w:r w:rsidR="00491026" w:rsidRPr="00491026">
              <w:rPr>
                <w:rFonts w:ascii="Times New Roman" w:hAnsi="Times New Roman" w:cs="Times New Roman"/>
                <w:noProof/>
                <w:webHidden/>
                <w:sz w:val="24"/>
              </w:rPr>
              <w:fldChar w:fldCharType="begin"/>
            </w:r>
            <w:r w:rsidR="00491026" w:rsidRPr="00491026">
              <w:rPr>
                <w:rFonts w:ascii="Times New Roman" w:hAnsi="Times New Roman" w:cs="Times New Roman"/>
                <w:noProof/>
                <w:webHidden/>
                <w:sz w:val="24"/>
              </w:rPr>
              <w:instrText xml:space="preserve"> PAGEREF _Toc133852318 \h </w:instrText>
            </w:r>
            <w:r w:rsidR="00491026" w:rsidRPr="00491026">
              <w:rPr>
                <w:rFonts w:ascii="Times New Roman" w:hAnsi="Times New Roman" w:cs="Times New Roman"/>
                <w:noProof/>
                <w:webHidden/>
                <w:sz w:val="24"/>
              </w:rPr>
            </w:r>
            <w:r w:rsidR="00491026" w:rsidRPr="00491026">
              <w:rPr>
                <w:rFonts w:ascii="Times New Roman" w:hAnsi="Times New Roman" w:cs="Times New Roman"/>
                <w:noProof/>
                <w:webHidden/>
                <w:sz w:val="24"/>
              </w:rPr>
              <w:fldChar w:fldCharType="separate"/>
            </w:r>
            <w:r w:rsidR="00491026" w:rsidRPr="00491026">
              <w:rPr>
                <w:rFonts w:ascii="Times New Roman" w:hAnsi="Times New Roman" w:cs="Times New Roman"/>
                <w:noProof/>
                <w:webHidden/>
                <w:sz w:val="24"/>
              </w:rPr>
              <w:t>8</w:t>
            </w:r>
            <w:r w:rsidR="00491026" w:rsidRPr="00491026">
              <w:rPr>
                <w:rFonts w:ascii="Times New Roman" w:hAnsi="Times New Roman" w:cs="Times New Roman"/>
                <w:noProof/>
                <w:webHidden/>
                <w:sz w:val="24"/>
              </w:rPr>
              <w:fldChar w:fldCharType="end"/>
            </w:r>
          </w:hyperlink>
        </w:p>
        <w:p w14:paraId="4AED6B91" w14:textId="77777777" w:rsidR="00491026" w:rsidRPr="00491026" w:rsidRDefault="00000000" w:rsidP="00491026">
          <w:pPr>
            <w:pStyle w:val="TOC1"/>
            <w:tabs>
              <w:tab w:val="right" w:leader="dot" w:pos="9350"/>
            </w:tabs>
            <w:spacing w:after="0" w:line="360" w:lineRule="auto"/>
            <w:jc w:val="both"/>
            <w:rPr>
              <w:rFonts w:ascii="Times New Roman" w:eastAsiaTheme="minorEastAsia" w:hAnsi="Times New Roman" w:cs="Times New Roman"/>
              <w:noProof/>
              <w:sz w:val="24"/>
              <w:lang w:val="en-IN" w:eastAsia="en-IN"/>
            </w:rPr>
          </w:pPr>
          <w:hyperlink w:anchor="_Toc133852319" w:history="1">
            <w:r w:rsidR="00491026" w:rsidRPr="00491026">
              <w:rPr>
                <w:rStyle w:val="Hyperlink"/>
                <w:rFonts w:ascii="Times New Roman" w:hAnsi="Times New Roman" w:cs="Times New Roman"/>
                <w:noProof/>
                <w:color w:val="auto"/>
                <w:sz w:val="24"/>
                <w:lang w:val="en-GB"/>
              </w:rPr>
              <w:t>Appendices</w:t>
            </w:r>
            <w:r w:rsidR="00491026" w:rsidRPr="00491026">
              <w:rPr>
                <w:rFonts w:ascii="Times New Roman" w:hAnsi="Times New Roman" w:cs="Times New Roman"/>
                <w:noProof/>
                <w:webHidden/>
                <w:sz w:val="24"/>
              </w:rPr>
              <w:tab/>
            </w:r>
            <w:r w:rsidR="00491026" w:rsidRPr="00491026">
              <w:rPr>
                <w:rFonts w:ascii="Times New Roman" w:hAnsi="Times New Roman" w:cs="Times New Roman"/>
                <w:noProof/>
                <w:webHidden/>
                <w:sz w:val="24"/>
              </w:rPr>
              <w:fldChar w:fldCharType="begin"/>
            </w:r>
            <w:r w:rsidR="00491026" w:rsidRPr="00491026">
              <w:rPr>
                <w:rFonts w:ascii="Times New Roman" w:hAnsi="Times New Roman" w:cs="Times New Roman"/>
                <w:noProof/>
                <w:webHidden/>
                <w:sz w:val="24"/>
              </w:rPr>
              <w:instrText xml:space="preserve"> PAGEREF _Toc133852319 \h </w:instrText>
            </w:r>
            <w:r w:rsidR="00491026" w:rsidRPr="00491026">
              <w:rPr>
                <w:rFonts w:ascii="Times New Roman" w:hAnsi="Times New Roman" w:cs="Times New Roman"/>
                <w:noProof/>
                <w:webHidden/>
                <w:sz w:val="24"/>
              </w:rPr>
            </w:r>
            <w:r w:rsidR="00491026" w:rsidRPr="00491026">
              <w:rPr>
                <w:rFonts w:ascii="Times New Roman" w:hAnsi="Times New Roman" w:cs="Times New Roman"/>
                <w:noProof/>
                <w:webHidden/>
                <w:sz w:val="24"/>
              </w:rPr>
              <w:fldChar w:fldCharType="separate"/>
            </w:r>
            <w:r w:rsidR="00491026" w:rsidRPr="00491026">
              <w:rPr>
                <w:rFonts w:ascii="Times New Roman" w:hAnsi="Times New Roman" w:cs="Times New Roman"/>
                <w:noProof/>
                <w:webHidden/>
                <w:sz w:val="24"/>
              </w:rPr>
              <w:t>10</w:t>
            </w:r>
            <w:r w:rsidR="00491026" w:rsidRPr="00491026">
              <w:rPr>
                <w:rFonts w:ascii="Times New Roman" w:hAnsi="Times New Roman" w:cs="Times New Roman"/>
                <w:noProof/>
                <w:webHidden/>
                <w:sz w:val="24"/>
              </w:rPr>
              <w:fldChar w:fldCharType="end"/>
            </w:r>
          </w:hyperlink>
        </w:p>
        <w:p w14:paraId="11448174" w14:textId="77777777" w:rsidR="00491026" w:rsidRPr="00491026" w:rsidRDefault="00000000" w:rsidP="00491026">
          <w:pPr>
            <w:pStyle w:val="TOC2"/>
            <w:tabs>
              <w:tab w:val="right" w:leader="dot" w:pos="9350"/>
            </w:tabs>
            <w:spacing w:after="0" w:line="360" w:lineRule="auto"/>
            <w:jc w:val="both"/>
            <w:rPr>
              <w:rFonts w:ascii="Times New Roman" w:eastAsiaTheme="minorEastAsia" w:hAnsi="Times New Roman" w:cs="Times New Roman"/>
              <w:noProof/>
              <w:sz w:val="24"/>
              <w:lang w:val="en-IN" w:eastAsia="en-IN"/>
            </w:rPr>
          </w:pPr>
          <w:hyperlink w:anchor="_Toc133852320" w:history="1">
            <w:r w:rsidR="00491026" w:rsidRPr="00491026">
              <w:rPr>
                <w:rStyle w:val="Hyperlink"/>
                <w:rFonts w:ascii="Times New Roman" w:hAnsi="Times New Roman" w:cs="Times New Roman"/>
                <w:noProof/>
                <w:color w:val="auto"/>
                <w:sz w:val="24"/>
                <w:lang w:val="en-GB"/>
              </w:rPr>
              <w:t>Appendix 1: Annual reported and adjusted revenue of HSBC Holding plc</w:t>
            </w:r>
            <w:r w:rsidR="00491026" w:rsidRPr="00491026">
              <w:rPr>
                <w:rFonts w:ascii="Times New Roman" w:hAnsi="Times New Roman" w:cs="Times New Roman"/>
                <w:noProof/>
                <w:webHidden/>
                <w:sz w:val="24"/>
              </w:rPr>
              <w:tab/>
            </w:r>
            <w:r w:rsidR="00491026" w:rsidRPr="00491026">
              <w:rPr>
                <w:rFonts w:ascii="Times New Roman" w:hAnsi="Times New Roman" w:cs="Times New Roman"/>
                <w:noProof/>
                <w:webHidden/>
                <w:sz w:val="24"/>
              </w:rPr>
              <w:fldChar w:fldCharType="begin"/>
            </w:r>
            <w:r w:rsidR="00491026" w:rsidRPr="00491026">
              <w:rPr>
                <w:rFonts w:ascii="Times New Roman" w:hAnsi="Times New Roman" w:cs="Times New Roman"/>
                <w:noProof/>
                <w:webHidden/>
                <w:sz w:val="24"/>
              </w:rPr>
              <w:instrText xml:space="preserve"> PAGEREF _Toc133852320 \h </w:instrText>
            </w:r>
            <w:r w:rsidR="00491026" w:rsidRPr="00491026">
              <w:rPr>
                <w:rFonts w:ascii="Times New Roman" w:hAnsi="Times New Roman" w:cs="Times New Roman"/>
                <w:noProof/>
                <w:webHidden/>
                <w:sz w:val="24"/>
              </w:rPr>
            </w:r>
            <w:r w:rsidR="00491026" w:rsidRPr="00491026">
              <w:rPr>
                <w:rFonts w:ascii="Times New Roman" w:hAnsi="Times New Roman" w:cs="Times New Roman"/>
                <w:noProof/>
                <w:webHidden/>
                <w:sz w:val="24"/>
              </w:rPr>
              <w:fldChar w:fldCharType="separate"/>
            </w:r>
            <w:r w:rsidR="00491026" w:rsidRPr="00491026">
              <w:rPr>
                <w:rFonts w:ascii="Times New Roman" w:hAnsi="Times New Roman" w:cs="Times New Roman"/>
                <w:noProof/>
                <w:webHidden/>
                <w:sz w:val="24"/>
              </w:rPr>
              <w:t>10</w:t>
            </w:r>
            <w:r w:rsidR="00491026" w:rsidRPr="00491026">
              <w:rPr>
                <w:rFonts w:ascii="Times New Roman" w:hAnsi="Times New Roman" w:cs="Times New Roman"/>
                <w:noProof/>
                <w:webHidden/>
                <w:sz w:val="24"/>
              </w:rPr>
              <w:fldChar w:fldCharType="end"/>
            </w:r>
          </w:hyperlink>
        </w:p>
        <w:p w14:paraId="0C270893" w14:textId="77777777" w:rsidR="00157C0E" w:rsidRPr="008A6414" w:rsidRDefault="004445D4" w:rsidP="00157C0E">
          <w:pPr>
            <w:spacing w:line="360" w:lineRule="auto"/>
            <w:jc w:val="center"/>
          </w:pPr>
          <w:r w:rsidRPr="008A6414">
            <w:rPr>
              <w:rFonts w:ascii="Times New Roman" w:hAnsi="Times New Roman" w:cs="Times New Roman"/>
              <w:sz w:val="24"/>
              <w:szCs w:val="24"/>
            </w:rPr>
            <w:fldChar w:fldCharType="end"/>
          </w:r>
        </w:p>
      </w:sdtContent>
    </w:sdt>
    <w:p w14:paraId="5080A32D" w14:textId="77777777" w:rsidR="00AF1747" w:rsidRPr="008A6414" w:rsidRDefault="00157C0E" w:rsidP="00CB1D67">
      <w:pPr>
        <w:rPr>
          <w:rFonts w:ascii="Times New Roman" w:eastAsia="Times New Roman" w:hAnsi="Times New Roman" w:cs="Times New Roman"/>
          <w:sz w:val="24"/>
          <w:szCs w:val="24"/>
          <w:lang w:val="en-GB"/>
        </w:rPr>
      </w:pPr>
      <w:r w:rsidRPr="008A6414">
        <w:rPr>
          <w:rFonts w:ascii="Times New Roman" w:eastAsia="Times New Roman" w:hAnsi="Times New Roman" w:cs="Times New Roman"/>
          <w:sz w:val="24"/>
          <w:szCs w:val="24"/>
          <w:lang w:val="en-GB"/>
        </w:rPr>
        <w:br w:type="page"/>
      </w:r>
    </w:p>
    <w:p w14:paraId="7200E2E4" w14:textId="77777777" w:rsidR="007E5174" w:rsidRDefault="007E5174" w:rsidP="00491026">
      <w:pPr>
        <w:pStyle w:val="Heading1"/>
      </w:pPr>
      <w:bookmarkStart w:id="0" w:name="_Toc133852313"/>
      <w:r>
        <w:lastRenderedPageBreak/>
        <w:t>Introduction</w:t>
      </w:r>
      <w:bookmarkEnd w:id="0"/>
      <w:r>
        <w:t> </w:t>
      </w:r>
    </w:p>
    <w:p w14:paraId="270D3419" w14:textId="77777777" w:rsidR="007E5174" w:rsidRDefault="007E5174" w:rsidP="002A335A">
      <w:pPr>
        <w:pStyle w:val="NormalWeb"/>
        <w:spacing w:before="0" w:beforeAutospacing="0" w:after="0" w:afterAutospacing="0" w:line="360" w:lineRule="auto"/>
        <w:jc w:val="both"/>
      </w:pPr>
      <w:r>
        <w:rPr>
          <w:color w:val="000000"/>
        </w:rPr>
        <w:t xml:space="preserve">Over 60 countries around the world are served by the multinational British bank and financial services provider HSBC Holdings. The success of HSBC, one of the biggest banking and financial services companies in the world, depends significantly on its capacity to negotiate the challenging terrain of the world's financial markets (Hsbc.co.in, 2023). This essay will </w:t>
      </w:r>
      <w:proofErr w:type="spellStart"/>
      <w:r>
        <w:rPr>
          <w:color w:val="000000"/>
        </w:rPr>
        <w:t>analyze</w:t>
      </w:r>
      <w:proofErr w:type="spellEnd"/>
      <w:r>
        <w:rPr>
          <w:color w:val="000000"/>
        </w:rPr>
        <w:t xml:space="preserve"> and critically assess the significance of worldwide financial management to HSBC as well as any potential difficulties the company may be running into in various international financial marketplaces. With empirical data based on HSBC, the discussion will be supported by pertinent international finance management theories. Additionally, the essay will evaluate the efficient market hypothesis theory in light of HSBC's operations and critically assess HSBC's dividend distribution policy.</w:t>
      </w:r>
    </w:p>
    <w:p w14:paraId="409472E2" w14:textId="77777777" w:rsidR="007E5174" w:rsidRDefault="007E5174" w:rsidP="00491026">
      <w:pPr>
        <w:pStyle w:val="Heading2"/>
      </w:pPr>
      <w:bookmarkStart w:id="1" w:name="_Toc133852314"/>
      <w:r>
        <w:t>Critical evaluation of dividend distribution policy in IFM</w:t>
      </w:r>
      <w:bookmarkEnd w:id="1"/>
    </w:p>
    <w:p w14:paraId="1A080CBD" w14:textId="77777777" w:rsidR="007E5174" w:rsidRDefault="007E5174" w:rsidP="002A335A">
      <w:pPr>
        <w:pStyle w:val="NormalWeb"/>
        <w:spacing w:before="0" w:beforeAutospacing="0" w:after="0" w:afterAutospacing="0" w:line="360" w:lineRule="auto"/>
        <w:jc w:val="both"/>
      </w:pPr>
      <w:r>
        <w:rPr>
          <w:color w:val="000000"/>
        </w:rPr>
        <w:t>It is impossible to exaggerate the significance of "International Financial Management (IFM)" to HSBC Holdings. HSBC must negotiate the complexity of multiple financial markets, currencies, and regulatory frameworks because it is an international firm with operations in over 60 nations. One of the biggest problems HSBC is dealing with is "</w:t>
      </w:r>
      <w:r>
        <w:rPr>
          <w:b/>
          <w:bCs/>
          <w:i/>
          <w:iCs/>
          <w:color w:val="000000"/>
        </w:rPr>
        <w:t>exchange rate risk</w:t>
      </w:r>
      <w:r>
        <w:rPr>
          <w:color w:val="000000"/>
        </w:rPr>
        <w:t xml:space="preserve">," which has an impact on the value of the company's foreign currency-denominated assets and obligations. As per the suggestions of </w:t>
      </w:r>
      <w:proofErr w:type="spellStart"/>
      <w:r>
        <w:rPr>
          <w:color w:val="000000"/>
        </w:rPr>
        <w:t>Kapmeier</w:t>
      </w:r>
      <w:proofErr w:type="spellEnd"/>
      <w:r>
        <w:rPr>
          <w:color w:val="000000"/>
        </w:rPr>
        <w:t xml:space="preserve"> </w:t>
      </w:r>
      <w:r w:rsidR="000D496B" w:rsidRPr="000D496B">
        <w:rPr>
          <w:i/>
          <w:color w:val="000000"/>
        </w:rPr>
        <w:t>et al.</w:t>
      </w:r>
      <w:r>
        <w:rPr>
          <w:color w:val="000000"/>
        </w:rPr>
        <w:t xml:space="preserve"> (2021), the "international Fisher effect" hypothesis suggests using techniques like "</w:t>
      </w:r>
      <w:r>
        <w:rPr>
          <w:b/>
          <w:bCs/>
          <w:i/>
          <w:iCs/>
          <w:color w:val="000000"/>
        </w:rPr>
        <w:t>currency hedging</w:t>
      </w:r>
      <w:r>
        <w:rPr>
          <w:color w:val="000000"/>
        </w:rPr>
        <w:t>" and "</w:t>
      </w:r>
      <w:r>
        <w:rPr>
          <w:b/>
          <w:bCs/>
          <w:i/>
          <w:iCs/>
          <w:color w:val="000000"/>
        </w:rPr>
        <w:t>netting</w:t>
      </w:r>
      <w:r>
        <w:rPr>
          <w:color w:val="000000"/>
        </w:rPr>
        <w:t xml:space="preserve">" to mitigate this risk, which HSBC does. On another hand, </w:t>
      </w:r>
      <w:proofErr w:type="spellStart"/>
      <w:r>
        <w:rPr>
          <w:color w:val="000000"/>
        </w:rPr>
        <w:t>Verdier</w:t>
      </w:r>
      <w:proofErr w:type="spellEnd"/>
      <w:r>
        <w:rPr>
          <w:color w:val="000000"/>
        </w:rPr>
        <w:t xml:space="preserve"> (2020), stated that success of HSBC also strongly depends on its capacity for making wise investment choices. According to the "</w:t>
      </w:r>
      <w:r>
        <w:rPr>
          <w:b/>
          <w:bCs/>
          <w:i/>
          <w:iCs/>
          <w:color w:val="000000"/>
        </w:rPr>
        <w:t>international capital budgeting</w:t>
      </w:r>
      <w:r>
        <w:rPr>
          <w:color w:val="000000"/>
        </w:rPr>
        <w:t>" idea, HSBC employs a variety of "capital budgeting techniques" to evaluate possible investment possibilities, including "net present value," "internal rate of return," and "payback period".</w:t>
      </w:r>
    </w:p>
    <w:p w14:paraId="41DD70D2" w14:textId="77777777" w:rsidR="007E5174" w:rsidRDefault="007E5174" w:rsidP="002A335A">
      <w:pPr>
        <w:pStyle w:val="NormalWeb"/>
        <w:spacing w:before="0" w:beforeAutospacing="0" w:after="0" w:afterAutospacing="0" w:line="360" w:lineRule="auto"/>
        <w:jc w:val="both"/>
      </w:pPr>
      <w:r>
        <w:rPr>
          <w:color w:val="000000"/>
        </w:rPr>
        <w:t xml:space="preserve">Investors and analysts have expressed interest in learning more about HSBC's dividend distribution practices. As per the suggestions of </w:t>
      </w:r>
      <w:proofErr w:type="spellStart"/>
      <w:r>
        <w:rPr>
          <w:color w:val="000000"/>
        </w:rPr>
        <w:t>Agačević</w:t>
      </w:r>
      <w:proofErr w:type="spellEnd"/>
      <w:r>
        <w:rPr>
          <w:color w:val="000000"/>
        </w:rPr>
        <w:t xml:space="preserve"> </w:t>
      </w:r>
      <w:r w:rsidR="000D496B" w:rsidRPr="000D496B">
        <w:rPr>
          <w:i/>
          <w:color w:val="000000"/>
        </w:rPr>
        <w:t>et al.</w:t>
      </w:r>
      <w:r>
        <w:rPr>
          <w:color w:val="000000"/>
        </w:rPr>
        <w:t xml:space="preserve"> (2019), it is a business policy to distribute a dependable and growing dividend to shareholders. Over the years, HSBC's dividend payments have remained largely consistent; in 2020, the company will pay $0.51 per share. However, the company's dividend </w:t>
      </w:r>
      <w:proofErr w:type="spellStart"/>
      <w:r>
        <w:rPr>
          <w:color w:val="000000"/>
        </w:rPr>
        <w:t>payout</w:t>
      </w:r>
      <w:proofErr w:type="spellEnd"/>
      <w:r>
        <w:rPr>
          <w:color w:val="000000"/>
        </w:rPr>
        <w:t xml:space="preserve"> ratio has been increasing, and </w:t>
      </w:r>
      <w:r>
        <w:rPr>
          <w:b/>
          <w:bCs/>
          <w:i/>
          <w:iCs/>
          <w:color w:val="000000"/>
        </w:rPr>
        <w:t xml:space="preserve">it will reach 55.4% in 2020 </w:t>
      </w:r>
      <w:r>
        <w:rPr>
          <w:color w:val="000000"/>
        </w:rPr>
        <w:t xml:space="preserve">(Hsbc.co.in, 2023). This could make investors wonder whether future dividends will be </w:t>
      </w:r>
      <w:r>
        <w:rPr>
          <w:color w:val="000000"/>
        </w:rPr>
        <w:lastRenderedPageBreak/>
        <w:t xml:space="preserve">sustainable. As observed by </w:t>
      </w:r>
      <w:proofErr w:type="spellStart"/>
      <w:r>
        <w:rPr>
          <w:color w:val="000000"/>
        </w:rPr>
        <w:t>Verdier</w:t>
      </w:r>
      <w:proofErr w:type="spellEnd"/>
      <w:r>
        <w:rPr>
          <w:color w:val="000000"/>
        </w:rPr>
        <w:t xml:space="preserve"> (2020), the "</w:t>
      </w:r>
      <w:r>
        <w:rPr>
          <w:b/>
          <w:bCs/>
          <w:i/>
          <w:iCs/>
          <w:color w:val="000000"/>
        </w:rPr>
        <w:t>dividend irrelevance theory</w:t>
      </w:r>
      <w:r>
        <w:rPr>
          <w:color w:val="000000"/>
        </w:rPr>
        <w:t xml:space="preserve">" can be used to assess HSBC's dividend strategy. According to this argument, a company's dividend policy has no impact on its value since investors can sell part of their shares to get the dividend distribution they want. Despite the fact that HSBC's dividend distribution policy has remained largely stable, the growing </w:t>
      </w:r>
      <w:r w:rsidR="000D496B">
        <w:rPr>
          <w:color w:val="000000"/>
        </w:rPr>
        <w:t>pay-out</w:t>
      </w:r>
      <w:r>
        <w:rPr>
          <w:color w:val="000000"/>
        </w:rPr>
        <w:t xml:space="preserve"> ratio may raise questions about the sustainability of future dividends. The right level of dividend distributions may need more investigation and appraisal of the company's financial situation and investment options.</w:t>
      </w:r>
    </w:p>
    <w:p w14:paraId="673E1109" w14:textId="77777777" w:rsidR="007E5174" w:rsidRDefault="007E5174" w:rsidP="00491026">
      <w:pPr>
        <w:pStyle w:val="Heading2"/>
      </w:pPr>
      <w:bookmarkStart w:id="2" w:name="_Toc133852315"/>
      <w:r>
        <w:t>Application of hypothesis theory in the Context of HSBC Holdings</w:t>
      </w:r>
      <w:bookmarkEnd w:id="2"/>
    </w:p>
    <w:p w14:paraId="532083EC" w14:textId="77777777" w:rsidR="007E5174" w:rsidRDefault="002A335A" w:rsidP="002A335A">
      <w:pPr>
        <w:spacing w:line="360" w:lineRule="auto"/>
      </w:pPr>
      <w:r>
        <w:rPr>
          <w:noProof/>
          <w:lang w:val="en-IN" w:eastAsia="en-IN"/>
        </w:rPr>
        <w:drawing>
          <wp:inline distT="0" distB="0" distL="0" distR="0" wp14:anchorId="6D793699" wp14:editId="5E308F14">
            <wp:extent cx="5486400" cy="3200400"/>
            <wp:effectExtent l="0" t="57150" r="0" b="952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171E607" w14:textId="77777777" w:rsidR="007E5174" w:rsidRDefault="007E5174" w:rsidP="002A335A">
      <w:pPr>
        <w:pStyle w:val="NormalWeb"/>
        <w:spacing w:before="0" w:beforeAutospacing="0" w:after="0" w:afterAutospacing="0" w:line="360" w:lineRule="auto"/>
        <w:jc w:val="center"/>
      </w:pPr>
      <w:r>
        <w:rPr>
          <w:b/>
          <w:bCs/>
          <w:color w:val="000000"/>
        </w:rPr>
        <w:t>Figure 1: Classification of selected hypothesis theory </w:t>
      </w:r>
    </w:p>
    <w:p w14:paraId="29926699" w14:textId="77777777" w:rsidR="007E5174" w:rsidRDefault="007E5174" w:rsidP="002A335A">
      <w:pPr>
        <w:pStyle w:val="NormalWeb"/>
        <w:spacing w:before="0" w:beforeAutospacing="0" w:after="0" w:afterAutospacing="0" w:line="360" w:lineRule="auto"/>
        <w:jc w:val="center"/>
      </w:pPr>
      <w:r>
        <w:rPr>
          <w:color w:val="000000"/>
        </w:rPr>
        <w:t>(Source: Self-developed)</w:t>
      </w:r>
    </w:p>
    <w:p w14:paraId="7076BD11" w14:textId="77777777" w:rsidR="007E5174" w:rsidRDefault="007E5174" w:rsidP="002A335A">
      <w:pPr>
        <w:pStyle w:val="NormalWeb"/>
        <w:spacing w:before="0" w:beforeAutospacing="0" w:after="0" w:afterAutospacing="0" w:line="360" w:lineRule="auto"/>
        <w:jc w:val="both"/>
      </w:pPr>
      <w:r>
        <w:rPr>
          <w:color w:val="000000"/>
        </w:rPr>
        <w:t>It is impossible to outperform the market by employing any kind of analysis or insider knowledge, according to the “</w:t>
      </w:r>
      <w:r>
        <w:rPr>
          <w:b/>
          <w:bCs/>
          <w:i/>
          <w:iCs/>
          <w:color w:val="000000"/>
        </w:rPr>
        <w:t>Efficient Market Hypothesis (EMH)</w:t>
      </w:r>
      <w:r>
        <w:rPr>
          <w:color w:val="000000"/>
        </w:rPr>
        <w:t xml:space="preserve">”, which contends that stock prices always represent all information that is currently accessible (Dalla </w:t>
      </w:r>
      <w:proofErr w:type="spellStart"/>
      <w:r>
        <w:rPr>
          <w:color w:val="000000"/>
        </w:rPr>
        <w:t>Vecchia</w:t>
      </w:r>
      <w:proofErr w:type="spellEnd"/>
      <w:r>
        <w:rPr>
          <w:color w:val="000000"/>
        </w:rPr>
        <w:t xml:space="preserve"> and </w:t>
      </w:r>
      <w:proofErr w:type="spellStart"/>
      <w:r>
        <w:rPr>
          <w:color w:val="000000"/>
        </w:rPr>
        <w:t>Etges</w:t>
      </w:r>
      <w:proofErr w:type="spellEnd"/>
      <w:r>
        <w:rPr>
          <w:color w:val="000000"/>
        </w:rPr>
        <w:t xml:space="preserve">, 2021). The EMH hypothesis suggests that, in the case of HSBC Holdings, stock prices always represent all information that is readily available, including details about the company's activities, financial situation, and the market environment globally.  According to the EMH hypothesis, HSBC's financing choices may not have an impact on the stock price since the </w:t>
      </w:r>
      <w:r>
        <w:rPr>
          <w:color w:val="000000"/>
        </w:rPr>
        <w:lastRenderedPageBreak/>
        <w:t>market will always have previously factored in all available information. This means that contrary to what the "</w:t>
      </w:r>
      <w:r>
        <w:rPr>
          <w:b/>
          <w:bCs/>
          <w:i/>
          <w:iCs/>
          <w:color w:val="000000"/>
        </w:rPr>
        <w:t>Modigliani-Miller theorem</w:t>
      </w:r>
      <w:r>
        <w:rPr>
          <w:color w:val="000000"/>
        </w:rPr>
        <w:t>" suggests, a company's decision to issue debt or equity may not have an impact on its cost of capital or stock price.</w:t>
      </w:r>
    </w:p>
    <w:p w14:paraId="16402BF1" w14:textId="77777777" w:rsidR="007E5174" w:rsidRDefault="007E5174" w:rsidP="002A335A">
      <w:pPr>
        <w:pStyle w:val="NormalWeb"/>
        <w:spacing w:before="0" w:beforeAutospacing="0" w:after="0" w:afterAutospacing="0" w:line="360" w:lineRule="auto"/>
        <w:jc w:val="both"/>
      </w:pPr>
      <w:r>
        <w:rPr>
          <w:color w:val="000000"/>
        </w:rPr>
        <w:t xml:space="preserve">As per the observation of </w:t>
      </w:r>
      <w:proofErr w:type="spellStart"/>
      <w:r>
        <w:rPr>
          <w:color w:val="000000"/>
        </w:rPr>
        <w:t>Hallak</w:t>
      </w:r>
      <w:proofErr w:type="spellEnd"/>
      <w:r>
        <w:rPr>
          <w:color w:val="000000"/>
        </w:rPr>
        <w:t xml:space="preserve"> (2022), it could be essential to do further research and gather empirical data to assess the EMH hypothesis in the setting of HSBC. It is possible to </w:t>
      </w:r>
      <w:proofErr w:type="spellStart"/>
      <w:r>
        <w:rPr>
          <w:color w:val="000000"/>
        </w:rPr>
        <w:t>analyze</w:t>
      </w:r>
      <w:proofErr w:type="spellEnd"/>
      <w:r>
        <w:rPr>
          <w:color w:val="000000"/>
        </w:rPr>
        <w:t xml:space="preserve"> the company's stock prices and financial statements using a variety of methodologies and approaches, including "technical analysis," "fundamental analysis," and "</w:t>
      </w:r>
      <w:r>
        <w:rPr>
          <w:b/>
          <w:bCs/>
          <w:i/>
          <w:iCs/>
          <w:color w:val="000000"/>
        </w:rPr>
        <w:t>event study analysis</w:t>
      </w:r>
      <w:r>
        <w:rPr>
          <w:color w:val="000000"/>
        </w:rPr>
        <w:t xml:space="preserve">". These techniques can be used to assess market efficiency and determine whether the EMH theory applies to HSBC. As per the suggestions of Shehryar </w:t>
      </w:r>
      <w:r w:rsidR="000D496B" w:rsidRPr="000D496B">
        <w:rPr>
          <w:i/>
          <w:color w:val="000000"/>
        </w:rPr>
        <w:t>et al.</w:t>
      </w:r>
      <w:r>
        <w:rPr>
          <w:color w:val="000000"/>
        </w:rPr>
        <w:t xml:space="preserve"> (2022), According to the EMH hypothesis, HSBC stock prices always represent all information that is accessible, making it impossible for investors to outperform the market. To assess market efficiency and determine if the EMH theory is accurate in the case of HSBC, more research and empirical data may be required. </w:t>
      </w:r>
    </w:p>
    <w:p w14:paraId="36E26C48" w14:textId="77777777" w:rsidR="007E5174" w:rsidRDefault="007E5174" w:rsidP="002A335A">
      <w:pPr>
        <w:pStyle w:val="NormalWeb"/>
        <w:spacing w:before="0" w:beforeAutospacing="0" w:after="0" w:afterAutospacing="0" w:line="360" w:lineRule="auto"/>
        <w:jc w:val="both"/>
      </w:pPr>
      <w:r>
        <w:rPr>
          <w:color w:val="000000"/>
        </w:rPr>
        <w:t>“The Modigliani-Miller, Event Study Analysis, and Efficient Market Hypothesis theories” have a big influence on HSBC Holdings' international financial management. The “Efficient Market Hypothesis” holds that investors cannot outperform the market by examining the company's financial statements or utilizing insider information since the stock prices of HSBC always reflect all information that is publicly accessible (</w:t>
      </w:r>
      <w:proofErr w:type="spellStart"/>
      <w:r>
        <w:rPr>
          <w:color w:val="000000"/>
        </w:rPr>
        <w:t>Brusov</w:t>
      </w:r>
      <w:proofErr w:type="spellEnd"/>
      <w:r>
        <w:rPr>
          <w:color w:val="000000"/>
        </w:rPr>
        <w:t xml:space="preserve"> </w:t>
      </w:r>
      <w:r w:rsidR="000D496B" w:rsidRPr="000D496B">
        <w:rPr>
          <w:i/>
          <w:color w:val="000000"/>
        </w:rPr>
        <w:t>et al.</w:t>
      </w:r>
      <w:r>
        <w:rPr>
          <w:color w:val="000000"/>
        </w:rPr>
        <w:t xml:space="preserve"> 2022). As observed by </w:t>
      </w:r>
      <w:proofErr w:type="spellStart"/>
      <w:r>
        <w:rPr>
          <w:color w:val="000000"/>
        </w:rPr>
        <w:t>Brusov</w:t>
      </w:r>
      <w:proofErr w:type="spellEnd"/>
      <w:r>
        <w:rPr>
          <w:color w:val="000000"/>
        </w:rPr>
        <w:t xml:space="preserve"> and Filatova (2021), the Modigliani-Miller theorem suggests that a company's financing decisions may not have an influence on its cost of capital or stock price, but event study analysis may be used to assess how a specific event, such a financing decision, would affect a company's stock price. HSBC can make wise judgements about its financing and investing strategies in various global financial markets by grasping and putting these theories to use.</w:t>
      </w:r>
    </w:p>
    <w:p w14:paraId="2760D4AF" w14:textId="77777777" w:rsidR="007E5174" w:rsidRDefault="007E5174" w:rsidP="00491026">
      <w:pPr>
        <w:pStyle w:val="Heading2"/>
      </w:pPr>
      <w:bookmarkStart w:id="3" w:name="_Toc133852316"/>
      <w:r>
        <w:t>Critical analysis of the corporation’s methods of appraising projects for HSBC Holdings</w:t>
      </w:r>
      <w:bookmarkEnd w:id="3"/>
    </w:p>
    <w:p w14:paraId="48CBFED6" w14:textId="77777777" w:rsidR="007E5174" w:rsidRDefault="007E5174" w:rsidP="002A335A">
      <w:pPr>
        <w:pStyle w:val="NormalWeb"/>
        <w:spacing w:before="0" w:beforeAutospacing="0" w:after="0" w:afterAutospacing="0" w:line="360" w:lineRule="auto"/>
        <w:jc w:val="both"/>
      </w:pPr>
      <w:r>
        <w:rPr>
          <w:b/>
          <w:bCs/>
          <w:color w:val="000000"/>
        </w:rPr>
        <w:t>Issues and challenges faced by HSBC </w:t>
      </w:r>
    </w:p>
    <w:p w14:paraId="54FC3999" w14:textId="77777777" w:rsidR="007E5174" w:rsidRDefault="007E5174" w:rsidP="002A335A">
      <w:pPr>
        <w:pStyle w:val="NormalWeb"/>
        <w:spacing w:before="0" w:beforeAutospacing="0" w:after="0" w:afterAutospacing="0" w:line="360" w:lineRule="auto"/>
        <w:jc w:val="both"/>
      </w:pPr>
      <w:r>
        <w:rPr>
          <w:color w:val="000000"/>
        </w:rPr>
        <w:t xml:space="preserve">HSBC Holdings encounters a variety of difficulties in diverse international financial markets, including legal and compliance requirements, risks associated with currency exchange, political and economic unpredictability, and cultural variances. Each country has its own set of rules and laws, and adhering to them may be difficult and expensive, requiring a lot of resources and </w:t>
      </w:r>
      <w:r>
        <w:rPr>
          <w:color w:val="000000"/>
        </w:rPr>
        <w:lastRenderedPageBreak/>
        <w:t xml:space="preserve">knowledge. Because of exchange rate variations, which might have an impact on the company's financial performance, it also confronts foreign exchange risks. As per the suggestions of Abou Saleh and Al </w:t>
      </w:r>
      <w:proofErr w:type="spellStart"/>
      <w:r>
        <w:rPr>
          <w:color w:val="000000"/>
        </w:rPr>
        <w:t>Tuwaijri</w:t>
      </w:r>
      <w:proofErr w:type="spellEnd"/>
      <w:r>
        <w:rPr>
          <w:color w:val="000000"/>
        </w:rPr>
        <w:t xml:space="preserve"> (2022), the activities, investments, and profitability of the corporation may also be impacted by the political and economic unrest in other nations. Additionally, the ability of the business to build and maintain relationships with stakeholders, including customers, employees, and employees, can be impacted by cultural differences in various regions. In order to succeed in various global financial markets, HSBC must properly address these difficulties. [</w:t>
      </w:r>
      <w:r>
        <w:rPr>
          <w:b/>
          <w:bCs/>
          <w:i/>
          <w:iCs/>
          <w:color w:val="000000"/>
        </w:rPr>
        <w:t>Referred to Appendix 1</w:t>
      </w:r>
      <w:r>
        <w:rPr>
          <w:color w:val="000000"/>
        </w:rPr>
        <w:t>]</w:t>
      </w:r>
    </w:p>
    <w:p w14:paraId="6B3A84F6" w14:textId="77777777" w:rsidR="007E5174" w:rsidRDefault="007E5174" w:rsidP="002A335A">
      <w:pPr>
        <w:pStyle w:val="NormalWeb"/>
        <w:spacing w:before="0" w:beforeAutospacing="0" w:after="0" w:afterAutospacing="0" w:line="360" w:lineRule="auto"/>
        <w:jc w:val="both"/>
      </w:pPr>
      <w:r>
        <w:rPr>
          <w:color w:val="000000"/>
        </w:rPr>
        <w:t xml:space="preserve">On the other hand, as per the suggestions of Georges </w:t>
      </w:r>
      <w:r w:rsidR="000D496B" w:rsidRPr="000D496B">
        <w:rPr>
          <w:i/>
          <w:color w:val="000000"/>
        </w:rPr>
        <w:t>et al.</w:t>
      </w:r>
      <w:r>
        <w:rPr>
          <w:color w:val="000000"/>
        </w:rPr>
        <w:t xml:space="preserve"> (2019), for HSBC Holdings, project appraisal is a crucial component of international financial management. The business uses a number of techniques, including “Net Present Value (NPV)”, “Internal Rate of Return (IRR)”, and “Payback Period", to assess the viability of various initiatives. As observed by Li </w:t>
      </w:r>
      <w:r w:rsidR="000D496B" w:rsidRPr="000D496B">
        <w:rPr>
          <w:i/>
          <w:color w:val="000000"/>
        </w:rPr>
        <w:t>et al.</w:t>
      </w:r>
      <w:r>
        <w:rPr>
          <w:color w:val="000000"/>
        </w:rPr>
        <w:t xml:space="preserve"> (2019), NPV, a popular technique for project evaluation, compares the present value of anticipated cash flows to the initial investment. While a negative NPV suggests that the project is not profitable, a positive NPV suggests the opposite. Another technique is the IRR, which determines the discount rate that will cause the net present value of the project's cash flows to equal zero. A project with a greater IRR is likely to be more successful (Dobrowolski and </w:t>
      </w:r>
      <w:proofErr w:type="spellStart"/>
      <w:r>
        <w:rPr>
          <w:color w:val="000000"/>
        </w:rPr>
        <w:t>Drozdowski</w:t>
      </w:r>
      <w:proofErr w:type="spellEnd"/>
      <w:r>
        <w:rPr>
          <w:color w:val="000000"/>
        </w:rPr>
        <w:t>, 2022). The payback period is the length of time needed for the project's anticipated cash flows to repay the initial expenditure. A speedier return on investment is indicated by a payback period that is shorter.</w:t>
      </w:r>
    </w:p>
    <w:p w14:paraId="3F0BBE2A" w14:textId="77777777" w:rsidR="007E5174" w:rsidRDefault="007E5174" w:rsidP="002A335A">
      <w:pPr>
        <w:pStyle w:val="NormalWeb"/>
        <w:spacing w:before="0" w:beforeAutospacing="0" w:after="0" w:afterAutospacing="0" w:line="360" w:lineRule="auto"/>
        <w:jc w:val="both"/>
      </w:pPr>
      <w:r>
        <w:rPr>
          <w:b/>
          <w:bCs/>
          <w:color w:val="000000"/>
        </w:rPr>
        <w:t>Application of theoretical models to appraise projects for HSBC</w:t>
      </w:r>
    </w:p>
    <w:p w14:paraId="408B2135" w14:textId="77777777" w:rsidR="007E5174" w:rsidRDefault="007E5174" w:rsidP="002A335A">
      <w:pPr>
        <w:pStyle w:val="NormalWeb"/>
        <w:spacing w:before="0" w:beforeAutospacing="0" w:after="0" w:afterAutospacing="0" w:line="360" w:lineRule="auto"/>
        <w:jc w:val="both"/>
      </w:pPr>
      <w:r>
        <w:rPr>
          <w:color w:val="000000"/>
        </w:rPr>
        <w:t xml:space="preserve">As per the suggestions of </w:t>
      </w:r>
      <w:proofErr w:type="spellStart"/>
      <w:r>
        <w:rPr>
          <w:color w:val="000000"/>
        </w:rPr>
        <w:t>Zioło</w:t>
      </w:r>
      <w:proofErr w:type="spellEnd"/>
      <w:r>
        <w:rPr>
          <w:color w:val="000000"/>
        </w:rPr>
        <w:t xml:space="preserve"> </w:t>
      </w:r>
      <w:r w:rsidR="000D496B" w:rsidRPr="000D496B">
        <w:rPr>
          <w:i/>
          <w:color w:val="000000"/>
        </w:rPr>
        <w:t>et al.</w:t>
      </w:r>
      <w:r>
        <w:rPr>
          <w:color w:val="000000"/>
        </w:rPr>
        <w:t xml:space="preserve"> (2023), usage of theoretical models to evaluate projects, HSBC can decide wisely on investment and finance plans and increase the value of the business for its stakeholders. These models offer a framework for </w:t>
      </w:r>
      <w:proofErr w:type="spellStart"/>
      <w:r>
        <w:rPr>
          <w:color w:val="000000"/>
        </w:rPr>
        <w:t>analyzing</w:t>
      </w:r>
      <w:proofErr w:type="spellEnd"/>
      <w:r>
        <w:rPr>
          <w:color w:val="000000"/>
        </w:rPr>
        <w:t xml:space="preserve"> the best capital structure, risk exposure, and probable financial results of a project. According to the “</w:t>
      </w:r>
      <w:r>
        <w:rPr>
          <w:b/>
          <w:bCs/>
          <w:i/>
          <w:iCs/>
          <w:color w:val="000000"/>
        </w:rPr>
        <w:t>Corporate Value Model</w:t>
      </w:r>
      <w:r>
        <w:rPr>
          <w:color w:val="000000"/>
        </w:rPr>
        <w:t>”, a project is worth the whole of its projected future cash flows, discounted to the present value. Using this model, HSBC can evaluate the project's profitability and spot any risks. The cost of capital for a project in several international marketplaces is calculated using the international cost of capital model. For HSBC to comprehend the cost of capital in various nations and make educated judgements on investment and financing methods, this model is crucial.</w:t>
      </w:r>
    </w:p>
    <w:p w14:paraId="3485C0D3" w14:textId="77777777" w:rsidR="007E5174" w:rsidRDefault="007E5174" w:rsidP="00491026">
      <w:pPr>
        <w:pStyle w:val="Heading1"/>
      </w:pPr>
      <w:bookmarkStart w:id="4" w:name="_Toc133852317"/>
      <w:r>
        <w:lastRenderedPageBreak/>
        <w:t>Conclusion</w:t>
      </w:r>
      <w:bookmarkEnd w:id="4"/>
      <w:r>
        <w:t> </w:t>
      </w:r>
    </w:p>
    <w:p w14:paraId="0A433EF0" w14:textId="77777777" w:rsidR="007E5174" w:rsidRDefault="007E5174" w:rsidP="002A335A">
      <w:pPr>
        <w:pStyle w:val="NormalWeb"/>
        <w:spacing w:before="0" w:beforeAutospacing="0" w:after="0" w:afterAutospacing="0" w:line="360" w:lineRule="auto"/>
        <w:jc w:val="both"/>
      </w:pPr>
      <w:r>
        <w:rPr>
          <w:color w:val="000000"/>
        </w:rPr>
        <w:t>Considering the overall discussion it can be concluded that global firms like HSBC Holdings depend heavily on successful international financial management. The usage of multiple theories described in the above section has effectively allowed us to gain insight and develop the overall financial management activity. Usage of the “Modigliani-Miller theorem” assisted HSBC to make decisions that have an impact on its cost of capital or stock price. In diverse international financial marketplaces, the corporation must contend with a number of difficulties, such as legal constraints, currency risk, political and economic unpredictability, and cultural variances. HSBC uses a number of theoretical models and frameworks, including efficient market hypothesis theory, dividend distribution policy, and project assessment procedures, to address these difficulties successfully. HSBC may decide on investment and financing strategies, maximize profits, and provide value for its stakeholders by carefully assessing various approaches and ideas.</w:t>
      </w:r>
    </w:p>
    <w:p w14:paraId="50D24053" w14:textId="77777777" w:rsidR="009D28DC" w:rsidRPr="008A6414" w:rsidRDefault="007E5174" w:rsidP="002A335A">
      <w:pPr>
        <w:spacing w:line="360" w:lineRule="auto"/>
        <w:rPr>
          <w:rFonts w:ascii="Times New Roman" w:eastAsia="Times New Roman" w:hAnsi="Times New Roman" w:cs="Times New Roman"/>
          <w:sz w:val="24"/>
          <w:szCs w:val="24"/>
          <w:lang w:val="en-GB"/>
        </w:rPr>
      </w:pPr>
      <w:r w:rsidRPr="008A6414">
        <w:rPr>
          <w:rFonts w:ascii="Times New Roman" w:eastAsia="Times New Roman" w:hAnsi="Times New Roman" w:cs="Times New Roman"/>
          <w:sz w:val="24"/>
          <w:szCs w:val="24"/>
          <w:lang w:val="en-GB"/>
        </w:rPr>
        <w:t xml:space="preserve"> </w:t>
      </w:r>
      <w:r w:rsidR="009D28DC" w:rsidRPr="008A6414">
        <w:rPr>
          <w:rFonts w:ascii="Times New Roman" w:eastAsia="Times New Roman" w:hAnsi="Times New Roman" w:cs="Times New Roman"/>
          <w:sz w:val="24"/>
          <w:szCs w:val="24"/>
          <w:lang w:val="en-GB"/>
        </w:rPr>
        <w:br w:type="page"/>
      </w:r>
    </w:p>
    <w:p w14:paraId="2CFA8067" w14:textId="77777777" w:rsidR="003C683A" w:rsidRDefault="009D28DC" w:rsidP="00325921">
      <w:pPr>
        <w:pStyle w:val="Heading1"/>
        <w:rPr>
          <w:lang w:val="en-GB"/>
        </w:rPr>
      </w:pPr>
      <w:bookmarkStart w:id="5" w:name="_Toc133852318"/>
      <w:r w:rsidRPr="008A6414">
        <w:rPr>
          <w:lang w:val="en-GB"/>
        </w:rPr>
        <w:lastRenderedPageBreak/>
        <w:t>References</w:t>
      </w:r>
      <w:bookmarkEnd w:id="5"/>
      <w:r w:rsidRPr="008A6414">
        <w:rPr>
          <w:lang w:val="en-GB"/>
        </w:rPr>
        <w:t xml:space="preserve"> </w:t>
      </w:r>
    </w:p>
    <w:p w14:paraId="211CB780" w14:textId="77777777" w:rsidR="002A335A" w:rsidRPr="002A335A" w:rsidRDefault="002A335A" w:rsidP="002A335A">
      <w:pPr>
        <w:pStyle w:val="Normal1"/>
        <w:spacing w:line="360" w:lineRule="auto"/>
        <w:jc w:val="both"/>
        <w:rPr>
          <w:rFonts w:ascii="Times New Roman" w:hAnsi="Times New Roman" w:cs="Times New Roman"/>
          <w:sz w:val="24"/>
          <w:szCs w:val="24"/>
          <w:shd w:val="clear" w:color="auto" w:fill="FFFFFF"/>
        </w:rPr>
      </w:pPr>
      <w:r w:rsidRPr="002A335A">
        <w:rPr>
          <w:rFonts w:ascii="Times New Roman" w:hAnsi="Times New Roman" w:cs="Times New Roman"/>
          <w:sz w:val="24"/>
          <w:szCs w:val="24"/>
          <w:shd w:val="clear" w:color="auto" w:fill="FFFFFF"/>
        </w:rPr>
        <w:t xml:space="preserve">Abou Saleh, N. and Al </w:t>
      </w:r>
      <w:proofErr w:type="spellStart"/>
      <w:r w:rsidRPr="002A335A">
        <w:rPr>
          <w:rFonts w:ascii="Times New Roman" w:hAnsi="Times New Roman" w:cs="Times New Roman"/>
          <w:sz w:val="24"/>
          <w:szCs w:val="24"/>
          <w:shd w:val="clear" w:color="auto" w:fill="FFFFFF"/>
        </w:rPr>
        <w:t>Tuwaijri</w:t>
      </w:r>
      <w:proofErr w:type="spellEnd"/>
      <w:r w:rsidRPr="002A335A">
        <w:rPr>
          <w:rFonts w:ascii="Times New Roman" w:hAnsi="Times New Roman" w:cs="Times New Roman"/>
          <w:sz w:val="24"/>
          <w:szCs w:val="24"/>
          <w:shd w:val="clear" w:color="auto" w:fill="FFFFFF"/>
        </w:rPr>
        <w:t>, N., 2022. Overseas Risks Leading to Business Failure in Foreign Markets: Study Case of HSBC in France. </w:t>
      </w:r>
      <w:r w:rsidRPr="002A335A">
        <w:rPr>
          <w:rFonts w:ascii="Times New Roman" w:hAnsi="Times New Roman" w:cs="Times New Roman"/>
          <w:i/>
          <w:iCs/>
          <w:sz w:val="24"/>
          <w:szCs w:val="24"/>
          <w:shd w:val="clear" w:color="auto" w:fill="FFFFFF"/>
        </w:rPr>
        <w:t>Open Journal of Business and Management</w:t>
      </w:r>
      <w:r w:rsidRPr="002A335A">
        <w:rPr>
          <w:rFonts w:ascii="Times New Roman" w:hAnsi="Times New Roman" w:cs="Times New Roman"/>
          <w:sz w:val="24"/>
          <w:szCs w:val="24"/>
          <w:shd w:val="clear" w:color="auto" w:fill="FFFFFF"/>
        </w:rPr>
        <w:t>, </w:t>
      </w:r>
      <w:r w:rsidRPr="002A335A">
        <w:rPr>
          <w:rFonts w:ascii="Times New Roman" w:hAnsi="Times New Roman" w:cs="Times New Roman"/>
          <w:i/>
          <w:iCs/>
          <w:sz w:val="24"/>
          <w:szCs w:val="24"/>
          <w:shd w:val="clear" w:color="auto" w:fill="FFFFFF"/>
        </w:rPr>
        <w:t>10</w:t>
      </w:r>
      <w:r w:rsidRPr="002A335A">
        <w:rPr>
          <w:rFonts w:ascii="Times New Roman" w:hAnsi="Times New Roman" w:cs="Times New Roman"/>
          <w:sz w:val="24"/>
          <w:szCs w:val="24"/>
          <w:shd w:val="clear" w:color="auto" w:fill="FFFFFF"/>
        </w:rPr>
        <w:t>(5), pp.2209-2241.</w:t>
      </w:r>
    </w:p>
    <w:p w14:paraId="65B8794C" w14:textId="77777777" w:rsidR="002A335A" w:rsidRPr="002A335A" w:rsidRDefault="002A335A" w:rsidP="002A335A">
      <w:pPr>
        <w:pStyle w:val="Normal1"/>
        <w:spacing w:line="360" w:lineRule="auto"/>
        <w:jc w:val="both"/>
        <w:rPr>
          <w:rFonts w:ascii="Times New Roman" w:hAnsi="Times New Roman" w:cs="Times New Roman"/>
          <w:sz w:val="24"/>
          <w:szCs w:val="24"/>
          <w:shd w:val="clear" w:color="auto" w:fill="FFFFFF"/>
        </w:rPr>
      </w:pPr>
      <w:proofErr w:type="spellStart"/>
      <w:r w:rsidRPr="002A335A">
        <w:rPr>
          <w:rFonts w:ascii="Times New Roman" w:hAnsi="Times New Roman" w:cs="Times New Roman"/>
          <w:sz w:val="24"/>
          <w:szCs w:val="24"/>
          <w:shd w:val="clear" w:color="auto" w:fill="FFFFFF"/>
        </w:rPr>
        <w:t>Agačević</w:t>
      </w:r>
      <w:proofErr w:type="spellEnd"/>
      <w:r w:rsidRPr="002A335A">
        <w:rPr>
          <w:rFonts w:ascii="Times New Roman" w:hAnsi="Times New Roman" w:cs="Times New Roman"/>
          <w:sz w:val="24"/>
          <w:szCs w:val="24"/>
          <w:shd w:val="clear" w:color="auto" w:fill="FFFFFF"/>
        </w:rPr>
        <w:t>, A., Ming, X. and Ali, S.A., 2019. Financial Supply Chain Management and Working Capital Management: The Competitive Analysis of HSBC Financial Chain Management. </w:t>
      </w:r>
      <w:r w:rsidRPr="002A335A">
        <w:rPr>
          <w:rFonts w:ascii="Times New Roman" w:hAnsi="Times New Roman" w:cs="Times New Roman"/>
          <w:i/>
          <w:iCs/>
          <w:sz w:val="24"/>
          <w:szCs w:val="24"/>
          <w:shd w:val="clear" w:color="auto" w:fill="FFFFFF"/>
        </w:rPr>
        <w:t>International Business Research</w:t>
      </w:r>
      <w:r w:rsidRPr="002A335A">
        <w:rPr>
          <w:rFonts w:ascii="Times New Roman" w:hAnsi="Times New Roman" w:cs="Times New Roman"/>
          <w:sz w:val="24"/>
          <w:szCs w:val="24"/>
          <w:shd w:val="clear" w:color="auto" w:fill="FFFFFF"/>
        </w:rPr>
        <w:t>, </w:t>
      </w:r>
      <w:r w:rsidRPr="002A335A">
        <w:rPr>
          <w:rFonts w:ascii="Times New Roman" w:hAnsi="Times New Roman" w:cs="Times New Roman"/>
          <w:i/>
          <w:iCs/>
          <w:sz w:val="24"/>
          <w:szCs w:val="24"/>
          <w:shd w:val="clear" w:color="auto" w:fill="FFFFFF"/>
        </w:rPr>
        <w:t>12</w:t>
      </w:r>
      <w:r w:rsidRPr="002A335A">
        <w:rPr>
          <w:rFonts w:ascii="Times New Roman" w:hAnsi="Times New Roman" w:cs="Times New Roman"/>
          <w:sz w:val="24"/>
          <w:szCs w:val="24"/>
          <w:shd w:val="clear" w:color="auto" w:fill="FFFFFF"/>
        </w:rPr>
        <w:t>(1), p.65.</w:t>
      </w:r>
    </w:p>
    <w:p w14:paraId="7112439B" w14:textId="77777777" w:rsidR="002A335A" w:rsidRPr="002A335A" w:rsidRDefault="002A335A" w:rsidP="002A335A">
      <w:pPr>
        <w:pStyle w:val="Normal1"/>
        <w:spacing w:line="360" w:lineRule="auto"/>
        <w:jc w:val="both"/>
        <w:rPr>
          <w:rFonts w:ascii="Times New Roman" w:hAnsi="Times New Roman" w:cs="Times New Roman"/>
          <w:sz w:val="24"/>
          <w:szCs w:val="24"/>
          <w:shd w:val="clear" w:color="auto" w:fill="FFFFFF"/>
        </w:rPr>
      </w:pPr>
      <w:proofErr w:type="spellStart"/>
      <w:r w:rsidRPr="002A335A">
        <w:rPr>
          <w:rFonts w:ascii="Times New Roman" w:hAnsi="Times New Roman" w:cs="Times New Roman"/>
          <w:sz w:val="24"/>
          <w:szCs w:val="24"/>
          <w:shd w:val="clear" w:color="auto" w:fill="FFFFFF"/>
        </w:rPr>
        <w:t>Brusov</w:t>
      </w:r>
      <w:proofErr w:type="spellEnd"/>
      <w:r w:rsidRPr="002A335A">
        <w:rPr>
          <w:rFonts w:ascii="Times New Roman" w:hAnsi="Times New Roman" w:cs="Times New Roman"/>
          <w:sz w:val="24"/>
          <w:szCs w:val="24"/>
          <w:shd w:val="clear" w:color="auto" w:fill="FFFFFF"/>
        </w:rPr>
        <w:t>, P. and Filatova, T., 2021. The Modigliani–Miller theory with arbitrary frequency of payment of tax on profit. </w:t>
      </w:r>
      <w:r w:rsidRPr="002A335A">
        <w:rPr>
          <w:rFonts w:ascii="Times New Roman" w:hAnsi="Times New Roman" w:cs="Times New Roman"/>
          <w:i/>
          <w:iCs/>
          <w:sz w:val="24"/>
          <w:szCs w:val="24"/>
          <w:shd w:val="clear" w:color="auto" w:fill="FFFFFF"/>
        </w:rPr>
        <w:t>Mathematics</w:t>
      </w:r>
      <w:r w:rsidRPr="002A335A">
        <w:rPr>
          <w:rFonts w:ascii="Times New Roman" w:hAnsi="Times New Roman" w:cs="Times New Roman"/>
          <w:sz w:val="24"/>
          <w:szCs w:val="24"/>
          <w:shd w:val="clear" w:color="auto" w:fill="FFFFFF"/>
        </w:rPr>
        <w:t>, </w:t>
      </w:r>
      <w:r w:rsidRPr="002A335A">
        <w:rPr>
          <w:rFonts w:ascii="Times New Roman" w:hAnsi="Times New Roman" w:cs="Times New Roman"/>
          <w:i/>
          <w:iCs/>
          <w:sz w:val="24"/>
          <w:szCs w:val="24"/>
          <w:shd w:val="clear" w:color="auto" w:fill="FFFFFF"/>
        </w:rPr>
        <w:t>9</w:t>
      </w:r>
      <w:r w:rsidRPr="002A335A">
        <w:rPr>
          <w:rFonts w:ascii="Times New Roman" w:hAnsi="Times New Roman" w:cs="Times New Roman"/>
          <w:sz w:val="24"/>
          <w:szCs w:val="24"/>
          <w:shd w:val="clear" w:color="auto" w:fill="FFFFFF"/>
        </w:rPr>
        <w:t>(11), p.1198.</w:t>
      </w:r>
    </w:p>
    <w:p w14:paraId="64B879D5" w14:textId="77777777" w:rsidR="002A335A" w:rsidRPr="002A335A" w:rsidRDefault="002A335A" w:rsidP="002A335A">
      <w:pPr>
        <w:pStyle w:val="Normal1"/>
        <w:spacing w:line="360" w:lineRule="auto"/>
        <w:jc w:val="both"/>
        <w:rPr>
          <w:rFonts w:ascii="Times New Roman" w:hAnsi="Times New Roman" w:cs="Times New Roman"/>
          <w:sz w:val="24"/>
          <w:szCs w:val="24"/>
          <w:shd w:val="clear" w:color="auto" w:fill="FFFFFF"/>
        </w:rPr>
      </w:pPr>
      <w:proofErr w:type="spellStart"/>
      <w:r w:rsidRPr="002A335A">
        <w:rPr>
          <w:rFonts w:ascii="Times New Roman" w:hAnsi="Times New Roman" w:cs="Times New Roman"/>
          <w:sz w:val="24"/>
          <w:szCs w:val="24"/>
          <w:shd w:val="clear" w:color="auto" w:fill="FFFFFF"/>
        </w:rPr>
        <w:t>Brusov</w:t>
      </w:r>
      <w:proofErr w:type="spellEnd"/>
      <w:r w:rsidRPr="002A335A">
        <w:rPr>
          <w:rFonts w:ascii="Times New Roman" w:hAnsi="Times New Roman" w:cs="Times New Roman"/>
          <w:sz w:val="24"/>
          <w:szCs w:val="24"/>
          <w:shd w:val="clear" w:color="auto" w:fill="FFFFFF"/>
        </w:rPr>
        <w:t>, P., Filatova, T. and Orekhova, N., 2022. Optimal Capital Structure of the Company: Its Absence in Modigliani–Miller Theory with Risky Debt Capital. In </w:t>
      </w:r>
      <w:r w:rsidRPr="002A335A">
        <w:rPr>
          <w:rFonts w:ascii="Times New Roman" w:hAnsi="Times New Roman" w:cs="Times New Roman"/>
          <w:i/>
          <w:iCs/>
          <w:sz w:val="24"/>
          <w:szCs w:val="24"/>
          <w:shd w:val="clear" w:color="auto" w:fill="FFFFFF"/>
        </w:rPr>
        <w:t>Generalized Modigliani–Miller Theory: Applications in Corporate Finance, Investments, Taxation and Ratings</w:t>
      </w:r>
      <w:r w:rsidRPr="002A335A">
        <w:rPr>
          <w:rFonts w:ascii="Times New Roman" w:hAnsi="Times New Roman" w:cs="Times New Roman"/>
          <w:sz w:val="24"/>
          <w:szCs w:val="24"/>
          <w:shd w:val="clear" w:color="auto" w:fill="FFFFFF"/>
        </w:rPr>
        <w:t> (pp. 57-63). Cham: Springer International Publishing.</w:t>
      </w:r>
    </w:p>
    <w:p w14:paraId="1426C935" w14:textId="77777777" w:rsidR="002A335A" w:rsidRPr="002A335A" w:rsidRDefault="002A335A" w:rsidP="002A335A">
      <w:pPr>
        <w:pStyle w:val="Normal1"/>
        <w:spacing w:line="360" w:lineRule="auto"/>
        <w:jc w:val="both"/>
        <w:rPr>
          <w:rFonts w:ascii="Times New Roman" w:hAnsi="Times New Roman" w:cs="Times New Roman"/>
          <w:sz w:val="24"/>
          <w:szCs w:val="24"/>
          <w:shd w:val="clear" w:color="auto" w:fill="FFFFFF"/>
        </w:rPr>
      </w:pPr>
      <w:r w:rsidRPr="002A335A">
        <w:rPr>
          <w:rFonts w:ascii="Times New Roman" w:hAnsi="Times New Roman" w:cs="Times New Roman"/>
          <w:sz w:val="24"/>
          <w:szCs w:val="24"/>
          <w:shd w:val="clear" w:color="auto" w:fill="FFFFFF"/>
        </w:rPr>
        <w:t xml:space="preserve">Dalla </w:t>
      </w:r>
      <w:proofErr w:type="spellStart"/>
      <w:r w:rsidRPr="002A335A">
        <w:rPr>
          <w:rFonts w:ascii="Times New Roman" w:hAnsi="Times New Roman" w:cs="Times New Roman"/>
          <w:sz w:val="24"/>
          <w:szCs w:val="24"/>
          <w:shd w:val="clear" w:color="auto" w:fill="FFFFFF"/>
        </w:rPr>
        <w:t>Vecchia</w:t>
      </w:r>
      <w:proofErr w:type="spellEnd"/>
      <w:r w:rsidRPr="002A335A">
        <w:rPr>
          <w:rFonts w:ascii="Times New Roman" w:hAnsi="Times New Roman" w:cs="Times New Roman"/>
          <w:sz w:val="24"/>
          <w:szCs w:val="24"/>
          <w:shd w:val="clear" w:color="auto" w:fill="FFFFFF"/>
        </w:rPr>
        <w:t xml:space="preserve">, V. and </w:t>
      </w:r>
      <w:proofErr w:type="spellStart"/>
      <w:r w:rsidRPr="002A335A">
        <w:rPr>
          <w:rFonts w:ascii="Times New Roman" w:hAnsi="Times New Roman" w:cs="Times New Roman"/>
          <w:sz w:val="24"/>
          <w:szCs w:val="24"/>
          <w:shd w:val="clear" w:color="auto" w:fill="FFFFFF"/>
        </w:rPr>
        <w:t>Etges</w:t>
      </w:r>
      <w:proofErr w:type="spellEnd"/>
      <w:r w:rsidRPr="002A335A">
        <w:rPr>
          <w:rFonts w:ascii="Times New Roman" w:hAnsi="Times New Roman" w:cs="Times New Roman"/>
          <w:sz w:val="24"/>
          <w:szCs w:val="24"/>
          <w:shd w:val="clear" w:color="auto" w:fill="FFFFFF"/>
        </w:rPr>
        <w:t>, A.P., 2021. Bank Mergers and Acquisitions: A Study of Events Regarding the Stock Price in the Hypothesis of Efficient Markets. </w:t>
      </w:r>
      <w:r w:rsidRPr="002A335A">
        <w:rPr>
          <w:rFonts w:ascii="Times New Roman" w:hAnsi="Times New Roman" w:cs="Times New Roman"/>
          <w:i/>
          <w:iCs/>
          <w:sz w:val="24"/>
          <w:szCs w:val="24"/>
          <w:shd w:val="clear" w:color="auto" w:fill="FFFFFF"/>
        </w:rPr>
        <w:t xml:space="preserve">Industrial Engineering and Operations Management: XXVI </w:t>
      </w:r>
      <w:proofErr w:type="gramStart"/>
      <w:r w:rsidRPr="002A335A">
        <w:rPr>
          <w:rFonts w:ascii="Times New Roman" w:hAnsi="Times New Roman" w:cs="Times New Roman"/>
          <w:i/>
          <w:iCs/>
          <w:sz w:val="24"/>
          <w:szCs w:val="24"/>
          <w:shd w:val="clear" w:color="auto" w:fill="FFFFFF"/>
        </w:rPr>
        <w:t>IJCIEOM ,</w:t>
      </w:r>
      <w:proofErr w:type="gramEnd"/>
      <w:r w:rsidRPr="002A335A">
        <w:rPr>
          <w:rFonts w:ascii="Times New Roman" w:hAnsi="Times New Roman" w:cs="Times New Roman"/>
          <w:i/>
          <w:iCs/>
          <w:sz w:val="24"/>
          <w:szCs w:val="24"/>
          <w:shd w:val="clear" w:color="auto" w:fill="FFFFFF"/>
        </w:rPr>
        <w:t xml:space="preserve"> Rio de Janeiro, Brazil, February 22–24, 2021</w:t>
      </w:r>
      <w:r w:rsidRPr="002A335A">
        <w:rPr>
          <w:rFonts w:ascii="Times New Roman" w:hAnsi="Times New Roman" w:cs="Times New Roman"/>
          <w:sz w:val="24"/>
          <w:szCs w:val="24"/>
          <w:shd w:val="clear" w:color="auto" w:fill="FFFFFF"/>
        </w:rPr>
        <w:t>, </w:t>
      </w:r>
      <w:r w:rsidRPr="002A335A">
        <w:rPr>
          <w:rFonts w:ascii="Times New Roman" w:hAnsi="Times New Roman" w:cs="Times New Roman"/>
          <w:i/>
          <w:iCs/>
          <w:sz w:val="24"/>
          <w:szCs w:val="24"/>
          <w:shd w:val="clear" w:color="auto" w:fill="FFFFFF"/>
        </w:rPr>
        <w:t>367</w:t>
      </w:r>
      <w:r w:rsidRPr="002A335A">
        <w:rPr>
          <w:rFonts w:ascii="Times New Roman" w:hAnsi="Times New Roman" w:cs="Times New Roman"/>
          <w:sz w:val="24"/>
          <w:szCs w:val="24"/>
          <w:shd w:val="clear" w:color="auto" w:fill="FFFFFF"/>
        </w:rPr>
        <w:t>, p.387.</w:t>
      </w:r>
    </w:p>
    <w:p w14:paraId="2F01AE27" w14:textId="77777777" w:rsidR="002A335A" w:rsidRPr="002A335A" w:rsidRDefault="002A335A" w:rsidP="002A335A">
      <w:pPr>
        <w:pStyle w:val="Normal1"/>
        <w:spacing w:line="360" w:lineRule="auto"/>
        <w:jc w:val="both"/>
        <w:rPr>
          <w:rFonts w:ascii="Times New Roman" w:hAnsi="Times New Roman" w:cs="Times New Roman"/>
          <w:sz w:val="24"/>
          <w:szCs w:val="24"/>
          <w:shd w:val="clear" w:color="auto" w:fill="FFFFFF"/>
        </w:rPr>
      </w:pPr>
      <w:r w:rsidRPr="002A335A">
        <w:rPr>
          <w:rFonts w:ascii="Times New Roman" w:hAnsi="Times New Roman" w:cs="Times New Roman"/>
          <w:sz w:val="24"/>
          <w:szCs w:val="24"/>
          <w:shd w:val="clear" w:color="auto" w:fill="FFFFFF"/>
        </w:rPr>
        <w:t xml:space="preserve">Dobrowolski, Z. and </w:t>
      </w:r>
      <w:proofErr w:type="spellStart"/>
      <w:r w:rsidRPr="002A335A">
        <w:rPr>
          <w:rFonts w:ascii="Times New Roman" w:hAnsi="Times New Roman" w:cs="Times New Roman"/>
          <w:sz w:val="24"/>
          <w:szCs w:val="24"/>
          <w:shd w:val="clear" w:color="auto" w:fill="FFFFFF"/>
        </w:rPr>
        <w:t>Drozdowski</w:t>
      </w:r>
      <w:proofErr w:type="spellEnd"/>
      <w:r w:rsidRPr="002A335A">
        <w:rPr>
          <w:rFonts w:ascii="Times New Roman" w:hAnsi="Times New Roman" w:cs="Times New Roman"/>
          <w:sz w:val="24"/>
          <w:szCs w:val="24"/>
          <w:shd w:val="clear" w:color="auto" w:fill="FFFFFF"/>
        </w:rPr>
        <w:t xml:space="preserve">, G., 2022. Does the net present value as a financial metric fit investment in green energy </w:t>
      </w:r>
      <w:proofErr w:type="gramStart"/>
      <w:r w:rsidRPr="002A335A">
        <w:rPr>
          <w:rFonts w:ascii="Times New Roman" w:hAnsi="Times New Roman" w:cs="Times New Roman"/>
          <w:sz w:val="24"/>
          <w:szCs w:val="24"/>
          <w:shd w:val="clear" w:color="auto" w:fill="FFFFFF"/>
        </w:rPr>
        <w:t>security?.</w:t>
      </w:r>
      <w:proofErr w:type="gramEnd"/>
      <w:r w:rsidRPr="002A335A">
        <w:rPr>
          <w:rFonts w:ascii="Times New Roman" w:hAnsi="Times New Roman" w:cs="Times New Roman"/>
          <w:sz w:val="24"/>
          <w:szCs w:val="24"/>
          <w:shd w:val="clear" w:color="auto" w:fill="FFFFFF"/>
        </w:rPr>
        <w:t> </w:t>
      </w:r>
      <w:r w:rsidRPr="002A335A">
        <w:rPr>
          <w:rFonts w:ascii="Times New Roman" w:hAnsi="Times New Roman" w:cs="Times New Roman"/>
          <w:i/>
          <w:iCs/>
          <w:sz w:val="24"/>
          <w:szCs w:val="24"/>
          <w:shd w:val="clear" w:color="auto" w:fill="FFFFFF"/>
        </w:rPr>
        <w:t>Energies</w:t>
      </w:r>
      <w:r w:rsidRPr="002A335A">
        <w:rPr>
          <w:rFonts w:ascii="Times New Roman" w:hAnsi="Times New Roman" w:cs="Times New Roman"/>
          <w:sz w:val="24"/>
          <w:szCs w:val="24"/>
          <w:shd w:val="clear" w:color="auto" w:fill="FFFFFF"/>
        </w:rPr>
        <w:t>, </w:t>
      </w:r>
      <w:r w:rsidRPr="002A335A">
        <w:rPr>
          <w:rFonts w:ascii="Times New Roman" w:hAnsi="Times New Roman" w:cs="Times New Roman"/>
          <w:i/>
          <w:iCs/>
          <w:sz w:val="24"/>
          <w:szCs w:val="24"/>
          <w:shd w:val="clear" w:color="auto" w:fill="FFFFFF"/>
        </w:rPr>
        <w:t>15</w:t>
      </w:r>
      <w:r w:rsidRPr="002A335A">
        <w:rPr>
          <w:rFonts w:ascii="Times New Roman" w:hAnsi="Times New Roman" w:cs="Times New Roman"/>
          <w:sz w:val="24"/>
          <w:szCs w:val="24"/>
          <w:shd w:val="clear" w:color="auto" w:fill="FFFFFF"/>
        </w:rPr>
        <w:t>(1), p.353.</w:t>
      </w:r>
    </w:p>
    <w:p w14:paraId="6E82D4F9" w14:textId="77777777" w:rsidR="002A335A" w:rsidRPr="002A335A" w:rsidRDefault="002A335A" w:rsidP="002A335A">
      <w:pPr>
        <w:pStyle w:val="Normal1"/>
        <w:spacing w:line="360" w:lineRule="auto"/>
        <w:jc w:val="both"/>
        <w:rPr>
          <w:rFonts w:ascii="Times New Roman" w:hAnsi="Times New Roman" w:cs="Times New Roman"/>
          <w:sz w:val="24"/>
          <w:szCs w:val="24"/>
          <w:shd w:val="clear" w:color="auto" w:fill="FFFFFF"/>
        </w:rPr>
      </w:pPr>
      <w:r w:rsidRPr="002A335A">
        <w:rPr>
          <w:rFonts w:ascii="Times New Roman" w:hAnsi="Times New Roman" w:cs="Times New Roman"/>
          <w:sz w:val="24"/>
          <w:szCs w:val="24"/>
          <w:shd w:val="clear" w:color="auto" w:fill="FFFFFF"/>
        </w:rPr>
        <w:t>Georges, A.O.U.N., DEL OLMO, J.L. and BOURLIATAUX-LAJOINIE, S., 2019. Congruence in advertising, how can communication deal with cultural diversity? The case of HSBC campaign. </w:t>
      </w:r>
      <w:proofErr w:type="spellStart"/>
      <w:r w:rsidRPr="002A335A">
        <w:rPr>
          <w:rFonts w:ascii="Times New Roman" w:hAnsi="Times New Roman" w:cs="Times New Roman"/>
          <w:i/>
          <w:iCs/>
          <w:sz w:val="24"/>
          <w:szCs w:val="24"/>
          <w:shd w:val="clear" w:color="auto" w:fill="FFFFFF"/>
        </w:rPr>
        <w:t>Proche</w:t>
      </w:r>
      <w:proofErr w:type="spellEnd"/>
      <w:r w:rsidRPr="002A335A">
        <w:rPr>
          <w:rFonts w:ascii="Times New Roman" w:hAnsi="Times New Roman" w:cs="Times New Roman"/>
          <w:i/>
          <w:iCs/>
          <w:sz w:val="24"/>
          <w:szCs w:val="24"/>
          <w:shd w:val="clear" w:color="auto" w:fill="FFFFFF"/>
        </w:rPr>
        <w:t xml:space="preserve">-Orient Études </w:t>
      </w:r>
      <w:proofErr w:type="spellStart"/>
      <w:r w:rsidRPr="002A335A">
        <w:rPr>
          <w:rFonts w:ascii="Times New Roman" w:hAnsi="Times New Roman" w:cs="Times New Roman"/>
          <w:i/>
          <w:iCs/>
          <w:sz w:val="24"/>
          <w:szCs w:val="24"/>
          <w:shd w:val="clear" w:color="auto" w:fill="FFFFFF"/>
        </w:rPr>
        <w:t>en</w:t>
      </w:r>
      <w:proofErr w:type="spellEnd"/>
      <w:r w:rsidRPr="002A335A">
        <w:rPr>
          <w:rFonts w:ascii="Times New Roman" w:hAnsi="Times New Roman" w:cs="Times New Roman"/>
          <w:i/>
          <w:iCs/>
          <w:sz w:val="24"/>
          <w:szCs w:val="24"/>
          <w:shd w:val="clear" w:color="auto" w:fill="FFFFFF"/>
        </w:rPr>
        <w:t xml:space="preserve"> management</w:t>
      </w:r>
      <w:r w:rsidRPr="002A335A">
        <w:rPr>
          <w:rFonts w:ascii="Times New Roman" w:hAnsi="Times New Roman" w:cs="Times New Roman"/>
          <w:sz w:val="24"/>
          <w:szCs w:val="24"/>
          <w:shd w:val="clear" w:color="auto" w:fill="FFFFFF"/>
        </w:rPr>
        <w:t>, </w:t>
      </w:r>
      <w:r w:rsidRPr="002A335A">
        <w:rPr>
          <w:rFonts w:ascii="Times New Roman" w:hAnsi="Times New Roman" w:cs="Times New Roman"/>
          <w:i/>
          <w:iCs/>
          <w:sz w:val="24"/>
          <w:szCs w:val="24"/>
          <w:shd w:val="clear" w:color="auto" w:fill="FFFFFF"/>
        </w:rPr>
        <w:t>31</w:t>
      </w:r>
      <w:r w:rsidRPr="002A335A">
        <w:rPr>
          <w:rFonts w:ascii="Times New Roman" w:hAnsi="Times New Roman" w:cs="Times New Roman"/>
          <w:sz w:val="24"/>
          <w:szCs w:val="24"/>
          <w:shd w:val="clear" w:color="auto" w:fill="FFFFFF"/>
        </w:rPr>
        <w:t>(2), pp.5-19.</w:t>
      </w:r>
    </w:p>
    <w:p w14:paraId="2C314740" w14:textId="77777777" w:rsidR="002A335A" w:rsidRPr="002A335A" w:rsidRDefault="002A335A" w:rsidP="002A335A">
      <w:pPr>
        <w:pStyle w:val="Normal1"/>
        <w:spacing w:line="360" w:lineRule="auto"/>
        <w:jc w:val="both"/>
        <w:rPr>
          <w:rFonts w:ascii="Times New Roman" w:hAnsi="Times New Roman" w:cs="Times New Roman"/>
          <w:sz w:val="24"/>
          <w:szCs w:val="24"/>
          <w:shd w:val="clear" w:color="auto" w:fill="FFFFFF"/>
        </w:rPr>
      </w:pPr>
      <w:proofErr w:type="spellStart"/>
      <w:r w:rsidRPr="002A335A">
        <w:rPr>
          <w:rFonts w:ascii="Times New Roman" w:hAnsi="Times New Roman" w:cs="Times New Roman"/>
          <w:sz w:val="24"/>
          <w:szCs w:val="24"/>
          <w:shd w:val="clear" w:color="auto" w:fill="FFFFFF"/>
        </w:rPr>
        <w:t>Hallak</w:t>
      </w:r>
      <w:proofErr w:type="spellEnd"/>
      <w:r w:rsidRPr="002A335A">
        <w:rPr>
          <w:rFonts w:ascii="Times New Roman" w:hAnsi="Times New Roman" w:cs="Times New Roman"/>
          <w:sz w:val="24"/>
          <w:szCs w:val="24"/>
          <w:shd w:val="clear" w:color="auto" w:fill="FFFFFF"/>
        </w:rPr>
        <w:t>, H., 2022. THE IMPACT OF MERGER AND ACQUISITION ON SHAREHOLDERS WEALTH: EVIDENCE FROM MENA REGION. </w:t>
      </w:r>
      <w:r w:rsidRPr="002A335A">
        <w:rPr>
          <w:rFonts w:ascii="Times New Roman" w:hAnsi="Times New Roman" w:cs="Times New Roman"/>
          <w:i/>
          <w:iCs/>
          <w:sz w:val="24"/>
          <w:szCs w:val="24"/>
          <w:shd w:val="clear" w:color="auto" w:fill="FFFFFF"/>
        </w:rPr>
        <w:t>Economic and Social Development: Book of Proceedings</w:t>
      </w:r>
      <w:r w:rsidRPr="002A335A">
        <w:rPr>
          <w:rFonts w:ascii="Times New Roman" w:hAnsi="Times New Roman" w:cs="Times New Roman"/>
          <w:sz w:val="24"/>
          <w:szCs w:val="24"/>
          <w:shd w:val="clear" w:color="auto" w:fill="FFFFFF"/>
        </w:rPr>
        <w:t>, pp.108-120.</w:t>
      </w:r>
    </w:p>
    <w:p w14:paraId="79872036" w14:textId="77777777" w:rsidR="002A335A" w:rsidRPr="002A335A" w:rsidRDefault="002A335A" w:rsidP="002A335A">
      <w:pPr>
        <w:pStyle w:val="Normal1"/>
        <w:spacing w:line="360" w:lineRule="auto"/>
        <w:jc w:val="both"/>
        <w:rPr>
          <w:rFonts w:ascii="Times New Roman" w:hAnsi="Times New Roman" w:cs="Times New Roman"/>
          <w:sz w:val="24"/>
          <w:szCs w:val="24"/>
          <w:lang w:val="en-GB"/>
        </w:rPr>
      </w:pPr>
      <w:r w:rsidRPr="002A335A">
        <w:rPr>
          <w:rFonts w:ascii="Times New Roman" w:hAnsi="Times New Roman" w:cs="Times New Roman"/>
          <w:sz w:val="24"/>
          <w:szCs w:val="24"/>
          <w:lang w:val="en-GB"/>
        </w:rPr>
        <w:t xml:space="preserve">Hsbc.co.in, 2023. About HSBC. [Online] Available at:  </w:t>
      </w:r>
      <w:hyperlink r:id="rId13" w:anchor=":~:text=HSBC%20is%20one%20of%20the,%2C%20and%20Global%20Banking%20%26%20Markets" w:history="1">
        <w:r w:rsidRPr="002A335A">
          <w:rPr>
            <w:rStyle w:val="Hyperlink"/>
            <w:rFonts w:ascii="Times New Roman" w:hAnsi="Times New Roman" w:cs="Times New Roman"/>
            <w:color w:val="auto"/>
            <w:sz w:val="24"/>
            <w:szCs w:val="24"/>
            <w:u w:val="none"/>
            <w:lang w:val="en-GB"/>
          </w:rPr>
          <w:t>https://www.about.hsbc.co.in/#:~:text=HSBC%20is%20one%20of%20the,%2C%20and%20Global%20Banking%20%26%20Markets</w:t>
        </w:r>
      </w:hyperlink>
      <w:r w:rsidRPr="002A335A">
        <w:rPr>
          <w:rFonts w:ascii="Times New Roman" w:hAnsi="Times New Roman" w:cs="Times New Roman"/>
          <w:sz w:val="24"/>
          <w:szCs w:val="24"/>
          <w:lang w:val="en-GB"/>
        </w:rPr>
        <w:t>. [Accessed on 31.04.2023]</w:t>
      </w:r>
    </w:p>
    <w:p w14:paraId="4FEBC023" w14:textId="77777777" w:rsidR="002A335A" w:rsidRPr="002A335A" w:rsidRDefault="002A335A" w:rsidP="002A335A">
      <w:pPr>
        <w:pStyle w:val="Normal1"/>
        <w:spacing w:line="360" w:lineRule="auto"/>
        <w:jc w:val="both"/>
        <w:rPr>
          <w:rFonts w:ascii="Times New Roman" w:hAnsi="Times New Roman" w:cs="Times New Roman"/>
          <w:sz w:val="24"/>
          <w:szCs w:val="24"/>
          <w:shd w:val="clear" w:color="auto" w:fill="FFFFFF"/>
        </w:rPr>
      </w:pPr>
      <w:proofErr w:type="spellStart"/>
      <w:r w:rsidRPr="002A335A">
        <w:rPr>
          <w:rFonts w:ascii="Times New Roman" w:hAnsi="Times New Roman" w:cs="Times New Roman"/>
          <w:sz w:val="24"/>
          <w:szCs w:val="24"/>
          <w:shd w:val="clear" w:color="auto" w:fill="FFFFFF"/>
        </w:rPr>
        <w:t>Kapmeier</w:t>
      </w:r>
      <w:proofErr w:type="spellEnd"/>
      <w:r w:rsidRPr="002A335A">
        <w:rPr>
          <w:rFonts w:ascii="Times New Roman" w:hAnsi="Times New Roman" w:cs="Times New Roman"/>
          <w:sz w:val="24"/>
          <w:szCs w:val="24"/>
          <w:shd w:val="clear" w:color="auto" w:fill="FFFFFF"/>
        </w:rPr>
        <w:t xml:space="preserve">, F., Greenspan, A.S., Jones, A.P. and </w:t>
      </w:r>
      <w:proofErr w:type="spellStart"/>
      <w:r w:rsidRPr="002A335A">
        <w:rPr>
          <w:rFonts w:ascii="Times New Roman" w:hAnsi="Times New Roman" w:cs="Times New Roman"/>
          <w:sz w:val="24"/>
          <w:szCs w:val="24"/>
          <w:shd w:val="clear" w:color="auto" w:fill="FFFFFF"/>
        </w:rPr>
        <w:t>Sterman</w:t>
      </w:r>
      <w:proofErr w:type="spellEnd"/>
      <w:r w:rsidRPr="002A335A">
        <w:rPr>
          <w:rFonts w:ascii="Times New Roman" w:hAnsi="Times New Roman" w:cs="Times New Roman"/>
          <w:sz w:val="24"/>
          <w:szCs w:val="24"/>
          <w:shd w:val="clear" w:color="auto" w:fill="FFFFFF"/>
        </w:rPr>
        <w:t>, J.D., 2021. Science‐based analysis for climate action: how HSBC Bank uses the En‐ROADS climate policy simulation.</w:t>
      </w:r>
    </w:p>
    <w:p w14:paraId="2236D6C2" w14:textId="77777777" w:rsidR="002A335A" w:rsidRPr="002A335A" w:rsidRDefault="002A335A" w:rsidP="002A335A">
      <w:pPr>
        <w:pStyle w:val="Normal1"/>
        <w:spacing w:line="360" w:lineRule="auto"/>
        <w:jc w:val="both"/>
        <w:rPr>
          <w:rFonts w:ascii="Times New Roman" w:hAnsi="Times New Roman" w:cs="Times New Roman"/>
          <w:sz w:val="24"/>
          <w:szCs w:val="24"/>
          <w:shd w:val="clear" w:color="auto" w:fill="FFFFFF"/>
        </w:rPr>
      </w:pPr>
      <w:r w:rsidRPr="002A335A">
        <w:rPr>
          <w:rFonts w:ascii="Times New Roman" w:hAnsi="Times New Roman" w:cs="Times New Roman"/>
          <w:sz w:val="24"/>
          <w:szCs w:val="24"/>
          <w:shd w:val="clear" w:color="auto" w:fill="FFFFFF"/>
        </w:rPr>
        <w:lastRenderedPageBreak/>
        <w:t>Li, Z., Li, D., Yi, Y. and Wang, Y., 2019. Feasibility analysis of entrepreneurship from the perspective of financial management: A study on Chinese university students. </w:t>
      </w:r>
      <w:r w:rsidRPr="002A335A">
        <w:rPr>
          <w:rFonts w:ascii="Times New Roman" w:hAnsi="Times New Roman" w:cs="Times New Roman"/>
          <w:i/>
          <w:iCs/>
          <w:sz w:val="24"/>
          <w:szCs w:val="24"/>
          <w:shd w:val="clear" w:color="auto" w:fill="FFFFFF"/>
        </w:rPr>
        <w:t>Entrepreneurship Education</w:t>
      </w:r>
      <w:r w:rsidRPr="002A335A">
        <w:rPr>
          <w:rFonts w:ascii="Times New Roman" w:hAnsi="Times New Roman" w:cs="Times New Roman"/>
          <w:sz w:val="24"/>
          <w:szCs w:val="24"/>
          <w:shd w:val="clear" w:color="auto" w:fill="FFFFFF"/>
        </w:rPr>
        <w:t>, </w:t>
      </w:r>
      <w:r w:rsidRPr="002A335A">
        <w:rPr>
          <w:rFonts w:ascii="Times New Roman" w:hAnsi="Times New Roman" w:cs="Times New Roman"/>
          <w:i/>
          <w:iCs/>
          <w:sz w:val="24"/>
          <w:szCs w:val="24"/>
          <w:shd w:val="clear" w:color="auto" w:fill="FFFFFF"/>
        </w:rPr>
        <w:t>2</w:t>
      </w:r>
      <w:r w:rsidRPr="002A335A">
        <w:rPr>
          <w:rFonts w:ascii="Times New Roman" w:hAnsi="Times New Roman" w:cs="Times New Roman"/>
          <w:sz w:val="24"/>
          <w:szCs w:val="24"/>
          <w:shd w:val="clear" w:color="auto" w:fill="FFFFFF"/>
        </w:rPr>
        <w:t>, pp.39-50.</w:t>
      </w:r>
    </w:p>
    <w:p w14:paraId="2CD9945D" w14:textId="77777777" w:rsidR="002A335A" w:rsidRPr="002A335A" w:rsidRDefault="002A335A" w:rsidP="002A335A">
      <w:pPr>
        <w:pStyle w:val="Normal1"/>
        <w:spacing w:line="360" w:lineRule="auto"/>
        <w:jc w:val="both"/>
        <w:rPr>
          <w:rFonts w:ascii="Times New Roman" w:hAnsi="Times New Roman" w:cs="Times New Roman"/>
          <w:sz w:val="24"/>
          <w:szCs w:val="24"/>
          <w:shd w:val="clear" w:color="auto" w:fill="FFFFFF"/>
        </w:rPr>
      </w:pPr>
      <w:r w:rsidRPr="002A335A">
        <w:rPr>
          <w:rFonts w:ascii="Times New Roman" w:hAnsi="Times New Roman" w:cs="Times New Roman"/>
          <w:sz w:val="24"/>
          <w:szCs w:val="24"/>
          <w:shd w:val="clear" w:color="auto" w:fill="FFFFFF"/>
        </w:rPr>
        <w:t xml:space="preserve">Shehryar, M., Bashir, F., Raza, K. and Ahmad, R., 2022. Random Walk Hypothesis: An Empirical Comparison of </w:t>
      </w:r>
      <w:proofErr w:type="spellStart"/>
      <w:r w:rsidRPr="002A335A">
        <w:rPr>
          <w:rFonts w:ascii="Times New Roman" w:hAnsi="Times New Roman" w:cs="Times New Roman"/>
          <w:sz w:val="24"/>
          <w:szCs w:val="24"/>
          <w:shd w:val="clear" w:color="auto" w:fill="FFFFFF"/>
        </w:rPr>
        <w:t>Shari’ah</w:t>
      </w:r>
      <w:proofErr w:type="spellEnd"/>
      <w:r w:rsidRPr="002A335A">
        <w:rPr>
          <w:rFonts w:ascii="Times New Roman" w:hAnsi="Times New Roman" w:cs="Times New Roman"/>
          <w:sz w:val="24"/>
          <w:szCs w:val="24"/>
          <w:shd w:val="clear" w:color="auto" w:fill="FFFFFF"/>
        </w:rPr>
        <w:t xml:space="preserve"> and Non-</w:t>
      </w:r>
      <w:proofErr w:type="spellStart"/>
      <w:r w:rsidRPr="002A335A">
        <w:rPr>
          <w:rFonts w:ascii="Times New Roman" w:hAnsi="Times New Roman" w:cs="Times New Roman"/>
          <w:sz w:val="24"/>
          <w:szCs w:val="24"/>
          <w:shd w:val="clear" w:color="auto" w:fill="FFFFFF"/>
        </w:rPr>
        <w:t>Shari’ah</w:t>
      </w:r>
      <w:proofErr w:type="spellEnd"/>
      <w:r w:rsidRPr="002A335A">
        <w:rPr>
          <w:rFonts w:ascii="Times New Roman" w:hAnsi="Times New Roman" w:cs="Times New Roman"/>
          <w:sz w:val="24"/>
          <w:szCs w:val="24"/>
          <w:shd w:val="clear" w:color="auto" w:fill="FFFFFF"/>
        </w:rPr>
        <w:t xml:space="preserve"> Capital Markets of Pakistan and China. </w:t>
      </w:r>
      <w:proofErr w:type="spellStart"/>
      <w:r w:rsidRPr="002A335A">
        <w:rPr>
          <w:rFonts w:ascii="Times New Roman" w:hAnsi="Times New Roman" w:cs="Times New Roman"/>
          <w:i/>
          <w:iCs/>
          <w:sz w:val="24"/>
          <w:szCs w:val="24"/>
          <w:shd w:val="clear" w:color="auto" w:fill="FFFFFF"/>
        </w:rPr>
        <w:t>iRASD</w:t>
      </w:r>
      <w:proofErr w:type="spellEnd"/>
      <w:r w:rsidRPr="002A335A">
        <w:rPr>
          <w:rFonts w:ascii="Times New Roman" w:hAnsi="Times New Roman" w:cs="Times New Roman"/>
          <w:i/>
          <w:iCs/>
          <w:sz w:val="24"/>
          <w:szCs w:val="24"/>
          <w:shd w:val="clear" w:color="auto" w:fill="FFFFFF"/>
        </w:rPr>
        <w:t xml:space="preserve"> Journal of Economics</w:t>
      </w:r>
      <w:r w:rsidRPr="002A335A">
        <w:rPr>
          <w:rFonts w:ascii="Times New Roman" w:hAnsi="Times New Roman" w:cs="Times New Roman"/>
          <w:sz w:val="24"/>
          <w:szCs w:val="24"/>
          <w:shd w:val="clear" w:color="auto" w:fill="FFFFFF"/>
        </w:rPr>
        <w:t>, </w:t>
      </w:r>
      <w:r w:rsidRPr="002A335A">
        <w:rPr>
          <w:rFonts w:ascii="Times New Roman" w:hAnsi="Times New Roman" w:cs="Times New Roman"/>
          <w:i/>
          <w:iCs/>
          <w:sz w:val="24"/>
          <w:szCs w:val="24"/>
          <w:shd w:val="clear" w:color="auto" w:fill="FFFFFF"/>
        </w:rPr>
        <w:t>4</w:t>
      </w:r>
      <w:r w:rsidRPr="002A335A">
        <w:rPr>
          <w:rFonts w:ascii="Times New Roman" w:hAnsi="Times New Roman" w:cs="Times New Roman"/>
          <w:sz w:val="24"/>
          <w:szCs w:val="24"/>
          <w:shd w:val="clear" w:color="auto" w:fill="FFFFFF"/>
        </w:rPr>
        <w:t>(3), pp.439-447.</w:t>
      </w:r>
    </w:p>
    <w:p w14:paraId="321D7CFE" w14:textId="77777777" w:rsidR="002A335A" w:rsidRPr="002A335A" w:rsidRDefault="002A335A" w:rsidP="002A335A">
      <w:pPr>
        <w:pStyle w:val="Normal1"/>
        <w:spacing w:line="360" w:lineRule="auto"/>
        <w:jc w:val="both"/>
        <w:rPr>
          <w:rFonts w:ascii="Times New Roman" w:hAnsi="Times New Roman" w:cs="Times New Roman"/>
          <w:sz w:val="24"/>
          <w:szCs w:val="24"/>
          <w:shd w:val="clear" w:color="auto" w:fill="FFFFFF"/>
        </w:rPr>
      </w:pPr>
      <w:proofErr w:type="spellStart"/>
      <w:r w:rsidRPr="002A335A">
        <w:rPr>
          <w:rFonts w:ascii="Times New Roman" w:hAnsi="Times New Roman" w:cs="Times New Roman"/>
          <w:sz w:val="24"/>
          <w:szCs w:val="24"/>
          <w:shd w:val="clear" w:color="auto" w:fill="FFFFFF"/>
        </w:rPr>
        <w:t>Verdier</w:t>
      </w:r>
      <w:proofErr w:type="spellEnd"/>
      <w:r w:rsidRPr="002A335A">
        <w:rPr>
          <w:rFonts w:ascii="Times New Roman" w:hAnsi="Times New Roman" w:cs="Times New Roman"/>
          <w:sz w:val="24"/>
          <w:szCs w:val="24"/>
          <w:shd w:val="clear" w:color="auto" w:fill="FFFFFF"/>
        </w:rPr>
        <w:t>, P.H., 2020. </w:t>
      </w:r>
      <w:r w:rsidRPr="002A335A">
        <w:rPr>
          <w:rFonts w:ascii="Times New Roman" w:hAnsi="Times New Roman" w:cs="Times New Roman"/>
          <w:i/>
          <w:iCs/>
          <w:sz w:val="24"/>
          <w:szCs w:val="24"/>
          <w:shd w:val="clear" w:color="auto" w:fill="FFFFFF"/>
        </w:rPr>
        <w:t>Global banks on trial: US prosecutions and the remaking of international finance</w:t>
      </w:r>
      <w:r w:rsidRPr="002A335A">
        <w:rPr>
          <w:rFonts w:ascii="Times New Roman" w:hAnsi="Times New Roman" w:cs="Times New Roman"/>
          <w:sz w:val="24"/>
          <w:szCs w:val="24"/>
          <w:shd w:val="clear" w:color="auto" w:fill="FFFFFF"/>
        </w:rPr>
        <w:t>. Oxford University Press.</w:t>
      </w:r>
    </w:p>
    <w:p w14:paraId="3050E182" w14:textId="77777777" w:rsidR="002A335A" w:rsidRDefault="002A335A" w:rsidP="002A335A">
      <w:pPr>
        <w:pStyle w:val="Normal1"/>
        <w:spacing w:line="360" w:lineRule="auto"/>
        <w:jc w:val="both"/>
        <w:rPr>
          <w:rFonts w:ascii="Times New Roman" w:hAnsi="Times New Roman" w:cs="Times New Roman"/>
          <w:sz w:val="24"/>
          <w:szCs w:val="24"/>
          <w:shd w:val="clear" w:color="auto" w:fill="FFFFFF"/>
        </w:rPr>
      </w:pPr>
      <w:proofErr w:type="spellStart"/>
      <w:r w:rsidRPr="002A335A">
        <w:rPr>
          <w:rFonts w:ascii="Times New Roman" w:hAnsi="Times New Roman" w:cs="Times New Roman"/>
          <w:sz w:val="24"/>
          <w:szCs w:val="24"/>
          <w:shd w:val="clear" w:color="auto" w:fill="FFFFFF"/>
        </w:rPr>
        <w:t>Zioło</w:t>
      </w:r>
      <w:proofErr w:type="spellEnd"/>
      <w:r w:rsidRPr="002A335A">
        <w:rPr>
          <w:rFonts w:ascii="Times New Roman" w:hAnsi="Times New Roman" w:cs="Times New Roman"/>
          <w:sz w:val="24"/>
          <w:szCs w:val="24"/>
          <w:shd w:val="clear" w:color="auto" w:fill="FFFFFF"/>
        </w:rPr>
        <w:t xml:space="preserve">, M., </w:t>
      </w:r>
      <w:proofErr w:type="spellStart"/>
      <w:r w:rsidRPr="002A335A">
        <w:rPr>
          <w:rFonts w:ascii="Times New Roman" w:hAnsi="Times New Roman" w:cs="Times New Roman"/>
          <w:sz w:val="24"/>
          <w:szCs w:val="24"/>
          <w:shd w:val="clear" w:color="auto" w:fill="FFFFFF"/>
        </w:rPr>
        <w:t>Bąk</w:t>
      </w:r>
      <w:proofErr w:type="spellEnd"/>
      <w:r w:rsidRPr="002A335A">
        <w:rPr>
          <w:rFonts w:ascii="Times New Roman" w:hAnsi="Times New Roman" w:cs="Times New Roman"/>
          <w:sz w:val="24"/>
          <w:szCs w:val="24"/>
          <w:shd w:val="clear" w:color="auto" w:fill="FFFFFF"/>
        </w:rPr>
        <w:t xml:space="preserve">, I. and </w:t>
      </w:r>
      <w:proofErr w:type="spellStart"/>
      <w:r w:rsidRPr="002A335A">
        <w:rPr>
          <w:rFonts w:ascii="Times New Roman" w:hAnsi="Times New Roman" w:cs="Times New Roman"/>
          <w:sz w:val="24"/>
          <w:szCs w:val="24"/>
          <w:shd w:val="clear" w:color="auto" w:fill="FFFFFF"/>
        </w:rPr>
        <w:t>Spoz</w:t>
      </w:r>
      <w:proofErr w:type="spellEnd"/>
      <w:r w:rsidRPr="002A335A">
        <w:rPr>
          <w:rFonts w:ascii="Times New Roman" w:hAnsi="Times New Roman" w:cs="Times New Roman"/>
          <w:sz w:val="24"/>
          <w:szCs w:val="24"/>
          <w:shd w:val="clear" w:color="auto" w:fill="FFFFFF"/>
        </w:rPr>
        <w:t xml:space="preserve">, A., 2023. Theoretical framework of sustainable value creation by companies. What do we know so </w:t>
      </w:r>
      <w:proofErr w:type="gramStart"/>
      <w:r w:rsidRPr="002A335A">
        <w:rPr>
          <w:rFonts w:ascii="Times New Roman" w:hAnsi="Times New Roman" w:cs="Times New Roman"/>
          <w:sz w:val="24"/>
          <w:szCs w:val="24"/>
          <w:shd w:val="clear" w:color="auto" w:fill="FFFFFF"/>
        </w:rPr>
        <w:t>far?.</w:t>
      </w:r>
      <w:proofErr w:type="gramEnd"/>
      <w:r w:rsidRPr="002A335A">
        <w:rPr>
          <w:rFonts w:ascii="Times New Roman" w:hAnsi="Times New Roman" w:cs="Times New Roman"/>
          <w:sz w:val="24"/>
          <w:szCs w:val="24"/>
          <w:shd w:val="clear" w:color="auto" w:fill="FFFFFF"/>
        </w:rPr>
        <w:t> </w:t>
      </w:r>
      <w:r w:rsidRPr="002A335A">
        <w:rPr>
          <w:rFonts w:ascii="Times New Roman" w:hAnsi="Times New Roman" w:cs="Times New Roman"/>
          <w:i/>
          <w:iCs/>
          <w:sz w:val="24"/>
          <w:szCs w:val="24"/>
          <w:shd w:val="clear" w:color="auto" w:fill="FFFFFF"/>
        </w:rPr>
        <w:t>Corporate Social Responsibility and Environmental Management</w:t>
      </w:r>
      <w:r w:rsidRPr="002A335A">
        <w:rPr>
          <w:rFonts w:ascii="Times New Roman" w:hAnsi="Times New Roman" w:cs="Times New Roman"/>
          <w:sz w:val="24"/>
          <w:szCs w:val="24"/>
          <w:shd w:val="clear" w:color="auto" w:fill="FFFFFF"/>
        </w:rPr>
        <w:t>.</w:t>
      </w:r>
    </w:p>
    <w:p w14:paraId="29E80BC6" w14:textId="77777777" w:rsidR="002A335A" w:rsidRDefault="002A335A">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461872B6" w14:textId="77777777" w:rsidR="002A335A" w:rsidRDefault="002A335A" w:rsidP="002A335A">
      <w:pPr>
        <w:pStyle w:val="Heading1"/>
        <w:rPr>
          <w:lang w:val="en-GB"/>
        </w:rPr>
      </w:pPr>
      <w:bookmarkStart w:id="6" w:name="_Toc133852319"/>
      <w:r>
        <w:rPr>
          <w:lang w:val="en-GB"/>
        </w:rPr>
        <w:lastRenderedPageBreak/>
        <w:t>Appendices</w:t>
      </w:r>
      <w:bookmarkEnd w:id="6"/>
    </w:p>
    <w:p w14:paraId="32F58A68" w14:textId="77777777" w:rsidR="002A335A" w:rsidRDefault="002A335A" w:rsidP="002A335A">
      <w:pPr>
        <w:pStyle w:val="Heading2"/>
        <w:rPr>
          <w:lang w:val="en-GB"/>
        </w:rPr>
      </w:pPr>
      <w:bookmarkStart w:id="7" w:name="_Toc133852320"/>
      <w:r>
        <w:rPr>
          <w:lang w:val="en-GB"/>
        </w:rPr>
        <w:t xml:space="preserve">Appendix 1: </w:t>
      </w:r>
      <w:r w:rsidRPr="002A335A">
        <w:rPr>
          <w:lang w:val="en-GB"/>
        </w:rPr>
        <w:t>Annual reported and adjusted revenue of HSBC Holding plc</w:t>
      </w:r>
      <w:bookmarkEnd w:id="7"/>
    </w:p>
    <w:p w14:paraId="10CB8CE7" w14:textId="77777777" w:rsidR="002A335A" w:rsidRPr="002A335A" w:rsidRDefault="002A335A" w:rsidP="002A335A">
      <w:pPr>
        <w:pStyle w:val="Normal1"/>
        <w:spacing w:line="360" w:lineRule="auto"/>
        <w:jc w:val="center"/>
        <w:rPr>
          <w:rFonts w:ascii="Times New Roman" w:hAnsi="Times New Roman" w:cs="Times New Roman"/>
          <w:sz w:val="24"/>
          <w:lang w:val="en-GB"/>
        </w:rPr>
      </w:pPr>
      <w:r w:rsidRPr="002A335A">
        <w:rPr>
          <w:rFonts w:ascii="Times New Roman" w:hAnsi="Times New Roman" w:cs="Times New Roman"/>
          <w:noProof/>
          <w:sz w:val="24"/>
          <w:lang w:val="en-IN" w:eastAsia="en-IN"/>
        </w:rPr>
        <w:drawing>
          <wp:inline distT="0" distB="0" distL="0" distR="0" wp14:anchorId="07EDEA14" wp14:editId="4D39C5C0">
            <wp:extent cx="5467350" cy="3361602"/>
            <wp:effectExtent l="190500" t="190500" r="171450" b="1631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81266" cy="3370158"/>
                    </a:xfrm>
                    <a:prstGeom prst="rect">
                      <a:avLst/>
                    </a:prstGeom>
                    <a:ln>
                      <a:noFill/>
                    </a:ln>
                    <a:effectLst>
                      <a:outerShdw blurRad="190500" algn="tl" rotWithShape="0">
                        <a:srgbClr val="000000">
                          <a:alpha val="70000"/>
                        </a:srgbClr>
                      </a:outerShdw>
                    </a:effectLst>
                  </pic:spPr>
                </pic:pic>
              </a:graphicData>
            </a:graphic>
          </wp:inline>
        </w:drawing>
      </w:r>
    </w:p>
    <w:p w14:paraId="6BE93A94" w14:textId="77777777" w:rsidR="002A335A" w:rsidRPr="002A335A" w:rsidRDefault="002A335A" w:rsidP="002A335A">
      <w:pPr>
        <w:pStyle w:val="Normal1"/>
        <w:spacing w:line="360" w:lineRule="auto"/>
        <w:jc w:val="center"/>
        <w:rPr>
          <w:rFonts w:ascii="Times New Roman" w:hAnsi="Times New Roman" w:cs="Times New Roman"/>
          <w:sz w:val="24"/>
          <w:lang w:val="en-GB"/>
        </w:rPr>
      </w:pPr>
      <w:r w:rsidRPr="002A335A">
        <w:rPr>
          <w:rFonts w:ascii="Times New Roman" w:hAnsi="Times New Roman" w:cs="Times New Roman"/>
          <w:sz w:val="24"/>
          <w:lang w:val="en-GB"/>
        </w:rPr>
        <w:t>(Source: https://www.statista.com/statistics/620314/annual-revenue-of-hsbc-bank-worldwide/)</w:t>
      </w:r>
    </w:p>
    <w:sectPr w:rsidR="002A335A" w:rsidRPr="002A335A" w:rsidSect="00170BB1">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54D935" w14:textId="77777777" w:rsidR="00F32F1B" w:rsidRDefault="00F32F1B" w:rsidP="00170BB1">
      <w:pPr>
        <w:spacing w:line="240" w:lineRule="auto"/>
      </w:pPr>
      <w:r>
        <w:separator/>
      </w:r>
    </w:p>
  </w:endnote>
  <w:endnote w:type="continuationSeparator" w:id="0">
    <w:p w14:paraId="24FE111E" w14:textId="77777777" w:rsidR="00F32F1B" w:rsidRDefault="00F32F1B" w:rsidP="00170B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5537821"/>
      <w:docPartObj>
        <w:docPartGallery w:val="Page Numbers (Bottom of Page)"/>
        <w:docPartUnique/>
      </w:docPartObj>
    </w:sdtPr>
    <w:sdtContent>
      <w:p w14:paraId="5B92F846" w14:textId="77777777" w:rsidR="00170BB1" w:rsidRDefault="004445D4" w:rsidP="00170BB1">
        <w:pPr>
          <w:pStyle w:val="Footer"/>
          <w:spacing w:line="360" w:lineRule="auto"/>
          <w:jc w:val="right"/>
        </w:pPr>
        <w:r w:rsidRPr="00170BB1">
          <w:rPr>
            <w:rFonts w:ascii="Times New Roman" w:hAnsi="Times New Roman" w:cs="Times New Roman"/>
            <w:sz w:val="20"/>
          </w:rPr>
          <w:fldChar w:fldCharType="begin"/>
        </w:r>
        <w:r w:rsidR="00170BB1" w:rsidRPr="00170BB1">
          <w:rPr>
            <w:rFonts w:ascii="Times New Roman" w:hAnsi="Times New Roman" w:cs="Times New Roman"/>
            <w:sz w:val="20"/>
          </w:rPr>
          <w:instrText xml:space="preserve"> PAGE   \* MERGEFORMAT </w:instrText>
        </w:r>
        <w:r w:rsidRPr="00170BB1">
          <w:rPr>
            <w:rFonts w:ascii="Times New Roman" w:hAnsi="Times New Roman" w:cs="Times New Roman"/>
            <w:sz w:val="20"/>
          </w:rPr>
          <w:fldChar w:fldCharType="separate"/>
        </w:r>
        <w:r w:rsidR="002B0CA4">
          <w:rPr>
            <w:rFonts w:ascii="Times New Roman" w:hAnsi="Times New Roman" w:cs="Times New Roman"/>
            <w:noProof/>
            <w:sz w:val="20"/>
          </w:rPr>
          <w:t>9</w:t>
        </w:r>
        <w:r w:rsidRPr="00170BB1">
          <w:rPr>
            <w:rFonts w:ascii="Times New Roman" w:hAnsi="Times New Roman" w:cs="Times New Roman"/>
            <w:sz w:val="20"/>
          </w:rPr>
          <w:fldChar w:fldCharType="end"/>
        </w:r>
      </w:p>
    </w:sdtContent>
  </w:sdt>
  <w:p w14:paraId="304B7351" w14:textId="77777777" w:rsidR="00170BB1" w:rsidRDefault="00170B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370179" w14:textId="77777777" w:rsidR="00F32F1B" w:rsidRDefault="00F32F1B" w:rsidP="00170BB1">
      <w:pPr>
        <w:spacing w:line="240" w:lineRule="auto"/>
      </w:pPr>
      <w:r>
        <w:separator/>
      </w:r>
    </w:p>
  </w:footnote>
  <w:footnote w:type="continuationSeparator" w:id="0">
    <w:p w14:paraId="50B25ABF" w14:textId="77777777" w:rsidR="00F32F1B" w:rsidRDefault="00F32F1B" w:rsidP="00170BB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207796"/>
    <w:multiLevelType w:val="hybridMultilevel"/>
    <w:tmpl w:val="2D243E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47191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83A"/>
    <w:rsid w:val="000B516C"/>
    <w:rsid w:val="000D496B"/>
    <w:rsid w:val="00157C0E"/>
    <w:rsid w:val="00170BB1"/>
    <w:rsid w:val="001A153A"/>
    <w:rsid w:val="00226840"/>
    <w:rsid w:val="002A335A"/>
    <w:rsid w:val="002B0CA4"/>
    <w:rsid w:val="002B7E58"/>
    <w:rsid w:val="002D3011"/>
    <w:rsid w:val="00325921"/>
    <w:rsid w:val="003C683A"/>
    <w:rsid w:val="004445D4"/>
    <w:rsid w:val="00476307"/>
    <w:rsid w:val="00491026"/>
    <w:rsid w:val="00590E40"/>
    <w:rsid w:val="005C0107"/>
    <w:rsid w:val="007C0700"/>
    <w:rsid w:val="007E5174"/>
    <w:rsid w:val="007F035D"/>
    <w:rsid w:val="00837489"/>
    <w:rsid w:val="00872B0B"/>
    <w:rsid w:val="008A6414"/>
    <w:rsid w:val="008D5B62"/>
    <w:rsid w:val="009056EE"/>
    <w:rsid w:val="009D04FE"/>
    <w:rsid w:val="009D28DC"/>
    <w:rsid w:val="00A3388C"/>
    <w:rsid w:val="00A415CD"/>
    <w:rsid w:val="00AF1747"/>
    <w:rsid w:val="00BA10A6"/>
    <w:rsid w:val="00CB1D67"/>
    <w:rsid w:val="00E672F9"/>
    <w:rsid w:val="00E81617"/>
    <w:rsid w:val="00E97F43"/>
    <w:rsid w:val="00F32F1B"/>
    <w:rsid w:val="00FE1C3B"/>
    <w:rsid w:val="00FF26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C0740"/>
  <w15:docId w15:val="{ABF9CEE6-8528-4A78-9AA1-D41BAAB61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9D28DC"/>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2D3011"/>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1"/>
    <w:next w:val="Normal1"/>
    <w:rsid w:val="003C683A"/>
    <w:pPr>
      <w:keepNext/>
      <w:keepLines/>
      <w:spacing w:before="320" w:after="80"/>
      <w:outlineLvl w:val="2"/>
    </w:pPr>
    <w:rPr>
      <w:color w:val="434343"/>
      <w:sz w:val="28"/>
      <w:szCs w:val="28"/>
    </w:rPr>
  </w:style>
  <w:style w:type="paragraph" w:styleId="Heading4">
    <w:name w:val="heading 4"/>
    <w:basedOn w:val="Normal1"/>
    <w:next w:val="Normal1"/>
    <w:rsid w:val="002D3011"/>
    <w:pPr>
      <w:keepNext/>
      <w:keepLines/>
      <w:spacing w:before="280" w:after="80" w:line="360" w:lineRule="auto"/>
      <w:jc w:val="center"/>
      <w:outlineLvl w:val="3"/>
    </w:pPr>
    <w:rPr>
      <w:rFonts w:ascii="Times New Roman" w:hAnsi="Times New Roman"/>
      <w:b/>
      <w:color w:val="000000" w:themeColor="text1"/>
      <w:sz w:val="24"/>
      <w:szCs w:val="24"/>
    </w:rPr>
  </w:style>
  <w:style w:type="paragraph" w:styleId="Heading5">
    <w:name w:val="heading 5"/>
    <w:basedOn w:val="Normal1"/>
    <w:next w:val="Normal1"/>
    <w:rsid w:val="003C683A"/>
    <w:pPr>
      <w:keepNext/>
      <w:keepLines/>
      <w:spacing w:before="240" w:after="80"/>
      <w:outlineLvl w:val="4"/>
    </w:pPr>
    <w:rPr>
      <w:color w:val="666666"/>
    </w:rPr>
  </w:style>
  <w:style w:type="paragraph" w:styleId="Heading6">
    <w:name w:val="heading 6"/>
    <w:basedOn w:val="Normal1"/>
    <w:next w:val="Normal1"/>
    <w:rsid w:val="003C683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C683A"/>
  </w:style>
  <w:style w:type="table" w:customStyle="1" w:styleId="TableNormal1">
    <w:name w:val="Table Normal1"/>
    <w:rsid w:val="003C683A"/>
    <w:tblPr>
      <w:tblCellMar>
        <w:top w:w="0" w:type="dxa"/>
        <w:left w:w="0" w:type="dxa"/>
        <w:bottom w:w="0" w:type="dxa"/>
        <w:right w:w="0" w:type="dxa"/>
      </w:tblCellMar>
    </w:tblPr>
  </w:style>
  <w:style w:type="paragraph" w:styleId="Title">
    <w:name w:val="Title"/>
    <w:basedOn w:val="Normal1"/>
    <w:next w:val="Normal1"/>
    <w:rsid w:val="003C683A"/>
    <w:pPr>
      <w:keepNext/>
      <w:keepLines/>
      <w:spacing w:after="60"/>
    </w:pPr>
    <w:rPr>
      <w:sz w:val="52"/>
      <w:szCs w:val="52"/>
    </w:rPr>
  </w:style>
  <w:style w:type="paragraph" w:styleId="Subtitle">
    <w:name w:val="Subtitle"/>
    <w:basedOn w:val="Normal1"/>
    <w:next w:val="Normal1"/>
    <w:rsid w:val="003C683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B51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516C"/>
    <w:rPr>
      <w:rFonts w:ascii="Tahoma" w:hAnsi="Tahoma" w:cs="Tahoma"/>
      <w:sz w:val="16"/>
      <w:szCs w:val="16"/>
    </w:rPr>
  </w:style>
  <w:style w:type="character" w:styleId="Hyperlink">
    <w:name w:val="Hyperlink"/>
    <w:basedOn w:val="DefaultParagraphFont"/>
    <w:uiPriority w:val="99"/>
    <w:unhideWhenUsed/>
    <w:rsid w:val="009D28DC"/>
    <w:rPr>
      <w:color w:val="0000FF" w:themeColor="hyperlink"/>
      <w:u w:val="single"/>
    </w:rPr>
  </w:style>
  <w:style w:type="paragraph" w:styleId="TOCHeading">
    <w:name w:val="TOC Heading"/>
    <w:basedOn w:val="Heading1"/>
    <w:next w:val="Normal"/>
    <w:uiPriority w:val="39"/>
    <w:semiHidden/>
    <w:unhideWhenUsed/>
    <w:qFormat/>
    <w:rsid w:val="00157C0E"/>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157C0E"/>
    <w:pPr>
      <w:spacing w:after="100"/>
    </w:pPr>
  </w:style>
  <w:style w:type="paragraph" w:styleId="TOC2">
    <w:name w:val="toc 2"/>
    <w:basedOn w:val="Normal"/>
    <w:next w:val="Normal"/>
    <w:autoRedefine/>
    <w:uiPriority w:val="39"/>
    <w:unhideWhenUsed/>
    <w:rsid w:val="00157C0E"/>
    <w:pPr>
      <w:spacing w:after="100"/>
      <w:ind w:left="220"/>
    </w:pPr>
  </w:style>
  <w:style w:type="paragraph" w:styleId="TableofFigures">
    <w:name w:val="table of figures"/>
    <w:basedOn w:val="Normal"/>
    <w:next w:val="Normal"/>
    <w:uiPriority w:val="99"/>
    <w:unhideWhenUsed/>
    <w:rsid w:val="00157C0E"/>
  </w:style>
  <w:style w:type="paragraph" w:styleId="Header">
    <w:name w:val="header"/>
    <w:basedOn w:val="Normal"/>
    <w:link w:val="HeaderChar"/>
    <w:uiPriority w:val="99"/>
    <w:semiHidden/>
    <w:unhideWhenUsed/>
    <w:rsid w:val="00170BB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70BB1"/>
  </w:style>
  <w:style w:type="paragraph" w:styleId="Footer">
    <w:name w:val="footer"/>
    <w:basedOn w:val="Normal"/>
    <w:link w:val="FooterChar"/>
    <w:uiPriority w:val="99"/>
    <w:unhideWhenUsed/>
    <w:rsid w:val="00170BB1"/>
    <w:pPr>
      <w:tabs>
        <w:tab w:val="center" w:pos="4680"/>
        <w:tab w:val="right" w:pos="9360"/>
      </w:tabs>
      <w:spacing w:line="240" w:lineRule="auto"/>
    </w:pPr>
  </w:style>
  <w:style w:type="character" w:customStyle="1" w:styleId="FooterChar">
    <w:name w:val="Footer Char"/>
    <w:basedOn w:val="DefaultParagraphFont"/>
    <w:link w:val="Footer"/>
    <w:uiPriority w:val="99"/>
    <w:rsid w:val="00170BB1"/>
  </w:style>
  <w:style w:type="paragraph" w:styleId="NormalWeb">
    <w:name w:val="Normal (Web)"/>
    <w:basedOn w:val="Normal"/>
    <w:uiPriority w:val="99"/>
    <w:semiHidden/>
    <w:unhideWhenUsed/>
    <w:rsid w:val="007E5174"/>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547750">
      <w:bodyDiv w:val="1"/>
      <w:marLeft w:val="0"/>
      <w:marRight w:val="0"/>
      <w:marTop w:val="0"/>
      <w:marBottom w:val="0"/>
      <w:divBdr>
        <w:top w:val="none" w:sz="0" w:space="0" w:color="auto"/>
        <w:left w:val="none" w:sz="0" w:space="0" w:color="auto"/>
        <w:bottom w:val="none" w:sz="0" w:space="0" w:color="auto"/>
        <w:right w:val="none" w:sz="0" w:space="0" w:color="auto"/>
      </w:divBdr>
    </w:div>
    <w:div w:id="960647042">
      <w:bodyDiv w:val="1"/>
      <w:marLeft w:val="0"/>
      <w:marRight w:val="0"/>
      <w:marTop w:val="0"/>
      <w:marBottom w:val="0"/>
      <w:divBdr>
        <w:top w:val="none" w:sz="0" w:space="0" w:color="auto"/>
        <w:left w:val="none" w:sz="0" w:space="0" w:color="auto"/>
        <w:bottom w:val="none" w:sz="0" w:space="0" w:color="auto"/>
        <w:right w:val="none" w:sz="0" w:space="0" w:color="auto"/>
      </w:divBdr>
    </w:div>
    <w:div w:id="1160658892">
      <w:bodyDiv w:val="1"/>
      <w:marLeft w:val="0"/>
      <w:marRight w:val="0"/>
      <w:marTop w:val="0"/>
      <w:marBottom w:val="0"/>
      <w:divBdr>
        <w:top w:val="none" w:sz="0" w:space="0" w:color="auto"/>
        <w:left w:val="none" w:sz="0" w:space="0" w:color="auto"/>
        <w:bottom w:val="none" w:sz="0" w:space="0" w:color="auto"/>
        <w:right w:val="none" w:sz="0" w:space="0" w:color="auto"/>
      </w:divBdr>
    </w:div>
    <w:div w:id="14755652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about.hsbc.co.in/"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2AEA69C-22B3-4B94-A909-8E3344CEEB8A}" type="doc">
      <dgm:prSet loTypeId="urn:microsoft.com/office/officeart/2005/8/layout/pyramid2" loCatId="list" qsTypeId="urn:microsoft.com/office/officeart/2005/8/quickstyle/3d3" qsCatId="3D" csTypeId="urn:microsoft.com/office/officeart/2005/8/colors/accent1_2" csCatId="accent1" phldr="1"/>
      <dgm:spPr/>
    </dgm:pt>
    <dgm:pt modelId="{B69E9808-2E91-4FC6-9040-329418581FD0}">
      <dgm:prSet phldrT="[Text]" custT="1"/>
      <dgm:spPr>
        <a:solidFill>
          <a:schemeClr val="accent2">
            <a:lumMod val="75000"/>
            <a:alpha val="90000"/>
          </a:schemeClr>
        </a:solidFill>
        <a:effectLst>
          <a:outerShdw blurRad="50800" dist="38100" dir="18900000" algn="bl" rotWithShape="0">
            <a:prstClr val="black">
              <a:alpha val="40000"/>
            </a:prstClr>
          </a:outerShdw>
        </a:effectLst>
        <a:scene3d>
          <a:camera prst="perspectiveBelow"/>
          <a:lightRig rig="contrasting" dir="t">
            <a:rot lat="0" lon="0" rev="1200000"/>
          </a:lightRig>
        </a:scene3d>
        <a:sp3d z="300000" contourW="19050" prstMaterial="metal">
          <a:bevelT w="88900" h="203200"/>
          <a:bevelB w="165100" h="254000"/>
        </a:sp3d>
      </dgm:spPr>
      <dgm:t>
        <a:bodyPr/>
        <a:lstStyle/>
        <a:p>
          <a:r>
            <a:rPr lang="en-US" sz="1600" b="1" i="1">
              <a:latin typeface="Times New Roman" panose="02020603050405020304" pitchFamily="18" charset="0"/>
              <a:cs typeface="Times New Roman" panose="02020603050405020304" pitchFamily="18" charset="0"/>
            </a:rPr>
            <a:t>Efficient Market Hypothesis</a:t>
          </a:r>
          <a:endParaRPr lang="en-IN" sz="1600">
            <a:latin typeface="Times New Roman" panose="02020603050405020304" pitchFamily="18" charset="0"/>
            <a:cs typeface="Times New Roman" panose="02020603050405020304" pitchFamily="18" charset="0"/>
          </a:endParaRPr>
        </a:p>
      </dgm:t>
    </dgm:pt>
    <dgm:pt modelId="{1315F7F4-B908-4257-8994-8BBC5C2A4260}" type="parTrans" cxnId="{87C0BD0B-2E44-4799-8218-43E4C7A6ADAE}">
      <dgm:prSet/>
      <dgm:spPr/>
      <dgm:t>
        <a:bodyPr/>
        <a:lstStyle/>
        <a:p>
          <a:endParaRPr lang="en-IN"/>
        </a:p>
      </dgm:t>
    </dgm:pt>
    <dgm:pt modelId="{8EB21E9D-122D-4F2A-B789-87E7EFC7DD35}" type="sibTrans" cxnId="{87C0BD0B-2E44-4799-8218-43E4C7A6ADAE}">
      <dgm:prSet/>
      <dgm:spPr/>
      <dgm:t>
        <a:bodyPr/>
        <a:lstStyle/>
        <a:p>
          <a:endParaRPr lang="en-IN"/>
        </a:p>
      </dgm:t>
    </dgm:pt>
    <dgm:pt modelId="{B73817DC-10BA-4C14-AD68-B05C73F369DE}">
      <dgm:prSet phldrT="[Text]" custT="1"/>
      <dgm:spPr>
        <a:solidFill>
          <a:schemeClr val="accent2">
            <a:lumMod val="75000"/>
            <a:alpha val="90000"/>
          </a:schemeClr>
        </a:solidFill>
        <a:effectLst>
          <a:outerShdw blurRad="50800" dist="38100" dir="18900000" algn="bl" rotWithShape="0">
            <a:prstClr val="black">
              <a:alpha val="40000"/>
            </a:prstClr>
          </a:outerShdw>
        </a:effectLst>
        <a:scene3d>
          <a:camera prst="perspectiveBelow"/>
          <a:lightRig rig="contrasting" dir="t">
            <a:rot lat="0" lon="0" rev="1200000"/>
          </a:lightRig>
        </a:scene3d>
        <a:sp3d z="300000" contourW="19050" prstMaterial="metal">
          <a:bevelT w="88900" h="203200"/>
          <a:bevelB w="165100" h="254000"/>
        </a:sp3d>
      </dgm:spPr>
      <dgm:t>
        <a:bodyPr/>
        <a:lstStyle/>
        <a:p>
          <a:r>
            <a:rPr lang="en-US" sz="1600" b="1" i="1">
              <a:latin typeface="Times New Roman" panose="02020603050405020304" pitchFamily="18" charset="0"/>
              <a:cs typeface="Times New Roman" panose="02020603050405020304" pitchFamily="18" charset="0"/>
            </a:rPr>
            <a:t>Modigliani-Miller theorem</a:t>
          </a:r>
          <a:endParaRPr lang="en-IN" sz="1600">
            <a:latin typeface="Times New Roman" panose="02020603050405020304" pitchFamily="18" charset="0"/>
            <a:cs typeface="Times New Roman" panose="02020603050405020304" pitchFamily="18" charset="0"/>
          </a:endParaRPr>
        </a:p>
      </dgm:t>
    </dgm:pt>
    <dgm:pt modelId="{6808821F-8A08-4D86-B1C7-13D59208C744}" type="parTrans" cxnId="{F69EB4CA-A5D6-40B1-9E55-C4E0E59A86CE}">
      <dgm:prSet/>
      <dgm:spPr/>
      <dgm:t>
        <a:bodyPr/>
        <a:lstStyle/>
        <a:p>
          <a:endParaRPr lang="en-IN"/>
        </a:p>
      </dgm:t>
    </dgm:pt>
    <dgm:pt modelId="{283FA0AA-5C85-4E86-AAE3-1CD94D84201E}" type="sibTrans" cxnId="{F69EB4CA-A5D6-40B1-9E55-C4E0E59A86CE}">
      <dgm:prSet/>
      <dgm:spPr/>
      <dgm:t>
        <a:bodyPr/>
        <a:lstStyle/>
        <a:p>
          <a:endParaRPr lang="en-IN"/>
        </a:p>
      </dgm:t>
    </dgm:pt>
    <dgm:pt modelId="{7B91719E-626F-43DB-AD58-5D4E3C705297}">
      <dgm:prSet phldrT="[Text]" custT="1"/>
      <dgm:spPr>
        <a:solidFill>
          <a:schemeClr val="accent2">
            <a:lumMod val="75000"/>
            <a:alpha val="90000"/>
          </a:schemeClr>
        </a:solidFill>
        <a:effectLst>
          <a:outerShdw blurRad="50800" dist="38100" dir="18900000" algn="bl" rotWithShape="0">
            <a:prstClr val="black">
              <a:alpha val="40000"/>
            </a:prstClr>
          </a:outerShdw>
        </a:effectLst>
        <a:scene3d>
          <a:camera prst="perspectiveBelow"/>
          <a:lightRig rig="contrasting" dir="t">
            <a:rot lat="0" lon="0" rev="1200000"/>
          </a:lightRig>
        </a:scene3d>
        <a:sp3d z="300000" contourW="19050" prstMaterial="metal">
          <a:bevelT w="88900" h="203200"/>
          <a:bevelB w="165100" h="254000"/>
        </a:sp3d>
      </dgm:spPr>
      <dgm:t>
        <a:bodyPr/>
        <a:lstStyle/>
        <a:p>
          <a:r>
            <a:rPr lang="en-US" sz="1600" b="1" i="1">
              <a:latin typeface="Times New Roman" panose="02020603050405020304" pitchFamily="18" charset="0"/>
              <a:cs typeface="Times New Roman" panose="02020603050405020304" pitchFamily="18" charset="0"/>
            </a:rPr>
            <a:t>Event study analysis</a:t>
          </a:r>
          <a:endParaRPr lang="en-IN" sz="1600">
            <a:latin typeface="Times New Roman" panose="02020603050405020304" pitchFamily="18" charset="0"/>
            <a:cs typeface="Times New Roman" panose="02020603050405020304" pitchFamily="18" charset="0"/>
          </a:endParaRPr>
        </a:p>
      </dgm:t>
    </dgm:pt>
    <dgm:pt modelId="{1EB9EFEC-4661-45B1-A9FA-840ACD530882}" type="parTrans" cxnId="{791DF091-FBFF-432B-B6F5-487309EB2333}">
      <dgm:prSet/>
      <dgm:spPr/>
      <dgm:t>
        <a:bodyPr/>
        <a:lstStyle/>
        <a:p>
          <a:endParaRPr lang="en-IN"/>
        </a:p>
      </dgm:t>
    </dgm:pt>
    <dgm:pt modelId="{4D4BAFB4-9D85-4D4B-ABA4-084FF1D9EB10}" type="sibTrans" cxnId="{791DF091-FBFF-432B-B6F5-487309EB2333}">
      <dgm:prSet/>
      <dgm:spPr/>
      <dgm:t>
        <a:bodyPr/>
        <a:lstStyle/>
        <a:p>
          <a:endParaRPr lang="en-IN"/>
        </a:p>
      </dgm:t>
    </dgm:pt>
    <dgm:pt modelId="{0127271B-E160-4516-8713-F3025B7F49DE}" type="pres">
      <dgm:prSet presAssocID="{B2AEA69C-22B3-4B94-A909-8E3344CEEB8A}" presName="compositeShape" presStyleCnt="0">
        <dgm:presLayoutVars>
          <dgm:dir/>
          <dgm:resizeHandles/>
        </dgm:presLayoutVars>
      </dgm:prSet>
      <dgm:spPr/>
    </dgm:pt>
    <dgm:pt modelId="{A9C86220-E5BB-4426-9F2D-FF0F1E0328C1}" type="pres">
      <dgm:prSet presAssocID="{B2AEA69C-22B3-4B94-A909-8E3344CEEB8A}" presName="pyramid" presStyleLbl="node1" presStyleIdx="0" presStyleCnt="1"/>
      <dgm:spPr>
        <a:solidFill>
          <a:schemeClr val="accent5">
            <a:lumMod val="50000"/>
          </a:schemeClr>
        </a:solidFill>
      </dgm:spPr>
    </dgm:pt>
    <dgm:pt modelId="{C2783786-C8A0-4971-93F6-B26566BFB4F9}" type="pres">
      <dgm:prSet presAssocID="{B2AEA69C-22B3-4B94-A909-8E3344CEEB8A}" presName="theList" presStyleCnt="0"/>
      <dgm:spPr/>
    </dgm:pt>
    <dgm:pt modelId="{3B4B1589-0F0E-4099-BA4D-8B37BAFB6FF5}" type="pres">
      <dgm:prSet presAssocID="{B69E9808-2E91-4FC6-9040-329418581FD0}" presName="aNode" presStyleLbl="fgAcc1" presStyleIdx="0" presStyleCnt="3">
        <dgm:presLayoutVars>
          <dgm:bulletEnabled val="1"/>
        </dgm:presLayoutVars>
      </dgm:prSet>
      <dgm:spPr/>
    </dgm:pt>
    <dgm:pt modelId="{41328BB4-480A-4635-B697-5D1294AB8F26}" type="pres">
      <dgm:prSet presAssocID="{B69E9808-2E91-4FC6-9040-329418581FD0}" presName="aSpace" presStyleCnt="0"/>
      <dgm:spPr/>
    </dgm:pt>
    <dgm:pt modelId="{B002D10D-7EF3-44D1-A885-11CA45634915}" type="pres">
      <dgm:prSet presAssocID="{B73817DC-10BA-4C14-AD68-B05C73F369DE}" presName="aNode" presStyleLbl="fgAcc1" presStyleIdx="1" presStyleCnt="3">
        <dgm:presLayoutVars>
          <dgm:bulletEnabled val="1"/>
        </dgm:presLayoutVars>
      </dgm:prSet>
      <dgm:spPr/>
    </dgm:pt>
    <dgm:pt modelId="{15DF4C49-683A-44E3-AC9F-4D412F372181}" type="pres">
      <dgm:prSet presAssocID="{B73817DC-10BA-4C14-AD68-B05C73F369DE}" presName="aSpace" presStyleCnt="0"/>
      <dgm:spPr/>
    </dgm:pt>
    <dgm:pt modelId="{563B11AE-19AC-470A-87A6-B77BC969B594}" type="pres">
      <dgm:prSet presAssocID="{7B91719E-626F-43DB-AD58-5D4E3C705297}" presName="aNode" presStyleLbl="fgAcc1" presStyleIdx="2" presStyleCnt="3">
        <dgm:presLayoutVars>
          <dgm:bulletEnabled val="1"/>
        </dgm:presLayoutVars>
      </dgm:prSet>
      <dgm:spPr/>
    </dgm:pt>
    <dgm:pt modelId="{69F27D73-5EF8-4C99-AEA9-D74E3C03F28E}" type="pres">
      <dgm:prSet presAssocID="{7B91719E-626F-43DB-AD58-5D4E3C705297}" presName="aSpace" presStyleCnt="0"/>
      <dgm:spPr/>
    </dgm:pt>
  </dgm:ptLst>
  <dgm:cxnLst>
    <dgm:cxn modelId="{87C0BD0B-2E44-4799-8218-43E4C7A6ADAE}" srcId="{B2AEA69C-22B3-4B94-A909-8E3344CEEB8A}" destId="{B69E9808-2E91-4FC6-9040-329418581FD0}" srcOrd="0" destOrd="0" parTransId="{1315F7F4-B908-4257-8994-8BBC5C2A4260}" sibTransId="{8EB21E9D-122D-4F2A-B789-87E7EFC7DD35}"/>
    <dgm:cxn modelId="{F00B6842-2761-4300-BC7A-A046D371F8D8}" type="presOf" srcId="{7B91719E-626F-43DB-AD58-5D4E3C705297}" destId="{563B11AE-19AC-470A-87A6-B77BC969B594}" srcOrd="0" destOrd="0" presId="urn:microsoft.com/office/officeart/2005/8/layout/pyramid2"/>
    <dgm:cxn modelId="{2573814F-04AF-4A60-9EC5-1AC4DF6EB416}" type="presOf" srcId="{B69E9808-2E91-4FC6-9040-329418581FD0}" destId="{3B4B1589-0F0E-4099-BA4D-8B37BAFB6FF5}" srcOrd="0" destOrd="0" presId="urn:microsoft.com/office/officeart/2005/8/layout/pyramid2"/>
    <dgm:cxn modelId="{791DF091-FBFF-432B-B6F5-487309EB2333}" srcId="{B2AEA69C-22B3-4B94-A909-8E3344CEEB8A}" destId="{7B91719E-626F-43DB-AD58-5D4E3C705297}" srcOrd="2" destOrd="0" parTransId="{1EB9EFEC-4661-45B1-A9FA-840ACD530882}" sibTransId="{4D4BAFB4-9D85-4D4B-ABA4-084FF1D9EB10}"/>
    <dgm:cxn modelId="{A0B83FB3-C469-4B7C-9CBC-BA3C74F1C288}" type="presOf" srcId="{B2AEA69C-22B3-4B94-A909-8E3344CEEB8A}" destId="{0127271B-E160-4516-8713-F3025B7F49DE}" srcOrd="0" destOrd="0" presId="urn:microsoft.com/office/officeart/2005/8/layout/pyramid2"/>
    <dgm:cxn modelId="{07678FC6-9AA6-4C68-8BAF-3D55F93946E0}" type="presOf" srcId="{B73817DC-10BA-4C14-AD68-B05C73F369DE}" destId="{B002D10D-7EF3-44D1-A885-11CA45634915}" srcOrd="0" destOrd="0" presId="urn:microsoft.com/office/officeart/2005/8/layout/pyramid2"/>
    <dgm:cxn modelId="{F69EB4CA-A5D6-40B1-9E55-C4E0E59A86CE}" srcId="{B2AEA69C-22B3-4B94-A909-8E3344CEEB8A}" destId="{B73817DC-10BA-4C14-AD68-B05C73F369DE}" srcOrd="1" destOrd="0" parTransId="{6808821F-8A08-4D86-B1C7-13D59208C744}" sibTransId="{283FA0AA-5C85-4E86-AAE3-1CD94D84201E}"/>
    <dgm:cxn modelId="{9E7A641D-7552-4AC4-B31F-84E679956D3F}" type="presParOf" srcId="{0127271B-E160-4516-8713-F3025B7F49DE}" destId="{A9C86220-E5BB-4426-9F2D-FF0F1E0328C1}" srcOrd="0" destOrd="0" presId="urn:microsoft.com/office/officeart/2005/8/layout/pyramid2"/>
    <dgm:cxn modelId="{FEE982EC-E13F-45D9-BD23-65049A6287F3}" type="presParOf" srcId="{0127271B-E160-4516-8713-F3025B7F49DE}" destId="{C2783786-C8A0-4971-93F6-B26566BFB4F9}" srcOrd="1" destOrd="0" presId="urn:microsoft.com/office/officeart/2005/8/layout/pyramid2"/>
    <dgm:cxn modelId="{523620F2-C16F-4ADA-9EEC-21EF7E04C904}" type="presParOf" srcId="{C2783786-C8A0-4971-93F6-B26566BFB4F9}" destId="{3B4B1589-0F0E-4099-BA4D-8B37BAFB6FF5}" srcOrd="0" destOrd="0" presId="urn:microsoft.com/office/officeart/2005/8/layout/pyramid2"/>
    <dgm:cxn modelId="{180F911F-2376-4BE1-8292-7D05319AD8C0}" type="presParOf" srcId="{C2783786-C8A0-4971-93F6-B26566BFB4F9}" destId="{41328BB4-480A-4635-B697-5D1294AB8F26}" srcOrd="1" destOrd="0" presId="urn:microsoft.com/office/officeart/2005/8/layout/pyramid2"/>
    <dgm:cxn modelId="{B2F5D785-8A67-499E-BC90-72D8C5B87D11}" type="presParOf" srcId="{C2783786-C8A0-4971-93F6-B26566BFB4F9}" destId="{B002D10D-7EF3-44D1-A885-11CA45634915}" srcOrd="2" destOrd="0" presId="urn:microsoft.com/office/officeart/2005/8/layout/pyramid2"/>
    <dgm:cxn modelId="{94D33692-EC97-4885-86C0-036159EE79ED}" type="presParOf" srcId="{C2783786-C8A0-4971-93F6-B26566BFB4F9}" destId="{15DF4C49-683A-44E3-AC9F-4D412F372181}" srcOrd="3" destOrd="0" presId="urn:microsoft.com/office/officeart/2005/8/layout/pyramid2"/>
    <dgm:cxn modelId="{DDA899BB-6828-4275-985C-D959B7D3F52E}" type="presParOf" srcId="{C2783786-C8A0-4971-93F6-B26566BFB4F9}" destId="{563B11AE-19AC-470A-87A6-B77BC969B594}" srcOrd="4" destOrd="0" presId="urn:microsoft.com/office/officeart/2005/8/layout/pyramid2"/>
    <dgm:cxn modelId="{2FEAE0AF-A4F7-4B0D-82CA-C566C8BC2884}" type="presParOf" srcId="{C2783786-C8A0-4971-93F6-B26566BFB4F9}" destId="{69F27D73-5EF8-4C99-AEA9-D74E3C03F28E}" srcOrd="5" destOrd="0" presId="urn:microsoft.com/office/officeart/2005/8/layout/pyramid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9C86220-E5BB-4426-9F2D-FF0F1E0328C1}">
      <dsp:nvSpPr>
        <dsp:cNvPr id="0" name=""/>
        <dsp:cNvSpPr/>
      </dsp:nvSpPr>
      <dsp:spPr>
        <a:xfrm>
          <a:off x="902969" y="0"/>
          <a:ext cx="3200400" cy="3200400"/>
        </a:xfrm>
        <a:prstGeom prst="triangle">
          <a:avLst/>
        </a:prstGeom>
        <a:solidFill>
          <a:schemeClr val="accent5">
            <a:lumMod val="5000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3B4B1589-0F0E-4099-BA4D-8B37BAFB6FF5}">
      <dsp:nvSpPr>
        <dsp:cNvPr id="0" name=""/>
        <dsp:cNvSpPr/>
      </dsp:nvSpPr>
      <dsp:spPr>
        <a:xfrm>
          <a:off x="2503170" y="321758"/>
          <a:ext cx="2080260" cy="757594"/>
        </a:xfrm>
        <a:prstGeom prst="roundRect">
          <a:avLst/>
        </a:prstGeom>
        <a:solidFill>
          <a:schemeClr val="accent2">
            <a:lumMod val="75000"/>
            <a:alpha val="90000"/>
          </a:schemeClr>
        </a:solidFill>
        <a:ln>
          <a:noFill/>
        </a:ln>
        <a:effectLst>
          <a:outerShdw blurRad="50800" dist="38100" dir="18900000" algn="bl" rotWithShape="0">
            <a:prstClr val="black">
              <a:alpha val="40000"/>
            </a:prstClr>
          </a:outerShdw>
        </a:effectLst>
        <a:scene3d>
          <a:camera prst="perspectiveBelow"/>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i="1" kern="1200">
              <a:latin typeface="Times New Roman" panose="02020603050405020304" pitchFamily="18" charset="0"/>
              <a:cs typeface="Times New Roman" panose="02020603050405020304" pitchFamily="18" charset="0"/>
            </a:rPr>
            <a:t>Efficient Market Hypothesis</a:t>
          </a:r>
          <a:endParaRPr lang="en-IN" sz="1600" kern="1200">
            <a:latin typeface="Times New Roman" panose="02020603050405020304" pitchFamily="18" charset="0"/>
            <a:cs typeface="Times New Roman" panose="02020603050405020304" pitchFamily="18" charset="0"/>
          </a:endParaRPr>
        </a:p>
      </dsp:txBody>
      <dsp:txXfrm>
        <a:off x="2540153" y="358741"/>
        <a:ext cx="2006294" cy="683628"/>
      </dsp:txXfrm>
    </dsp:sp>
    <dsp:sp modelId="{B002D10D-7EF3-44D1-A885-11CA45634915}">
      <dsp:nvSpPr>
        <dsp:cNvPr id="0" name=""/>
        <dsp:cNvSpPr/>
      </dsp:nvSpPr>
      <dsp:spPr>
        <a:xfrm>
          <a:off x="2503170" y="1174052"/>
          <a:ext cx="2080260" cy="757594"/>
        </a:xfrm>
        <a:prstGeom prst="roundRect">
          <a:avLst/>
        </a:prstGeom>
        <a:solidFill>
          <a:schemeClr val="accent2">
            <a:lumMod val="75000"/>
            <a:alpha val="90000"/>
          </a:schemeClr>
        </a:solidFill>
        <a:ln>
          <a:noFill/>
        </a:ln>
        <a:effectLst>
          <a:outerShdw blurRad="50800" dist="38100" dir="18900000" algn="bl" rotWithShape="0">
            <a:prstClr val="black">
              <a:alpha val="40000"/>
            </a:prstClr>
          </a:outerShdw>
        </a:effectLst>
        <a:scene3d>
          <a:camera prst="perspectiveBelow"/>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i="1" kern="1200">
              <a:latin typeface="Times New Roman" panose="02020603050405020304" pitchFamily="18" charset="0"/>
              <a:cs typeface="Times New Roman" panose="02020603050405020304" pitchFamily="18" charset="0"/>
            </a:rPr>
            <a:t>Modigliani-Miller theorem</a:t>
          </a:r>
          <a:endParaRPr lang="en-IN" sz="1600" kern="1200">
            <a:latin typeface="Times New Roman" panose="02020603050405020304" pitchFamily="18" charset="0"/>
            <a:cs typeface="Times New Roman" panose="02020603050405020304" pitchFamily="18" charset="0"/>
          </a:endParaRPr>
        </a:p>
      </dsp:txBody>
      <dsp:txXfrm>
        <a:off x="2540153" y="1211035"/>
        <a:ext cx="2006294" cy="683628"/>
      </dsp:txXfrm>
    </dsp:sp>
    <dsp:sp modelId="{563B11AE-19AC-470A-87A6-B77BC969B594}">
      <dsp:nvSpPr>
        <dsp:cNvPr id="0" name=""/>
        <dsp:cNvSpPr/>
      </dsp:nvSpPr>
      <dsp:spPr>
        <a:xfrm>
          <a:off x="2503170" y="2026347"/>
          <a:ext cx="2080260" cy="757594"/>
        </a:xfrm>
        <a:prstGeom prst="roundRect">
          <a:avLst/>
        </a:prstGeom>
        <a:solidFill>
          <a:schemeClr val="accent2">
            <a:lumMod val="75000"/>
            <a:alpha val="90000"/>
          </a:schemeClr>
        </a:solidFill>
        <a:ln>
          <a:noFill/>
        </a:ln>
        <a:effectLst>
          <a:outerShdw blurRad="50800" dist="38100" dir="18900000" algn="bl" rotWithShape="0">
            <a:prstClr val="black">
              <a:alpha val="40000"/>
            </a:prstClr>
          </a:outerShdw>
        </a:effectLst>
        <a:scene3d>
          <a:camera prst="perspectiveBelow"/>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i="1" kern="1200">
              <a:latin typeface="Times New Roman" panose="02020603050405020304" pitchFamily="18" charset="0"/>
              <a:cs typeface="Times New Roman" panose="02020603050405020304" pitchFamily="18" charset="0"/>
            </a:rPr>
            <a:t>Event study analysis</a:t>
          </a:r>
          <a:endParaRPr lang="en-IN" sz="1600" kern="1200">
            <a:latin typeface="Times New Roman" panose="02020603050405020304" pitchFamily="18" charset="0"/>
            <a:cs typeface="Times New Roman" panose="02020603050405020304" pitchFamily="18" charset="0"/>
          </a:endParaRPr>
        </a:p>
      </dsp:txBody>
      <dsp:txXfrm>
        <a:off x="2540153" y="2063330"/>
        <a:ext cx="2006294" cy="683628"/>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0D27BC86-D939-4BB9-AA64-CBE3AEFE6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2140</Words>
  <Characters>12202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chiriac</dc:creator>
  <cp:lastModifiedBy>Patricia Constandache (2020640)</cp:lastModifiedBy>
  <cp:revision>2</cp:revision>
  <dcterms:created xsi:type="dcterms:W3CDTF">2023-05-07T09:22:00Z</dcterms:created>
  <dcterms:modified xsi:type="dcterms:W3CDTF">2023-05-07T09:22:00Z</dcterms:modified>
</cp:coreProperties>
</file>