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38F8D" w14:textId="77777777" w:rsidR="00926BE1" w:rsidRPr="00926BE1" w:rsidRDefault="00926BE1" w:rsidP="00136FEC">
      <w:pPr>
        <w:rPr>
          <w:rFonts w:ascii="Arial" w:hAnsi="Arial" w:cs="Arial"/>
          <w:b/>
          <w:bCs/>
          <w:sz w:val="24"/>
          <w:szCs w:val="24"/>
        </w:rPr>
      </w:pPr>
      <w:r w:rsidRPr="00926BE1">
        <w:rPr>
          <w:rFonts w:ascii="Arial" w:hAnsi="Arial" w:cs="Arial"/>
          <w:b/>
          <w:bCs/>
          <w:sz w:val="24"/>
          <w:szCs w:val="24"/>
        </w:rPr>
        <w:t>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A heated argument ensues, during which Jamie admits to having had a brief affair with a co-worker, Emma, a few months earlier. Carla, overwhelmed by anger and sadness, rushes to the kitchen and grabs a kitchen knife. She then stabs Jamie in the chest, causing him serious injuries.</w:t>
      </w:r>
    </w:p>
    <w:p w14:paraId="3D46CE98" w14:textId="5655558C" w:rsidR="00926BE1" w:rsidRPr="00926BE1" w:rsidRDefault="00926BE1" w:rsidP="00136FEC">
      <w:pPr>
        <w:rPr>
          <w:rFonts w:ascii="Arial" w:hAnsi="Arial" w:cs="Arial"/>
          <w:b/>
          <w:bCs/>
          <w:sz w:val="24"/>
          <w:szCs w:val="24"/>
        </w:rPr>
      </w:pPr>
      <w:r w:rsidRPr="00926BE1">
        <w:rPr>
          <w:rFonts w:ascii="Arial" w:hAnsi="Arial" w:cs="Arial"/>
          <w:b/>
          <w:bCs/>
          <w:sz w:val="24"/>
          <w:szCs w:val="24"/>
        </w:rPr>
        <w:t>Discuss Carla's potential criminal liability, considering relevant case law and legislation. In your analysis, address issues such as the elements of the offence, any potential defences, and the relevance of Carla's emotional state and the confession made by Jamie during the argument.</w:t>
      </w:r>
    </w:p>
    <w:p w14:paraId="1018702B" w14:textId="799D92D0" w:rsidR="00A633BB" w:rsidRDefault="00926BE1" w:rsidP="00136FEC">
      <w:pPr>
        <w:rPr>
          <w:rFonts w:ascii="Arial" w:hAnsi="Arial" w:cs="Arial"/>
          <w:b/>
          <w:bCs/>
          <w:sz w:val="24"/>
          <w:szCs w:val="24"/>
        </w:rPr>
      </w:pPr>
      <w:r w:rsidRPr="00926BE1">
        <w:rPr>
          <w:rFonts w:ascii="Arial" w:hAnsi="Arial" w:cs="Arial"/>
          <w:b/>
          <w:bCs/>
          <w:sz w:val="24"/>
          <w:szCs w:val="24"/>
        </w:rPr>
        <w:t>Discuss the offences committed and any defences that may be considered.</w:t>
      </w:r>
      <w:r w:rsidR="00136FEC">
        <w:rPr>
          <w:rFonts w:ascii="Arial" w:hAnsi="Arial" w:cs="Arial"/>
          <w:b/>
          <w:bCs/>
          <w:sz w:val="24"/>
          <w:szCs w:val="24"/>
        </w:rPr>
        <w:br/>
      </w:r>
    </w:p>
    <w:p w14:paraId="2AEB3469" w14:textId="0752E54F" w:rsidR="00A85F9C" w:rsidRDefault="0040132E" w:rsidP="00C01720">
      <w:pPr>
        <w:spacing w:line="480" w:lineRule="auto"/>
        <w:rPr>
          <w:rFonts w:ascii="Arial" w:hAnsi="Arial" w:cs="Arial"/>
          <w:sz w:val="24"/>
          <w:szCs w:val="24"/>
        </w:rPr>
      </w:pPr>
      <w:r>
        <w:rPr>
          <w:rFonts w:ascii="Arial" w:hAnsi="Arial" w:cs="Arial"/>
          <w:sz w:val="24"/>
          <w:szCs w:val="24"/>
        </w:rPr>
        <w:t xml:space="preserve">Carla and her partner Jamie had been married for 15 years, however Carla claims to been dealing with marital problems. Jamie comes home after being out with friends, intoxicated, and admits to Carla that </w:t>
      </w:r>
      <w:r w:rsidR="00181B67">
        <w:rPr>
          <w:rFonts w:ascii="Arial" w:hAnsi="Arial" w:cs="Arial"/>
          <w:sz w:val="24"/>
          <w:szCs w:val="24"/>
        </w:rPr>
        <w:t xml:space="preserve">Jamie </w:t>
      </w:r>
      <w:r>
        <w:rPr>
          <w:rFonts w:ascii="Arial" w:hAnsi="Arial" w:cs="Arial"/>
          <w:sz w:val="24"/>
          <w:szCs w:val="24"/>
        </w:rPr>
        <w:t xml:space="preserve">had an affair. This caused Carla to become angry and sad, and rush into the kitchen to grab a knife. Carla stabs Jamie in the chest causing him serious injuries. </w:t>
      </w:r>
      <w:r w:rsidR="00164CF8">
        <w:rPr>
          <w:rFonts w:ascii="Arial" w:hAnsi="Arial" w:cs="Arial"/>
          <w:sz w:val="24"/>
          <w:szCs w:val="24"/>
        </w:rPr>
        <w:t xml:space="preserve">After reading the scenario, Carla could be liable for causing grievous bodily harm </w:t>
      </w:r>
      <w:r w:rsidR="007C7801">
        <w:rPr>
          <w:rFonts w:ascii="Arial" w:hAnsi="Arial" w:cs="Arial"/>
          <w:sz w:val="24"/>
          <w:szCs w:val="24"/>
        </w:rPr>
        <w:t xml:space="preserve">(GBH) </w:t>
      </w:r>
      <w:r w:rsidR="00164CF8">
        <w:rPr>
          <w:rFonts w:ascii="Arial" w:hAnsi="Arial" w:cs="Arial"/>
          <w:sz w:val="24"/>
          <w:szCs w:val="24"/>
        </w:rPr>
        <w:t>and attempted murder.</w:t>
      </w:r>
      <w:r w:rsidR="00353606">
        <w:rPr>
          <w:rFonts w:ascii="Arial" w:hAnsi="Arial" w:cs="Arial"/>
          <w:sz w:val="24"/>
          <w:szCs w:val="24"/>
        </w:rPr>
        <w:t xml:space="preserve"> </w:t>
      </w:r>
      <w:r>
        <w:rPr>
          <w:rFonts w:ascii="Arial" w:hAnsi="Arial" w:cs="Arial"/>
          <w:sz w:val="24"/>
          <w:szCs w:val="24"/>
        </w:rPr>
        <w:t>This</w:t>
      </w:r>
      <w:r w:rsidR="00BB2A7E">
        <w:rPr>
          <w:rFonts w:ascii="Arial" w:hAnsi="Arial" w:cs="Arial"/>
          <w:sz w:val="24"/>
          <w:szCs w:val="24"/>
        </w:rPr>
        <w:t xml:space="preserve"> also suggests</w:t>
      </w:r>
      <w:r>
        <w:rPr>
          <w:rFonts w:ascii="Arial" w:hAnsi="Arial" w:cs="Arial"/>
          <w:sz w:val="24"/>
          <w:szCs w:val="24"/>
        </w:rPr>
        <w:t xml:space="preserve"> that Carla could also be liable for assault, as she stabs Jamie in the chest</w:t>
      </w:r>
      <w:r w:rsidR="00181B67">
        <w:rPr>
          <w:rFonts w:ascii="Arial" w:hAnsi="Arial" w:cs="Arial"/>
          <w:sz w:val="24"/>
          <w:szCs w:val="24"/>
        </w:rPr>
        <w:t xml:space="preserve"> after hearing about the affair which caused her emotional distress</w:t>
      </w:r>
      <w:r w:rsidR="00BB2A7E">
        <w:rPr>
          <w:rFonts w:ascii="Arial" w:hAnsi="Arial" w:cs="Arial"/>
          <w:sz w:val="24"/>
          <w:szCs w:val="24"/>
        </w:rPr>
        <w:t xml:space="preserve">. </w:t>
      </w:r>
      <w:r w:rsidR="00CD49A0">
        <w:rPr>
          <w:rFonts w:ascii="Arial" w:hAnsi="Arial" w:cs="Arial"/>
          <w:sz w:val="24"/>
          <w:szCs w:val="24"/>
        </w:rPr>
        <w:t>Although Carla was faced with marital problems</w:t>
      </w:r>
      <w:r w:rsidR="001329CF">
        <w:rPr>
          <w:rFonts w:ascii="Arial" w:hAnsi="Arial" w:cs="Arial"/>
          <w:sz w:val="24"/>
          <w:szCs w:val="24"/>
        </w:rPr>
        <w:t xml:space="preserve"> and overwhelmed with anger and sadness, she failed to control her emotions </w:t>
      </w:r>
      <w:r w:rsidR="00B31D1C">
        <w:rPr>
          <w:rFonts w:ascii="Arial" w:hAnsi="Arial" w:cs="Arial"/>
          <w:sz w:val="24"/>
          <w:szCs w:val="24"/>
        </w:rPr>
        <w:t xml:space="preserve">and seek help or support during a critical moment. </w:t>
      </w:r>
      <w:r w:rsidR="00181B67">
        <w:rPr>
          <w:rFonts w:ascii="Arial" w:hAnsi="Arial" w:cs="Arial"/>
          <w:sz w:val="24"/>
          <w:szCs w:val="24"/>
        </w:rPr>
        <w:t xml:space="preserve">As for Jamie, it is possible that they could be liable for potential provocation towards Carla. </w:t>
      </w:r>
      <w:r w:rsidR="00A4283D">
        <w:rPr>
          <w:rFonts w:ascii="Arial" w:hAnsi="Arial" w:cs="Arial"/>
          <w:sz w:val="24"/>
          <w:szCs w:val="24"/>
        </w:rPr>
        <w:t xml:space="preserve">However, </w:t>
      </w:r>
      <w:r w:rsidR="00A80E2B">
        <w:rPr>
          <w:rFonts w:ascii="Arial" w:hAnsi="Arial" w:cs="Arial"/>
          <w:sz w:val="24"/>
          <w:szCs w:val="24"/>
        </w:rPr>
        <w:t>Carla could argue that she believed to have been in danger</w:t>
      </w:r>
      <w:r w:rsidR="0048006E">
        <w:rPr>
          <w:rFonts w:ascii="Arial" w:hAnsi="Arial" w:cs="Arial"/>
          <w:sz w:val="24"/>
          <w:szCs w:val="24"/>
        </w:rPr>
        <w:t xml:space="preserve"> or serious harm from </w:t>
      </w:r>
      <w:r w:rsidR="002667E2">
        <w:rPr>
          <w:rFonts w:ascii="Arial" w:hAnsi="Arial" w:cs="Arial"/>
          <w:sz w:val="24"/>
          <w:szCs w:val="24"/>
        </w:rPr>
        <w:t xml:space="preserve">Jamie as he </w:t>
      </w:r>
      <w:r w:rsidR="00635C00">
        <w:rPr>
          <w:rFonts w:ascii="Arial" w:hAnsi="Arial" w:cs="Arial"/>
          <w:sz w:val="24"/>
          <w:szCs w:val="24"/>
        </w:rPr>
        <w:t xml:space="preserve">has a drinking </w:t>
      </w:r>
      <w:r w:rsidR="00EF2F2E">
        <w:rPr>
          <w:rFonts w:ascii="Arial" w:hAnsi="Arial" w:cs="Arial"/>
          <w:sz w:val="24"/>
          <w:szCs w:val="24"/>
        </w:rPr>
        <w:t xml:space="preserve">problem, and therefore stabbed Jamie as a matter of self-defence. </w:t>
      </w:r>
      <w:r w:rsidR="004A59CE">
        <w:rPr>
          <w:rFonts w:ascii="Arial" w:hAnsi="Arial" w:cs="Arial"/>
          <w:sz w:val="24"/>
          <w:szCs w:val="24"/>
        </w:rPr>
        <w:br/>
      </w:r>
      <w:r w:rsidR="004A59CE">
        <w:rPr>
          <w:rFonts w:ascii="Arial" w:hAnsi="Arial" w:cs="Arial"/>
          <w:sz w:val="24"/>
          <w:szCs w:val="24"/>
        </w:rPr>
        <w:br/>
      </w:r>
      <w:r w:rsidR="00B464BD">
        <w:rPr>
          <w:rFonts w:ascii="Arial" w:hAnsi="Arial" w:cs="Arial"/>
          <w:sz w:val="24"/>
          <w:szCs w:val="24"/>
        </w:rPr>
        <w:t xml:space="preserve">In this case, the defendant stabbed the victim in the chest, which </w:t>
      </w:r>
      <w:r w:rsidR="00817735">
        <w:rPr>
          <w:rFonts w:ascii="Arial" w:hAnsi="Arial" w:cs="Arial"/>
          <w:sz w:val="24"/>
          <w:szCs w:val="24"/>
        </w:rPr>
        <w:t xml:space="preserve">could be known as </w:t>
      </w:r>
      <w:r w:rsidR="00E30813">
        <w:rPr>
          <w:rFonts w:ascii="Arial" w:hAnsi="Arial" w:cs="Arial"/>
          <w:sz w:val="24"/>
          <w:szCs w:val="24"/>
        </w:rPr>
        <w:t xml:space="preserve">aggravated </w:t>
      </w:r>
      <w:r w:rsidR="00817735">
        <w:rPr>
          <w:rFonts w:ascii="Arial" w:hAnsi="Arial" w:cs="Arial"/>
          <w:sz w:val="24"/>
          <w:szCs w:val="24"/>
        </w:rPr>
        <w:t>assault</w:t>
      </w:r>
      <w:r w:rsidR="001621C5">
        <w:rPr>
          <w:rFonts w:ascii="Arial" w:hAnsi="Arial" w:cs="Arial"/>
          <w:sz w:val="24"/>
          <w:szCs w:val="24"/>
        </w:rPr>
        <w:t>. The Offences against the Person Act</w:t>
      </w:r>
      <w:r w:rsidR="00557CC3">
        <w:rPr>
          <w:rFonts w:ascii="Arial" w:hAnsi="Arial" w:cs="Arial"/>
          <w:sz w:val="24"/>
          <w:szCs w:val="24"/>
        </w:rPr>
        <w:t xml:space="preserve"> (OAPA)</w:t>
      </w:r>
      <w:r w:rsidR="001621C5">
        <w:rPr>
          <w:rFonts w:ascii="Arial" w:hAnsi="Arial" w:cs="Arial"/>
          <w:sz w:val="24"/>
          <w:szCs w:val="24"/>
        </w:rPr>
        <w:t xml:space="preserve"> 1861, section 47, </w:t>
      </w:r>
      <w:r w:rsidR="00E32557">
        <w:rPr>
          <w:rFonts w:ascii="Arial" w:hAnsi="Arial" w:cs="Arial"/>
          <w:sz w:val="24"/>
          <w:szCs w:val="24"/>
        </w:rPr>
        <w:lastRenderedPageBreak/>
        <w:t xml:space="preserve">makes it an offence to commit ‘any assault occasioning actual bodily harm’. </w:t>
      </w:r>
      <w:r w:rsidR="00F47AD6" w:rsidRPr="0014354B">
        <w:rPr>
          <w:rFonts w:ascii="Arial" w:hAnsi="Arial" w:cs="Arial"/>
          <w:sz w:val="24"/>
          <w:szCs w:val="24"/>
        </w:rPr>
        <w:t>The Court of Appeal in Chan-Fook (1994)</w:t>
      </w:r>
      <w:r w:rsidR="00443193" w:rsidRPr="0014354B">
        <w:rPr>
          <w:rFonts w:ascii="Arial" w:hAnsi="Arial" w:cs="Arial"/>
          <w:sz w:val="24"/>
          <w:szCs w:val="24"/>
        </w:rPr>
        <w:t xml:space="preserve"> held that ‘bodily harm’ </w:t>
      </w:r>
      <w:r w:rsidR="00A12B9E" w:rsidRPr="0014354B">
        <w:rPr>
          <w:rFonts w:ascii="Arial" w:hAnsi="Arial" w:cs="Arial"/>
          <w:sz w:val="24"/>
          <w:szCs w:val="24"/>
        </w:rPr>
        <w:t xml:space="preserve">is not limited to harm of the skin, </w:t>
      </w:r>
      <w:r w:rsidR="00190A9C" w:rsidRPr="0014354B">
        <w:rPr>
          <w:rFonts w:ascii="Arial" w:hAnsi="Arial" w:cs="Arial"/>
          <w:sz w:val="24"/>
          <w:szCs w:val="24"/>
        </w:rPr>
        <w:t>flesh,</w:t>
      </w:r>
      <w:r w:rsidR="00A12B9E" w:rsidRPr="0014354B">
        <w:rPr>
          <w:rFonts w:ascii="Arial" w:hAnsi="Arial" w:cs="Arial"/>
          <w:sz w:val="24"/>
          <w:szCs w:val="24"/>
        </w:rPr>
        <w:t xml:space="preserve"> and bones of the victim, but includes </w:t>
      </w:r>
      <w:r w:rsidR="00F33AA0" w:rsidRPr="0014354B">
        <w:rPr>
          <w:rFonts w:ascii="Arial" w:hAnsi="Arial" w:cs="Arial"/>
          <w:sz w:val="24"/>
          <w:szCs w:val="24"/>
        </w:rPr>
        <w:t xml:space="preserve">all parts of the body such as the </w:t>
      </w:r>
      <w:r w:rsidR="00ED671A" w:rsidRPr="0014354B">
        <w:rPr>
          <w:rFonts w:ascii="Arial" w:hAnsi="Arial" w:cs="Arial"/>
          <w:sz w:val="24"/>
          <w:szCs w:val="24"/>
        </w:rPr>
        <w:t>victims’</w:t>
      </w:r>
      <w:r w:rsidR="00F33AA0" w:rsidRPr="0014354B">
        <w:rPr>
          <w:rFonts w:ascii="Arial" w:hAnsi="Arial" w:cs="Arial"/>
          <w:sz w:val="24"/>
          <w:szCs w:val="24"/>
        </w:rPr>
        <w:t xml:space="preserve"> organs, </w:t>
      </w:r>
      <w:r w:rsidR="008F3CF9" w:rsidRPr="0014354B">
        <w:rPr>
          <w:rFonts w:ascii="Arial" w:hAnsi="Arial" w:cs="Arial"/>
          <w:sz w:val="24"/>
          <w:szCs w:val="24"/>
        </w:rPr>
        <w:t xml:space="preserve">nervous </w:t>
      </w:r>
      <w:r w:rsidR="00136FEC" w:rsidRPr="0014354B">
        <w:rPr>
          <w:rFonts w:ascii="Arial" w:hAnsi="Arial" w:cs="Arial"/>
          <w:sz w:val="24"/>
          <w:szCs w:val="24"/>
        </w:rPr>
        <w:t>system,</w:t>
      </w:r>
      <w:r w:rsidR="008F3CF9" w:rsidRPr="0014354B">
        <w:rPr>
          <w:rFonts w:ascii="Arial" w:hAnsi="Arial" w:cs="Arial"/>
          <w:sz w:val="24"/>
          <w:szCs w:val="24"/>
        </w:rPr>
        <w:t xml:space="preserve"> and the brain.</w:t>
      </w:r>
      <w:r w:rsidR="00CA4BEB" w:rsidRPr="0014354B">
        <w:rPr>
          <w:rFonts w:ascii="Arial" w:hAnsi="Arial" w:cs="Arial"/>
          <w:sz w:val="24"/>
          <w:szCs w:val="24"/>
        </w:rPr>
        <w:t xml:space="preserve"> </w:t>
      </w:r>
      <w:r w:rsidR="0055683F" w:rsidRPr="0014354B">
        <w:rPr>
          <w:rFonts w:ascii="Arial" w:hAnsi="Arial" w:cs="Arial"/>
          <w:sz w:val="24"/>
          <w:szCs w:val="24"/>
        </w:rPr>
        <w:t>The</w:t>
      </w:r>
      <w:r w:rsidR="0055683F">
        <w:rPr>
          <w:rFonts w:ascii="Arial" w:hAnsi="Arial" w:cs="Arial"/>
          <w:sz w:val="24"/>
          <w:szCs w:val="24"/>
        </w:rPr>
        <w:t xml:space="preserve"> definition for murder would be “the unlawful killing of a reasonable creature in being and under the King’s (or Queen’s)</w:t>
      </w:r>
      <w:r w:rsidR="008F3CF9">
        <w:rPr>
          <w:rFonts w:ascii="Arial" w:hAnsi="Arial" w:cs="Arial"/>
          <w:sz w:val="24"/>
          <w:szCs w:val="24"/>
        </w:rPr>
        <w:t xml:space="preserve"> </w:t>
      </w:r>
      <w:r w:rsidR="00AC4A3C">
        <w:rPr>
          <w:rFonts w:ascii="Arial" w:hAnsi="Arial" w:cs="Arial"/>
          <w:sz w:val="24"/>
          <w:szCs w:val="24"/>
        </w:rPr>
        <w:t xml:space="preserve">Peace with malice afterthought, express or implied” Lord Coke, </w:t>
      </w:r>
      <w:r w:rsidR="007D56F4">
        <w:rPr>
          <w:rFonts w:ascii="Arial" w:hAnsi="Arial" w:cs="Arial"/>
          <w:sz w:val="24"/>
          <w:szCs w:val="24"/>
        </w:rPr>
        <w:t xml:space="preserve">1797. </w:t>
      </w:r>
      <w:r w:rsidR="0071652B">
        <w:rPr>
          <w:rFonts w:ascii="Arial" w:hAnsi="Arial" w:cs="Arial"/>
          <w:sz w:val="24"/>
          <w:szCs w:val="24"/>
        </w:rPr>
        <w:t xml:space="preserve">The scenario states that the victim had told the defendant about a brief affair which caused D to </w:t>
      </w:r>
      <w:r w:rsidR="00F363BA">
        <w:rPr>
          <w:rFonts w:ascii="Arial" w:hAnsi="Arial" w:cs="Arial"/>
          <w:sz w:val="24"/>
          <w:szCs w:val="24"/>
        </w:rPr>
        <w:t>become emotionally distressed. This could be provocation, and section 3 of the Homicide Act 1957 states</w:t>
      </w:r>
      <w:r w:rsidR="001A07CE">
        <w:rPr>
          <w:rFonts w:ascii="Arial" w:hAnsi="Arial" w:cs="Arial"/>
          <w:sz w:val="24"/>
          <w:szCs w:val="24"/>
        </w:rPr>
        <w:t xml:space="preserve"> an individual was provoked by things said or done, or both, which caused them to lose self-control</w:t>
      </w:r>
      <w:r w:rsidR="00302FB0">
        <w:rPr>
          <w:rFonts w:ascii="Arial" w:hAnsi="Arial" w:cs="Arial"/>
          <w:sz w:val="24"/>
          <w:szCs w:val="24"/>
        </w:rPr>
        <w:t xml:space="preserve"> and commit the crime of murder. </w:t>
      </w:r>
    </w:p>
    <w:p w14:paraId="3FEBBC61" w14:textId="508CF522" w:rsidR="00A85F9C" w:rsidRDefault="00B33D1C" w:rsidP="00C01720">
      <w:pPr>
        <w:spacing w:line="480" w:lineRule="auto"/>
        <w:rPr>
          <w:rFonts w:ascii="Arial" w:hAnsi="Arial" w:cs="Arial"/>
          <w:sz w:val="24"/>
          <w:szCs w:val="24"/>
        </w:rPr>
      </w:pPr>
      <w:r>
        <w:rPr>
          <w:rFonts w:ascii="Arial" w:hAnsi="Arial" w:cs="Arial"/>
          <w:sz w:val="24"/>
          <w:szCs w:val="24"/>
        </w:rPr>
        <w:t xml:space="preserve">The defendant </w:t>
      </w:r>
      <w:r w:rsidR="0066640A">
        <w:rPr>
          <w:rFonts w:ascii="Arial" w:hAnsi="Arial" w:cs="Arial"/>
          <w:sz w:val="24"/>
          <w:szCs w:val="24"/>
        </w:rPr>
        <w:t>meets both the actus reus and mens rea towards GBH and a</w:t>
      </w:r>
      <w:r w:rsidR="002A22A7">
        <w:rPr>
          <w:rFonts w:ascii="Arial" w:hAnsi="Arial" w:cs="Arial"/>
          <w:sz w:val="24"/>
          <w:szCs w:val="24"/>
        </w:rPr>
        <w:t xml:space="preserve">ggravated assault. The actus reus of the offence would be that D </w:t>
      </w:r>
      <w:r w:rsidR="006F117E">
        <w:rPr>
          <w:rFonts w:ascii="Arial" w:hAnsi="Arial" w:cs="Arial"/>
          <w:sz w:val="24"/>
          <w:szCs w:val="24"/>
        </w:rPr>
        <w:t xml:space="preserve">grabbed a knife and </w:t>
      </w:r>
      <w:r w:rsidR="002A22A7">
        <w:rPr>
          <w:rFonts w:ascii="Arial" w:hAnsi="Arial" w:cs="Arial"/>
          <w:sz w:val="24"/>
          <w:szCs w:val="24"/>
        </w:rPr>
        <w:t>stabbed the victim with a kitchen knife</w:t>
      </w:r>
      <w:r w:rsidR="00825F3D">
        <w:rPr>
          <w:rFonts w:ascii="Arial" w:hAnsi="Arial" w:cs="Arial"/>
          <w:sz w:val="24"/>
          <w:szCs w:val="24"/>
        </w:rPr>
        <w:t xml:space="preserve">. </w:t>
      </w:r>
      <w:r w:rsidR="00923014">
        <w:rPr>
          <w:rFonts w:ascii="Arial" w:hAnsi="Arial" w:cs="Arial"/>
          <w:sz w:val="24"/>
          <w:szCs w:val="24"/>
        </w:rPr>
        <w:t xml:space="preserve">The location of where the defendant stabbed the victim </w:t>
      </w:r>
      <w:r w:rsidR="008F5968">
        <w:rPr>
          <w:rFonts w:ascii="Arial" w:hAnsi="Arial" w:cs="Arial"/>
          <w:sz w:val="24"/>
          <w:szCs w:val="24"/>
        </w:rPr>
        <w:t>would leave</w:t>
      </w:r>
      <w:r w:rsidR="00B901EB">
        <w:rPr>
          <w:rFonts w:ascii="Arial" w:hAnsi="Arial" w:cs="Arial"/>
          <w:sz w:val="24"/>
          <w:szCs w:val="24"/>
        </w:rPr>
        <w:t xml:space="preserve"> with impairment of ventilation and reduction of cardiac output</w:t>
      </w:r>
      <w:r w:rsidR="005156C7">
        <w:rPr>
          <w:rFonts w:ascii="Arial" w:hAnsi="Arial" w:cs="Arial"/>
          <w:sz w:val="24"/>
          <w:szCs w:val="24"/>
        </w:rPr>
        <w:t>, which was similarly seen in the case study of R v Jackson (202</w:t>
      </w:r>
      <w:r w:rsidR="00BB5AB1">
        <w:rPr>
          <w:rFonts w:ascii="Arial" w:hAnsi="Arial" w:cs="Arial"/>
          <w:sz w:val="24"/>
          <w:szCs w:val="24"/>
        </w:rPr>
        <w:t>3</w:t>
      </w:r>
      <w:r w:rsidR="005156C7">
        <w:rPr>
          <w:rFonts w:ascii="Arial" w:hAnsi="Arial" w:cs="Arial"/>
          <w:sz w:val="24"/>
          <w:szCs w:val="24"/>
        </w:rPr>
        <w:t>)</w:t>
      </w:r>
      <w:r w:rsidR="008A08BE">
        <w:rPr>
          <w:rFonts w:ascii="Arial" w:hAnsi="Arial" w:cs="Arial"/>
          <w:sz w:val="24"/>
          <w:szCs w:val="24"/>
        </w:rPr>
        <w:t xml:space="preserve">, where </w:t>
      </w:r>
      <w:r w:rsidR="000B47FA">
        <w:rPr>
          <w:rFonts w:ascii="Arial" w:hAnsi="Arial" w:cs="Arial"/>
          <w:sz w:val="24"/>
          <w:szCs w:val="24"/>
        </w:rPr>
        <w:t xml:space="preserve">Jackson </w:t>
      </w:r>
      <w:r w:rsidR="00011E38">
        <w:rPr>
          <w:rFonts w:ascii="Arial" w:hAnsi="Arial" w:cs="Arial"/>
          <w:sz w:val="24"/>
          <w:szCs w:val="24"/>
        </w:rPr>
        <w:t xml:space="preserve">[D] </w:t>
      </w:r>
      <w:r w:rsidR="000B47FA">
        <w:rPr>
          <w:rFonts w:ascii="Arial" w:hAnsi="Arial" w:cs="Arial"/>
          <w:sz w:val="24"/>
          <w:szCs w:val="24"/>
        </w:rPr>
        <w:t>and her deceased husband</w:t>
      </w:r>
      <w:r w:rsidR="00011E38">
        <w:rPr>
          <w:rFonts w:ascii="Arial" w:hAnsi="Arial" w:cs="Arial"/>
          <w:sz w:val="24"/>
          <w:szCs w:val="24"/>
        </w:rPr>
        <w:t xml:space="preserve"> [V]</w:t>
      </w:r>
      <w:r w:rsidR="000B47FA">
        <w:rPr>
          <w:rFonts w:ascii="Arial" w:hAnsi="Arial" w:cs="Arial"/>
          <w:sz w:val="24"/>
          <w:szCs w:val="24"/>
        </w:rPr>
        <w:t xml:space="preserve"> had an argument </w:t>
      </w:r>
      <w:r w:rsidR="00D1033D">
        <w:rPr>
          <w:rFonts w:ascii="Arial" w:hAnsi="Arial" w:cs="Arial"/>
          <w:sz w:val="24"/>
          <w:szCs w:val="24"/>
        </w:rPr>
        <w:t>which upset Jackson and caused her to stab th</w:t>
      </w:r>
      <w:r w:rsidR="00AD4842">
        <w:rPr>
          <w:rFonts w:ascii="Arial" w:hAnsi="Arial" w:cs="Arial"/>
          <w:sz w:val="24"/>
          <w:szCs w:val="24"/>
        </w:rPr>
        <w:t>e husband</w:t>
      </w:r>
      <w:r w:rsidR="00011E38">
        <w:rPr>
          <w:rFonts w:ascii="Arial" w:hAnsi="Arial" w:cs="Arial"/>
          <w:sz w:val="24"/>
          <w:szCs w:val="24"/>
        </w:rPr>
        <w:t xml:space="preserve"> </w:t>
      </w:r>
      <w:r w:rsidR="00D1033D">
        <w:rPr>
          <w:rFonts w:ascii="Arial" w:hAnsi="Arial" w:cs="Arial"/>
          <w:sz w:val="24"/>
          <w:szCs w:val="24"/>
        </w:rPr>
        <w:t>in the chest</w:t>
      </w:r>
      <w:r w:rsidR="00A85F9C">
        <w:rPr>
          <w:rFonts w:ascii="Arial" w:hAnsi="Arial" w:cs="Arial"/>
          <w:sz w:val="24"/>
          <w:szCs w:val="24"/>
        </w:rPr>
        <w:t xml:space="preserve">. </w:t>
      </w:r>
    </w:p>
    <w:p w14:paraId="4FEFEDAA" w14:textId="4BCF587A" w:rsidR="00270C12" w:rsidRDefault="00825F3D" w:rsidP="00C01720">
      <w:pPr>
        <w:spacing w:line="480" w:lineRule="auto"/>
        <w:rPr>
          <w:rFonts w:ascii="Arial" w:hAnsi="Arial" w:cs="Arial"/>
          <w:sz w:val="24"/>
          <w:szCs w:val="24"/>
        </w:rPr>
      </w:pPr>
      <w:r>
        <w:rPr>
          <w:rFonts w:ascii="Arial" w:hAnsi="Arial" w:cs="Arial"/>
          <w:sz w:val="24"/>
          <w:szCs w:val="24"/>
        </w:rPr>
        <w:t>When looking at the mens rea, D rushes</w:t>
      </w:r>
      <w:r w:rsidR="0024119E">
        <w:rPr>
          <w:rFonts w:ascii="Arial" w:hAnsi="Arial" w:cs="Arial"/>
          <w:sz w:val="24"/>
          <w:szCs w:val="24"/>
        </w:rPr>
        <w:t xml:space="preserve"> </w:t>
      </w:r>
      <w:r>
        <w:rPr>
          <w:rFonts w:ascii="Arial" w:hAnsi="Arial" w:cs="Arial"/>
          <w:sz w:val="24"/>
          <w:szCs w:val="24"/>
        </w:rPr>
        <w:t>into the kitchen</w:t>
      </w:r>
      <w:r w:rsidR="002B1383">
        <w:rPr>
          <w:rFonts w:ascii="Arial" w:hAnsi="Arial" w:cs="Arial"/>
          <w:sz w:val="24"/>
          <w:szCs w:val="24"/>
        </w:rPr>
        <w:t xml:space="preserve"> before stabbing V in the chest which indicates that she had direct intention to kill or cause GBH </w:t>
      </w:r>
      <w:r w:rsidR="00B71C8B">
        <w:rPr>
          <w:rFonts w:ascii="Arial" w:hAnsi="Arial" w:cs="Arial"/>
          <w:sz w:val="24"/>
          <w:szCs w:val="24"/>
        </w:rPr>
        <w:t xml:space="preserve">however it also highlights the </w:t>
      </w:r>
      <w:r w:rsidR="00E41AC9">
        <w:rPr>
          <w:rFonts w:ascii="Arial" w:hAnsi="Arial" w:cs="Arial"/>
          <w:sz w:val="24"/>
          <w:szCs w:val="24"/>
        </w:rPr>
        <w:t>defendant’s</w:t>
      </w:r>
      <w:r w:rsidR="00B71C8B">
        <w:rPr>
          <w:rFonts w:ascii="Arial" w:hAnsi="Arial" w:cs="Arial"/>
          <w:sz w:val="24"/>
          <w:szCs w:val="24"/>
        </w:rPr>
        <w:t xml:space="preserve"> reckless behaviour.</w:t>
      </w:r>
      <w:r w:rsidR="00CF6E1C">
        <w:rPr>
          <w:rFonts w:ascii="Arial" w:hAnsi="Arial" w:cs="Arial"/>
          <w:sz w:val="24"/>
          <w:szCs w:val="24"/>
        </w:rPr>
        <w:t xml:space="preserve"> </w:t>
      </w:r>
      <w:r w:rsidR="00973FBD">
        <w:rPr>
          <w:rFonts w:ascii="Arial" w:hAnsi="Arial" w:cs="Arial"/>
          <w:sz w:val="24"/>
          <w:szCs w:val="24"/>
        </w:rPr>
        <w:t xml:space="preserve">In the scenario, the defendant’s actions of rushing into the kitchen and stabbing the victim in the chest </w:t>
      </w:r>
      <w:r w:rsidR="00CD199A">
        <w:rPr>
          <w:rFonts w:ascii="Arial" w:hAnsi="Arial" w:cs="Arial"/>
          <w:sz w:val="24"/>
          <w:szCs w:val="24"/>
        </w:rPr>
        <w:t xml:space="preserve">raises questions about intent versus recklessness. </w:t>
      </w:r>
      <w:r w:rsidR="004320F2">
        <w:rPr>
          <w:rFonts w:ascii="Arial" w:hAnsi="Arial" w:cs="Arial"/>
          <w:sz w:val="24"/>
          <w:szCs w:val="24"/>
        </w:rPr>
        <w:t xml:space="preserve">Although there is no clear evidence of the defendant intending to kill or harm the victim, the act itself and the </w:t>
      </w:r>
      <w:r w:rsidR="0028242D">
        <w:rPr>
          <w:rFonts w:ascii="Arial" w:hAnsi="Arial" w:cs="Arial"/>
          <w:sz w:val="24"/>
          <w:szCs w:val="24"/>
        </w:rPr>
        <w:t xml:space="preserve">placement of the stab, which is near the heart, strongly suggests an intention to cause lethal harm. </w:t>
      </w:r>
      <w:r w:rsidR="00A77762">
        <w:rPr>
          <w:rFonts w:ascii="Arial" w:hAnsi="Arial" w:cs="Arial"/>
          <w:sz w:val="24"/>
          <w:szCs w:val="24"/>
        </w:rPr>
        <w:t xml:space="preserve">On the other hand, </w:t>
      </w:r>
      <w:r w:rsidR="0005246D">
        <w:rPr>
          <w:rFonts w:ascii="Arial" w:hAnsi="Arial" w:cs="Arial"/>
          <w:sz w:val="24"/>
          <w:szCs w:val="24"/>
        </w:rPr>
        <w:t xml:space="preserve">the </w:t>
      </w:r>
      <w:r w:rsidR="00D47B65">
        <w:rPr>
          <w:rFonts w:ascii="Arial" w:hAnsi="Arial" w:cs="Arial"/>
          <w:sz w:val="24"/>
          <w:szCs w:val="24"/>
        </w:rPr>
        <w:t>defendant’s</w:t>
      </w:r>
      <w:r w:rsidR="0005246D">
        <w:rPr>
          <w:rFonts w:ascii="Arial" w:hAnsi="Arial" w:cs="Arial"/>
          <w:sz w:val="24"/>
          <w:szCs w:val="24"/>
        </w:rPr>
        <w:t xml:space="preserve"> </w:t>
      </w:r>
      <w:r w:rsidR="0084325E">
        <w:rPr>
          <w:rFonts w:ascii="Arial" w:hAnsi="Arial" w:cs="Arial"/>
          <w:sz w:val="24"/>
          <w:szCs w:val="24"/>
        </w:rPr>
        <w:t>impulsive behaviour</w:t>
      </w:r>
      <w:r w:rsidR="00A77762">
        <w:rPr>
          <w:rFonts w:ascii="Arial" w:hAnsi="Arial" w:cs="Arial"/>
          <w:sz w:val="24"/>
          <w:szCs w:val="24"/>
        </w:rPr>
        <w:t xml:space="preserve"> </w:t>
      </w:r>
      <w:r w:rsidR="00421647">
        <w:rPr>
          <w:rFonts w:ascii="Arial" w:hAnsi="Arial" w:cs="Arial"/>
          <w:sz w:val="24"/>
          <w:szCs w:val="24"/>
        </w:rPr>
        <w:t xml:space="preserve">of rushing into the kitchen </w:t>
      </w:r>
      <w:r w:rsidR="00421647">
        <w:rPr>
          <w:rFonts w:ascii="Arial" w:hAnsi="Arial" w:cs="Arial"/>
          <w:sz w:val="24"/>
          <w:szCs w:val="24"/>
        </w:rPr>
        <w:lastRenderedPageBreak/>
        <w:t>suggests recklessness</w:t>
      </w:r>
      <w:r w:rsidR="004B2B5E">
        <w:rPr>
          <w:rFonts w:ascii="Arial" w:hAnsi="Arial" w:cs="Arial"/>
          <w:sz w:val="24"/>
          <w:szCs w:val="24"/>
        </w:rPr>
        <w:t xml:space="preserve">, lacking clear premeditation. </w:t>
      </w:r>
      <w:r w:rsidR="00223171">
        <w:rPr>
          <w:rFonts w:ascii="Arial" w:hAnsi="Arial" w:cs="Arial"/>
          <w:sz w:val="24"/>
          <w:szCs w:val="24"/>
        </w:rPr>
        <w:t xml:space="preserve">This impulsivity implies a degree of disregard for the foreseeable risks of causing GBH or death. </w:t>
      </w:r>
      <w:r w:rsidR="00A85F9C">
        <w:rPr>
          <w:rFonts w:ascii="Arial" w:hAnsi="Arial" w:cs="Arial"/>
          <w:sz w:val="24"/>
          <w:szCs w:val="24"/>
        </w:rPr>
        <w:t>There is a high level of culpability based on the scenario as the defendant had used a highly dangerous weapon, and after hearing what the victim had said to D, it is quite clear that the crime was committed out of revenge</w:t>
      </w:r>
      <w:r w:rsidR="00DC2928">
        <w:rPr>
          <w:rFonts w:ascii="Arial" w:hAnsi="Arial" w:cs="Arial"/>
          <w:sz w:val="24"/>
          <w:szCs w:val="24"/>
        </w:rPr>
        <w:t xml:space="preserve"> because the defendant believes that they were having marital problems for a w</w:t>
      </w:r>
      <w:r w:rsidR="007F70CC">
        <w:rPr>
          <w:rFonts w:ascii="Arial" w:hAnsi="Arial" w:cs="Arial"/>
          <w:sz w:val="24"/>
          <w:szCs w:val="24"/>
        </w:rPr>
        <w:t xml:space="preserve">hile, with the victim (Jamie) neglecting their relationship. </w:t>
      </w:r>
    </w:p>
    <w:p w14:paraId="6C7F5C62" w14:textId="0257C3E9" w:rsidR="009A2430" w:rsidRDefault="009A2430" w:rsidP="00C01720">
      <w:pPr>
        <w:spacing w:line="480" w:lineRule="auto"/>
        <w:rPr>
          <w:rFonts w:ascii="Arial" w:hAnsi="Arial" w:cs="Arial"/>
          <w:sz w:val="24"/>
          <w:szCs w:val="24"/>
        </w:rPr>
      </w:pPr>
      <w:r>
        <w:rPr>
          <w:rFonts w:ascii="Arial" w:hAnsi="Arial" w:cs="Arial"/>
          <w:sz w:val="24"/>
          <w:szCs w:val="24"/>
        </w:rPr>
        <w:t xml:space="preserve">However, </w:t>
      </w:r>
      <w:r w:rsidR="0052517A">
        <w:rPr>
          <w:rFonts w:ascii="Arial" w:hAnsi="Arial" w:cs="Arial"/>
          <w:sz w:val="24"/>
          <w:szCs w:val="24"/>
        </w:rPr>
        <w:t xml:space="preserve">the defendant in scenario claims to have become overwhelmed by anger and sadness </w:t>
      </w:r>
      <w:r w:rsidR="00A21D53">
        <w:rPr>
          <w:rFonts w:ascii="Arial" w:hAnsi="Arial" w:cs="Arial"/>
          <w:sz w:val="24"/>
          <w:szCs w:val="24"/>
        </w:rPr>
        <w:t>which then caused her to grab the knife. Some may argue that this is an element of loss of control</w:t>
      </w:r>
      <w:r w:rsidR="00701798">
        <w:rPr>
          <w:rFonts w:ascii="Arial" w:hAnsi="Arial" w:cs="Arial"/>
          <w:sz w:val="24"/>
          <w:szCs w:val="24"/>
        </w:rPr>
        <w:t xml:space="preserve"> </w:t>
      </w:r>
      <w:r w:rsidR="00C72D98">
        <w:rPr>
          <w:rFonts w:ascii="Arial" w:hAnsi="Arial" w:cs="Arial"/>
          <w:sz w:val="24"/>
          <w:szCs w:val="24"/>
        </w:rPr>
        <w:t xml:space="preserve">which could cause a temporary </w:t>
      </w:r>
      <w:r w:rsidR="009F38DF">
        <w:rPr>
          <w:rFonts w:ascii="Arial" w:hAnsi="Arial" w:cs="Arial"/>
          <w:sz w:val="24"/>
          <w:szCs w:val="24"/>
        </w:rPr>
        <w:t xml:space="preserve">emotional disturbance that could diminish the defendant’s culpability. </w:t>
      </w:r>
      <w:r w:rsidR="000C1910">
        <w:rPr>
          <w:rFonts w:ascii="Arial" w:hAnsi="Arial" w:cs="Arial"/>
          <w:sz w:val="24"/>
          <w:szCs w:val="24"/>
        </w:rPr>
        <w:t>Th</w:t>
      </w:r>
      <w:r w:rsidR="007E3C30">
        <w:rPr>
          <w:rFonts w:ascii="Arial" w:hAnsi="Arial" w:cs="Arial"/>
          <w:sz w:val="24"/>
          <w:szCs w:val="24"/>
        </w:rPr>
        <w:t>e defendant become overwhelmed due to their partner [V] admitting to a brief affair with a co-worker</w:t>
      </w:r>
      <w:r w:rsidR="00AB4B2C">
        <w:rPr>
          <w:rFonts w:ascii="Arial" w:hAnsi="Arial" w:cs="Arial"/>
          <w:sz w:val="24"/>
          <w:szCs w:val="24"/>
        </w:rPr>
        <w:t xml:space="preserve"> a few months earlier. The </w:t>
      </w:r>
      <w:r w:rsidR="00DB6212">
        <w:rPr>
          <w:rFonts w:ascii="Arial" w:hAnsi="Arial" w:cs="Arial"/>
          <w:sz w:val="24"/>
          <w:szCs w:val="24"/>
        </w:rPr>
        <w:t>victim’s admission to an affair</w:t>
      </w:r>
      <w:r w:rsidR="00371A86">
        <w:rPr>
          <w:rFonts w:ascii="Arial" w:hAnsi="Arial" w:cs="Arial"/>
          <w:sz w:val="24"/>
          <w:szCs w:val="24"/>
        </w:rPr>
        <w:t xml:space="preserve"> serves as the actus reus that triggered a chain of events</w:t>
      </w:r>
      <w:r w:rsidR="006A359F">
        <w:rPr>
          <w:rFonts w:ascii="Arial" w:hAnsi="Arial" w:cs="Arial"/>
          <w:sz w:val="24"/>
          <w:szCs w:val="24"/>
        </w:rPr>
        <w:t>, and t</w:t>
      </w:r>
      <w:r w:rsidR="00371A86">
        <w:rPr>
          <w:rFonts w:ascii="Arial" w:hAnsi="Arial" w:cs="Arial"/>
          <w:sz w:val="24"/>
          <w:szCs w:val="24"/>
        </w:rPr>
        <w:t xml:space="preserve">he mens reus </w:t>
      </w:r>
      <w:r w:rsidR="00B5180C">
        <w:rPr>
          <w:rFonts w:ascii="Arial" w:hAnsi="Arial" w:cs="Arial"/>
          <w:sz w:val="24"/>
          <w:szCs w:val="24"/>
        </w:rPr>
        <w:t>being identified as</w:t>
      </w:r>
      <w:r w:rsidR="006A359F">
        <w:rPr>
          <w:rFonts w:ascii="Arial" w:hAnsi="Arial" w:cs="Arial"/>
          <w:sz w:val="24"/>
          <w:szCs w:val="24"/>
        </w:rPr>
        <w:t xml:space="preserve"> </w:t>
      </w:r>
      <w:r w:rsidR="00371A86">
        <w:rPr>
          <w:rFonts w:ascii="Arial" w:hAnsi="Arial" w:cs="Arial"/>
          <w:sz w:val="24"/>
          <w:szCs w:val="24"/>
        </w:rPr>
        <w:t xml:space="preserve">provocation. </w:t>
      </w:r>
      <w:r w:rsidR="006A359F">
        <w:rPr>
          <w:rFonts w:ascii="Arial" w:hAnsi="Arial" w:cs="Arial"/>
          <w:sz w:val="24"/>
          <w:szCs w:val="24"/>
        </w:rPr>
        <w:t xml:space="preserve">The confession of infidelity </w:t>
      </w:r>
      <w:r w:rsidR="006148C9">
        <w:rPr>
          <w:rFonts w:ascii="Arial" w:hAnsi="Arial" w:cs="Arial"/>
          <w:sz w:val="24"/>
          <w:szCs w:val="24"/>
        </w:rPr>
        <w:t xml:space="preserve">led to the words and actions becoming a key contributor to the heated argument. </w:t>
      </w:r>
      <w:r w:rsidR="005B7350">
        <w:rPr>
          <w:rFonts w:ascii="Arial" w:hAnsi="Arial" w:cs="Arial"/>
          <w:sz w:val="24"/>
          <w:szCs w:val="24"/>
        </w:rPr>
        <w:t>The emotional impact this had on the defendant (Carla), may be seen as a somewhat reasonable cause for her subse</w:t>
      </w:r>
      <w:r w:rsidR="000A4CEE">
        <w:rPr>
          <w:rFonts w:ascii="Arial" w:hAnsi="Arial" w:cs="Arial"/>
          <w:sz w:val="24"/>
          <w:szCs w:val="24"/>
        </w:rPr>
        <w:t xml:space="preserve">quent actions. </w:t>
      </w:r>
      <w:r w:rsidR="00F459C9">
        <w:rPr>
          <w:rFonts w:ascii="Arial" w:hAnsi="Arial" w:cs="Arial"/>
          <w:sz w:val="24"/>
          <w:szCs w:val="24"/>
        </w:rPr>
        <w:t xml:space="preserve">In this context, the </w:t>
      </w:r>
      <w:r w:rsidR="006A507D">
        <w:rPr>
          <w:rFonts w:ascii="Arial" w:hAnsi="Arial" w:cs="Arial"/>
          <w:sz w:val="24"/>
          <w:szCs w:val="24"/>
        </w:rPr>
        <w:t>legal principles that are outlined in</w:t>
      </w:r>
      <w:r w:rsidR="00F459C9">
        <w:rPr>
          <w:rFonts w:ascii="Arial" w:hAnsi="Arial" w:cs="Arial"/>
          <w:sz w:val="24"/>
          <w:szCs w:val="24"/>
        </w:rPr>
        <w:t xml:space="preserve"> R v Duffy (1949)</w:t>
      </w:r>
      <w:r w:rsidR="006A507D">
        <w:rPr>
          <w:rFonts w:ascii="Arial" w:hAnsi="Arial" w:cs="Arial"/>
          <w:sz w:val="24"/>
          <w:szCs w:val="24"/>
        </w:rPr>
        <w:t xml:space="preserve">, which emphasized the role of provocation </w:t>
      </w:r>
      <w:r w:rsidR="00EF0FCD">
        <w:rPr>
          <w:rFonts w:ascii="Arial" w:hAnsi="Arial" w:cs="Arial"/>
          <w:sz w:val="24"/>
          <w:szCs w:val="24"/>
        </w:rPr>
        <w:t xml:space="preserve">in influencing a person’s self-control, provides context for understanding the dynamics of the situation. </w:t>
      </w:r>
    </w:p>
    <w:p w14:paraId="2D51C52F" w14:textId="68AC3972" w:rsidR="00EF0FCD" w:rsidRDefault="008B276A" w:rsidP="00C01720">
      <w:pPr>
        <w:spacing w:line="480" w:lineRule="auto"/>
        <w:rPr>
          <w:rFonts w:ascii="Arial" w:hAnsi="Arial" w:cs="Arial"/>
          <w:sz w:val="24"/>
          <w:szCs w:val="24"/>
        </w:rPr>
      </w:pPr>
      <w:r>
        <w:rPr>
          <w:rFonts w:ascii="Arial" w:hAnsi="Arial" w:cs="Arial"/>
          <w:sz w:val="24"/>
          <w:szCs w:val="24"/>
        </w:rPr>
        <w:t xml:space="preserve">The first possible defence </w:t>
      </w:r>
      <w:r w:rsidR="00746145">
        <w:rPr>
          <w:rFonts w:ascii="Arial" w:hAnsi="Arial" w:cs="Arial"/>
          <w:sz w:val="24"/>
          <w:szCs w:val="24"/>
        </w:rPr>
        <w:t>would be automatism. This refers to the state where an individual acts without conscious control over their actions</w:t>
      </w:r>
      <w:r w:rsidR="00DC7AB4">
        <w:rPr>
          <w:rFonts w:ascii="Arial" w:hAnsi="Arial" w:cs="Arial"/>
          <w:sz w:val="24"/>
          <w:szCs w:val="24"/>
        </w:rPr>
        <w:t xml:space="preserve">, which is often caused by </w:t>
      </w:r>
      <w:r w:rsidR="00945F45">
        <w:rPr>
          <w:rFonts w:ascii="Arial" w:hAnsi="Arial" w:cs="Arial"/>
          <w:sz w:val="24"/>
          <w:szCs w:val="24"/>
        </w:rPr>
        <w:t>factors such as physical or mental illness</w:t>
      </w:r>
      <w:r w:rsidR="008B1047">
        <w:rPr>
          <w:rFonts w:ascii="Arial" w:hAnsi="Arial" w:cs="Arial"/>
          <w:sz w:val="24"/>
          <w:szCs w:val="24"/>
        </w:rPr>
        <w:t xml:space="preserve">. </w:t>
      </w:r>
      <w:r w:rsidR="000139C5">
        <w:rPr>
          <w:rFonts w:ascii="Arial" w:hAnsi="Arial" w:cs="Arial"/>
          <w:sz w:val="24"/>
          <w:szCs w:val="24"/>
        </w:rPr>
        <w:t>This defence is seen in the case R v Falconer (1990)</w:t>
      </w:r>
      <w:r w:rsidR="00CB725A">
        <w:rPr>
          <w:rFonts w:ascii="Arial" w:hAnsi="Arial" w:cs="Arial"/>
          <w:sz w:val="24"/>
          <w:szCs w:val="24"/>
        </w:rPr>
        <w:t xml:space="preserve">, who </w:t>
      </w:r>
      <w:r w:rsidR="00752211">
        <w:rPr>
          <w:rFonts w:ascii="Arial" w:hAnsi="Arial" w:cs="Arial"/>
          <w:sz w:val="24"/>
          <w:szCs w:val="24"/>
        </w:rPr>
        <w:t xml:space="preserve">committed an offence whilst in a state of dissociation and consequently did not remember the criminal act she had committed. </w:t>
      </w:r>
      <w:r w:rsidR="009E2859">
        <w:rPr>
          <w:rFonts w:ascii="Arial" w:hAnsi="Arial" w:cs="Arial"/>
          <w:sz w:val="24"/>
          <w:szCs w:val="24"/>
        </w:rPr>
        <w:t xml:space="preserve">This could be </w:t>
      </w:r>
      <w:r w:rsidR="009E2859">
        <w:rPr>
          <w:rFonts w:ascii="Arial" w:hAnsi="Arial" w:cs="Arial"/>
          <w:sz w:val="24"/>
          <w:szCs w:val="24"/>
        </w:rPr>
        <w:lastRenderedPageBreak/>
        <w:t xml:space="preserve">applied to the defendant’s case, to some extent. The defendant was in a state of </w:t>
      </w:r>
      <w:r w:rsidR="002A3E13">
        <w:rPr>
          <w:rFonts w:ascii="Arial" w:hAnsi="Arial" w:cs="Arial"/>
          <w:sz w:val="24"/>
          <w:szCs w:val="24"/>
        </w:rPr>
        <w:t>being “overwhelmed”</w:t>
      </w:r>
      <w:r w:rsidR="009D47FA">
        <w:rPr>
          <w:rFonts w:ascii="Arial" w:hAnsi="Arial" w:cs="Arial"/>
          <w:sz w:val="24"/>
          <w:szCs w:val="24"/>
        </w:rPr>
        <w:t xml:space="preserve">, although it’s not very clear that </w:t>
      </w:r>
      <w:r w:rsidR="00782E30">
        <w:rPr>
          <w:rFonts w:ascii="Arial" w:hAnsi="Arial" w:cs="Arial"/>
          <w:sz w:val="24"/>
          <w:szCs w:val="24"/>
        </w:rPr>
        <w:t xml:space="preserve">she was suffering any mental disorders or external factors. On behalf of the victim, </w:t>
      </w:r>
      <w:r w:rsidR="00557CC3">
        <w:rPr>
          <w:rFonts w:ascii="Arial" w:hAnsi="Arial" w:cs="Arial"/>
          <w:sz w:val="24"/>
          <w:szCs w:val="24"/>
        </w:rPr>
        <w:t xml:space="preserve">under the OAPA 1861 section 20, </w:t>
      </w:r>
      <w:r w:rsidR="00080D39">
        <w:rPr>
          <w:rFonts w:ascii="Arial" w:hAnsi="Arial" w:cs="Arial"/>
          <w:sz w:val="24"/>
          <w:szCs w:val="24"/>
        </w:rPr>
        <w:t xml:space="preserve">intoxication could be raised as a possible defence. The defendant claims that the victim </w:t>
      </w:r>
      <w:r w:rsidR="00BD2D73">
        <w:rPr>
          <w:rFonts w:ascii="Arial" w:hAnsi="Arial" w:cs="Arial"/>
          <w:sz w:val="24"/>
          <w:szCs w:val="24"/>
        </w:rPr>
        <w:t xml:space="preserve">willingly consumed substances which in this case would be alcohol. </w:t>
      </w:r>
      <w:r w:rsidR="008B637E">
        <w:rPr>
          <w:rFonts w:ascii="Arial" w:hAnsi="Arial" w:cs="Arial"/>
          <w:sz w:val="24"/>
          <w:szCs w:val="24"/>
        </w:rPr>
        <w:t xml:space="preserve">Due to the individual’s </w:t>
      </w:r>
      <w:r w:rsidR="00143309">
        <w:rPr>
          <w:rFonts w:ascii="Arial" w:hAnsi="Arial" w:cs="Arial"/>
          <w:sz w:val="24"/>
          <w:szCs w:val="24"/>
        </w:rPr>
        <w:t>substance consumption, this impacted the outcome</w:t>
      </w:r>
      <w:r w:rsidR="00D312E1">
        <w:rPr>
          <w:rFonts w:ascii="Arial" w:hAnsi="Arial" w:cs="Arial"/>
          <w:sz w:val="24"/>
          <w:szCs w:val="24"/>
        </w:rPr>
        <w:t xml:space="preserve"> of the scenario. Whilst intoxicated, </w:t>
      </w:r>
      <w:r w:rsidR="00CB64A9">
        <w:rPr>
          <w:rFonts w:ascii="Arial" w:hAnsi="Arial" w:cs="Arial"/>
          <w:sz w:val="24"/>
          <w:szCs w:val="24"/>
        </w:rPr>
        <w:t xml:space="preserve">the victim began to provoke the </w:t>
      </w:r>
      <w:r w:rsidR="00EE5243">
        <w:rPr>
          <w:rFonts w:ascii="Arial" w:hAnsi="Arial" w:cs="Arial"/>
          <w:sz w:val="24"/>
          <w:szCs w:val="24"/>
        </w:rPr>
        <w:t xml:space="preserve">defendant which </w:t>
      </w:r>
      <w:r w:rsidR="004A46FF">
        <w:rPr>
          <w:rFonts w:ascii="Arial" w:hAnsi="Arial" w:cs="Arial"/>
          <w:sz w:val="24"/>
          <w:szCs w:val="24"/>
        </w:rPr>
        <w:t>was</w:t>
      </w:r>
      <w:r w:rsidR="00EE5243">
        <w:rPr>
          <w:rFonts w:ascii="Arial" w:hAnsi="Arial" w:cs="Arial"/>
          <w:sz w:val="24"/>
          <w:szCs w:val="24"/>
        </w:rPr>
        <w:t xml:space="preserve"> a legislation </w:t>
      </w:r>
      <w:r w:rsidR="005B5D40">
        <w:rPr>
          <w:rFonts w:ascii="Arial" w:hAnsi="Arial" w:cs="Arial"/>
          <w:sz w:val="24"/>
          <w:szCs w:val="24"/>
        </w:rPr>
        <w:t>amended by</w:t>
      </w:r>
      <w:r w:rsidR="00EE5243">
        <w:rPr>
          <w:rFonts w:ascii="Arial" w:hAnsi="Arial" w:cs="Arial"/>
          <w:sz w:val="24"/>
          <w:szCs w:val="24"/>
        </w:rPr>
        <w:t xml:space="preserve"> section</w:t>
      </w:r>
      <w:r w:rsidR="005B5D40">
        <w:rPr>
          <w:rFonts w:ascii="Arial" w:hAnsi="Arial" w:cs="Arial"/>
          <w:sz w:val="24"/>
          <w:szCs w:val="24"/>
        </w:rPr>
        <w:t xml:space="preserve"> 3 Homicide Act 1957</w:t>
      </w:r>
      <w:r w:rsidR="004A46FF">
        <w:rPr>
          <w:rFonts w:ascii="Arial" w:hAnsi="Arial" w:cs="Arial"/>
          <w:sz w:val="24"/>
          <w:szCs w:val="24"/>
        </w:rPr>
        <w:t>, however since has been abolished</w:t>
      </w:r>
      <w:r w:rsidR="00C94B6C">
        <w:rPr>
          <w:rFonts w:ascii="Arial" w:hAnsi="Arial" w:cs="Arial"/>
          <w:sz w:val="24"/>
          <w:szCs w:val="24"/>
        </w:rPr>
        <w:t xml:space="preserve"> and therefore would not be currently applicable</w:t>
      </w:r>
      <w:r w:rsidR="00EE5243">
        <w:rPr>
          <w:rFonts w:ascii="Arial" w:hAnsi="Arial" w:cs="Arial"/>
          <w:sz w:val="24"/>
          <w:szCs w:val="24"/>
        </w:rPr>
        <w:t xml:space="preserve">. </w:t>
      </w:r>
      <w:r w:rsidR="00326F54">
        <w:rPr>
          <w:rFonts w:ascii="Arial" w:hAnsi="Arial" w:cs="Arial"/>
          <w:sz w:val="24"/>
          <w:szCs w:val="24"/>
        </w:rPr>
        <w:t>The defence that would follow</w:t>
      </w:r>
      <w:r w:rsidR="00750ED2">
        <w:rPr>
          <w:rFonts w:ascii="Arial" w:hAnsi="Arial" w:cs="Arial"/>
          <w:sz w:val="24"/>
          <w:szCs w:val="24"/>
        </w:rPr>
        <w:t xml:space="preserve"> on</w:t>
      </w:r>
      <w:r w:rsidR="00326F54">
        <w:rPr>
          <w:rFonts w:ascii="Arial" w:hAnsi="Arial" w:cs="Arial"/>
          <w:sz w:val="24"/>
          <w:szCs w:val="24"/>
        </w:rPr>
        <w:t xml:space="preserve"> from this and be applicable to the defendant would be loss of control</w:t>
      </w:r>
      <w:r w:rsidR="00141B94">
        <w:rPr>
          <w:rFonts w:ascii="Arial" w:hAnsi="Arial" w:cs="Arial"/>
          <w:sz w:val="24"/>
          <w:szCs w:val="24"/>
        </w:rPr>
        <w:t>,</w:t>
      </w:r>
      <w:r w:rsidR="00326F54">
        <w:rPr>
          <w:rFonts w:ascii="Arial" w:hAnsi="Arial" w:cs="Arial"/>
          <w:sz w:val="24"/>
          <w:szCs w:val="24"/>
        </w:rPr>
        <w:t xml:space="preserve"> </w:t>
      </w:r>
      <w:r w:rsidR="00FC138E">
        <w:rPr>
          <w:rFonts w:ascii="Arial" w:hAnsi="Arial" w:cs="Arial"/>
          <w:sz w:val="24"/>
          <w:szCs w:val="24"/>
        </w:rPr>
        <w:t xml:space="preserve">under section </w:t>
      </w:r>
      <w:r w:rsidR="00141B94">
        <w:rPr>
          <w:rFonts w:ascii="Arial" w:hAnsi="Arial" w:cs="Arial"/>
          <w:sz w:val="24"/>
          <w:szCs w:val="24"/>
        </w:rPr>
        <w:t>54(1)</w:t>
      </w:r>
      <w:r w:rsidR="00FC138E">
        <w:rPr>
          <w:rFonts w:ascii="Arial" w:hAnsi="Arial" w:cs="Arial"/>
          <w:sz w:val="24"/>
          <w:szCs w:val="24"/>
        </w:rPr>
        <w:t xml:space="preserve"> of the </w:t>
      </w:r>
      <w:r w:rsidR="00141B94">
        <w:rPr>
          <w:rFonts w:ascii="Arial" w:hAnsi="Arial" w:cs="Arial"/>
          <w:sz w:val="24"/>
          <w:szCs w:val="24"/>
        </w:rPr>
        <w:t>Coroners and Justice Act 200</w:t>
      </w:r>
      <w:r w:rsidR="005351E4">
        <w:rPr>
          <w:rFonts w:ascii="Arial" w:hAnsi="Arial" w:cs="Arial"/>
          <w:sz w:val="24"/>
          <w:szCs w:val="24"/>
        </w:rPr>
        <w:t>9</w:t>
      </w:r>
      <w:r w:rsidR="00FC138E">
        <w:rPr>
          <w:rFonts w:ascii="Arial" w:hAnsi="Arial" w:cs="Arial"/>
          <w:sz w:val="24"/>
          <w:szCs w:val="24"/>
        </w:rPr>
        <w:t xml:space="preserve">. </w:t>
      </w:r>
      <w:r w:rsidR="00F366CC">
        <w:rPr>
          <w:rFonts w:ascii="Arial" w:hAnsi="Arial" w:cs="Arial"/>
          <w:sz w:val="24"/>
          <w:szCs w:val="24"/>
        </w:rPr>
        <w:t xml:space="preserve">This is </w:t>
      </w:r>
      <w:r w:rsidR="006F50A3">
        <w:rPr>
          <w:rFonts w:ascii="Arial" w:hAnsi="Arial" w:cs="Arial"/>
          <w:sz w:val="24"/>
          <w:szCs w:val="24"/>
        </w:rPr>
        <w:t>since</w:t>
      </w:r>
      <w:r w:rsidR="00F366CC">
        <w:rPr>
          <w:rFonts w:ascii="Arial" w:hAnsi="Arial" w:cs="Arial"/>
          <w:sz w:val="24"/>
          <w:szCs w:val="24"/>
        </w:rPr>
        <w:t xml:space="preserve"> the defendant </w:t>
      </w:r>
      <w:r w:rsidR="00E25434">
        <w:rPr>
          <w:rFonts w:ascii="Arial" w:hAnsi="Arial" w:cs="Arial"/>
          <w:sz w:val="24"/>
          <w:szCs w:val="24"/>
        </w:rPr>
        <w:t xml:space="preserve">lost control of their emotions </w:t>
      </w:r>
      <w:r w:rsidR="00584DA9">
        <w:rPr>
          <w:rFonts w:ascii="Arial" w:hAnsi="Arial" w:cs="Arial"/>
          <w:sz w:val="24"/>
          <w:szCs w:val="24"/>
        </w:rPr>
        <w:t xml:space="preserve">after hearing about the infidelity and </w:t>
      </w:r>
      <w:r w:rsidR="00F7095B">
        <w:rPr>
          <w:rFonts w:ascii="Arial" w:hAnsi="Arial" w:cs="Arial"/>
          <w:sz w:val="24"/>
          <w:szCs w:val="24"/>
        </w:rPr>
        <w:t xml:space="preserve">the neglect </w:t>
      </w:r>
      <w:r w:rsidR="00584DA9">
        <w:rPr>
          <w:rFonts w:ascii="Arial" w:hAnsi="Arial" w:cs="Arial"/>
          <w:sz w:val="24"/>
          <w:szCs w:val="24"/>
        </w:rPr>
        <w:t>t</w:t>
      </w:r>
      <w:r w:rsidR="00F7095B">
        <w:rPr>
          <w:rFonts w:ascii="Arial" w:hAnsi="Arial" w:cs="Arial"/>
          <w:sz w:val="24"/>
          <w:szCs w:val="24"/>
        </w:rPr>
        <w:t xml:space="preserve">hat came from their partner. </w:t>
      </w:r>
      <w:r w:rsidR="006F50A3">
        <w:rPr>
          <w:rFonts w:ascii="Arial" w:hAnsi="Arial" w:cs="Arial"/>
          <w:sz w:val="24"/>
          <w:szCs w:val="24"/>
        </w:rPr>
        <w:t xml:space="preserve">Defendant could argue that their actions were a result of a temporary loss of self-control. </w:t>
      </w:r>
      <w:r w:rsidR="00FE49EF">
        <w:rPr>
          <w:rFonts w:ascii="Arial" w:hAnsi="Arial" w:cs="Arial"/>
          <w:sz w:val="24"/>
          <w:szCs w:val="24"/>
        </w:rPr>
        <w:t xml:space="preserve">Loss of control requires a qualifying trigger such as the defendant’s fear of serious violence from </w:t>
      </w:r>
      <w:r w:rsidR="00F9413F">
        <w:rPr>
          <w:rFonts w:ascii="Arial" w:hAnsi="Arial" w:cs="Arial"/>
          <w:sz w:val="24"/>
          <w:szCs w:val="24"/>
        </w:rPr>
        <w:t xml:space="preserve">the victim against them or another identified person (Pearson, 1992). The fear required </w:t>
      </w:r>
      <w:r w:rsidR="00973B0B">
        <w:rPr>
          <w:rFonts w:ascii="Arial" w:hAnsi="Arial" w:cs="Arial"/>
          <w:sz w:val="24"/>
          <w:szCs w:val="24"/>
        </w:rPr>
        <w:t>must</w:t>
      </w:r>
      <w:r w:rsidR="00F9413F">
        <w:rPr>
          <w:rFonts w:ascii="Arial" w:hAnsi="Arial" w:cs="Arial"/>
          <w:sz w:val="24"/>
          <w:szCs w:val="24"/>
        </w:rPr>
        <w:t xml:space="preserve"> be immediate however the Jury decides if the fear is genuine enough for it to pass. </w:t>
      </w:r>
    </w:p>
    <w:p w14:paraId="405D976F" w14:textId="3915CF6A" w:rsidR="00F64619" w:rsidRDefault="008074AC" w:rsidP="00C01720">
      <w:pPr>
        <w:spacing w:line="480" w:lineRule="auto"/>
        <w:rPr>
          <w:rFonts w:ascii="Arial" w:hAnsi="Arial" w:cs="Arial"/>
          <w:sz w:val="24"/>
          <w:szCs w:val="24"/>
        </w:rPr>
      </w:pPr>
      <w:r>
        <w:rPr>
          <w:rFonts w:ascii="Arial" w:hAnsi="Arial" w:cs="Arial"/>
          <w:sz w:val="24"/>
          <w:szCs w:val="24"/>
        </w:rPr>
        <w:t xml:space="preserve">In analysing </w:t>
      </w:r>
      <w:r w:rsidR="00502365">
        <w:rPr>
          <w:rFonts w:ascii="Arial" w:hAnsi="Arial" w:cs="Arial"/>
          <w:sz w:val="24"/>
          <w:szCs w:val="24"/>
        </w:rPr>
        <w:t>Carla’s potential liability, it seems</w:t>
      </w:r>
      <w:r w:rsidR="006C60D0">
        <w:rPr>
          <w:rFonts w:ascii="Arial" w:hAnsi="Arial" w:cs="Arial"/>
          <w:sz w:val="24"/>
          <w:szCs w:val="24"/>
        </w:rPr>
        <w:t xml:space="preserve"> that she could face charges for</w:t>
      </w:r>
      <w:r w:rsidR="00A67E45">
        <w:rPr>
          <w:rFonts w:ascii="Arial" w:hAnsi="Arial" w:cs="Arial"/>
          <w:sz w:val="24"/>
          <w:szCs w:val="24"/>
        </w:rPr>
        <w:t xml:space="preserve"> </w:t>
      </w:r>
      <w:r w:rsidR="006C60D0">
        <w:rPr>
          <w:rFonts w:ascii="Arial" w:hAnsi="Arial" w:cs="Arial"/>
          <w:sz w:val="24"/>
          <w:szCs w:val="24"/>
        </w:rPr>
        <w:t>aggravated assault and even attempted murder. The OAPA 1861, Section 47</w:t>
      </w:r>
      <w:r w:rsidR="002F6E8C">
        <w:rPr>
          <w:rFonts w:ascii="Arial" w:hAnsi="Arial" w:cs="Arial"/>
          <w:sz w:val="24"/>
          <w:szCs w:val="24"/>
        </w:rPr>
        <w:t xml:space="preserve">, deems it an offense to commit ‘any assault occasioning actual bodily harm’ (ABH). </w:t>
      </w:r>
      <w:r w:rsidR="003731F0">
        <w:rPr>
          <w:rFonts w:ascii="Arial" w:hAnsi="Arial" w:cs="Arial"/>
          <w:sz w:val="24"/>
          <w:szCs w:val="24"/>
        </w:rPr>
        <w:t xml:space="preserve">Chan-Fook (1994) in the Court of Appeal expanded ‘bodily harm’ to include harm to the organs, nervous </w:t>
      </w:r>
      <w:r w:rsidR="009205D6">
        <w:rPr>
          <w:rFonts w:ascii="Arial" w:hAnsi="Arial" w:cs="Arial"/>
          <w:sz w:val="24"/>
          <w:szCs w:val="24"/>
        </w:rPr>
        <w:t>system,</w:t>
      </w:r>
      <w:r w:rsidR="003731F0">
        <w:rPr>
          <w:rFonts w:ascii="Arial" w:hAnsi="Arial" w:cs="Arial"/>
          <w:sz w:val="24"/>
          <w:szCs w:val="24"/>
        </w:rPr>
        <w:t xml:space="preserve"> and the brain. </w:t>
      </w:r>
      <w:r w:rsidR="009205D6">
        <w:rPr>
          <w:rFonts w:ascii="Arial" w:hAnsi="Arial" w:cs="Arial"/>
          <w:sz w:val="24"/>
          <w:szCs w:val="24"/>
        </w:rPr>
        <w:t>Carla states she stabs Jamie in the chest which clearly falls within the realm of ABH as it inflicts harm on a vital organ</w:t>
      </w:r>
      <w:r w:rsidR="00A67E45">
        <w:rPr>
          <w:rFonts w:ascii="Arial" w:hAnsi="Arial" w:cs="Arial"/>
          <w:sz w:val="24"/>
          <w:szCs w:val="24"/>
        </w:rPr>
        <w:t xml:space="preserve">. </w:t>
      </w:r>
      <w:r w:rsidR="001B1C9D">
        <w:rPr>
          <w:rFonts w:ascii="Arial" w:hAnsi="Arial" w:cs="Arial"/>
          <w:sz w:val="24"/>
          <w:szCs w:val="24"/>
        </w:rPr>
        <w:t>The</w:t>
      </w:r>
      <w:r w:rsidR="00407A1A">
        <w:rPr>
          <w:rFonts w:ascii="Arial" w:hAnsi="Arial" w:cs="Arial"/>
          <w:sz w:val="24"/>
          <w:szCs w:val="24"/>
        </w:rPr>
        <w:t>re’s also the potential charge of attempted murder. The common law</w:t>
      </w:r>
      <w:r w:rsidR="00CA5D85">
        <w:rPr>
          <w:rFonts w:ascii="Arial" w:hAnsi="Arial" w:cs="Arial"/>
          <w:sz w:val="24"/>
          <w:szCs w:val="24"/>
        </w:rPr>
        <w:t xml:space="preserve"> definition claims the unlawful killing of a reasonable creature in being under the monarch’s peace with </w:t>
      </w:r>
      <w:r w:rsidR="00CA5D85">
        <w:rPr>
          <w:rFonts w:ascii="Arial" w:hAnsi="Arial" w:cs="Arial"/>
          <w:sz w:val="24"/>
          <w:szCs w:val="24"/>
        </w:rPr>
        <w:lastRenderedPageBreak/>
        <w:t xml:space="preserve">malice aforethought, </w:t>
      </w:r>
      <w:r w:rsidR="00C53C2C">
        <w:rPr>
          <w:rFonts w:ascii="Arial" w:hAnsi="Arial" w:cs="Arial"/>
          <w:sz w:val="24"/>
          <w:szCs w:val="24"/>
        </w:rPr>
        <w:t>express,</w:t>
      </w:r>
      <w:r w:rsidR="00CA5D85">
        <w:rPr>
          <w:rFonts w:ascii="Arial" w:hAnsi="Arial" w:cs="Arial"/>
          <w:sz w:val="24"/>
          <w:szCs w:val="24"/>
        </w:rPr>
        <w:t xml:space="preserve"> or implied (Lord Coke, 1797). </w:t>
      </w:r>
      <w:r w:rsidR="00134050">
        <w:rPr>
          <w:rFonts w:ascii="Arial" w:hAnsi="Arial" w:cs="Arial"/>
          <w:sz w:val="24"/>
          <w:szCs w:val="24"/>
        </w:rPr>
        <w:t>Whilst Jamie does sustain serious injuries, the intent to kill or cause grievous bodily harm (GBH)</w:t>
      </w:r>
      <w:r w:rsidR="00077836">
        <w:rPr>
          <w:rFonts w:ascii="Arial" w:hAnsi="Arial" w:cs="Arial"/>
          <w:sz w:val="24"/>
          <w:szCs w:val="24"/>
        </w:rPr>
        <w:t xml:space="preserve"> must be established. </w:t>
      </w:r>
      <w:r w:rsidR="00A31136">
        <w:rPr>
          <w:rFonts w:ascii="Arial" w:hAnsi="Arial" w:cs="Arial"/>
          <w:sz w:val="24"/>
          <w:szCs w:val="24"/>
        </w:rPr>
        <w:t>Carla’s emotional distress</w:t>
      </w:r>
      <w:r w:rsidR="007D0F34">
        <w:rPr>
          <w:rFonts w:ascii="Arial" w:hAnsi="Arial" w:cs="Arial"/>
          <w:sz w:val="24"/>
          <w:szCs w:val="24"/>
        </w:rPr>
        <w:t xml:space="preserve">, triggered by Jamie’s infidelity, serves as a potential </w:t>
      </w:r>
      <w:r w:rsidR="00D840FA">
        <w:rPr>
          <w:rFonts w:ascii="Arial" w:hAnsi="Arial" w:cs="Arial"/>
          <w:sz w:val="24"/>
          <w:szCs w:val="24"/>
        </w:rPr>
        <w:t xml:space="preserve">factor. </w:t>
      </w:r>
      <w:r w:rsidR="00F64619">
        <w:rPr>
          <w:rFonts w:ascii="Arial" w:hAnsi="Arial" w:cs="Arial"/>
          <w:sz w:val="24"/>
          <w:szCs w:val="24"/>
        </w:rPr>
        <w:t xml:space="preserve">However, whether Carla’s actions amount to attempted murder depends on the degree of intent revealed by her impulsive act of grabbing a kitchen knife and stabbing Jamie in the chest. </w:t>
      </w:r>
    </w:p>
    <w:p w14:paraId="65430B6D" w14:textId="349F75A6" w:rsidR="00333A17" w:rsidRDefault="00F64619" w:rsidP="00C01720">
      <w:pPr>
        <w:spacing w:line="480" w:lineRule="auto"/>
        <w:rPr>
          <w:rFonts w:ascii="Arial" w:hAnsi="Arial" w:cs="Arial"/>
          <w:sz w:val="24"/>
          <w:szCs w:val="24"/>
        </w:rPr>
      </w:pPr>
      <w:r>
        <w:rPr>
          <w:rFonts w:ascii="Arial" w:hAnsi="Arial" w:cs="Arial"/>
          <w:sz w:val="24"/>
          <w:szCs w:val="24"/>
        </w:rPr>
        <w:t xml:space="preserve">After assessing the actus reus, </w:t>
      </w:r>
      <w:r w:rsidR="00BF45E3">
        <w:rPr>
          <w:rFonts w:ascii="Arial" w:hAnsi="Arial" w:cs="Arial"/>
          <w:sz w:val="24"/>
          <w:szCs w:val="24"/>
        </w:rPr>
        <w:t>Carla’s actions meet the criteria for both GBH and aggravated assault. Carla intentionally grabbed a knife and stabbed Jamie, resulting in a possible impairment of ventilation, based on the severity of the stabbing</w:t>
      </w:r>
      <w:r w:rsidR="00023C34">
        <w:rPr>
          <w:rFonts w:ascii="Arial" w:hAnsi="Arial" w:cs="Arial"/>
          <w:sz w:val="24"/>
          <w:szCs w:val="24"/>
        </w:rPr>
        <w:t xml:space="preserve"> and in the case R v Jackson (202</w:t>
      </w:r>
      <w:r w:rsidR="00BB5AB1">
        <w:rPr>
          <w:rFonts w:ascii="Arial" w:hAnsi="Arial" w:cs="Arial"/>
          <w:sz w:val="24"/>
          <w:szCs w:val="24"/>
        </w:rPr>
        <w:t>3</w:t>
      </w:r>
      <w:r w:rsidR="00023C34">
        <w:rPr>
          <w:rFonts w:ascii="Arial" w:hAnsi="Arial" w:cs="Arial"/>
          <w:sz w:val="24"/>
          <w:szCs w:val="24"/>
        </w:rPr>
        <w:t xml:space="preserve">). Whilst looking at </w:t>
      </w:r>
      <w:r w:rsidR="00C94534">
        <w:rPr>
          <w:rFonts w:ascii="Arial" w:hAnsi="Arial" w:cs="Arial"/>
          <w:sz w:val="24"/>
          <w:szCs w:val="24"/>
        </w:rPr>
        <w:t xml:space="preserve">the mens rea element, Carla’s impulsive behaviour and the proximity of the stab that could’ve been near the heart, suggests an intention to cause lethal harm. </w:t>
      </w:r>
      <w:r w:rsidR="0098083A">
        <w:rPr>
          <w:rFonts w:ascii="Arial" w:hAnsi="Arial" w:cs="Arial"/>
          <w:sz w:val="24"/>
          <w:szCs w:val="24"/>
        </w:rPr>
        <w:t>T</w:t>
      </w:r>
      <w:r w:rsidR="00E94E92">
        <w:rPr>
          <w:rFonts w:ascii="Arial" w:hAnsi="Arial" w:cs="Arial"/>
          <w:sz w:val="24"/>
          <w:szCs w:val="24"/>
        </w:rPr>
        <w:t>he scenario along with Carla’s emotional distress</w:t>
      </w:r>
      <w:r w:rsidR="00D912ED">
        <w:rPr>
          <w:rFonts w:ascii="Arial" w:hAnsi="Arial" w:cs="Arial"/>
          <w:sz w:val="24"/>
          <w:szCs w:val="24"/>
        </w:rPr>
        <w:t xml:space="preserve"> and the weapon choice, shows the high level of culpability and </w:t>
      </w:r>
      <w:r w:rsidR="0098083A">
        <w:rPr>
          <w:rFonts w:ascii="Arial" w:hAnsi="Arial" w:cs="Arial"/>
          <w:sz w:val="24"/>
          <w:szCs w:val="24"/>
        </w:rPr>
        <w:t xml:space="preserve">a possible indication of revenge </w:t>
      </w:r>
      <w:r w:rsidR="00E94E92">
        <w:rPr>
          <w:rFonts w:ascii="Arial" w:hAnsi="Arial" w:cs="Arial"/>
          <w:sz w:val="24"/>
          <w:szCs w:val="24"/>
        </w:rPr>
        <w:t xml:space="preserve">due to marital problems and neglect from Jamie. </w:t>
      </w:r>
    </w:p>
    <w:p w14:paraId="10710564" w14:textId="77777777" w:rsidR="00AF502C" w:rsidRDefault="00333A17" w:rsidP="00C01720">
      <w:pPr>
        <w:spacing w:line="480" w:lineRule="auto"/>
        <w:rPr>
          <w:rFonts w:ascii="Arial" w:hAnsi="Arial" w:cs="Arial"/>
          <w:sz w:val="24"/>
          <w:szCs w:val="24"/>
        </w:rPr>
      </w:pPr>
      <w:r>
        <w:rPr>
          <w:rFonts w:ascii="Arial" w:hAnsi="Arial" w:cs="Arial"/>
          <w:sz w:val="24"/>
          <w:szCs w:val="24"/>
        </w:rPr>
        <w:t xml:space="preserve">However, Carla introduces a potential defence of loss of control, as outlined in the Coroners and Justice Act </w:t>
      </w:r>
      <w:r w:rsidR="002503AA">
        <w:rPr>
          <w:rFonts w:ascii="Arial" w:hAnsi="Arial" w:cs="Arial"/>
          <w:sz w:val="24"/>
          <w:szCs w:val="24"/>
        </w:rPr>
        <w:t xml:space="preserve">2009, Section 54(1). Loss of control </w:t>
      </w:r>
      <w:r w:rsidR="005E2867">
        <w:rPr>
          <w:rFonts w:ascii="Arial" w:hAnsi="Arial" w:cs="Arial"/>
          <w:sz w:val="24"/>
          <w:szCs w:val="24"/>
        </w:rPr>
        <w:t>requires a qualifying trigger</w:t>
      </w:r>
      <w:r w:rsidR="00CA7D8A">
        <w:rPr>
          <w:rFonts w:ascii="Arial" w:hAnsi="Arial" w:cs="Arial"/>
          <w:sz w:val="24"/>
          <w:szCs w:val="24"/>
        </w:rPr>
        <w:t xml:space="preserve"> such as </w:t>
      </w:r>
      <w:r w:rsidR="00ED42B1">
        <w:rPr>
          <w:rFonts w:ascii="Arial" w:hAnsi="Arial" w:cs="Arial"/>
          <w:sz w:val="24"/>
          <w:szCs w:val="24"/>
        </w:rPr>
        <w:t xml:space="preserve">fear of serious violence from another. </w:t>
      </w:r>
      <w:r w:rsidR="006B6994">
        <w:rPr>
          <w:rFonts w:ascii="Arial" w:hAnsi="Arial" w:cs="Arial"/>
          <w:sz w:val="24"/>
          <w:szCs w:val="24"/>
        </w:rPr>
        <w:t>S</w:t>
      </w:r>
      <w:r w:rsidR="00973B0B">
        <w:rPr>
          <w:rFonts w:ascii="Arial" w:hAnsi="Arial" w:cs="Arial"/>
          <w:sz w:val="24"/>
          <w:szCs w:val="24"/>
        </w:rPr>
        <w:t xml:space="preserve">ection 54(2) </w:t>
      </w:r>
      <w:r w:rsidR="006B6994">
        <w:rPr>
          <w:rFonts w:ascii="Arial" w:hAnsi="Arial" w:cs="Arial"/>
          <w:sz w:val="24"/>
          <w:szCs w:val="24"/>
        </w:rPr>
        <w:t xml:space="preserve">of the Coroners and Justice Act 2009 </w:t>
      </w:r>
      <w:r w:rsidR="00973B0B">
        <w:rPr>
          <w:rFonts w:ascii="Arial" w:hAnsi="Arial" w:cs="Arial"/>
          <w:sz w:val="24"/>
          <w:szCs w:val="24"/>
        </w:rPr>
        <w:t xml:space="preserve">states that loss of control does not have to be </w:t>
      </w:r>
      <w:r w:rsidR="00AF502C">
        <w:rPr>
          <w:rFonts w:ascii="Arial" w:hAnsi="Arial" w:cs="Arial"/>
          <w:sz w:val="24"/>
          <w:szCs w:val="24"/>
        </w:rPr>
        <w:t>sudden,</w:t>
      </w:r>
      <w:r w:rsidR="00973B0B">
        <w:rPr>
          <w:rFonts w:ascii="Arial" w:hAnsi="Arial" w:cs="Arial"/>
          <w:sz w:val="24"/>
          <w:szCs w:val="24"/>
        </w:rPr>
        <w:t xml:space="preserve"> and it can build up overtime</w:t>
      </w:r>
      <w:r w:rsidR="006B6994">
        <w:rPr>
          <w:rFonts w:ascii="Arial" w:hAnsi="Arial" w:cs="Arial"/>
          <w:sz w:val="24"/>
          <w:szCs w:val="24"/>
        </w:rPr>
        <w:t xml:space="preserve">, therefore although the immediate fear must be genuine, it can </w:t>
      </w:r>
      <w:r w:rsidR="00E80AC9">
        <w:rPr>
          <w:rFonts w:ascii="Arial" w:hAnsi="Arial" w:cs="Arial"/>
          <w:sz w:val="24"/>
          <w:szCs w:val="24"/>
        </w:rPr>
        <w:t xml:space="preserve">be due to a </w:t>
      </w:r>
      <w:r w:rsidR="004C1FF0">
        <w:rPr>
          <w:rFonts w:ascii="Arial" w:hAnsi="Arial" w:cs="Arial"/>
          <w:sz w:val="24"/>
          <w:szCs w:val="24"/>
        </w:rPr>
        <w:t>build-up</w:t>
      </w:r>
      <w:r w:rsidR="00E80AC9">
        <w:rPr>
          <w:rFonts w:ascii="Arial" w:hAnsi="Arial" w:cs="Arial"/>
          <w:sz w:val="24"/>
          <w:szCs w:val="24"/>
        </w:rPr>
        <w:t xml:space="preserve">, however it is left to </w:t>
      </w:r>
      <w:r w:rsidR="004C1FF0">
        <w:rPr>
          <w:rFonts w:ascii="Arial" w:hAnsi="Arial" w:cs="Arial"/>
          <w:sz w:val="24"/>
          <w:szCs w:val="24"/>
        </w:rPr>
        <w:t xml:space="preserve">Jury to decide the outcome. Carla could argue that Jamie’s admission of infidelity </w:t>
      </w:r>
      <w:r w:rsidR="005D0321">
        <w:rPr>
          <w:rFonts w:ascii="Arial" w:hAnsi="Arial" w:cs="Arial"/>
          <w:sz w:val="24"/>
          <w:szCs w:val="24"/>
        </w:rPr>
        <w:t xml:space="preserve">and neglect </w:t>
      </w:r>
      <w:r w:rsidR="00AF502C">
        <w:rPr>
          <w:rFonts w:ascii="Arial" w:hAnsi="Arial" w:cs="Arial"/>
          <w:sz w:val="24"/>
          <w:szCs w:val="24"/>
        </w:rPr>
        <w:t>consisted of</w:t>
      </w:r>
      <w:r w:rsidR="005D0321">
        <w:rPr>
          <w:rFonts w:ascii="Arial" w:hAnsi="Arial" w:cs="Arial"/>
          <w:sz w:val="24"/>
          <w:szCs w:val="24"/>
        </w:rPr>
        <w:t xml:space="preserve"> </w:t>
      </w:r>
      <w:r w:rsidR="00816496">
        <w:rPr>
          <w:rFonts w:ascii="Arial" w:hAnsi="Arial" w:cs="Arial"/>
          <w:sz w:val="24"/>
          <w:szCs w:val="24"/>
        </w:rPr>
        <w:t xml:space="preserve">a qualifying trigger which then caused her to have a </w:t>
      </w:r>
      <w:r w:rsidR="00AF502C">
        <w:rPr>
          <w:rFonts w:ascii="Arial" w:hAnsi="Arial" w:cs="Arial"/>
          <w:sz w:val="24"/>
          <w:szCs w:val="24"/>
        </w:rPr>
        <w:t xml:space="preserve">temporary </w:t>
      </w:r>
      <w:r w:rsidR="00816496">
        <w:rPr>
          <w:rFonts w:ascii="Arial" w:hAnsi="Arial" w:cs="Arial"/>
          <w:sz w:val="24"/>
          <w:szCs w:val="24"/>
        </w:rPr>
        <w:t>loss of control.</w:t>
      </w:r>
    </w:p>
    <w:p w14:paraId="091C9A36" w14:textId="47818561" w:rsidR="00D24417" w:rsidRPr="00D24417" w:rsidRDefault="00D455AC" w:rsidP="00C01720">
      <w:pPr>
        <w:spacing w:line="480" w:lineRule="auto"/>
        <w:rPr>
          <w:rFonts w:ascii="Arial" w:hAnsi="Arial" w:cs="Arial"/>
          <w:sz w:val="24"/>
          <w:szCs w:val="24"/>
        </w:rPr>
      </w:pPr>
      <w:r>
        <w:rPr>
          <w:rFonts w:ascii="Arial" w:hAnsi="Arial" w:cs="Arial"/>
          <w:sz w:val="24"/>
          <w:szCs w:val="24"/>
        </w:rPr>
        <w:t>Therefore,</w:t>
      </w:r>
      <w:r w:rsidR="002C2AF8">
        <w:rPr>
          <w:rFonts w:ascii="Arial" w:hAnsi="Arial" w:cs="Arial"/>
          <w:sz w:val="24"/>
          <w:szCs w:val="24"/>
        </w:rPr>
        <w:t xml:space="preserve"> in conclusion, Carla’s potential criminal liability </w:t>
      </w:r>
      <w:r w:rsidR="00CE461F">
        <w:rPr>
          <w:rFonts w:ascii="Arial" w:hAnsi="Arial" w:cs="Arial"/>
          <w:sz w:val="24"/>
          <w:szCs w:val="24"/>
        </w:rPr>
        <w:t>includes charges of aggravated assault</w:t>
      </w:r>
      <w:r w:rsidR="00C65A8F">
        <w:rPr>
          <w:rFonts w:ascii="Arial" w:hAnsi="Arial" w:cs="Arial"/>
          <w:sz w:val="24"/>
          <w:szCs w:val="24"/>
        </w:rPr>
        <w:t xml:space="preserve">. </w:t>
      </w:r>
      <w:r w:rsidR="000B6C54">
        <w:rPr>
          <w:rFonts w:ascii="Arial" w:hAnsi="Arial" w:cs="Arial"/>
          <w:sz w:val="24"/>
          <w:szCs w:val="24"/>
        </w:rPr>
        <w:t xml:space="preserve">The consideration of her emotional state and the application of </w:t>
      </w:r>
      <w:r w:rsidR="000B6C54">
        <w:rPr>
          <w:rFonts w:ascii="Arial" w:hAnsi="Arial" w:cs="Arial"/>
          <w:sz w:val="24"/>
          <w:szCs w:val="24"/>
        </w:rPr>
        <w:lastRenderedPageBreak/>
        <w:t xml:space="preserve">the defence of loss of control introduces new complexities, </w:t>
      </w:r>
      <w:r w:rsidR="00D46483">
        <w:rPr>
          <w:rFonts w:ascii="Arial" w:hAnsi="Arial" w:cs="Arial"/>
          <w:sz w:val="24"/>
          <w:szCs w:val="24"/>
        </w:rPr>
        <w:t xml:space="preserve">suggesting a thorough investigation into Carla’s mental state, </w:t>
      </w:r>
      <w:r>
        <w:rPr>
          <w:rFonts w:ascii="Arial" w:hAnsi="Arial" w:cs="Arial"/>
          <w:sz w:val="24"/>
          <w:szCs w:val="24"/>
        </w:rPr>
        <w:t>awareness,</w:t>
      </w:r>
      <w:r w:rsidR="00D46483">
        <w:rPr>
          <w:rFonts w:ascii="Arial" w:hAnsi="Arial" w:cs="Arial"/>
          <w:sz w:val="24"/>
          <w:szCs w:val="24"/>
        </w:rPr>
        <w:t xml:space="preserve"> and the justification </w:t>
      </w:r>
      <w:r w:rsidR="00F70068">
        <w:rPr>
          <w:rFonts w:ascii="Arial" w:hAnsi="Arial" w:cs="Arial"/>
          <w:sz w:val="24"/>
          <w:szCs w:val="24"/>
        </w:rPr>
        <w:t>of her reaction to the circumstances.</w:t>
      </w:r>
      <w:r w:rsidR="0047056C">
        <w:rPr>
          <w:rFonts w:ascii="Arial" w:hAnsi="Arial" w:cs="Arial"/>
          <w:sz w:val="24"/>
          <w:szCs w:val="24"/>
        </w:rPr>
        <w:br/>
      </w:r>
      <w:r w:rsidR="00C01720">
        <w:rPr>
          <w:rFonts w:ascii="Arial" w:hAnsi="Arial" w:cs="Arial"/>
          <w:sz w:val="24"/>
          <w:szCs w:val="24"/>
        </w:rPr>
        <w:br/>
      </w:r>
      <w:r w:rsidR="0047056C">
        <w:rPr>
          <w:rFonts w:ascii="Arial" w:hAnsi="Arial" w:cs="Arial"/>
          <w:sz w:val="24"/>
          <w:szCs w:val="24"/>
        </w:rPr>
        <w:t>Reference List:</w:t>
      </w:r>
      <w:r w:rsidR="0047056C">
        <w:rPr>
          <w:rFonts w:ascii="Arial" w:hAnsi="Arial" w:cs="Arial"/>
          <w:sz w:val="24"/>
          <w:szCs w:val="24"/>
        </w:rPr>
        <w:br/>
      </w:r>
      <w:r w:rsidR="00D24417" w:rsidRPr="00D24417">
        <w:rPr>
          <w:rFonts w:ascii="Arial" w:hAnsi="Arial" w:cs="Arial"/>
          <w:sz w:val="24"/>
          <w:szCs w:val="24"/>
        </w:rPr>
        <w:t xml:space="preserve">Causing grievous bodily harm with intent to do grievous bodily harm/ Wounding with intent to do GBH – Sentencing (2021). Available at: </w:t>
      </w:r>
      <w:hyperlink r:id="rId6" w:history="1">
        <w:r w:rsidR="00D24417" w:rsidRPr="00366B54">
          <w:rPr>
            <w:rStyle w:val="Hyperlink"/>
            <w:rFonts w:ascii="Arial" w:hAnsi="Arial" w:cs="Arial"/>
            <w:sz w:val="24"/>
            <w:szCs w:val="24"/>
          </w:rPr>
          <w:t>https://www.sentencingcouncil.org.uk/offences/crown-court/item/causing-grievous-bodily-harm-with-intent-to-do-grievous-bodily-harm-wounding-with-intent-to-do-gbh-2/</w:t>
        </w:r>
      </w:hyperlink>
      <w:r w:rsidR="00D24417">
        <w:rPr>
          <w:rFonts w:ascii="Arial" w:hAnsi="Arial" w:cs="Arial"/>
          <w:sz w:val="24"/>
          <w:szCs w:val="24"/>
        </w:rPr>
        <w:t xml:space="preserve"> </w:t>
      </w:r>
    </w:p>
    <w:p w14:paraId="5624C8D6" w14:textId="04BD913B" w:rsidR="00D24417" w:rsidRPr="00D24417" w:rsidRDefault="00D24417" w:rsidP="00D24417">
      <w:pPr>
        <w:spacing w:line="360" w:lineRule="auto"/>
        <w:rPr>
          <w:rFonts w:ascii="Arial" w:hAnsi="Arial" w:cs="Arial"/>
          <w:sz w:val="24"/>
          <w:szCs w:val="24"/>
        </w:rPr>
      </w:pPr>
      <w:r w:rsidRPr="00D24417">
        <w:rPr>
          <w:rFonts w:ascii="Arial" w:hAnsi="Arial" w:cs="Arial"/>
          <w:sz w:val="24"/>
          <w:szCs w:val="24"/>
        </w:rPr>
        <w:t xml:space="preserve">Coroners and Justice Act 2009, c.25. Available at: </w:t>
      </w:r>
      <w:hyperlink r:id="rId7" w:history="1">
        <w:r w:rsidRPr="00366B54">
          <w:rPr>
            <w:rStyle w:val="Hyperlink"/>
            <w:rFonts w:ascii="Arial" w:hAnsi="Arial" w:cs="Arial"/>
            <w:sz w:val="24"/>
            <w:szCs w:val="24"/>
          </w:rPr>
          <w:t>https://www.legislation.gov.uk/ukpga/2009/25/section/54</w:t>
        </w:r>
      </w:hyperlink>
      <w:r>
        <w:rPr>
          <w:rFonts w:ascii="Arial" w:hAnsi="Arial" w:cs="Arial"/>
          <w:sz w:val="24"/>
          <w:szCs w:val="24"/>
        </w:rPr>
        <w:t xml:space="preserve"> </w:t>
      </w:r>
      <w:r w:rsidR="00C01720">
        <w:rPr>
          <w:rFonts w:ascii="Arial" w:hAnsi="Arial" w:cs="Arial"/>
          <w:sz w:val="24"/>
          <w:szCs w:val="24"/>
        </w:rPr>
        <w:br/>
      </w:r>
    </w:p>
    <w:p w14:paraId="2B21274C" w14:textId="777931FD" w:rsidR="00D24417" w:rsidRPr="00D24417" w:rsidRDefault="00D24417" w:rsidP="00D24417">
      <w:pPr>
        <w:spacing w:line="360" w:lineRule="auto"/>
        <w:rPr>
          <w:rFonts w:ascii="Arial" w:hAnsi="Arial" w:cs="Arial"/>
          <w:sz w:val="24"/>
          <w:szCs w:val="24"/>
        </w:rPr>
      </w:pPr>
      <w:r w:rsidRPr="00D24417">
        <w:rPr>
          <w:rFonts w:ascii="Arial" w:hAnsi="Arial" w:cs="Arial"/>
          <w:sz w:val="24"/>
          <w:szCs w:val="24"/>
        </w:rPr>
        <w:t xml:space="preserve">Homicide Act 1957, c.11. Available at: </w:t>
      </w:r>
      <w:hyperlink r:id="rId8" w:history="1">
        <w:r w:rsidRPr="00366B54">
          <w:rPr>
            <w:rStyle w:val="Hyperlink"/>
            <w:rFonts w:ascii="Arial" w:hAnsi="Arial" w:cs="Arial"/>
            <w:sz w:val="24"/>
            <w:szCs w:val="24"/>
          </w:rPr>
          <w:t>https://www.legislation.gov.uk/ukpga/Eliz2/5-6/11/section/3/enacted</w:t>
        </w:r>
      </w:hyperlink>
      <w:r>
        <w:rPr>
          <w:rFonts w:ascii="Arial" w:hAnsi="Arial" w:cs="Arial"/>
          <w:sz w:val="24"/>
          <w:szCs w:val="24"/>
        </w:rPr>
        <w:t xml:space="preserve"> </w:t>
      </w:r>
      <w:r w:rsidR="00C01720">
        <w:rPr>
          <w:rFonts w:ascii="Arial" w:hAnsi="Arial" w:cs="Arial"/>
          <w:sz w:val="24"/>
          <w:szCs w:val="24"/>
        </w:rPr>
        <w:br/>
      </w:r>
    </w:p>
    <w:p w14:paraId="7ADB604F" w14:textId="7F7FA188" w:rsidR="00D24417" w:rsidRPr="00D24417" w:rsidRDefault="00D24417" w:rsidP="00D24417">
      <w:pPr>
        <w:spacing w:line="360" w:lineRule="auto"/>
        <w:rPr>
          <w:rFonts w:ascii="Arial" w:hAnsi="Arial" w:cs="Arial"/>
          <w:sz w:val="24"/>
          <w:szCs w:val="24"/>
        </w:rPr>
      </w:pPr>
      <w:r w:rsidRPr="00D24417">
        <w:rPr>
          <w:rFonts w:ascii="Arial" w:hAnsi="Arial" w:cs="Arial"/>
          <w:sz w:val="24"/>
          <w:szCs w:val="24"/>
        </w:rPr>
        <w:t xml:space="preserve">Offences Against the Person Act 1861, c.100. Available at: </w:t>
      </w:r>
      <w:hyperlink r:id="rId9" w:history="1">
        <w:r w:rsidRPr="00366B54">
          <w:rPr>
            <w:rStyle w:val="Hyperlink"/>
            <w:rFonts w:ascii="Arial" w:hAnsi="Arial" w:cs="Arial"/>
            <w:sz w:val="24"/>
            <w:szCs w:val="24"/>
          </w:rPr>
          <w:t>https://www.legislation.gov.uk/ukpga/Vict/24-25/100/section/47</w:t>
        </w:r>
      </w:hyperlink>
      <w:r w:rsidR="00C01720">
        <w:rPr>
          <w:rStyle w:val="Hyperlink"/>
          <w:rFonts w:ascii="Arial" w:hAnsi="Arial" w:cs="Arial"/>
          <w:sz w:val="24"/>
          <w:szCs w:val="24"/>
        </w:rPr>
        <w:br/>
      </w:r>
    </w:p>
    <w:p w14:paraId="2F28CCE4" w14:textId="5E64CA87" w:rsidR="00D24417" w:rsidRPr="00D24417" w:rsidRDefault="00D24417" w:rsidP="00D24417">
      <w:pPr>
        <w:spacing w:line="360" w:lineRule="auto"/>
        <w:rPr>
          <w:rFonts w:ascii="Arial" w:hAnsi="Arial" w:cs="Arial"/>
          <w:sz w:val="24"/>
          <w:szCs w:val="24"/>
        </w:rPr>
      </w:pPr>
      <w:r w:rsidRPr="00D24417">
        <w:rPr>
          <w:rFonts w:ascii="Arial" w:hAnsi="Arial" w:cs="Arial"/>
          <w:sz w:val="24"/>
          <w:szCs w:val="24"/>
        </w:rPr>
        <w:t xml:space="preserve">The Crown Prosecution Service (2022) Offences against the Person, incorporating the Charging Standard, Legal Guidance. Available at: </w:t>
      </w:r>
      <w:hyperlink r:id="rId10" w:anchor=":~:text=An%20assault%20is%20any%20act,unlawful%20force%20to%20another%20person" w:history="1">
        <w:r w:rsidRPr="00366B54">
          <w:rPr>
            <w:rStyle w:val="Hyperlink"/>
            <w:rFonts w:ascii="Arial" w:hAnsi="Arial" w:cs="Arial"/>
            <w:sz w:val="24"/>
            <w:szCs w:val="24"/>
          </w:rPr>
          <w:t>https://www.cps.gov.uk/legal-guidance/offences-against-person-incorporating-charging-standard#:~:text=An%20assault%20is%20any%20act,unlawful%20force%20to%20another%20person</w:t>
        </w:r>
      </w:hyperlink>
      <w:r>
        <w:rPr>
          <w:rFonts w:ascii="Arial" w:hAnsi="Arial" w:cs="Arial"/>
          <w:sz w:val="24"/>
          <w:szCs w:val="24"/>
        </w:rPr>
        <w:t xml:space="preserve">. </w:t>
      </w:r>
      <w:r w:rsidR="00C01720">
        <w:rPr>
          <w:rFonts w:ascii="Arial" w:hAnsi="Arial" w:cs="Arial"/>
          <w:sz w:val="24"/>
          <w:szCs w:val="24"/>
        </w:rPr>
        <w:br/>
      </w:r>
    </w:p>
    <w:p w14:paraId="4B490E76" w14:textId="032D20C8" w:rsidR="00D24417" w:rsidRPr="00D24417" w:rsidRDefault="00D24417" w:rsidP="00D24417">
      <w:pPr>
        <w:spacing w:line="360" w:lineRule="auto"/>
        <w:rPr>
          <w:rFonts w:ascii="Arial" w:hAnsi="Arial" w:cs="Arial"/>
          <w:sz w:val="24"/>
          <w:szCs w:val="24"/>
        </w:rPr>
      </w:pPr>
      <w:r w:rsidRPr="00D24417">
        <w:rPr>
          <w:rFonts w:ascii="Arial" w:hAnsi="Arial" w:cs="Arial"/>
          <w:sz w:val="24"/>
          <w:szCs w:val="24"/>
        </w:rPr>
        <w:t xml:space="preserve">Homicide Act 1957, c.11. Available at: </w:t>
      </w:r>
      <w:hyperlink r:id="rId11" w:history="1">
        <w:r w:rsidRPr="00366B54">
          <w:rPr>
            <w:rStyle w:val="Hyperlink"/>
            <w:rFonts w:ascii="Arial" w:hAnsi="Arial" w:cs="Arial"/>
            <w:sz w:val="24"/>
            <w:szCs w:val="24"/>
          </w:rPr>
          <w:t>https://www.legislation.gov.uk/ukpga/Eliz2/5-6/11/enacted</w:t>
        </w:r>
      </w:hyperlink>
      <w:r>
        <w:rPr>
          <w:rFonts w:ascii="Arial" w:hAnsi="Arial" w:cs="Arial"/>
          <w:sz w:val="24"/>
          <w:szCs w:val="24"/>
        </w:rPr>
        <w:t xml:space="preserve"> </w:t>
      </w:r>
    </w:p>
    <w:p w14:paraId="14913F7F" w14:textId="69944D1D" w:rsidR="003D2A1D" w:rsidRPr="00803D68" w:rsidRDefault="00803D68" w:rsidP="00C01720">
      <w:pPr>
        <w:spacing w:line="276" w:lineRule="auto"/>
        <w:rPr>
          <w:rFonts w:ascii="Arial" w:hAnsi="Arial" w:cs="Arial"/>
          <w:sz w:val="24"/>
          <w:szCs w:val="24"/>
        </w:rPr>
      </w:pPr>
      <w:r w:rsidRPr="00D24417">
        <w:rPr>
          <w:rFonts w:ascii="Arial" w:hAnsi="Arial" w:cs="Arial"/>
          <w:sz w:val="24"/>
          <w:szCs w:val="24"/>
        </w:rPr>
        <w:lastRenderedPageBreak/>
        <w:t xml:space="preserve">Weebly (n.d). Murder. Available at: </w:t>
      </w:r>
      <w:hyperlink r:id="rId12" w:history="1">
        <w:r w:rsidRPr="00366B54">
          <w:rPr>
            <w:rStyle w:val="Hyperlink"/>
            <w:rFonts w:ascii="Arial" w:hAnsi="Arial" w:cs="Arial"/>
            <w:sz w:val="24"/>
            <w:szCs w:val="24"/>
          </w:rPr>
          <w:t>https://law205.weebly.com/murder.html</w:t>
        </w:r>
      </w:hyperlink>
      <w:r>
        <w:rPr>
          <w:rFonts w:ascii="Arial" w:hAnsi="Arial" w:cs="Arial"/>
          <w:sz w:val="24"/>
          <w:szCs w:val="24"/>
        </w:rPr>
        <w:t xml:space="preserve"> </w:t>
      </w:r>
      <w:r w:rsidR="003D2A1D">
        <w:rPr>
          <w:rFonts w:ascii="Arial" w:hAnsi="Arial" w:cs="Arial"/>
          <w:sz w:val="24"/>
          <w:szCs w:val="24"/>
        </w:rPr>
        <w:br/>
      </w:r>
      <w:r w:rsidR="00C01720">
        <w:rPr>
          <w:rFonts w:ascii="Arial" w:hAnsi="Arial" w:cs="Arial"/>
          <w:sz w:val="24"/>
          <w:szCs w:val="24"/>
        </w:rPr>
        <w:br/>
      </w:r>
      <w:r>
        <w:rPr>
          <w:rFonts w:ascii="Arial" w:hAnsi="Arial" w:cs="Arial"/>
          <w:sz w:val="24"/>
          <w:szCs w:val="24"/>
        </w:rPr>
        <w:t>Case List:</w:t>
      </w:r>
      <w:r w:rsidR="00C01720">
        <w:rPr>
          <w:rFonts w:ascii="Arial" w:hAnsi="Arial" w:cs="Arial"/>
          <w:sz w:val="24"/>
          <w:szCs w:val="24"/>
        </w:rPr>
        <w:br/>
      </w:r>
      <w:r w:rsidR="00C01720">
        <w:rPr>
          <w:rFonts w:ascii="Arial" w:hAnsi="Arial" w:cs="Arial"/>
          <w:sz w:val="24"/>
          <w:szCs w:val="24"/>
        </w:rPr>
        <w:br/>
      </w:r>
      <w:r w:rsidRPr="00803D68">
        <w:rPr>
          <w:rFonts w:ascii="Arial" w:hAnsi="Arial" w:cs="Arial"/>
          <w:sz w:val="24"/>
          <w:szCs w:val="24"/>
        </w:rPr>
        <w:t>Pearson (1992)</w:t>
      </w:r>
      <w:r w:rsidR="00C01720">
        <w:rPr>
          <w:rFonts w:ascii="Arial" w:hAnsi="Arial" w:cs="Arial"/>
          <w:sz w:val="24"/>
          <w:szCs w:val="24"/>
        </w:rPr>
        <w:br/>
      </w:r>
      <w:r w:rsidR="003D2A1D">
        <w:rPr>
          <w:rFonts w:ascii="Arial" w:hAnsi="Arial" w:cs="Arial"/>
          <w:sz w:val="24"/>
          <w:szCs w:val="24"/>
        </w:rPr>
        <w:br/>
      </w:r>
      <w:r w:rsidR="003D2A1D" w:rsidRPr="00803D68">
        <w:rPr>
          <w:rFonts w:ascii="Arial" w:hAnsi="Arial" w:cs="Arial"/>
          <w:sz w:val="24"/>
          <w:szCs w:val="24"/>
        </w:rPr>
        <w:t>R v Chan Fook (1994)</w:t>
      </w:r>
    </w:p>
    <w:p w14:paraId="4DC57FBF" w14:textId="77777777" w:rsidR="00803D68" w:rsidRPr="00803D68" w:rsidRDefault="00803D68" w:rsidP="00803D68">
      <w:pPr>
        <w:spacing w:line="360" w:lineRule="auto"/>
        <w:rPr>
          <w:rFonts w:ascii="Arial" w:hAnsi="Arial" w:cs="Arial"/>
          <w:sz w:val="24"/>
          <w:szCs w:val="24"/>
        </w:rPr>
      </w:pPr>
      <w:r w:rsidRPr="00803D68">
        <w:rPr>
          <w:rFonts w:ascii="Arial" w:hAnsi="Arial" w:cs="Arial"/>
          <w:sz w:val="24"/>
          <w:szCs w:val="24"/>
        </w:rPr>
        <w:t>R v Duffy (1949)</w:t>
      </w:r>
    </w:p>
    <w:p w14:paraId="2CC2AE49" w14:textId="77777777" w:rsidR="00803D68" w:rsidRPr="00803D68" w:rsidRDefault="00803D68" w:rsidP="00803D68">
      <w:pPr>
        <w:spacing w:line="360" w:lineRule="auto"/>
        <w:rPr>
          <w:rFonts w:ascii="Arial" w:hAnsi="Arial" w:cs="Arial"/>
          <w:sz w:val="24"/>
          <w:szCs w:val="24"/>
        </w:rPr>
      </w:pPr>
      <w:r w:rsidRPr="00803D68">
        <w:rPr>
          <w:rFonts w:ascii="Arial" w:hAnsi="Arial" w:cs="Arial"/>
          <w:sz w:val="24"/>
          <w:szCs w:val="24"/>
        </w:rPr>
        <w:t>R v Falconer (1990)</w:t>
      </w:r>
    </w:p>
    <w:p w14:paraId="235463C4" w14:textId="0DF1F0A8" w:rsidR="00803D68" w:rsidRPr="00803D68" w:rsidRDefault="00803D68" w:rsidP="00803D68">
      <w:pPr>
        <w:spacing w:line="360" w:lineRule="auto"/>
        <w:rPr>
          <w:rFonts w:ascii="Arial" w:hAnsi="Arial" w:cs="Arial"/>
          <w:sz w:val="24"/>
          <w:szCs w:val="24"/>
        </w:rPr>
      </w:pPr>
      <w:r w:rsidRPr="00803D68">
        <w:rPr>
          <w:rFonts w:ascii="Arial" w:hAnsi="Arial" w:cs="Arial"/>
          <w:sz w:val="24"/>
          <w:szCs w:val="24"/>
        </w:rPr>
        <w:t>R v Jackson (2023)</w:t>
      </w:r>
    </w:p>
    <w:sectPr w:rsidR="00803D68" w:rsidRPr="00803D68">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32B7B" w14:textId="77777777" w:rsidR="00DD2B89" w:rsidRDefault="00DD2B89" w:rsidP="003F4E6A">
      <w:pPr>
        <w:spacing w:after="0" w:line="240" w:lineRule="auto"/>
      </w:pPr>
      <w:r>
        <w:separator/>
      </w:r>
    </w:p>
  </w:endnote>
  <w:endnote w:type="continuationSeparator" w:id="0">
    <w:p w14:paraId="02F219F3" w14:textId="77777777" w:rsidR="00DD2B89" w:rsidRDefault="00DD2B89" w:rsidP="003F4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4E951" w14:textId="77777777" w:rsidR="00DD2B89" w:rsidRDefault="00DD2B89" w:rsidP="003F4E6A">
      <w:pPr>
        <w:spacing w:after="0" w:line="240" w:lineRule="auto"/>
      </w:pPr>
      <w:r>
        <w:separator/>
      </w:r>
    </w:p>
  </w:footnote>
  <w:footnote w:type="continuationSeparator" w:id="0">
    <w:p w14:paraId="16278673" w14:textId="77777777" w:rsidR="00DD2B89" w:rsidRDefault="00DD2B89" w:rsidP="003F4E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87251" w14:textId="73FA3803" w:rsidR="003F4E6A" w:rsidRPr="003F4E6A" w:rsidRDefault="003F4E6A" w:rsidP="003F4E6A">
    <w:pPr>
      <w:pStyle w:val="Header"/>
      <w:jc w:val="right"/>
      <w:rPr>
        <w:rFonts w:ascii="Arial" w:hAnsi="Arial" w:cs="Arial"/>
        <w:b/>
        <w:bCs/>
      </w:rPr>
    </w:pPr>
    <w:r w:rsidRPr="003F4E6A">
      <w:rPr>
        <w:rFonts w:ascii="Arial" w:hAnsi="Arial" w:cs="Arial"/>
        <w:b/>
        <w:bCs/>
      </w:rPr>
      <w:t>Tanith Coulson</w:t>
    </w:r>
    <w:r w:rsidRPr="003F4E6A">
      <w:rPr>
        <w:rFonts w:ascii="Arial" w:hAnsi="Arial" w:cs="Arial"/>
        <w:b/>
        <w:bCs/>
      </w:rPr>
      <w:br/>
      <w:t>2304246</w:t>
    </w:r>
  </w:p>
  <w:p w14:paraId="54AF7C46" w14:textId="657BDBAE" w:rsidR="003F4E6A" w:rsidRPr="003F4E6A" w:rsidRDefault="003F4E6A" w:rsidP="003F4E6A">
    <w:pPr>
      <w:pStyle w:val="Header"/>
      <w:jc w:val="right"/>
      <w:rPr>
        <w:rFonts w:ascii="Arial" w:hAnsi="Arial" w:cs="Arial"/>
        <w:b/>
        <w:bCs/>
      </w:rPr>
    </w:pPr>
    <w:r w:rsidRPr="003F4E6A">
      <w:rPr>
        <w:rFonts w:ascii="Arial" w:hAnsi="Arial" w:cs="Arial"/>
        <w:b/>
        <w:bCs/>
      </w:rPr>
      <w:t>BMPL4009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E6A"/>
    <w:rsid w:val="00011E38"/>
    <w:rsid w:val="000139C5"/>
    <w:rsid w:val="00023C34"/>
    <w:rsid w:val="0005246D"/>
    <w:rsid w:val="00062A2E"/>
    <w:rsid w:val="00063212"/>
    <w:rsid w:val="00077836"/>
    <w:rsid w:val="00080D39"/>
    <w:rsid w:val="000A4CEE"/>
    <w:rsid w:val="000B47FA"/>
    <w:rsid w:val="000B6C54"/>
    <w:rsid w:val="000C1910"/>
    <w:rsid w:val="000C70E7"/>
    <w:rsid w:val="001066BB"/>
    <w:rsid w:val="001329CF"/>
    <w:rsid w:val="00134050"/>
    <w:rsid w:val="00136FEC"/>
    <w:rsid w:val="00141B94"/>
    <w:rsid w:val="00143309"/>
    <w:rsid w:val="0014354B"/>
    <w:rsid w:val="00146314"/>
    <w:rsid w:val="0015493C"/>
    <w:rsid w:val="001621C5"/>
    <w:rsid w:val="00164CF8"/>
    <w:rsid w:val="001730DF"/>
    <w:rsid w:val="00181B67"/>
    <w:rsid w:val="00190A9C"/>
    <w:rsid w:val="001A07CE"/>
    <w:rsid w:val="001A3DBD"/>
    <w:rsid w:val="001A4F74"/>
    <w:rsid w:val="001A5E06"/>
    <w:rsid w:val="001B1C9D"/>
    <w:rsid w:val="001E0D06"/>
    <w:rsid w:val="001E65B5"/>
    <w:rsid w:val="001F3C92"/>
    <w:rsid w:val="00215AF3"/>
    <w:rsid w:val="00223171"/>
    <w:rsid w:val="00225E1F"/>
    <w:rsid w:val="0024119E"/>
    <w:rsid w:val="002449D3"/>
    <w:rsid w:val="002503AA"/>
    <w:rsid w:val="0026118F"/>
    <w:rsid w:val="002667E2"/>
    <w:rsid w:val="00270C12"/>
    <w:rsid w:val="002767B5"/>
    <w:rsid w:val="0028242D"/>
    <w:rsid w:val="002A22A7"/>
    <w:rsid w:val="002A3E13"/>
    <w:rsid w:val="002B1383"/>
    <w:rsid w:val="002C2AF8"/>
    <w:rsid w:val="002F1AFA"/>
    <w:rsid w:val="002F1EDE"/>
    <w:rsid w:val="002F6E8C"/>
    <w:rsid w:val="00302FB0"/>
    <w:rsid w:val="00326F54"/>
    <w:rsid w:val="00333A17"/>
    <w:rsid w:val="00342A37"/>
    <w:rsid w:val="00353606"/>
    <w:rsid w:val="00371A86"/>
    <w:rsid w:val="003731F0"/>
    <w:rsid w:val="0038139E"/>
    <w:rsid w:val="003D2A1D"/>
    <w:rsid w:val="003F4E6A"/>
    <w:rsid w:val="003F605F"/>
    <w:rsid w:val="00400310"/>
    <w:rsid w:val="0040132E"/>
    <w:rsid w:val="00407A1A"/>
    <w:rsid w:val="00421647"/>
    <w:rsid w:val="004320F2"/>
    <w:rsid w:val="00443193"/>
    <w:rsid w:val="0045795B"/>
    <w:rsid w:val="0047056C"/>
    <w:rsid w:val="0047413B"/>
    <w:rsid w:val="0048006E"/>
    <w:rsid w:val="004911CE"/>
    <w:rsid w:val="004A46FF"/>
    <w:rsid w:val="004A59CE"/>
    <w:rsid w:val="004B2B5E"/>
    <w:rsid w:val="004C1FF0"/>
    <w:rsid w:val="004E6DB8"/>
    <w:rsid w:val="00500DC2"/>
    <w:rsid w:val="005022BF"/>
    <w:rsid w:val="00502365"/>
    <w:rsid w:val="00514B81"/>
    <w:rsid w:val="005156C7"/>
    <w:rsid w:val="0052517A"/>
    <w:rsid w:val="005351E4"/>
    <w:rsid w:val="0055683F"/>
    <w:rsid w:val="00557CC3"/>
    <w:rsid w:val="005707A9"/>
    <w:rsid w:val="00584A70"/>
    <w:rsid w:val="00584DA9"/>
    <w:rsid w:val="00596EA9"/>
    <w:rsid w:val="005A0224"/>
    <w:rsid w:val="005B5D40"/>
    <w:rsid w:val="005B7350"/>
    <w:rsid w:val="005B7CCB"/>
    <w:rsid w:val="005C5130"/>
    <w:rsid w:val="005D0321"/>
    <w:rsid w:val="005E2867"/>
    <w:rsid w:val="005E2EB0"/>
    <w:rsid w:val="00613765"/>
    <w:rsid w:val="006148C9"/>
    <w:rsid w:val="0062200E"/>
    <w:rsid w:val="00635C00"/>
    <w:rsid w:val="00646B4D"/>
    <w:rsid w:val="0066640A"/>
    <w:rsid w:val="006A161F"/>
    <w:rsid w:val="006A359F"/>
    <w:rsid w:val="006A507D"/>
    <w:rsid w:val="006B6994"/>
    <w:rsid w:val="006C17F1"/>
    <w:rsid w:val="006C51BA"/>
    <w:rsid w:val="006C60D0"/>
    <w:rsid w:val="006D178E"/>
    <w:rsid w:val="006F117E"/>
    <w:rsid w:val="006F50A3"/>
    <w:rsid w:val="00701798"/>
    <w:rsid w:val="0071652B"/>
    <w:rsid w:val="00746145"/>
    <w:rsid w:val="00750ED2"/>
    <w:rsid w:val="00752211"/>
    <w:rsid w:val="00752FC2"/>
    <w:rsid w:val="00782E30"/>
    <w:rsid w:val="00786DF3"/>
    <w:rsid w:val="00790254"/>
    <w:rsid w:val="007A4322"/>
    <w:rsid w:val="007C4971"/>
    <w:rsid w:val="007C7801"/>
    <w:rsid w:val="007D0F34"/>
    <w:rsid w:val="007D56F4"/>
    <w:rsid w:val="007E1FEC"/>
    <w:rsid w:val="007E3C30"/>
    <w:rsid w:val="007F70CC"/>
    <w:rsid w:val="00803D68"/>
    <w:rsid w:val="008074AC"/>
    <w:rsid w:val="00816496"/>
    <w:rsid w:val="00817735"/>
    <w:rsid w:val="00825F3D"/>
    <w:rsid w:val="0084325E"/>
    <w:rsid w:val="008479E3"/>
    <w:rsid w:val="008919A4"/>
    <w:rsid w:val="008A08BE"/>
    <w:rsid w:val="008A474B"/>
    <w:rsid w:val="008B1047"/>
    <w:rsid w:val="008B276A"/>
    <w:rsid w:val="008B3D0F"/>
    <w:rsid w:val="008B637E"/>
    <w:rsid w:val="008F3CF9"/>
    <w:rsid w:val="008F5968"/>
    <w:rsid w:val="009205D6"/>
    <w:rsid w:val="00923014"/>
    <w:rsid w:val="00926BE1"/>
    <w:rsid w:val="00940268"/>
    <w:rsid w:val="00945F45"/>
    <w:rsid w:val="00973B0B"/>
    <w:rsid w:val="00973FBD"/>
    <w:rsid w:val="0098083A"/>
    <w:rsid w:val="00990728"/>
    <w:rsid w:val="009A2430"/>
    <w:rsid w:val="009A266D"/>
    <w:rsid w:val="009D47FA"/>
    <w:rsid w:val="009E2859"/>
    <w:rsid w:val="009F38DF"/>
    <w:rsid w:val="00A12B9E"/>
    <w:rsid w:val="00A21D53"/>
    <w:rsid w:val="00A31136"/>
    <w:rsid w:val="00A36BCF"/>
    <w:rsid w:val="00A4283D"/>
    <w:rsid w:val="00A633BB"/>
    <w:rsid w:val="00A67E45"/>
    <w:rsid w:val="00A77762"/>
    <w:rsid w:val="00A80E2B"/>
    <w:rsid w:val="00A85F9C"/>
    <w:rsid w:val="00AB4B2C"/>
    <w:rsid w:val="00AC4A3C"/>
    <w:rsid w:val="00AD4842"/>
    <w:rsid w:val="00AF502C"/>
    <w:rsid w:val="00AF577D"/>
    <w:rsid w:val="00B31D1C"/>
    <w:rsid w:val="00B337A3"/>
    <w:rsid w:val="00B33D1C"/>
    <w:rsid w:val="00B464BD"/>
    <w:rsid w:val="00B5180C"/>
    <w:rsid w:val="00B604F4"/>
    <w:rsid w:val="00B70587"/>
    <w:rsid w:val="00B71C8B"/>
    <w:rsid w:val="00B77DA3"/>
    <w:rsid w:val="00B901EB"/>
    <w:rsid w:val="00BA20DD"/>
    <w:rsid w:val="00BB2A7E"/>
    <w:rsid w:val="00BB5AB1"/>
    <w:rsid w:val="00BD2D73"/>
    <w:rsid w:val="00BE700A"/>
    <w:rsid w:val="00BF45E3"/>
    <w:rsid w:val="00C01720"/>
    <w:rsid w:val="00C53C2C"/>
    <w:rsid w:val="00C60AE9"/>
    <w:rsid w:val="00C65A8F"/>
    <w:rsid w:val="00C72D67"/>
    <w:rsid w:val="00C72D98"/>
    <w:rsid w:val="00C74676"/>
    <w:rsid w:val="00C94534"/>
    <w:rsid w:val="00C94B6C"/>
    <w:rsid w:val="00CA4BEB"/>
    <w:rsid w:val="00CA5D85"/>
    <w:rsid w:val="00CA7D8A"/>
    <w:rsid w:val="00CB64A9"/>
    <w:rsid w:val="00CB6A04"/>
    <w:rsid w:val="00CB725A"/>
    <w:rsid w:val="00CD199A"/>
    <w:rsid w:val="00CD49A0"/>
    <w:rsid w:val="00CD552E"/>
    <w:rsid w:val="00CE079C"/>
    <w:rsid w:val="00CE461F"/>
    <w:rsid w:val="00CF6E1C"/>
    <w:rsid w:val="00D1033D"/>
    <w:rsid w:val="00D24417"/>
    <w:rsid w:val="00D312E1"/>
    <w:rsid w:val="00D455AC"/>
    <w:rsid w:val="00D46483"/>
    <w:rsid w:val="00D47B65"/>
    <w:rsid w:val="00D6137B"/>
    <w:rsid w:val="00D64845"/>
    <w:rsid w:val="00D679CB"/>
    <w:rsid w:val="00D735ED"/>
    <w:rsid w:val="00D805CE"/>
    <w:rsid w:val="00D840FA"/>
    <w:rsid w:val="00D912ED"/>
    <w:rsid w:val="00DB6212"/>
    <w:rsid w:val="00DC2928"/>
    <w:rsid w:val="00DC7AB4"/>
    <w:rsid w:val="00DD2B89"/>
    <w:rsid w:val="00DD6A0D"/>
    <w:rsid w:val="00DE7A59"/>
    <w:rsid w:val="00DF4870"/>
    <w:rsid w:val="00E25434"/>
    <w:rsid w:val="00E30813"/>
    <w:rsid w:val="00E32557"/>
    <w:rsid w:val="00E41AC9"/>
    <w:rsid w:val="00E421DC"/>
    <w:rsid w:val="00E80AC9"/>
    <w:rsid w:val="00E94E92"/>
    <w:rsid w:val="00EB7684"/>
    <w:rsid w:val="00EC7558"/>
    <w:rsid w:val="00ED42B1"/>
    <w:rsid w:val="00ED671A"/>
    <w:rsid w:val="00EE5243"/>
    <w:rsid w:val="00EF0FCD"/>
    <w:rsid w:val="00EF2F2E"/>
    <w:rsid w:val="00F20FD6"/>
    <w:rsid w:val="00F33AA0"/>
    <w:rsid w:val="00F363BA"/>
    <w:rsid w:val="00F366CC"/>
    <w:rsid w:val="00F459C9"/>
    <w:rsid w:val="00F47AD6"/>
    <w:rsid w:val="00F63DE5"/>
    <w:rsid w:val="00F64619"/>
    <w:rsid w:val="00F70068"/>
    <w:rsid w:val="00F7095B"/>
    <w:rsid w:val="00F9413F"/>
    <w:rsid w:val="00FC138E"/>
    <w:rsid w:val="00FE4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A1F42"/>
  <w15:chartTrackingRefBased/>
  <w15:docId w15:val="{9BC127DB-D41D-47A3-8821-156A98AC2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4E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E6A"/>
  </w:style>
  <w:style w:type="paragraph" w:styleId="Footer">
    <w:name w:val="footer"/>
    <w:basedOn w:val="Normal"/>
    <w:link w:val="FooterChar"/>
    <w:uiPriority w:val="99"/>
    <w:unhideWhenUsed/>
    <w:rsid w:val="003F4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E6A"/>
  </w:style>
  <w:style w:type="character" w:styleId="Hyperlink">
    <w:name w:val="Hyperlink"/>
    <w:basedOn w:val="DefaultParagraphFont"/>
    <w:uiPriority w:val="99"/>
    <w:unhideWhenUsed/>
    <w:rsid w:val="00D24417"/>
    <w:rPr>
      <w:color w:val="0563C1" w:themeColor="hyperlink"/>
      <w:u w:val="single"/>
    </w:rPr>
  </w:style>
  <w:style w:type="character" w:styleId="UnresolvedMention">
    <w:name w:val="Unresolved Mention"/>
    <w:basedOn w:val="DefaultParagraphFont"/>
    <w:uiPriority w:val="99"/>
    <w:semiHidden/>
    <w:unhideWhenUsed/>
    <w:rsid w:val="00D244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931380">
      <w:bodyDiv w:val="1"/>
      <w:marLeft w:val="0"/>
      <w:marRight w:val="0"/>
      <w:marTop w:val="0"/>
      <w:marBottom w:val="0"/>
      <w:divBdr>
        <w:top w:val="none" w:sz="0" w:space="0" w:color="auto"/>
        <w:left w:val="none" w:sz="0" w:space="0" w:color="auto"/>
        <w:bottom w:val="none" w:sz="0" w:space="0" w:color="auto"/>
        <w:right w:val="none" w:sz="0" w:space="0" w:color="auto"/>
      </w:divBdr>
    </w:div>
    <w:div w:id="1325355699">
      <w:bodyDiv w:val="1"/>
      <w:marLeft w:val="0"/>
      <w:marRight w:val="0"/>
      <w:marTop w:val="0"/>
      <w:marBottom w:val="0"/>
      <w:divBdr>
        <w:top w:val="none" w:sz="0" w:space="0" w:color="auto"/>
        <w:left w:val="none" w:sz="0" w:space="0" w:color="auto"/>
        <w:bottom w:val="none" w:sz="0" w:space="0" w:color="auto"/>
        <w:right w:val="none" w:sz="0" w:space="0" w:color="auto"/>
      </w:divBdr>
    </w:div>
    <w:div w:id="132658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Eliz2/5-6/11/section/3/enacted"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legislation.gov.uk/ukpga/2009/25/section/54" TargetMode="External"/><Relationship Id="rId12" Type="http://schemas.openxmlformats.org/officeDocument/2006/relationships/hyperlink" Target="https://law205.weebly.com/murder.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entencingcouncil.org.uk/offences/crown-court/item/causing-grievous-bodily-harm-with-intent-to-do-grievous-bodily-harm-wounding-with-intent-to-do-gbh-2/" TargetMode="External"/><Relationship Id="rId11" Type="http://schemas.openxmlformats.org/officeDocument/2006/relationships/hyperlink" Target="https://www.legislation.gov.uk/ukpga/Eliz2/5-6/11/enacted"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cps.gov.uk/legal-guidance/offences-against-person-incorporating-charging-standard" TargetMode="External"/><Relationship Id="rId4" Type="http://schemas.openxmlformats.org/officeDocument/2006/relationships/footnotes" Target="footnotes.xml"/><Relationship Id="rId9" Type="http://schemas.openxmlformats.org/officeDocument/2006/relationships/hyperlink" Target="https://www.legislation.gov.uk/ukpga/Vict/24-25/100/section/4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678</TotalTime>
  <Pages>7</Pages>
  <Words>1841</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Tanith Coulson</dc:creator>
  <cp:keywords/>
  <dc:description/>
  <cp:lastModifiedBy>Tanith Coulson</cp:lastModifiedBy>
  <cp:revision>253</cp:revision>
  <dcterms:created xsi:type="dcterms:W3CDTF">2024-01-10T16:33:00Z</dcterms:created>
  <dcterms:modified xsi:type="dcterms:W3CDTF">2024-01-12T15:23:00Z</dcterms:modified>
</cp:coreProperties>
</file>