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8C84B" w14:textId="77777777" w:rsidR="0026362B" w:rsidRDefault="0026362B" w:rsidP="0026362B">
      <w:pPr>
        <w:jc w:val="center"/>
        <w:rPr>
          <w:rFonts w:ascii="Arial" w:hAnsi="Arial" w:cs="Arial"/>
          <w:b/>
          <w:bCs/>
          <w:sz w:val="56"/>
          <w:szCs w:val="56"/>
        </w:rPr>
      </w:pPr>
    </w:p>
    <w:p w14:paraId="2D6ABDB5" w14:textId="77777777" w:rsidR="0026362B" w:rsidRDefault="0026362B" w:rsidP="0026362B">
      <w:pPr>
        <w:jc w:val="center"/>
        <w:rPr>
          <w:rFonts w:ascii="Arial" w:hAnsi="Arial" w:cs="Arial"/>
          <w:b/>
          <w:bCs/>
          <w:sz w:val="56"/>
          <w:szCs w:val="56"/>
        </w:rPr>
      </w:pPr>
    </w:p>
    <w:p w14:paraId="30B9B3DA" w14:textId="77777777" w:rsidR="0026362B" w:rsidRDefault="0026362B" w:rsidP="0026362B">
      <w:pPr>
        <w:jc w:val="center"/>
        <w:rPr>
          <w:rFonts w:ascii="Arial" w:hAnsi="Arial" w:cs="Arial"/>
          <w:b/>
          <w:bCs/>
          <w:sz w:val="56"/>
          <w:szCs w:val="56"/>
        </w:rPr>
      </w:pPr>
    </w:p>
    <w:p w14:paraId="47D6A825" w14:textId="5DE4E1DD" w:rsidR="0026362B" w:rsidRPr="0026362B" w:rsidRDefault="0026362B" w:rsidP="0026362B">
      <w:pPr>
        <w:jc w:val="center"/>
        <w:rPr>
          <w:rFonts w:ascii="Arial" w:hAnsi="Arial" w:cs="Arial"/>
          <w:b/>
          <w:bCs/>
          <w:sz w:val="56"/>
          <w:szCs w:val="56"/>
        </w:rPr>
      </w:pPr>
      <w:r w:rsidRPr="0026362B">
        <w:rPr>
          <w:rFonts w:ascii="Arial" w:hAnsi="Arial" w:cs="Arial"/>
          <w:b/>
          <w:bCs/>
          <w:sz w:val="56"/>
          <w:szCs w:val="56"/>
        </w:rPr>
        <w:t>Case Study- Strategic Insights in Gastronomy Sector</w:t>
      </w:r>
    </w:p>
    <w:p w14:paraId="70958625" w14:textId="757EF92F" w:rsidR="0026362B" w:rsidRPr="0026362B" w:rsidRDefault="0026362B" w:rsidP="0026362B">
      <w:pPr>
        <w:jc w:val="center"/>
        <w:rPr>
          <w:rFonts w:ascii="Arial" w:hAnsi="Arial" w:cs="Arial"/>
          <w:b/>
          <w:bCs/>
          <w:sz w:val="72"/>
          <w:szCs w:val="72"/>
        </w:rPr>
      </w:pPr>
      <w:r w:rsidRPr="0026362B">
        <w:rPr>
          <w:rFonts w:ascii="Arial" w:hAnsi="Arial" w:cs="Arial"/>
          <w:b/>
          <w:bCs/>
          <w:sz w:val="72"/>
          <w:szCs w:val="72"/>
        </w:rPr>
        <w:t>Consultancy Report</w:t>
      </w:r>
    </w:p>
    <w:p w14:paraId="10FD7347" w14:textId="57584680" w:rsidR="0026362B" w:rsidRPr="0026362B" w:rsidRDefault="0026362B" w:rsidP="0026362B">
      <w:pPr>
        <w:jc w:val="center"/>
        <w:rPr>
          <w:rFonts w:ascii="Arial" w:hAnsi="Arial" w:cs="Arial"/>
          <w:b/>
          <w:bCs/>
          <w:sz w:val="72"/>
          <w:szCs w:val="72"/>
        </w:rPr>
      </w:pPr>
      <w:r w:rsidRPr="0026362B">
        <w:rPr>
          <w:rFonts w:ascii="Arial" w:hAnsi="Arial" w:cs="Arial"/>
          <w:b/>
          <w:bCs/>
          <w:sz w:val="72"/>
          <w:szCs w:val="72"/>
        </w:rPr>
        <w:t>Parc Le Breos</w:t>
      </w:r>
    </w:p>
    <w:p w14:paraId="663C2A7B" w14:textId="77777777" w:rsidR="0026362B" w:rsidRPr="0026362B" w:rsidRDefault="0026362B" w:rsidP="0026362B">
      <w:pPr>
        <w:rPr>
          <w:rFonts w:ascii="Arial" w:hAnsi="Arial" w:cs="Arial"/>
          <w:b/>
          <w:bCs/>
          <w:sz w:val="56"/>
          <w:szCs w:val="56"/>
        </w:rPr>
      </w:pPr>
    </w:p>
    <w:p w14:paraId="2D3699A9" w14:textId="77777777" w:rsidR="0026362B" w:rsidRPr="0026362B" w:rsidRDefault="0026362B" w:rsidP="0026362B">
      <w:pPr>
        <w:rPr>
          <w:rFonts w:ascii="Arial" w:hAnsi="Arial" w:cs="Arial"/>
          <w:b/>
          <w:bCs/>
          <w:sz w:val="24"/>
          <w:szCs w:val="24"/>
        </w:rPr>
      </w:pPr>
    </w:p>
    <w:p w14:paraId="22B1AE3B" w14:textId="77777777" w:rsidR="0026362B" w:rsidRPr="0026362B" w:rsidRDefault="0026362B" w:rsidP="0026362B">
      <w:pPr>
        <w:rPr>
          <w:rFonts w:ascii="Arial" w:hAnsi="Arial" w:cs="Arial"/>
          <w:b/>
          <w:bCs/>
          <w:sz w:val="24"/>
          <w:szCs w:val="24"/>
        </w:rPr>
      </w:pPr>
    </w:p>
    <w:p w14:paraId="1575CC00" w14:textId="77777777" w:rsidR="0026362B" w:rsidRPr="0026362B" w:rsidRDefault="0026362B" w:rsidP="0026362B">
      <w:pPr>
        <w:rPr>
          <w:rFonts w:ascii="Arial" w:hAnsi="Arial" w:cs="Arial"/>
          <w:b/>
          <w:bCs/>
          <w:sz w:val="24"/>
          <w:szCs w:val="24"/>
        </w:rPr>
      </w:pPr>
    </w:p>
    <w:p w14:paraId="631FE92D" w14:textId="77777777" w:rsidR="0026362B" w:rsidRPr="0026362B" w:rsidRDefault="0026362B" w:rsidP="0026362B">
      <w:pPr>
        <w:rPr>
          <w:rFonts w:ascii="Arial" w:hAnsi="Arial" w:cs="Arial"/>
          <w:b/>
          <w:bCs/>
          <w:sz w:val="24"/>
          <w:szCs w:val="24"/>
        </w:rPr>
      </w:pPr>
    </w:p>
    <w:p w14:paraId="5A4140A2" w14:textId="77777777" w:rsidR="0026362B" w:rsidRPr="0026362B" w:rsidRDefault="0026362B" w:rsidP="0026362B">
      <w:pPr>
        <w:rPr>
          <w:rFonts w:ascii="Arial" w:hAnsi="Arial" w:cs="Arial"/>
          <w:b/>
          <w:bCs/>
          <w:sz w:val="24"/>
          <w:szCs w:val="24"/>
        </w:rPr>
      </w:pPr>
    </w:p>
    <w:p w14:paraId="1459662A" w14:textId="77777777" w:rsidR="0026362B" w:rsidRPr="0026362B" w:rsidRDefault="0026362B" w:rsidP="0026362B">
      <w:pPr>
        <w:rPr>
          <w:rFonts w:ascii="Arial" w:hAnsi="Arial" w:cs="Arial"/>
          <w:b/>
          <w:bCs/>
          <w:sz w:val="24"/>
          <w:szCs w:val="24"/>
        </w:rPr>
      </w:pPr>
    </w:p>
    <w:p w14:paraId="44B10E88" w14:textId="77777777" w:rsidR="0026362B" w:rsidRPr="0026362B" w:rsidRDefault="0026362B" w:rsidP="0026362B">
      <w:pPr>
        <w:rPr>
          <w:rFonts w:ascii="Arial" w:hAnsi="Arial" w:cs="Arial"/>
          <w:b/>
          <w:bCs/>
          <w:sz w:val="24"/>
          <w:szCs w:val="24"/>
        </w:rPr>
      </w:pPr>
    </w:p>
    <w:p w14:paraId="578756DD" w14:textId="77777777" w:rsidR="0026362B" w:rsidRPr="0026362B" w:rsidRDefault="0026362B" w:rsidP="0026362B">
      <w:pPr>
        <w:rPr>
          <w:rFonts w:ascii="Arial" w:hAnsi="Arial" w:cs="Arial"/>
          <w:b/>
          <w:bCs/>
          <w:sz w:val="24"/>
          <w:szCs w:val="24"/>
        </w:rPr>
      </w:pPr>
    </w:p>
    <w:p w14:paraId="7E1C45DB" w14:textId="77777777" w:rsidR="0026362B" w:rsidRPr="0026362B" w:rsidRDefault="0026362B" w:rsidP="0026362B">
      <w:pPr>
        <w:rPr>
          <w:rFonts w:ascii="Arial" w:hAnsi="Arial" w:cs="Arial"/>
          <w:b/>
          <w:bCs/>
          <w:sz w:val="24"/>
          <w:szCs w:val="24"/>
        </w:rPr>
      </w:pPr>
    </w:p>
    <w:p w14:paraId="228F5ADC" w14:textId="77777777" w:rsidR="0026362B" w:rsidRDefault="0026362B" w:rsidP="0026362B">
      <w:pPr>
        <w:rPr>
          <w:rFonts w:ascii="Arial" w:hAnsi="Arial" w:cs="Arial"/>
          <w:sz w:val="24"/>
          <w:szCs w:val="24"/>
        </w:rPr>
      </w:pPr>
    </w:p>
    <w:p w14:paraId="6322C08C" w14:textId="77777777" w:rsidR="0026362B" w:rsidRDefault="0026362B" w:rsidP="0026362B">
      <w:pPr>
        <w:rPr>
          <w:rFonts w:ascii="Arial" w:hAnsi="Arial" w:cs="Arial"/>
          <w:sz w:val="24"/>
          <w:szCs w:val="24"/>
        </w:rPr>
      </w:pPr>
    </w:p>
    <w:p w14:paraId="1DB0E024" w14:textId="709D71C7" w:rsidR="0026362B" w:rsidRPr="0026362B" w:rsidRDefault="0026362B" w:rsidP="0026362B">
      <w:pPr>
        <w:rPr>
          <w:rFonts w:ascii="Arial" w:hAnsi="Arial" w:cs="Arial"/>
          <w:sz w:val="24"/>
          <w:szCs w:val="24"/>
        </w:rPr>
      </w:pPr>
      <w:r w:rsidRPr="0026362B">
        <w:rPr>
          <w:rFonts w:ascii="Arial" w:hAnsi="Arial" w:cs="Arial"/>
          <w:sz w:val="24"/>
          <w:szCs w:val="24"/>
        </w:rPr>
        <w:t>Student Name: Mark Jeffrey Pascual</w:t>
      </w:r>
    </w:p>
    <w:p w14:paraId="2593890A" w14:textId="77777777" w:rsidR="0026362B" w:rsidRPr="0026362B" w:rsidRDefault="0026362B" w:rsidP="0026362B">
      <w:pPr>
        <w:rPr>
          <w:rFonts w:ascii="Arial" w:hAnsi="Arial" w:cs="Arial"/>
          <w:sz w:val="24"/>
          <w:szCs w:val="24"/>
        </w:rPr>
      </w:pPr>
      <w:r w:rsidRPr="0026362B">
        <w:rPr>
          <w:rFonts w:ascii="Arial" w:hAnsi="Arial" w:cs="Arial"/>
          <w:sz w:val="24"/>
          <w:szCs w:val="24"/>
        </w:rPr>
        <w:t>Student Number: 2229176</w:t>
      </w:r>
    </w:p>
    <w:p w14:paraId="27FD14CF" w14:textId="77777777" w:rsidR="0026362B" w:rsidRPr="0026362B" w:rsidRDefault="0026362B" w:rsidP="0026362B">
      <w:pPr>
        <w:rPr>
          <w:rFonts w:ascii="Arial" w:hAnsi="Arial" w:cs="Arial"/>
          <w:sz w:val="24"/>
          <w:szCs w:val="24"/>
        </w:rPr>
      </w:pPr>
      <w:r w:rsidRPr="0026362B">
        <w:rPr>
          <w:rFonts w:ascii="Arial" w:hAnsi="Arial" w:cs="Arial"/>
          <w:sz w:val="24"/>
          <w:szCs w:val="24"/>
        </w:rPr>
        <w:t>Module: BMGM6000 Analysis and Review of Operations Process</w:t>
      </w:r>
    </w:p>
    <w:p w14:paraId="16A522F8" w14:textId="33140A50" w:rsidR="00FB1063" w:rsidRPr="0026362B" w:rsidRDefault="0026362B" w:rsidP="0026362B">
      <w:pPr>
        <w:rPr>
          <w:rFonts w:ascii="Arial" w:hAnsi="Arial" w:cs="Arial"/>
          <w:sz w:val="24"/>
          <w:szCs w:val="24"/>
        </w:rPr>
      </w:pPr>
      <w:r w:rsidRPr="0026362B">
        <w:rPr>
          <w:rFonts w:ascii="Arial" w:hAnsi="Arial" w:cs="Arial"/>
          <w:sz w:val="24"/>
          <w:szCs w:val="24"/>
        </w:rPr>
        <w:t>Module Lecturer: Jemma Smith</w:t>
      </w:r>
    </w:p>
    <w:p w14:paraId="7337290D" w14:textId="77777777" w:rsidR="00FB1063" w:rsidRDefault="00FB1063" w:rsidP="00B44DDD">
      <w:pPr>
        <w:rPr>
          <w:rFonts w:ascii="Arial" w:hAnsi="Arial" w:cs="Arial"/>
          <w:b/>
          <w:bCs/>
          <w:sz w:val="24"/>
          <w:szCs w:val="24"/>
        </w:rPr>
      </w:pPr>
    </w:p>
    <w:p w14:paraId="6ED0A8D3" w14:textId="77777777" w:rsidR="00FB1063" w:rsidRDefault="00FB1063" w:rsidP="00B44DDD">
      <w:pPr>
        <w:rPr>
          <w:rFonts w:ascii="Arial" w:hAnsi="Arial" w:cs="Arial"/>
          <w:b/>
          <w:bCs/>
          <w:sz w:val="24"/>
          <w:szCs w:val="24"/>
        </w:rPr>
      </w:pPr>
    </w:p>
    <w:p w14:paraId="300DC26E" w14:textId="77777777" w:rsidR="0026362B" w:rsidRDefault="0026362B" w:rsidP="00B44DDD">
      <w:pPr>
        <w:rPr>
          <w:rFonts w:ascii="Arial" w:hAnsi="Arial" w:cs="Arial"/>
          <w:b/>
          <w:bCs/>
          <w:sz w:val="24"/>
          <w:szCs w:val="24"/>
        </w:rPr>
      </w:pPr>
    </w:p>
    <w:p w14:paraId="5CAE5E7A" w14:textId="324C3158" w:rsidR="00B44DDD" w:rsidRPr="000E45F8" w:rsidRDefault="00B44DDD" w:rsidP="0026362B">
      <w:pPr>
        <w:pStyle w:val="Heading1"/>
        <w:rPr>
          <w:rFonts w:ascii="Arial" w:hAnsi="Arial" w:cs="Arial"/>
          <w:b/>
          <w:bCs/>
          <w:color w:val="000000" w:themeColor="text1"/>
          <w:sz w:val="24"/>
          <w:szCs w:val="24"/>
        </w:rPr>
      </w:pPr>
      <w:bookmarkStart w:id="0" w:name="_Toc214046169"/>
      <w:r w:rsidRPr="000E45F8">
        <w:rPr>
          <w:rFonts w:ascii="Arial" w:hAnsi="Arial" w:cs="Arial"/>
          <w:b/>
          <w:bCs/>
          <w:color w:val="000000" w:themeColor="text1"/>
          <w:sz w:val="24"/>
          <w:szCs w:val="24"/>
        </w:rPr>
        <w:lastRenderedPageBreak/>
        <w:t>Executive Summary</w:t>
      </w:r>
      <w:bookmarkEnd w:id="0"/>
    </w:p>
    <w:p w14:paraId="5813753C" w14:textId="202155D4" w:rsidR="00FB1063" w:rsidRPr="00FB1063" w:rsidRDefault="00FB1063" w:rsidP="00FB1063">
      <w:pPr>
        <w:rPr>
          <w:rFonts w:ascii="Arial" w:hAnsi="Arial" w:cs="Arial"/>
          <w:sz w:val="24"/>
          <w:szCs w:val="24"/>
        </w:rPr>
      </w:pPr>
      <w:r w:rsidRPr="00FB1063">
        <w:rPr>
          <w:rFonts w:ascii="Arial" w:hAnsi="Arial" w:cs="Arial"/>
          <w:sz w:val="24"/>
          <w:szCs w:val="24"/>
        </w:rPr>
        <w:t>This consultancy report critically evaluates Parc Le Breos (PLB), a premium rural country house and restaurant in the Gower Peninsula, focusing on operations, digital presence, and experiential offerings. PLB’s strengths include its heritage setting, scenic location, integrated accommodation, productive kitchen garden, and locally sourced seasonal ingredients, which together create a distinctive, authenticity-driven dining experience and support its differentiation strategy.</w:t>
      </w:r>
    </w:p>
    <w:p w14:paraId="000DB23C" w14:textId="39E66B7A" w:rsidR="00FB1063" w:rsidRPr="00FB1063" w:rsidRDefault="00FB1063" w:rsidP="00FB1063">
      <w:pPr>
        <w:rPr>
          <w:rFonts w:ascii="Arial" w:hAnsi="Arial" w:cs="Arial"/>
          <w:sz w:val="24"/>
          <w:szCs w:val="24"/>
        </w:rPr>
      </w:pPr>
      <w:r w:rsidRPr="00FB1063">
        <w:rPr>
          <w:rFonts w:ascii="Arial" w:hAnsi="Arial" w:cs="Arial"/>
          <w:sz w:val="24"/>
          <w:szCs w:val="24"/>
        </w:rPr>
        <w:t>Challenges include service inconsistencies during peak periods, a small workforce, reliance on informal training, and limited digital engagement. Operational analysis using SERVQUAL, the Theory of Constraints, and demand-capacity alignment highlights bottlenecks at the kitchen pass, staffing misalignments, and variability in service quality. Digital evaluation reveals underutilised storytelling, limited interactive engagement, and inconsistent online reputation management.</w:t>
      </w:r>
    </w:p>
    <w:p w14:paraId="286B50A1" w14:textId="287B6012" w:rsidR="00B44DDD" w:rsidRPr="00B44DDD" w:rsidRDefault="00FB1063" w:rsidP="00FB1063">
      <w:pPr>
        <w:rPr>
          <w:rFonts w:ascii="Arial" w:hAnsi="Arial" w:cs="Arial"/>
          <w:sz w:val="24"/>
          <w:szCs w:val="24"/>
        </w:rPr>
      </w:pPr>
      <w:r w:rsidRPr="00FB1063">
        <w:rPr>
          <w:rFonts w:ascii="Arial" w:hAnsi="Arial" w:cs="Arial"/>
          <w:sz w:val="24"/>
          <w:szCs w:val="24"/>
        </w:rPr>
        <w:t>The report proposes three SMART objectives: enhancing operational efficiency through structured SOPs and cross-training, strengthening digital presence with mobile-first, narrative-driven content, and innovating seasonal menus and themed experiences. Implementing these strategies is expected to improve service consistency, guest satisfaction, off-peak engagement, and reinforce PLB’s premium rural positioning, ensuring sustainable growth and long-term competitiveness.</w:t>
      </w:r>
    </w:p>
    <w:p w14:paraId="78C81C8F" w14:textId="77777777" w:rsidR="00FB1063" w:rsidRDefault="00FB1063" w:rsidP="00B44DDD">
      <w:pPr>
        <w:rPr>
          <w:rFonts w:ascii="Arial" w:hAnsi="Arial" w:cs="Arial"/>
          <w:b/>
          <w:bCs/>
          <w:sz w:val="24"/>
          <w:szCs w:val="24"/>
        </w:rPr>
      </w:pPr>
    </w:p>
    <w:p w14:paraId="08EEF921" w14:textId="77777777" w:rsidR="00FB1063" w:rsidRDefault="00FB1063" w:rsidP="00B44DDD">
      <w:pPr>
        <w:rPr>
          <w:rFonts w:ascii="Arial" w:hAnsi="Arial" w:cs="Arial"/>
          <w:b/>
          <w:bCs/>
          <w:sz w:val="24"/>
          <w:szCs w:val="24"/>
        </w:rPr>
      </w:pPr>
    </w:p>
    <w:p w14:paraId="45F24A9F" w14:textId="77777777" w:rsidR="00FB1063" w:rsidRDefault="00FB1063" w:rsidP="00B44DDD">
      <w:pPr>
        <w:rPr>
          <w:rFonts w:ascii="Arial" w:hAnsi="Arial" w:cs="Arial"/>
          <w:b/>
          <w:bCs/>
          <w:sz w:val="24"/>
          <w:szCs w:val="24"/>
        </w:rPr>
      </w:pPr>
    </w:p>
    <w:p w14:paraId="6950CC25" w14:textId="77777777" w:rsidR="00FB1063" w:rsidRDefault="00FB1063" w:rsidP="00B44DDD">
      <w:pPr>
        <w:rPr>
          <w:rFonts w:ascii="Arial" w:hAnsi="Arial" w:cs="Arial"/>
          <w:b/>
          <w:bCs/>
          <w:sz w:val="24"/>
          <w:szCs w:val="24"/>
        </w:rPr>
      </w:pPr>
    </w:p>
    <w:p w14:paraId="3806EADD" w14:textId="77777777" w:rsidR="00FB1063" w:rsidRDefault="00FB1063" w:rsidP="00B44DDD">
      <w:pPr>
        <w:rPr>
          <w:rFonts w:ascii="Arial" w:hAnsi="Arial" w:cs="Arial"/>
          <w:b/>
          <w:bCs/>
          <w:sz w:val="24"/>
          <w:szCs w:val="24"/>
        </w:rPr>
      </w:pPr>
    </w:p>
    <w:p w14:paraId="783DD7E7" w14:textId="77777777" w:rsidR="00FB1063" w:rsidRDefault="00FB1063" w:rsidP="00B44DDD">
      <w:pPr>
        <w:rPr>
          <w:rFonts w:ascii="Arial" w:hAnsi="Arial" w:cs="Arial"/>
          <w:b/>
          <w:bCs/>
          <w:sz w:val="24"/>
          <w:szCs w:val="24"/>
        </w:rPr>
      </w:pPr>
    </w:p>
    <w:p w14:paraId="047CBEA3" w14:textId="77777777" w:rsidR="00FB1063" w:rsidRDefault="00FB1063" w:rsidP="00B44DDD">
      <w:pPr>
        <w:rPr>
          <w:rFonts w:ascii="Arial" w:hAnsi="Arial" w:cs="Arial"/>
          <w:b/>
          <w:bCs/>
          <w:sz w:val="24"/>
          <w:szCs w:val="24"/>
        </w:rPr>
      </w:pPr>
    </w:p>
    <w:p w14:paraId="588A3DC4" w14:textId="77777777" w:rsidR="00FB1063" w:rsidRDefault="00FB1063" w:rsidP="00B44DDD">
      <w:pPr>
        <w:rPr>
          <w:rFonts w:ascii="Arial" w:hAnsi="Arial" w:cs="Arial"/>
          <w:b/>
          <w:bCs/>
          <w:sz w:val="24"/>
          <w:szCs w:val="24"/>
        </w:rPr>
      </w:pPr>
    </w:p>
    <w:p w14:paraId="58C39FBF" w14:textId="77777777" w:rsidR="00FB1063" w:rsidRDefault="00FB1063" w:rsidP="00B44DDD">
      <w:pPr>
        <w:rPr>
          <w:rFonts w:ascii="Arial" w:hAnsi="Arial" w:cs="Arial"/>
          <w:b/>
          <w:bCs/>
          <w:sz w:val="24"/>
          <w:szCs w:val="24"/>
        </w:rPr>
      </w:pPr>
    </w:p>
    <w:p w14:paraId="6319AC15" w14:textId="77777777" w:rsidR="00FB1063" w:rsidRDefault="00FB1063" w:rsidP="00B44DDD">
      <w:pPr>
        <w:rPr>
          <w:rFonts w:ascii="Arial" w:hAnsi="Arial" w:cs="Arial"/>
          <w:b/>
          <w:bCs/>
          <w:sz w:val="24"/>
          <w:szCs w:val="24"/>
        </w:rPr>
      </w:pPr>
    </w:p>
    <w:p w14:paraId="6811AF12" w14:textId="77777777" w:rsidR="00FB1063" w:rsidRDefault="00FB1063" w:rsidP="00B44DDD">
      <w:pPr>
        <w:rPr>
          <w:rFonts w:ascii="Arial" w:hAnsi="Arial" w:cs="Arial"/>
          <w:b/>
          <w:bCs/>
          <w:sz w:val="24"/>
          <w:szCs w:val="24"/>
        </w:rPr>
      </w:pPr>
    </w:p>
    <w:p w14:paraId="198C59A1" w14:textId="77777777" w:rsidR="00FB1063" w:rsidRDefault="00FB1063" w:rsidP="00B44DDD">
      <w:pPr>
        <w:rPr>
          <w:rFonts w:ascii="Arial" w:hAnsi="Arial" w:cs="Arial"/>
          <w:b/>
          <w:bCs/>
          <w:sz w:val="24"/>
          <w:szCs w:val="24"/>
        </w:rPr>
      </w:pPr>
    </w:p>
    <w:p w14:paraId="04580B8F" w14:textId="77777777" w:rsidR="00FB1063" w:rsidRDefault="00FB1063" w:rsidP="00B44DDD">
      <w:pPr>
        <w:rPr>
          <w:rFonts w:ascii="Arial" w:hAnsi="Arial" w:cs="Arial"/>
          <w:b/>
          <w:bCs/>
          <w:sz w:val="24"/>
          <w:szCs w:val="24"/>
        </w:rPr>
      </w:pPr>
    </w:p>
    <w:p w14:paraId="269A3C68" w14:textId="77777777" w:rsidR="00FB1063" w:rsidRDefault="00FB1063" w:rsidP="00B44DDD">
      <w:pPr>
        <w:rPr>
          <w:rFonts w:ascii="Arial" w:hAnsi="Arial" w:cs="Arial"/>
          <w:b/>
          <w:bCs/>
          <w:sz w:val="24"/>
          <w:szCs w:val="24"/>
        </w:rPr>
      </w:pPr>
    </w:p>
    <w:p w14:paraId="1E2456C4" w14:textId="77777777" w:rsidR="00FB1063" w:rsidRDefault="00FB1063" w:rsidP="00B44DDD">
      <w:pPr>
        <w:rPr>
          <w:rFonts w:ascii="Arial" w:hAnsi="Arial" w:cs="Arial"/>
          <w:b/>
          <w:bCs/>
          <w:sz w:val="24"/>
          <w:szCs w:val="24"/>
        </w:rPr>
      </w:pPr>
    </w:p>
    <w:p w14:paraId="5FADFA0E" w14:textId="77777777" w:rsidR="00FB1063" w:rsidRDefault="00FB1063" w:rsidP="00B44DDD">
      <w:pPr>
        <w:rPr>
          <w:rFonts w:ascii="Arial" w:hAnsi="Arial" w:cs="Arial"/>
          <w:b/>
          <w:bCs/>
          <w:sz w:val="24"/>
          <w:szCs w:val="24"/>
        </w:rPr>
      </w:pPr>
    </w:p>
    <w:p w14:paraId="405EF6A1" w14:textId="77777777" w:rsidR="00FB1063" w:rsidRDefault="00FB1063" w:rsidP="00B44DDD">
      <w:pPr>
        <w:rPr>
          <w:rFonts w:ascii="Arial" w:hAnsi="Arial" w:cs="Arial"/>
          <w:b/>
          <w:bCs/>
          <w:sz w:val="24"/>
          <w:szCs w:val="24"/>
        </w:rPr>
      </w:pPr>
    </w:p>
    <w:p w14:paraId="25559A3E" w14:textId="77777777" w:rsidR="00FB1063" w:rsidRDefault="00FB1063" w:rsidP="00B44DDD">
      <w:pPr>
        <w:rPr>
          <w:rFonts w:ascii="Arial" w:hAnsi="Arial" w:cs="Arial"/>
          <w:b/>
          <w:bCs/>
          <w:sz w:val="24"/>
          <w:szCs w:val="24"/>
        </w:rPr>
      </w:pPr>
    </w:p>
    <w:p w14:paraId="1EEAFE92" w14:textId="77777777" w:rsidR="00FB1063" w:rsidRDefault="00FB1063" w:rsidP="00B44DDD">
      <w:pPr>
        <w:rPr>
          <w:rFonts w:ascii="Arial" w:hAnsi="Arial" w:cs="Arial"/>
          <w:b/>
          <w:bCs/>
          <w:sz w:val="24"/>
          <w:szCs w:val="24"/>
        </w:rPr>
      </w:pPr>
    </w:p>
    <w:p w14:paraId="610B7077" w14:textId="77777777" w:rsidR="00FB1063" w:rsidRDefault="00FB1063" w:rsidP="00B44DDD">
      <w:pPr>
        <w:rPr>
          <w:rFonts w:ascii="Arial" w:hAnsi="Arial" w:cs="Arial"/>
          <w:b/>
          <w:bCs/>
          <w:sz w:val="24"/>
          <w:szCs w:val="24"/>
        </w:rPr>
      </w:pPr>
    </w:p>
    <w:p w14:paraId="39526AC3" w14:textId="77777777" w:rsidR="00FB1063" w:rsidRDefault="00FB1063" w:rsidP="00B44DDD">
      <w:pPr>
        <w:rPr>
          <w:rFonts w:ascii="Arial" w:hAnsi="Arial" w:cs="Arial"/>
          <w:b/>
          <w:bCs/>
          <w:sz w:val="24"/>
          <w:szCs w:val="24"/>
        </w:rPr>
      </w:pPr>
    </w:p>
    <w:sdt>
      <w:sdtPr>
        <w:id w:val="194041097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3C252B5" w14:textId="34B90A7F" w:rsidR="00D36914" w:rsidRPr="00D36914" w:rsidRDefault="00D36914">
          <w:pPr>
            <w:pStyle w:val="TOCHeading"/>
            <w:rPr>
              <w:rFonts w:ascii="Arial" w:hAnsi="Arial" w:cs="Arial"/>
              <w:b/>
              <w:bCs/>
              <w:color w:val="000000" w:themeColor="text1"/>
              <w:sz w:val="24"/>
              <w:szCs w:val="24"/>
            </w:rPr>
          </w:pPr>
          <w:r w:rsidRPr="00D36914">
            <w:rPr>
              <w:rFonts w:ascii="Arial" w:hAnsi="Arial" w:cs="Arial"/>
              <w:b/>
              <w:bCs/>
              <w:color w:val="000000" w:themeColor="text1"/>
              <w:sz w:val="24"/>
              <w:szCs w:val="24"/>
            </w:rPr>
            <w:t>Table of Contents</w:t>
          </w:r>
        </w:p>
        <w:p w14:paraId="322C8074" w14:textId="4EF3EFBA" w:rsidR="000E45F8" w:rsidRPr="000E45F8" w:rsidRDefault="00D36914">
          <w:pPr>
            <w:pStyle w:val="TOC1"/>
            <w:tabs>
              <w:tab w:val="right" w:leader="dot" w:pos="10456"/>
            </w:tabs>
            <w:rPr>
              <w:rFonts w:eastAsiaTheme="minorEastAsia"/>
              <w:noProof/>
              <w:sz w:val="24"/>
              <w:szCs w:val="24"/>
              <w:lang w:eastAsia="en-GB"/>
            </w:rPr>
          </w:pPr>
          <w:r w:rsidRPr="00D36914">
            <w:rPr>
              <w:rFonts w:ascii="Arial" w:hAnsi="Arial" w:cs="Arial"/>
              <w:b/>
              <w:bCs/>
              <w:color w:val="000000" w:themeColor="text1"/>
              <w:sz w:val="24"/>
              <w:szCs w:val="24"/>
            </w:rPr>
            <w:fldChar w:fldCharType="begin"/>
          </w:r>
          <w:r w:rsidRPr="00D36914">
            <w:rPr>
              <w:rFonts w:ascii="Arial" w:hAnsi="Arial" w:cs="Arial"/>
              <w:b/>
              <w:bCs/>
              <w:color w:val="000000" w:themeColor="text1"/>
              <w:sz w:val="24"/>
              <w:szCs w:val="24"/>
            </w:rPr>
            <w:instrText xml:space="preserve"> TOC \o "1-3" \h \z \u </w:instrText>
          </w:r>
          <w:r w:rsidRPr="00D36914">
            <w:rPr>
              <w:rFonts w:ascii="Arial" w:hAnsi="Arial" w:cs="Arial"/>
              <w:b/>
              <w:bCs/>
              <w:color w:val="000000" w:themeColor="text1"/>
              <w:sz w:val="24"/>
              <w:szCs w:val="24"/>
            </w:rPr>
            <w:fldChar w:fldCharType="separate"/>
          </w:r>
          <w:hyperlink w:anchor="_Toc214046169" w:history="1">
            <w:r w:rsidR="000E45F8" w:rsidRPr="000E45F8">
              <w:rPr>
                <w:rStyle w:val="Hyperlink"/>
                <w:rFonts w:ascii="Arial" w:hAnsi="Arial" w:cs="Arial"/>
                <w:noProof/>
              </w:rPr>
              <w:t>Executive Summary</w:t>
            </w:r>
            <w:r w:rsidR="000E45F8" w:rsidRPr="000E45F8">
              <w:rPr>
                <w:noProof/>
                <w:webHidden/>
              </w:rPr>
              <w:tab/>
            </w:r>
            <w:r w:rsidR="000E45F8" w:rsidRPr="000E45F8">
              <w:rPr>
                <w:noProof/>
                <w:webHidden/>
              </w:rPr>
              <w:fldChar w:fldCharType="begin"/>
            </w:r>
            <w:r w:rsidR="000E45F8" w:rsidRPr="000E45F8">
              <w:rPr>
                <w:noProof/>
                <w:webHidden/>
              </w:rPr>
              <w:instrText xml:space="preserve"> PAGEREF _Toc214046169 \h </w:instrText>
            </w:r>
            <w:r w:rsidR="000E45F8" w:rsidRPr="000E45F8">
              <w:rPr>
                <w:noProof/>
                <w:webHidden/>
              </w:rPr>
            </w:r>
            <w:r w:rsidR="000E45F8" w:rsidRPr="000E45F8">
              <w:rPr>
                <w:noProof/>
                <w:webHidden/>
              </w:rPr>
              <w:fldChar w:fldCharType="separate"/>
            </w:r>
            <w:r w:rsidR="000E45F8" w:rsidRPr="000E45F8">
              <w:rPr>
                <w:noProof/>
                <w:webHidden/>
              </w:rPr>
              <w:t>2</w:t>
            </w:r>
            <w:r w:rsidR="000E45F8" w:rsidRPr="000E45F8">
              <w:rPr>
                <w:noProof/>
                <w:webHidden/>
              </w:rPr>
              <w:fldChar w:fldCharType="end"/>
            </w:r>
          </w:hyperlink>
        </w:p>
        <w:p w14:paraId="7048AFB0" w14:textId="6AADA5EF" w:rsidR="000E45F8" w:rsidRPr="000E45F8" w:rsidRDefault="000E45F8">
          <w:pPr>
            <w:pStyle w:val="TOC1"/>
            <w:tabs>
              <w:tab w:val="right" w:leader="dot" w:pos="10456"/>
            </w:tabs>
            <w:rPr>
              <w:rFonts w:eastAsiaTheme="minorEastAsia"/>
              <w:noProof/>
              <w:sz w:val="24"/>
              <w:szCs w:val="24"/>
              <w:lang w:eastAsia="en-GB"/>
            </w:rPr>
          </w:pPr>
          <w:hyperlink w:anchor="_Toc214046170" w:history="1">
            <w:r w:rsidRPr="000E45F8">
              <w:rPr>
                <w:rStyle w:val="Hyperlink"/>
                <w:rFonts w:ascii="Arial" w:hAnsi="Arial" w:cs="Arial"/>
                <w:noProof/>
              </w:rPr>
              <w:t>Introduction</w:t>
            </w:r>
            <w:r w:rsidRPr="000E45F8">
              <w:rPr>
                <w:noProof/>
                <w:webHidden/>
              </w:rPr>
              <w:tab/>
            </w:r>
            <w:r w:rsidRPr="000E45F8">
              <w:rPr>
                <w:noProof/>
                <w:webHidden/>
              </w:rPr>
              <w:fldChar w:fldCharType="begin"/>
            </w:r>
            <w:r w:rsidRPr="000E45F8">
              <w:rPr>
                <w:noProof/>
                <w:webHidden/>
              </w:rPr>
              <w:instrText xml:space="preserve"> PAGEREF _Toc214046170 \h </w:instrText>
            </w:r>
            <w:r w:rsidRPr="000E45F8">
              <w:rPr>
                <w:noProof/>
                <w:webHidden/>
              </w:rPr>
            </w:r>
            <w:r w:rsidRPr="000E45F8">
              <w:rPr>
                <w:noProof/>
                <w:webHidden/>
              </w:rPr>
              <w:fldChar w:fldCharType="separate"/>
            </w:r>
            <w:r w:rsidRPr="000E45F8">
              <w:rPr>
                <w:noProof/>
                <w:webHidden/>
              </w:rPr>
              <w:t>4</w:t>
            </w:r>
            <w:r w:rsidRPr="000E45F8">
              <w:rPr>
                <w:noProof/>
                <w:webHidden/>
              </w:rPr>
              <w:fldChar w:fldCharType="end"/>
            </w:r>
          </w:hyperlink>
        </w:p>
        <w:p w14:paraId="2F88F311" w14:textId="499E67BC" w:rsidR="000E45F8" w:rsidRPr="000E45F8" w:rsidRDefault="000E45F8">
          <w:pPr>
            <w:pStyle w:val="TOC1"/>
            <w:tabs>
              <w:tab w:val="right" w:leader="dot" w:pos="10456"/>
            </w:tabs>
            <w:rPr>
              <w:rFonts w:eastAsiaTheme="minorEastAsia"/>
              <w:noProof/>
              <w:sz w:val="24"/>
              <w:szCs w:val="24"/>
              <w:lang w:eastAsia="en-GB"/>
            </w:rPr>
          </w:pPr>
          <w:hyperlink w:anchor="_Toc214046171" w:history="1">
            <w:r w:rsidRPr="000E45F8">
              <w:rPr>
                <w:rStyle w:val="Hyperlink"/>
                <w:rFonts w:ascii="Arial" w:hAnsi="Arial" w:cs="Arial"/>
                <w:noProof/>
              </w:rPr>
              <w:t>Restaurant Profile and Strategic Direction</w:t>
            </w:r>
            <w:r w:rsidRPr="000E45F8">
              <w:rPr>
                <w:noProof/>
                <w:webHidden/>
              </w:rPr>
              <w:tab/>
            </w:r>
            <w:r w:rsidRPr="000E45F8">
              <w:rPr>
                <w:noProof/>
                <w:webHidden/>
              </w:rPr>
              <w:fldChar w:fldCharType="begin"/>
            </w:r>
            <w:r w:rsidRPr="000E45F8">
              <w:rPr>
                <w:noProof/>
                <w:webHidden/>
              </w:rPr>
              <w:instrText xml:space="preserve"> PAGEREF _Toc214046171 \h </w:instrText>
            </w:r>
            <w:r w:rsidRPr="000E45F8">
              <w:rPr>
                <w:noProof/>
                <w:webHidden/>
              </w:rPr>
            </w:r>
            <w:r w:rsidRPr="000E45F8">
              <w:rPr>
                <w:noProof/>
                <w:webHidden/>
              </w:rPr>
              <w:fldChar w:fldCharType="separate"/>
            </w:r>
            <w:r w:rsidRPr="000E45F8">
              <w:rPr>
                <w:noProof/>
                <w:webHidden/>
              </w:rPr>
              <w:t>4</w:t>
            </w:r>
            <w:r w:rsidRPr="000E45F8">
              <w:rPr>
                <w:noProof/>
                <w:webHidden/>
              </w:rPr>
              <w:fldChar w:fldCharType="end"/>
            </w:r>
          </w:hyperlink>
        </w:p>
        <w:p w14:paraId="33E19E08" w14:textId="2794E568" w:rsidR="000E45F8" w:rsidRPr="000E45F8" w:rsidRDefault="000E45F8">
          <w:pPr>
            <w:pStyle w:val="TOC1"/>
            <w:tabs>
              <w:tab w:val="right" w:leader="dot" w:pos="10456"/>
            </w:tabs>
            <w:rPr>
              <w:rFonts w:eastAsiaTheme="minorEastAsia"/>
              <w:noProof/>
              <w:sz w:val="24"/>
              <w:szCs w:val="24"/>
              <w:lang w:eastAsia="en-GB"/>
            </w:rPr>
          </w:pPr>
          <w:hyperlink w:anchor="_Toc214046172" w:history="1">
            <w:r w:rsidRPr="000E45F8">
              <w:rPr>
                <w:rStyle w:val="Hyperlink"/>
                <w:rFonts w:ascii="Arial" w:hAnsi="Arial" w:cs="Arial"/>
                <w:noProof/>
              </w:rPr>
              <w:t>Facilities, Services and Organisational Structure</w:t>
            </w:r>
            <w:r w:rsidRPr="000E45F8">
              <w:rPr>
                <w:noProof/>
                <w:webHidden/>
              </w:rPr>
              <w:tab/>
            </w:r>
            <w:r w:rsidRPr="000E45F8">
              <w:rPr>
                <w:noProof/>
                <w:webHidden/>
              </w:rPr>
              <w:fldChar w:fldCharType="begin"/>
            </w:r>
            <w:r w:rsidRPr="000E45F8">
              <w:rPr>
                <w:noProof/>
                <w:webHidden/>
              </w:rPr>
              <w:instrText xml:space="preserve"> PAGEREF _Toc214046172 \h </w:instrText>
            </w:r>
            <w:r w:rsidRPr="000E45F8">
              <w:rPr>
                <w:noProof/>
                <w:webHidden/>
              </w:rPr>
            </w:r>
            <w:r w:rsidRPr="000E45F8">
              <w:rPr>
                <w:noProof/>
                <w:webHidden/>
              </w:rPr>
              <w:fldChar w:fldCharType="separate"/>
            </w:r>
            <w:r w:rsidRPr="000E45F8">
              <w:rPr>
                <w:noProof/>
                <w:webHidden/>
              </w:rPr>
              <w:t>5</w:t>
            </w:r>
            <w:r w:rsidRPr="000E45F8">
              <w:rPr>
                <w:noProof/>
                <w:webHidden/>
              </w:rPr>
              <w:fldChar w:fldCharType="end"/>
            </w:r>
          </w:hyperlink>
        </w:p>
        <w:p w14:paraId="71785DFD" w14:textId="06E65CB7" w:rsidR="000E45F8" w:rsidRPr="000E45F8" w:rsidRDefault="000E45F8">
          <w:pPr>
            <w:pStyle w:val="TOC1"/>
            <w:tabs>
              <w:tab w:val="right" w:leader="dot" w:pos="10456"/>
            </w:tabs>
            <w:rPr>
              <w:rFonts w:eastAsiaTheme="minorEastAsia"/>
              <w:noProof/>
              <w:sz w:val="24"/>
              <w:szCs w:val="24"/>
              <w:lang w:eastAsia="en-GB"/>
            </w:rPr>
          </w:pPr>
          <w:hyperlink w:anchor="_Toc214046173" w:history="1">
            <w:r w:rsidRPr="000E45F8">
              <w:rPr>
                <w:rStyle w:val="Hyperlink"/>
                <w:rFonts w:ascii="Arial" w:hAnsi="Arial" w:cs="Arial"/>
                <w:noProof/>
              </w:rPr>
              <w:t>Business Life Cycle Analysis</w:t>
            </w:r>
            <w:r w:rsidRPr="000E45F8">
              <w:rPr>
                <w:noProof/>
                <w:webHidden/>
              </w:rPr>
              <w:tab/>
            </w:r>
            <w:r w:rsidRPr="000E45F8">
              <w:rPr>
                <w:noProof/>
                <w:webHidden/>
              </w:rPr>
              <w:fldChar w:fldCharType="begin"/>
            </w:r>
            <w:r w:rsidRPr="000E45F8">
              <w:rPr>
                <w:noProof/>
                <w:webHidden/>
              </w:rPr>
              <w:instrText xml:space="preserve"> PAGEREF _Toc214046173 \h </w:instrText>
            </w:r>
            <w:r w:rsidRPr="000E45F8">
              <w:rPr>
                <w:noProof/>
                <w:webHidden/>
              </w:rPr>
            </w:r>
            <w:r w:rsidRPr="000E45F8">
              <w:rPr>
                <w:noProof/>
                <w:webHidden/>
              </w:rPr>
              <w:fldChar w:fldCharType="separate"/>
            </w:r>
            <w:r w:rsidRPr="000E45F8">
              <w:rPr>
                <w:noProof/>
                <w:webHidden/>
              </w:rPr>
              <w:t>7</w:t>
            </w:r>
            <w:r w:rsidRPr="000E45F8">
              <w:rPr>
                <w:noProof/>
                <w:webHidden/>
              </w:rPr>
              <w:fldChar w:fldCharType="end"/>
            </w:r>
          </w:hyperlink>
        </w:p>
        <w:p w14:paraId="31BA9EE2" w14:textId="10063236" w:rsidR="000E45F8" w:rsidRPr="000E45F8" w:rsidRDefault="000E45F8">
          <w:pPr>
            <w:pStyle w:val="TOC1"/>
            <w:tabs>
              <w:tab w:val="right" w:leader="dot" w:pos="10456"/>
            </w:tabs>
            <w:rPr>
              <w:rFonts w:eastAsiaTheme="minorEastAsia"/>
              <w:noProof/>
              <w:sz w:val="24"/>
              <w:szCs w:val="24"/>
              <w:lang w:eastAsia="en-GB"/>
            </w:rPr>
          </w:pPr>
          <w:hyperlink w:anchor="_Toc214046174" w:history="1">
            <w:r w:rsidRPr="000E45F8">
              <w:rPr>
                <w:rStyle w:val="Hyperlink"/>
                <w:rFonts w:ascii="Arial" w:hAnsi="Arial" w:cs="Arial"/>
                <w:noProof/>
              </w:rPr>
              <w:t>Market Position and Financial Insights</w:t>
            </w:r>
            <w:r w:rsidRPr="000E45F8">
              <w:rPr>
                <w:noProof/>
                <w:webHidden/>
              </w:rPr>
              <w:tab/>
            </w:r>
            <w:r w:rsidRPr="000E45F8">
              <w:rPr>
                <w:noProof/>
                <w:webHidden/>
              </w:rPr>
              <w:fldChar w:fldCharType="begin"/>
            </w:r>
            <w:r w:rsidRPr="000E45F8">
              <w:rPr>
                <w:noProof/>
                <w:webHidden/>
              </w:rPr>
              <w:instrText xml:space="preserve"> PAGEREF _Toc214046174 \h </w:instrText>
            </w:r>
            <w:r w:rsidRPr="000E45F8">
              <w:rPr>
                <w:noProof/>
                <w:webHidden/>
              </w:rPr>
            </w:r>
            <w:r w:rsidRPr="000E45F8">
              <w:rPr>
                <w:noProof/>
                <w:webHidden/>
              </w:rPr>
              <w:fldChar w:fldCharType="separate"/>
            </w:r>
            <w:r w:rsidRPr="000E45F8">
              <w:rPr>
                <w:noProof/>
                <w:webHidden/>
              </w:rPr>
              <w:t>8</w:t>
            </w:r>
            <w:r w:rsidRPr="000E45F8">
              <w:rPr>
                <w:noProof/>
                <w:webHidden/>
              </w:rPr>
              <w:fldChar w:fldCharType="end"/>
            </w:r>
          </w:hyperlink>
        </w:p>
        <w:p w14:paraId="5F6E1433" w14:textId="7E6D610B" w:rsidR="000E45F8" w:rsidRPr="000E45F8" w:rsidRDefault="000E45F8">
          <w:pPr>
            <w:pStyle w:val="TOC1"/>
            <w:tabs>
              <w:tab w:val="right" w:leader="dot" w:pos="10456"/>
            </w:tabs>
            <w:rPr>
              <w:rFonts w:eastAsiaTheme="minorEastAsia"/>
              <w:noProof/>
              <w:sz w:val="24"/>
              <w:szCs w:val="24"/>
              <w:lang w:eastAsia="en-GB"/>
            </w:rPr>
          </w:pPr>
          <w:hyperlink w:anchor="_Toc214046175" w:history="1">
            <w:r w:rsidRPr="000E45F8">
              <w:rPr>
                <w:rStyle w:val="Hyperlink"/>
                <w:rFonts w:ascii="Arial" w:hAnsi="Arial" w:cs="Arial"/>
                <w:noProof/>
              </w:rPr>
              <w:t>Digital Strategy and Reputation Management</w:t>
            </w:r>
            <w:r w:rsidRPr="000E45F8">
              <w:rPr>
                <w:noProof/>
                <w:webHidden/>
              </w:rPr>
              <w:tab/>
            </w:r>
            <w:r w:rsidRPr="000E45F8">
              <w:rPr>
                <w:noProof/>
                <w:webHidden/>
              </w:rPr>
              <w:fldChar w:fldCharType="begin"/>
            </w:r>
            <w:r w:rsidRPr="000E45F8">
              <w:rPr>
                <w:noProof/>
                <w:webHidden/>
              </w:rPr>
              <w:instrText xml:space="preserve"> PAGEREF _Toc214046175 \h </w:instrText>
            </w:r>
            <w:r w:rsidRPr="000E45F8">
              <w:rPr>
                <w:noProof/>
                <w:webHidden/>
              </w:rPr>
            </w:r>
            <w:r w:rsidRPr="000E45F8">
              <w:rPr>
                <w:noProof/>
                <w:webHidden/>
              </w:rPr>
              <w:fldChar w:fldCharType="separate"/>
            </w:r>
            <w:r w:rsidRPr="000E45F8">
              <w:rPr>
                <w:noProof/>
                <w:webHidden/>
              </w:rPr>
              <w:t>10</w:t>
            </w:r>
            <w:r w:rsidRPr="000E45F8">
              <w:rPr>
                <w:noProof/>
                <w:webHidden/>
              </w:rPr>
              <w:fldChar w:fldCharType="end"/>
            </w:r>
          </w:hyperlink>
        </w:p>
        <w:p w14:paraId="1D09C90A" w14:textId="7C0DD55D" w:rsidR="000E45F8" w:rsidRPr="000E45F8" w:rsidRDefault="000E45F8">
          <w:pPr>
            <w:pStyle w:val="TOC1"/>
            <w:tabs>
              <w:tab w:val="right" w:leader="dot" w:pos="10456"/>
            </w:tabs>
            <w:rPr>
              <w:rFonts w:eastAsiaTheme="minorEastAsia"/>
              <w:noProof/>
              <w:sz w:val="24"/>
              <w:szCs w:val="24"/>
              <w:lang w:eastAsia="en-GB"/>
            </w:rPr>
          </w:pPr>
          <w:hyperlink w:anchor="_Toc214046176" w:history="1">
            <w:r w:rsidRPr="000E45F8">
              <w:rPr>
                <w:rStyle w:val="Hyperlink"/>
                <w:rFonts w:ascii="Arial" w:hAnsi="Arial" w:cs="Arial"/>
                <w:noProof/>
              </w:rPr>
              <w:t>Operational Challenges and Service Gaps</w:t>
            </w:r>
            <w:r w:rsidRPr="000E45F8">
              <w:rPr>
                <w:noProof/>
                <w:webHidden/>
              </w:rPr>
              <w:tab/>
            </w:r>
            <w:r w:rsidRPr="000E45F8">
              <w:rPr>
                <w:noProof/>
                <w:webHidden/>
              </w:rPr>
              <w:fldChar w:fldCharType="begin"/>
            </w:r>
            <w:r w:rsidRPr="000E45F8">
              <w:rPr>
                <w:noProof/>
                <w:webHidden/>
              </w:rPr>
              <w:instrText xml:space="preserve"> PAGEREF _Toc214046176 \h </w:instrText>
            </w:r>
            <w:r w:rsidRPr="000E45F8">
              <w:rPr>
                <w:noProof/>
                <w:webHidden/>
              </w:rPr>
            </w:r>
            <w:r w:rsidRPr="000E45F8">
              <w:rPr>
                <w:noProof/>
                <w:webHidden/>
              </w:rPr>
              <w:fldChar w:fldCharType="separate"/>
            </w:r>
            <w:r w:rsidRPr="000E45F8">
              <w:rPr>
                <w:noProof/>
                <w:webHidden/>
              </w:rPr>
              <w:t>12</w:t>
            </w:r>
            <w:r w:rsidRPr="000E45F8">
              <w:rPr>
                <w:noProof/>
                <w:webHidden/>
              </w:rPr>
              <w:fldChar w:fldCharType="end"/>
            </w:r>
          </w:hyperlink>
        </w:p>
        <w:p w14:paraId="1B723650" w14:textId="7887CEA0" w:rsidR="000E45F8" w:rsidRPr="000E45F8" w:rsidRDefault="000E45F8">
          <w:pPr>
            <w:pStyle w:val="TOC1"/>
            <w:tabs>
              <w:tab w:val="right" w:leader="dot" w:pos="10456"/>
            </w:tabs>
            <w:rPr>
              <w:rFonts w:eastAsiaTheme="minorEastAsia"/>
              <w:noProof/>
              <w:sz w:val="24"/>
              <w:szCs w:val="24"/>
              <w:lang w:eastAsia="en-GB"/>
            </w:rPr>
          </w:pPr>
          <w:hyperlink w:anchor="_Toc214046177" w:history="1">
            <w:r w:rsidRPr="000E45F8">
              <w:rPr>
                <w:rStyle w:val="Hyperlink"/>
                <w:rFonts w:ascii="Arial" w:hAnsi="Arial" w:cs="Arial"/>
                <w:noProof/>
              </w:rPr>
              <w:t>Recommendations and Change Strategy</w:t>
            </w:r>
            <w:r w:rsidRPr="000E45F8">
              <w:rPr>
                <w:noProof/>
                <w:webHidden/>
              </w:rPr>
              <w:tab/>
            </w:r>
            <w:r w:rsidRPr="000E45F8">
              <w:rPr>
                <w:noProof/>
                <w:webHidden/>
              </w:rPr>
              <w:fldChar w:fldCharType="begin"/>
            </w:r>
            <w:r w:rsidRPr="000E45F8">
              <w:rPr>
                <w:noProof/>
                <w:webHidden/>
              </w:rPr>
              <w:instrText xml:space="preserve"> PAGEREF _Toc214046177 \h </w:instrText>
            </w:r>
            <w:r w:rsidRPr="000E45F8">
              <w:rPr>
                <w:noProof/>
                <w:webHidden/>
              </w:rPr>
            </w:r>
            <w:r w:rsidRPr="000E45F8">
              <w:rPr>
                <w:noProof/>
                <w:webHidden/>
              </w:rPr>
              <w:fldChar w:fldCharType="separate"/>
            </w:r>
            <w:r w:rsidRPr="000E45F8">
              <w:rPr>
                <w:noProof/>
                <w:webHidden/>
              </w:rPr>
              <w:t>13</w:t>
            </w:r>
            <w:r w:rsidRPr="000E45F8">
              <w:rPr>
                <w:noProof/>
                <w:webHidden/>
              </w:rPr>
              <w:fldChar w:fldCharType="end"/>
            </w:r>
          </w:hyperlink>
        </w:p>
        <w:p w14:paraId="079A5EF4" w14:textId="0CED91BF" w:rsidR="000E45F8" w:rsidRPr="000E45F8" w:rsidRDefault="000E45F8">
          <w:pPr>
            <w:pStyle w:val="TOC1"/>
            <w:tabs>
              <w:tab w:val="right" w:leader="dot" w:pos="10456"/>
            </w:tabs>
            <w:rPr>
              <w:rFonts w:eastAsiaTheme="minorEastAsia"/>
              <w:noProof/>
              <w:sz w:val="24"/>
              <w:szCs w:val="24"/>
              <w:lang w:eastAsia="en-GB"/>
            </w:rPr>
          </w:pPr>
          <w:hyperlink w:anchor="_Toc214046178" w:history="1">
            <w:r w:rsidRPr="000E45F8">
              <w:rPr>
                <w:rStyle w:val="Hyperlink"/>
                <w:rFonts w:ascii="Arial" w:hAnsi="Arial" w:cs="Arial"/>
                <w:noProof/>
              </w:rPr>
              <w:t>Appendix A.</w:t>
            </w:r>
            <w:r w:rsidRPr="000E45F8">
              <w:rPr>
                <w:noProof/>
                <w:webHidden/>
              </w:rPr>
              <w:tab/>
            </w:r>
            <w:r w:rsidRPr="000E45F8">
              <w:rPr>
                <w:noProof/>
                <w:webHidden/>
              </w:rPr>
              <w:fldChar w:fldCharType="begin"/>
            </w:r>
            <w:r w:rsidRPr="000E45F8">
              <w:rPr>
                <w:noProof/>
                <w:webHidden/>
              </w:rPr>
              <w:instrText xml:space="preserve"> PAGEREF _Toc214046178 \h </w:instrText>
            </w:r>
            <w:r w:rsidRPr="000E45F8">
              <w:rPr>
                <w:noProof/>
                <w:webHidden/>
              </w:rPr>
            </w:r>
            <w:r w:rsidRPr="000E45F8">
              <w:rPr>
                <w:noProof/>
                <w:webHidden/>
              </w:rPr>
              <w:fldChar w:fldCharType="separate"/>
            </w:r>
            <w:r w:rsidRPr="000E45F8">
              <w:rPr>
                <w:noProof/>
                <w:webHidden/>
              </w:rPr>
              <w:t>15</w:t>
            </w:r>
            <w:r w:rsidRPr="000E45F8">
              <w:rPr>
                <w:noProof/>
                <w:webHidden/>
              </w:rPr>
              <w:fldChar w:fldCharType="end"/>
            </w:r>
          </w:hyperlink>
        </w:p>
        <w:p w14:paraId="4839597B" w14:textId="5435BB5D" w:rsidR="000E45F8" w:rsidRPr="000E45F8" w:rsidRDefault="000E45F8">
          <w:pPr>
            <w:pStyle w:val="TOC1"/>
            <w:tabs>
              <w:tab w:val="right" w:leader="dot" w:pos="10456"/>
            </w:tabs>
            <w:rPr>
              <w:rFonts w:eastAsiaTheme="minorEastAsia"/>
              <w:noProof/>
              <w:sz w:val="24"/>
              <w:szCs w:val="24"/>
              <w:lang w:eastAsia="en-GB"/>
            </w:rPr>
          </w:pPr>
          <w:hyperlink w:anchor="_Toc214046179" w:history="1">
            <w:r w:rsidRPr="000E45F8">
              <w:rPr>
                <w:rStyle w:val="Hyperlink"/>
                <w:rFonts w:ascii="Arial" w:hAnsi="Arial" w:cs="Arial"/>
                <w:noProof/>
              </w:rPr>
              <w:t>Appendix B.</w:t>
            </w:r>
            <w:r w:rsidRPr="000E45F8">
              <w:rPr>
                <w:noProof/>
                <w:webHidden/>
              </w:rPr>
              <w:tab/>
            </w:r>
            <w:r w:rsidRPr="000E45F8">
              <w:rPr>
                <w:noProof/>
                <w:webHidden/>
              </w:rPr>
              <w:fldChar w:fldCharType="begin"/>
            </w:r>
            <w:r w:rsidRPr="000E45F8">
              <w:rPr>
                <w:noProof/>
                <w:webHidden/>
              </w:rPr>
              <w:instrText xml:space="preserve"> PAGEREF _Toc214046179 \h </w:instrText>
            </w:r>
            <w:r w:rsidRPr="000E45F8">
              <w:rPr>
                <w:noProof/>
                <w:webHidden/>
              </w:rPr>
            </w:r>
            <w:r w:rsidRPr="000E45F8">
              <w:rPr>
                <w:noProof/>
                <w:webHidden/>
              </w:rPr>
              <w:fldChar w:fldCharType="separate"/>
            </w:r>
            <w:r w:rsidRPr="000E45F8">
              <w:rPr>
                <w:noProof/>
                <w:webHidden/>
              </w:rPr>
              <w:t>16</w:t>
            </w:r>
            <w:r w:rsidRPr="000E45F8">
              <w:rPr>
                <w:noProof/>
                <w:webHidden/>
              </w:rPr>
              <w:fldChar w:fldCharType="end"/>
            </w:r>
          </w:hyperlink>
        </w:p>
        <w:p w14:paraId="5B2AAF47" w14:textId="3BC985BD" w:rsidR="000E45F8" w:rsidRPr="000E45F8" w:rsidRDefault="000E45F8">
          <w:pPr>
            <w:pStyle w:val="TOC1"/>
            <w:tabs>
              <w:tab w:val="right" w:leader="dot" w:pos="10456"/>
            </w:tabs>
            <w:rPr>
              <w:rFonts w:eastAsiaTheme="minorEastAsia"/>
              <w:noProof/>
              <w:sz w:val="24"/>
              <w:szCs w:val="24"/>
              <w:lang w:eastAsia="en-GB"/>
            </w:rPr>
          </w:pPr>
          <w:hyperlink w:anchor="_Toc214046180" w:history="1">
            <w:r w:rsidRPr="000E45F8">
              <w:rPr>
                <w:rStyle w:val="Hyperlink"/>
                <w:rFonts w:ascii="Arial" w:hAnsi="Arial" w:cs="Arial"/>
                <w:noProof/>
              </w:rPr>
              <w:t>Appendix C.</w:t>
            </w:r>
            <w:r w:rsidRPr="000E45F8">
              <w:rPr>
                <w:noProof/>
                <w:webHidden/>
              </w:rPr>
              <w:tab/>
            </w:r>
            <w:r w:rsidRPr="000E45F8">
              <w:rPr>
                <w:noProof/>
                <w:webHidden/>
              </w:rPr>
              <w:fldChar w:fldCharType="begin"/>
            </w:r>
            <w:r w:rsidRPr="000E45F8">
              <w:rPr>
                <w:noProof/>
                <w:webHidden/>
              </w:rPr>
              <w:instrText xml:space="preserve"> PAGEREF _Toc214046180 \h </w:instrText>
            </w:r>
            <w:r w:rsidRPr="000E45F8">
              <w:rPr>
                <w:noProof/>
                <w:webHidden/>
              </w:rPr>
            </w:r>
            <w:r w:rsidRPr="000E45F8">
              <w:rPr>
                <w:noProof/>
                <w:webHidden/>
              </w:rPr>
              <w:fldChar w:fldCharType="separate"/>
            </w:r>
            <w:r w:rsidRPr="000E45F8">
              <w:rPr>
                <w:noProof/>
                <w:webHidden/>
              </w:rPr>
              <w:t>17</w:t>
            </w:r>
            <w:r w:rsidRPr="000E45F8">
              <w:rPr>
                <w:noProof/>
                <w:webHidden/>
              </w:rPr>
              <w:fldChar w:fldCharType="end"/>
            </w:r>
          </w:hyperlink>
        </w:p>
        <w:p w14:paraId="0F9330B4" w14:textId="06BA23B0" w:rsidR="000E45F8" w:rsidRPr="000E45F8" w:rsidRDefault="000E45F8">
          <w:pPr>
            <w:pStyle w:val="TOC1"/>
            <w:tabs>
              <w:tab w:val="right" w:leader="dot" w:pos="10456"/>
            </w:tabs>
            <w:rPr>
              <w:rFonts w:eastAsiaTheme="minorEastAsia"/>
              <w:noProof/>
              <w:sz w:val="24"/>
              <w:szCs w:val="24"/>
              <w:lang w:eastAsia="en-GB"/>
            </w:rPr>
          </w:pPr>
          <w:hyperlink w:anchor="_Toc214046181" w:history="1">
            <w:r w:rsidRPr="000E45F8">
              <w:rPr>
                <w:rStyle w:val="Hyperlink"/>
                <w:rFonts w:ascii="Arial" w:hAnsi="Arial" w:cs="Arial"/>
                <w:noProof/>
              </w:rPr>
              <w:t>Appendix D.</w:t>
            </w:r>
            <w:r w:rsidRPr="000E45F8">
              <w:rPr>
                <w:noProof/>
                <w:webHidden/>
              </w:rPr>
              <w:tab/>
            </w:r>
            <w:r w:rsidRPr="000E45F8">
              <w:rPr>
                <w:noProof/>
                <w:webHidden/>
              </w:rPr>
              <w:fldChar w:fldCharType="begin"/>
            </w:r>
            <w:r w:rsidRPr="000E45F8">
              <w:rPr>
                <w:noProof/>
                <w:webHidden/>
              </w:rPr>
              <w:instrText xml:space="preserve"> PAGEREF _Toc214046181 \h </w:instrText>
            </w:r>
            <w:r w:rsidRPr="000E45F8">
              <w:rPr>
                <w:noProof/>
                <w:webHidden/>
              </w:rPr>
            </w:r>
            <w:r w:rsidRPr="000E45F8">
              <w:rPr>
                <w:noProof/>
                <w:webHidden/>
              </w:rPr>
              <w:fldChar w:fldCharType="separate"/>
            </w:r>
            <w:r w:rsidRPr="000E45F8">
              <w:rPr>
                <w:noProof/>
                <w:webHidden/>
              </w:rPr>
              <w:t>18</w:t>
            </w:r>
            <w:r w:rsidRPr="000E45F8">
              <w:rPr>
                <w:noProof/>
                <w:webHidden/>
              </w:rPr>
              <w:fldChar w:fldCharType="end"/>
            </w:r>
          </w:hyperlink>
        </w:p>
        <w:p w14:paraId="1CC0312D" w14:textId="162B7589" w:rsidR="000E45F8" w:rsidRPr="000E45F8" w:rsidRDefault="000E45F8">
          <w:pPr>
            <w:pStyle w:val="TOC1"/>
            <w:tabs>
              <w:tab w:val="right" w:leader="dot" w:pos="10456"/>
            </w:tabs>
            <w:rPr>
              <w:rFonts w:eastAsiaTheme="minorEastAsia"/>
              <w:noProof/>
              <w:sz w:val="24"/>
              <w:szCs w:val="24"/>
              <w:lang w:eastAsia="en-GB"/>
            </w:rPr>
          </w:pPr>
          <w:hyperlink w:anchor="_Toc214046182" w:history="1">
            <w:r w:rsidRPr="000E45F8">
              <w:rPr>
                <w:rStyle w:val="Hyperlink"/>
                <w:rFonts w:ascii="Arial" w:hAnsi="Arial" w:cs="Arial"/>
                <w:noProof/>
              </w:rPr>
              <w:t>Appendix E.</w:t>
            </w:r>
            <w:r w:rsidRPr="000E45F8">
              <w:rPr>
                <w:noProof/>
                <w:webHidden/>
              </w:rPr>
              <w:tab/>
            </w:r>
            <w:r w:rsidRPr="000E45F8">
              <w:rPr>
                <w:noProof/>
                <w:webHidden/>
              </w:rPr>
              <w:fldChar w:fldCharType="begin"/>
            </w:r>
            <w:r w:rsidRPr="000E45F8">
              <w:rPr>
                <w:noProof/>
                <w:webHidden/>
              </w:rPr>
              <w:instrText xml:space="preserve"> PAGEREF _Toc214046182 \h </w:instrText>
            </w:r>
            <w:r w:rsidRPr="000E45F8">
              <w:rPr>
                <w:noProof/>
                <w:webHidden/>
              </w:rPr>
            </w:r>
            <w:r w:rsidRPr="000E45F8">
              <w:rPr>
                <w:noProof/>
                <w:webHidden/>
              </w:rPr>
              <w:fldChar w:fldCharType="separate"/>
            </w:r>
            <w:r w:rsidRPr="000E45F8">
              <w:rPr>
                <w:noProof/>
                <w:webHidden/>
              </w:rPr>
              <w:t>19</w:t>
            </w:r>
            <w:r w:rsidRPr="000E45F8">
              <w:rPr>
                <w:noProof/>
                <w:webHidden/>
              </w:rPr>
              <w:fldChar w:fldCharType="end"/>
            </w:r>
          </w:hyperlink>
        </w:p>
        <w:p w14:paraId="142B3F47" w14:textId="300290B0" w:rsidR="000E45F8" w:rsidRPr="000E45F8" w:rsidRDefault="000E45F8">
          <w:pPr>
            <w:pStyle w:val="TOC1"/>
            <w:tabs>
              <w:tab w:val="right" w:leader="dot" w:pos="10456"/>
            </w:tabs>
            <w:rPr>
              <w:rFonts w:eastAsiaTheme="minorEastAsia"/>
              <w:noProof/>
              <w:sz w:val="24"/>
              <w:szCs w:val="24"/>
              <w:lang w:eastAsia="en-GB"/>
            </w:rPr>
          </w:pPr>
          <w:hyperlink w:anchor="_Toc214046183" w:history="1">
            <w:r w:rsidRPr="000E45F8">
              <w:rPr>
                <w:rStyle w:val="Hyperlink"/>
                <w:rFonts w:ascii="Arial" w:hAnsi="Arial" w:cs="Arial"/>
                <w:noProof/>
              </w:rPr>
              <w:t>Appendix F.</w:t>
            </w:r>
            <w:r w:rsidRPr="000E45F8">
              <w:rPr>
                <w:noProof/>
                <w:webHidden/>
              </w:rPr>
              <w:tab/>
            </w:r>
            <w:r w:rsidRPr="000E45F8">
              <w:rPr>
                <w:noProof/>
                <w:webHidden/>
              </w:rPr>
              <w:fldChar w:fldCharType="begin"/>
            </w:r>
            <w:r w:rsidRPr="000E45F8">
              <w:rPr>
                <w:noProof/>
                <w:webHidden/>
              </w:rPr>
              <w:instrText xml:space="preserve"> PAGEREF _Toc214046183 \h </w:instrText>
            </w:r>
            <w:r w:rsidRPr="000E45F8">
              <w:rPr>
                <w:noProof/>
                <w:webHidden/>
              </w:rPr>
            </w:r>
            <w:r w:rsidRPr="000E45F8">
              <w:rPr>
                <w:noProof/>
                <w:webHidden/>
              </w:rPr>
              <w:fldChar w:fldCharType="separate"/>
            </w:r>
            <w:r w:rsidRPr="000E45F8">
              <w:rPr>
                <w:noProof/>
                <w:webHidden/>
              </w:rPr>
              <w:t>20</w:t>
            </w:r>
            <w:r w:rsidRPr="000E45F8">
              <w:rPr>
                <w:noProof/>
                <w:webHidden/>
              </w:rPr>
              <w:fldChar w:fldCharType="end"/>
            </w:r>
          </w:hyperlink>
        </w:p>
        <w:p w14:paraId="5A27358C" w14:textId="4C737FAB" w:rsidR="000E45F8" w:rsidRDefault="000E45F8">
          <w:pPr>
            <w:pStyle w:val="TOC1"/>
            <w:tabs>
              <w:tab w:val="right" w:leader="dot" w:pos="10456"/>
            </w:tabs>
            <w:rPr>
              <w:rFonts w:eastAsiaTheme="minorEastAsia"/>
              <w:noProof/>
              <w:sz w:val="24"/>
              <w:szCs w:val="24"/>
              <w:lang w:eastAsia="en-GB"/>
            </w:rPr>
          </w:pPr>
          <w:hyperlink w:anchor="_Toc214046184" w:history="1">
            <w:r w:rsidRPr="000E45F8">
              <w:rPr>
                <w:rStyle w:val="Hyperlink"/>
                <w:rFonts w:ascii="Arial" w:hAnsi="Arial" w:cs="Arial"/>
                <w:noProof/>
              </w:rPr>
              <w:t>References</w:t>
            </w:r>
            <w:r w:rsidRPr="000E45F8">
              <w:rPr>
                <w:noProof/>
                <w:webHidden/>
              </w:rPr>
              <w:tab/>
            </w:r>
            <w:r w:rsidRPr="000E45F8">
              <w:rPr>
                <w:noProof/>
                <w:webHidden/>
              </w:rPr>
              <w:fldChar w:fldCharType="begin"/>
            </w:r>
            <w:r w:rsidRPr="000E45F8">
              <w:rPr>
                <w:noProof/>
                <w:webHidden/>
              </w:rPr>
              <w:instrText xml:space="preserve"> PAGEREF _Toc214046184 \h </w:instrText>
            </w:r>
            <w:r w:rsidRPr="000E45F8">
              <w:rPr>
                <w:noProof/>
                <w:webHidden/>
              </w:rPr>
            </w:r>
            <w:r w:rsidRPr="000E45F8">
              <w:rPr>
                <w:noProof/>
                <w:webHidden/>
              </w:rPr>
              <w:fldChar w:fldCharType="separate"/>
            </w:r>
            <w:r w:rsidRPr="000E45F8">
              <w:rPr>
                <w:noProof/>
                <w:webHidden/>
              </w:rPr>
              <w:t>21</w:t>
            </w:r>
            <w:r w:rsidRPr="000E45F8">
              <w:rPr>
                <w:noProof/>
                <w:webHidden/>
              </w:rPr>
              <w:fldChar w:fldCharType="end"/>
            </w:r>
          </w:hyperlink>
        </w:p>
        <w:p w14:paraId="50EBAC37" w14:textId="2D3E22E3" w:rsidR="00D36914" w:rsidRDefault="00D36914">
          <w:r w:rsidRPr="00D36914">
            <w:rPr>
              <w:rFonts w:ascii="Arial" w:hAnsi="Arial" w:cs="Arial"/>
              <w:b/>
              <w:bCs/>
              <w:color w:val="000000" w:themeColor="text1"/>
              <w:sz w:val="24"/>
              <w:szCs w:val="24"/>
            </w:rPr>
            <w:fldChar w:fldCharType="end"/>
          </w:r>
        </w:p>
      </w:sdtContent>
    </w:sdt>
    <w:p w14:paraId="60931239" w14:textId="77777777" w:rsidR="00D21390" w:rsidRDefault="00D21390" w:rsidP="00B44DDD">
      <w:pPr>
        <w:rPr>
          <w:rFonts w:ascii="Arial" w:hAnsi="Arial" w:cs="Arial"/>
          <w:b/>
          <w:bCs/>
          <w:sz w:val="24"/>
          <w:szCs w:val="24"/>
        </w:rPr>
      </w:pPr>
    </w:p>
    <w:p w14:paraId="205EED7F" w14:textId="77777777" w:rsidR="000E45F8" w:rsidRDefault="000E45F8" w:rsidP="00B44DDD">
      <w:pPr>
        <w:rPr>
          <w:rFonts w:ascii="Arial" w:hAnsi="Arial" w:cs="Arial"/>
          <w:b/>
          <w:bCs/>
          <w:sz w:val="24"/>
          <w:szCs w:val="24"/>
        </w:rPr>
      </w:pPr>
    </w:p>
    <w:p w14:paraId="76960A9A" w14:textId="77777777" w:rsidR="00D21390" w:rsidRDefault="00D21390" w:rsidP="00B44DDD">
      <w:pPr>
        <w:rPr>
          <w:rFonts w:ascii="Arial" w:hAnsi="Arial" w:cs="Arial"/>
          <w:b/>
          <w:bCs/>
          <w:sz w:val="24"/>
          <w:szCs w:val="24"/>
        </w:rPr>
      </w:pPr>
    </w:p>
    <w:p w14:paraId="29FF39FF" w14:textId="77777777" w:rsidR="00D21390" w:rsidRDefault="00D21390" w:rsidP="00B44DDD">
      <w:pPr>
        <w:rPr>
          <w:rFonts w:ascii="Arial" w:hAnsi="Arial" w:cs="Arial"/>
          <w:b/>
          <w:bCs/>
          <w:sz w:val="24"/>
          <w:szCs w:val="24"/>
        </w:rPr>
      </w:pPr>
    </w:p>
    <w:p w14:paraId="7E9BA9F4" w14:textId="77777777" w:rsidR="00D21390" w:rsidRDefault="00D21390" w:rsidP="00B44DDD">
      <w:pPr>
        <w:rPr>
          <w:rFonts w:ascii="Arial" w:hAnsi="Arial" w:cs="Arial"/>
          <w:b/>
          <w:bCs/>
          <w:sz w:val="24"/>
          <w:szCs w:val="24"/>
        </w:rPr>
      </w:pPr>
    </w:p>
    <w:p w14:paraId="1BC8B4A3" w14:textId="77777777" w:rsidR="00D21390" w:rsidRDefault="00D21390" w:rsidP="00B44DDD">
      <w:pPr>
        <w:rPr>
          <w:rFonts w:ascii="Arial" w:hAnsi="Arial" w:cs="Arial"/>
          <w:b/>
          <w:bCs/>
          <w:sz w:val="24"/>
          <w:szCs w:val="24"/>
        </w:rPr>
      </w:pPr>
    </w:p>
    <w:p w14:paraId="1CF33B8F" w14:textId="77777777" w:rsidR="00D21390" w:rsidRDefault="00D21390" w:rsidP="00B44DDD">
      <w:pPr>
        <w:rPr>
          <w:rFonts w:ascii="Arial" w:hAnsi="Arial" w:cs="Arial"/>
          <w:b/>
          <w:bCs/>
          <w:sz w:val="24"/>
          <w:szCs w:val="24"/>
        </w:rPr>
      </w:pPr>
    </w:p>
    <w:p w14:paraId="5AFCCB3E" w14:textId="77777777" w:rsidR="00D21390" w:rsidRDefault="00D21390" w:rsidP="00B44DDD">
      <w:pPr>
        <w:rPr>
          <w:rFonts w:ascii="Arial" w:hAnsi="Arial" w:cs="Arial"/>
          <w:b/>
          <w:bCs/>
          <w:sz w:val="24"/>
          <w:szCs w:val="24"/>
        </w:rPr>
      </w:pPr>
    </w:p>
    <w:p w14:paraId="42D55896" w14:textId="77777777" w:rsidR="00D21390" w:rsidRDefault="00D21390" w:rsidP="00B44DDD">
      <w:pPr>
        <w:rPr>
          <w:rFonts w:ascii="Arial" w:hAnsi="Arial" w:cs="Arial"/>
          <w:b/>
          <w:bCs/>
          <w:sz w:val="24"/>
          <w:szCs w:val="24"/>
        </w:rPr>
      </w:pPr>
    </w:p>
    <w:p w14:paraId="596E0436" w14:textId="77777777" w:rsidR="00D21390" w:rsidRDefault="00D21390" w:rsidP="00B44DDD">
      <w:pPr>
        <w:rPr>
          <w:rFonts w:ascii="Arial" w:hAnsi="Arial" w:cs="Arial"/>
          <w:b/>
          <w:bCs/>
          <w:sz w:val="24"/>
          <w:szCs w:val="24"/>
        </w:rPr>
      </w:pPr>
    </w:p>
    <w:p w14:paraId="7DFF7B31" w14:textId="77777777" w:rsidR="00D21390" w:rsidRDefault="00D21390" w:rsidP="00B44DDD">
      <w:pPr>
        <w:rPr>
          <w:rFonts w:ascii="Arial" w:hAnsi="Arial" w:cs="Arial"/>
          <w:b/>
          <w:bCs/>
          <w:sz w:val="24"/>
          <w:szCs w:val="24"/>
        </w:rPr>
      </w:pPr>
    </w:p>
    <w:p w14:paraId="47B0BA0F" w14:textId="77777777" w:rsidR="00D21390" w:rsidRDefault="00D21390" w:rsidP="00B44DDD">
      <w:pPr>
        <w:rPr>
          <w:rFonts w:ascii="Arial" w:hAnsi="Arial" w:cs="Arial"/>
          <w:b/>
          <w:bCs/>
          <w:sz w:val="24"/>
          <w:szCs w:val="24"/>
        </w:rPr>
      </w:pPr>
    </w:p>
    <w:p w14:paraId="345B7EB4" w14:textId="77777777" w:rsidR="00D21390" w:rsidRDefault="00D21390" w:rsidP="00B44DDD">
      <w:pPr>
        <w:rPr>
          <w:rFonts w:ascii="Arial" w:hAnsi="Arial" w:cs="Arial"/>
          <w:b/>
          <w:bCs/>
          <w:sz w:val="24"/>
          <w:szCs w:val="24"/>
        </w:rPr>
      </w:pPr>
    </w:p>
    <w:p w14:paraId="0CFA4FC1" w14:textId="77777777" w:rsidR="00D21390" w:rsidRDefault="00D21390" w:rsidP="00B44DDD">
      <w:pPr>
        <w:rPr>
          <w:rFonts w:ascii="Arial" w:hAnsi="Arial" w:cs="Arial"/>
          <w:b/>
          <w:bCs/>
          <w:sz w:val="24"/>
          <w:szCs w:val="24"/>
        </w:rPr>
      </w:pPr>
    </w:p>
    <w:p w14:paraId="15161843" w14:textId="77777777" w:rsidR="00D21390" w:rsidRDefault="00D21390" w:rsidP="00B44DDD">
      <w:pPr>
        <w:rPr>
          <w:rFonts w:ascii="Arial" w:hAnsi="Arial" w:cs="Arial"/>
          <w:b/>
          <w:bCs/>
          <w:sz w:val="24"/>
          <w:szCs w:val="24"/>
        </w:rPr>
      </w:pPr>
    </w:p>
    <w:p w14:paraId="4EBD5C88" w14:textId="77777777" w:rsidR="00D21390" w:rsidRDefault="00D21390" w:rsidP="00B44DDD">
      <w:pPr>
        <w:rPr>
          <w:rFonts w:ascii="Arial" w:hAnsi="Arial" w:cs="Arial"/>
          <w:sz w:val="24"/>
          <w:szCs w:val="24"/>
        </w:rPr>
      </w:pPr>
    </w:p>
    <w:p w14:paraId="2891C7DE" w14:textId="7EA65950" w:rsidR="00B44DDD" w:rsidRPr="00A82725" w:rsidRDefault="00B44DDD" w:rsidP="00D21390">
      <w:pPr>
        <w:pStyle w:val="Heading1"/>
        <w:rPr>
          <w:rFonts w:ascii="Arial" w:hAnsi="Arial" w:cs="Arial"/>
          <w:b/>
          <w:bCs/>
          <w:color w:val="000000" w:themeColor="text1"/>
          <w:sz w:val="24"/>
          <w:szCs w:val="24"/>
        </w:rPr>
      </w:pPr>
      <w:bookmarkStart w:id="1" w:name="_Toc214046170"/>
      <w:r w:rsidRPr="00A82725">
        <w:rPr>
          <w:rFonts w:ascii="Arial" w:hAnsi="Arial" w:cs="Arial"/>
          <w:b/>
          <w:bCs/>
          <w:color w:val="000000" w:themeColor="text1"/>
          <w:sz w:val="24"/>
          <w:szCs w:val="24"/>
        </w:rPr>
        <w:lastRenderedPageBreak/>
        <w:t>Introduction</w:t>
      </w:r>
      <w:bookmarkEnd w:id="1"/>
    </w:p>
    <w:p w14:paraId="466435B4" w14:textId="1A7DAB7F" w:rsidR="00B44DDD" w:rsidRPr="00B44DDD" w:rsidRDefault="00B44DDD" w:rsidP="00B44DDD">
      <w:pPr>
        <w:rPr>
          <w:rFonts w:ascii="Arial" w:hAnsi="Arial" w:cs="Arial"/>
          <w:sz w:val="24"/>
          <w:szCs w:val="24"/>
        </w:rPr>
      </w:pPr>
      <w:r w:rsidRPr="00B44DDD">
        <w:rPr>
          <w:rFonts w:ascii="Arial" w:hAnsi="Arial" w:cs="Arial"/>
          <w:sz w:val="24"/>
          <w:szCs w:val="24"/>
        </w:rPr>
        <w:t>The gastronomy industry is characterised by rapid innovation, changing consumer behaviour, and intense competition (Ottenbacher and Harrington, 2009). These dynamics require hospitality businesses to continuously adapt and reassess their strategic positioning to remain relevant and competitive. Within this context, achieving a sustainable competitive advantage is essential for long-term success. Restaurants and country houses must integrate innovation, service quality, and operational efficiency to strengthen their market presence and maintain profitability (Rhou and Koh, 2014; Wu et al., 2023). However, many establishments in the hospitality sector focus on short-term gains rather than strategic alignment, limiting their ability to respond effectively to market instability and changing guest expectations (Alonso-Almeida et al., 2015).</w:t>
      </w:r>
    </w:p>
    <w:p w14:paraId="2CADED1B" w14:textId="6228DCB5" w:rsidR="00B44DDD" w:rsidRPr="00B44DDD" w:rsidRDefault="00B44DDD" w:rsidP="00B44DDD">
      <w:pPr>
        <w:rPr>
          <w:rFonts w:ascii="Arial" w:hAnsi="Arial" w:cs="Arial"/>
          <w:sz w:val="24"/>
          <w:szCs w:val="24"/>
        </w:rPr>
      </w:pPr>
      <w:r w:rsidRPr="00B44DDD">
        <w:rPr>
          <w:rFonts w:ascii="Arial" w:hAnsi="Arial" w:cs="Arial"/>
          <w:sz w:val="24"/>
          <w:szCs w:val="24"/>
        </w:rPr>
        <w:t>This consultancy report critically evaluates the strategic position of Parc Le Breos, a country house and restaurant located within the Gower in Swansea. The analysis is based on publicly available information, including the venue’s official website, public listings, and guest reviews, and situates these findings within established theories of hospitality management, service quality, and strategic planning. The aim is to assess how Parc Le Breos currently competes, identify operational and strategic weaknesses that may hinder sustainable growth, and develop evidence-based recommendations that align with the principles of rural hospitality management.</w:t>
      </w:r>
    </w:p>
    <w:p w14:paraId="41BDB8C1" w14:textId="54A80716" w:rsidR="00B44DDD" w:rsidRPr="00B44DDD" w:rsidRDefault="00B44DDD" w:rsidP="00B44DDD">
      <w:pPr>
        <w:rPr>
          <w:rFonts w:ascii="Arial" w:hAnsi="Arial" w:cs="Arial"/>
          <w:sz w:val="24"/>
          <w:szCs w:val="24"/>
        </w:rPr>
      </w:pPr>
      <w:r w:rsidRPr="00B44DDD">
        <w:rPr>
          <w:rFonts w:ascii="Arial" w:hAnsi="Arial" w:cs="Arial"/>
          <w:sz w:val="24"/>
          <w:szCs w:val="24"/>
        </w:rPr>
        <w:t>The purpose of this consultancy report is therefore to provide a critical strategic evaluation of Parc Le Breos’ operations, competitive environment, and long-term sustainability. By applying key strategic management frameworks, the analysis identifies both strengths and performance gaps to support improvement and strategic development. The consultancy approach combines academic theory with practical insight to enhance decision-making and promote organisational growth (Kotler et al., 2022).</w:t>
      </w:r>
    </w:p>
    <w:p w14:paraId="26658FDE" w14:textId="2BDADEE7" w:rsidR="00B44DDD" w:rsidRPr="00A82725" w:rsidRDefault="00B44DDD" w:rsidP="00A82725">
      <w:pPr>
        <w:pStyle w:val="Heading1"/>
        <w:rPr>
          <w:rFonts w:ascii="Arial" w:hAnsi="Arial" w:cs="Arial"/>
          <w:b/>
          <w:bCs/>
          <w:color w:val="000000" w:themeColor="text1"/>
          <w:sz w:val="24"/>
          <w:szCs w:val="24"/>
        </w:rPr>
      </w:pPr>
      <w:bookmarkStart w:id="2" w:name="_Toc214046171"/>
      <w:r w:rsidRPr="00A82725">
        <w:rPr>
          <w:rFonts w:ascii="Arial" w:hAnsi="Arial" w:cs="Arial"/>
          <w:b/>
          <w:bCs/>
          <w:color w:val="000000" w:themeColor="text1"/>
          <w:sz w:val="24"/>
          <w:szCs w:val="24"/>
        </w:rPr>
        <w:t>Restaurant Profile and Strategic Direction</w:t>
      </w:r>
      <w:bookmarkEnd w:id="2"/>
    </w:p>
    <w:p w14:paraId="2290F202" w14:textId="4D24B015" w:rsidR="00B44DDD" w:rsidRPr="00B44DDD" w:rsidRDefault="00B44DDD" w:rsidP="00B44DDD">
      <w:pPr>
        <w:rPr>
          <w:rFonts w:ascii="Arial" w:hAnsi="Arial" w:cs="Arial"/>
          <w:b/>
          <w:bCs/>
          <w:sz w:val="24"/>
          <w:szCs w:val="24"/>
        </w:rPr>
      </w:pPr>
      <w:r w:rsidRPr="00B44DDD">
        <w:rPr>
          <w:rFonts w:ascii="Arial" w:hAnsi="Arial" w:cs="Arial"/>
          <w:b/>
          <w:bCs/>
          <w:sz w:val="24"/>
          <w:szCs w:val="24"/>
        </w:rPr>
        <w:t>Business Overview</w:t>
      </w:r>
    </w:p>
    <w:p w14:paraId="16394588" w14:textId="475B8235" w:rsidR="00B44DDD" w:rsidRPr="00B44DDD" w:rsidRDefault="00B44DDD" w:rsidP="00B44DDD">
      <w:pPr>
        <w:rPr>
          <w:rFonts w:ascii="Arial" w:hAnsi="Arial" w:cs="Arial"/>
          <w:sz w:val="24"/>
          <w:szCs w:val="24"/>
        </w:rPr>
      </w:pPr>
      <w:r w:rsidRPr="00B44DDD">
        <w:rPr>
          <w:rFonts w:ascii="Arial" w:hAnsi="Arial" w:cs="Arial"/>
          <w:sz w:val="24"/>
          <w:szCs w:val="24"/>
        </w:rPr>
        <w:t>Parc Le Breos (2025) is a nineteenth-century property transformed into a country house and restaurant. It presents itself as a relaxed, informal countryside venue, emphasising fresh, seasonal local produce, a kitchen garden, and an intimate rural experience (Parc Le Breos, 2025). While no formal mission statement is published, the business communicates values of authenticity, sustainability, and locality, consistent with a place-based differentiation strategy that appeals to guests seeking genuine rural experiences (Ottenbacher &amp; Harrington, 2009).</w:t>
      </w:r>
    </w:p>
    <w:p w14:paraId="10845F62" w14:textId="6AB8FC8D" w:rsidR="00711E04" w:rsidRPr="00D21390" w:rsidRDefault="00B44DDD" w:rsidP="00B44DDD">
      <w:pPr>
        <w:rPr>
          <w:rFonts w:ascii="Arial" w:hAnsi="Arial" w:cs="Arial"/>
          <w:sz w:val="24"/>
          <w:szCs w:val="24"/>
        </w:rPr>
      </w:pPr>
      <w:r w:rsidRPr="00B44DDD">
        <w:rPr>
          <w:rFonts w:ascii="Arial" w:hAnsi="Arial" w:cs="Arial"/>
          <w:sz w:val="24"/>
          <w:szCs w:val="24"/>
        </w:rPr>
        <w:t>According to the UK Standard Industrial Classification (SIC), Parc Le Breos is registered under SIC code 68201 – “Renting and operating of Housing Association real estate” (GOV.UK, 2024). This indicates that the property’s primary legal and operational focus lies within accommodation services, while the restaurant functions as an integral component of the broader hospitality offering. Strategically, this operational model allows the venue to diversify revenue streams through lodging, dining, and events, enhancing financial resilience within the competitive rural tourism and gastronomy sector (Morrison, 2020). External factors impacting PLB’s operations, including political, economic, and social considerations, are detailed in the PESTLE analysis (Appendix B).</w:t>
      </w:r>
    </w:p>
    <w:p w14:paraId="62D438E2" w14:textId="428557C1" w:rsidR="00B44DDD" w:rsidRPr="00B44DDD" w:rsidRDefault="00B44DDD" w:rsidP="00B44DDD">
      <w:pPr>
        <w:rPr>
          <w:rFonts w:ascii="Arial" w:hAnsi="Arial" w:cs="Arial"/>
          <w:b/>
          <w:bCs/>
          <w:sz w:val="24"/>
          <w:szCs w:val="24"/>
        </w:rPr>
      </w:pPr>
      <w:r w:rsidRPr="00B44DDD">
        <w:rPr>
          <w:rFonts w:ascii="Arial" w:hAnsi="Arial" w:cs="Arial"/>
          <w:b/>
          <w:bCs/>
          <w:sz w:val="24"/>
          <w:szCs w:val="24"/>
        </w:rPr>
        <w:t>Strategic Aims</w:t>
      </w:r>
    </w:p>
    <w:p w14:paraId="02972B71" w14:textId="77777777" w:rsidR="00B44DDD" w:rsidRPr="00B44DDD" w:rsidRDefault="00B44DDD" w:rsidP="00B44DDD">
      <w:pPr>
        <w:rPr>
          <w:rFonts w:ascii="Arial" w:hAnsi="Arial" w:cs="Arial"/>
          <w:sz w:val="24"/>
          <w:szCs w:val="24"/>
        </w:rPr>
      </w:pPr>
      <w:r w:rsidRPr="00B44DDD">
        <w:rPr>
          <w:rFonts w:ascii="Arial" w:hAnsi="Arial" w:cs="Arial"/>
          <w:sz w:val="24"/>
          <w:szCs w:val="24"/>
        </w:rPr>
        <w:t xml:space="preserve">Parc Le Breos (PLB) operates in the casual-premium rural gastronomy sector, targeting local consumers and visiting tourists seeking authentic, experience-driven dining. The restaurant’s differentiation strategy is built on unique assets such as its scenic location, integrated accommodation, kitchen garden and locally sourced seasonal ingredients, and personalised </w:t>
      </w:r>
      <w:r w:rsidRPr="00B44DDD">
        <w:rPr>
          <w:rFonts w:ascii="Arial" w:hAnsi="Arial" w:cs="Arial"/>
          <w:sz w:val="24"/>
          <w:szCs w:val="24"/>
        </w:rPr>
        <w:lastRenderedPageBreak/>
        <w:t>service model. These elements create a distinctive value proposition, prioritising experience and authenticity over cost competition (Porter, 2008).</w:t>
      </w:r>
    </w:p>
    <w:p w14:paraId="119EE4CE" w14:textId="1945F5E8" w:rsidR="00B44DDD" w:rsidRPr="00B44DDD" w:rsidRDefault="00B44DDD" w:rsidP="00B44DDD">
      <w:pPr>
        <w:rPr>
          <w:rFonts w:ascii="Arial" w:hAnsi="Arial" w:cs="Arial"/>
          <w:sz w:val="24"/>
          <w:szCs w:val="24"/>
        </w:rPr>
      </w:pPr>
      <w:r w:rsidRPr="00B44DDD">
        <w:rPr>
          <w:rFonts w:ascii="Arial" w:hAnsi="Arial" w:cs="Arial"/>
          <w:sz w:val="24"/>
          <w:szCs w:val="24"/>
        </w:rPr>
        <w:t>A critical assessment reveals that realising this differentiation depends on converting these assets into consistent operational performance. Internally, service inconsistencies during peak periods, limited digital marketing, and a small workforce constrain scalability and service quality (Oliveras-Villanueva et al., 2020). Seasonal ingredients, while reinforcing authenticity, introduce variability that can disrupt menus and affect customer satisfaction (Sims, 2009). These internal weaknesses indicate that operational improvement, workforce planning, and digital marketing investment are urgent priorities to sustain competitive advantage.</w:t>
      </w:r>
    </w:p>
    <w:p w14:paraId="310A041B" w14:textId="2BF77922" w:rsidR="00B44DDD" w:rsidRPr="00B44DDD" w:rsidRDefault="00B44DDD" w:rsidP="00B44DDD">
      <w:pPr>
        <w:rPr>
          <w:rFonts w:ascii="Arial" w:hAnsi="Arial" w:cs="Arial"/>
          <w:sz w:val="24"/>
          <w:szCs w:val="24"/>
        </w:rPr>
      </w:pPr>
      <w:r w:rsidRPr="00B44DDD">
        <w:rPr>
          <w:rFonts w:ascii="Arial" w:hAnsi="Arial" w:cs="Arial"/>
          <w:sz w:val="24"/>
          <w:szCs w:val="24"/>
        </w:rPr>
        <w:t>Externally, PLB has opportunities to collaborate with local tourism boards, enhance digital marketing, and diversify revenue streams through events, weddings, and themed dinners. These initiatives can increase footfall, attract new customer segments, and strengthen the restaurant’s brand positioning. However, such opportunities can only be fully exploited if internal operational capabilities are aligned and influenced by external political, economic, and social factors, as summarised in the PESTLE analysis (Appendix B), since digital marketing alone cannot offset service inconsistencies (Reklitis et al., 2025; Wu et al., 2010).</w:t>
      </w:r>
    </w:p>
    <w:p w14:paraId="54BBDF9B" w14:textId="4FEEDB80" w:rsidR="00B44DDD" w:rsidRPr="00B44DDD" w:rsidRDefault="00B44DDD" w:rsidP="00B44DDD">
      <w:pPr>
        <w:rPr>
          <w:rFonts w:ascii="Arial" w:hAnsi="Arial" w:cs="Arial"/>
          <w:sz w:val="24"/>
          <w:szCs w:val="24"/>
        </w:rPr>
      </w:pPr>
      <w:r w:rsidRPr="00B44DDD">
        <w:rPr>
          <w:rFonts w:ascii="Arial" w:hAnsi="Arial" w:cs="Arial"/>
          <w:sz w:val="24"/>
          <w:szCs w:val="24"/>
        </w:rPr>
        <w:t>Threats include rising labour and ingredient costs, regional fine-dining competition, and substitute leisure and casual-dining options. Given PLB’s small workforce and rural location, these threats are particularly significant and could erode market share if internal weaknesses persist (Oliveras-Villanueva, Llach &amp; Perramon, 2020). These external pressures are reflected in the PESTLE analysis (Appendix B), highlighting the importance of operational efficiency and strategic resource management. Consequently, strategic focus should be placed on strengthening operational efficiency, workforce capacity, and menu consistency to mitigate these risks.</w:t>
      </w:r>
    </w:p>
    <w:p w14:paraId="6D848766" w14:textId="1967A8A6" w:rsidR="00B44DDD" w:rsidRPr="00B44DDD" w:rsidRDefault="00B44DDD" w:rsidP="00B44DDD">
      <w:pPr>
        <w:rPr>
          <w:rFonts w:ascii="Arial" w:hAnsi="Arial" w:cs="Arial"/>
          <w:sz w:val="24"/>
          <w:szCs w:val="24"/>
        </w:rPr>
      </w:pPr>
      <w:r w:rsidRPr="00B44DDD">
        <w:rPr>
          <w:rFonts w:ascii="Arial" w:hAnsi="Arial" w:cs="Arial"/>
          <w:sz w:val="24"/>
          <w:szCs w:val="24"/>
        </w:rPr>
        <w:t>Applying Porter’s (1985) differentiation framework confirms that PLB is strategically positioned to target niche consumers prioritising authenticity, provenance, sustainability, and experience. Critical evaluation indicates that differentiation will remain sustainable only if internal resources and capabilities are managed effectively. The interplay between strengths, weaknesses, opportunities, and threats underscores the importance of aligning operational realities with strategic ambitions: internal consolidation must precede expansion into events, digital growth, and broader marketing initiatives.</w:t>
      </w:r>
    </w:p>
    <w:p w14:paraId="3179C15A" w14:textId="38BDB867" w:rsidR="00B44DDD" w:rsidRPr="00B44DDD" w:rsidRDefault="00B44DDD" w:rsidP="00B44DDD">
      <w:pPr>
        <w:rPr>
          <w:rFonts w:ascii="Arial" w:hAnsi="Arial" w:cs="Arial"/>
          <w:sz w:val="24"/>
          <w:szCs w:val="24"/>
        </w:rPr>
      </w:pPr>
      <w:r w:rsidRPr="00B44DDD">
        <w:rPr>
          <w:rFonts w:ascii="Arial" w:hAnsi="Arial" w:cs="Arial"/>
          <w:sz w:val="24"/>
          <w:szCs w:val="24"/>
        </w:rPr>
        <w:t>Appendix A: Detailed SWOT analysis table for Parc Le Breos.</w:t>
      </w:r>
    </w:p>
    <w:p w14:paraId="26FB7243" w14:textId="77777777" w:rsidR="00B44DDD" w:rsidRPr="00A82725" w:rsidRDefault="00B44DDD" w:rsidP="00A82725">
      <w:pPr>
        <w:pStyle w:val="Heading1"/>
        <w:rPr>
          <w:rFonts w:ascii="Arial" w:hAnsi="Arial" w:cs="Arial"/>
          <w:b/>
          <w:bCs/>
          <w:color w:val="000000" w:themeColor="text1"/>
          <w:sz w:val="24"/>
          <w:szCs w:val="24"/>
        </w:rPr>
      </w:pPr>
      <w:bookmarkStart w:id="3" w:name="_Toc214046172"/>
      <w:r w:rsidRPr="00A82725">
        <w:rPr>
          <w:rFonts w:ascii="Arial" w:hAnsi="Arial" w:cs="Arial"/>
          <w:b/>
          <w:bCs/>
          <w:color w:val="000000" w:themeColor="text1"/>
          <w:sz w:val="24"/>
          <w:szCs w:val="24"/>
        </w:rPr>
        <w:t>Facilities, Services and Organisational Structure</w:t>
      </w:r>
      <w:bookmarkEnd w:id="3"/>
    </w:p>
    <w:p w14:paraId="2318604D" w14:textId="615827ED" w:rsidR="00B44DDD" w:rsidRPr="00B44DDD" w:rsidRDefault="00B44DDD" w:rsidP="00B44DDD">
      <w:pPr>
        <w:rPr>
          <w:rFonts w:ascii="Arial" w:hAnsi="Arial" w:cs="Arial"/>
          <w:b/>
          <w:bCs/>
          <w:sz w:val="24"/>
          <w:szCs w:val="24"/>
        </w:rPr>
      </w:pPr>
      <w:r w:rsidRPr="00B44DDD">
        <w:rPr>
          <w:rFonts w:ascii="Arial" w:hAnsi="Arial" w:cs="Arial"/>
          <w:b/>
          <w:bCs/>
          <w:sz w:val="24"/>
          <w:szCs w:val="24"/>
        </w:rPr>
        <w:t>Facilities</w:t>
      </w:r>
    </w:p>
    <w:p w14:paraId="3C0B7346" w14:textId="0E008724" w:rsidR="00B44DDD" w:rsidRPr="00B44DDD" w:rsidRDefault="00B44DDD" w:rsidP="00B44DDD">
      <w:pPr>
        <w:rPr>
          <w:rFonts w:ascii="Arial" w:hAnsi="Arial" w:cs="Arial"/>
          <w:sz w:val="24"/>
          <w:szCs w:val="24"/>
        </w:rPr>
      </w:pPr>
      <w:r w:rsidRPr="00B44DDD">
        <w:rPr>
          <w:rFonts w:ascii="Arial" w:hAnsi="Arial" w:cs="Arial"/>
          <w:sz w:val="24"/>
          <w:szCs w:val="24"/>
        </w:rPr>
        <w:t>The main dining room, accommodating around 40 covers, provides a refined yet comfortable environment, while the Garden Room offers a private, intimate setting suitable for smaller groups. This spatial flexibility supports different guest segments such as romantic diners, family groups, and event guests, reinforcing Hemmington’s (2007) idea of hospitality as “an experience of generosity.”</w:t>
      </w:r>
    </w:p>
    <w:p w14:paraId="4E129DBD" w14:textId="454D33F7" w:rsidR="00B44DDD" w:rsidRPr="00B44DDD" w:rsidRDefault="00B44DDD" w:rsidP="00B44DDD">
      <w:pPr>
        <w:rPr>
          <w:rFonts w:ascii="Arial" w:hAnsi="Arial" w:cs="Arial"/>
          <w:sz w:val="24"/>
          <w:szCs w:val="24"/>
        </w:rPr>
      </w:pPr>
      <w:r w:rsidRPr="00B44DDD">
        <w:rPr>
          <w:rFonts w:ascii="Arial" w:hAnsi="Arial" w:cs="Arial"/>
          <w:sz w:val="24"/>
          <w:szCs w:val="24"/>
        </w:rPr>
        <w:t>The outdoor terrace and kitchen garden extend this experience outdoors, encouraging al fresco dining and direct engagement with the restaurant’s farm-to-table ethos. Guests can see seasonal produce cultivated on-site, strengthening the sense of authenticity and provenance central to the “local foodscape” described by Sims (2009). Outdoor dining further supports sustainability and health-conscious trends within rural tourism (Lane &amp; Kastenholz, 2022).</w:t>
      </w:r>
    </w:p>
    <w:p w14:paraId="45B8636D" w14:textId="3DCF53F0" w:rsidR="00B44DDD" w:rsidRPr="00B44DDD" w:rsidRDefault="00B44DDD" w:rsidP="00B44DDD">
      <w:pPr>
        <w:rPr>
          <w:rFonts w:ascii="Arial" w:hAnsi="Arial" w:cs="Arial"/>
          <w:sz w:val="24"/>
          <w:szCs w:val="24"/>
        </w:rPr>
      </w:pPr>
      <w:r w:rsidRPr="00B44DDD">
        <w:rPr>
          <w:rFonts w:ascii="Arial" w:hAnsi="Arial" w:cs="Arial"/>
          <w:sz w:val="24"/>
          <w:szCs w:val="24"/>
        </w:rPr>
        <w:t xml:space="preserve">The venue’s boutique accommodation complements the restaurant by promoting overnight stays, cross-selling dining services, and increasing repeat patronage (Hemmington, 2007). PLB also </w:t>
      </w:r>
      <w:r w:rsidRPr="00B44DDD">
        <w:rPr>
          <w:rFonts w:ascii="Arial" w:hAnsi="Arial" w:cs="Arial"/>
          <w:sz w:val="24"/>
          <w:szCs w:val="24"/>
        </w:rPr>
        <w:lastRenderedPageBreak/>
        <w:t>provides event spaces for weddings, retreats, and themed dinners, diversifying revenue streams while reinforcing the brand’s premium, experiential positioning (Ottenbacher &amp; Harrington, 2009).</w:t>
      </w:r>
    </w:p>
    <w:p w14:paraId="072C55BD" w14:textId="55D3E36C" w:rsidR="00B44DDD" w:rsidRPr="00B44DDD" w:rsidRDefault="00B44DDD" w:rsidP="00B44DDD">
      <w:pPr>
        <w:rPr>
          <w:rFonts w:ascii="Arial" w:hAnsi="Arial" w:cs="Arial"/>
          <w:b/>
          <w:bCs/>
          <w:sz w:val="24"/>
          <w:szCs w:val="24"/>
        </w:rPr>
      </w:pPr>
      <w:r w:rsidRPr="00B44DDD">
        <w:rPr>
          <w:rFonts w:ascii="Arial" w:hAnsi="Arial" w:cs="Arial"/>
          <w:b/>
          <w:bCs/>
          <w:sz w:val="24"/>
          <w:szCs w:val="24"/>
        </w:rPr>
        <w:t>Menu Offerings</w:t>
      </w:r>
    </w:p>
    <w:p w14:paraId="5A6998FC" w14:textId="28606F0E" w:rsidR="00B44DDD" w:rsidRPr="00B44DDD" w:rsidRDefault="00B44DDD" w:rsidP="00B44DDD">
      <w:pPr>
        <w:rPr>
          <w:rFonts w:ascii="Arial" w:hAnsi="Arial" w:cs="Arial"/>
          <w:sz w:val="24"/>
          <w:szCs w:val="24"/>
        </w:rPr>
      </w:pPr>
      <w:r w:rsidRPr="00B44DDD">
        <w:rPr>
          <w:rFonts w:ascii="Arial" w:hAnsi="Arial" w:cs="Arial"/>
          <w:sz w:val="24"/>
          <w:szCs w:val="24"/>
        </w:rPr>
        <w:t>The menu at PLB is crafted with a strong focus on Welsh provenance, modern European culinary techniques, and locally sourced ingredients. Seasonal produce is central to the dining experience, reflecting the restaurant’s close connection to its surroundings. Many of the ingredients used in the dishes are homegrown on-site, while additional produce is sourced from trusted local farms and suppliers.</w:t>
      </w:r>
    </w:p>
    <w:p w14:paraId="201EE546"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Homegrown Produce</w:t>
      </w:r>
    </w:p>
    <w:p w14:paraId="47C0DF6D" w14:textId="3CC879C8" w:rsidR="00B44DDD" w:rsidRPr="00B44DDD" w:rsidRDefault="00B44DDD" w:rsidP="00B44DDD">
      <w:pPr>
        <w:rPr>
          <w:rFonts w:ascii="Arial" w:hAnsi="Arial" w:cs="Arial"/>
          <w:sz w:val="24"/>
          <w:szCs w:val="24"/>
        </w:rPr>
      </w:pPr>
      <w:r w:rsidRPr="00B44DDD">
        <w:rPr>
          <w:rFonts w:ascii="Arial" w:hAnsi="Arial" w:cs="Arial"/>
          <w:sz w:val="24"/>
          <w:szCs w:val="24"/>
        </w:rPr>
        <w:t>PLB maintains a productive kitchen garden, growing fruits and vegetables that feature prominently across the menu. Seasonal crops include rhubarb, apples, plums, gooseberries, red and black currants, figs, grapes, and raspberries. Vegetables grown on-site include tomatoes, cucumbers, marrows, gourds, beetroot, lettuces and salad leaves, broccoli, cabbage, cauliflower, kohlrabi, asparagus, and a variety of herbs. The property also keeps honeybee hives, managed responsibly by staff to ensure both safety and sustainability.</w:t>
      </w:r>
    </w:p>
    <w:p w14:paraId="4D482985"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Local Suppliers</w:t>
      </w:r>
    </w:p>
    <w:p w14:paraId="5F959DD2" w14:textId="71F4B56F" w:rsidR="00B44DDD" w:rsidRPr="00B44DDD" w:rsidRDefault="00B44DDD" w:rsidP="00B44DDD">
      <w:pPr>
        <w:rPr>
          <w:rFonts w:ascii="Arial" w:hAnsi="Arial" w:cs="Arial"/>
          <w:sz w:val="24"/>
          <w:szCs w:val="24"/>
        </w:rPr>
      </w:pPr>
      <w:r w:rsidRPr="00B44DDD">
        <w:rPr>
          <w:rFonts w:ascii="Arial" w:hAnsi="Arial" w:cs="Arial"/>
          <w:sz w:val="24"/>
          <w:szCs w:val="24"/>
        </w:rPr>
        <w:t>For ingredients not cultivated on-site, PLB works closely with a network of local suppliers and neighbouring farms. Guests can expect to encounter dishes based on regional or traditional family recipes, highlighting Welsh delicacies such as cockles, laverbread, and Welsh cakes. The restaurant also offers a carefully curated beverage selection, including Welsh wines, spirits, and locally brewed beers such as Gower Gold. Key suppliers include Swansea Fish, Gower Butchers, Welsh Brew Tea, Ferrari’s Coffee, Snowdonia Cheese, Celtic Coast, and Stoney Forge Dairy, among others.</w:t>
      </w:r>
    </w:p>
    <w:p w14:paraId="35CC6F3A" w14:textId="53E163FA" w:rsidR="00B44DDD" w:rsidRPr="00B44DDD" w:rsidRDefault="00B44DDD" w:rsidP="00B44DDD">
      <w:pPr>
        <w:rPr>
          <w:rFonts w:ascii="Arial" w:hAnsi="Arial" w:cs="Arial"/>
          <w:sz w:val="24"/>
          <w:szCs w:val="24"/>
        </w:rPr>
      </w:pPr>
      <w:r w:rsidRPr="00B44DDD">
        <w:rPr>
          <w:rFonts w:ascii="Arial" w:hAnsi="Arial" w:cs="Arial"/>
          <w:sz w:val="24"/>
          <w:szCs w:val="24"/>
        </w:rPr>
        <w:t>Appendix C: Example Menu.</w:t>
      </w:r>
    </w:p>
    <w:p w14:paraId="1E65A2CE" w14:textId="08C54304" w:rsidR="00B44DDD" w:rsidRPr="00B44DDD" w:rsidRDefault="00B44DDD" w:rsidP="00B44DDD">
      <w:pPr>
        <w:rPr>
          <w:rFonts w:ascii="Arial" w:hAnsi="Arial" w:cs="Arial"/>
          <w:sz w:val="24"/>
          <w:szCs w:val="24"/>
        </w:rPr>
      </w:pPr>
      <w:r w:rsidRPr="00B44DDD">
        <w:rPr>
          <w:rFonts w:ascii="Arial" w:hAnsi="Arial" w:cs="Arial"/>
          <w:sz w:val="24"/>
          <w:szCs w:val="24"/>
        </w:rPr>
        <w:t>This approach ensures that Parc Le Breos offers guests a distinctive and authentic culinary experience, emphasising seasonality, locality, and innovation while supporting sustainable and responsible sourcing practices.</w:t>
      </w:r>
    </w:p>
    <w:p w14:paraId="38C7EAAA" w14:textId="12A8B816" w:rsidR="00B44DDD" w:rsidRPr="00B44DDD" w:rsidRDefault="00B44DDD" w:rsidP="00B44DDD">
      <w:pPr>
        <w:rPr>
          <w:rFonts w:ascii="Arial" w:hAnsi="Arial" w:cs="Arial"/>
          <w:b/>
          <w:bCs/>
          <w:sz w:val="24"/>
          <w:szCs w:val="24"/>
        </w:rPr>
      </w:pPr>
      <w:r w:rsidRPr="00B44DDD">
        <w:rPr>
          <w:rFonts w:ascii="Arial" w:hAnsi="Arial" w:cs="Arial"/>
          <w:b/>
          <w:bCs/>
          <w:sz w:val="24"/>
          <w:szCs w:val="24"/>
        </w:rPr>
        <w:t>Organisational Structure</w:t>
      </w:r>
    </w:p>
    <w:p w14:paraId="675A8B72" w14:textId="77D934AF" w:rsidR="00B44DDD" w:rsidRPr="00B44DDD" w:rsidRDefault="00711E04" w:rsidP="00B44DDD">
      <w:pPr>
        <w:rPr>
          <w:rFonts w:ascii="Arial" w:hAnsi="Arial" w:cs="Arial"/>
          <w:sz w:val="24"/>
          <w:szCs w:val="24"/>
        </w:rPr>
      </w:pPr>
      <w:r>
        <w:rPr>
          <w:rFonts w:ascii="Arial" w:hAnsi="Arial" w:cs="Arial"/>
          <w:sz w:val="24"/>
          <w:szCs w:val="24"/>
        </w:rPr>
        <w:t xml:space="preserve">It’s been </w:t>
      </w:r>
      <w:r w:rsidR="0020141A">
        <w:rPr>
          <w:rFonts w:ascii="Arial" w:hAnsi="Arial" w:cs="Arial"/>
          <w:sz w:val="24"/>
          <w:szCs w:val="24"/>
        </w:rPr>
        <w:t>noted</w:t>
      </w:r>
      <w:r>
        <w:rPr>
          <w:rFonts w:ascii="Arial" w:hAnsi="Arial" w:cs="Arial"/>
          <w:sz w:val="24"/>
          <w:szCs w:val="24"/>
        </w:rPr>
        <w:t xml:space="preserve"> that </w:t>
      </w:r>
      <w:r w:rsidR="00B44DDD" w:rsidRPr="00B44DDD">
        <w:rPr>
          <w:rFonts w:ascii="Arial" w:hAnsi="Arial" w:cs="Arial"/>
          <w:sz w:val="24"/>
          <w:szCs w:val="24"/>
        </w:rPr>
        <w:t>PLB operates with a flat yet functional hierarchy, allowing operational flexibility and cross-functional collaboration.</w:t>
      </w:r>
    </w:p>
    <w:p w14:paraId="3C72F4EC" w14:textId="77777777" w:rsidR="0020141A" w:rsidRDefault="00B44DDD" w:rsidP="00B44DDD">
      <w:pPr>
        <w:rPr>
          <w:rFonts w:ascii="Arial" w:hAnsi="Arial" w:cs="Arial"/>
          <w:b/>
          <w:bCs/>
          <w:color w:val="000000" w:themeColor="text1"/>
          <w:sz w:val="24"/>
          <w:szCs w:val="24"/>
        </w:rPr>
      </w:pPr>
      <w:r w:rsidRPr="0020141A">
        <w:rPr>
          <w:rFonts w:ascii="Arial" w:hAnsi="Arial" w:cs="Arial"/>
          <w:b/>
          <w:bCs/>
          <w:color w:val="000000" w:themeColor="text1"/>
          <w:sz w:val="24"/>
          <w:szCs w:val="24"/>
        </w:rPr>
        <w:t>Organisational Chart</w:t>
      </w:r>
    </w:p>
    <w:tbl>
      <w:tblPr>
        <w:tblStyle w:val="GridTable4"/>
        <w:tblW w:w="0" w:type="auto"/>
        <w:tblLook w:val="04A0" w:firstRow="1" w:lastRow="0" w:firstColumn="1" w:lastColumn="0" w:noHBand="0" w:noVBand="1"/>
      </w:tblPr>
      <w:tblGrid>
        <w:gridCol w:w="5228"/>
        <w:gridCol w:w="5228"/>
      </w:tblGrid>
      <w:tr w:rsidR="00711E04" w14:paraId="64C40AF5" w14:textId="77777777" w:rsidTr="004A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2"/>
          </w:tcPr>
          <w:p w14:paraId="275AE305" w14:textId="6A487514" w:rsidR="00711E04" w:rsidRPr="0020141A" w:rsidRDefault="00711E04" w:rsidP="00711E04">
            <w:pPr>
              <w:jc w:val="center"/>
              <w:rPr>
                <w:rFonts w:ascii="Arial" w:hAnsi="Arial" w:cs="Arial"/>
                <w:b w:val="0"/>
                <w:bCs w:val="0"/>
                <w:color w:val="000000" w:themeColor="text1"/>
                <w:sz w:val="24"/>
                <w:szCs w:val="24"/>
              </w:rPr>
            </w:pPr>
            <w:r w:rsidRPr="0020141A">
              <w:rPr>
                <w:rFonts w:ascii="Arial" w:hAnsi="Arial" w:cs="Arial"/>
                <w:b w:val="0"/>
                <w:bCs w:val="0"/>
                <w:sz w:val="24"/>
                <w:szCs w:val="24"/>
              </w:rPr>
              <w:t>OWNER</w:t>
            </w:r>
          </w:p>
        </w:tc>
      </w:tr>
      <w:tr w:rsidR="0020141A" w14:paraId="1AD4FF79"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FE55888" w14:textId="49F8EFCF" w:rsidR="0020141A" w:rsidRPr="0020141A" w:rsidRDefault="0020141A"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Manager</w:t>
            </w:r>
          </w:p>
        </w:tc>
        <w:tc>
          <w:tcPr>
            <w:tcW w:w="5228" w:type="dxa"/>
          </w:tcPr>
          <w:p w14:paraId="2C823917" w14:textId="3C87668E" w:rsidR="0020141A" w:rsidRPr="00711E04" w:rsidRDefault="0020141A" w:rsidP="00711E0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Head Chef</w:t>
            </w:r>
          </w:p>
        </w:tc>
      </w:tr>
      <w:tr w:rsidR="0020141A" w14:paraId="4DA01D10"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78598FCF" w14:textId="703310D3" w:rsidR="0020141A" w:rsidRPr="0020141A"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Front of House</w:t>
            </w:r>
          </w:p>
        </w:tc>
        <w:tc>
          <w:tcPr>
            <w:tcW w:w="5228" w:type="dxa"/>
          </w:tcPr>
          <w:p w14:paraId="1EEEE3A6" w14:textId="7C78AA9B" w:rsidR="0020141A" w:rsidRPr="00711E04" w:rsidRDefault="0020141A" w:rsidP="00711E0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Sous Chef</w:t>
            </w:r>
          </w:p>
        </w:tc>
      </w:tr>
      <w:tr w:rsidR="0020141A" w14:paraId="4A4E22FB"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287CCC7" w14:textId="31769C1F" w:rsidR="0020141A" w:rsidRPr="0020141A"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Guest Service Staff</w:t>
            </w:r>
          </w:p>
        </w:tc>
        <w:tc>
          <w:tcPr>
            <w:tcW w:w="5228" w:type="dxa"/>
          </w:tcPr>
          <w:p w14:paraId="7EC79939" w14:textId="706A2BB0" w:rsidR="0020141A" w:rsidRPr="00711E04" w:rsidRDefault="00711E04" w:rsidP="00711E04">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711E04">
              <w:rPr>
                <w:rFonts w:ascii="Arial" w:hAnsi="Arial" w:cs="Arial"/>
                <w:color w:val="000000" w:themeColor="text1"/>
                <w:sz w:val="24"/>
                <w:szCs w:val="24"/>
              </w:rPr>
              <w:t>Kitchen Staff</w:t>
            </w:r>
          </w:p>
        </w:tc>
      </w:tr>
      <w:tr w:rsidR="00711E04" w14:paraId="0EBA3084" w14:textId="77777777" w:rsidTr="0074749C">
        <w:tc>
          <w:tcPr>
            <w:cnfStyle w:val="001000000000" w:firstRow="0" w:lastRow="0" w:firstColumn="1" w:lastColumn="0" w:oddVBand="0" w:evenVBand="0" w:oddHBand="0" w:evenHBand="0" w:firstRowFirstColumn="0" w:firstRowLastColumn="0" w:lastRowFirstColumn="0" w:lastRowLastColumn="0"/>
            <w:tcW w:w="10456" w:type="dxa"/>
            <w:gridSpan w:val="2"/>
          </w:tcPr>
          <w:p w14:paraId="221B5C8C" w14:textId="75E59B5C" w:rsidR="00711E04" w:rsidRDefault="00711E04" w:rsidP="00711E04">
            <w:pPr>
              <w:jc w:val="center"/>
              <w:rPr>
                <w:rFonts w:ascii="Arial" w:hAnsi="Arial" w:cs="Arial"/>
                <w:b w:val="0"/>
                <w:bCs w:val="0"/>
                <w:color w:val="000000" w:themeColor="text1"/>
                <w:sz w:val="24"/>
                <w:szCs w:val="24"/>
              </w:rPr>
            </w:pPr>
            <w:r>
              <w:rPr>
                <w:rFonts w:ascii="Arial" w:hAnsi="Arial" w:cs="Arial"/>
                <w:b w:val="0"/>
                <w:bCs w:val="0"/>
                <w:color w:val="000000" w:themeColor="text1"/>
                <w:sz w:val="24"/>
                <w:szCs w:val="24"/>
              </w:rPr>
              <w:t>Garden Staff</w:t>
            </w:r>
          </w:p>
        </w:tc>
      </w:tr>
    </w:tbl>
    <w:p w14:paraId="3A9D3217" w14:textId="7D6F934D" w:rsidR="00B44DDD" w:rsidRPr="00B44DDD" w:rsidRDefault="00B44DDD" w:rsidP="00B44DDD">
      <w:pPr>
        <w:rPr>
          <w:rFonts w:ascii="Arial" w:hAnsi="Arial" w:cs="Arial"/>
          <w:b/>
          <w:bCs/>
          <w:color w:val="EE0000"/>
          <w:sz w:val="24"/>
          <w:szCs w:val="24"/>
        </w:rPr>
      </w:pPr>
      <w:r w:rsidRPr="00B44DDD">
        <w:rPr>
          <w:rFonts w:ascii="Arial" w:hAnsi="Arial" w:cs="Arial"/>
          <w:b/>
          <w:bCs/>
          <w:color w:val="EE0000"/>
          <w:sz w:val="24"/>
          <w:szCs w:val="24"/>
        </w:rPr>
        <w:tab/>
      </w:r>
    </w:p>
    <w:p w14:paraId="41233199" w14:textId="54214D7E" w:rsidR="00B44DDD" w:rsidRPr="00B44DDD" w:rsidRDefault="00B44DDD" w:rsidP="00B44DDD">
      <w:pPr>
        <w:rPr>
          <w:rFonts w:ascii="Arial" w:hAnsi="Arial" w:cs="Arial"/>
          <w:sz w:val="24"/>
          <w:szCs w:val="24"/>
        </w:rPr>
      </w:pPr>
      <w:r w:rsidRPr="00B44DDD">
        <w:rPr>
          <w:rFonts w:ascii="Arial" w:hAnsi="Arial" w:cs="Arial"/>
          <w:sz w:val="24"/>
          <w:szCs w:val="24"/>
        </w:rPr>
        <w:t>This lean structure promotes rapid decision-making but increases reliance on key personnel, which can create operational risk during peak periods or staff absence (Evans, 2023).</w:t>
      </w:r>
    </w:p>
    <w:p w14:paraId="72A0657E" w14:textId="1CA6BCB5" w:rsidR="00B44DDD" w:rsidRPr="00B44DDD" w:rsidRDefault="00B44DDD" w:rsidP="00B44DDD">
      <w:pPr>
        <w:rPr>
          <w:rFonts w:ascii="Arial" w:hAnsi="Arial" w:cs="Arial"/>
          <w:b/>
          <w:bCs/>
          <w:sz w:val="24"/>
          <w:szCs w:val="24"/>
        </w:rPr>
      </w:pPr>
      <w:r w:rsidRPr="00B44DDD">
        <w:rPr>
          <w:rFonts w:ascii="Arial" w:hAnsi="Arial" w:cs="Arial"/>
          <w:b/>
          <w:bCs/>
          <w:sz w:val="24"/>
          <w:szCs w:val="24"/>
        </w:rPr>
        <w:t>Workforce Capabilities and Culture</w:t>
      </w:r>
    </w:p>
    <w:p w14:paraId="77094E6D" w14:textId="43A22EBD" w:rsidR="00B44DDD" w:rsidRPr="00B44DDD" w:rsidRDefault="00B44DDD" w:rsidP="00B44DDD">
      <w:pPr>
        <w:rPr>
          <w:rFonts w:ascii="Arial" w:hAnsi="Arial" w:cs="Arial"/>
          <w:sz w:val="24"/>
          <w:szCs w:val="24"/>
        </w:rPr>
      </w:pPr>
      <w:r w:rsidRPr="00B44DDD">
        <w:rPr>
          <w:rFonts w:ascii="Arial" w:hAnsi="Arial" w:cs="Arial"/>
          <w:sz w:val="24"/>
          <w:szCs w:val="24"/>
        </w:rPr>
        <w:t xml:space="preserve">Staff are trained to provide personalised service, manage dietary requests, and consistently deliver high-quality cuisine. Training is largely informal and experiential, consistent with trends in small hospitality operations with limited structured HR systems (Kodom-Wiredu, 2022; Canning, </w:t>
      </w:r>
      <w:r w:rsidRPr="00B44DDD">
        <w:rPr>
          <w:rFonts w:ascii="Arial" w:hAnsi="Arial" w:cs="Arial"/>
          <w:sz w:val="24"/>
          <w:szCs w:val="24"/>
        </w:rPr>
        <w:lastRenderedPageBreak/>
        <w:t>2011). While this encourages hands-on learning, it may result in inconsistencies in service quality and limit formal career progression (Caincross et al., 2008). Operational benchmarks suggest labour costs of 25–35% and overheads of 10–15% are standard for UK restaurants, highlighting the need for efficient workforce management (Accountants Ilkeston, 2025).</w:t>
      </w:r>
    </w:p>
    <w:p w14:paraId="3B12A189"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Evaluation</w:t>
      </w:r>
    </w:p>
    <w:p w14:paraId="2B9DDE8E" w14:textId="445267AF" w:rsidR="00B44DDD" w:rsidRPr="00B44DDD" w:rsidRDefault="00B44DDD" w:rsidP="00B44DDD">
      <w:pPr>
        <w:rPr>
          <w:rFonts w:ascii="Arial" w:hAnsi="Arial" w:cs="Arial"/>
          <w:sz w:val="24"/>
          <w:szCs w:val="24"/>
        </w:rPr>
      </w:pPr>
      <w:r w:rsidRPr="00B44DDD">
        <w:rPr>
          <w:rFonts w:ascii="Arial" w:hAnsi="Arial" w:cs="Arial"/>
          <w:sz w:val="24"/>
          <w:szCs w:val="24"/>
        </w:rPr>
        <w:t>PLB’s combination of dining, accommodation, and event facilities supports its premium market positioning and encourages longer guest stays (Hemmington, 2007). However, reliance on a small, skilled workforce constrains capacity during peak periods, risking service inconsistencies. The use of seasonal ingredients, while enhancing authenticity, introduces supply variability that must be managed strategically (Sims, 2009). To maintain service quality and operational efficiency, PLB should implement cross-training, structured training programmes, and digital management tools while leveraging its outdoor and heritage features to reinforce differentiation.</w:t>
      </w:r>
    </w:p>
    <w:p w14:paraId="70576AE9" w14:textId="492C4C69" w:rsidR="00B44DDD" w:rsidRPr="00A82725" w:rsidRDefault="00B44DDD" w:rsidP="00A82725">
      <w:pPr>
        <w:pStyle w:val="Heading1"/>
        <w:rPr>
          <w:rFonts w:ascii="Arial" w:hAnsi="Arial" w:cs="Arial"/>
          <w:b/>
          <w:bCs/>
          <w:color w:val="000000" w:themeColor="text1"/>
          <w:sz w:val="24"/>
          <w:szCs w:val="24"/>
        </w:rPr>
      </w:pPr>
      <w:bookmarkStart w:id="4" w:name="_Toc214046173"/>
      <w:r w:rsidRPr="00A82725">
        <w:rPr>
          <w:rFonts w:ascii="Arial" w:hAnsi="Arial" w:cs="Arial"/>
          <w:b/>
          <w:bCs/>
          <w:color w:val="000000" w:themeColor="text1"/>
          <w:sz w:val="24"/>
          <w:szCs w:val="24"/>
        </w:rPr>
        <w:t>Business Life Cycle Analysis</w:t>
      </w:r>
      <w:bookmarkEnd w:id="4"/>
    </w:p>
    <w:p w14:paraId="6C6F0FFD" w14:textId="476131D3" w:rsidR="00B44DDD" w:rsidRPr="00B44DDD" w:rsidRDefault="00B44DDD" w:rsidP="00B44DDD">
      <w:pPr>
        <w:rPr>
          <w:rFonts w:ascii="Arial" w:hAnsi="Arial" w:cs="Arial"/>
          <w:sz w:val="24"/>
          <w:szCs w:val="24"/>
        </w:rPr>
      </w:pPr>
      <w:r w:rsidRPr="00B44DDD">
        <w:rPr>
          <w:rFonts w:ascii="Arial" w:hAnsi="Arial" w:cs="Arial"/>
          <w:sz w:val="24"/>
          <w:szCs w:val="24"/>
        </w:rPr>
        <w:t>PLB is positioned in the maturity stage of the business life cycle, characterised by stable operations, an established customer base, and incremental growth (Johnson et al., 201</w:t>
      </w:r>
      <w:r w:rsidR="004F03D9">
        <w:rPr>
          <w:rFonts w:ascii="Arial" w:hAnsi="Arial" w:cs="Arial"/>
          <w:sz w:val="24"/>
          <w:szCs w:val="24"/>
        </w:rPr>
        <w:t>1</w:t>
      </w:r>
      <w:r w:rsidRPr="00B44DDD">
        <w:rPr>
          <w:rFonts w:ascii="Arial" w:hAnsi="Arial" w:cs="Arial"/>
          <w:sz w:val="24"/>
          <w:szCs w:val="24"/>
        </w:rPr>
        <w:t>). At this stage, the strategic focus typically shifts from aggressive expansion toward sustaining operational efficiency, maintaining market share, and optimising revenue streams.</w:t>
      </w:r>
    </w:p>
    <w:p w14:paraId="7BC55DEF"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Qualitative Indicators</w:t>
      </w:r>
    </w:p>
    <w:p w14:paraId="5DB191EF" w14:textId="352FD8A1" w:rsidR="00B44DDD" w:rsidRPr="00B44DDD" w:rsidRDefault="00B44DDD" w:rsidP="00B44DDD">
      <w:pPr>
        <w:rPr>
          <w:rFonts w:ascii="Arial" w:hAnsi="Arial" w:cs="Arial"/>
          <w:sz w:val="24"/>
          <w:szCs w:val="24"/>
        </w:rPr>
      </w:pPr>
      <w:r w:rsidRPr="00B44DDD">
        <w:rPr>
          <w:rFonts w:ascii="Arial" w:hAnsi="Arial" w:cs="Arial"/>
          <w:sz w:val="24"/>
          <w:szCs w:val="24"/>
        </w:rPr>
        <w:t>Customer Satisfaction: Online reviews on TripAdvisor consistently average 4.5/5, reflecting high guest approval of PLB’s dining and accommodation experiences.</w:t>
      </w:r>
    </w:p>
    <w:p w14:paraId="00385E43" w14:textId="77777777" w:rsidR="00B44DDD" w:rsidRPr="00B44DDD" w:rsidRDefault="00B44DDD" w:rsidP="00B44DDD">
      <w:pPr>
        <w:rPr>
          <w:rFonts w:ascii="Arial" w:hAnsi="Arial" w:cs="Arial"/>
          <w:sz w:val="24"/>
          <w:szCs w:val="24"/>
        </w:rPr>
      </w:pPr>
      <w:r w:rsidRPr="00B44DDD">
        <w:rPr>
          <w:rFonts w:ascii="Arial" w:hAnsi="Arial" w:cs="Arial"/>
          <w:sz w:val="24"/>
          <w:szCs w:val="24"/>
        </w:rPr>
        <w:t>Repeat Patronage: Returning guests, both local and visiting, indicate strong brand loyalty and positive word-of-mouth promotion. Repeat customers reduce marketing costs and enhance profitability, with research suggesting that loyal guests contribute significantly to the revenue of mature hospitality businesses (Gilmore &amp; Pine, 2007; Kotler &amp; Keller, 2016).</w:t>
      </w:r>
    </w:p>
    <w:p w14:paraId="3CD449BB" w14:textId="2244A34A" w:rsidR="00B44DDD" w:rsidRPr="00B44DDD" w:rsidRDefault="00B44DDD" w:rsidP="00B44DDD">
      <w:pPr>
        <w:rPr>
          <w:rFonts w:ascii="Arial" w:hAnsi="Arial" w:cs="Arial"/>
          <w:sz w:val="24"/>
          <w:szCs w:val="24"/>
        </w:rPr>
      </w:pPr>
      <w:r w:rsidRPr="00B44DDD">
        <w:rPr>
          <w:rFonts w:ascii="Arial" w:hAnsi="Arial" w:cs="Arial"/>
          <w:sz w:val="24"/>
          <w:szCs w:val="24"/>
        </w:rPr>
        <w:t>Operational Performance: Minor operational lapses, such as slower service or occasional menu delays during peak periods, highlight areas for improvement. However, these issues do not significantly threaten PLB’s overall reputation or market positioning. Implementing standard operating procedures (SOPs) and continuous staff training can mitigate these minor disruptions and maintain service excellence</w:t>
      </w:r>
      <w:r w:rsidR="007B574A">
        <w:rPr>
          <w:rFonts w:ascii="Arial" w:hAnsi="Arial" w:cs="Arial"/>
          <w:sz w:val="24"/>
          <w:szCs w:val="24"/>
        </w:rPr>
        <w:t xml:space="preserve"> (Sinulingga et.al., 2024)</w:t>
      </w:r>
      <w:r w:rsidRPr="00B44DDD">
        <w:rPr>
          <w:rFonts w:ascii="Arial" w:hAnsi="Arial" w:cs="Arial"/>
          <w:sz w:val="24"/>
          <w:szCs w:val="24"/>
        </w:rPr>
        <w:t xml:space="preserve"> </w:t>
      </w:r>
    </w:p>
    <w:p w14:paraId="371D6222"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Quantitative Indicators</w:t>
      </w:r>
    </w:p>
    <w:p w14:paraId="7D4A7E2D" w14:textId="7FD5B4C1" w:rsidR="00B44DDD" w:rsidRDefault="005D2565" w:rsidP="00B44DDD">
      <w:pPr>
        <w:rPr>
          <w:rFonts w:ascii="Arial" w:hAnsi="Arial" w:cs="Arial"/>
          <w:sz w:val="24"/>
          <w:szCs w:val="24"/>
        </w:rPr>
      </w:pPr>
      <w:r w:rsidRPr="005D2565">
        <w:rPr>
          <w:rFonts w:ascii="Arial" w:hAnsi="Arial" w:cs="Arial"/>
          <w:sz w:val="24"/>
          <w:szCs w:val="24"/>
        </w:rPr>
        <w:t>Weekly Covers: PLB’s internal estimate of 200–250 guests per week during peak season reflects a modestly sized premium rural venue when calculated from seating capacity and typical table-turn patterns. Industry guidance recommends benchmarking covers using capacity × table turns and tracking average covers per day/week to support staffing and inventory decisions (OpenTable</w:t>
      </w:r>
      <w:r>
        <w:rPr>
          <w:rFonts w:ascii="Arial" w:hAnsi="Arial" w:cs="Arial"/>
          <w:sz w:val="24"/>
          <w:szCs w:val="24"/>
        </w:rPr>
        <w:t xml:space="preserve">, 2022). </w:t>
      </w:r>
      <w:r w:rsidR="00B44DDD" w:rsidRPr="00B44DDD">
        <w:rPr>
          <w:rFonts w:ascii="Arial" w:hAnsi="Arial" w:cs="Arial"/>
          <w:sz w:val="24"/>
          <w:szCs w:val="24"/>
        </w:rPr>
        <w:t>This level of demand indicates a stable and predictable customer flow, supporting efficient resource planning and operational sustainability.</w:t>
      </w:r>
    </w:p>
    <w:p w14:paraId="0239949D" w14:textId="4425B6E8" w:rsidR="0014353B" w:rsidRPr="0014353B" w:rsidRDefault="0014353B" w:rsidP="0014353B">
      <w:pPr>
        <w:rPr>
          <w:rFonts w:ascii="Arial" w:hAnsi="Arial" w:cs="Arial"/>
          <w:sz w:val="24"/>
          <w:szCs w:val="24"/>
        </w:rPr>
      </w:pPr>
      <w:r w:rsidRPr="0014353B">
        <w:rPr>
          <w:rFonts w:ascii="Arial" w:hAnsi="Arial" w:cs="Arial"/>
          <w:sz w:val="24"/>
          <w:szCs w:val="24"/>
        </w:rPr>
        <w:t>Occupancy Rates: Accommodation occupancy in rural and small-scale UK hospitality venues typically ranges from around 70% to 83% during peak tourist months, reflecting seasonal demand patterns common in serviced accommodation and medium-sized properties (Welsh Government, 2024; VisitEngland, 2023). Maintaining occupancy within this range demonstrates PLB’s ability to attract guests consistently during high-demand periods while leaving potential to target off-peak engagement.</w:t>
      </w:r>
    </w:p>
    <w:p w14:paraId="6B0A9D52" w14:textId="09EDFF2D" w:rsidR="0014353B" w:rsidRPr="00B44DDD" w:rsidRDefault="0014353B" w:rsidP="0014353B">
      <w:pPr>
        <w:rPr>
          <w:rFonts w:ascii="Arial" w:hAnsi="Arial" w:cs="Arial"/>
          <w:sz w:val="24"/>
          <w:szCs w:val="24"/>
        </w:rPr>
      </w:pPr>
      <w:r w:rsidRPr="0014353B">
        <w:rPr>
          <w:rFonts w:ascii="Arial" w:hAnsi="Arial" w:cs="Arial"/>
          <w:sz w:val="24"/>
          <w:szCs w:val="24"/>
        </w:rPr>
        <w:t xml:space="preserve">Average Spend per Guest: Guests in UK premium and boutique dining settings generally spend between £25 and £40 per visit, depending on the type of menu, season, and additional services </w:t>
      </w:r>
      <w:r w:rsidRPr="0014353B">
        <w:rPr>
          <w:rFonts w:ascii="Arial" w:hAnsi="Arial" w:cs="Arial"/>
          <w:sz w:val="24"/>
          <w:szCs w:val="24"/>
        </w:rPr>
        <w:lastRenderedPageBreak/>
        <w:t>(OpenTable, 2022</w:t>
      </w:r>
      <w:r>
        <w:rPr>
          <w:rFonts w:ascii="Arial" w:hAnsi="Arial" w:cs="Arial"/>
          <w:sz w:val="24"/>
          <w:szCs w:val="24"/>
        </w:rPr>
        <w:t>)</w:t>
      </w:r>
      <w:r w:rsidRPr="0014353B">
        <w:rPr>
          <w:rFonts w:ascii="Arial" w:hAnsi="Arial" w:cs="Arial"/>
          <w:sz w:val="24"/>
          <w:szCs w:val="24"/>
        </w:rPr>
        <w:t>. This estimated range supports PLB’s positioning as a high-value offering while providing opportunities for incremental revenue through upselling and special packages.</w:t>
      </w:r>
    </w:p>
    <w:p w14:paraId="36019197"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Implications of the Maturity Stage</w:t>
      </w:r>
    </w:p>
    <w:p w14:paraId="79F2E362" w14:textId="40224091" w:rsidR="00B44DDD" w:rsidRPr="00B44DDD" w:rsidRDefault="00B44DDD" w:rsidP="00B44DDD">
      <w:pPr>
        <w:rPr>
          <w:rFonts w:ascii="Arial" w:hAnsi="Arial" w:cs="Arial"/>
          <w:sz w:val="24"/>
          <w:szCs w:val="24"/>
        </w:rPr>
      </w:pPr>
      <w:r w:rsidRPr="00B44DDD">
        <w:rPr>
          <w:rFonts w:ascii="Arial" w:hAnsi="Arial" w:cs="Arial"/>
          <w:sz w:val="24"/>
          <w:szCs w:val="24"/>
        </w:rPr>
        <w:t>In the maturity stage, strategic priorities shift toward operational efficiency, sustainability, and market retention. PLB can leverage opportunities to:</w:t>
      </w:r>
    </w:p>
    <w:p w14:paraId="7EC47B7A" w14:textId="3FE7F156" w:rsidR="00B44DDD" w:rsidRDefault="00B44DDD" w:rsidP="00B44DDD">
      <w:pPr>
        <w:rPr>
          <w:rFonts w:ascii="Arial" w:hAnsi="Arial" w:cs="Arial"/>
          <w:sz w:val="24"/>
          <w:szCs w:val="24"/>
        </w:rPr>
      </w:pPr>
      <w:r w:rsidRPr="00B44DDD">
        <w:rPr>
          <w:rFonts w:ascii="Arial" w:hAnsi="Arial" w:cs="Arial"/>
          <w:sz w:val="24"/>
          <w:szCs w:val="24"/>
        </w:rPr>
        <w:t>Diversify revenue streams via themed culinary events, seasonal tasting menus, or partnerships with local tourism boards.</w:t>
      </w:r>
    </w:p>
    <w:p w14:paraId="7A8D7891" w14:textId="541E962B" w:rsidR="0014353B" w:rsidRPr="0014353B" w:rsidRDefault="0014353B" w:rsidP="0014353B">
      <w:pPr>
        <w:rPr>
          <w:rFonts w:ascii="Arial" w:hAnsi="Arial" w:cs="Arial"/>
          <w:sz w:val="24"/>
          <w:szCs w:val="24"/>
        </w:rPr>
      </w:pPr>
      <w:r w:rsidRPr="0014353B">
        <w:rPr>
          <w:rFonts w:ascii="Arial" w:hAnsi="Arial" w:cs="Arial"/>
          <w:sz w:val="24"/>
          <w:szCs w:val="24"/>
        </w:rPr>
        <w:t>Implementing targeted marketing campaigns to attract new audiences through an enhanced digital presence and social media engagement is strongly supported by recent literature, which shows that hospitality and rural tourism enterprises achieve improved destination image, higher visitor intention, and stronger brand equity when using strategic digital marketing methods (Kumar, 2021; Rodrigues et al., 2023; Adeyinka</w:t>
      </w:r>
      <w:r w:rsidRPr="0014353B">
        <w:rPr>
          <w:rFonts w:ascii="Cambria Math" w:hAnsi="Cambria Math" w:cs="Cambria Math"/>
          <w:sz w:val="24"/>
          <w:szCs w:val="24"/>
        </w:rPr>
        <w:t>‑</w:t>
      </w:r>
      <w:r w:rsidRPr="0014353B">
        <w:rPr>
          <w:rFonts w:ascii="Arial" w:hAnsi="Arial" w:cs="Arial"/>
          <w:sz w:val="24"/>
          <w:szCs w:val="24"/>
        </w:rPr>
        <w:t>Ojo &amp; Abdullah, 2021).</w:t>
      </w:r>
    </w:p>
    <w:p w14:paraId="13FAD861" w14:textId="3473D500" w:rsidR="0014353B" w:rsidRPr="00B44DDD" w:rsidRDefault="0014353B" w:rsidP="0014353B">
      <w:pPr>
        <w:rPr>
          <w:rFonts w:ascii="Arial" w:hAnsi="Arial" w:cs="Arial"/>
          <w:sz w:val="24"/>
          <w:szCs w:val="24"/>
        </w:rPr>
      </w:pPr>
      <w:r w:rsidRPr="0014353B">
        <w:rPr>
          <w:rFonts w:ascii="Arial" w:hAnsi="Arial" w:cs="Arial"/>
          <w:sz w:val="24"/>
          <w:szCs w:val="24"/>
        </w:rPr>
        <w:t>Maintaining and improving operational standards through structured staff training, process standardisation, and menu innovation underpins service consistency and competitive performance. Evidence suggests that standardisation and certification processes contribute to service quality and sustainability in hospitality operations (Standardisation and certification in hotel restaurants, 2025)</w:t>
      </w:r>
      <w:r>
        <w:rPr>
          <w:rFonts w:ascii="Arial" w:hAnsi="Arial" w:cs="Arial"/>
          <w:sz w:val="24"/>
          <w:szCs w:val="24"/>
        </w:rPr>
        <w:t>.</w:t>
      </w:r>
    </w:p>
    <w:p w14:paraId="1FA9604B" w14:textId="77777777" w:rsidR="00B44DDD" w:rsidRPr="00B44DDD" w:rsidRDefault="00B44DDD" w:rsidP="00B44DDD">
      <w:pPr>
        <w:rPr>
          <w:rFonts w:ascii="Arial" w:hAnsi="Arial" w:cs="Arial"/>
          <w:b/>
          <w:bCs/>
          <w:sz w:val="24"/>
          <w:szCs w:val="24"/>
        </w:rPr>
      </w:pPr>
      <w:r w:rsidRPr="00B44DDD">
        <w:rPr>
          <w:rFonts w:ascii="Arial" w:hAnsi="Arial" w:cs="Arial"/>
          <w:b/>
          <w:bCs/>
          <w:sz w:val="24"/>
          <w:szCs w:val="24"/>
        </w:rPr>
        <w:t>Evaluation</w:t>
      </w:r>
    </w:p>
    <w:p w14:paraId="08A1D785" w14:textId="69DA0AF9" w:rsidR="00B44DDD" w:rsidRPr="00B44DDD" w:rsidRDefault="00B44DDD" w:rsidP="00B44DDD">
      <w:pPr>
        <w:rPr>
          <w:rFonts w:ascii="Arial" w:hAnsi="Arial" w:cs="Arial"/>
          <w:sz w:val="24"/>
          <w:szCs w:val="24"/>
        </w:rPr>
      </w:pPr>
      <w:r w:rsidRPr="00B44DDD">
        <w:rPr>
          <w:rFonts w:ascii="Arial" w:hAnsi="Arial" w:cs="Arial"/>
          <w:sz w:val="24"/>
          <w:szCs w:val="24"/>
        </w:rPr>
        <w:t>While maturity indicates operational stability, proactive strategies are essential to prevent decline. PLB should:</w:t>
      </w:r>
    </w:p>
    <w:p w14:paraId="7AD7FC7B" w14:textId="5534E6CB" w:rsidR="00B44DDD" w:rsidRPr="00B44DDD" w:rsidRDefault="00B44DDD" w:rsidP="00B44DDD">
      <w:pPr>
        <w:rPr>
          <w:rFonts w:ascii="Arial" w:hAnsi="Arial" w:cs="Arial"/>
          <w:sz w:val="24"/>
          <w:szCs w:val="24"/>
        </w:rPr>
      </w:pPr>
      <w:r w:rsidRPr="00B44DDD">
        <w:rPr>
          <w:rFonts w:ascii="Arial" w:hAnsi="Arial" w:cs="Arial"/>
          <w:sz w:val="24"/>
          <w:szCs w:val="24"/>
        </w:rPr>
        <w:t>Enhance digital presence: Optimise the website, social media, and online booking systems to reach new demographics and increase direct bookings.</w:t>
      </w:r>
    </w:p>
    <w:p w14:paraId="0DF8D7EC" w14:textId="6CE3F1D5" w:rsidR="00B44DDD" w:rsidRPr="00B44DDD" w:rsidRDefault="00B44DDD" w:rsidP="00B44DDD">
      <w:pPr>
        <w:rPr>
          <w:rFonts w:ascii="Arial" w:hAnsi="Arial" w:cs="Arial"/>
          <w:sz w:val="24"/>
          <w:szCs w:val="24"/>
        </w:rPr>
      </w:pPr>
      <w:r w:rsidRPr="00B44DDD">
        <w:rPr>
          <w:rFonts w:ascii="Arial" w:hAnsi="Arial" w:cs="Arial"/>
          <w:sz w:val="24"/>
          <w:szCs w:val="24"/>
        </w:rPr>
        <w:t>Standardise operations: SOPs for both front- and back-of-house processes can reduce service inconsistencies and maintain high-quality experiences.</w:t>
      </w:r>
    </w:p>
    <w:p w14:paraId="34135D79" w14:textId="7FC1707C" w:rsidR="00B44DDD" w:rsidRPr="00B44DDD" w:rsidRDefault="00B44DDD" w:rsidP="00B44DDD">
      <w:pPr>
        <w:rPr>
          <w:rFonts w:ascii="Arial" w:hAnsi="Arial" w:cs="Arial"/>
          <w:sz w:val="24"/>
          <w:szCs w:val="24"/>
        </w:rPr>
      </w:pPr>
      <w:r w:rsidRPr="00B44DDD">
        <w:rPr>
          <w:rFonts w:ascii="Arial" w:hAnsi="Arial" w:cs="Arial"/>
          <w:sz w:val="24"/>
          <w:szCs w:val="24"/>
        </w:rPr>
        <w:t>Innovate offerings: Periodically updating menu items while retaining signature dishes helps maintain guest interest and reinforces the establishment’s premium positioning.</w:t>
      </w:r>
    </w:p>
    <w:p w14:paraId="3791928D" w14:textId="2B80715A" w:rsidR="007F5D6F" w:rsidRDefault="00B44DDD" w:rsidP="00B44DDD">
      <w:pPr>
        <w:rPr>
          <w:rFonts w:ascii="Arial" w:hAnsi="Arial" w:cs="Arial"/>
          <w:sz w:val="24"/>
          <w:szCs w:val="24"/>
        </w:rPr>
      </w:pPr>
      <w:r w:rsidRPr="00B44DDD">
        <w:rPr>
          <w:rFonts w:ascii="Arial" w:hAnsi="Arial" w:cs="Arial"/>
          <w:sz w:val="24"/>
          <w:szCs w:val="24"/>
        </w:rPr>
        <w:t>The literature highlights that rural, premium hospitality operators must balance service quality with operational efficiency to sustain competitiveness and profitability (</w:t>
      </w:r>
      <w:r w:rsidR="00442A0E">
        <w:rPr>
          <w:rFonts w:ascii="Arial" w:hAnsi="Arial" w:cs="Arial"/>
          <w:sz w:val="24"/>
          <w:szCs w:val="24"/>
        </w:rPr>
        <w:t>Choi. Et.al.</w:t>
      </w:r>
      <w:r w:rsidRPr="00B44DDD">
        <w:rPr>
          <w:rFonts w:ascii="Arial" w:hAnsi="Arial" w:cs="Arial"/>
          <w:sz w:val="24"/>
          <w:szCs w:val="24"/>
        </w:rPr>
        <w:t>, 201</w:t>
      </w:r>
      <w:r w:rsidR="00442A0E">
        <w:rPr>
          <w:rFonts w:ascii="Arial" w:hAnsi="Arial" w:cs="Arial"/>
          <w:sz w:val="24"/>
          <w:szCs w:val="24"/>
        </w:rPr>
        <w:t>8</w:t>
      </w:r>
      <w:r w:rsidRPr="00B44DDD">
        <w:rPr>
          <w:rFonts w:ascii="Arial" w:hAnsi="Arial" w:cs="Arial"/>
          <w:sz w:val="24"/>
          <w:szCs w:val="24"/>
        </w:rPr>
        <w:t>). PLB’s unique countryside setting, heritage features, and focus on locally sourced produce provide a strong competitive differentiator. When aligned with internal operational capabilities, these factors support long-term growth and resilience in a competitive hospitality landscape.</w:t>
      </w:r>
    </w:p>
    <w:p w14:paraId="21D428F5" w14:textId="11E4CC32" w:rsidR="00442A0E" w:rsidRPr="00A82725" w:rsidRDefault="00657403" w:rsidP="00A82725">
      <w:pPr>
        <w:pStyle w:val="Heading1"/>
        <w:rPr>
          <w:rFonts w:ascii="Arial" w:hAnsi="Arial" w:cs="Arial"/>
          <w:b/>
          <w:bCs/>
          <w:color w:val="000000" w:themeColor="text1"/>
          <w:sz w:val="24"/>
          <w:szCs w:val="24"/>
        </w:rPr>
      </w:pPr>
      <w:bookmarkStart w:id="5" w:name="_Toc214046174"/>
      <w:r w:rsidRPr="00A82725">
        <w:rPr>
          <w:rFonts w:ascii="Arial" w:hAnsi="Arial" w:cs="Arial"/>
          <w:b/>
          <w:bCs/>
          <w:color w:val="000000" w:themeColor="text1"/>
          <w:sz w:val="24"/>
          <w:szCs w:val="24"/>
        </w:rPr>
        <w:t>Market Position and Financial Insights</w:t>
      </w:r>
      <w:bookmarkEnd w:id="5"/>
    </w:p>
    <w:p w14:paraId="3D3C3EC4" w14:textId="08C77913" w:rsidR="004E1A1E" w:rsidRPr="004E1A1E" w:rsidRDefault="004E1A1E" w:rsidP="004E1A1E">
      <w:pPr>
        <w:rPr>
          <w:rFonts w:ascii="Arial" w:hAnsi="Arial" w:cs="Arial"/>
          <w:b/>
          <w:bCs/>
          <w:sz w:val="24"/>
          <w:szCs w:val="24"/>
        </w:rPr>
      </w:pPr>
      <w:r w:rsidRPr="004E1A1E">
        <w:rPr>
          <w:rFonts w:ascii="Arial" w:hAnsi="Arial" w:cs="Arial"/>
          <w:b/>
          <w:bCs/>
          <w:sz w:val="24"/>
          <w:szCs w:val="24"/>
        </w:rPr>
        <w:t>Brand Positioning and Market Share</w:t>
      </w:r>
    </w:p>
    <w:p w14:paraId="0B3ED995" w14:textId="156E77E1" w:rsidR="004E1A1E" w:rsidRPr="004E1A1E" w:rsidRDefault="004E1A1E" w:rsidP="004E1A1E">
      <w:pPr>
        <w:rPr>
          <w:rFonts w:ascii="Arial" w:hAnsi="Arial" w:cs="Arial"/>
          <w:sz w:val="24"/>
          <w:szCs w:val="24"/>
        </w:rPr>
      </w:pPr>
      <w:r w:rsidRPr="004E1A1E">
        <w:rPr>
          <w:rFonts w:ascii="Arial" w:hAnsi="Arial" w:cs="Arial"/>
          <w:sz w:val="24"/>
          <w:szCs w:val="24"/>
        </w:rPr>
        <w:t>Parc-Le Breos (PLB) occupies a niche premium rural dining segment on the Gower Peninsula. Its offering combines high-quality, locally sourced produce</w:t>
      </w:r>
      <w:r w:rsidR="00882CDC">
        <w:rPr>
          <w:rFonts w:ascii="Arial" w:hAnsi="Arial" w:cs="Arial"/>
          <w:sz w:val="24"/>
          <w:szCs w:val="24"/>
        </w:rPr>
        <w:t xml:space="preserve"> </w:t>
      </w:r>
      <w:r w:rsidRPr="004E1A1E">
        <w:rPr>
          <w:rFonts w:ascii="Arial" w:hAnsi="Arial" w:cs="Arial"/>
          <w:sz w:val="24"/>
          <w:szCs w:val="24"/>
        </w:rPr>
        <w:t>including from its own garden and orchard</w:t>
      </w:r>
      <w:r w:rsidR="00882CDC">
        <w:rPr>
          <w:rFonts w:ascii="Arial" w:hAnsi="Arial" w:cs="Arial"/>
          <w:sz w:val="24"/>
          <w:szCs w:val="24"/>
        </w:rPr>
        <w:t xml:space="preserve"> </w:t>
      </w:r>
      <w:r w:rsidRPr="004E1A1E">
        <w:rPr>
          <w:rFonts w:ascii="Arial" w:hAnsi="Arial" w:cs="Arial"/>
          <w:sz w:val="24"/>
          <w:szCs w:val="24"/>
        </w:rPr>
        <w:t>with a heritage countryside setting and refined yet relaxed service. The venue’s brand equity is anchored in provenance, authenticity, and destination appeal, prioritising quality and exclusivity over high-volume turnover. This positioning reflects a differentiation strategy, consistent with hospitality research indicating that clear differentiation in premium dining positively impacts performance and customer loyalty (Njuguna et al., 2019; Gorondutse &amp; Hilman, 2018).</w:t>
      </w:r>
    </w:p>
    <w:p w14:paraId="4983AE5B" w14:textId="2F428EFD" w:rsidR="004E1A1E" w:rsidRPr="004E1A1E" w:rsidRDefault="004E1A1E" w:rsidP="004E1A1E">
      <w:pPr>
        <w:rPr>
          <w:rFonts w:ascii="Arial" w:hAnsi="Arial" w:cs="Arial"/>
          <w:sz w:val="24"/>
          <w:szCs w:val="24"/>
        </w:rPr>
      </w:pPr>
      <w:r w:rsidRPr="004E1A1E">
        <w:rPr>
          <w:rFonts w:ascii="Arial" w:hAnsi="Arial" w:cs="Arial"/>
          <w:sz w:val="24"/>
          <w:szCs w:val="24"/>
        </w:rPr>
        <w:t xml:space="preserve">While precise market share data are unavailable, the small size of the rural premium segment in Gower and Swansea suggests PLB holds a meaningful niche share. Its operational strategy </w:t>
      </w:r>
      <w:r w:rsidRPr="004E1A1E">
        <w:rPr>
          <w:rFonts w:ascii="Arial" w:hAnsi="Arial" w:cs="Arial"/>
          <w:sz w:val="24"/>
          <w:szCs w:val="24"/>
        </w:rPr>
        <w:lastRenderedPageBreak/>
        <w:t>emphasises limited covers and high average spend per guest, aligning with evidence that yield-focused models are more sustainable than mass-market approaches in high-end hospitality (van Leeuwen &amp; Koole, 2021).</w:t>
      </w:r>
    </w:p>
    <w:p w14:paraId="219A6F8D" w14:textId="2774497E" w:rsidR="004E1A1E" w:rsidRPr="004E1A1E" w:rsidRDefault="004E1A1E" w:rsidP="004E1A1E">
      <w:pPr>
        <w:rPr>
          <w:rFonts w:ascii="Arial" w:hAnsi="Arial" w:cs="Arial"/>
          <w:b/>
          <w:bCs/>
          <w:sz w:val="24"/>
          <w:szCs w:val="24"/>
        </w:rPr>
      </w:pPr>
      <w:r w:rsidRPr="004E1A1E">
        <w:rPr>
          <w:rFonts w:ascii="Arial" w:hAnsi="Arial" w:cs="Arial"/>
          <w:b/>
          <w:bCs/>
          <w:sz w:val="24"/>
          <w:szCs w:val="24"/>
        </w:rPr>
        <w:t>Financial and Operational Insights</w:t>
      </w:r>
    </w:p>
    <w:p w14:paraId="3611CDB0" w14:textId="3334287D" w:rsidR="004E1A1E" w:rsidRPr="004E1A1E" w:rsidRDefault="004E1A1E" w:rsidP="004E1A1E">
      <w:pPr>
        <w:rPr>
          <w:rFonts w:ascii="Arial" w:hAnsi="Arial" w:cs="Arial"/>
          <w:sz w:val="24"/>
          <w:szCs w:val="24"/>
        </w:rPr>
      </w:pPr>
      <w:r w:rsidRPr="004E1A1E">
        <w:rPr>
          <w:rFonts w:ascii="Arial" w:hAnsi="Arial" w:cs="Arial"/>
          <w:sz w:val="24"/>
          <w:szCs w:val="24"/>
        </w:rPr>
        <w:t>PLB’s maturity-stage operations underpin its financial strategy. Premium menu pricing (£50–79 per dinner) complements its yield-focused approach. The venue’s limited capacity enables delivery of high-quality guest experiences, while revenue is further diversified through accommodation, events, and off-peak offerings, such as afternoon tea.</w:t>
      </w:r>
    </w:p>
    <w:p w14:paraId="54AF3F6C" w14:textId="7FC59B4F" w:rsidR="004E1A1E" w:rsidRPr="004E1A1E" w:rsidRDefault="004E1A1E" w:rsidP="004E1A1E">
      <w:pPr>
        <w:rPr>
          <w:rFonts w:ascii="Arial" w:hAnsi="Arial" w:cs="Arial"/>
          <w:sz w:val="24"/>
          <w:szCs w:val="24"/>
        </w:rPr>
      </w:pPr>
      <w:r w:rsidRPr="004E1A1E">
        <w:rPr>
          <w:rFonts w:ascii="Arial" w:hAnsi="Arial" w:cs="Arial"/>
          <w:sz w:val="24"/>
          <w:szCs w:val="24"/>
        </w:rPr>
        <w:t>Operational costs are influenced by premium sourcing, heritage building maintenance, and staffing requirements. Research highlights that operational efficiency is critical in premium rural hospitality to balance cost control with guest experience (</w:t>
      </w:r>
      <w:r w:rsidR="00651750">
        <w:rPr>
          <w:rFonts w:ascii="Arial" w:hAnsi="Arial" w:cs="Arial"/>
          <w:sz w:val="24"/>
          <w:szCs w:val="24"/>
        </w:rPr>
        <w:t>Nasir &amp; Gunawan, 2025</w:t>
      </w:r>
      <w:r w:rsidRPr="004E1A1E">
        <w:rPr>
          <w:rFonts w:ascii="Arial" w:hAnsi="Arial" w:cs="Arial"/>
          <w:sz w:val="24"/>
          <w:szCs w:val="24"/>
        </w:rPr>
        <w:t>). PLB addresses this through structured operational procedures, staff cross-training, and yield management, ensuring financial sustainability while maintaining service quality.</w:t>
      </w:r>
    </w:p>
    <w:p w14:paraId="26DEE61E" w14:textId="2F21005A" w:rsidR="004E1A1E" w:rsidRPr="004E1A1E" w:rsidRDefault="004E1A1E" w:rsidP="004E1A1E">
      <w:pPr>
        <w:rPr>
          <w:rFonts w:ascii="Arial" w:hAnsi="Arial" w:cs="Arial"/>
          <w:b/>
          <w:bCs/>
          <w:sz w:val="24"/>
          <w:szCs w:val="24"/>
        </w:rPr>
      </w:pPr>
      <w:r w:rsidRPr="004E1A1E">
        <w:rPr>
          <w:rFonts w:ascii="Arial" w:hAnsi="Arial" w:cs="Arial"/>
          <w:b/>
          <w:bCs/>
          <w:sz w:val="24"/>
          <w:szCs w:val="24"/>
        </w:rPr>
        <w:t>Competitor Benchmarking</w:t>
      </w:r>
    </w:p>
    <w:p w14:paraId="2CBC52DE" w14:textId="37D3680B" w:rsidR="004E1A1E" w:rsidRPr="004E1A1E" w:rsidRDefault="004E1A1E" w:rsidP="004E1A1E">
      <w:pPr>
        <w:rPr>
          <w:rFonts w:ascii="Arial" w:hAnsi="Arial" w:cs="Arial"/>
          <w:sz w:val="24"/>
          <w:szCs w:val="24"/>
        </w:rPr>
      </w:pPr>
      <w:r w:rsidRPr="004E1A1E">
        <w:rPr>
          <w:rFonts w:ascii="Arial" w:hAnsi="Arial" w:cs="Arial"/>
          <w:sz w:val="24"/>
          <w:szCs w:val="24"/>
        </w:rPr>
        <w:t xml:space="preserve">PLB’s niche positioning is further understood in the context of local competitors. While competitors such </w:t>
      </w:r>
      <w:r w:rsidRPr="00F358FA">
        <w:rPr>
          <w:rFonts w:ascii="Arial" w:hAnsi="Arial" w:cs="Arial"/>
          <w:color w:val="000000" w:themeColor="text1"/>
          <w:sz w:val="24"/>
          <w:szCs w:val="24"/>
        </w:rPr>
        <w:t>as Beach House Oxwich, Welcome to Town,</w:t>
      </w:r>
      <w:r w:rsidR="00255688" w:rsidRPr="00F358FA">
        <w:rPr>
          <w:rFonts w:ascii="Arial" w:hAnsi="Arial" w:cs="Arial"/>
          <w:color w:val="000000" w:themeColor="text1"/>
          <w:sz w:val="24"/>
          <w:szCs w:val="24"/>
        </w:rPr>
        <w:t xml:space="preserve"> </w:t>
      </w:r>
      <w:r w:rsidRPr="00F358FA">
        <w:rPr>
          <w:rFonts w:ascii="Arial" w:hAnsi="Arial" w:cs="Arial"/>
          <w:color w:val="000000" w:themeColor="text1"/>
          <w:sz w:val="24"/>
          <w:szCs w:val="24"/>
        </w:rPr>
        <w:t xml:space="preserve">and Hanson at The Chelsea </w:t>
      </w:r>
      <w:r w:rsidRPr="004E1A1E">
        <w:rPr>
          <w:rFonts w:ascii="Arial" w:hAnsi="Arial" w:cs="Arial"/>
          <w:sz w:val="24"/>
          <w:szCs w:val="24"/>
        </w:rPr>
        <w:t xml:space="preserve">operate in the same premium or rural dining segments, PLB differentiates itself through its heritage setting, </w:t>
      </w:r>
      <w:r w:rsidR="00225490">
        <w:rPr>
          <w:rFonts w:ascii="Arial" w:hAnsi="Arial" w:cs="Arial"/>
          <w:sz w:val="24"/>
          <w:szCs w:val="24"/>
        </w:rPr>
        <w:t xml:space="preserve">home </w:t>
      </w:r>
      <w:r w:rsidRPr="004E1A1E">
        <w:rPr>
          <w:rFonts w:ascii="Arial" w:hAnsi="Arial" w:cs="Arial"/>
          <w:sz w:val="24"/>
          <w:szCs w:val="24"/>
        </w:rPr>
        <w:t>grown produce, and exclusive guest experience.</w:t>
      </w:r>
    </w:p>
    <w:p w14:paraId="2762101D" w14:textId="37D034EE" w:rsidR="004E1A1E" w:rsidRPr="004E1A1E" w:rsidRDefault="004E1A1E" w:rsidP="004E1A1E">
      <w:pPr>
        <w:rPr>
          <w:rFonts w:ascii="Arial" w:hAnsi="Arial" w:cs="Arial"/>
          <w:sz w:val="24"/>
          <w:szCs w:val="24"/>
        </w:rPr>
      </w:pPr>
      <w:r w:rsidRPr="004E1A1E">
        <w:rPr>
          <w:rFonts w:ascii="Arial" w:hAnsi="Arial" w:cs="Arial"/>
          <w:sz w:val="24"/>
          <w:szCs w:val="24"/>
        </w:rPr>
        <w:t>For a detailed competitor benchmarking table, see Appendix D.</w:t>
      </w:r>
    </w:p>
    <w:p w14:paraId="3C5BF3AA" w14:textId="498B545E" w:rsidR="004E1A1E" w:rsidRPr="004E1A1E" w:rsidRDefault="004E1A1E" w:rsidP="004E1A1E">
      <w:pPr>
        <w:rPr>
          <w:rFonts w:ascii="Arial" w:hAnsi="Arial" w:cs="Arial"/>
          <w:b/>
          <w:bCs/>
          <w:sz w:val="24"/>
          <w:szCs w:val="24"/>
        </w:rPr>
      </w:pPr>
      <w:r w:rsidRPr="004E1A1E">
        <w:rPr>
          <w:rFonts w:ascii="Arial" w:hAnsi="Arial" w:cs="Arial"/>
          <w:b/>
          <w:bCs/>
          <w:sz w:val="24"/>
          <w:szCs w:val="24"/>
        </w:rPr>
        <w:t>Strategic Implications: Porter’s Five Forces</w:t>
      </w:r>
    </w:p>
    <w:p w14:paraId="3AF23D27" w14:textId="34263E42" w:rsidR="004E1A1E" w:rsidRPr="004E1A1E" w:rsidRDefault="004E1A1E" w:rsidP="004E1A1E">
      <w:pPr>
        <w:rPr>
          <w:rFonts w:ascii="Arial" w:hAnsi="Arial" w:cs="Arial"/>
          <w:sz w:val="24"/>
          <w:szCs w:val="24"/>
        </w:rPr>
      </w:pPr>
      <w:r w:rsidRPr="004E1A1E">
        <w:rPr>
          <w:rFonts w:ascii="Arial" w:hAnsi="Arial" w:cs="Arial"/>
          <w:sz w:val="24"/>
          <w:szCs w:val="24"/>
        </w:rPr>
        <w:t xml:space="preserve">Applying </w:t>
      </w:r>
      <w:r w:rsidRPr="00254D34">
        <w:rPr>
          <w:rFonts w:ascii="Arial" w:hAnsi="Arial" w:cs="Arial"/>
          <w:sz w:val="24"/>
          <w:szCs w:val="24"/>
        </w:rPr>
        <w:t xml:space="preserve">Porter’s Five Forces </w:t>
      </w:r>
      <w:r w:rsidR="00254D34" w:rsidRPr="00254D34">
        <w:rPr>
          <w:rFonts w:ascii="Arial" w:hAnsi="Arial" w:cs="Arial"/>
          <w:sz w:val="24"/>
          <w:szCs w:val="24"/>
        </w:rPr>
        <w:t>(Danao, 2024)</w:t>
      </w:r>
      <w:r w:rsidR="00254D34">
        <w:rPr>
          <w:rFonts w:ascii="Arial" w:hAnsi="Arial" w:cs="Arial"/>
          <w:sz w:val="24"/>
          <w:szCs w:val="24"/>
        </w:rPr>
        <w:t xml:space="preserve"> </w:t>
      </w:r>
      <w:r w:rsidRPr="004E1A1E">
        <w:rPr>
          <w:rFonts w:ascii="Arial" w:hAnsi="Arial" w:cs="Arial"/>
          <w:sz w:val="24"/>
          <w:szCs w:val="24"/>
        </w:rPr>
        <w:t>highlights the external pressures and strategic priorities for PLB. Threats include moderate new entrants due to capital and heritage barriers, moderate to high supplier power from premium sourcing, and intense competitive rivalry in the local rural dining segment. Strategic responses include protecting heritage assets, maintaining strong supplier relationships, and continuing to innovate menus and services to reinforce differentiation.</w:t>
      </w:r>
    </w:p>
    <w:p w14:paraId="58C0F5EF" w14:textId="68F4499E" w:rsidR="004E1A1E" w:rsidRPr="004E1A1E" w:rsidRDefault="004E1A1E" w:rsidP="004E1A1E">
      <w:pPr>
        <w:rPr>
          <w:rFonts w:ascii="Arial" w:hAnsi="Arial" w:cs="Arial"/>
          <w:sz w:val="24"/>
          <w:szCs w:val="24"/>
        </w:rPr>
      </w:pPr>
      <w:r w:rsidRPr="004E1A1E">
        <w:rPr>
          <w:rFonts w:ascii="Arial" w:hAnsi="Arial" w:cs="Arial"/>
          <w:sz w:val="24"/>
          <w:szCs w:val="24"/>
        </w:rPr>
        <w:t>For a full Porter’s Five Forces table, see Appendix E.</w:t>
      </w:r>
    </w:p>
    <w:p w14:paraId="24E46542" w14:textId="6059DFD9" w:rsidR="004E1A1E" w:rsidRPr="00882CDC" w:rsidRDefault="004E1A1E" w:rsidP="004E1A1E">
      <w:pPr>
        <w:rPr>
          <w:rFonts w:ascii="Arial" w:hAnsi="Arial" w:cs="Arial"/>
          <w:b/>
          <w:bCs/>
          <w:sz w:val="24"/>
          <w:szCs w:val="24"/>
        </w:rPr>
      </w:pPr>
      <w:r w:rsidRPr="00882CDC">
        <w:rPr>
          <w:rFonts w:ascii="Arial" w:hAnsi="Arial" w:cs="Arial"/>
          <w:b/>
          <w:bCs/>
          <w:sz w:val="24"/>
          <w:szCs w:val="24"/>
        </w:rPr>
        <w:t>Strategic Insight</w:t>
      </w:r>
    </w:p>
    <w:p w14:paraId="17574F80" w14:textId="77777777" w:rsidR="00882CDC" w:rsidRDefault="004E1A1E" w:rsidP="00882CDC">
      <w:pPr>
        <w:rPr>
          <w:rFonts w:ascii="Arial" w:hAnsi="Arial" w:cs="Arial"/>
          <w:sz w:val="24"/>
          <w:szCs w:val="24"/>
        </w:rPr>
      </w:pPr>
      <w:r w:rsidRPr="00882CDC">
        <w:rPr>
          <w:rFonts w:ascii="Arial" w:hAnsi="Arial" w:cs="Arial"/>
          <w:sz w:val="24"/>
          <w:szCs w:val="24"/>
        </w:rPr>
        <w:t xml:space="preserve">PLB’s maturity-stage evaluation, combined with financial, competitor, and external analysis, indicates the business is well-positioned to sustain its niche in premium rural hospitality. </w:t>
      </w:r>
    </w:p>
    <w:p w14:paraId="41A0ADC6" w14:textId="2EBCAD76" w:rsidR="004E1A1E" w:rsidRPr="00882CDC" w:rsidRDefault="004E1A1E" w:rsidP="00882CDC">
      <w:pPr>
        <w:rPr>
          <w:rFonts w:ascii="Arial" w:hAnsi="Arial" w:cs="Arial"/>
          <w:sz w:val="24"/>
          <w:szCs w:val="24"/>
        </w:rPr>
      </w:pPr>
      <w:r w:rsidRPr="00882CDC">
        <w:rPr>
          <w:rFonts w:ascii="Arial" w:hAnsi="Arial" w:cs="Arial"/>
          <w:sz w:val="24"/>
          <w:szCs w:val="24"/>
        </w:rPr>
        <w:t>Key strategic priorities include:</w:t>
      </w:r>
    </w:p>
    <w:p w14:paraId="01C5CE0E" w14:textId="4A65E032"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Enhancing operational efficiency via structured staff training and SOPs to reduce service inconsistencies.</w:t>
      </w:r>
    </w:p>
    <w:p w14:paraId="40EA4317" w14:textId="4156C2B8"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Leveraging digital marketing and social media to attract new customer segments and increase off-peak occupancy.</w:t>
      </w:r>
    </w:p>
    <w:p w14:paraId="44A1DBD8" w14:textId="4DC9391B" w:rsidR="004E1A1E" w:rsidRPr="00882CDC" w:rsidRDefault="004E1A1E" w:rsidP="004E1A1E">
      <w:pPr>
        <w:pStyle w:val="ListParagraph"/>
        <w:numPr>
          <w:ilvl w:val="0"/>
          <w:numId w:val="3"/>
        </w:numPr>
        <w:rPr>
          <w:rFonts w:ascii="Arial" w:hAnsi="Arial" w:cs="Arial"/>
          <w:sz w:val="24"/>
          <w:szCs w:val="24"/>
        </w:rPr>
      </w:pPr>
      <w:r w:rsidRPr="00882CDC">
        <w:rPr>
          <w:rFonts w:ascii="Arial" w:hAnsi="Arial" w:cs="Arial"/>
          <w:sz w:val="24"/>
          <w:szCs w:val="24"/>
        </w:rPr>
        <w:t>Innovating menu offerings while preserving signature dishes to maintain interest and reinforce the premium brand.</w:t>
      </w:r>
    </w:p>
    <w:p w14:paraId="107BC1EB" w14:textId="77777777" w:rsidR="004E1A1E" w:rsidRPr="00882CDC" w:rsidRDefault="004E1A1E" w:rsidP="00882CDC">
      <w:pPr>
        <w:pStyle w:val="ListParagraph"/>
        <w:numPr>
          <w:ilvl w:val="0"/>
          <w:numId w:val="3"/>
        </w:numPr>
        <w:rPr>
          <w:rFonts w:ascii="Arial" w:hAnsi="Arial" w:cs="Arial"/>
          <w:sz w:val="24"/>
          <w:szCs w:val="24"/>
        </w:rPr>
      </w:pPr>
      <w:r w:rsidRPr="00882CDC">
        <w:rPr>
          <w:rFonts w:ascii="Arial" w:hAnsi="Arial" w:cs="Arial"/>
          <w:sz w:val="24"/>
          <w:szCs w:val="24"/>
        </w:rPr>
        <w:t>Managing supplier relationships and costs to protect margins while maintaining authenticity and provenance.</w:t>
      </w:r>
    </w:p>
    <w:p w14:paraId="76CAFCAE" w14:textId="77777777" w:rsidR="004E1A1E" w:rsidRPr="004E1A1E" w:rsidRDefault="004E1A1E" w:rsidP="004E1A1E">
      <w:pPr>
        <w:rPr>
          <w:rFonts w:ascii="Arial" w:hAnsi="Arial" w:cs="Arial"/>
          <w:sz w:val="24"/>
          <w:szCs w:val="24"/>
        </w:rPr>
      </w:pPr>
    </w:p>
    <w:p w14:paraId="60482C89" w14:textId="17AC1674" w:rsidR="00442A0E" w:rsidRDefault="004E1A1E" w:rsidP="004E1A1E">
      <w:pPr>
        <w:rPr>
          <w:rFonts w:ascii="Arial" w:hAnsi="Arial" w:cs="Arial"/>
          <w:sz w:val="24"/>
          <w:szCs w:val="24"/>
        </w:rPr>
      </w:pPr>
      <w:r w:rsidRPr="004E1A1E">
        <w:rPr>
          <w:rFonts w:ascii="Arial" w:hAnsi="Arial" w:cs="Arial"/>
          <w:sz w:val="24"/>
          <w:szCs w:val="24"/>
        </w:rPr>
        <w:lastRenderedPageBreak/>
        <w:t>By integrating these strategies with heritage, provenance, and destination appeal, PLB can navigate competitive pressures, sustain growth, and reinforce its market positioning (Njuguna et al., 2019).</w:t>
      </w:r>
    </w:p>
    <w:p w14:paraId="277C9881" w14:textId="2A649AD3" w:rsidR="004329C9" w:rsidRPr="00A82725" w:rsidRDefault="004329C9" w:rsidP="00A82725">
      <w:pPr>
        <w:pStyle w:val="Heading1"/>
        <w:rPr>
          <w:rFonts w:ascii="Arial" w:hAnsi="Arial" w:cs="Arial"/>
          <w:b/>
          <w:bCs/>
          <w:color w:val="000000" w:themeColor="text1"/>
          <w:sz w:val="24"/>
          <w:szCs w:val="24"/>
        </w:rPr>
      </w:pPr>
      <w:bookmarkStart w:id="6" w:name="_Toc214046175"/>
      <w:r w:rsidRPr="00A82725">
        <w:rPr>
          <w:rFonts w:ascii="Arial" w:hAnsi="Arial" w:cs="Arial"/>
          <w:b/>
          <w:bCs/>
          <w:color w:val="000000" w:themeColor="text1"/>
          <w:sz w:val="24"/>
          <w:szCs w:val="24"/>
        </w:rPr>
        <w:t>Digital Strategy and Reputation Management</w:t>
      </w:r>
      <w:bookmarkEnd w:id="6"/>
    </w:p>
    <w:p w14:paraId="20A1059C" w14:textId="6D55B741" w:rsidR="004329C9" w:rsidRPr="004329C9" w:rsidRDefault="004329C9" w:rsidP="004329C9">
      <w:pPr>
        <w:rPr>
          <w:rFonts w:ascii="Arial" w:hAnsi="Arial" w:cs="Arial"/>
          <w:sz w:val="24"/>
          <w:szCs w:val="24"/>
        </w:rPr>
      </w:pPr>
      <w:r w:rsidRPr="004329C9">
        <w:rPr>
          <w:rFonts w:ascii="Arial" w:hAnsi="Arial" w:cs="Arial"/>
          <w:sz w:val="24"/>
          <w:szCs w:val="24"/>
        </w:rPr>
        <w:t xml:space="preserve">A </w:t>
      </w:r>
      <w:r w:rsidRPr="004329C9">
        <w:rPr>
          <w:rFonts w:ascii="Arial" w:hAnsi="Arial" w:cs="Arial"/>
          <w:sz w:val="24"/>
          <w:szCs w:val="24"/>
        </w:rPr>
        <w:t>strong</w:t>
      </w:r>
      <w:r w:rsidRPr="004329C9">
        <w:rPr>
          <w:rFonts w:ascii="Arial" w:hAnsi="Arial" w:cs="Arial"/>
          <w:sz w:val="24"/>
          <w:szCs w:val="24"/>
        </w:rPr>
        <w:t xml:space="preserve"> digital strategy is integral to hospitality competitiveness, particularly for rural, experience-driven venues where online visibility shapes consumer expectations, destination choice, and booking behaviour (Buhalis &amp; Sinarta, 2019). As a premium rural restaurant and country house, Parc Le Breos (PLB) relies extensively on its digital ecosystem</w:t>
      </w:r>
      <w:r w:rsidR="00B85EEA">
        <w:rPr>
          <w:rFonts w:ascii="Arial" w:hAnsi="Arial" w:cs="Arial"/>
          <w:sz w:val="24"/>
          <w:szCs w:val="24"/>
        </w:rPr>
        <w:t xml:space="preserve"> </w:t>
      </w:r>
      <w:r w:rsidRPr="004329C9">
        <w:rPr>
          <w:rFonts w:ascii="Arial" w:hAnsi="Arial" w:cs="Arial"/>
          <w:sz w:val="24"/>
          <w:szCs w:val="24"/>
        </w:rPr>
        <w:t>its website, booking systems, social media activities, and presence on review platforms</w:t>
      </w:r>
      <w:r w:rsidR="00B85EEA">
        <w:rPr>
          <w:rFonts w:ascii="Arial" w:hAnsi="Arial" w:cs="Arial"/>
          <w:sz w:val="24"/>
          <w:szCs w:val="24"/>
        </w:rPr>
        <w:t xml:space="preserve"> </w:t>
      </w:r>
      <w:r w:rsidRPr="004329C9">
        <w:rPr>
          <w:rFonts w:ascii="Arial" w:hAnsi="Arial" w:cs="Arial"/>
          <w:sz w:val="24"/>
          <w:szCs w:val="24"/>
        </w:rPr>
        <w:t xml:space="preserve">to communicate value propositions and maintain brand reputation. A critical evaluation of PLB’s digital footprint reveals strong foundational elements, including high-quality imagery and coherent brand presentation, yet also highlights gaps in </w:t>
      </w:r>
      <w:r w:rsidR="00B85EEA">
        <w:rPr>
          <w:rFonts w:ascii="Arial" w:hAnsi="Arial" w:cs="Arial"/>
          <w:sz w:val="24"/>
          <w:szCs w:val="24"/>
        </w:rPr>
        <w:t>o</w:t>
      </w:r>
      <w:r w:rsidRPr="004329C9">
        <w:rPr>
          <w:rFonts w:ascii="Arial" w:hAnsi="Arial" w:cs="Arial"/>
          <w:sz w:val="24"/>
          <w:szCs w:val="24"/>
        </w:rPr>
        <w:t>ptimisation, engagement, and strategic integration.</w:t>
      </w:r>
    </w:p>
    <w:p w14:paraId="5C60F4E2" w14:textId="77777777" w:rsidR="004329C9" w:rsidRPr="004329C9" w:rsidRDefault="004329C9" w:rsidP="004329C9">
      <w:pPr>
        <w:rPr>
          <w:rFonts w:ascii="Arial" w:hAnsi="Arial" w:cs="Arial"/>
          <w:b/>
          <w:bCs/>
          <w:sz w:val="24"/>
          <w:szCs w:val="24"/>
        </w:rPr>
      </w:pPr>
      <w:r w:rsidRPr="004329C9">
        <w:rPr>
          <w:rFonts w:ascii="Arial" w:hAnsi="Arial" w:cs="Arial"/>
          <w:b/>
          <w:bCs/>
          <w:sz w:val="24"/>
          <w:szCs w:val="24"/>
        </w:rPr>
        <w:t>Website and Booking Systems</w:t>
      </w:r>
    </w:p>
    <w:p w14:paraId="123262C1" w14:textId="5B340A82"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3F525836" w14:textId="51167151" w:rsidR="004329C9" w:rsidRPr="004329C9" w:rsidRDefault="004329C9" w:rsidP="004329C9">
      <w:pPr>
        <w:rPr>
          <w:rFonts w:ascii="Arial" w:hAnsi="Arial" w:cs="Arial"/>
          <w:sz w:val="24"/>
          <w:szCs w:val="24"/>
        </w:rPr>
      </w:pPr>
      <w:r w:rsidRPr="004329C9">
        <w:rPr>
          <w:rFonts w:ascii="Arial" w:hAnsi="Arial" w:cs="Arial"/>
          <w:sz w:val="24"/>
          <w:szCs w:val="24"/>
        </w:rPr>
        <w:t>PLB’s website provides essential operational information</w:t>
      </w:r>
      <w:r w:rsidR="00B85EEA">
        <w:rPr>
          <w:rFonts w:ascii="Arial" w:hAnsi="Arial" w:cs="Arial"/>
          <w:sz w:val="24"/>
          <w:szCs w:val="24"/>
        </w:rPr>
        <w:t xml:space="preserve"> </w:t>
      </w:r>
      <w:r w:rsidRPr="004329C9">
        <w:rPr>
          <w:rFonts w:ascii="Arial" w:hAnsi="Arial" w:cs="Arial"/>
          <w:sz w:val="24"/>
          <w:szCs w:val="24"/>
        </w:rPr>
        <w:t>menus, room descriptions, contact details, and booking links</w:t>
      </w:r>
      <w:r w:rsidR="00B85EEA">
        <w:rPr>
          <w:rFonts w:ascii="Arial" w:hAnsi="Arial" w:cs="Arial"/>
          <w:sz w:val="24"/>
          <w:szCs w:val="24"/>
        </w:rPr>
        <w:t xml:space="preserve"> </w:t>
      </w:r>
      <w:r w:rsidRPr="004329C9">
        <w:rPr>
          <w:rFonts w:ascii="Arial" w:hAnsi="Arial" w:cs="Arial"/>
          <w:sz w:val="24"/>
          <w:szCs w:val="24"/>
        </w:rPr>
        <w:t>and visually reflects its countryside identity through photography and descriptions. The website also offers online booking functionality for both accommodation and dining, although some rooms are restricted to phone bookings only.</w:t>
      </w:r>
    </w:p>
    <w:p w14:paraId="550EE389" w14:textId="3D6AD3CD" w:rsidR="004329C9" w:rsidRPr="004329C9" w:rsidRDefault="004329C9" w:rsidP="004329C9">
      <w:pPr>
        <w:rPr>
          <w:rFonts w:ascii="Arial" w:hAnsi="Arial" w:cs="Arial"/>
          <w:b/>
          <w:bCs/>
          <w:sz w:val="24"/>
          <w:szCs w:val="24"/>
        </w:rPr>
      </w:pPr>
      <w:r w:rsidRPr="004329C9">
        <w:rPr>
          <w:rFonts w:ascii="Arial" w:hAnsi="Arial" w:cs="Arial"/>
          <w:b/>
          <w:bCs/>
          <w:sz w:val="24"/>
          <w:szCs w:val="24"/>
        </w:rPr>
        <w:t>E</w:t>
      </w:r>
      <w:r w:rsidRPr="004329C9">
        <w:rPr>
          <w:rFonts w:ascii="Arial" w:hAnsi="Arial" w:cs="Arial"/>
          <w:b/>
          <w:bCs/>
          <w:sz w:val="24"/>
          <w:szCs w:val="24"/>
        </w:rPr>
        <w:t>valuation</w:t>
      </w:r>
    </w:p>
    <w:p w14:paraId="10758D61" w14:textId="766A2D84" w:rsidR="004329C9" w:rsidRPr="004329C9" w:rsidRDefault="004329C9" w:rsidP="004329C9">
      <w:pPr>
        <w:rPr>
          <w:rFonts w:ascii="Arial" w:hAnsi="Arial" w:cs="Arial"/>
          <w:sz w:val="24"/>
          <w:szCs w:val="24"/>
        </w:rPr>
      </w:pPr>
      <w:r w:rsidRPr="004329C9">
        <w:rPr>
          <w:rFonts w:ascii="Arial" w:hAnsi="Arial" w:cs="Arial"/>
          <w:sz w:val="24"/>
          <w:szCs w:val="24"/>
        </w:rPr>
        <w:t>While functionally sound, the website remains largely static and descriptive rather than experiential or interactive. Contemporary literature emphasises that hospitality websites play a dual role: they provide information and act as narrative, sensory interfaces that shape perceived authenticity and emotional engagement (</w:t>
      </w:r>
      <w:r w:rsidR="00D65539">
        <w:rPr>
          <w:rFonts w:ascii="Arial" w:hAnsi="Arial" w:cs="Arial"/>
          <w:sz w:val="24"/>
          <w:szCs w:val="24"/>
        </w:rPr>
        <w:t>Ma et. al., 2023</w:t>
      </w:r>
      <w:r w:rsidRPr="004329C9">
        <w:rPr>
          <w:rFonts w:ascii="Arial" w:hAnsi="Arial" w:cs="Arial"/>
          <w:sz w:val="24"/>
          <w:szCs w:val="24"/>
        </w:rPr>
        <w:t>). The absence of virtual tours, blog-style updates, interactive features, or chef-driven storytelling limits PLB’s ability to communicate provenance, sustainability, and seasonality</w:t>
      </w:r>
      <w:r w:rsidR="00B85EEA">
        <w:rPr>
          <w:rFonts w:ascii="Arial" w:hAnsi="Arial" w:cs="Arial"/>
          <w:sz w:val="24"/>
          <w:szCs w:val="24"/>
        </w:rPr>
        <w:t xml:space="preserve"> </w:t>
      </w:r>
      <w:r w:rsidRPr="004329C9">
        <w:rPr>
          <w:rFonts w:ascii="Arial" w:hAnsi="Arial" w:cs="Arial"/>
          <w:sz w:val="24"/>
          <w:szCs w:val="24"/>
        </w:rPr>
        <w:t>key components of its brand identity.</w:t>
      </w:r>
    </w:p>
    <w:p w14:paraId="08BD72DF" w14:textId="2EBD0F36" w:rsidR="004329C9" w:rsidRPr="004329C9" w:rsidRDefault="004329C9" w:rsidP="004329C9">
      <w:pPr>
        <w:rPr>
          <w:rFonts w:ascii="Arial" w:hAnsi="Arial" w:cs="Arial"/>
          <w:sz w:val="24"/>
          <w:szCs w:val="24"/>
        </w:rPr>
      </w:pPr>
      <w:r w:rsidRPr="004329C9">
        <w:rPr>
          <w:rFonts w:ascii="Arial" w:hAnsi="Arial" w:cs="Arial"/>
          <w:sz w:val="24"/>
          <w:szCs w:val="24"/>
        </w:rPr>
        <w:t>From a service-quality perspective, research shows that mobile optimisation, intuitive navigation, and frictionless booking processes significantly influence conversions and guest satisfaction (</w:t>
      </w:r>
      <w:r w:rsidR="004946AA">
        <w:rPr>
          <w:rFonts w:ascii="Arial" w:hAnsi="Arial" w:cs="Arial"/>
          <w:sz w:val="24"/>
          <w:szCs w:val="24"/>
        </w:rPr>
        <w:t>Pal, 2024).</w:t>
      </w:r>
      <w:r w:rsidRPr="004329C9">
        <w:rPr>
          <w:rFonts w:ascii="Arial" w:hAnsi="Arial" w:cs="Arial"/>
          <w:sz w:val="24"/>
          <w:szCs w:val="24"/>
        </w:rPr>
        <w:t xml:space="preserve"> While PLB’s online system is functional, opportunities for enhancement remain. The website lacks integrated table-booking widgets on all relevant pages, dynamic calls to action, and a personalised user journey. According to the e-service quality model (Parasuraman et al., 2005), the absence of personalisation, responsiveness, and system-enabled upselling (e.g., afternoon tea add-ons, wine pairings, celebration packages) limits both user experience quality and potential revenue optimisation.</w:t>
      </w:r>
    </w:p>
    <w:p w14:paraId="1A935CB7" w14:textId="1E81DF2D" w:rsidR="004329C9" w:rsidRPr="004329C9" w:rsidRDefault="00E93D91" w:rsidP="004329C9">
      <w:pPr>
        <w:rPr>
          <w:rFonts w:ascii="Arial" w:hAnsi="Arial" w:cs="Arial"/>
          <w:sz w:val="24"/>
          <w:szCs w:val="24"/>
        </w:rPr>
      </w:pPr>
      <w:r>
        <w:rPr>
          <w:rFonts w:ascii="Arial" w:hAnsi="Arial" w:cs="Arial"/>
          <w:sz w:val="24"/>
          <w:szCs w:val="24"/>
        </w:rPr>
        <w:t xml:space="preserve">Note: </w:t>
      </w:r>
      <w:r w:rsidR="004329C9" w:rsidRPr="004329C9">
        <w:rPr>
          <w:rFonts w:ascii="Arial" w:hAnsi="Arial" w:cs="Arial"/>
          <w:sz w:val="24"/>
          <w:szCs w:val="24"/>
        </w:rPr>
        <w:t>These limitations are inferred from industry best practice, as internal digital metrics or CRM tools are not publicly visible.</w:t>
      </w:r>
    </w:p>
    <w:p w14:paraId="3BDE1214" w14:textId="3AE2A83C" w:rsidR="004329C9" w:rsidRPr="004329C9" w:rsidRDefault="004329C9" w:rsidP="004329C9">
      <w:pPr>
        <w:rPr>
          <w:rFonts w:ascii="Arial" w:hAnsi="Arial" w:cs="Arial"/>
          <w:b/>
          <w:bCs/>
          <w:sz w:val="24"/>
          <w:szCs w:val="24"/>
        </w:rPr>
      </w:pPr>
      <w:r w:rsidRPr="004329C9">
        <w:rPr>
          <w:rFonts w:ascii="Arial" w:hAnsi="Arial" w:cs="Arial"/>
          <w:b/>
          <w:bCs/>
          <w:sz w:val="24"/>
          <w:szCs w:val="24"/>
        </w:rPr>
        <w:t>Social Media Presence</w:t>
      </w:r>
    </w:p>
    <w:p w14:paraId="516864FA" w14:textId="36E299DC"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0EFAA358" w14:textId="2E355933" w:rsidR="004329C9" w:rsidRPr="004329C9" w:rsidRDefault="004329C9" w:rsidP="004329C9">
      <w:pPr>
        <w:rPr>
          <w:rFonts w:ascii="Arial" w:hAnsi="Arial" w:cs="Arial"/>
          <w:sz w:val="24"/>
          <w:szCs w:val="24"/>
        </w:rPr>
      </w:pPr>
      <w:r w:rsidRPr="004329C9">
        <w:rPr>
          <w:rFonts w:ascii="Arial" w:hAnsi="Arial" w:cs="Arial"/>
          <w:sz w:val="24"/>
          <w:szCs w:val="24"/>
        </w:rPr>
        <w:t>PLB maintains active Instagram and Facebook pages showcasing high-quality visuals of dishes, interiors, and grounds. Posting frequency appears moderate, and content primarily highlights scenic and culinary features.</w:t>
      </w:r>
    </w:p>
    <w:p w14:paraId="00B2E894" w14:textId="77777777" w:rsidR="00F358FA" w:rsidRDefault="00F358FA" w:rsidP="004329C9">
      <w:pPr>
        <w:rPr>
          <w:rFonts w:ascii="Arial" w:hAnsi="Arial" w:cs="Arial"/>
          <w:b/>
          <w:bCs/>
          <w:sz w:val="24"/>
          <w:szCs w:val="24"/>
        </w:rPr>
      </w:pPr>
    </w:p>
    <w:p w14:paraId="5B97DBD6" w14:textId="77777777" w:rsidR="00F358FA" w:rsidRDefault="00F358FA" w:rsidP="004329C9">
      <w:pPr>
        <w:rPr>
          <w:rFonts w:ascii="Arial" w:hAnsi="Arial" w:cs="Arial"/>
          <w:b/>
          <w:bCs/>
          <w:sz w:val="24"/>
          <w:szCs w:val="24"/>
        </w:rPr>
      </w:pPr>
    </w:p>
    <w:p w14:paraId="40591832" w14:textId="6A9119CE" w:rsidR="004329C9" w:rsidRPr="004329C9" w:rsidRDefault="004329C9" w:rsidP="004329C9">
      <w:pPr>
        <w:rPr>
          <w:rFonts w:ascii="Arial" w:hAnsi="Arial" w:cs="Arial"/>
          <w:b/>
          <w:bCs/>
          <w:sz w:val="24"/>
          <w:szCs w:val="24"/>
        </w:rPr>
      </w:pPr>
      <w:r w:rsidRPr="004329C9">
        <w:rPr>
          <w:rFonts w:ascii="Arial" w:hAnsi="Arial" w:cs="Arial"/>
          <w:b/>
          <w:bCs/>
          <w:sz w:val="24"/>
          <w:szCs w:val="24"/>
        </w:rPr>
        <w:lastRenderedPageBreak/>
        <w:t>E</w:t>
      </w:r>
      <w:r w:rsidRPr="004329C9">
        <w:rPr>
          <w:rFonts w:ascii="Arial" w:hAnsi="Arial" w:cs="Arial"/>
          <w:b/>
          <w:bCs/>
          <w:sz w:val="24"/>
          <w:szCs w:val="24"/>
        </w:rPr>
        <w:t>valuation</w:t>
      </w:r>
    </w:p>
    <w:p w14:paraId="2D1E11AA" w14:textId="55254801" w:rsidR="004329C9" w:rsidRPr="004329C9" w:rsidRDefault="004329C9" w:rsidP="004329C9">
      <w:pPr>
        <w:rPr>
          <w:rFonts w:ascii="Arial" w:hAnsi="Arial" w:cs="Arial"/>
          <w:sz w:val="24"/>
          <w:szCs w:val="24"/>
        </w:rPr>
      </w:pPr>
      <w:r w:rsidRPr="004329C9">
        <w:rPr>
          <w:rFonts w:ascii="Arial" w:hAnsi="Arial" w:cs="Arial"/>
          <w:sz w:val="24"/>
          <w:szCs w:val="24"/>
        </w:rPr>
        <w:t>Despite strong visual assets, the social strategy appears primarily broadcast-oriented, lacking interactive, consistent, or narrative-driven engagement. Research in rural tourism and gastronomy shows that social platforms</w:t>
      </w:r>
      <w:r w:rsidR="00F358FA">
        <w:rPr>
          <w:rFonts w:ascii="Arial" w:hAnsi="Arial" w:cs="Arial"/>
          <w:sz w:val="24"/>
          <w:szCs w:val="24"/>
        </w:rPr>
        <w:t xml:space="preserve"> </w:t>
      </w:r>
      <w:r w:rsidRPr="004329C9">
        <w:rPr>
          <w:rFonts w:ascii="Arial" w:hAnsi="Arial" w:cs="Arial"/>
          <w:sz w:val="24"/>
          <w:szCs w:val="24"/>
        </w:rPr>
        <w:t>especially Instagram and TikTok</w:t>
      </w:r>
      <w:r w:rsidR="00F358FA">
        <w:rPr>
          <w:rFonts w:ascii="Arial" w:hAnsi="Arial" w:cs="Arial"/>
          <w:sz w:val="24"/>
          <w:szCs w:val="24"/>
        </w:rPr>
        <w:t xml:space="preserve"> </w:t>
      </w:r>
      <w:r w:rsidRPr="004329C9">
        <w:rPr>
          <w:rFonts w:ascii="Arial" w:hAnsi="Arial" w:cs="Arial"/>
          <w:sz w:val="24"/>
          <w:szCs w:val="24"/>
        </w:rPr>
        <w:t>serve as influential discovery tools, shaping dining choice and travel behaviour through visual storytelling and social proof (</w:t>
      </w:r>
      <w:r w:rsidR="00642A31">
        <w:rPr>
          <w:rFonts w:ascii="Arial" w:hAnsi="Arial" w:cs="Arial"/>
          <w:sz w:val="24"/>
          <w:szCs w:val="24"/>
        </w:rPr>
        <w:t>Vukolic &amp; Penic, 2025</w:t>
      </w:r>
      <w:r w:rsidRPr="004329C9">
        <w:rPr>
          <w:rFonts w:ascii="Arial" w:hAnsi="Arial" w:cs="Arial"/>
          <w:sz w:val="24"/>
          <w:szCs w:val="24"/>
        </w:rPr>
        <w:t>).</w:t>
      </w:r>
    </w:p>
    <w:p w14:paraId="759869BE" w14:textId="719F382A" w:rsidR="004329C9" w:rsidRPr="004329C9" w:rsidRDefault="004329C9" w:rsidP="004329C9">
      <w:pPr>
        <w:rPr>
          <w:rFonts w:ascii="Arial" w:hAnsi="Arial" w:cs="Arial"/>
          <w:sz w:val="24"/>
          <w:szCs w:val="24"/>
        </w:rPr>
      </w:pPr>
      <w:r w:rsidRPr="004329C9">
        <w:rPr>
          <w:rFonts w:ascii="Arial" w:hAnsi="Arial" w:cs="Arial"/>
          <w:sz w:val="24"/>
          <w:szCs w:val="24"/>
        </w:rPr>
        <w:t>Academic evidence emphasises the effectiveness of user-generated content (UGC), behind-the-scenes material, and co-created digital narratives in enhancing authenticity, trust, and emotional resonance with audiences (</w:t>
      </w:r>
      <w:r w:rsidR="00642A31">
        <w:rPr>
          <w:rFonts w:ascii="Arial" w:hAnsi="Arial" w:cs="Arial"/>
          <w:sz w:val="24"/>
          <w:szCs w:val="24"/>
        </w:rPr>
        <w:t>Ahmad et.al., 2024</w:t>
      </w:r>
      <w:r w:rsidRPr="004329C9">
        <w:rPr>
          <w:rFonts w:ascii="Arial" w:hAnsi="Arial" w:cs="Arial"/>
          <w:sz w:val="24"/>
          <w:szCs w:val="24"/>
        </w:rPr>
        <w:t>). PLB’s current limited use of story features, reels, chef insights, or garden-to-plate narratives suggests an underutilisation of assets that could distinctively communicate provenance and craftsmanship.</w:t>
      </w:r>
    </w:p>
    <w:p w14:paraId="4EC5516D" w14:textId="1642E7E6" w:rsidR="004329C9" w:rsidRPr="004329C9" w:rsidRDefault="004329C9" w:rsidP="004329C9">
      <w:pPr>
        <w:rPr>
          <w:rFonts w:ascii="Arial" w:hAnsi="Arial" w:cs="Arial"/>
          <w:sz w:val="24"/>
          <w:szCs w:val="24"/>
        </w:rPr>
      </w:pPr>
      <w:r>
        <w:rPr>
          <w:rFonts w:ascii="Arial" w:hAnsi="Arial" w:cs="Arial"/>
          <w:sz w:val="24"/>
          <w:szCs w:val="24"/>
        </w:rPr>
        <w:t xml:space="preserve">Note: </w:t>
      </w:r>
      <w:r w:rsidRPr="004329C9">
        <w:rPr>
          <w:rFonts w:ascii="Arial" w:hAnsi="Arial" w:cs="Arial"/>
          <w:sz w:val="24"/>
          <w:szCs w:val="24"/>
        </w:rPr>
        <w:t>This conclusion is inferred from comparative industry analysis, as detailed engagement metrics are not publicly accessible.</w:t>
      </w:r>
    </w:p>
    <w:p w14:paraId="3DDB8CD3" w14:textId="37018FDE" w:rsidR="004329C9" w:rsidRPr="00F358FA" w:rsidRDefault="004329C9" w:rsidP="004329C9">
      <w:pPr>
        <w:rPr>
          <w:rFonts w:ascii="Arial" w:hAnsi="Arial" w:cs="Arial"/>
          <w:b/>
          <w:bCs/>
          <w:sz w:val="24"/>
          <w:szCs w:val="24"/>
        </w:rPr>
      </w:pPr>
      <w:r w:rsidRPr="00F358FA">
        <w:rPr>
          <w:rFonts w:ascii="Arial" w:hAnsi="Arial" w:cs="Arial"/>
          <w:b/>
          <w:bCs/>
          <w:sz w:val="24"/>
          <w:szCs w:val="24"/>
        </w:rPr>
        <w:t>Review Platforms and Online Reputation Management</w:t>
      </w:r>
    </w:p>
    <w:p w14:paraId="2AB66248" w14:textId="7F446E7B" w:rsidR="004329C9" w:rsidRPr="004329C9" w:rsidRDefault="004329C9" w:rsidP="004329C9">
      <w:pPr>
        <w:rPr>
          <w:rFonts w:ascii="Arial" w:hAnsi="Arial" w:cs="Arial"/>
          <w:b/>
          <w:bCs/>
          <w:sz w:val="24"/>
          <w:szCs w:val="24"/>
        </w:rPr>
      </w:pPr>
      <w:r w:rsidRPr="004329C9">
        <w:rPr>
          <w:rFonts w:ascii="Arial" w:hAnsi="Arial" w:cs="Arial"/>
          <w:b/>
          <w:bCs/>
          <w:sz w:val="24"/>
          <w:szCs w:val="24"/>
        </w:rPr>
        <w:t>Public source</w:t>
      </w:r>
    </w:p>
    <w:p w14:paraId="416E7DFC" w14:textId="7F4F5DD7" w:rsidR="004329C9" w:rsidRPr="004329C9" w:rsidRDefault="004329C9" w:rsidP="004329C9">
      <w:pPr>
        <w:rPr>
          <w:rFonts w:ascii="Arial" w:hAnsi="Arial" w:cs="Arial"/>
          <w:sz w:val="24"/>
          <w:szCs w:val="24"/>
        </w:rPr>
      </w:pPr>
      <w:r w:rsidRPr="004329C9">
        <w:rPr>
          <w:rFonts w:ascii="Arial" w:hAnsi="Arial" w:cs="Arial"/>
          <w:sz w:val="24"/>
          <w:szCs w:val="24"/>
        </w:rPr>
        <w:t>PLB holds a consistently high average rating across review platforms (e.g., TripAdvisor), and themes such as attentive service, quality dining, and tranquil surroundings recur frequently in guest feedback.</w:t>
      </w:r>
    </w:p>
    <w:p w14:paraId="46E3F3CE" w14:textId="0B536975" w:rsidR="004329C9" w:rsidRPr="004329C9" w:rsidRDefault="004329C9" w:rsidP="004329C9">
      <w:pPr>
        <w:rPr>
          <w:rFonts w:ascii="Arial" w:hAnsi="Arial" w:cs="Arial"/>
          <w:b/>
          <w:bCs/>
          <w:sz w:val="24"/>
          <w:szCs w:val="24"/>
        </w:rPr>
      </w:pPr>
      <w:r w:rsidRPr="004329C9">
        <w:rPr>
          <w:rFonts w:ascii="Arial" w:hAnsi="Arial" w:cs="Arial"/>
          <w:b/>
          <w:bCs/>
          <w:sz w:val="24"/>
          <w:szCs w:val="24"/>
        </w:rPr>
        <w:t>E</w:t>
      </w:r>
      <w:r w:rsidRPr="004329C9">
        <w:rPr>
          <w:rFonts w:ascii="Arial" w:hAnsi="Arial" w:cs="Arial"/>
          <w:b/>
          <w:bCs/>
          <w:sz w:val="24"/>
          <w:szCs w:val="24"/>
        </w:rPr>
        <w:t>valuation</w:t>
      </w:r>
    </w:p>
    <w:p w14:paraId="363B12B9" w14:textId="0247A2EF" w:rsidR="004329C9" w:rsidRPr="004329C9" w:rsidRDefault="004329C9" w:rsidP="004329C9">
      <w:pPr>
        <w:rPr>
          <w:rFonts w:ascii="Arial" w:hAnsi="Arial" w:cs="Arial"/>
          <w:sz w:val="24"/>
          <w:szCs w:val="24"/>
        </w:rPr>
      </w:pPr>
      <w:r w:rsidRPr="004329C9">
        <w:rPr>
          <w:rFonts w:ascii="Arial" w:hAnsi="Arial" w:cs="Arial"/>
          <w:sz w:val="24"/>
          <w:szCs w:val="24"/>
        </w:rPr>
        <w:t>Although reviews are overwhelmingly positive, visible managerial responses appear selective rather than systematic. Research indicates that timely, personalised responses to both positive and negative reviews enhance trust, mitigate dissatisfaction, and increase future booking intention (Sparks &amp; Browning, 2011; Mauri &amp; Minazzi, 2013). This is especially crucial in premium rural hospitality, where service expectations are elevated and word-of-mouth holds significant influence (</w:t>
      </w:r>
      <w:r w:rsidR="00F170EE">
        <w:rPr>
          <w:rFonts w:ascii="Arial" w:hAnsi="Arial" w:cs="Arial"/>
          <w:sz w:val="24"/>
          <w:szCs w:val="24"/>
        </w:rPr>
        <w:t>Phillips et. al., 2013</w:t>
      </w:r>
      <w:r w:rsidRPr="004329C9">
        <w:rPr>
          <w:rFonts w:ascii="Arial" w:hAnsi="Arial" w:cs="Arial"/>
          <w:sz w:val="24"/>
          <w:szCs w:val="24"/>
        </w:rPr>
        <w:t>).</w:t>
      </w:r>
    </w:p>
    <w:p w14:paraId="134A0140" w14:textId="241E5039" w:rsidR="004329C9" w:rsidRPr="004329C9" w:rsidRDefault="004329C9" w:rsidP="004329C9">
      <w:pPr>
        <w:rPr>
          <w:rFonts w:ascii="Arial" w:hAnsi="Arial" w:cs="Arial"/>
          <w:sz w:val="24"/>
          <w:szCs w:val="24"/>
        </w:rPr>
      </w:pPr>
      <w:r w:rsidRPr="004329C9">
        <w:rPr>
          <w:rFonts w:ascii="Arial" w:hAnsi="Arial" w:cs="Arial"/>
          <w:sz w:val="24"/>
          <w:szCs w:val="24"/>
        </w:rPr>
        <w:t>A structured reputation-management protocol</w:t>
      </w:r>
      <w:r>
        <w:rPr>
          <w:rFonts w:ascii="Arial" w:hAnsi="Arial" w:cs="Arial"/>
          <w:sz w:val="24"/>
          <w:szCs w:val="24"/>
        </w:rPr>
        <w:t xml:space="preserve"> </w:t>
      </w:r>
      <w:r w:rsidRPr="004329C9">
        <w:rPr>
          <w:rFonts w:ascii="Arial" w:hAnsi="Arial" w:cs="Arial"/>
          <w:sz w:val="24"/>
          <w:szCs w:val="24"/>
        </w:rPr>
        <w:t>consistently monitored and data-informed</w:t>
      </w:r>
      <w:r>
        <w:rPr>
          <w:rFonts w:ascii="Arial" w:hAnsi="Arial" w:cs="Arial"/>
          <w:sz w:val="24"/>
          <w:szCs w:val="24"/>
        </w:rPr>
        <w:t xml:space="preserve"> </w:t>
      </w:r>
      <w:r w:rsidRPr="004329C9">
        <w:rPr>
          <w:rFonts w:ascii="Arial" w:hAnsi="Arial" w:cs="Arial"/>
          <w:sz w:val="24"/>
          <w:szCs w:val="24"/>
        </w:rPr>
        <w:t>would reinforce PLB’s premium positioning and signal a high level of service accountability.</w:t>
      </w:r>
    </w:p>
    <w:p w14:paraId="4A5FC1DC" w14:textId="53D272DD" w:rsidR="004329C9" w:rsidRPr="004329C9" w:rsidRDefault="00F170EE" w:rsidP="004329C9">
      <w:pPr>
        <w:rPr>
          <w:rFonts w:ascii="Arial" w:hAnsi="Arial" w:cs="Arial"/>
          <w:sz w:val="24"/>
          <w:szCs w:val="24"/>
        </w:rPr>
      </w:pPr>
      <w:r>
        <w:rPr>
          <w:rFonts w:ascii="Arial" w:hAnsi="Arial" w:cs="Arial"/>
          <w:sz w:val="24"/>
          <w:szCs w:val="24"/>
        </w:rPr>
        <w:t>Note: T</w:t>
      </w:r>
      <w:r w:rsidR="004329C9" w:rsidRPr="004329C9">
        <w:rPr>
          <w:rFonts w:ascii="Arial" w:hAnsi="Arial" w:cs="Arial"/>
          <w:sz w:val="24"/>
          <w:szCs w:val="24"/>
        </w:rPr>
        <w:t>his evaluation is inferred, as internal review-handling policies are not available publicly.</w:t>
      </w:r>
    </w:p>
    <w:p w14:paraId="5DEDBB99" w14:textId="2B1C1010" w:rsidR="004329C9" w:rsidRPr="004329C9" w:rsidRDefault="004329C9" w:rsidP="004329C9">
      <w:pPr>
        <w:rPr>
          <w:rFonts w:ascii="Arial" w:hAnsi="Arial" w:cs="Arial"/>
          <w:b/>
          <w:bCs/>
          <w:sz w:val="24"/>
          <w:szCs w:val="24"/>
        </w:rPr>
      </w:pPr>
      <w:r w:rsidRPr="004329C9">
        <w:rPr>
          <w:rFonts w:ascii="Arial" w:hAnsi="Arial" w:cs="Arial"/>
          <w:b/>
          <w:bCs/>
          <w:sz w:val="24"/>
          <w:szCs w:val="24"/>
        </w:rPr>
        <w:t>Influence of Digital Footprint on Customer Expectations</w:t>
      </w:r>
    </w:p>
    <w:p w14:paraId="0DD3251E" w14:textId="375134DC" w:rsidR="004329C9" w:rsidRPr="004329C9" w:rsidRDefault="004329C9" w:rsidP="004329C9">
      <w:pPr>
        <w:rPr>
          <w:rFonts w:ascii="Arial" w:hAnsi="Arial" w:cs="Arial"/>
          <w:sz w:val="24"/>
          <w:szCs w:val="24"/>
        </w:rPr>
      </w:pPr>
      <w:r w:rsidRPr="004329C9">
        <w:rPr>
          <w:rFonts w:ascii="Arial" w:hAnsi="Arial" w:cs="Arial"/>
          <w:sz w:val="24"/>
          <w:szCs w:val="24"/>
        </w:rPr>
        <w:t xml:space="preserve">Digital touchpoints shape pre-visit expectations, which directly influence perceived service quality and overall satisfaction (Buhalis, </w:t>
      </w:r>
      <w:r w:rsidR="00F170EE">
        <w:rPr>
          <w:rFonts w:ascii="Arial" w:hAnsi="Arial" w:cs="Arial"/>
          <w:sz w:val="24"/>
          <w:szCs w:val="24"/>
        </w:rPr>
        <w:t>2019</w:t>
      </w:r>
      <w:r w:rsidRPr="004329C9">
        <w:rPr>
          <w:rFonts w:ascii="Arial" w:hAnsi="Arial" w:cs="Arial"/>
          <w:sz w:val="24"/>
          <w:szCs w:val="24"/>
        </w:rPr>
        <w:t>). PLB’s strong imagery and clear branding create high expectations for refined dining, scenic surroundings, and personalised service. However, gaps in digital transparency</w:t>
      </w:r>
      <w:r>
        <w:rPr>
          <w:rFonts w:ascii="Arial" w:hAnsi="Arial" w:cs="Arial"/>
          <w:sz w:val="24"/>
          <w:szCs w:val="24"/>
        </w:rPr>
        <w:t xml:space="preserve"> </w:t>
      </w:r>
      <w:r w:rsidRPr="004329C9">
        <w:rPr>
          <w:rFonts w:ascii="Arial" w:hAnsi="Arial" w:cs="Arial"/>
          <w:sz w:val="24"/>
          <w:szCs w:val="24"/>
        </w:rPr>
        <w:t>such as limited menu updates, minimal staff introductions, and absence of behind-the-scenes content</w:t>
      </w:r>
      <w:r>
        <w:rPr>
          <w:rFonts w:ascii="Arial" w:hAnsi="Arial" w:cs="Arial"/>
          <w:sz w:val="24"/>
          <w:szCs w:val="24"/>
        </w:rPr>
        <w:t xml:space="preserve"> </w:t>
      </w:r>
      <w:r w:rsidRPr="004329C9">
        <w:rPr>
          <w:rFonts w:ascii="Arial" w:hAnsi="Arial" w:cs="Arial"/>
          <w:sz w:val="24"/>
          <w:szCs w:val="24"/>
        </w:rPr>
        <w:t>risk creating expectation</w:t>
      </w:r>
      <w:r>
        <w:rPr>
          <w:rFonts w:ascii="Arial" w:hAnsi="Arial" w:cs="Arial"/>
          <w:sz w:val="24"/>
          <w:szCs w:val="24"/>
        </w:rPr>
        <w:t xml:space="preserve"> </w:t>
      </w:r>
      <w:r w:rsidRPr="004329C9">
        <w:rPr>
          <w:rFonts w:ascii="Arial" w:hAnsi="Arial" w:cs="Arial"/>
          <w:sz w:val="24"/>
          <w:szCs w:val="24"/>
        </w:rPr>
        <w:t>performance mismatches (</w:t>
      </w:r>
      <w:r w:rsidR="000D413A">
        <w:rPr>
          <w:rFonts w:ascii="Arial" w:hAnsi="Arial" w:cs="Arial"/>
          <w:sz w:val="24"/>
          <w:szCs w:val="24"/>
        </w:rPr>
        <w:t xml:space="preserve">Leung, 2024). </w:t>
      </w:r>
      <w:r w:rsidRPr="004329C9">
        <w:rPr>
          <w:rFonts w:ascii="Arial" w:hAnsi="Arial" w:cs="Arial"/>
          <w:sz w:val="24"/>
          <w:szCs w:val="24"/>
        </w:rPr>
        <w:t>Strengthening digital consistency would help ensure alignment between online representation and onsite delivery.</w:t>
      </w:r>
    </w:p>
    <w:p w14:paraId="56B421FA" w14:textId="2FEE78DD" w:rsidR="004329C9" w:rsidRPr="004329C9" w:rsidRDefault="004329C9" w:rsidP="004329C9">
      <w:pPr>
        <w:rPr>
          <w:rFonts w:ascii="Arial" w:hAnsi="Arial" w:cs="Arial"/>
          <w:b/>
          <w:bCs/>
          <w:sz w:val="24"/>
          <w:szCs w:val="24"/>
        </w:rPr>
      </w:pPr>
      <w:r w:rsidRPr="004329C9">
        <w:rPr>
          <w:rFonts w:ascii="Arial" w:hAnsi="Arial" w:cs="Arial"/>
          <w:b/>
          <w:bCs/>
          <w:sz w:val="24"/>
          <w:szCs w:val="24"/>
        </w:rPr>
        <w:t>Critical Synthesis</w:t>
      </w:r>
    </w:p>
    <w:p w14:paraId="23519B7B" w14:textId="6A9F88A1" w:rsidR="004329C9" w:rsidRPr="004329C9" w:rsidRDefault="004329C9" w:rsidP="004329C9">
      <w:pPr>
        <w:rPr>
          <w:rFonts w:ascii="Arial" w:hAnsi="Arial" w:cs="Arial"/>
          <w:sz w:val="24"/>
          <w:szCs w:val="24"/>
        </w:rPr>
      </w:pPr>
      <w:r w:rsidRPr="004329C9">
        <w:rPr>
          <w:rFonts w:ascii="Arial" w:hAnsi="Arial" w:cs="Arial"/>
          <w:sz w:val="24"/>
          <w:szCs w:val="24"/>
        </w:rPr>
        <w:t>PLB’s digital presence aligns with its premium identity but does not fully leverage the strategic potential of modern digital tools. Key issues include:</w:t>
      </w:r>
    </w:p>
    <w:p w14:paraId="38C40BF5" w14:textId="25E4F70B"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Underutilisation of social storytelling and audience engagement</w:t>
      </w:r>
      <w:r>
        <w:rPr>
          <w:rFonts w:ascii="Arial" w:hAnsi="Arial" w:cs="Arial"/>
          <w:sz w:val="24"/>
          <w:szCs w:val="24"/>
        </w:rPr>
        <w:t>.</w:t>
      </w:r>
    </w:p>
    <w:p w14:paraId="596F3097" w14:textId="09630194"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Limited website personalisation and mobile-optimised conversion pathways</w:t>
      </w:r>
      <w:r>
        <w:rPr>
          <w:rFonts w:ascii="Arial" w:hAnsi="Arial" w:cs="Arial"/>
          <w:sz w:val="24"/>
          <w:szCs w:val="24"/>
        </w:rPr>
        <w:t>.</w:t>
      </w:r>
    </w:p>
    <w:p w14:paraId="5ACF35BB" w14:textId="24EBE954"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t>Inconsistent online review management processe</w:t>
      </w:r>
      <w:r>
        <w:rPr>
          <w:rFonts w:ascii="Arial" w:hAnsi="Arial" w:cs="Arial"/>
          <w:sz w:val="24"/>
          <w:szCs w:val="24"/>
        </w:rPr>
        <w:t>s.</w:t>
      </w:r>
    </w:p>
    <w:p w14:paraId="5CF791B4" w14:textId="5C50DAEF" w:rsidR="004329C9" w:rsidRPr="004329C9" w:rsidRDefault="004329C9" w:rsidP="004329C9">
      <w:pPr>
        <w:pStyle w:val="ListParagraph"/>
        <w:numPr>
          <w:ilvl w:val="0"/>
          <w:numId w:val="6"/>
        </w:numPr>
        <w:rPr>
          <w:rFonts w:ascii="Arial" w:hAnsi="Arial" w:cs="Arial"/>
          <w:sz w:val="24"/>
          <w:szCs w:val="24"/>
        </w:rPr>
      </w:pPr>
      <w:r w:rsidRPr="004329C9">
        <w:rPr>
          <w:rFonts w:ascii="Arial" w:hAnsi="Arial" w:cs="Arial"/>
          <w:sz w:val="24"/>
          <w:szCs w:val="24"/>
        </w:rPr>
        <w:lastRenderedPageBreak/>
        <w:t>Minimal evidence of integrated analytics driving digital decisions</w:t>
      </w:r>
      <w:r>
        <w:rPr>
          <w:rFonts w:ascii="Arial" w:hAnsi="Arial" w:cs="Arial"/>
          <w:sz w:val="24"/>
          <w:szCs w:val="24"/>
        </w:rPr>
        <w:t>.</w:t>
      </w:r>
    </w:p>
    <w:p w14:paraId="55E8621F" w14:textId="638D0060" w:rsidR="004329C9" w:rsidRPr="004329C9" w:rsidRDefault="004329C9" w:rsidP="004329C9">
      <w:pPr>
        <w:rPr>
          <w:rFonts w:ascii="Arial" w:hAnsi="Arial" w:cs="Arial"/>
          <w:sz w:val="24"/>
          <w:szCs w:val="24"/>
        </w:rPr>
      </w:pPr>
      <w:r w:rsidRPr="004329C9">
        <w:rPr>
          <w:rFonts w:ascii="Arial" w:hAnsi="Arial" w:cs="Arial"/>
          <w:sz w:val="24"/>
          <w:szCs w:val="24"/>
        </w:rPr>
        <w:t>These limitations constrain the business’s ability to reach digitally active market segments, particularly younger, urban, and experience-seeking consumers who rely heavily on online platforms when selecting rural dining destinations (</w:t>
      </w:r>
      <w:r w:rsidR="007265FA">
        <w:rPr>
          <w:rFonts w:ascii="Arial" w:hAnsi="Arial" w:cs="Arial"/>
          <w:sz w:val="24"/>
          <w:szCs w:val="24"/>
        </w:rPr>
        <w:t>Mcdowell, 2025)</w:t>
      </w:r>
      <w:r w:rsidR="00E674DC">
        <w:rPr>
          <w:rFonts w:ascii="Arial" w:hAnsi="Arial" w:cs="Arial"/>
          <w:sz w:val="24"/>
          <w:szCs w:val="24"/>
        </w:rPr>
        <w:t>.</w:t>
      </w:r>
    </w:p>
    <w:p w14:paraId="2C28BFB4" w14:textId="0EB9BFFD" w:rsidR="004329C9" w:rsidRPr="004329C9" w:rsidRDefault="004329C9" w:rsidP="004329C9">
      <w:pPr>
        <w:rPr>
          <w:rFonts w:ascii="Arial" w:hAnsi="Arial" w:cs="Arial"/>
          <w:b/>
          <w:bCs/>
          <w:sz w:val="24"/>
          <w:szCs w:val="24"/>
        </w:rPr>
      </w:pPr>
      <w:r w:rsidRPr="004329C9">
        <w:rPr>
          <w:rFonts w:ascii="Arial" w:hAnsi="Arial" w:cs="Arial"/>
          <w:b/>
          <w:bCs/>
          <w:sz w:val="24"/>
          <w:szCs w:val="24"/>
        </w:rPr>
        <w:t>Recommendations</w:t>
      </w:r>
    </w:p>
    <w:p w14:paraId="22031C93" w14:textId="58AC4D30" w:rsidR="004329C9" w:rsidRPr="004329C9" w:rsidRDefault="004329C9" w:rsidP="004329C9">
      <w:pPr>
        <w:rPr>
          <w:rFonts w:ascii="Arial" w:hAnsi="Arial" w:cs="Arial"/>
          <w:sz w:val="24"/>
          <w:szCs w:val="24"/>
        </w:rPr>
      </w:pPr>
      <w:r w:rsidRPr="004329C9">
        <w:rPr>
          <w:rFonts w:ascii="Arial" w:hAnsi="Arial" w:cs="Arial"/>
          <w:sz w:val="24"/>
          <w:szCs w:val="24"/>
        </w:rPr>
        <w:t>To strengthen digital strategy and reputation management, PLB should:</w:t>
      </w:r>
    </w:p>
    <w:p w14:paraId="073C6119" w14:textId="651A08D8"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Redesign the website using a mobile-first, narrative-driven approach, incorporating dynamic content (seasonal updates, garden-to-plate stories), real-time booking widgets, and upsell opportunities.</w:t>
      </w:r>
    </w:p>
    <w:p w14:paraId="0154DAE7" w14:textId="32D24194"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Adopt a structured social media strategy featuring consistent posting, chef-led stories, provenance storytelling, UGC campaigns, and interactive features (Q&amp;A, polls).</w:t>
      </w:r>
    </w:p>
    <w:p w14:paraId="571A546B" w14:textId="472A8EF3"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Implement a formalised review-response policy, ensuring all reviews receive timely, personalised replies grounded in service recovery principles.</w:t>
      </w:r>
    </w:p>
    <w:p w14:paraId="3CC70291" w14:textId="46BAE55B"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Utilise digital analytics tools (Google Analytics, Meta Insights) to track visitor behaviour, optimise content, and inform targeted promotional campaigns.</w:t>
      </w:r>
    </w:p>
    <w:p w14:paraId="396EC621" w14:textId="0AFDAF2D" w:rsidR="004329C9" w:rsidRPr="004329C9" w:rsidRDefault="004329C9" w:rsidP="004329C9">
      <w:pPr>
        <w:pStyle w:val="ListParagraph"/>
        <w:numPr>
          <w:ilvl w:val="0"/>
          <w:numId w:val="7"/>
        </w:numPr>
        <w:rPr>
          <w:rFonts w:ascii="Arial" w:hAnsi="Arial" w:cs="Arial"/>
          <w:sz w:val="24"/>
          <w:szCs w:val="24"/>
        </w:rPr>
      </w:pPr>
      <w:r w:rsidRPr="004329C9">
        <w:rPr>
          <w:rFonts w:ascii="Arial" w:hAnsi="Arial" w:cs="Arial"/>
          <w:sz w:val="24"/>
          <w:szCs w:val="24"/>
        </w:rPr>
        <w:t>Leverage digital campaigns to promote seasonal menus, off-peak dining, and special events, aligning with best practices in digital hospitality marketing.</w:t>
      </w:r>
    </w:p>
    <w:p w14:paraId="78E761EE" w14:textId="69B3AD89" w:rsidR="00651750" w:rsidRDefault="004329C9" w:rsidP="004329C9">
      <w:pPr>
        <w:rPr>
          <w:rFonts w:ascii="Arial" w:hAnsi="Arial" w:cs="Arial"/>
          <w:sz w:val="24"/>
          <w:szCs w:val="24"/>
        </w:rPr>
      </w:pPr>
      <w:r w:rsidRPr="004329C9">
        <w:rPr>
          <w:rFonts w:ascii="Arial" w:hAnsi="Arial" w:cs="Arial"/>
          <w:sz w:val="24"/>
          <w:szCs w:val="24"/>
        </w:rPr>
        <w:t>By addressing these gaps, PLB can strengthen digital identity, deepen customer engagement, and reinforce a competitive advantage within the premium rural hospitality market.</w:t>
      </w:r>
    </w:p>
    <w:p w14:paraId="4D754EC2" w14:textId="5A608A6A" w:rsidR="008E6202" w:rsidRPr="00D36914" w:rsidRDefault="00931C3A" w:rsidP="00D36914">
      <w:pPr>
        <w:pStyle w:val="Heading1"/>
        <w:rPr>
          <w:rFonts w:ascii="Arial" w:hAnsi="Arial" w:cs="Arial"/>
          <w:b/>
          <w:bCs/>
          <w:color w:val="000000" w:themeColor="text1"/>
          <w:sz w:val="24"/>
          <w:szCs w:val="24"/>
        </w:rPr>
      </w:pPr>
      <w:bookmarkStart w:id="7" w:name="_Toc214046176"/>
      <w:r w:rsidRPr="00D36914">
        <w:rPr>
          <w:rFonts w:ascii="Arial" w:hAnsi="Arial" w:cs="Arial"/>
          <w:b/>
          <w:bCs/>
          <w:color w:val="000000" w:themeColor="text1"/>
          <w:sz w:val="24"/>
          <w:szCs w:val="24"/>
        </w:rPr>
        <w:t>Operational Challenges and Service Gaps</w:t>
      </w:r>
      <w:bookmarkEnd w:id="7"/>
    </w:p>
    <w:p w14:paraId="4F3738AB" w14:textId="44AAE983" w:rsidR="008E6202" w:rsidRPr="008E6202" w:rsidRDefault="008E6202" w:rsidP="008E6202">
      <w:pPr>
        <w:rPr>
          <w:rFonts w:ascii="Arial" w:hAnsi="Arial" w:cs="Arial"/>
          <w:sz w:val="24"/>
          <w:szCs w:val="24"/>
        </w:rPr>
      </w:pPr>
      <w:r w:rsidRPr="008E6202">
        <w:rPr>
          <w:rFonts w:ascii="Arial" w:hAnsi="Arial" w:cs="Arial"/>
          <w:sz w:val="24"/>
          <w:szCs w:val="24"/>
        </w:rPr>
        <w:t>Parc Le Breos (PLB) faces notable operational challenges that affect its ability to consistently deliver a premium guest experience. A key issue lies in service inconsistencies during peak periods, which stem from a small, highly specialised workforce and reliance on informal, experiential staff training. While core staff demonstrate strong competence, new or cross-trained employees often struggle to meet PLB’s high service standards, leading to variability in order pacing, table service, and responsiveness to guest requests (Noone, 2009; Cambridge Handbook of Workplace Training and Employee Development, 2021). These issues directly reflect the weaknesses highlighted in the SWOT analysis.</w:t>
      </w:r>
    </w:p>
    <w:p w14:paraId="6C78A02D" w14:textId="6BCD1ABB" w:rsidR="008E6202" w:rsidRPr="008E6202" w:rsidRDefault="008E6202" w:rsidP="008E6202">
      <w:pPr>
        <w:rPr>
          <w:rFonts w:ascii="Arial" w:hAnsi="Arial" w:cs="Arial"/>
          <w:sz w:val="24"/>
          <w:szCs w:val="24"/>
        </w:rPr>
      </w:pPr>
      <w:r w:rsidRPr="008E6202">
        <w:rPr>
          <w:rFonts w:ascii="Arial" w:hAnsi="Arial" w:cs="Arial"/>
          <w:sz w:val="24"/>
          <w:szCs w:val="24"/>
        </w:rPr>
        <w:t>The SERVQUAL model (Parasuraman, Zeithaml &amp; Berry, 1985) provides insight into these service gaps. In terms of reliability, inconsistencies in delivering courses and timed service reduce perceived dependability. Responsiveness is affected by limited FOH–kitchen coordination, while assurance and empathy may vary depending on staff experience and stress levels during busy periods. Although physical facilities and presentation are consistently strong, inconsistencies in service timing influence the tangibles dimension of guest perception.</w:t>
      </w:r>
    </w:p>
    <w:p w14:paraId="750A7EFD" w14:textId="203C4148" w:rsidR="008E6202" w:rsidRPr="008E6202" w:rsidRDefault="008E6202" w:rsidP="008E6202">
      <w:pPr>
        <w:rPr>
          <w:rFonts w:ascii="Arial" w:hAnsi="Arial" w:cs="Arial"/>
          <w:sz w:val="24"/>
          <w:szCs w:val="24"/>
        </w:rPr>
      </w:pPr>
      <w:r w:rsidRPr="008E6202">
        <w:rPr>
          <w:rFonts w:ascii="Arial" w:hAnsi="Arial" w:cs="Arial"/>
          <w:sz w:val="24"/>
          <w:szCs w:val="24"/>
        </w:rPr>
        <w:t>Additional operational challenges stem from workflow bottlenecks and misalignment between demand and capacity. The Theory of Constraints (Goldratt, 1990) highlights the kitchen pass as a critical bottleneck, where multiple orders converge, causing delays that ripple through both front-of-house and kitchen operations. In line with operational principles outlined by Yoo (2021) and hospitality operations research (</w:t>
      </w:r>
      <w:r>
        <w:rPr>
          <w:rFonts w:ascii="Arial" w:hAnsi="Arial" w:cs="Arial"/>
          <w:sz w:val="24"/>
          <w:szCs w:val="24"/>
        </w:rPr>
        <w:t>Tracey</w:t>
      </w:r>
      <w:r w:rsidRPr="008E6202">
        <w:rPr>
          <w:rFonts w:ascii="Arial" w:hAnsi="Arial" w:cs="Arial"/>
          <w:sz w:val="24"/>
          <w:szCs w:val="24"/>
        </w:rPr>
        <w:t>, 2021), demand in hospitality is inherently variable, while labour and service capacity remain largely fixed. During peak periods, staffing levels may be insufficient to meet guest requirements, increasing pressure on existing employees and raising the risk of service quality deterioration. Industry guidance suggests that restaurant occupancy should ideally remain between 70–90% of capacity, as exceeding this range can compromise timeliness, attentiveness, and overall guest experience.</w:t>
      </w:r>
    </w:p>
    <w:p w14:paraId="30220AA2" w14:textId="59CE5D4E" w:rsidR="008E6202" w:rsidRPr="008E6202" w:rsidRDefault="008E6202" w:rsidP="008E6202">
      <w:pPr>
        <w:rPr>
          <w:rFonts w:ascii="Arial" w:hAnsi="Arial" w:cs="Arial"/>
          <w:sz w:val="24"/>
          <w:szCs w:val="24"/>
        </w:rPr>
      </w:pPr>
      <w:r w:rsidRPr="008E6202">
        <w:rPr>
          <w:rFonts w:ascii="Arial" w:hAnsi="Arial" w:cs="Arial"/>
          <w:sz w:val="24"/>
          <w:szCs w:val="24"/>
        </w:rPr>
        <w:lastRenderedPageBreak/>
        <w:t>Informal training practices intensify these operational gaps by providing limited standardisation and procedural knowledge, leaving staff unprepared for high-demand scenarios. The Cambridge Handbook (2021) emphasises that structured training programmes enhance reliability, responsiveness, and empathy, aligning with the SERVQUAL dimensions and improving operational consistency. Furthermore, underdeveloped digital engagement can amplify perceived service inconsistencies, as guest expectations shaped by the website and social media may not always align with on-site delivery.</w:t>
      </w:r>
    </w:p>
    <w:p w14:paraId="468F51C4" w14:textId="24FEB488" w:rsidR="00E674DC" w:rsidRDefault="008E6202" w:rsidP="008E6202">
      <w:pPr>
        <w:rPr>
          <w:rFonts w:ascii="Arial" w:hAnsi="Arial" w:cs="Arial"/>
          <w:sz w:val="24"/>
          <w:szCs w:val="24"/>
        </w:rPr>
      </w:pPr>
      <w:r w:rsidRPr="008E6202">
        <w:rPr>
          <w:rFonts w:ascii="Arial" w:hAnsi="Arial" w:cs="Arial"/>
          <w:sz w:val="24"/>
          <w:szCs w:val="24"/>
        </w:rPr>
        <w:t>Addressing these challenges requires structured training, standard operating procedures (SOPs), capacity planning, and workflow optimisation. By targeting the identified bottlenecks and service gaps, PLB can enhance operational efficiency, reduce variability, and maintain its premium rural positioning.</w:t>
      </w:r>
    </w:p>
    <w:p w14:paraId="0E3608D8" w14:textId="744C107D" w:rsidR="00064788" w:rsidRDefault="00AA21FB" w:rsidP="00B44DDD">
      <w:pPr>
        <w:rPr>
          <w:rFonts w:ascii="Arial" w:hAnsi="Arial" w:cs="Arial"/>
          <w:sz w:val="24"/>
          <w:szCs w:val="24"/>
        </w:rPr>
      </w:pPr>
      <w:r>
        <w:rPr>
          <w:rFonts w:ascii="Arial" w:hAnsi="Arial" w:cs="Arial"/>
          <w:sz w:val="24"/>
          <w:szCs w:val="24"/>
        </w:rPr>
        <w:t>Appendix F. Detailed Operational Frameworks</w:t>
      </w:r>
    </w:p>
    <w:p w14:paraId="351B83C7" w14:textId="2C5F2E59" w:rsidR="005048F1" w:rsidRPr="00D36914" w:rsidRDefault="005048F1" w:rsidP="00D36914">
      <w:pPr>
        <w:pStyle w:val="Heading1"/>
        <w:rPr>
          <w:rFonts w:ascii="Arial" w:hAnsi="Arial" w:cs="Arial"/>
          <w:b/>
          <w:bCs/>
          <w:color w:val="000000" w:themeColor="text1"/>
          <w:sz w:val="24"/>
          <w:szCs w:val="24"/>
        </w:rPr>
      </w:pPr>
      <w:bookmarkStart w:id="8" w:name="_Toc214046177"/>
      <w:r w:rsidRPr="00D36914">
        <w:rPr>
          <w:rFonts w:ascii="Arial" w:hAnsi="Arial" w:cs="Arial"/>
          <w:b/>
          <w:bCs/>
          <w:color w:val="000000" w:themeColor="text1"/>
          <w:sz w:val="24"/>
          <w:szCs w:val="24"/>
        </w:rPr>
        <w:t>Recommendations and Change Strategy</w:t>
      </w:r>
      <w:bookmarkEnd w:id="8"/>
    </w:p>
    <w:p w14:paraId="0F3477F9" w14:textId="739BE527" w:rsidR="005048F1" w:rsidRPr="005048F1" w:rsidRDefault="005048F1" w:rsidP="005048F1">
      <w:pPr>
        <w:rPr>
          <w:rFonts w:ascii="Arial" w:hAnsi="Arial" w:cs="Arial"/>
          <w:sz w:val="24"/>
          <w:szCs w:val="24"/>
        </w:rPr>
      </w:pPr>
      <w:r w:rsidRPr="005048F1">
        <w:rPr>
          <w:rFonts w:ascii="Arial" w:hAnsi="Arial" w:cs="Arial"/>
          <w:sz w:val="24"/>
          <w:szCs w:val="24"/>
        </w:rPr>
        <w:t>Based on the evaluation of Parc Le Breos (PLB), the following SMART objectives address restaurant operations, digital presence, and experiential offerings, focusing on the premium rural destination and formalising informal training practices.</w:t>
      </w:r>
    </w:p>
    <w:p w14:paraId="608C0975" w14:textId="6C476D7B" w:rsidR="005048F1" w:rsidRPr="005048F1" w:rsidRDefault="005048F1" w:rsidP="005048F1">
      <w:pPr>
        <w:rPr>
          <w:rFonts w:ascii="Arial" w:hAnsi="Arial" w:cs="Arial"/>
          <w:b/>
          <w:bCs/>
          <w:sz w:val="24"/>
          <w:szCs w:val="24"/>
        </w:rPr>
      </w:pPr>
      <w:r w:rsidRPr="005048F1">
        <w:rPr>
          <w:rFonts w:ascii="Arial" w:hAnsi="Arial" w:cs="Arial"/>
          <w:b/>
          <w:bCs/>
          <w:sz w:val="24"/>
          <w:szCs w:val="24"/>
        </w:rPr>
        <w:t>Enhance Restaurant Operational Efficiency</w:t>
      </w:r>
    </w:p>
    <w:p w14:paraId="7753AF6F"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Formalise informal, experiential training into structured SOPs for front-of-house and kitchen staff while retaining hands-on learning.</w:t>
      </w:r>
    </w:p>
    <w:p w14:paraId="607E1EAC"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Track improvements in service consistency using guest review themes, table-turn times, and internal staff checklists; aim for noticeable reductions in negative comments related to service lapses.</w:t>
      </w:r>
    </w:p>
    <w:p w14:paraId="616B954F"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xml:space="preserve"> Management and head chef lead training; cross-training ensures operational coverage during peak periods.</w:t>
      </w:r>
    </w:p>
    <w:p w14:paraId="774BD5F5"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Directly addresses service gaps, kitchen pass bottlenecks, and workforce limitations affecting the premium dining experience.</w:t>
      </w:r>
    </w:p>
    <w:p w14:paraId="6C3F5BD9" w14:textId="4820EA56"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SOPs and training modules implemented within three months, with monthly monitoring through guest feedback and operational check-ins.</w:t>
      </w:r>
    </w:p>
    <w:p w14:paraId="6220F306" w14:textId="31CABC29" w:rsidR="005048F1" w:rsidRPr="005048F1" w:rsidRDefault="005048F1" w:rsidP="005048F1">
      <w:pPr>
        <w:rPr>
          <w:rFonts w:ascii="Arial" w:hAnsi="Arial" w:cs="Arial"/>
          <w:b/>
          <w:bCs/>
          <w:sz w:val="24"/>
          <w:szCs w:val="24"/>
        </w:rPr>
      </w:pPr>
      <w:r w:rsidRPr="005048F1">
        <w:rPr>
          <w:rFonts w:ascii="Arial" w:hAnsi="Arial" w:cs="Arial"/>
          <w:b/>
          <w:bCs/>
          <w:sz w:val="24"/>
          <w:szCs w:val="24"/>
        </w:rPr>
        <w:t>Strengthen Digital Presence and Destination Appeal</w:t>
      </w:r>
    </w:p>
    <w:p w14:paraId="25180572"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Redesign the restaurant website and social media to highlight provenance, seasonal produce, scenic Gower location, chef insights, and interactive storytelling; integrate an easy, mobile-friendly online booking system.</w:t>
      </w:r>
    </w:p>
    <w:p w14:paraId="2595BF35"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Monitor increases in online bookings, social media engagement (likes, shares, comments), and website analytics (session duration, bounce rate); aim for measurable improvement from baseline data over four months.</w:t>
      </w:r>
    </w:p>
    <w:p w14:paraId="7CD51118"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xml:space="preserve"> Utilise existing high-quality imagery and garden-to-plate content; implement structured review-response protocols.</w:t>
      </w:r>
    </w:p>
    <w:p w14:paraId="14FDB271"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Enhances destination appeal, aligns digital expectations with on-site delivery, and improves convenience for experience-focused diners.</w:t>
      </w:r>
    </w:p>
    <w:p w14:paraId="73C78377" w14:textId="49A13F58"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Website redesign, mobile booking, and social media strategy launched within two months, with ongoing analytics review.</w:t>
      </w:r>
    </w:p>
    <w:p w14:paraId="79966CB5" w14:textId="0F477A26" w:rsidR="005048F1" w:rsidRPr="00166584" w:rsidRDefault="005048F1" w:rsidP="005048F1">
      <w:pPr>
        <w:rPr>
          <w:rFonts w:ascii="Arial" w:hAnsi="Arial" w:cs="Arial"/>
          <w:b/>
          <w:bCs/>
          <w:sz w:val="24"/>
          <w:szCs w:val="24"/>
        </w:rPr>
      </w:pPr>
      <w:r w:rsidRPr="005048F1">
        <w:rPr>
          <w:rFonts w:ascii="Arial" w:hAnsi="Arial" w:cs="Arial"/>
          <w:b/>
          <w:bCs/>
          <w:sz w:val="24"/>
          <w:szCs w:val="24"/>
        </w:rPr>
        <w:lastRenderedPageBreak/>
        <w:t>Innovate Menu and Experiential Offerings</w:t>
      </w:r>
    </w:p>
    <w:p w14:paraId="1AD5440F" w14:textId="77777777" w:rsidR="005048F1" w:rsidRPr="005048F1" w:rsidRDefault="005048F1" w:rsidP="005048F1">
      <w:pPr>
        <w:rPr>
          <w:rFonts w:ascii="Arial" w:hAnsi="Arial" w:cs="Arial"/>
          <w:sz w:val="24"/>
          <w:szCs w:val="24"/>
        </w:rPr>
      </w:pPr>
      <w:r w:rsidRPr="005048F1">
        <w:rPr>
          <w:rFonts w:ascii="Arial" w:hAnsi="Arial" w:cs="Arial"/>
          <w:b/>
          <w:bCs/>
          <w:sz w:val="24"/>
          <w:szCs w:val="24"/>
        </w:rPr>
        <w:t>Specific:</w:t>
      </w:r>
      <w:r w:rsidRPr="005048F1">
        <w:rPr>
          <w:rFonts w:ascii="Arial" w:hAnsi="Arial" w:cs="Arial"/>
          <w:sz w:val="24"/>
          <w:szCs w:val="24"/>
        </w:rPr>
        <w:t xml:space="preserve"> Introduce a seasonal rotational menu alongside signature dishes and deliver quarterly themed dining events.</w:t>
      </w:r>
    </w:p>
    <w:p w14:paraId="02A0A0EF" w14:textId="77777777" w:rsidR="005048F1" w:rsidRPr="005048F1" w:rsidRDefault="005048F1" w:rsidP="005048F1">
      <w:pPr>
        <w:rPr>
          <w:rFonts w:ascii="Arial" w:hAnsi="Arial" w:cs="Arial"/>
          <w:sz w:val="24"/>
          <w:szCs w:val="24"/>
        </w:rPr>
      </w:pPr>
      <w:r w:rsidRPr="005048F1">
        <w:rPr>
          <w:rFonts w:ascii="Arial" w:hAnsi="Arial" w:cs="Arial"/>
          <w:b/>
          <w:bCs/>
          <w:sz w:val="24"/>
          <w:szCs w:val="24"/>
        </w:rPr>
        <w:t>Measurable:</w:t>
      </w:r>
      <w:r w:rsidRPr="005048F1">
        <w:rPr>
          <w:rFonts w:ascii="Arial" w:hAnsi="Arial" w:cs="Arial"/>
          <w:sz w:val="24"/>
          <w:szCs w:val="24"/>
        </w:rPr>
        <w:t xml:space="preserve"> Track off-peak restaurant covers, guest feedback on new menu items, and event attendance; aim for a demonstrable increase in off-peak engagement and guest satisfaction.</w:t>
      </w:r>
    </w:p>
    <w:p w14:paraId="674AAE1D" w14:textId="77777777" w:rsidR="005048F1" w:rsidRPr="005048F1" w:rsidRDefault="005048F1" w:rsidP="005048F1">
      <w:pPr>
        <w:rPr>
          <w:rFonts w:ascii="Arial" w:hAnsi="Arial" w:cs="Arial"/>
          <w:sz w:val="24"/>
          <w:szCs w:val="24"/>
        </w:rPr>
      </w:pPr>
      <w:r w:rsidRPr="005048F1">
        <w:rPr>
          <w:rFonts w:ascii="Arial" w:hAnsi="Arial" w:cs="Arial"/>
          <w:b/>
          <w:bCs/>
          <w:sz w:val="24"/>
          <w:szCs w:val="24"/>
        </w:rPr>
        <w:t>Achievable</w:t>
      </w:r>
      <w:r w:rsidRPr="005048F1">
        <w:rPr>
          <w:rFonts w:ascii="Arial" w:hAnsi="Arial" w:cs="Arial"/>
          <w:sz w:val="24"/>
          <w:szCs w:val="24"/>
        </w:rPr>
        <w:t>: Seasonal produce available from the kitchen garden and local suppliers; events utilise existing restaurant spaces.</w:t>
      </w:r>
    </w:p>
    <w:p w14:paraId="37067EB5" w14:textId="77777777" w:rsidR="005048F1" w:rsidRPr="005048F1" w:rsidRDefault="005048F1" w:rsidP="005048F1">
      <w:pPr>
        <w:rPr>
          <w:rFonts w:ascii="Arial" w:hAnsi="Arial" w:cs="Arial"/>
          <w:sz w:val="24"/>
          <w:szCs w:val="24"/>
        </w:rPr>
      </w:pPr>
      <w:r w:rsidRPr="005048F1">
        <w:rPr>
          <w:rFonts w:ascii="Arial" w:hAnsi="Arial" w:cs="Arial"/>
          <w:b/>
          <w:bCs/>
          <w:sz w:val="24"/>
          <w:szCs w:val="24"/>
        </w:rPr>
        <w:t>Relevant:</w:t>
      </w:r>
      <w:r w:rsidRPr="005048F1">
        <w:rPr>
          <w:rFonts w:ascii="Arial" w:hAnsi="Arial" w:cs="Arial"/>
          <w:sz w:val="24"/>
          <w:szCs w:val="24"/>
        </w:rPr>
        <w:t xml:space="preserve"> Reinforces authenticity, supports yield management, and strengthens PLB’s premium rural restaurant positioning.</w:t>
      </w:r>
    </w:p>
    <w:p w14:paraId="65F51BF6" w14:textId="61CE17C8" w:rsidR="005048F1" w:rsidRPr="005048F1" w:rsidRDefault="005048F1" w:rsidP="005048F1">
      <w:pPr>
        <w:rPr>
          <w:rFonts w:ascii="Arial" w:hAnsi="Arial" w:cs="Arial"/>
          <w:sz w:val="24"/>
          <w:szCs w:val="24"/>
        </w:rPr>
      </w:pPr>
      <w:r w:rsidRPr="005048F1">
        <w:rPr>
          <w:rFonts w:ascii="Arial" w:hAnsi="Arial" w:cs="Arial"/>
          <w:b/>
          <w:bCs/>
          <w:sz w:val="24"/>
          <w:szCs w:val="24"/>
        </w:rPr>
        <w:t>Time-bound:</w:t>
      </w:r>
      <w:r w:rsidRPr="005048F1">
        <w:rPr>
          <w:rFonts w:ascii="Arial" w:hAnsi="Arial" w:cs="Arial"/>
          <w:sz w:val="24"/>
          <w:szCs w:val="24"/>
        </w:rPr>
        <w:t xml:space="preserve"> Launch first seasonal menu and inaugural themed event within three months.</w:t>
      </w:r>
    </w:p>
    <w:p w14:paraId="084D0749" w14:textId="12EB23EE" w:rsidR="005048F1" w:rsidRPr="005048F1" w:rsidRDefault="005048F1" w:rsidP="005048F1">
      <w:pPr>
        <w:rPr>
          <w:rFonts w:ascii="Arial" w:hAnsi="Arial" w:cs="Arial"/>
          <w:b/>
          <w:bCs/>
          <w:sz w:val="24"/>
          <w:szCs w:val="24"/>
        </w:rPr>
      </w:pPr>
      <w:r w:rsidRPr="005048F1">
        <w:rPr>
          <w:rFonts w:ascii="Arial" w:hAnsi="Arial" w:cs="Arial"/>
          <w:b/>
          <w:bCs/>
          <w:sz w:val="24"/>
          <w:szCs w:val="24"/>
        </w:rPr>
        <w:t>Implementation</w:t>
      </w:r>
    </w:p>
    <w:p w14:paraId="1467417A" w14:textId="77777777" w:rsidR="00D36914" w:rsidRDefault="005048F1" w:rsidP="00D36914">
      <w:pPr>
        <w:rPr>
          <w:rFonts w:ascii="Arial" w:hAnsi="Arial" w:cs="Arial"/>
          <w:sz w:val="24"/>
          <w:szCs w:val="24"/>
        </w:rPr>
      </w:pPr>
      <w:r w:rsidRPr="005048F1">
        <w:rPr>
          <w:rFonts w:ascii="Arial" w:hAnsi="Arial" w:cs="Arial"/>
          <w:sz w:val="24"/>
          <w:szCs w:val="24"/>
        </w:rPr>
        <w:t>A phased approach prioritises operational improvements and digital optimisation to minimise disruption. Staff engagement, KPI monitoring, and sustainable sourcing practices will strengthen efficiency, maintain service quality, and reinforce PLB’s premium rural dining positioning.</w:t>
      </w:r>
    </w:p>
    <w:p w14:paraId="38D78D57" w14:textId="367A7F02" w:rsidR="00FA35D2" w:rsidRPr="00D36914" w:rsidRDefault="00FA35D2" w:rsidP="00D36914">
      <w:pPr>
        <w:rPr>
          <w:rFonts w:ascii="Arial" w:hAnsi="Arial" w:cs="Arial"/>
          <w:sz w:val="24"/>
          <w:szCs w:val="24"/>
        </w:rPr>
      </w:pPr>
      <w:r w:rsidRPr="00D36914">
        <w:rPr>
          <w:rFonts w:ascii="Arial" w:hAnsi="Arial" w:cs="Arial"/>
          <w:b/>
          <w:bCs/>
          <w:color w:val="000000" w:themeColor="text1"/>
          <w:sz w:val="24"/>
          <w:szCs w:val="24"/>
        </w:rPr>
        <w:t>C</w:t>
      </w:r>
      <w:r w:rsidR="00D36914">
        <w:rPr>
          <w:rFonts w:ascii="Arial" w:hAnsi="Arial" w:cs="Arial"/>
          <w:b/>
          <w:bCs/>
          <w:color w:val="000000" w:themeColor="text1"/>
          <w:sz w:val="24"/>
          <w:szCs w:val="24"/>
        </w:rPr>
        <w:t>o</w:t>
      </w:r>
      <w:r w:rsidRPr="00D36914">
        <w:rPr>
          <w:rFonts w:ascii="Arial" w:hAnsi="Arial" w:cs="Arial"/>
          <w:b/>
          <w:bCs/>
          <w:color w:val="000000" w:themeColor="text1"/>
          <w:sz w:val="24"/>
          <w:szCs w:val="24"/>
        </w:rPr>
        <w:t>nclusion</w:t>
      </w:r>
    </w:p>
    <w:p w14:paraId="439164B0" w14:textId="472A7216" w:rsidR="0026362B" w:rsidRPr="0026362B" w:rsidRDefault="0026362B" w:rsidP="0026362B">
      <w:pPr>
        <w:rPr>
          <w:rFonts w:ascii="Arial" w:hAnsi="Arial" w:cs="Arial"/>
          <w:sz w:val="24"/>
          <w:szCs w:val="24"/>
        </w:rPr>
      </w:pPr>
      <w:r w:rsidRPr="0026362B">
        <w:rPr>
          <w:rFonts w:ascii="Arial" w:hAnsi="Arial" w:cs="Arial"/>
          <w:sz w:val="24"/>
          <w:szCs w:val="24"/>
        </w:rPr>
        <w:t>Parc Le Breos (PLB) is a premium rural country house and restaurant distinguished by its heritage setting, scenic location, integrated accommodation, kitchen garden, and locally sourced seasonal ingredients. These assets support a differentiation strategy focused on authenticity, provenance, and immersive guest experiences. Despite these strengths, operational challenges</w:t>
      </w:r>
      <w:r>
        <w:rPr>
          <w:rFonts w:ascii="Arial" w:hAnsi="Arial" w:cs="Arial"/>
          <w:sz w:val="24"/>
          <w:szCs w:val="24"/>
        </w:rPr>
        <w:t xml:space="preserve"> </w:t>
      </w:r>
      <w:r w:rsidRPr="0026362B">
        <w:rPr>
          <w:rFonts w:ascii="Arial" w:hAnsi="Arial" w:cs="Arial"/>
          <w:sz w:val="24"/>
          <w:szCs w:val="24"/>
        </w:rPr>
        <w:t>service inconsistencies during peak periods, a small workforce, and reliance on informal training</w:t>
      </w:r>
      <w:r>
        <w:rPr>
          <w:rFonts w:ascii="Arial" w:hAnsi="Arial" w:cs="Arial"/>
          <w:sz w:val="24"/>
          <w:szCs w:val="24"/>
        </w:rPr>
        <w:t xml:space="preserve"> </w:t>
      </w:r>
      <w:r w:rsidRPr="0026362B">
        <w:rPr>
          <w:rFonts w:ascii="Arial" w:hAnsi="Arial" w:cs="Arial"/>
          <w:sz w:val="24"/>
          <w:szCs w:val="24"/>
        </w:rPr>
        <w:t>limit service reliability and scalability. Digital engagement is functional but underutilises storytelling, interactive content, and structured reputation management, leaving potential to better align online expectations with on-site delivery.</w:t>
      </w:r>
    </w:p>
    <w:p w14:paraId="278A884D" w14:textId="3BD079C5" w:rsidR="0020141A" w:rsidRPr="0026362B" w:rsidRDefault="0026362B" w:rsidP="0026362B">
      <w:pPr>
        <w:rPr>
          <w:rFonts w:ascii="Arial" w:hAnsi="Arial" w:cs="Arial"/>
          <w:sz w:val="24"/>
          <w:szCs w:val="24"/>
        </w:rPr>
      </w:pPr>
      <w:r w:rsidRPr="0026362B">
        <w:rPr>
          <w:rFonts w:ascii="Arial" w:hAnsi="Arial" w:cs="Arial"/>
          <w:sz w:val="24"/>
          <w:szCs w:val="24"/>
        </w:rPr>
        <w:t>To address these issues, SMART objectives prioritise structured SOPs and cross-training to enhance operational efficiency, strengthen digital presence through narrative-driven content and mobile-friendly booking, and innovate seasonal menus and themed experiences. Implementing these strategies will improve service consistency, guest satisfaction, off-peak engagement, and reinforce PLB’s premium rural positioning, ensuring sustainable growth, competitiveness, and long-term resilience.</w:t>
      </w:r>
    </w:p>
    <w:p w14:paraId="5826A76E" w14:textId="77777777" w:rsidR="0020141A" w:rsidRDefault="0020141A" w:rsidP="00B44DDD">
      <w:pPr>
        <w:rPr>
          <w:rFonts w:ascii="Arial" w:hAnsi="Arial" w:cs="Arial"/>
          <w:b/>
          <w:bCs/>
          <w:sz w:val="24"/>
          <w:szCs w:val="24"/>
        </w:rPr>
      </w:pPr>
    </w:p>
    <w:p w14:paraId="1E64A0EE" w14:textId="77777777" w:rsidR="00882CDC" w:rsidRDefault="00882CDC" w:rsidP="00B44DDD">
      <w:pPr>
        <w:rPr>
          <w:rFonts w:ascii="Arial" w:hAnsi="Arial" w:cs="Arial"/>
          <w:b/>
          <w:bCs/>
          <w:sz w:val="24"/>
          <w:szCs w:val="24"/>
        </w:rPr>
      </w:pPr>
    </w:p>
    <w:p w14:paraId="35BCD7CB" w14:textId="77777777" w:rsidR="00882CDC" w:rsidRDefault="00882CDC" w:rsidP="00B44DDD">
      <w:pPr>
        <w:rPr>
          <w:rFonts w:ascii="Arial" w:hAnsi="Arial" w:cs="Arial"/>
          <w:b/>
          <w:bCs/>
          <w:sz w:val="24"/>
          <w:szCs w:val="24"/>
        </w:rPr>
      </w:pPr>
    </w:p>
    <w:p w14:paraId="69B1DC54" w14:textId="77777777" w:rsidR="00882CDC" w:rsidRDefault="00882CDC" w:rsidP="00B44DDD">
      <w:pPr>
        <w:rPr>
          <w:rFonts w:ascii="Arial" w:hAnsi="Arial" w:cs="Arial"/>
          <w:b/>
          <w:bCs/>
          <w:sz w:val="24"/>
          <w:szCs w:val="24"/>
        </w:rPr>
      </w:pPr>
    </w:p>
    <w:p w14:paraId="2C6E252F" w14:textId="77777777" w:rsidR="00882CDC" w:rsidRDefault="00882CDC" w:rsidP="00B44DDD">
      <w:pPr>
        <w:rPr>
          <w:rFonts w:ascii="Arial" w:hAnsi="Arial" w:cs="Arial"/>
          <w:b/>
          <w:bCs/>
          <w:sz w:val="24"/>
          <w:szCs w:val="24"/>
        </w:rPr>
      </w:pPr>
    </w:p>
    <w:p w14:paraId="34ABDC91" w14:textId="77777777" w:rsidR="00882CDC" w:rsidRDefault="00882CDC" w:rsidP="00B44DDD">
      <w:pPr>
        <w:rPr>
          <w:rFonts w:ascii="Arial" w:hAnsi="Arial" w:cs="Arial"/>
          <w:b/>
          <w:bCs/>
          <w:sz w:val="24"/>
          <w:szCs w:val="24"/>
        </w:rPr>
      </w:pPr>
    </w:p>
    <w:p w14:paraId="7979F452" w14:textId="77777777" w:rsidR="00882CDC" w:rsidRDefault="00882CDC" w:rsidP="00B44DDD">
      <w:pPr>
        <w:rPr>
          <w:rFonts w:ascii="Arial" w:hAnsi="Arial" w:cs="Arial"/>
          <w:b/>
          <w:bCs/>
          <w:sz w:val="24"/>
          <w:szCs w:val="24"/>
        </w:rPr>
      </w:pPr>
    </w:p>
    <w:p w14:paraId="27B8B6A5" w14:textId="77777777" w:rsidR="00882CDC" w:rsidRDefault="00882CDC" w:rsidP="00B44DDD">
      <w:pPr>
        <w:rPr>
          <w:rFonts w:ascii="Arial" w:hAnsi="Arial" w:cs="Arial"/>
          <w:b/>
          <w:bCs/>
          <w:sz w:val="24"/>
          <w:szCs w:val="24"/>
        </w:rPr>
      </w:pPr>
    </w:p>
    <w:p w14:paraId="5F9E6A27" w14:textId="77777777" w:rsidR="00882CDC" w:rsidRDefault="00882CDC" w:rsidP="00B44DDD">
      <w:pPr>
        <w:rPr>
          <w:rFonts w:ascii="Arial" w:hAnsi="Arial" w:cs="Arial"/>
          <w:b/>
          <w:bCs/>
          <w:sz w:val="24"/>
          <w:szCs w:val="24"/>
        </w:rPr>
      </w:pPr>
    </w:p>
    <w:p w14:paraId="4EB7B087" w14:textId="77777777" w:rsidR="00D36914" w:rsidRDefault="00D36914" w:rsidP="00B44DDD">
      <w:pPr>
        <w:rPr>
          <w:rFonts w:ascii="Arial" w:hAnsi="Arial" w:cs="Arial"/>
          <w:b/>
          <w:bCs/>
          <w:sz w:val="24"/>
          <w:szCs w:val="24"/>
        </w:rPr>
      </w:pPr>
    </w:p>
    <w:p w14:paraId="2F8FE8E8" w14:textId="58479F50" w:rsidR="00064788" w:rsidRPr="00D36914" w:rsidRDefault="0020141A" w:rsidP="00D36914">
      <w:pPr>
        <w:pStyle w:val="Heading1"/>
        <w:rPr>
          <w:rFonts w:ascii="Arial" w:hAnsi="Arial" w:cs="Arial"/>
          <w:b/>
          <w:bCs/>
          <w:color w:val="000000" w:themeColor="text1"/>
          <w:sz w:val="24"/>
          <w:szCs w:val="24"/>
        </w:rPr>
      </w:pPr>
      <w:bookmarkStart w:id="9" w:name="_Toc214046178"/>
      <w:r w:rsidRPr="00D36914">
        <w:rPr>
          <w:rFonts w:ascii="Arial" w:hAnsi="Arial" w:cs="Arial"/>
          <w:b/>
          <w:bCs/>
          <w:color w:val="000000" w:themeColor="text1"/>
          <w:sz w:val="24"/>
          <w:szCs w:val="24"/>
        </w:rPr>
        <w:lastRenderedPageBreak/>
        <w:t>Appendix A.</w:t>
      </w:r>
      <w:bookmarkEnd w:id="9"/>
      <w:r w:rsidRPr="00D36914">
        <w:rPr>
          <w:rFonts w:ascii="Arial" w:hAnsi="Arial" w:cs="Arial"/>
          <w:b/>
          <w:bCs/>
          <w:color w:val="000000" w:themeColor="text1"/>
          <w:sz w:val="24"/>
          <w:szCs w:val="24"/>
        </w:rPr>
        <w:t xml:space="preserve"> </w:t>
      </w:r>
    </w:p>
    <w:tbl>
      <w:tblPr>
        <w:tblStyle w:val="GridTable4"/>
        <w:tblW w:w="0" w:type="auto"/>
        <w:tblLook w:val="04A0" w:firstRow="1" w:lastRow="0" w:firstColumn="1" w:lastColumn="0" w:noHBand="0" w:noVBand="1"/>
      </w:tblPr>
      <w:tblGrid>
        <w:gridCol w:w="2614"/>
        <w:gridCol w:w="2614"/>
        <w:gridCol w:w="2614"/>
        <w:gridCol w:w="2614"/>
      </w:tblGrid>
      <w:tr w:rsidR="0020141A" w14:paraId="185E007A" w14:textId="77777777" w:rsidTr="00201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AF262C3" w14:textId="03819DCB" w:rsidR="0020141A" w:rsidRPr="0020141A" w:rsidRDefault="0020141A" w:rsidP="00B44DDD">
            <w:pPr>
              <w:rPr>
                <w:rFonts w:ascii="Arial" w:hAnsi="Arial" w:cs="Arial"/>
                <w:sz w:val="24"/>
                <w:szCs w:val="24"/>
              </w:rPr>
            </w:pPr>
            <w:r w:rsidRPr="0020141A">
              <w:rPr>
                <w:rFonts w:ascii="Arial" w:hAnsi="Arial" w:cs="Arial"/>
                <w:sz w:val="24"/>
                <w:szCs w:val="24"/>
              </w:rPr>
              <w:t>SWOT Analysis</w:t>
            </w:r>
          </w:p>
        </w:tc>
        <w:tc>
          <w:tcPr>
            <w:tcW w:w="2614" w:type="dxa"/>
          </w:tcPr>
          <w:p w14:paraId="4FC3AEB4"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c>
          <w:tcPr>
            <w:tcW w:w="2614" w:type="dxa"/>
          </w:tcPr>
          <w:p w14:paraId="2111FD65"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c>
          <w:tcPr>
            <w:tcW w:w="2614" w:type="dxa"/>
          </w:tcPr>
          <w:p w14:paraId="4A32C28A"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20141A" w14:paraId="5E176A65"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694501B7" w14:textId="41EDF43B" w:rsidR="0020141A" w:rsidRPr="0020141A" w:rsidRDefault="0020141A" w:rsidP="00B44DDD">
            <w:pPr>
              <w:rPr>
                <w:rFonts w:ascii="Arial" w:hAnsi="Arial" w:cs="Arial"/>
                <w:sz w:val="24"/>
                <w:szCs w:val="24"/>
              </w:rPr>
            </w:pPr>
            <w:r w:rsidRPr="0020141A">
              <w:rPr>
                <w:rFonts w:ascii="Arial" w:hAnsi="Arial" w:cs="Arial"/>
                <w:sz w:val="24"/>
                <w:szCs w:val="24"/>
              </w:rPr>
              <w:t>Strengths</w:t>
            </w:r>
          </w:p>
        </w:tc>
        <w:tc>
          <w:tcPr>
            <w:tcW w:w="2614" w:type="dxa"/>
          </w:tcPr>
          <w:p w14:paraId="175FA891" w14:textId="2A51662F"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Weaknesses</w:t>
            </w:r>
          </w:p>
        </w:tc>
        <w:tc>
          <w:tcPr>
            <w:tcW w:w="2614" w:type="dxa"/>
          </w:tcPr>
          <w:p w14:paraId="4BD28968" w14:textId="18C3A1DE"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Opportunities</w:t>
            </w:r>
          </w:p>
        </w:tc>
        <w:tc>
          <w:tcPr>
            <w:tcW w:w="2614" w:type="dxa"/>
          </w:tcPr>
          <w:p w14:paraId="66EE469A" w14:textId="588A6DAD" w:rsidR="0020141A" w:rsidRDefault="0020141A"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Threats</w:t>
            </w:r>
          </w:p>
        </w:tc>
      </w:tr>
      <w:tr w:rsidR="0020141A" w14:paraId="31E680D9" w14:textId="77777777" w:rsidTr="0020141A">
        <w:tc>
          <w:tcPr>
            <w:cnfStyle w:val="001000000000" w:firstRow="0" w:lastRow="0" w:firstColumn="1" w:lastColumn="0" w:oddVBand="0" w:evenVBand="0" w:oddHBand="0" w:evenHBand="0" w:firstRowFirstColumn="0" w:firstRowLastColumn="0" w:lastRowFirstColumn="0" w:lastRowLastColumn="0"/>
            <w:tcW w:w="2614" w:type="dxa"/>
          </w:tcPr>
          <w:p w14:paraId="7DDDECA6" w14:textId="736B14F4" w:rsidR="0020141A" w:rsidRPr="0020141A" w:rsidRDefault="0020141A" w:rsidP="0020141A">
            <w:pPr>
              <w:rPr>
                <w:rFonts w:ascii="Arial" w:hAnsi="Arial" w:cs="Arial"/>
                <w:b w:val="0"/>
                <w:bCs w:val="0"/>
              </w:rPr>
            </w:pPr>
            <w:r w:rsidRPr="0020141A">
              <w:rPr>
                <w:rFonts w:ascii="Arial" w:hAnsi="Arial" w:cs="Arial"/>
                <w:b w:val="0"/>
                <w:bCs w:val="0"/>
                <w:sz w:val="24"/>
                <w:szCs w:val="24"/>
              </w:rPr>
              <w:t>•</w:t>
            </w:r>
            <w:r w:rsidRPr="0020141A">
              <w:rPr>
                <w:rFonts w:ascii="Arial" w:hAnsi="Arial" w:cs="Arial"/>
                <w:b w:val="0"/>
                <w:bCs w:val="0"/>
              </w:rPr>
              <w:t>Scenic countryside location</w:t>
            </w:r>
          </w:p>
          <w:p w14:paraId="45CC9444" w14:textId="77777777" w:rsidR="0020141A" w:rsidRPr="0020141A" w:rsidRDefault="0020141A" w:rsidP="0020141A">
            <w:pPr>
              <w:rPr>
                <w:rFonts w:ascii="Arial" w:hAnsi="Arial" w:cs="Arial"/>
                <w:b w:val="0"/>
                <w:bCs w:val="0"/>
              </w:rPr>
            </w:pPr>
          </w:p>
          <w:p w14:paraId="5460C733" w14:textId="194268D9" w:rsidR="0020141A" w:rsidRPr="0020141A" w:rsidRDefault="0020141A" w:rsidP="0020141A">
            <w:pPr>
              <w:rPr>
                <w:rFonts w:ascii="Arial" w:hAnsi="Arial" w:cs="Arial"/>
                <w:b w:val="0"/>
                <w:bCs w:val="0"/>
              </w:rPr>
            </w:pPr>
            <w:r w:rsidRPr="0020141A">
              <w:rPr>
                <w:rFonts w:ascii="Arial" w:hAnsi="Arial" w:cs="Arial"/>
                <w:b w:val="0"/>
                <w:bCs w:val="0"/>
              </w:rPr>
              <w:t>•Locally source, seasonal ingredients and kitchen garden</w:t>
            </w:r>
          </w:p>
          <w:p w14:paraId="1FC6C8D8" w14:textId="77777777" w:rsidR="0020141A" w:rsidRPr="0020141A" w:rsidRDefault="0020141A" w:rsidP="0020141A">
            <w:pPr>
              <w:rPr>
                <w:rFonts w:ascii="Arial" w:hAnsi="Arial" w:cs="Arial"/>
                <w:b w:val="0"/>
                <w:bCs w:val="0"/>
              </w:rPr>
            </w:pPr>
          </w:p>
          <w:p w14:paraId="2813CDBA" w14:textId="6EE9C549" w:rsidR="0020141A" w:rsidRPr="0020141A" w:rsidRDefault="0020141A" w:rsidP="0020141A">
            <w:pPr>
              <w:rPr>
                <w:rFonts w:ascii="Arial" w:hAnsi="Arial" w:cs="Arial"/>
                <w:b w:val="0"/>
                <w:bCs w:val="0"/>
              </w:rPr>
            </w:pPr>
            <w:r w:rsidRPr="0020141A">
              <w:rPr>
                <w:rFonts w:ascii="Arial" w:hAnsi="Arial" w:cs="Arial"/>
                <w:b w:val="0"/>
                <w:bCs w:val="0"/>
              </w:rPr>
              <w:t>•Dietary inclusivity (vegetarian, vegan, gluten-free)</w:t>
            </w:r>
          </w:p>
          <w:p w14:paraId="1AC82872" w14:textId="77777777" w:rsidR="0020141A" w:rsidRPr="0020141A" w:rsidRDefault="0020141A" w:rsidP="0020141A">
            <w:pPr>
              <w:rPr>
                <w:rFonts w:ascii="Arial" w:hAnsi="Arial" w:cs="Arial"/>
                <w:b w:val="0"/>
                <w:bCs w:val="0"/>
              </w:rPr>
            </w:pPr>
          </w:p>
          <w:p w14:paraId="43598679" w14:textId="6E0FCAF3" w:rsidR="0020141A" w:rsidRDefault="0020141A" w:rsidP="0020141A">
            <w:pPr>
              <w:rPr>
                <w:rFonts w:ascii="Arial" w:hAnsi="Arial" w:cs="Arial"/>
                <w:b w:val="0"/>
                <w:bCs w:val="0"/>
                <w:sz w:val="24"/>
                <w:szCs w:val="24"/>
              </w:rPr>
            </w:pPr>
            <w:r w:rsidRPr="0020141A">
              <w:rPr>
                <w:rFonts w:ascii="Arial" w:hAnsi="Arial" w:cs="Arial"/>
                <w:b w:val="0"/>
                <w:bCs w:val="0"/>
              </w:rPr>
              <w:t>•Integrated accommodation</w:t>
            </w:r>
          </w:p>
        </w:tc>
        <w:tc>
          <w:tcPr>
            <w:tcW w:w="2614" w:type="dxa"/>
          </w:tcPr>
          <w:p w14:paraId="2C82931B" w14:textId="728FC55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Service inconsistencies during peak periods</w:t>
            </w:r>
          </w:p>
          <w:p w14:paraId="2852496D"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7D7B389"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90F7FEA" w14:textId="0A90DD8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•Limited digital marketing presence</w:t>
            </w:r>
          </w:p>
          <w:p w14:paraId="52AAF246"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31D3F1A" w14:textId="2852C65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•Seasonal ingredients variability</w:t>
            </w:r>
          </w:p>
          <w:p w14:paraId="140A697E"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C88AB5E" w14:textId="5EA2D859"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•Small workforce limits</w:t>
            </w:r>
            <w:r w:rsidRPr="0020141A">
              <w:rPr>
                <w:rFonts w:ascii="Arial" w:hAnsi="Arial" w:cs="Arial"/>
                <w:sz w:val="24"/>
                <w:szCs w:val="24"/>
              </w:rPr>
              <w:t xml:space="preserve"> scalability</w:t>
            </w:r>
          </w:p>
        </w:tc>
        <w:tc>
          <w:tcPr>
            <w:tcW w:w="2614" w:type="dxa"/>
          </w:tcPr>
          <w:p w14:paraId="03538635" w14:textId="7277778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 xml:space="preserve">Collaborations with local </w:t>
            </w:r>
          </w:p>
          <w:p w14:paraId="365054C1"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tourism boards</w:t>
            </w:r>
          </w:p>
          <w:p w14:paraId="42D03E1E"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9EBD2C0" w14:textId="6C323DE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•Expanding digital presence</w:t>
            </w:r>
          </w:p>
          <w:p w14:paraId="7700DF05"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2232612" w14:textId="5E7EA7E7"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•Hosting events and themed</w:t>
            </w:r>
            <w:r w:rsidRPr="0020141A">
              <w:rPr>
                <w:rFonts w:ascii="Arial" w:hAnsi="Arial" w:cs="Arial"/>
                <w:b/>
                <w:bCs/>
                <w:sz w:val="24"/>
                <w:szCs w:val="24"/>
              </w:rPr>
              <w:t xml:space="preserve"> </w:t>
            </w:r>
            <w:r w:rsidRPr="0020141A">
              <w:rPr>
                <w:rFonts w:ascii="Arial" w:hAnsi="Arial" w:cs="Arial"/>
              </w:rPr>
              <w:t>dinners</w:t>
            </w:r>
          </w:p>
        </w:tc>
        <w:tc>
          <w:tcPr>
            <w:tcW w:w="2614" w:type="dxa"/>
          </w:tcPr>
          <w:p w14:paraId="6C7B8CAA" w14:textId="1AA250CA"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b/>
                <w:bCs/>
                <w:sz w:val="24"/>
                <w:szCs w:val="24"/>
              </w:rPr>
              <w:t>•</w:t>
            </w:r>
            <w:r w:rsidRPr="0020141A">
              <w:rPr>
                <w:rFonts w:ascii="Arial" w:hAnsi="Arial" w:cs="Arial"/>
              </w:rPr>
              <w:t>Intense competition from other venues</w:t>
            </w:r>
          </w:p>
          <w:p w14:paraId="5AD034D7"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0880948" w14:textId="454F9F62"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•Substitute leisure activities and casual dining</w:t>
            </w:r>
          </w:p>
          <w:p w14:paraId="7DD8B537" w14:textId="77777777"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97829C1" w14:textId="36F738ED" w:rsid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0141A">
              <w:rPr>
                <w:rFonts w:ascii="Arial" w:hAnsi="Arial" w:cs="Arial"/>
              </w:rPr>
              <w:t>•Rising ingredient and labour costs</w:t>
            </w:r>
          </w:p>
        </w:tc>
      </w:tr>
    </w:tbl>
    <w:p w14:paraId="1BF374FA" w14:textId="77777777" w:rsidR="00D36914" w:rsidRDefault="00D36914" w:rsidP="00B44DDD">
      <w:pPr>
        <w:rPr>
          <w:rFonts w:ascii="Arial" w:hAnsi="Arial" w:cs="Arial"/>
          <w:b/>
          <w:bCs/>
          <w:sz w:val="24"/>
          <w:szCs w:val="24"/>
        </w:rPr>
      </w:pPr>
    </w:p>
    <w:p w14:paraId="2AD8B9F4" w14:textId="77777777" w:rsidR="00D36914" w:rsidRDefault="00D36914" w:rsidP="00B44DDD">
      <w:pPr>
        <w:rPr>
          <w:rFonts w:ascii="Arial" w:hAnsi="Arial" w:cs="Arial"/>
          <w:b/>
          <w:bCs/>
          <w:sz w:val="24"/>
          <w:szCs w:val="24"/>
        </w:rPr>
      </w:pPr>
    </w:p>
    <w:p w14:paraId="7B371E40" w14:textId="77777777" w:rsidR="00D36914" w:rsidRDefault="00D36914" w:rsidP="00B44DDD">
      <w:pPr>
        <w:rPr>
          <w:rFonts w:ascii="Arial" w:hAnsi="Arial" w:cs="Arial"/>
          <w:b/>
          <w:bCs/>
          <w:sz w:val="24"/>
          <w:szCs w:val="24"/>
        </w:rPr>
      </w:pPr>
    </w:p>
    <w:p w14:paraId="201246E7" w14:textId="77777777" w:rsidR="00D36914" w:rsidRDefault="00D36914" w:rsidP="00B44DDD">
      <w:pPr>
        <w:rPr>
          <w:rFonts w:ascii="Arial" w:hAnsi="Arial" w:cs="Arial"/>
          <w:b/>
          <w:bCs/>
          <w:sz w:val="24"/>
          <w:szCs w:val="24"/>
        </w:rPr>
      </w:pPr>
    </w:p>
    <w:p w14:paraId="6C91FB39" w14:textId="77777777" w:rsidR="00D36914" w:rsidRDefault="00D36914" w:rsidP="00B44DDD">
      <w:pPr>
        <w:rPr>
          <w:rFonts w:ascii="Arial" w:hAnsi="Arial" w:cs="Arial"/>
          <w:b/>
          <w:bCs/>
          <w:sz w:val="24"/>
          <w:szCs w:val="24"/>
        </w:rPr>
      </w:pPr>
    </w:p>
    <w:p w14:paraId="6EA56ECD" w14:textId="77777777" w:rsidR="00D36914" w:rsidRDefault="00D36914" w:rsidP="00B44DDD">
      <w:pPr>
        <w:rPr>
          <w:rFonts w:ascii="Arial" w:hAnsi="Arial" w:cs="Arial"/>
          <w:b/>
          <w:bCs/>
          <w:sz w:val="24"/>
          <w:szCs w:val="24"/>
        </w:rPr>
      </w:pPr>
    </w:p>
    <w:p w14:paraId="0B919340" w14:textId="77777777" w:rsidR="00D36914" w:rsidRDefault="00D36914" w:rsidP="00B44DDD">
      <w:pPr>
        <w:rPr>
          <w:rFonts w:ascii="Arial" w:hAnsi="Arial" w:cs="Arial"/>
          <w:b/>
          <w:bCs/>
          <w:sz w:val="24"/>
          <w:szCs w:val="24"/>
        </w:rPr>
      </w:pPr>
    </w:p>
    <w:p w14:paraId="7E0B12FD" w14:textId="77777777" w:rsidR="00D36914" w:rsidRDefault="00D36914" w:rsidP="00B44DDD">
      <w:pPr>
        <w:rPr>
          <w:rFonts w:ascii="Arial" w:hAnsi="Arial" w:cs="Arial"/>
          <w:b/>
          <w:bCs/>
          <w:sz w:val="24"/>
          <w:szCs w:val="24"/>
        </w:rPr>
      </w:pPr>
    </w:p>
    <w:p w14:paraId="1A3C25D2" w14:textId="77777777" w:rsidR="00D36914" w:rsidRDefault="00D36914" w:rsidP="00B44DDD">
      <w:pPr>
        <w:rPr>
          <w:rFonts w:ascii="Arial" w:hAnsi="Arial" w:cs="Arial"/>
          <w:b/>
          <w:bCs/>
          <w:sz w:val="24"/>
          <w:szCs w:val="24"/>
        </w:rPr>
      </w:pPr>
    </w:p>
    <w:p w14:paraId="28468D28" w14:textId="77777777" w:rsidR="00D36914" w:rsidRDefault="00D36914" w:rsidP="00B44DDD">
      <w:pPr>
        <w:rPr>
          <w:rFonts w:ascii="Arial" w:hAnsi="Arial" w:cs="Arial"/>
          <w:b/>
          <w:bCs/>
          <w:sz w:val="24"/>
          <w:szCs w:val="24"/>
        </w:rPr>
      </w:pPr>
    </w:p>
    <w:p w14:paraId="21C40640" w14:textId="77777777" w:rsidR="00D36914" w:rsidRDefault="00D36914" w:rsidP="00B44DDD">
      <w:pPr>
        <w:rPr>
          <w:rFonts w:ascii="Arial" w:hAnsi="Arial" w:cs="Arial"/>
          <w:b/>
          <w:bCs/>
          <w:sz w:val="24"/>
          <w:szCs w:val="24"/>
        </w:rPr>
      </w:pPr>
    </w:p>
    <w:p w14:paraId="7AF276EE" w14:textId="77777777" w:rsidR="00D36914" w:rsidRDefault="00D36914" w:rsidP="00B44DDD">
      <w:pPr>
        <w:rPr>
          <w:rFonts w:ascii="Arial" w:hAnsi="Arial" w:cs="Arial"/>
          <w:b/>
          <w:bCs/>
          <w:sz w:val="24"/>
          <w:szCs w:val="24"/>
        </w:rPr>
      </w:pPr>
    </w:p>
    <w:p w14:paraId="49B7A60E" w14:textId="77777777" w:rsidR="00D36914" w:rsidRDefault="00D36914" w:rsidP="00B44DDD">
      <w:pPr>
        <w:rPr>
          <w:rFonts w:ascii="Arial" w:hAnsi="Arial" w:cs="Arial"/>
          <w:b/>
          <w:bCs/>
          <w:sz w:val="24"/>
          <w:szCs w:val="24"/>
        </w:rPr>
      </w:pPr>
    </w:p>
    <w:p w14:paraId="7846B5E5" w14:textId="77777777" w:rsidR="00D36914" w:rsidRDefault="00D36914" w:rsidP="00B44DDD">
      <w:pPr>
        <w:rPr>
          <w:rFonts w:ascii="Arial" w:hAnsi="Arial" w:cs="Arial"/>
          <w:b/>
          <w:bCs/>
          <w:sz w:val="24"/>
          <w:szCs w:val="24"/>
        </w:rPr>
      </w:pPr>
    </w:p>
    <w:p w14:paraId="30045807" w14:textId="77777777" w:rsidR="00D36914" w:rsidRDefault="00D36914" w:rsidP="00B44DDD">
      <w:pPr>
        <w:rPr>
          <w:rFonts w:ascii="Arial" w:hAnsi="Arial" w:cs="Arial"/>
          <w:b/>
          <w:bCs/>
          <w:sz w:val="24"/>
          <w:szCs w:val="24"/>
        </w:rPr>
      </w:pPr>
    </w:p>
    <w:p w14:paraId="0E17D983" w14:textId="77777777" w:rsidR="00D36914" w:rsidRDefault="00D36914" w:rsidP="00B44DDD">
      <w:pPr>
        <w:rPr>
          <w:rFonts w:ascii="Arial" w:hAnsi="Arial" w:cs="Arial"/>
          <w:b/>
          <w:bCs/>
          <w:sz w:val="24"/>
          <w:szCs w:val="24"/>
        </w:rPr>
      </w:pPr>
    </w:p>
    <w:p w14:paraId="5620F6EC" w14:textId="77777777" w:rsidR="00D36914" w:rsidRDefault="00D36914" w:rsidP="00B44DDD">
      <w:pPr>
        <w:rPr>
          <w:rFonts w:ascii="Arial" w:hAnsi="Arial" w:cs="Arial"/>
          <w:b/>
          <w:bCs/>
          <w:sz w:val="24"/>
          <w:szCs w:val="24"/>
        </w:rPr>
      </w:pPr>
    </w:p>
    <w:p w14:paraId="269FF3ED" w14:textId="77777777" w:rsidR="00D36914" w:rsidRDefault="00D36914" w:rsidP="00B44DDD">
      <w:pPr>
        <w:rPr>
          <w:rFonts w:ascii="Arial" w:hAnsi="Arial" w:cs="Arial"/>
          <w:b/>
          <w:bCs/>
          <w:sz w:val="24"/>
          <w:szCs w:val="24"/>
        </w:rPr>
      </w:pPr>
    </w:p>
    <w:p w14:paraId="5C856B49" w14:textId="77777777" w:rsidR="00D36914" w:rsidRDefault="00D36914" w:rsidP="00B44DDD">
      <w:pPr>
        <w:rPr>
          <w:rFonts w:ascii="Arial" w:hAnsi="Arial" w:cs="Arial"/>
          <w:b/>
          <w:bCs/>
          <w:sz w:val="24"/>
          <w:szCs w:val="24"/>
        </w:rPr>
      </w:pPr>
    </w:p>
    <w:p w14:paraId="77A87B7E" w14:textId="77777777" w:rsidR="00D36914" w:rsidRDefault="00D36914" w:rsidP="00B44DDD">
      <w:pPr>
        <w:rPr>
          <w:rFonts w:ascii="Arial" w:hAnsi="Arial" w:cs="Arial"/>
          <w:b/>
          <w:bCs/>
          <w:sz w:val="24"/>
          <w:szCs w:val="24"/>
        </w:rPr>
      </w:pPr>
    </w:p>
    <w:p w14:paraId="49E613C8" w14:textId="77777777" w:rsidR="00D36914" w:rsidRDefault="00D36914" w:rsidP="00B44DDD">
      <w:pPr>
        <w:rPr>
          <w:rFonts w:ascii="Arial" w:hAnsi="Arial" w:cs="Arial"/>
          <w:b/>
          <w:bCs/>
          <w:sz w:val="24"/>
          <w:szCs w:val="24"/>
        </w:rPr>
      </w:pPr>
    </w:p>
    <w:p w14:paraId="618945B3" w14:textId="77777777" w:rsidR="00D36914" w:rsidRDefault="00D36914" w:rsidP="00B44DDD">
      <w:pPr>
        <w:rPr>
          <w:rFonts w:ascii="Arial" w:hAnsi="Arial" w:cs="Arial"/>
          <w:b/>
          <w:bCs/>
          <w:sz w:val="24"/>
          <w:szCs w:val="24"/>
        </w:rPr>
      </w:pPr>
    </w:p>
    <w:p w14:paraId="43DA9F31" w14:textId="77777777" w:rsidR="00D36914" w:rsidRDefault="00D36914" w:rsidP="00B44DDD">
      <w:pPr>
        <w:rPr>
          <w:rFonts w:ascii="Arial" w:hAnsi="Arial" w:cs="Arial"/>
          <w:b/>
          <w:bCs/>
          <w:sz w:val="24"/>
          <w:szCs w:val="24"/>
        </w:rPr>
      </w:pPr>
    </w:p>
    <w:p w14:paraId="3F1BB124" w14:textId="77777777" w:rsidR="00D36914" w:rsidRDefault="00D36914" w:rsidP="00B44DDD">
      <w:pPr>
        <w:rPr>
          <w:rFonts w:ascii="Arial" w:hAnsi="Arial" w:cs="Arial"/>
          <w:b/>
          <w:bCs/>
          <w:sz w:val="24"/>
          <w:szCs w:val="24"/>
        </w:rPr>
      </w:pPr>
    </w:p>
    <w:p w14:paraId="38BE3FF7" w14:textId="3519F012" w:rsidR="00064788" w:rsidRPr="00D36914" w:rsidRDefault="0020141A" w:rsidP="00D36914">
      <w:pPr>
        <w:pStyle w:val="Heading1"/>
        <w:rPr>
          <w:rFonts w:ascii="Arial" w:hAnsi="Arial" w:cs="Arial"/>
          <w:b/>
          <w:bCs/>
          <w:color w:val="000000" w:themeColor="text1"/>
          <w:sz w:val="24"/>
          <w:szCs w:val="24"/>
        </w:rPr>
      </w:pPr>
      <w:bookmarkStart w:id="10" w:name="_Toc214046179"/>
      <w:r w:rsidRPr="00D36914">
        <w:rPr>
          <w:rFonts w:ascii="Arial" w:hAnsi="Arial" w:cs="Arial"/>
          <w:b/>
          <w:bCs/>
          <w:color w:val="000000" w:themeColor="text1"/>
          <w:sz w:val="24"/>
          <w:szCs w:val="24"/>
        </w:rPr>
        <w:lastRenderedPageBreak/>
        <w:t>Appendix B.</w:t>
      </w:r>
      <w:bookmarkEnd w:id="10"/>
    </w:p>
    <w:tbl>
      <w:tblPr>
        <w:tblStyle w:val="GridTable4"/>
        <w:tblW w:w="0" w:type="auto"/>
        <w:tblLook w:val="04A0" w:firstRow="1" w:lastRow="0" w:firstColumn="1" w:lastColumn="0" w:noHBand="0" w:noVBand="1"/>
      </w:tblPr>
      <w:tblGrid>
        <w:gridCol w:w="5228"/>
        <w:gridCol w:w="5228"/>
      </w:tblGrid>
      <w:tr w:rsidR="0020141A" w14:paraId="1F4EF651" w14:textId="77777777" w:rsidTr="002014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37BD367" w14:textId="7431DDC5" w:rsidR="0020141A" w:rsidRDefault="0020141A" w:rsidP="00B44DDD">
            <w:pPr>
              <w:rPr>
                <w:rFonts w:ascii="Arial" w:hAnsi="Arial" w:cs="Arial"/>
                <w:b w:val="0"/>
                <w:bCs w:val="0"/>
                <w:sz w:val="24"/>
                <w:szCs w:val="24"/>
              </w:rPr>
            </w:pPr>
            <w:r>
              <w:rPr>
                <w:rFonts w:ascii="Arial" w:hAnsi="Arial" w:cs="Arial"/>
                <w:b w:val="0"/>
                <w:bCs w:val="0"/>
                <w:sz w:val="24"/>
                <w:szCs w:val="24"/>
              </w:rPr>
              <w:t>PESTLE Analysis</w:t>
            </w:r>
          </w:p>
        </w:tc>
        <w:tc>
          <w:tcPr>
            <w:tcW w:w="5228" w:type="dxa"/>
          </w:tcPr>
          <w:p w14:paraId="206A0BAF" w14:textId="77777777" w:rsidR="0020141A" w:rsidRDefault="0020141A"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20141A" w14:paraId="5306005A" w14:textId="77777777" w:rsidTr="001057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2"/>
          </w:tcPr>
          <w:p w14:paraId="144FC35A" w14:textId="117311F7" w:rsidR="0020141A" w:rsidRDefault="0020141A" w:rsidP="00B44DDD">
            <w:pPr>
              <w:rPr>
                <w:rFonts w:ascii="Arial" w:hAnsi="Arial" w:cs="Arial"/>
                <w:b w:val="0"/>
                <w:bCs w:val="0"/>
                <w:sz w:val="24"/>
                <w:szCs w:val="24"/>
              </w:rPr>
            </w:pPr>
            <w:r w:rsidRPr="0020141A">
              <w:rPr>
                <w:rFonts w:ascii="Arial" w:hAnsi="Arial" w:cs="Arial"/>
                <w:sz w:val="24"/>
                <w:szCs w:val="24"/>
              </w:rPr>
              <w:t>Factors</w:t>
            </w:r>
          </w:p>
        </w:tc>
      </w:tr>
      <w:tr w:rsidR="0020141A" w14:paraId="09AFEBA3"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334C4EAE" w14:textId="017D026B" w:rsidR="0020141A" w:rsidRPr="0020141A" w:rsidRDefault="0020141A" w:rsidP="00B44DDD">
            <w:pPr>
              <w:rPr>
                <w:rFonts w:ascii="Arial" w:hAnsi="Arial" w:cs="Arial"/>
                <w:sz w:val="24"/>
                <w:szCs w:val="24"/>
              </w:rPr>
            </w:pPr>
            <w:r w:rsidRPr="0020141A">
              <w:rPr>
                <w:rFonts w:ascii="Arial" w:hAnsi="Arial" w:cs="Arial"/>
                <w:sz w:val="24"/>
                <w:szCs w:val="24"/>
              </w:rPr>
              <w:t>Political</w:t>
            </w:r>
          </w:p>
        </w:tc>
        <w:tc>
          <w:tcPr>
            <w:tcW w:w="5228" w:type="dxa"/>
          </w:tcPr>
          <w:p w14:paraId="442ECB3C" w14:textId="0FC2B228"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•UK hospitality regulations (food safety, employment law) affect operational compliance </w:t>
            </w:r>
            <w:r w:rsidRPr="004329C9">
              <w:rPr>
                <w:rFonts w:ascii="Arial" w:hAnsi="Arial" w:cs="Arial"/>
                <w:color w:val="000000" w:themeColor="text1"/>
              </w:rPr>
              <w:t xml:space="preserve">(Food Standards Agency, 2024). </w:t>
            </w:r>
          </w:p>
          <w:p w14:paraId="52379822" w14:textId="6D41C8D6"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•Local council planning policies influence accommodation/events expansion. </w:t>
            </w:r>
          </w:p>
          <w:p w14:paraId="1173271B" w14:textId="1DCD6FAC"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•Brexit-related trade policies may affect ingredient costs.</w:t>
            </w:r>
          </w:p>
        </w:tc>
      </w:tr>
      <w:tr w:rsidR="0020141A" w14:paraId="372E7AAD"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CEF81DD" w14:textId="7B44CDE3" w:rsidR="0020141A" w:rsidRPr="0020141A" w:rsidRDefault="0020141A" w:rsidP="00B44DDD">
            <w:pPr>
              <w:rPr>
                <w:rFonts w:ascii="Arial" w:hAnsi="Arial" w:cs="Arial"/>
                <w:sz w:val="24"/>
                <w:szCs w:val="24"/>
              </w:rPr>
            </w:pPr>
            <w:r w:rsidRPr="0020141A">
              <w:rPr>
                <w:rFonts w:ascii="Arial" w:hAnsi="Arial" w:cs="Arial"/>
                <w:sz w:val="24"/>
                <w:szCs w:val="24"/>
              </w:rPr>
              <w:t>Economical</w:t>
            </w:r>
          </w:p>
        </w:tc>
        <w:tc>
          <w:tcPr>
            <w:tcW w:w="5228" w:type="dxa"/>
          </w:tcPr>
          <w:p w14:paraId="288D31BA" w14:textId="1D97476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w:t>
            </w:r>
            <w:r w:rsidRPr="0020141A">
              <w:t xml:space="preserve"> </w:t>
            </w:r>
            <w:r w:rsidRPr="0020141A">
              <w:rPr>
                <w:rFonts w:ascii="Arial" w:hAnsi="Arial" w:cs="Arial"/>
              </w:rPr>
              <w:t xml:space="preserve">Rising labour and ingredient costs influence margins (Oliveras-Villanueva, Llach &amp; Perramon, 2020). </w:t>
            </w:r>
          </w:p>
          <w:p w14:paraId="4BB971CE" w14:textId="4F9B007A"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•Fluctuations in tourism, exchange rates, and disposable income affect occupancy and dining revenue. </w:t>
            </w:r>
          </w:p>
          <w:p w14:paraId="2DA2505C" w14:textId="086E1BCB"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•Premium rural tourism is less price-sensitive (Morrison, 2020).</w:t>
            </w:r>
            <w:r w:rsidRPr="0020141A">
              <w:rPr>
                <w:rFonts w:ascii="Arial" w:hAnsi="Arial" w:cs="Arial"/>
              </w:rPr>
              <w:tab/>
            </w:r>
          </w:p>
          <w:p w14:paraId="4B55D739" w14:textId="56B06F9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0141A" w14:paraId="17BEBC28"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0D2517F1" w14:textId="13E70DDD" w:rsidR="0020141A" w:rsidRPr="0020141A" w:rsidRDefault="0020141A" w:rsidP="00B44DDD">
            <w:pPr>
              <w:rPr>
                <w:rFonts w:ascii="Arial" w:hAnsi="Arial" w:cs="Arial"/>
                <w:sz w:val="24"/>
                <w:szCs w:val="24"/>
              </w:rPr>
            </w:pPr>
            <w:r w:rsidRPr="0020141A">
              <w:rPr>
                <w:rFonts w:ascii="Arial" w:hAnsi="Arial" w:cs="Arial"/>
                <w:sz w:val="24"/>
                <w:szCs w:val="24"/>
              </w:rPr>
              <w:t>Social</w:t>
            </w:r>
          </w:p>
        </w:tc>
        <w:tc>
          <w:tcPr>
            <w:tcW w:w="5228" w:type="dxa"/>
          </w:tcPr>
          <w:p w14:paraId="6EDE1D85" w14:textId="032CFB90"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•Increasing consumer preference for authentic, local, sustainable dining supports PLB’s differentiation (Sims, 2009). </w:t>
            </w:r>
          </w:p>
          <w:p w14:paraId="5A1F62C3" w14:textId="6FBB7B5B"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•Demographics show growing domestic tourism and rural experience interest. </w:t>
            </w:r>
          </w:p>
          <w:p w14:paraId="63142AE7" w14:textId="06784D2C"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•Social media drives demand for visually appealing dishes (Reklitis et al., 2025).</w:t>
            </w:r>
          </w:p>
        </w:tc>
      </w:tr>
      <w:tr w:rsidR="0020141A" w14:paraId="6A7672E0"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B451503" w14:textId="57292AEF" w:rsidR="0020141A" w:rsidRPr="0020141A" w:rsidRDefault="0020141A" w:rsidP="00B44DDD">
            <w:pPr>
              <w:rPr>
                <w:rFonts w:ascii="Arial" w:hAnsi="Arial" w:cs="Arial"/>
                <w:sz w:val="24"/>
                <w:szCs w:val="24"/>
              </w:rPr>
            </w:pPr>
            <w:r w:rsidRPr="0020141A">
              <w:rPr>
                <w:rFonts w:ascii="Arial" w:hAnsi="Arial" w:cs="Arial"/>
                <w:sz w:val="24"/>
                <w:szCs w:val="24"/>
              </w:rPr>
              <w:t>Technological</w:t>
            </w:r>
          </w:p>
        </w:tc>
        <w:tc>
          <w:tcPr>
            <w:tcW w:w="5228" w:type="dxa"/>
          </w:tcPr>
          <w:p w14:paraId="1AB86107" w14:textId="503545CF"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•Digital marketing, online reservations, and social media engagement are underutilised. </w:t>
            </w:r>
          </w:p>
          <w:p w14:paraId="7443DCB1" w14:textId="26C3F237"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•Kitchen/inventory management technology could improve efficiency and reduce waste (Oliveras-Villanueva, Llach &amp; Perramon, 2020).</w:t>
            </w:r>
          </w:p>
        </w:tc>
      </w:tr>
      <w:tr w:rsidR="0020141A" w14:paraId="70C2D121" w14:textId="77777777" w:rsidTr="0020141A">
        <w:tc>
          <w:tcPr>
            <w:cnfStyle w:val="001000000000" w:firstRow="0" w:lastRow="0" w:firstColumn="1" w:lastColumn="0" w:oddVBand="0" w:evenVBand="0" w:oddHBand="0" w:evenHBand="0" w:firstRowFirstColumn="0" w:firstRowLastColumn="0" w:lastRowFirstColumn="0" w:lastRowLastColumn="0"/>
            <w:tcW w:w="5228" w:type="dxa"/>
          </w:tcPr>
          <w:p w14:paraId="5D21EFE3" w14:textId="230559E8" w:rsidR="0020141A" w:rsidRPr="0020141A" w:rsidRDefault="0020141A" w:rsidP="00B44DDD">
            <w:pPr>
              <w:rPr>
                <w:rFonts w:ascii="Arial" w:hAnsi="Arial" w:cs="Arial"/>
                <w:sz w:val="24"/>
                <w:szCs w:val="24"/>
              </w:rPr>
            </w:pPr>
            <w:r w:rsidRPr="0020141A">
              <w:rPr>
                <w:rFonts w:ascii="Arial" w:hAnsi="Arial" w:cs="Arial"/>
                <w:sz w:val="24"/>
                <w:szCs w:val="24"/>
              </w:rPr>
              <w:t>Legal</w:t>
            </w:r>
          </w:p>
        </w:tc>
        <w:tc>
          <w:tcPr>
            <w:tcW w:w="5228" w:type="dxa"/>
          </w:tcPr>
          <w:p w14:paraId="64DE80E0" w14:textId="462FDD8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•Health &amp; safety, licensing, and employment law require ongoing compliance. </w:t>
            </w:r>
          </w:p>
          <w:p w14:paraId="470303DE" w14:textId="3553658E"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 xml:space="preserve">•GDPR for online bookings must be maintained. </w:t>
            </w:r>
          </w:p>
          <w:p w14:paraId="79FCC29C" w14:textId="5B6BD1AD" w:rsidR="0020141A" w:rsidRPr="0020141A" w:rsidRDefault="0020141A" w:rsidP="0020141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141A">
              <w:rPr>
                <w:rFonts w:ascii="Arial" w:hAnsi="Arial" w:cs="Arial"/>
              </w:rPr>
              <w:t>•Event hosting requires insurance and liability adherence.</w:t>
            </w:r>
          </w:p>
        </w:tc>
      </w:tr>
      <w:tr w:rsidR="0020141A" w14:paraId="0F18E7A5" w14:textId="77777777" w:rsidTr="00201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E54781F" w14:textId="3B24FF1B" w:rsidR="0020141A" w:rsidRPr="0020141A" w:rsidRDefault="0020141A" w:rsidP="00B44DDD">
            <w:pPr>
              <w:rPr>
                <w:rFonts w:ascii="Arial" w:hAnsi="Arial" w:cs="Arial"/>
                <w:sz w:val="24"/>
                <w:szCs w:val="24"/>
              </w:rPr>
            </w:pPr>
            <w:r w:rsidRPr="0020141A">
              <w:rPr>
                <w:rFonts w:ascii="Arial" w:hAnsi="Arial" w:cs="Arial"/>
                <w:sz w:val="24"/>
                <w:szCs w:val="24"/>
              </w:rPr>
              <w:t>Environmental</w:t>
            </w:r>
          </w:p>
        </w:tc>
        <w:tc>
          <w:tcPr>
            <w:tcW w:w="5228" w:type="dxa"/>
          </w:tcPr>
          <w:p w14:paraId="3B4659A8" w14:textId="5257B290"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•Seasonal, locally sourced ingredients support sustainability but introduce variability (Sims, 2009). </w:t>
            </w:r>
          </w:p>
          <w:p w14:paraId="14EA44F2" w14:textId="096A1A8E"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 xml:space="preserve">•Eco-friendly practices (low-carbon menus, minimal waste) enhance brand image. </w:t>
            </w:r>
          </w:p>
          <w:p w14:paraId="39911D2C" w14:textId="46895DB4" w:rsidR="0020141A" w:rsidRPr="0020141A" w:rsidRDefault="0020141A" w:rsidP="0020141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141A">
              <w:rPr>
                <w:rFonts w:ascii="Arial" w:hAnsi="Arial" w:cs="Arial"/>
              </w:rPr>
              <w:t>•Outdoor dining and kitchen garden practices reinforce sustainability and guest experience.</w:t>
            </w:r>
          </w:p>
        </w:tc>
      </w:tr>
    </w:tbl>
    <w:p w14:paraId="37D2DC3D" w14:textId="77777777" w:rsidR="00D36914" w:rsidRDefault="00D36914" w:rsidP="00B44DDD">
      <w:pPr>
        <w:rPr>
          <w:rFonts w:ascii="Arial" w:hAnsi="Arial" w:cs="Arial"/>
          <w:b/>
          <w:bCs/>
          <w:sz w:val="24"/>
          <w:szCs w:val="24"/>
        </w:rPr>
      </w:pPr>
    </w:p>
    <w:p w14:paraId="599680BC" w14:textId="77777777" w:rsidR="00D36914" w:rsidRDefault="00D36914" w:rsidP="00B44DDD">
      <w:pPr>
        <w:rPr>
          <w:rFonts w:ascii="Arial" w:hAnsi="Arial" w:cs="Arial"/>
          <w:b/>
          <w:bCs/>
          <w:sz w:val="24"/>
          <w:szCs w:val="24"/>
        </w:rPr>
      </w:pPr>
    </w:p>
    <w:p w14:paraId="02992920" w14:textId="77777777" w:rsidR="00D36914" w:rsidRDefault="00D36914" w:rsidP="00B44DDD">
      <w:pPr>
        <w:rPr>
          <w:rFonts w:ascii="Arial" w:hAnsi="Arial" w:cs="Arial"/>
          <w:b/>
          <w:bCs/>
          <w:sz w:val="24"/>
          <w:szCs w:val="24"/>
        </w:rPr>
      </w:pPr>
    </w:p>
    <w:p w14:paraId="3D421154" w14:textId="77777777" w:rsidR="00D36914" w:rsidRDefault="00D36914" w:rsidP="00B44DDD">
      <w:pPr>
        <w:rPr>
          <w:rFonts w:ascii="Arial" w:hAnsi="Arial" w:cs="Arial"/>
          <w:b/>
          <w:bCs/>
          <w:sz w:val="24"/>
          <w:szCs w:val="24"/>
        </w:rPr>
      </w:pPr>
    </w:p>
    <w:p w14:paraId="46EBEEAC" w14:textId="77777777" w:rsidR="00D36914" w:rsidRDefault="00D36914" w:rsidP="00B44DDD">
      <w:pPr>
        <w:rPr>
          <w:rFonts w:ascii="Arial" w:hAnsi="Arial" w:cs="Arial"/>
          <w:b/>
          <w:bCs/>
          <w:sz w:val="24"/>
          <w:szCs w:val="24"/>
        </w:rPr>
      </w:pPr>
    </w:p>
    <w:p w14:paraId="242E5BD1" w14:textId="77777777" w:rsidR="00D36914" w:rsidRDefault="00D36914" w:rsidP="00B44DDD">
      <w:pPr>
        <w:rPr>
          <w:rFonts w:ascii="Arial" w:hAnsi="Arial" w:cs="Arial"/>
          <w:b/>
          <w:bCs/>
          <w:sz w:val="24"/>
          <w:szCs w:val="24"/>
        </w:rPr>
      </w:pPr>
    </w:p>
    <w:p w14:paraId="0D353983" w14:textId="77777777" w:rsidR="00D36914" w:rsidRDefault="00D36914" w:rsidP="00B44DDD">
      <w:pPr>
        <w:rPr>
          <w:rFonts w:ascii="Arial" w:hAnsi="Arial" w:cs="Arial"/>
          <w:b/>
          <w:bCs/>
          <w:sz w:val="24"/>
          <w:szCs w:val="24"/>
        </w:rPr>
      </w:pPr>
    </w:p>
    <w:p w14:paraId="7211ADF1" w14:textId="77777777" w:rsidR="00D36914" w:rsidRDefault="00D36914" w:rsidP="00B44DDD">
      <w:pPr>
        <w:rPr>
          <w:rFonts w:ascii="Arial" w:hAnsi="Arial" w:cs="Arial"/>
          <w:b/>
          <w:bCs/>
          <w:sz w:val="24"/>
          <w:szCs w:val="24"/>
        </w:rPr>
      </w:pPr>
    </w:p>
    <w:p w14:paraId="742B8FD4" w14:textId="77777777" w:rsidR="00D36914" w:rsidRDefault="00D36914" w:rsidP="00B44DDD">
      <w:pPr>
        <w:rPr>
          <w:rFonts w:ascii="Arial" w:hAnsi="Arial" w:cs="Arial"/>
          <w:b/>
          <w:bCs/>
          <w:sz w:val="24"/>
          <w:szCs w:val="24"/>
        </w:rPr>
      </w:pPr>
    </w:p>
    <w:p w14:paraId="629BB89C" w14:textId="2B4AEB24" w:rsidR="0020141A" w:rsidRPr="00D36914" w:rsidRDefault="00711E04" w:rsidP="00D36914">
      <w:pPr>
        <w:pStyle w:val="Heading1"/>
        <w:rPr>
          <w:rFonts w:ascii="Arial" w:hAnsi="Arial" w:cs="Arial"/>
          <w:b/>
          <w:bCs/>
          <w:color w:val="000000" w:themeColor="text1"/>
          <w:sz w:val="24"/>
          <w:szCs w:val="24"/>
        </w:rPr>
      </w:pPr>
      <w:bookmarkStart w:id="11" w:name="_Toc214046180"/>
      <w:r w:rsidRPr="00D36914">
        <w:rPr>
          <w:rFonts w:ascii="Arial" w:hAnsi="Arial" w:cs="Arial"/>
          <w:b/>
          <w:bCs/>
          <w:color w:val="000000" w:themeColor="text1"/>
          <w:sz w:val="24"/>
          <w:szCs w:val="24"/>
        </w:rPr>
        <w:lastRenderedPageBreak/>
        <w:t>Appendix C.</w:t>
      </w:r>
      <w:bookmarkEnd w:id="11"/>
    </w:p>
    <w:p w14:paraId="772FFDE9" w14:textId="7521314D" w:rsidR="00711E04" w:rsidRDefault="00711E04" w:rsidP="00B44DDD">
      <w:pPr>
        <w:rPr>
          <w:rFonts w:ascii="Arial" w:hAnsi="Arial" w:cs="Arial"/>
          <w:b/>
          <w:bCs/>
          <w:sz w:val="24"/>
          <w:szCs w:val="24"/>
        </w:rPr>
      </w:pPr>
      <w:r>
        <w:rPr>
          <w:rFonts w:ascii="Arial" w:hAnsi="Arial" w:cs="Arial"/>
          <w:b/>
          <w:bCs/>
          <w:noProof/>
          <w:sz w:val="24"/>
          <w:szCs w:val="24"/>
        </w:rPr>
        <w:drawing>
          <wp:inline distT="0" distB="0" distL="0" distR="0" wp14:anchorId="22186462" wp14:editId="386D247A">
            <wp:extent cx="3609340" cy="3932555"/>
            <wp:effectExtent l="0" t="0" r="0" b="0"/>
            <wp:docPr id="87679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3932555"/>
                    </a:xfrm>
                    <a:prstGeom prst="rect">
                      <a:avLst/>
                    </a:prstGeom>
                    <a:noFill/>
                  </pic:spPr>
                </pic:pic>
              </a:graphicData>
            </a:graphic>
          </wp:inline>
        </w:drawing>
      </w:r>
      <w:r>
        <w:rPr>
          <w:rFonts w:ascii="Arial" w:hAnsi="Arial" w:cs="Arial"/>
          <w:b/>
          <w:bCs/>
          <w:noProof/>
          <w:sz w:val="24"/>
          <w:szCs w:val="24"/>
        </w:rPr>
        <w:drawing>
          <wp:inline distT="0" distB="0" distL="0" distR="0" wp14:anchorId="5D999B96" wp14:editId="3949B04E">
            <wp:extent cx="3609340" cy="4206875"/>
            <wp:effectExtent l="0" t="0" r="0" b="3175"/>
            <wp:docPr id="1317902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340" cy="4206875"/>
                    </a:xfrm>
                    <a:prstGeom prst="rect">
                      <a:avLst/>
                    </a:prstGeom>
                    <a:noFill/>
                  </pic:spPr>
                </pic:pic>
              </a:graphicData>
            </a:graphic>
          </wp:inline>
        </w:drawing>
      </w:r>
    </w:p>
    <w:p w14:paraId="62B777D3" w14:textId="77777777" w:rsidR="00064788" w:rsidRDefault="00064788" w:rsidP="00B44DDD">
      <w:pPr>
        <w:rPr>
          <w:rFonts w:ascii="Arial" w:hAnsi="Arial" w:cs="Arial"/>
          <w:b/>
          <w:bCs/>
          <w:sz w:val="24"/>
          <w:szCs w:val="24"/>
        </w:rPr>
      </w:pPr>
    </w:p>
    <w:p w14:paraId="56B60421" w14:textId="77777777" w:rsidR="00064788" w:rsidRDefault="00064788" w:rsidP="00B44DDD">
      <w:pPr>
        <w:rPr>
          <w:rFonts w:ascii="Arial" w:hAnsi="Arial" w:cs="Arial"/>
          <w:b/>
          <w:bCs/>
          <w:sz w:val="24"/>
          <w:szCs w:val="24"/>
        </w:rPr>
      </w:pPr>
    </w:p>
    <w:p w14:paraId="29D9E4EA" w14:textId="77777777" w:rsidR="00651750" w:rsidRDefault="00651750" w:rsidP="00B44DDD">
      <w:pPr>
        <w:rPr>
          <w:rFonts w:ascii="Arial" w:hAnsi="Arial" w:cs="Arial"/>
          <w:b/>
          <w:bCs/>
          <w:sz w:val="24"/>
          <w:szCs w:val="24"/>
        </w:rPr>
      </w:pPr>
    </w:p>
    <w:p w14:paraId="47626F95" w14:textId="77777777" w:rsidR="00D36914" w:rsidRDefault="00D36914" w:rsidP="00B44DDD">
      <w:pPr>
        <w:rPr>
          <w:rFonts w:ascii="Arial" w:hAnsi="Arial" w:cs="Arial"/>
          <w:b/>
          <w:bCs/>
          <w:sz w:val="24"/>
          <w:szCs w:val="24"/>
        </w:rPr>
      </w:pPr>
    </w:p>
    <w:p w14:paraId="6CC7F2DE" w14:textId="0FEE6341" w:rsidR="00651750" w:rsidRPr="00D36914" w:rsidRDefault="00E54710" w:rsidP="00D36914">
      <w:pPr>
        <w:pStyle w:val="Heading1"/>
        <w:rPr>
          <w:rFonts w:ascii="Arial" w:hAnsi="Arial" w:cs="Arial"/>
          <w:b/>
          <w:bCs/>
          <w:color w:val="000000" w:themeColor="text1"/>
          <w:sz w:val="24"/>
          <w:szCs w:val="24"/>
        </w:rPr>
      </w:pPr>
      <w:bookmarkStart w:id="12" w:name="_Toc214046181"/>
      <w:r w:rsidRPr="00D36914">
        <w:rPr>
          <w:rFonts w:ascii="Arial" w:hAnsi="Arial" w:cs="Arial"/>
          <w:b/>
          <w:bCs/>
          <w:color w:val="000000" w:themeColor="text1"/>
          <w:sz w:val="24"/>
          <w:szCs w:val="24"/>
        </w:rPr>
        <w:lastRenderedPageBreak/>
        <w:t>Appendix D.</w:t>
      </w:r>
      <w:bookmarkEnd w:id="12"/>
    </w:p>
    <w:tbl>
      <w:tblPr>
        <w:tblStyle w:val="GridTable4"/>
        <w:tblW w:w="0" w:type="auto"/>
        <w:tblLook w:val="04A0" w:firstRow="1" w:lastRow="0" w:firstColumn="1" w:lastColumn="0" w:noHBand="0" w:noVBand="1"/>
      </w:tblPr>
      <w:tblGrid>
        <w:gridCol w:w="2614"/>
        <w:gridCol w:w="2614"/>
        <w:gridCol w:w="2614"/>
        <w:gridCol w:w="2614"/>
      </w:tblGrid>
      <w:tr w:rsidR="00E54710" w14:paraId="50860F71" w14:textId="77777777" w:rsidTr="002873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4"/>
          </w:tcPr>
          <w:p w14:paraId="59453EC6" w14:textId="62F1DFA9" w:rsidR="00E54710" w:rsidRPr="00E54710" w:rsidRDefault="00E54710" w:rsidP="00B44DDD">
            <w:pPr>
              <w:rPr>
                <w:rFonts w:ascii="Arial" w:hAnsi="Arial" w:cs="Arial"/>
                <w:sz w:val="24"/>
                <w:szCs w:val="24"/>
              </w:rPr>
            </w:pPr>
            <w:r w:rsidRPr="00E54710">
              <w:rPr>
                <w:rFonts w:ascii="Arial" w:hAnsi="Arial" w:cs="Arial"/>
                <w:sz w:val="24"/>
                <w:szCs w:val="24"/>
              </w:rPr>
              <w:t>Competitor Benchmarking</w:t>
            </w:r>
          </w:p>
        </w:tc>
      </w:tr>
      <w:tr w:rsidR="00E54710" w14:paraId="3A9254CD"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20B2FE7" w14:textId="34E5E6EA" w:rsidR="00E54710" w:rsidRPr="00E54710" w:rsidRDefault="00E54710" w:rsidP="00B44DDD">
            <w:pPr>
              <w:rPr>
                <w:rFonts w:ascii="Arial" w:hAnsi="Arial" w:cs="Arial"/>
                <w:sz w:val="24"/>
                <w:szCs w:val="24"/>
              </w:rPr>
            </w:pPr>
            <w:r w:rsidRPr="00E54710">
              <w:rPr>
                <w:rFonts w:ascii="Arial" w:hAnsi="Arial" w:cs="Arial"/>
                <w:sz w:val="24"/>
                <w:szCs w:val="24"/>
              </w:rPr>
              <w:t>Competitor</w:t>
            </w:r>
          </w:p>
        </w:tc>
        <w:tc>
          <w:tcPr>
            <w:tcW w:w="2614" w:type="dxa"/>
          </w:tcPr>
          <w:p w14:paraId="42398031" w14:textId="46FF5784"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Key features</w:t>
            </w:r>
          </w:p>
        </w:tc>
        <w:tc>
          <w:tcPr>
            <w:tcW w:w="2614" w:type="dxa"/>
          </w:tcPr>
          <w:p w14:paraId="32F7B862" w14:textId="735D0540"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Comparisons</w:t>
            </w:r>
          </w:p>
        </w:tc>
        <w:tc>
          <w:tcPr>
            <w:tcW w:w="2614" w:type="dxa"/>
          </w:tcPr>
          <w:p w14:paraId="6469669C" w14:textId="4A8E3FAA" w:rsidR="00E54710" w:rsidRDefault="00E54710"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PLB Differentiation</w:t>
            </w:r>
          </w:p>
        </w:tc>
      </w:tr>
      <w:tr w:rsidR="00E54710" w14:paraId="719626F0" w14:textId="77777777" w:rsidTr="00E54710">
        <w:tc>
          <w:tcPr>
            <w:cnfStyle w:val="001000000000" w:firstRow="0" w:lastRow="0" w:firstColumn="1" w:lastColumn="0" w:oddVBand="0" w:evenVBand="0" w:oddHBand="0" w:evenHBand="0" w:firstRowFirstColumn="0" w:firstRowLastColumn="0" w:lastRowFirstColumn="0" w:lastRowLastColumn="0"/>
            <w:tcW w:w="2614" w:type="dxa"/>
          </w:tcPr>
          <w:p w14:paraId="1ACC060E" w14:textId="28A9F5A0" w:rsidR="00E54710" w:rsidRPr="00255688" w:rsidRDefault="00255688" w:rsidP="00B44DDD">
            <w:pPr>
              <w:rPr>
                <w:rFonts w:ascii="Arial" w:hAnsi="Arial" w:cs="Arial"/>
                <w:b w:val="0"/>
                <w:bCs w:val="0"/>
              </w:rPr>
            </w:pPr>
            <w:r w:rsidRPr="00255688">
              <w:rPr>
                <w:rFonts w:ascii="Arial" w:hAnsi="Arial" w:cs="Arial"/>
                <w:b w:val="0"/>
                <w:bCs w:val="0"/>
              </w:rPr>
              <w:t>Beach House</w:t>
            </w:r>
            <w:r w:rsidR="005900E4">
              <w:rPr>
                <w:rFonts w:ascii="Arial" w:hAnsi="Arial" w:cs="Arial"/>
                <w:b w:val="0"/>
                <w:bCs w:val="0"/>
              </w:rPr>
              <w:t xml:space="preserve">, </w:t>
            </w:r>
            <w:r w:rsidRPr="00255688">
              <w:rPr>
                <w:rFonts w:ascii="Arial" w:hAnsi="Arial" w:cs="Arial"/>
                <w:b w:val="0"/>
                <w:bCs w:val="0"/>
              </w:rPr>
              <w:t>Oxwich</w:t>
            </w:r>
          </w:p>
        </w:tc>
        <w:tc>
          <w:tcPr>
            <w:tcW w:w="2614" w:type="dxa"/>
          </w:tcPr>
          <w:p w14:paraId="201108CD" w14:textId="402835E2"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Destination fine dining; Michelin recognition</w:t>
            </w:r>
          </w:p>
        </w:tc>
        <w:tc>
          <w:tcPr>
            <w:tcW w:w="2614" w:type="dxa"/>
          </w:tcPr>
          <w:p w14:paraId="488B5F6A" w14:textId="3ED378D0"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 xml:space="preserve">Very high brand prestige, high average </w:t>
            </w:r>
            <w:r w:rsidRPr="00255688">
              <w:rPr>
                <w:rFonts w:ascii="Arial" w:hAnsi="Arial" w:cs="Arial"/>
              </w:rPr>
              <w:t>spends</w:t>
            </w:r>
            <w:r w:rsidRPr="00255688">
              <w:rPr>
                <w:rFonts w:ascii="Arial" w:hAnsi="Arial" w:cs="Arial"/>
              </w:rPr>
              <w:t>, strong culinary reputation</w:t>
            </w:r>
          </w:p>
        </w:tc>
        <w:tc>
          <w:tcPr>
            <w:tcW w:w="2614" w:type="dxa"/>
          </w:tcPr>
          <w:p w14:paraId="25D82F2A" w14:textId="1E922F27"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PLB emphasises heritage rural setting, garden/orchard sourcing, fewer covers</w:t>
            </w:r>
            <w:r>
              <w:rPr>
                <w:rFonts w:ascii="Arial" w:hAnsi="Arial" w:cs="Arial"/>
              </w:rPr>
              <w:t>,</w:t>
            </w:r>
            <w:r w:rsidRPr="00255688">
              <w:rPr>
                <w:rFonts w:ascii="Arial" w:hAnsi="Arial" w:cs="Arial"/>
              </w:rPr>
              <w:t xml:space="preserve"> more exclusive experience</w:t>
            </w:r>
          </w:p>
        </w:tc>
      </w:tr>
      <w:tr w:rsidR="00E54710" w14:paraId="1070B6C8"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2860A65F" w14:textId="38EAA369" w:rsidR="00E54710" w:rsidRPr="00255688" w:rsidRDefault="00255688" w:rsidP="00B44DDD">
            <w:pPr>
              <w:rPr>
                <w:rFonts w:ascii="Arial" w:hAnsi="Arial" w:cs="Arial"/>
                <w:b w:val="0"/>
                <w:bCs w:val="0"/>
              </w:rPr>
            </w:pPr>
            <w:r w:rsidRPr="00255688">
              <w:rPr>
                <w:rFonts w:ascii="Arial" w:hAnsi="Arial" w:cs="Arial"/>
                <w:b w:val="0"/>
                <w:bCs w:val="0"/>
              </w:rPr>
              <w:t>Welcome to Town</w:t>
            </w:r>
          </w:p>
        </w:tc>
        <w:tc>
          <w:tcPr>
            <w:tcW w:w="2614" w:type="dxa"/>
          </w:tcPr>
          <w:p w14:paraId="1EDB549E" w14:textId="31C40401"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Rural premium casual dining; local sourcing</w:t>
            </w:r>
          </w:p>
        </w:tc>
        <w:tc>
          <w:tcPr>
            <w:tcW w:w="2614" w:type="dxa"/>
          </w:tcPr>
          <w:p w14:paraId="5F49FD86" w14:textId="48513D3B"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Accessible premium offering; moderately lower price point</w:t>
            </w:r>
          </w:p>
        </w:tc>
        <w:tc>
          <w:tcPr>
            <w:tcW w:w="2614" w:type="dxa"/>
          </w:tcPr>
          <w:p w14:paraId="348FEC80" w14:textId="78B0AE04" w:rsidR="00E54710"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PLB maintains higher pricing, niche positioning, and destination appeal</w:t>
            </w:r>
          </w:p>
        </w:tc>
      </w:tr>
      <w:tr w:rsidR="00E54710" w14:paraId="3FC64F7B" w14:textId="77777777" w:rsidTr="00E54710">
        <w:tc>
          <w:tcPr>
            <w:cnfStyle w:val="001000000000" w:firstRow="0" w:lastRow="0" w:firstColumn="1" w:lastColumn="0" w:oddVBand="0" w:evenVBand="0" w:oddHBand="0" w:evenHBand="0" w:firstRowFirstColumn="0" w:firstRowLastColumn="0" w:lastRowFirstColumn="0" w:lastRowLastColumn="0"/>
            <w:tcW w:w="2614" w:type="dxa"/>
          </w:tcPr>
          <w:p w14:paraId="4F20C6AF" w14:textId="3C4BFBC2" w:rsidR="00E54710" w:rsidRPr="00255688" w:rsidRDefault="00255688" w:rsidP="00B44DDD">
            <w:pPr>
              <w:rPr>
                <w:rFonts w:ascii="Arial" w:hAnsi="Arial" w:cs="Arial"/>
                <w:b w:val="0"/>
                <w:bCs w:val="0"/>
              </w:rPr>
            </w:pPr>
            <w:r w:rsidRPr="00255688">
              <w:rPr>
                <w:rFonts w:ascii="Arial" w:hAnsi="Arial" w:cs="Arial"/>
                <w:b w:val="0"/>
                <w:bCs w:val="0"/>
              </w:rPr>
              <w:t>Hanson at the Chelsea</w:t>
            </w:r>
          </w:p>
        </w:tc>
        <w:tc>
          <w:tcPr>
            <w:tcW w:w="2614" w:type="dxa"/>
          </w:tcPr>
          <w:p w14:paraId="377311F9" w14:textId="65C6BD27"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Urban fine dining</w:t>
            </w:r>
          </w:p>
        </w:tc>
        <w:tc>
          <w:tcPr>
            <w:tcW w:w="2614" w:type="dxa"/>
          </w:tcPr>
          <w:p w14:paraId="54855499" w14:textId="7FAC2C3F"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Urban location, strong brand visibility, high spend</w:t>
            </w:r>
          </w:p>
        </w:tc>
        <w:tc>
          <w:tcPr>
            <w:tcW w:w="2614" w:type="dxa"/>
          </w:tcPr>
          <w:p w14:paraId="1A0B54F1" w14:textId="115F12EB" w:rsidR="00E54710" w:rsidRPr="00255688" w:rsidRDefault="00255688" w:rsidP="0025568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55688">
              <w:rPr>
                <w:rFonts w:ascii="Arial" w:hAnsi="Arial" w:cs="Arial"/>
              </w:rPr>
              <w:t>PLB competes via rural destination appeal and exclusivity, offering a unique countryside experience</w:t>
            </w:r>
          </w:p>
        </w:tc>
      </w:tr>
      <w:tr w:rsidR="00255688" w14:paraId="5CFF51D5" w14:textId="77777777" w:rsidTr="00E547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E676AA5" w14:textId="5E80B240" w:rsidR="00255688" w:rsidRPr="00255688" w:rsidRDefault="00255688" w:rsidP="00B44DDD">
            <w:pPr>
              <w:rPr>
                <w:rFonts w:ascii="Arial" w:hAnsi="Arial" w:cs="Arial"/>
                <w:b w:val="0"/>
                <w:bCs w:val="0"/>
              </w:rPr>
            </w:pPr>
            <w:r w:rsidRPr="00255688">
              <w:rPr>
                <w:rFonts w:ascii="Arial" w:hAnsi="Arial" w:cs="Arial"/>
                <w:b w:val="0"/>
                <w:bCs w:val="0"/>
              </w:rPr>
              <w:t>Other local gastro pubs</w:t>
            </w:r>
          </w:p>
        </w:tc>
        <w:tc>
          <w:tcPr>
            <w:tcW w:w="2614" w:type="dxa"/>
          </w:tcPr>
          <w:p w14:paraId="70731939" w14:textId="1EDDA407"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Casual dining, limited premium focus</w:t>
            </w:r>
          </w:p>
        </w:tc>
        <w:tc>
          <w:tcPr>
            <w:tcW w:w="2614" w:type="dxa"/>
          </w:tcPr>
          <w:p w14:paraId="0A9BA562" w14:textId="2F417F47"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Accessible, popular with locals</w:t>
            </w:r>
          </w:p>
        </w:tc>
        <w:tc>
          <w:tcPr>
            <w:tcW w:w="2614" w:type="dxa"/>
          </w:tcPr>
          <w:p w14:paraId="102455E1" w14:textId="2A108435" w:rsidR="00255688" w:rsidRPr="00255688" w:rsidRDefault="00255688" w:rsidP="0025568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55688">
              <w:rPr>
                <w:rFonts w:ascii="Arial" w:hAnsi="Arial" w:cs="Arial"/>
              </w:rPr>
              <w:t>PLB differentiates via premium sourcing, destination branding, and curated guest experience</w:t>
            </w:r>
          </w:p>
        </w:tc>
      </w:tr>
    </w:tbl>
    <w:p w14:paraId="4022FA12" w14:textId="77777777" w:rsidR="00E54710" w:rsidRDefault="00E54710" w:rsidP="00B44DDD">
      <w:pPr>
        <w:rPr>
          <w:rFonts w:ascii="Arial" w:hAnsi="Arial" w:cs="Arial"/>
          <w:b/>
          <w:bCs/>
          <w:sz w:val="24"/>
          <w:szCs w:val="24"/>
        </w:rPr>
      </w:pPr>
    </w:p>
    <w:p w14:paraId="43DF1A32" w14:textId="77777777" w:rsidR="00D36914" w:rsidRDefault="00D36914" w:rsidP="00B44DDD">
      <w:pPr>
        <w:rPr>
          <w:rFonts w:ascii="Arial" w:hAnsi="Arial" w:cs="Arial"/>
          <w:b/>
          <w:bCs/>
          <w:sz w:val="24"/>
          <w:szCs w:val="24"/>
        </w:rPr>
      </w:pPr>
    </w:p>
    <w:p w14:paraId="5E1A8BCF" w14:textId="77777777" w:rsidR="00D36914" w:rsidRDefault="00D36914" w:rsidP="00B44DDD">
      <w:pPr>
        <w:rPr>
          <w:rFonts w:ascii="Arial" w:hAnsi="Arial" w:cs="Arial"/>
          <w:b/>
          <w:bCs/>
          <w:sz w:val="24"/>
          <w:szCs w:val="24"/>
        </w:rPr>
      </w:pPr>
    </w:p>
    <w:p w14:paraId="2E8B6BED" w14:textId="77777777" w:rsidR="00D36914" w:rsidRDefault="00D36914" w:rsidP="00B44DDD">
      <w:pPr>
        <w:rPr>
          <w:rFonts w:ascii="Arial" w:hAnsi="Arial" w:cs="Arial"/>
          <w:b/>
          <w:bCs/>
          <w:sz w:val="24"/>
          <w:szCs w:val="24"/>
        </w:rPr>
      </w:pPr>
    </w:p>
    <w:p w14:paraId="755A73A3" w14:textId="77777777" w:rsidR="00D36914" w:rsidRDefault="00D36914" w:rsidP="00B44DDD">
      <w:pPr>
        <w:rPr>
          <w:rFonts w:ascii="Arial" w:hAnsi="Arial" w:cs="Arial"/>
          <w:b/>
          <w:bCs/>
          <w:sz w:val="24"/>
          <w:szCs w:val="24"/>
        </w:rPr>
      </w:pPr>
    </w:p>
    <w:p w14:paraId="3B3F5C1B" w14:textId="77777777" w:rsidR="00D36914" w:rsidRDefault="00D36914" w:rsidP="00B44DDD">
      <w:pPr>
        <w:rPr>
          <w:rFonts w:ascii="Arial" w:hAnsi="Arial" w:cs="Arial"/>
          <w:b/>
          <w:bCs/>
          <w:sz w:val="24"/>
          <w:szCs w:val="24"/>
        </w:rPr>
      </w:pPr>
    </w:p>
    <w:p w14:paraId="6000D559" w14:textId="77777777" w:rsidR="00D36914" w:rsidRDefault="00D36914" w:rsidP="00B44DDD">
      <w:pPr>
        <w:rPr>
          <w:rFonts w:ascii="Arial" w:hAnsi="Arial" w:cs="Arial"/>
          <w:b/>
          <w:bCs/>
          <w:sz w:val="24"/>
          <w:szCs w:val="24"/>
        </w:rPr>
      </w:pPr>
    </w:p>
    <w:p w14:paraId="42E950C4" w14:textId="77777777" w:rsidR="00D36914" w:rsidRDefault="00D36914" w:rsidP="00B44DDD">
      <w:pPr>
        <w:rPr>
          <w:rFonts w:ascii="Arial" w:hAnsi="Arial" w:cs="Arial"/>
          <w:b/>
          <w:bCs/>
          <w:sz w:val="24"/>
          <w:szCs w:val="24"/>
        </w:rPr>
      </w:pPr>
    </w:p>
    <w:p w14:paraId="344F3CDF" w14:textId="77777777" w:rsidR="00D36914" w:rsidRDefault="00D36914" w:rsidP="00B44DDD">
      <w:pPr>
        <w:rPr>
          <w:rFonts w:ascii="Arial" w:hAnsi="Arial" w:cs="Arial"/>
          <w:b/>
          <w:bCs/>
          <w:sz w:val="24"/>
          <w:szCs w:val="24"/>
        </w:rPr>
      </w:pPr>
    </w:p>
    <w:p w14:paraId="2D123E54" w14:textId="77777777" w:rsidR="00D36914" w:rsidRDefault="00D36914" w:rsidP="00B44DDD">
      <w:pPr>
        <w:rPr>
          <w:rFonts w:ascii="Arial" w:hAnsi="Arial" w:cs="Arial"/>
          <w:b/>
          <w:bCs/>
          <w:sz w:val="24"/>
          <w:szCs w:val="24"/>
        </w:rPr>
      </w:pPr>
    </w:p>
    <w:p w14:paraId="5422947C" w14:textId="77777777" w:rsidR="00D36914" w:rsidRDefault="00D36914" w:rsidP="00B44DDD">
      <w:pPr>
        <w:rPr>
          <w:rFonts w:ascii="Arial" w:hAnsi="Arial" w:cs="Arial"/>
          <w:b/>
          <w:bCs/>
          <w:sz w:val="24"/>
          <w:szCs w:val="24"/>
        </w:rPr>
      </w:pPr>
    </w:p>
    <w:p w14:paraId="227D5E75" w14:textId="77777777" w:rsidR="00D36914" w:rsidRDefault="00D36914" w:rsidP="00B44DDD">
      <w:pPr>
        <w:rPr>
          <w:rFonts w:ascii="Arial" w:hAnsi="Arial" w:cs="Arial"/>
          <w:b/>
          <w:bCs/>
          <w:sz w:val="24"/>
          <w:szCs w:val="24"/>
        </w:rPr>
      </w:pPr>
    </w:p>
    <w:p w14:paraId="3A2BA4AC" w14:textId="77777777" w:rsidR="00D36914" w:rsidRDefault="00D36914" w:rsidP="00B44DDD">
      <w:pPr>
        <w:rPr>
          <w:rFonts w:ascii="Arial" w:hAnsi="Arial" w:cs="Arial"/>
          <w:b/>
          <w:bCs/>
          <w:sz w:val="24"/>
          <w:szCs w:val="24"/>
        </w:rPr>
      </w:pPr>
    </w:p>
    <w:p w14:paraId="71002AF0" w14:textId="77777777" w:rsidR="00D36914" w:rsidRDefault="00D36914" w:rsidP="00B44DDD">
      <w:pPr>
        <w:rPr>
          <w:rFonts w:ascii="Arial" w:hAnsi="Arial" w:cs="Arial"/>
          <w:b/>
          <w:bCs/>
          <w:sz w:val="24"/>
          <w:szCs w:val="24"/>
        </w:rPr>
      </w:pPr>
    </w:p>
    <w:p w14:paraId="6DA72F2D" w14:textId="77777777" w:rsidR="00D36914" w:rsidRDefault="00D36914" w:rsidP="00B44DDD">
      <w:pPr>
        <w:rPr>
          <w:rFonts w:ascii="Arial" w:hAnsi="Arial" w:cs="Arial"/>
          <w:b/>
          <w:bCs/>
          <w:sz w:val="24"/>
          <w:szCs w:val="24"/>
        </w:rPr>
      </w:pPr>
    </w:p>
    <w:p w14:paraId="72B02BA0" w14:textId="77777777" w:rsidR="00D36914" w:rsidRDefault="00D36914" w:rsidP="00B44DDD">
      <w:pPr>
        <w:rPr>
          <w:rFonts w:ascii="Arial" w:hAnsi="Arial" w:cs="Arial"/>
          <w:b/>
          <w:bCs/>
          <w:sz w:val="24"/>
          <w:szCs w:val="24"/>
        </w:rPr>
      </w:pPr>
    </w:p>
    <w:p w14:paraId="2322BAF4" w14:textId="77777777" w:rsidR="00D36914" w:rsidRDefault="00D36914" w:rsidP="00B44DDD">
      <w:pPr>
        <w:rPr>
          <w:rFonts w:ascii="Arial" w:hAnsi="Arial" w:cs="Arial"/>
          <w:b/>
          <w:bCs/>
          <w:sz w:val="24"/>
          <w:szCs w:val="24"/>
        </w:rPr>
      </w:pPr>
    </w:p>
    <w:p w14:paraId="511FCF75" w14:textId="77777777" w:rsidR="00D36914" w:rsidRDefault="00D36914" w:rsidP="00B44DDD">
      <w:pPr>
        <w:rPr>
          <w:rFonts w:ascii="Arial" w:hAnsi="Arial" w:cs="Arial"/>
          <w:b/>
          <w:bCs/>
          <w:sz w:val="24"/>
          <w:szCs w:val="24"/>
        </w:rPr>
      </w:pPr>
    </w:p>
    <w:p w14:paraId="19BDBD24" w14:textId="77777777" w:rsidR="00D36914" w:rsidRDefault="00D36914" w:rsidP="00B44DDD">
      <w:pPr>
        <w:rPr>
          <w:rFonts w:ascii="Arial" w:hAnsi="Arial" w:cs="Arial"/>
          <w:b/>
          <w:bCs/>
          <w:sz w:val="24"/>
          <w:szCs w:val="24"/>
        </w:rPr>
      </w:pPr>
    </w:p>
    <w:p w14:paraId="6CD5C11E" w14:textId="77777777" w:rsidR="00D36914" w:rsidRDefault="00D36914" w:rsidP="00B44DDD">
      <w:pPr>
        <w:rPr>
          <w:rFonts w:ascii="Arial" w:hAnsi="Arial" w:cs="Arial"/>
          <w:b/>
          <w:bCs/>
          <w:sz w:val="24"/>
          <w:szCs w:val="24"/>
        </w:rPr>
      </w:pPr>
    </w:p>
    <w:p w14:paraId="6A3EAB22" w14:textId="1F0DBB43" w:rsidR="00651750" w:rsidRPr="00D36914" w:rsidRDefault="00255688" w:rsidP="00D36914">
      <w:pPr>
        <w:pStyle w:val="Heading1"/>
        <w:rPr>
          <w:rFonts w:ascii="Arial" w:hAnsi="Arial" w:cs="Arial"/>
          <w:b/>
          <w:bCs/>
          <w:color w:val="000000" w:themeColor="text1"/>
          <w:sz w:val="24"/>
          <w:szCs w:val="24"/>
        </w:rPr>
      </w:pPr>
      <w:bookmarkStart w:id="13" w:name="_Toc214046182"/>
      <w:r w:rsidRPr="00D36914">
        <w:rPr>
          <w:rFonts w:ascii="Arial" w:hAnsi="Arial" w:cs="Arial"/>
          <w:b/>
          <w:bCs/>
          <w:color w:val="000000" w:themeColor="text1"/>
          <w:sz w:val="24"/>
          <w:szCs w:val="24"/>
        </w:rPr>
        <w:lastRenderedPageBreak/>
        <w:t>Appendix E.</w:t>
      </w:r>
      <w:bookmarkEnd w:id="13"/>
    </w:p>
    <w:tbl>
      <w:tblPr>
        <w:tblStyle w:val="GridTable4"/>
        <w:tblW w:w="0" w:type="auto"/>
        <w:tblLook w:val="04A0" w:firstRow="1" w:lastRow="0" w:firstColumn="1" w:lastColumn="0" w:noHBand="0" w:noVBand="1"/>
      </w:tblPr>
      <w:tblGrid>
        <w:gridCol w:w="3485"/>
        <w:gridCol w:w="3485"/>
        <w:gridCol w:w="3486"/>
      </w:tblGrid>
      <w:tr w:rsidR="00255688" w14:paraId="3596C106" w14:textId="77777777" w:rsidTr="00BA58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65A63D9E" w14:textId="04E690EB" w:rsidR="00255688" w:rsidRPr="005900E4" w:rsidRDefault="00255688" w:rsidP="00B44DDD">
            <w:pPr>
              <w:rPr>
                <w:rFonts w:ascii="Arial" w:hAnsi="Arial" w:cs="Arial"/>
                <w:sz w:val="24"/>
                <w:szCs w:val="24"/>
              </w:rPr>
            </w:pPr>
            <w:r w:rsidRPr="005900E4">
              <w:rPr>
                <w:rFonts w:ascii="Arial" w:hAnsi="Arial" w:cs="Arial"/>
                <w:sz w:val="24"/>
                <w:szCs w:val="24"/>
              </w:rPr>
              <w:t>Porter’s Five Forces Analysis</w:t>
            </w:r>
          </w:p>
        </w:tc>
      </w:tr>
      <w:tr w:rsidR="00255688" w14:paraId="2C220E07"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377C8DC" w14:textId="77777777" w:rsidR="00255688" w:rsidRPr="005900E4" w:rsidRDefault="00255688" w:rsidP="00B44DDD">
            <w:pPr>
              <w:rPr>
                <w:rFonts w:ascii="Arial" w:hAnsi="Arial" w:cs="Arial"/>
                <w:sz w:val="24"/>
                <w:szCs w:val="24"/>
              </w:rPr>
            </w:pPr>
          </w:p>
        </w:tc>
        <w:tc>
          <w:tcPr>
            <w:tcW w:w="3485" w:type="dxa"/>
          </w:tcPr>
          <w:p w14:paraId="55619D47" w14:textId="104B4627"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900E4">
              <w:rPr>
                <w:rFonts w:ascii="Arial" w:hAnsi="Arial" w:cs="Arial"/>
                <w:b/>
                <w:bCs/>
                <w:sz w:val="24"/>
                <w:szCs w:val="24"/>
              </w:rPr>
              <w:t>Current Situation for PLB</w:t>
            </w:r>
          </w:p>
        </w:tc>
        <w:tc>
          <w:tcPr>
            <w:tcW w:w="3486" w:type="dxa"/>
          </w:tcPr>
          <w:p w14:paraId="1CDB824A" w14:textId="18EC8D38"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5900E4">
              <w:rPr>
                <w:rFonts w:ascii="Arial" w:hAnsi="Arial" w:cs="Arial"/>
                <w:b/>
                <w:bCs/>
                <w:sz w:val="24"/>
                <w:szCs w:val="24"/>
              </w:rPr>
              <w:t>Strategic Implementations</w:t>
            </w:r>
          </w:p>
        </w:tc>
      </w:tr>
      <w:tr w:rsidR="00255688" w14:paraId="08676869"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3180DE69" w14:textId="7BABE36A" w:rsidR="00255688" w:rsidRPr="005900E4" w:rsidRDefault="005900E4" w:rsidP="005900E4">
            <w:pPr>
              <w:tabs>
                <w:tab w:val="left" w:pos="915"/>
              </w:tabs>
              <w:rPr>
                <w:rFonts w:ascii="Arial" w:hAnsi="Arial" w:cs="Arial"/>
                <w:sz w:val="24"/>
                <w:szCs w:val="24"/>
              </w:rPr>
            </w:pPr>
            <w:r w:rsidRPr="005900E4">
              <w:rPr>
                <w:rFonts w:ascii="Arial" w:hAnsi="Arial" w:cs="Arial"/>
                <w:sz w:val="24"/>
                <w:szCs w:val="24"/>
              </w:rPr>
              <w:t>Threat of New Entrants</w:t>
            </w:r>
          </w:p>
        </w:tc>
        <w:tc>
          <w:tcPr>
            <w:tcW w:w="3485" w:type="dxa"/>
          </w:tcPr>
          <w:p w14:paraId="37E14101" w14:textId="70A56AD8"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Capital-intensive entry; rural premium niche; heritage building and orchard offer barriers</w:t>
            </w:r>
          </w:p>
        </w:tc>
        <w:tc>
          <w:tcPr>
            <w:tcW w:w="3486" w:type="dxa"/>
          </w:tcPr>
          <w:p w14:paraId="57879B8E" w14:textId="3EAF44F7"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Protect heritage</w:t>
            </w:r>
            <w:r w:rsidRPr="005900E4">
              <w:rPr>
                <w:rFonts w:ascii="Arial" w:hAnsi="Arial" w:cs="Arial"/>
              </w:rPr>
              <w:t xml:space="preserve"> business</w:t>
            </w:r>
            <w:r w:rsidRPr="005900E4">
              <w:rPr>
                <w:rFonts w:ascii="Arial" w:hAnsi="Arial" w:cs="Arial"/>
              </w:rPr>
              <w:t xml:space="preserve"> and supplier relationships</w:t>
            </w:r>
            <w:r w:rsidRPr="005900E4">
              <w:rPr>
                <w:rFonts w:ascii="Arial" w:hAnsi="Arial" w:cs="Arial"/>
              </w:rPr>
              <w:t>; c</w:t>
            </w:r>
            <w:r w:rsidRPr="005900E4">
              <w:rPr>
                <w:rFonts w:ascii="Arial" w:hAnsi="Arial" w:cs="Arial"/>
              </w:rPr>
              <w:t>ontinue to enhance exclusivity and brand positioning</w:t>
            </w:r>
          </w:p>
        </w:tc>
      </w:tr>
      <w:tr w:rsidR="00255688" w14:paraId="51E90535"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21D451D" w14:textId="5790CF53" w:rsidR="00255688" w:rsidRPr="005900E4" w:rsidRDefault="005900E4" w:rsidP="00B44DDD">
            <w:pPr>
              <w:rPr>
                <w:rFonts w:ascii="Arial" w:hAnsi="Arial" w:cs="Arial"/>
                <w:sz w:val="24"/>
                <w:szCs w:val="24"/>
              </w:rPr>
            </w:pPr>
            <w:r w:rsidRPr="005900E4">
              <w:rPr>
                <w:rFonts w:ascii="Arial" w:hAnsi="Arial" w:cs="Arial"/>
                <w:sz w:val="24"/>
                <w:szCs w:val="24"/>
              </w:rPr>
              <w:t>Bargaining Power of Supplier</w:t>
            </w:r>
          </w:p>
        </w:tc>
        <w:tc>
          <w:tcPr>
            <w:tcW w:w="3485" w:type="dxa"/>
          </w:tcPr>
          <w:p w14:paraId="37F10928" w14:textId="2746E6B4"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Moderate to High: Premium local sourcing supports authenticity but increases costs</w:t>
            </w:r>
          </w:p>
        </w:tc>
        <w:tc>
          <w:tcPr>
            <w:tcW w:w="3486" w:type="dxa"/>
          </w:tcPr>
          <w:p w14:paraId="34F91009" w14:textId="1AF6F7A9"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Develop strong supplier partnerships, diversify sourcing where possible, implement cost management strategies</w:t>
            </w:r>
          </w:p>
        </w:tc>
      </w:tr>
      <w:tr w:rsidR="00255688" w14:paraId="0AEA8AC3"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73799738" w14:textId="086890C9" w:rsidR="00255688" w:rsidRPr="005900E4" w:rsidRDefault="005900E4" w:rsidP="00B44DDD">
            <w:pPr>
              <w:rPr>
                <w:rFonts w:ascii="Arial" w:hAnsi="Arial" w:cs="Arial"/>
                <w:sz w:val="24"/>
                <w:szCs w:val="24"/>
              </w:rPr>
            </w:pPr>
            <w:r w:rsidRPr="005900E4">
              <w:rPr>
                <w:rFonts w:ascii="Arial" w:hAnsi="Arial" w:cs="Arial"/>
                <w:sz w:val="24"/>
                <w:szCs w:val="24"/>
              </w:rPr>
              <w:t>Bargaining Power of Buyer</w:t>
            </w:r>
          </w:p>
        </w:tc>
        <w:tc>
          <w:tcPr>
            <w:tcW w:w="3485" w:type="dxa"/>
          </w:tcPr>
          <w:p w14:paraId="1AAB3ECD" w14:textId="4635F030"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Guests have alternative premium options; destination appeal reduces switching</w:t>
            </w:r>
          </w:p>
        </w:tc>
        <w:tc>
          <w:tcPr>
            <w:tcW w:w="3486" w:type="dxa"/>
          </w:tcPr>
          <w:p w14:paraId="3694F0E6" w14:textId="3FD4BD89" w:rsidR="00255688"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 xml:space="preserve">Enhance guest experience, emphasise provenance and heritage, implement loyalty programs to retain high-spend </w:t>
            </w:r>
            <w:r w:rsidRPr="005900E4">
              <w:rPr>
                <w:rFonts w:ascii="Arial" w:hAnsi="Arial" w:cs="Arial"/>
              </w:rPr>
              <w:t>guest</w:t>
            </w:r>
          </w:p>
        </w:tc>
      </w:tr>
      <w:tr w:rsidR="00255688" w14:paraId="7780BE47" w14:textId="77777777" w:rsidTr="002556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62DA2132" w14:textId="126D3C6E" w:rsidR="00255688" w:rsidRPr="005900E4" w:rsidRDefault="005900E4" w:rsidP="00B44DDD">
            <w:pPr>
              <w:rPr>
                <w:rFonts w:ascii="Arial" w:hAnsi="Arial" w:cs="Arial"/>
                <w:sz w:val="24"/>
                <w:szCs w:val="24"/>
              </w:rPr>
            </w:pPr>
            <w:r w:rsidRPr="005900E4">
              <w:rPr>
                <w:rFonts w:ascii="Arial" w:hAnsi="Arial" w:cs="Arial"/>
                <w:sz w:val="24"/>
                <w:szCs w:val="24"/>
              </w:rPr>
              <w:t>Competitive Rivalry</w:t>
            </w:r>
          </w:p>
        </w:tc>
        <w:tc>
          <w:tcPr>
            <w:tcW w:w="3485" w:type="dxa"/>
          </w:tcPr>
          <w:p w14:paraId="65386A81" w14:textId="30CCD011"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High: Intense local competition within premium rural dining</w:t>
            </w:r>
          </w:p>
        </w:tc>
        <w:tc>
          <w:tcPr>
            <w:tcW w:w="3486" w:type="dxa"/>
          </w:tcPr>
          <w:p w14:paraId="405AD3EB" w14:textId="44F8C4D6" w:rsidR="00255688" w:rsidRPr="005900E4" w:rsidRDefault="005900E4"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900E4">
              <w:rPr>
                <w:rFonts w:ascii="Arial" w:hAnsi="Arial" w:cs="Arial"/>
              </w:rPr>
              <w:t>Maintain menu innovation, service excellence, digital presence, and optimise yield per guest including off-peak revenue streams</w:t>
            </w:r>
          </w:p>
        </w:tc>
      </w:tr>
      <w:tr w:rsidR="005900E4" w14:paraId="4DE0AD0B" w14:textId="77777777" w:rsidTr="00255688">
        <w:tc>
          <w:tcPr>
            <w:cnfStyle w:val="001000000000" w:firstRow="0" w:lastRow="0" w:firstColumn="1" w:lastColumn="0" w:oddVBand="0" w:evenVBand="0" w:oddHBand="0" w:evenHBand="0" w:firstRowFirstColumn="0" w:firstRowLastColumn="0" w:lastRowFirstColumn="0" w:lastRowLastColumn="0"/>
            <w:tcW w:w="3485" w:type="dxa"/>
          </w:tcPr>
          <w:p w14:paraId="6A8F02CB" w14:textId="60280DF2" w:rsidR="005900E4" w:rsidRPr="005900E4" w:rsidRDefault="005900E4" w:rsidP="00B44DDD">
            <w:pPr>
              <w:rPr>
                <w:rFonts w:ascii="Arial" w:hAnsi="Arial" w:cs="Arial"/>
                <w:sz w:val="24"/>
                <w:szCs w:val="24"/>
              </w:rPr>
            </w:pPr>
            <w:r w:rsidRPr="005900E4">
              <w:rPr>
                <w:rFonts w:ascii="Arial" w:hAnsi="Arial" w:cs="Arial"/>
                <w:sz w:val="24"/>
                <w:szCs w:val="24"/>
              </w:rPr>
              <w:t>Threats of Substitutes</w:t>
            </w:r>
          </w:p>
        </w:tc>
        <w:tc>
          <w:tcPr>
            <w:tcW w:w="3485" w:type="dxa"/>
          </w:tcPr>
          <w:p w14:paraId="0B6B27C0" w14:textId="7B5C4DA2" w:rsidR="005900E4"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Moderate to High: Alternatives include gastro pubs, fine dining, experiential events</w:t>
            </w:r>
          </w:p>
        </w:tc>
        <w:tc>
          <w:tcPr>
            <w:tcW w:w="3486" w:type="dxa"/>
          </w:tcPr>
          <w:p w14:paraId="28E0A9D9" w14:textId="6A72ECED" w:rsidR="005900E4" w:rsidRPr="005900E4" w:rsidRDefault="005900E4"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900E4">
              <w:rPr>
                <w:rFonts w:ascii="Arial" w:hAnsi="Arial" w:cs="Arial"/>
              </w:rPr>
              <w:t>Focus on unique destination experience, menu innovation, and heritage-based storytelling</w:t>
            </w:r>
          </w:p>
        </w:tc>
      </w:tr>
    </w:tbl>
    <w:p w14:paraId="6281CDBC" w14:textId="77777777" w:rsidR="00651750" w:rsidRDefault="00651750" w:rsidP="00B44DDD">
      <w:pPr>
        <w:rPr>
          <w:rFonts w:ascii="Arial" w:hAnsi="Arial" w:cs="Arial"/>
          <w:b/>
          <w:bCs/>
          <w:sz w:val="24"/>
          <w:szCs w:val="24"/>
        </w:rPr>
      </w:pPr>
    </w:p>
    <w:p w14:paraId="2FFD94E5" w14:textId="77777777" w:rsidR="00651750" w:rsidRDefault="00651750" w:rsidP="00B44DDD">
      <w:pPr>
        <w:rPr>
          <w:rFonts w:ascii="Arial" w:hAnsi="Arial" w:cs="Arial"/>
          <w:b/>
          <w:bCs/>
          <w:sz w:val="24"/>
          <w:szCs w:val="24"/>
        </w:rPr>
      </w:pPr>
    </w:p>
    <w:p w14:paraId="5B962AAF" w14:textId="77777777" w:rsidR="00AA21FB" w:rsidRDefault="00AA21FB" w:rsidP="00B44DDD">
      <w:pPr>
        <w:rPr>
          <w:rFonts w:ascii="Arial" w:hAnsi="Arial" w:cs="Arial"/>
          <w:b/>
          <w:bCs/>
          <w:sz w:val="24"/>
          <w:szCs w:val="24"/>
        </w:rPr>
      </w:pPr>
    </w:p>
    <w:p w14:paraId="629C0312" w14:textId="77777777" w:rsidR="00AA21FB" w:rsidRDefault="00AA21FB" w:rsidP="00B44DDD">
      <w:pPr>
        <w:rPr>
          <w:rFonts w:ascii="Arial" w:hAnsi="Arial" w:cs="Arial"/>
          <w:b/>
          <w:bCs/>
          <w:sz w:val="24"/>
          <w:szCs w:val="24"/>
        </w:rPr>
      </w:pPr>
    </w:p>
    <w:p w14:paraId="1BB3930F" w14:textId="77777777" w:rsidR="00AA21FB" w:rsidRDefault="00AA21FB" w:rsidP="00B44DDD">
      <w:pPr>
        <w:rPr>
          <w:rFonts w:ascii="Arial" w:hAnsi="Arial" w:cs="Arial"/>
          <w:b/>
          <w:bCs/>
          <w:sz w:val="24"/>
          <w:szCs w:val="24"/>
        </w:rPr>
      </w:pPr>
    </w:p>
    <w:p w14:paraId="6C7947A1" w14:textId="77777777" w:rsidR="00D36914" w:rsidRDefault="00D36914" w:rsidP="00B44DDD">
      <w:pPr>
        <w:rPr>
          <w:rFonts w:ascii="Arial" w:hAnsi="Arial" w:cs="Arial"/>
          <w:b/>
          <w:bCs/>
          <w:sz w:val="24"/>
          <w:szCs w:val="24"/>
        </w:rPr>
      </w:pPr>
    </w:p>
    <w:p w14:paraId="23DD46F4" w14:textId="77777777" w:rsidR="00D36914" w:rsidRDefault="00D36914" w:rsidP="00B44DDD">
      <w:pPr>
        <w:rPr>
          <w:rFonts w:ascii="Arial" w:hAnsi="Arial" w:cs="Arial"/>
          <w:b/>
          <w:bCs/>
          <w:sz w:val="24"/>
          <w:szCs w:val="24"/>
        </w:rPr>
      </w:pPr>
    </w:p>
    <w:p w14:paraId="104FE2D6" w14:textId="77777777" w:rsidR="00D36914" w:rsidRDefault="00D36914" w:rsidP="00B44DDD">
      <w:pPr>
        <w:rPr>
          <w:rFonts w:ascii="Arial" w:hAnsi="Arial" w:cs="Arial"/>
          <w:b/>
          <w:bCs/>
          <w:sz w:val="24"/>
          <w:szCs w:val="24"/>
        </w:rPr>
      </w:pPr>
    </w:p>
    <w:p w14:paraId="04630D74" w14:textId="77777777" w:rsidR="00D36914" w:rsidRDefault="00D36914" w:rsidP="00B44DDD">
      <w:pPr>
        <w:rPr>
          <w:rFonts w:ascii="Arial" w:hAnsi="Arial" w:cs="Arial"/>
          <w:b/>
          <w:bCs/>
          <w:sz w:val="24"/>
          <w:szCs w:val="24"/>
        </w:rPr>
      </w:pPr>
    </w:p>
    <w:p w14:paraId="3154D7A8" w14:textId="77777777" w:rsidR="00D36914" w:rsidRDefault="00D36914" w:rsidP="00B44DDD">
      <w:pPr>
        <w:rPr>
          <w:rFonts w:ascii="Arial" w:hAnsi="Arial" w:cs="Arial"/>
          <w:b/>
          <w:bCs/>
          <w:sz w:val="24"/>
          <w:szCs w:val="24"/>
        </w:rPr>
      </w:pPr>
    </w:p>
    <w:p w14:paraId="650370A1" w14:textId="77777777" w:rsidR="00D36914" w:rsidRDefault="00D36914" w:rsidP="00B44DDD">
      <w:pPr>
        <w:rPr>
          <w:rFonts w:ascii="Arial" w:hAnsi="Arial" w:cs="Arial"/>
          <w:b/>
          <w:bCs/>
          <w:sz w:val="24"/>
          <w:szCs w:val="24"/>
        </w:rPr>
      </w:pPr>
    </w:p>
    <w:p w14:paraId="60B90B26" w14:textId="77777777" w:rsidR="00D36914" w:rsidRDefault="00D36914" w:rsidP="00B44DDD">
      <w:pPr>
        <w:rPr>
          <w:rFonts w:ascii="Arial" w:hAnsi="Arial" w:cs="Arial"/>
          <w:b/>
          <w:bCs/>
          <w:sz w:val="24"/>
          <w:szCs w:val="24"/>
        </w:rPr>
      </w:pPr>
    </w:p>
    <w:p w14:paraId="761D5FE7" w14:textId="77777777" w:rsidR="00D36914" w:rsidRDefault="00D36914" w:rsidP="00B44DDD">
      <w:pPr>
        <w:rPr>
          <w:rFonts w:ascii="Arial" w:hAnsi="Arial" w:cs="Arial"/>
          <w:b/>
          <w:bCs/>
          <w:sz w:val="24"/>
          <w:szCs w:val="24"/>
        </w:rPr>
      </w:pPr>
    </w:p>
    <w:p w14:paraId="57BA0E64" w14:textId="77777777" w:rsidR="00D36914" w:rsidRDefault="00D36914" w:rsidP="00B44DDD">
      <w:pPr>
        <w:rPr>
          <w:rFonts w:ascii="Arial" w:hAnsi="Arial" w:cs="Arial"/>
          <w:b/>
          <w:bCs/>
          <w:sz w:val="24"/>
          <w:szCs w:val="24"/>
        </w:rPr>
      </w:pPr>
    </w:p>
    <w:p w14:paraId="45DA99BB" w14:textId="77777777" w:rsidR="00D36914" w:rsidRDefault="00D36914" w:rsidP="00B44DDD">
      <w:pPr>
        <w:rPr>
          <w:rFonts w:ascii="Arial" w:hAnsi="Arial" w:cs="Arial"/>
          <w:b/>
          <w:bCs/>
          <w:sz w:val="24"/>
          <w:szCs w:val="24"/>
        </w:rPr>
      </w:pPr>
    </w:p>
    <w:p w14:paraId="6ED3E928" w14:textId="77777777" w:rsidR="00D36914" w:rsidRDefault="00D36914" w:rsidP="00B44DDD">
      <w:pPr>
        <w:rPr>
          <w:rFonts w:ascii="Arial" w:hAnsi="Arial" w:cs="Arial"/>
          <w:b/>
          <w:bCs/>
          <w:sz w:val="24"/>
          <w:szCs w:val="24"/>
        </w:rPr>
      </w:pPr>
    </w:p>
    <w:p w14:paraId="0F5E49BD" w14:textId="77777777" w:rsidR="00D36914" w:rsidRDefault="00D36914" w:rsidP="00B44DDD">
      <w:pPr>
        <w:rPr>
          <w:rFonts w:ascii="Arial" w:hAnsi="Arial" w:cs="Arial"/>
          <w:b/>
          <w:bCs/>
          <w:sz w:val="24"/>
          <w:szCs w:val="24"/>
        </w:rPr>
      </w:pPr>
    </w:p>
    <w:p w14:paraId="35D797B9" w14:textId="77777777" w:rsidR="00D36914" w:rsidRDefault="00D36914" w:rsidP="00B44DDD">
      <w:pPr>
        <w:rPr>
          <w:rFonts w:ascii="Arial" w:hAnsi="Arial" w:cs="Arial"/>
          <w:b/>
          <w:bCs/>
          <w:sz w:val="24"/>
          <w:szCs w:val="24"/>
        </w:rPr>
      </w:pPr>
    </w:p>
    <w:p w14:paraId="1484A065" w14:textId="77777777" w:rsidR="00D36914" w:rsidRDefault="00D36914" w:rsidP="00B44DDD">
      <w:pPr>
        <w:rPr>
          <w:rFonts w:ascii="Arial" w:hAnsi="Arial" w:cs="Arial"/>
          <w:b/>
          <w:bCs/>
          <w:sz w:val="24"/>
          <w:szCs w:val="24"/>
        </w:rPr>
      </w:pPr>
    </w:p>
    <w:p w14:paraId="6116C643" w14:textId="2AE45459" w:rsidR="00AA21FB" w:rsidRPr="00D36914" w:rsidRDefault="00AA21FB" w:rsidP="00D36914">
      <w:pPr>
        <w:pStyle w:val="Heading1"/>
        <w:rPr>
          <w:rFonts w:ascii="Arial" w:hAnsi="Arial" w:cs="Arial"/>
          <w:b/>
          <w:bCs/>
          <w:color w:val="000000" w:themeColor="text1"/>
          <w:sz w:val="24"/>
          <w:szCs w:val="24"/>
        </w:rPr>
      </w:pPr>
      <w:bookmarkStart w:id="14" w:name="_Toc214046183"/>
      <w:r w:rsidRPr="00D36914">
        <w:rPr>
          <w:rFonts w:ascii="Arial" w:hAnsi="Arial" w:cs="Arial"/>
          <w:b/>
          <w:bCs/>
          <w:color w:val="000000" w:themeColor="text1"/>
          <w:sz w:val="24"/>
          <w:szCs w:val="24"/>
        </w:rPr>
        <w:lastRenderedPageBreak/>
        <w:t>Appendix F.</w:t>
      </w:r>
      <w:bookmarkEnd w:id="14"/>
    </w:p>
    <w:tbl>
      <w:tblPr>
        <w:tblStyle w:val="GridTable4"/>
        <w:tblW w:w="0" w:type="auto"/>
        <w:tblLook w:val="04A0" w:firstRow="1" w:lastRow="0" w:firstColumn="1" w:lastColumn="0" w:noHBand="0" w:noVBand="1"/>
      </w:tblPr>
      <w:tblGrid>
        <w:gridCol w:w="3485"/>
        <w:gridCol w:w="3485"/>
        <w:gridCol w:w="3486"/>
      </w:tblGrid>
      <w:tr w:rsidR="00AA21FB" w14:paraId="6757BB79" w14:textId="77777777" w:rsidTr="00DD3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70CF9A1A" w14:textId="3056C5D0" w:rsidR="00AA21FB" w:rsidRPr="00AA21FB" w:rsidRDefault="005048F1" w:rsidP="00B44DDD">
            <w:pPr>
              <w:rPr>
                <w:rFonts w:ascii="Arial" w:hAnsi="Arial" w:cs="Arial"/>
                <w:sz w:val="24"/>
                <w:szCs w:val="24"/>
              </w:rPr>
            </w:pPr>
            <w:r>
              <w:rPr>
                <w:rFonts w:ascii="Arial" w:hAnsi="Arial" w:cs="Arial"/>
                <w:sz w:val="24"/>
                <w:szCs w:val="24"/>
              </w:rPr>
              <w:t xml:space="preserve">F1. </w:t>
            </w:r>
            <w:r w:rsidR="00AA21FB" w:rsidRPr="00AA21FB">
              <w:rPr>
                <w:rFonts w:ascii="Arial" w:hAnsi="Arial" w:cs="Arial"/>
                <w:sz w:val="24"/>
                <w:szCs w:val="24"/>
              </w:rPr>
              <w:t>SERVQUAL Model</w:t>
            </w:r>
          </w:p>
        </w:tc>
      </w:tr>
      <w:tr w:rsidR="00AA21FB" w14:paraId="658E7737" w14:textId="77777777" w:rsidTr="00DB16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0A8717C" w14:textId="41B1980A" w:rsidR="00AA21FB" w:rsidRDefault="00AA21FB" w:rsidP="00B44DDD">
            <w:pPr>
              <w:rPr>
                <w:rFonts w:ascii="Arial" w:hAnsi="Arial" w:cs="Arial"/>
                <w:sz w:val="24"/>
                <w:szCs w:val="24"/>
              </w:rPr>
            </w:pPr>
            <w:r>
              <w:rPr>
                <w:rFonts w:ascii="Arial" w:hAnsi="Arial" w:cs="Arial"/>
                <w:sz w:val="24"/>
                <w:szCs w:val="24"/>
              </w:rPr>
              <w:t>Dimension</w:t>
            </w:r>
          </w:p>
        </w:tc>
        <w:tc>
          <w:tcPr>
            <w:tcW w:w="3485" w:type="dxa"/>
          </w:tcPr>
          <w:p w14:paraId="091694EA" w14:textId="6055FBF8"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Application</w:t>
            </w:r>
          </w:p>
        </w:tc>
        <w:tc>
          <w:tcPr>
            <w:tcW w:w="3486" w:type="dxa"/>
          </w:tcPr>
          <w:p w14:paraId="26B76AF1" w14:textId="24B6BB44"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Gaps</w:t>
            </w:r>
          </w:p>
        </w:tc>
      </w:tr>
      <w:tr w:rsidR="00AA21FB" w:rsidRPr="00AA21FB" w14:paraId="759F24C1"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2BBFFDAE" w14:textId="25BB9213"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Reliability</w:t>
            </w:r>
          </w:p>
        </w:tc>
        <w:tc>
          <w:tcPr>
            <w:tcW w:w="3485" w:type="dxa"/>
          </w:tcPr>
          <w:p w14:paraId="7F73C530" w14:textId="39B371C7"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Delivering courses on time and consistent service</w:t>
            </w:r>
          </w:p>
        </w:tc>
        <w:tc>
          <w:tcPr>
            <w:tcW w:w="3486" w:type="dxa"/>
          </w:tcPr>
          <w:p w14:paraId="1760BF7F" w14:textId="452F91BD"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T</w:t>
            </w:r>
            <w:r w:rsidRPr="00D36914">
              <w:rPr>
                <w:rFonts w:ascii="Arial" w:hAnsi="Arial" w:cs="Arial"/>
              </w:rPr>
              <w:t>iming inconsistencies during peak periods</w:t>
            </w:r>
          </w:p>
        </w:tc>
      </w:tr>
      <w:tr w:rsidR="00AA21FB" w:rsidRPr="00AA21FB" w14:paraId="2635540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551F419" w14:textId="52B5BD63"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Responsiveness</w:t>
            </w:r>
          </w:p>
        </w:tc>
        <w:tc>
          <w:tcPr>
            <w:tcW w:w="3485" w:type="dxa"/>
          </w:tcPr>
          <w:p w14:paraId="640E6A2D" w14:textId="2C69D832"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FOH–kitchen coordination and addressing guest requests</w:t>
            </w:r>
          </w:p>
        </w:tc>
        <w:tc>
          <w:tcPr>
            <w:tcW w:w="3486" w:type="dxa"/>
          </w:tcPr>
          <w:p w14:paraId="180C2D5F" w14:textId="1A3085B5"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Delays and miscommunication</w:t>
            </w:r>
          </w:p>
        </w:tc>
      </w:tr>
      <w:tr w:rsidR="00AA21FB" w:rsidRPr="00AA21FB" w14:paraId="66AE5B7D"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66E47092" w14:textId="789F61EF"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Assurance</w:t>
            </w:r>
          </w:p>
        </w:tc>
        <w:tc>
          <w:tcPr>
            <w:tcW w:w="3485" w:type="dxa"/>
          </w:tcPr>
          <w:p w14:paraId="64BF7272" w14:textId="1F945C51"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Staff knowledge and competence</w:t>
            </w:r>
          </w:p>
        </w:tc>
        <w:tc>
          <w:tcPr>
            <w:tcW w:w="3486" w:type="dxa"/>
          </w:tcPr>
          <w:p w14:paraId="1F965E5A" w14:textId="3F91CA71"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Varies with staff experience and training level</w:t>
            </w:r>
          </w:p>
        </w:tc>
      </w:tr>
      <w:tr w:rsidR="00AA21FB" w:rsidRPr="00AA21FB" w14:paraId="6B7017D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49F8BE79" w14:textId="5B0DD11A"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Empathy</w:t>
            </w:r>
          </w:p>
        </w:tc>
        <w:tc>
          <w:tcPr>
            <w:tcW w:w="3485" w:type="dxa"/>
          </w:tcPr>
          <w:p w14:paraId="66B00FA8" w14:textId="6A49E999"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Personalised attention to guests</w:t>
            </w:r>
          </w:p>
        </w:tc>
        <w:tc>
          <w:tcPr>
            <w:tcW w:w="3486" w:type="dxa"/>
          </w:tcPr>
          <w:p w14:paraId="0B5588DC" w14:textId="4D698E48"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Inconsistent under stress or with new staff</w:t>
            </w:r>
          </w:p>
        </w:tc>
      </w:tr>
      <w:tr w:rsidR="00AA21FB" w:rsidRPr="00AA21FB" w14:paraId="13BA3BA3"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64E9A19" w14:textId="46378EFF" w:rsidR="00AA21FB" w:rsidRPr="00AA21FB" w:rsidRDefault="00AA21FB" w:rsidP="00B44DDD">
            <w:pPr>
              <w:rPr>
                <w:rFonts w:ascii="Arial" w:hAnsi="Arial" w:cs="Arial"/>
                <w:b w:val="0"/>
                <w:bCs w:val="0"/>
                <w:sz w:val="24"/>
                <w:szCs w:val="24"/>
              </w:rPr>
            </w:pPr>
            <w:r w:rsidRPr="00AA21FB">
              <w:rPr>
                <w:rFonts w:ascii="Arial" w:hAnsi="Arial" w:cs="Arial"/>
                <w:b w:val="0"/>
                <w:bCs w:val="0"/>
                <w:sz w:val="24"/>
                <w:szCs w:val="24"/>
              </w:rPr>
              <w:t>Tangibles</w:t>
            </w:r>
          </w:p>
        </w:tc>
        <w:tc>
          <w:tcPr>
            <w:tcW w:w="3485" w:type="dxa"/>
          </w:tcPr>
          <w:p w14:paraId="507A7D95" w14:textId="0191B159"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Physical environment, presentation, kitchen garden</w:t>
            </w:r>
          </w:p>
        </w:tc>
        <w:tc>
          <w:tcPr>
            <w:tcW w:w="3486" w:type="dxa"/>
          </w:tcPr>
          <w:p w14:paraId="0630A86E" w14:textId="517D1905"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Strong, but timing affects perception</w:t>
            </w:r>
          </w:p>
        </w:tc>
      </w:tr>
    </w:tbl>
    <w:p w14:paraId="20D207A5" w14:textId="254C936A" w:rsidR="00AA21FB" w:rsidRPr="00AA21FB" w:rsidRDefault="00AA21FB"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2614"/>
        <w:gridCol w:w="2614"/>
        <w:gridCol w:w="2614"/>
        <w:gridCol w:w="2614"/>
      </w:tblGrid>
      <w:tr w:rsidR="00AA21FB" w14:paraId="0D8E4C38" w14:textId="77777777" w:rsidTr="006D49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2" w:type="dxa"/>
            <w:gridSpan w:val="3"/>
          </w:tcPr>
          <w:p w14:paraId="56766A3A" w14:textId="382A9703" w:rsidR="00AA21FB" w:rsidRDefault="005048F1" w:rsidP="00B44DDD">
            <w:pPr>
              <w:rPr>
                <w:rFonts w:ascii="Arial" w:hAnsi="Arial" w:cs="Arial"/>
                <w:sz w:val="24"/>
                <w:szCs w:val="24"/>
              </w:rPr>
            </w:pPr>
            <w:r>
              <w:rPr>
                <w:rFonts w:ascii="Arial" w:hAnsi="Arial" w:cs="Arial"/>
                <w:sz w:val="24"/>
                <w:szCs w:val="24"/>
              </w:rPr>
              <w:t xml:space="preserve">F2. </w:t>
            </w:r>
            <w:r w:rsidR="00AA21FB">
              <w:rPr>
                <w:rFonts w:ascii="Arial" w:hAnsi="Arial" w:cs="Arial"/>
                <w:sz w:val="24"/>
                <w:szCs w:val="24"/>
              </w:rPr>
              <w:t>Theory</w:t>
            </w:r>
            <w:r>
              <w:rPr>
                <w:rFonts w:ascii="Arial" w:hAnsi="Arial" w:cs="Arial"/>
                <w:sz w:val="24"/>
                <w:szCs w:val="24"/>
              </w:rPr>
              <w:t xml:space="preserve"> </w:t>
            </w:r>
            <w:r w:rsidR="00AA21FB">
              <w:rPr>
                <w:rFonts w:ascii="Arial" w:hAnsi="Arial" w:cs="Arial"/>
                <w:sz w:val="24"/>
                <w:szCs w:val="24"/>
              </w:rPr>
              <w:t>of Constraints</w:t>
            </w:r>
          </w:p>
        </w:tc>
        <w:tc>
          <w:tcPr>
            <w:tcW w:w="2614" w:type="dxa"/>
          </w:tcPr>
          <w:p w14:paraId="17D62676" w14:textId="77777777" w:rsidR="00AA21FB" w:rsidRDefault="00AA21FB" w:rsidP="00B44DD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AA21FB" w14:paraId="3DE88FBF"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270EC189" w14:textId="65CEA613" w:rsidR="00AA21FB" w:rsidRDefault="00AA21FB" w:rsidP="00B44DDD">
            <w:pPr>
              <w:rPr>
                <w:rFonts w:ascii="Arial" w:hAnsi="Arial" w:cs="Arial"/>
                <w:sz w:val="24"/>
                <w:szCs w:val="24"/>
              </w:rPr>
            </w:pPr>
            <w:r>
              <w:rPr>
                <w:rFonts w:ascii="Arial" w:hAnsi="Arial" w:cs="Arial"/>
                <w:sz w:val="24"/>
                <w:szCs w:val="24"/>
              </w:rPr>
              <w:t>Constraint</w:t>
            </w:r>
          </w:p>
        </w:tc>
        <w:tc>
          <w:tcPr>
            <w:tcW w:w="2614" w:type="dxa"/>
          </w:tcPr>
          <w:p w14:paraId="7C23594A" w14:textId="1CF0F2A0"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Description</w:t>
            </w:r>
          </w:p>
        </w:tc>
        <w:tc>
          <w:tcPr>
            <w:tcW w:w="2614" w:type="dxa"/>
          </w:tcPr>
          <w:p w14:paraId="732578BF" w14:textId="5B1FE173"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Operational Effect</w:t>
            </w:r>
          </w:p>
        </w:tc>
        <w:tc>
          <w:tcPr>
            <w:tcW w:w="2614" w:type="dxa"/>
          </w:tcPr>
          <w:p w14:paraId="7F9623CE" w14:textId="43C85E48" w:rsidR="00AA21FB" w:rsidRP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A21FB">
              <w:rPr>
                <w:rFonts w:ascii="Arial" w:hAnsi="Arial" w:cs="Arial"/>
                <w:b/>
                <w:bCs/>
                <w:sz w:val="24"/>
                <w:szCs w:val="24"/>
              </w:rPr>
              <w:t>Proposed Solution</w:t>
            </w:r>
          </w:p>
        </w:tc>
      </w:tr>
      <w:tr w:rsidR="00AA21FB" w14:paraId="45BD177E" w14:textId="77777777" w:rsidTr="00AA21FB">
        <w:tc>
          <w:tcPr>
            <w:cnfStyle w:val="001000000000" w:firstRow="0" w:lastRow="0" w:firstColumn="1" w:lastColumn="0" w:oddVBand="0" w:evenVBand="0" w:oddHBand="0" w:evenHBand="0" w:firstRowFirstColumn="0" w:firstRowLastColumn="0" w:lastRowFirstColumn="0" w:lastRowLastColumn="0"/>
            <w:tcW w:w="2614" w:type="dxa"/>
          </w:tcPr>
          <w:p w14:paraId="1DDF5A3F" w14:textId="2056EDCC" w:rsidR="00AA21FB" w:rsidRPr="00D36914" w:rsidRDefault="00AA21FB" w:rsidP="00B44DDD">
            <w:pPr>
              <w:rPr>
                <w:rFonts w:ascii="Arial" w:hAnsi="Arial" w:cs="Arial"/>
                <w:b w:val="0"/>
                <w:bCs w:val="0"/>
              </w:rPr>
            </w:pPr>
            <w:r w:rsidRPr="00D36914">
              <w:rPr>
                <w:rFonts w:ascii="Arial" w:hAnsi="Arial" w:cs="Arial"/>
                <w:b w:val="0"/>
                <w:bCs w:val="0"/>
              </w:rPr>
              <w:t>Kitchen Pass</w:t>
            </w:r>
          </w:p>
        </w:tc>
        <w:tc>
          <w:tcPr>
            <w:tcW w:w="2614" w:type="dxa"/>
          </w:tcPr>
          <w:p w14:paraId="1C95DDC8" w14:textId="4DB67A26"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Multiple orders converge</w:t>
            </w:r>
          </w:p>
        </w:tc>
        <w:tc>
          <w:tcPr>
            <w:tcW w:w="2614" w:type="dxa"/>
          </w:tcPr>
          <w:p w14:paraId="3C6A12A7" w14:textId="4DF2FC58"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 xml:space="preserve">Delays </w:t>
            </w:r>
            <w:r w:rsidRPr="00D36914">
              <w:rPr>
                <w:rFonts w:ascii="Arial" w:hAnsi="Arial" w:cs="Arial"/>
              </w:rPr>
              <w:t>flow</w:t>
            </w:r>
            <w:r w:rsidRPr="00D36914">
              <w:rPr>
                <w:rFonts w:ascii="Arial" w:hAnsi="Arial" w:cs="Arial"/>
              </w:rPr>
              <w:t xml:space="preserve"> to FOH and back-of-house</w:t>
            </w:r>
          </w:p>
        </w:tc>
        <w:tc>
          <w:tcPr>
            <w:tcW w:w="2614" w:type="dxa"/>
          </w:tcPr>
          <w:p w14:paraId="4C5A7812" w14:textId="4B46D49D"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Cross-training, SOPs, peak staffing adjustments</w:t>
            </w:r>
          </w:p>
        </w:tc>
      </w:tr>
    </w:tbl>
    <w:p w14:paraId="6128B28B" w14:textId="6C1CD29D" w:rsidR="00AA21FB" w:rsidRPr="00AA21FB" w:rsidRDefault="00AA21FB"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3485"/>
        <w:gridCol w:w="3485"/>
        <w:gridCol w:w="3486"/>
      </w:tblGrid>
      <w:tr w:rsidR="005048F1" w14:paraId="0C3CDFA7" w14:textId="77777777" w:rsidTr="00C02E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56" w:type="dxa"/>
            <w:gridSpan w:val="3"/>
          </w:tcPr>
          <w:p w14:paraId="4072B956" w14:textId="196FC116" w:rsidR="005048F1" w:rsidRDefault="005048F1" w:rsidP="00B44DDD">
            <w:pPr>
              <w:rPr>
                <w:rFonts w:ascii="Arial" w:hAnsi="Arial" w:cs="Arial"/>
                <w:b w:val="0"/>
                <w:bCs w:val="0"/>
                <w:sz w:val="24"/>
                <w:szCs w:val="24"/>
              </w:rPr>
            </w:pPr>
            <w:r>
              <w:rPr>
                <w:rFonts w:ascii="Arial" w:hAnsi="Arial" w:cs="Arial"/>
                <w:sz w:val="24"/>
                <w:szCs w:val="24"/>
              </w:rPr>
              <w:t xml:space="preserve">F3. </w:t>
            </w:r>
            <w:r w:rsidRPr="005048F1">
              <w:rPr>
                <w:rFonts w:ascii="Arial" w:hAnsi="Arial" w:cs="Arial"/>
                <w:sz w:val="24"/>
                <w:szCs w:val="24"/>
              </w:rPr>
              <w:t>Demand-Capacity Alignment</w:t>
            </w:r>
          </w:p>
        </w:tc>
      </w:tr>
      <w:tr w:rsidR="00AA21FB" w14:paraId="0A0D7039"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165CC11E" w14:textId="164431DF" w:rsidR="00AA21FB" w:rsidRPr="00AA21FB" w:rsidRDefault="00AA21FB" w:rsidP="00B44DDD">
            <w:pPr>
              <w:rPr>
                <w:rFonts w:ascii="Arial" w:hAnsi="Arial" w:cs="Arial"/>
                <w:sz w:val="24"/>
                <w:szCs w:val="24"/>
              </w:rPr>
            </w:pPr>
            <w:r w:rsidRPr="00AA21FB">
              <w:rPr>
                <w:rFonts w:ascii="Arial" w:hAnsi="Arial" w:cs="Arial"/>
                <w:sz w:val="24"/>
                <w:szCs w:val="24"/>
              </w:rPr>
              <w:t>Principle</w:t>
            </w:r>
          </w:p>
        </w:tc>
        <w:tc>
          <w:tcPr>
            <w:tcW w:w="3485" w:type="dxa"/>
          </w:tcPr>
          <w:p w14:paraId="7F695F41" w14:textId="47D8E469" w:rsid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Application</w:t>
            </w:r>
          </w:p>
        </w:tc>
        <w:tc>
          <w:tcPr>
            <w:tcW w:w="3486" w:type="dxa"/>
          </w:tcPr>
          <w:p w14:paraId="08784C22" w14:textId="2CC9853D" w:rsidR="00AA21FB"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Gap</w:t>
            </w:r>
          </w:p>
        </w:tc>
      </w:tr>
      <w:tr w:rsidR="00AA21FB" w14:paraId="64EA981A"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096F334" w14:textId="46D92A77" w:rsidR="00AA21FB" w:rsidRPr="00D36914" w:rsidRDefault="00AA21FB" w:rsidP="00B44DDD">
            <w:pPr>
              <w:rPr>
                <w:rFonts w:ascii="Arial" w:hAnsi="Arial" w:cs="Arial"/>
                <w:b w:val="0"/>
                <w:bCs w:val="0"/>
              </w:rPr>
            </w:pPr>
            <w:r w:rsidRPr="00D36914">
              <w:rPr>
                <w:rFonts w:ascii="Arial" w:hAnsi="Arial" w:cs="Arial"/>
                <w:b w:val="0"/>
                <w:bCs w:val="0"/>
              </w:rPr>
              <w:t>Demand variability</w:t>
            </w:r>
          </w:p>
        </w:tc>
        <w:tc>
          <w:tcPr>
            <w:tcW w:w="3485" w:type="dxa"/>
          </w:tcPr>
          <w:p w14:paraId="79FCEA14" w14:textId="5F363295"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Fluctuating guest numbers</w:t>
            </w:r>
          </w:p>
        </w:tc>
        <w:tc>
          <w:tcPr>
            <w:tcW w:w="3486" w:type="dxa"/>
          </w:tcPr>
          <w:p w14:paraId="76ACF973" w14:textId="423144BB"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Staffing not aligned with peaks</w:t>
            </w:r>
          </w:p>
        </w:tc>
      </w:tr>
      <w:tr w:rsidR="00AA21FB" w14:paraId="00B8CA51" w14:textId="77777777" w:rsidTr="00AA2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16DA09DF" w14:textId="5CFF2B7A" w:rsidR="00AA21FB" w:rsidRPr="00D36914" w:rsidRDefault="00AA21FB" w:rsidP="00AA21FB">
            <w:pPr>
              <w:rPr>
                <w:rFonts w:ascii="Arial" w:hAnsi="Arial" w:cs="Arial"/>
                <w:b w:val="0"/>
                <w:bCs w:val="0"/>
              </w:rPr>
            </w:pPr>
            <w:r w:rsidRPr="00D36914">
              <w:rPr>
                <w:rFonts w:ascii="Arial" w:hAnsi="Arial" w:cs="Arial"/>
                <w:b w:val="0"/>
                <w:bCs w:val="0"/>
              </w:rPr>
              <w:t>Fixed capacity</w:t>
            </w:r>
          </w:p>
        </w:tc>
        <w:tc>
          <w:tcPr>
            <w:tcW w:w="3485" w:type="dxa"/>
          </w:tcPr>
          <w:p w14:paraId="45B95D1E" w14:textId="1C6C339E"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Labour and space limitations</w:t>
            </w:r>
          </w:p>
        </w:tc>
        <w:tc>
          <w:tcPr>
            <w:tcW w:w="3486" w:type="dxa"/>
          </w:tcPr>
          <w:p w14:paraId="73362F12" w14:textId="1B07C3AB" w:rsidR="00AA21FB" w:rsidRPr="00D36914" w:rsidRDefault="00AA21FB"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Service quality declines when &gt;90% occupancy</w:t>
            </w:r>
          </w:p>
        </w:tc>
      </w:tr>
      <w:tr w:rsidR="00AA21FB" w14:paraId="0B884E8A" w14:textId="77777777" w:rsidTr="00AA21FB">
        <w:tc>
          <w:tcPr>
            <w:cnfStyle w:val="001000000000" w:firstRow="0" w:lastRow="0" w:firstColumn="1" w:lastColumn="0" w:oddVBand="0" w:evenVBand="0" w:oddHBand="0" w:evenHBand="0" w:firstRowFirstColumn="0" w:firstRowLastColumn="0" w:lastRowFirstColumn="0" w:lastRowLastColumn="0"/>
            <w:tcW w:w="3485" w:type="dxa"/>
          </w:tcPr>
          <w:p w14:paraId="4C3633CE" w14:textId="7AAF6457" w:rsidR="00AA21FB" w:rsidRPr="00D36914" w:rsidRDefault="005048F1" w:rsidP="00B44DDD">
            <w:pPr>
              <w:rPr>
                <w:rFonts w:ascii="Arial" w:hAnsi="Arial" w:cs="Arial"/>
                <w:b w:val="0"/>
                <w:bCs w:val="0"/>
              </w:rPr>
            </w:pPr>
            <w:r w:rsidRPr="00D36914">
              <w:rPr>
                <w:rFonts w:ascii="Arial" w:hAnsi="Arial" w:cs="Arial"/>
                <w:b w:val="0"/>
                <w:bCs w:val="0"/>
              </w:rPr>
              <w:t>Optimal occupancy range</w:t>
            </w:r>
          </w:p>
        </w:tc>
        <w:tc>
          <w:tcPr>
            <w:tcW w:w="3485" w:type="dxa"/>
          </w:tcPr>
          <w:p w14:paraId="566E5062" w14:textId="6ADBCBE9"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70–90%</w:t>
            </w:r>
          </w:p>
        </w:tc>
        <w:tc>
          <w:tcPr>
            <w:tcW w:w="3486" w:type="dxa"/>
          </w:tcPr>
          <w:p w14:paraId="610EB024" w14:textId="54F17B34" w:rsidR="00AA21FB" w:rsidRPr="00D36914" w:rsidRDefault="00AA21FB"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Maintaining quality during peak periods</w:t>
            </w:r>
          </w:p>
        </w:tc>
      </w:tr>
    </w:tbl>
    <w:p w14:paraId="04C233AA" w14:textId="6F4F2C93" w:rsidR="00651750" w:rsidRDefault="00651750" w:rsidP="00B44DDD">
      <w:pPr>
        <w:rPr>
          <w:rFonts w:ascii="Arial" w:hAnsi="Arial" w:cs="Arial"/>
          <w:b/>
          <w:bCs/>
          <w:sz w:val="24"/>
          <w:szCs w:val="24"/>
        </w:rPr>
      </w:pPr>
    </w:p>
    <w:tbl>
      <w:tblPr>
        <w:tblStyle w:val="GridTable4"/>
        <w:tblW w:w="0" w:type="auto"/>
        <w:tblLook w:val="04A0" w:firstRow="1" w:lastRow="0" w:firstColumn="1" w:lastColumn="0" w:noHBand="0" w:noVBand="1"/>
      </w:tblPr>
      <w:tblGrid>
        <w:gridCol w:w="3485"/>
        <w:gridCol w:w="3485"/>
        <w:gridCol w:w="3486"/>
      </w:tblGrid>
      <w:tr w:rsidR="005048F1" w14:paraId="209AE079" w14:textId="77777777" w:rsidTr="00322F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70" w:type="dxa"/>
            <w:gridSpan w:val="2"/>
          </w:tcPr>
          <w:p w14:paraId="0E111B6F" w14:textId="21302EAA" w:rsidR="005048F1" w:rsidRPr="005048F1" w:rsidRDefault="005048F1" w:rsidP="00B44DDD">
            <w:pPr>
              <w:rPr>
                <w:rFonts w:ascii="Arial" w:hAnsi="Arial" w:cs="Arial"/>
                <w:sz w:val="24"/>
                <w:szCs w:val="24"/>
              </w:rPr>
            </w:pPr>
            <w:r w:rsidRPr="005048F1">
              <w:rPr>
                <w:rFonts w:ascii="Arial" w:hAnsi="Arial" w:cs="Arial"/>
                <w:sz w:val="24"/>
                <w:szCs w:val="24"/>
              </w:rPr>
              <w:t>F4. Structured Training Framework</w:t>
            </w:r>
          </w:p>
        </w:tc>
        <w:tc>
          <w:tcPr>
            <w:tcW w:w="3486" w:type="dxa"/>
          </w:tcPr>
          <w:p w14:paraId="41562374" w14:textId="77777777" w:rsidR="005048F1" w:rsidRDefault="005048F1" w:rsidP="00B44D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5048F1" w14:paraId="164D9E38" w14:textId="77777777" w:rsidTr="00504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70A258CC" w14:textId="5CD3D581" w:rsidR="005048F1" w:rsidRPr="005048F1" w:rsidRDefault="005048F1" w:rsidP="00B44DDD">
            <w:pPr>
              <w:rPr>
                <w:rFonts w:ascii="Arial" w:hAnsi="Arial" w:cs="Arial"/>
                <w:sz w:val="24"/>
                <w:szCs w:val="24"/>
              </w:rPr>
            </w:pPr>
            <w:r w:rsidRPr="005048F1">
              <w:rPr>
                <w:rFonts w:ascii="Arial" w:hAnsi="Arial" w:cs="Arial"/>
                <w:sz w:val="24"/>
                <w:szCs w:val="24"/>
              </w:rPr>
              <w:t>Element</w:t>
            </w:r>
          </w:p>
        </w:tc>
        <w:tc>
          <w:tcPr>
            <w:tcW w:w="3485" w:type="dxa"/>
          </w:tcPr>
          <w:p w14:paraId="1F3577F5" w14:textId="228DADEE" w:rsidR="005048F1"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Purpose</w:t>
            </w:r>
          </w:p>
        </w:tc>
        <w:tc>
          <w:tcPr>
            <w:tcW w:w="3486" w:type="dxa"/>
          </w:tcPr>
          <w:p w14:paraId="6147B091" w14:textId="1451D60F" w:rsidR="005048F1"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Application</w:t>
            </w:r>
          </w:p>
        </w:tc>
      </w:tr>
      <w:tr w:rsidR="005048F1" w14:paraId="19EF2A08" w14:textId="77777777" w:rsidTr="005048F1">
        <w:tc>
          <w:tcPr>
            <w:cnfStyle w:val="001000000000" w:firstRow="0" w:lastRow="0" w:firstColumn="1" w:lastColumn="0" w:oddVBand="0" w:evenVBand="0" w:oddHBand="0" w:evenHBand="0" w:firstRowFirstColumn="0" w:firstRowLastColumn="0" w:lastRowFirstColumn="0" w:lastRowLastColumn="0"/>
            <w:tcW w:w="3485" w:type="dxa"/>
          </w:tcPr>
          <w:p w14:paraId="3ABB8144" w14:textId="3202E451" w:rsidR="005048F1" w:rsidRPr="00D36914" w:rsidRDefault="005048F1" w:rsidP="00B44DDD">
            <w:pPr>
              <w:rPr>
                <w:rFonts w:ascii="Arial" w:hAnsi="Arial" w:cs="Arial"/>
                <w:b w:val="0"/>
                <w:bCs w:val="0"/>
              </w:rPr>
            </w:pPr>
            <w:r w:rsidRPr="00D36914">
              <w:rPr>
                <w:rFonts w:ascii="Arial" w:hAnsi="Arial" w:cs="Arial"/>
                <w:b w:val="0"/>
                <w:bCs w:val="0"/>
              </w:rPr>
              <w:t>Standardised SOPs</w:t>
            </w:r>
          </w:p>
        </w:tc>
        <w:tc>
          <w:tcPr>
            <w:tcW w:w="3485" w:type="dxa"/>
          </w:tcPr>
          <w:p w14:paraId="465AED03" w14:textId="3868349C"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Reduce variability</w:t>
            </w:r>
          </w:p>
        </w:tc>
        <w:tc>
          <w:tcPr>
            <w:tcW w:w="3486" w:type="dxa"/>
          </w:tcPr>
          <w:p w14:paraId="294367BB" w14:textId="5F2C215A"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Establish consistent FOH and kitchen procedures</w:t>
            </w:r>
          </w:p>
        </w:tc>
      </w:tr>
      <w:tr w:rsidR="005048F1" w14:paraId="0EF66019" w14:textId="77777777" w:rsidTr="00504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Pr>
          <w:p w14:paraId="072C381F" w14:textId="62B5A092" w:rsidR="005048F1" w:rsidRPr="00D36914" w:rsidRDefault="005048F1" w:rsidP="00B44DDD">
            <w:pPr>
              <w:rPr>
                <w:rFonts w:ascii="Arial" w:hAnsi="Arial" w:cs="Arial"/>
                <w:b w:val="0"/>
                <w:bCs w:val="0"/>
              </w:rPr>
            </w:pPr>
            <w:r w:rsidRPr="00D36914">
              <w:rPr>
                <w:rFonts w:ascii="Arial" w:hAnsi="Arial" w:cs="Arial"/>
                <w:b w:val="0"/>
                <w:bCs w:val="0"/>
              </w:rPr>
              <w:t>Experiential + formal training</w:t>
            </w:r>
          </w:p>
        </w:tc>
        <w:tc>
          <w:tcPr>
            <w:tcW w:w="3485" w:type="dxa"/>
          </w:tcPr>
          <w:p w14:paraId="4671AE1D" w14:textId="10568D82" w:rsidR="005048F1" w:rsidRPr="00D36914"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Enhance competence, reliability, empathy</w:t>
            </w:r>
          </w:p>
        </w:tc>
        <w:tc>
          <w:tcPr>
            <w:tcW w:w="3486" w:type="dxa"/>
          </w:tcPr>
          <w:p w14:paraId="123178DD" w14:textId="7570C0E7" w:rsidR="005048F1" w:rsidRPr="00D36914" w:rsidRDefault="005048F1" w:rsidP="00B44D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36914">
              <w:rPr>
                <w:rFonts w:ascii="Arial" w:hAnsi="Arial" w:cs="Arial"/>
              </w:rPr>
              <w:t>Systematic onboarding and cross-training</w:t>
            </w:r>
          </w:p>
        </w:tc>
      </w:tr>
      <w:tr w:rsidR="005048F1" w14:paraId="06E1954D" w14:textId="77777777" w:rsidTr="005048F1">
        <w:tc>
          <w:tcPr>
            <w:cnfStyle w:val="001000000000" w:firstRow="0" w:lastRow="0" w:firstColumn="1" w:lastColumn="0" w:oddVBand="0" w:evenVBand="0" w:oddHBand="0" w:evenHBand="0" w:firstRowFirstColumn="0" w:firstRowLastColumn="0" w:lastRowFirstColumn="0" w:lastRowLastColumn="0"/>
            <w:tcW w:w="3485" w:type="dxa"/>
          </w:tcPr>
          <w:p w14:paraId="1CD16032" w14:textId="14DB7DF1" w:rsidR="005048F1" w:rsidRPr="00D36914" w:rsidRDefault="005048F1" w:rsidP="00B44DDD">
            <w:pPr>
              <w:rPr>
                <w:rFonts w:ascii="Arial" w:hAnsi="Arial" w:cs="Arial"/>
                <w:b w:val="0"/>
                <w:bCs w:val="0"/>
              </w:rPr>
            </w:pPr>
            <w:r w:rsidRPr="00D36914">
              <w:rPr>
                <w:rFonts w:ascii="Arial" w:hAnsi="Arial" w:cs="Arial"/>
                <w:b w:val="0"/>
                <w:bCs w:val="0"/>
              </w:rPr>
              <w:t>Continuous assessment</w:t>
            </w:r>
          </w:p>
        </w:tc>
        <w:tc>
          <w:tcPr>
            <w:tcW w:w="3485" w:type="dxa"/>
          </w:tcPr>
          <w:p w14:paraId="27643216" w14:textId="3A6CC4A5"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Monitor and improve performance</w:t>
            </w:r>
          </w:p>
        </w:tc>
        <w:tc>
          <w:tcPr>
            <w:tcW w:w="3486" w:type="dxa"/>
          </w:tcPr>
          <w:p w14:paraId="49E23A40" w14:textId="736AFA2E" w:rsidR="005048F1" w:rsidRPr="00D36914" w:rsidRDefault="005048F1" w:rsidP="00B44D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36914">
              <w:rPr>
                <w:rFonts w:ascii="Arial" w:hAnsi="Arial" w:cs="Arial"/>
              </w:rPr>
              <w:t>Feedback loops for service quality</w:t>
            </w:r>
          </w:p>
        </w:tc>
      </w:tr>
    </w:tbl>
    <w:p w14:paraId="2F6496C7" w14:textId="77777777" w:rsidR="005048F1" w:rsidRDefault="005048F1" w:rsidP="00B44DDD">
      <w:pPr>
        <w:rPr>
          <w:rFonts w:ascii="Arial" w:hAnsi="Arial" w:cs="Arial"/>
          <w:b/>
          <w:bCs/>
          <w:sz w:val="24"/>
          <w:szCs w:val="24"/>
        </w:rPr>
      </w:pPr>
    </w:p>
    <w:p w14:paraId="59BA756C" w14:textId="77777777" w:rsidR="005048F1" w:rsidRDefault="005048F1" w:rsidP="00B44DDD">
      <w:pPr>
        <w:rPr>
          <w:rFonts w:ascii="Arial" w:hAnsi="Arial" w:cs="Arial"/>
          <w:b/>
          <w:bCs/>
          <w:sz w:val="24"/>
          <w:szCs w:val="24"/>
        </w:rPr>
      </w:pPr>
    </w:p>
    <w:p w14:paraId="4A6A42FD" w14:textId="77777777" w:rsidR="00651750" w:rsidRDefault="00651750" w:rsidP="00B44DDD">
      <w:pPr>
        <w:rPr>
          <w:rFonts w:ascii="Arial" w:hAnsi="Arial" w:cs="Arial"/>
          <w:b/>
          <w:bCs/>
          <w:sz w:val="24"/>
          <w:szCs w:val="24"/>
        </w:rPr>
      </w:pPr>
    </w:p>
    <w:p w14:paraId="54F8D912" w14:textId="77777777" w:rsidR="004329C9" w:rsidRDefault="004329C9" w:rsidP="00B44DDD">
      <w:pPr>
        <w:rPr>
          <w:rFonts w:ascii="Arial" w:hAnsi="Arial" w:cs="Arial"/>
          <w:b/>
          <w:bCs/>
          <w:sz w:val="24"/>
          <w:szCs w:val="24"/>
        </w:rPr>
      </w:pPr>
    </w:p>
    <w:p w14:paraId="49AE10C5" w14:textId="77777777" w:rsidR="00D36914" w:rsidRDefault="00D36914" w:rsidP="00B44DDD">
      <w:pPr>
        <w:rPr>
          <w:rFonts w:ascii="Arial" w:hAnsi="Arial" w:cs="Arial"/>
          <w:b/>
          <w:bCs/>
          <w:sz w:val="24"/>
          <w:szCs w:val="24"/>
        </w:rPr>
      </w:pPr>
    </w:p>
    <w:p w14:paraId="0FBF12D3" w14:textId="77777777" w:rsidR="00D36914" w:rsidRDefault="00D36914" w:rsidP="00B44DDD">
      <w:pPr>
        <w:rPr>
          <w:rFonts w:ascii="Arial" w:hAnsi="Arial" w:cs="Arial"/>
          <w:b/>
          <w:bCs/>
          <w:sz w:val="24"/>
          <w:szCs w:val="24"/>
        </w:rPr>
      </w:pPr>
    </w:p>
    <w:p w14:paraId="6D63E498" w14:textId="77777777" w:rsidR="00D36914" w:rsidRDefault="00D36914" w:rsidP="00B44DDD">
      <w:pPr>
        <w:rPr>
          <w:rFonts w:ascii="Arial" w:hAnsi="Arial" w:cs="Arial"/>
          <w:b/>
          <w:bCs/>
          <w:sz w:val="24"/>
          <w:szCs w:val="24"/>
        </w:rPr>
      </w:pPr>
    </w:p>
    <w:p w14:paraId="00E7A3EB" w14:textId="77777777" w:rsidR="00D36914" w:rsidRDefault="00D36914" w:rsidP="00B44DDD">
      <w:pPr>
        <w:rPr>
          <w:rFonts w:ascii="Arial" w:hAnsi="Arial" w:cs="Arial"/>
          <w:b/>
          <w:bCs/>
          <w:sz w:val="24"/>
          <w:szCs w:val="24"/>
        </w:rPr>
      </w:pPr>
    </w:p>
    <w:p w14:paraId="70FCD72E" w14:textId="77777777" w:rsidR="00D36914" w:rsidRDefault="00D36914" w:rsidP="00B44DDD">
      <w:pPr>
        <w:rPr>
          <w:rFonts w:ascii="Arial" w:hAnsi="Arial" w:cs="Arial"/>
          <w:b/>
          <w:bCs/>
          <w:sz w:val="24"/>
          <w:szCs w:val="24"/>
        </w:rPr>
      </w:pPr>
    </w:p>
    <w:p w14:paraId="1E501085" w14:textId="51883241" w:rsidR="00651750" w:rsidRPr="00D36914" w:rsidRDefault="00064788" w:rsidP="00D36914">
      <w:pPr>
        <w:pStyle w:val="Heading1"/>
        <w:rPr>
          <w:rFonts w:ascii="Arial" w:hAnsi="Arial" w:cs="Arial"/>
          <w:b/>
          <w:bCs/>
          <w:color w:val="000000" w:themeColor="text1"/>
          <w:sz w:val="24"/>
          <w:szCs w:val="24"/>
        </w:rPr>
      </w:pPr>
      <w:bookmarkStart w:id="15" w:name="_Toc214046184"/>
      <w:r w:rsidRPr="00D36914">
        <w:rPr>
          <w:rFonts w:ascii="Arial" w:hAnsi="Arial" w:cs="Arial"/>
          <w:b/>
          <w:bCs/>
          <w:color w:val="000000" w:themeColor="text1"/>
          <w:sz w:val="24"/>
          <w:szCs w:val="24"/>
        </w:rPr>
        <w:lastRenderedPageBreak/>
        <w:t>References</w:t>
      </w:r>
      <w:bookmarkEnd w:id="15"/>
    </w:p>
    <w:p w14:paraId="032F7A0A" w14:textId="77777777" w:rsidR="00D36914" w:rsidRPr="00064788" w:rsidRDefault="00D36914" w:rsidP="00064788">
      <w:pPr>
        <w:rPr>
          <w:rFonts w:ascii="Arial" w:hAnsi="Arial" w:cs="Arial"/>
          <w:sz w:val="24"/>
          <w:szCs w:val="24"/>
        </w:rPr>
      </w:pPr>
      <w:r w:rsidRPr="00064788">
        <w:rPr>
          <w:rFonts w:ascii="Arial" w:hAnsi="Arial" w:cs="Arial"/>
          <w:sz w:val="24"/>
          <w:szCs w:val="24"/>
        </w:rPr>
        <w:t>Accountants Ilkeston. (2025) Breaking Down Restaurant Costs: Where Is Your Money Going? [Online] 10 March 2025. Available at: https://www.accountantsilkeston.co.uk/breaking</w:t>
      </w:r>
      <w:r w:rsidRPr="00064788">
        <w:rPr>
          <w:rFonts w:ascii="Cambria Math" w:hAnsi="Cambria Math" w:cs="Cambria Math"/>
          <w:sz w:val="24"/>
          <w:szCs w:val="24"/>
        </w:rPr>
        <w:t>‑</w:t>
      </w:r>
      <w:r w:rsidRPr="00064788">
        <w:rPr>
          <w:rFonts w:ascii="Arial" w:hAnsi="Arial" w:cs="Arial"/>
          <w:sz w:val="24"/>
          <w:szCs w:val="24"/>
        </w:rPr>
        <w:t>down</w:t>
      </w:r>
      <w:r w:rsidRPr="00064788">
        <w:rPr>
          <w:rFonts w:ascii="Cambria Math" w:hAnsi="Cambria Math" w:cs="Cambria Math"/>
          <w:sz w:val="24"/>
          <w:szCs w:val="24"/>
        </w:rPr>
        <w:t>‑</w:t>
      </w:r>
      <w:r w:rsidRPr="00064788">
        <w:rPr>
          <w:rFonts w:ascii="Arial" w:hAnsi="Arial" w:cs="Arial"/>
          <w:sz w:val="24"/>
          <w:szCs w:val="24"/>
        </w:rPr>
        <w:t>restaurant</w:t>
      </w:r>
      <w:r w:rsidRPr="00064788">
        <w:rPr>
          <w:rFonts w:ascii="Cambria Math" w:hAnsi="Cambria Math" w:cs="Cambria Math"/>
          <w:sz w:val="24"/>
          <w:szCs w:val="24"/>
        </w:rPr>
        <w:t>‑</w:t>
      </w:r>
      <w:r w:rsidRPr="00064788">
        <w:rPr>
          <w:rFonts w:ascii="Arial" w:hAnsi="Arial" w:cs="Arial"/>
          <w:sz w:val="24"/>
          <w:szCs w:val="24"/>
        </w:rPr>
        <w:t>costs</w:t>
      </w:r>
      <w:r w:rsidRPr="00064788">
        <w:rPr>
          <w:rFonts w:ascii="Cambria Math" w:hAnsi="Cambria Math" w:cs="Cambria Math"/>
          <w:sz w:val="24"/>
          <w:szCs w:val="24"/>
        </w:rPr>
        <w:t>‑</w:t>
      </w:r>
      <w:r w:rsidRPr="00064788">
        <w:rPr>
          <w:rFonts w:ascii="Arial" w:hAnsi="Arial" w:cs="Arial"/>
          <w:sz w:val="24"/>
          <w:szCs w:val="24"/>
        </w:rPr>
        <w:t>financial</w:t>
      </w:r>
      <w:r w:rsidRPr="00064788">
        <w:rPr>
          <w:rFonts w:ascii="Cambria Math" w:hAnsi="Cambria Math" w:cs="Cambria Math"/>
          <w:sz w:val="24"/>
          <w:szCs w:val="24"/>
        </w:rPr>
        <w:t>‑</w:t>
      </w:r>
      <w:r w:rsidRPr="00064788">
        <w:rPr>
          <w:rFonts w:ascii="Arial" w:hAnsi="Arial" w:cs="Arial"/>
          <w:sz w:val="24"/>
          <w:szCs w:val="24"/>
        </w:rPr>
        <w:t xml:space="preserve">analysis/ (Accessed on 3 November 2025). </w:t>
      </w:r>
    </w:p>
    <w:p w14:paraId="4F697FA4" w14:textId="77777777" w:rsidR="00D36914" w:rsidRDefault="00D36914" w:rsidP="00B44DDD">
      <w:pPr>
        <w:rPr>
          <w:rFonts w:ascii="Arial" w:hAnsi="Arial" w:cs="Arial"/>
          <w:sz w:val="24"/>
          <w:szCs w:val="24"/>
        </w:rPr>
      </w:pPr>
      <w:r w:rsidRPr="0014353B">
        <w:rPr>
          <w:rFonts w:ascii="Arial" w:hAnsi="Arial" w:cs="Arial"/>
          <w:sz w:val="24"/>
          <w:szCs w:val="24"/>
        </w:rPr>
        <w:t>Adeyinka-Ojo, S., &amp; Abdullah, S. K. (2021). Social media marketing in rural hospitality and tourism destination research. University of South Florida (USF) M3 Publishing, 5(2021), 11.</w:t>
      </w:r>
      <w:r>
        <w:rPr>
          <w:rFonts w:ascii="Arial" w:hAnsi="Arial" w:cs="Arial"/>
          <w:sz w:val="24"/>
          <w:szCs w:val="24"/>
        </w:rPr>
        <w:t xml:space="preserve"> Available at: </w:t>
      </w:r>
      <w:hyperlink r:id="rId9" w:history="1">
        <w:r w:rsidRPr="00F930CC">
          <w:rPr>
            <w:rStyle w:val="Hyperlink"/>
            <w:rFonts w:ascii="Arial" w:hAnsi="Arial" w:cs="Arial"/>
            <w:sz w:val="24"/>
            <w:szCs w:val="24"/>
          </w:rPr>
          <w:t>https://digitalcommons.usf.edu/m3publishing/vol5/iss2021/11/</w:t>
        </w:r>
      </w:hyperlink>
      <w:r>
        <w:rPr>
          <w:rFonts w:ascii="Arial" w:hAnsi="Arial" w:cs="Arial"/>
          <w:sz w:val="24"/>
          <w:szCs w:val="24"/>
        </w:rPr>
        <w:t xml:space="preserve"> ( Access on 10 November 2025)</w:t>
      </w:r>
    </w:p>
    <w:p w14:paraId="1D5289C9" w14:textId="77777777" w:rsidR="00D36914" w:rsidRDefault="00D36914" w:rsidP="00064788">
      <w:pPr>
        <w:rPr>
          <w:rFonts w:ascii="Arial" w:hAnsi="Arial" w:cs="Arial"/>
          <w:sz w:val="24"/>
          <w:szCs w:val="24"/>
        </w:rPr>
      </w:pPr>
      <w:r w:rsidRPr="00642A31">
        <w:rPr>
          <w:rFonts w:ascii="Arial" w:hAnsi="Arial" w:cs="Arial"/>
          <w:sz w:val="24"/>
          <w:szCs w:val="24"/>
        </w:rPr>
        <w:t>Ahmad, S., Liang, L., Iqbal, A., &amp; Hussain Sarki, I. (2024). Authenticity as a strategic weapon: navigating the social media battlefield to enhance brand loyalty. Review of Marketing Science, 22(1), 133-167.</w:t>
      </w:r>
      <w:r>
        <w:rPr>
          <w:rFonts w:ascii="Arial" w:hAnsi="Arial" w:cs="Arial"/>
          <w:sz w:val="24"/>
          <w:szCs w:val="24"/>
        </w:rPr>
        <w:t xml:space="preserve"> Available at: </w:t>
      </w:r>
      <w:hyperlink r:id="rId10" w:history="1">
        <w:r w:rsidRPr="00F930CC">
          <w:rPr>
            <w:rStyle w:val="Hyperlink"/>
            <w:rFonts w:ascii="Arial" w:hAnsi="Arial" w:cs="Arial"/>
            <w:sz w:val="24"/>
            <w:szCs w:val="24"/>
          </w:rPr>
          <w:t>https://www.emerald.com/ijoa/article-abstract/30/3/679/444960/Impact-of-online-social-media-activities-on?redirectedFrom=fulltext</w:t>
        </w:r>
      </w:hyperlink>
      <w:r>
        <w:rPr>
          <w:rFonts w:ascii="Arial" w:hAnsi="Arial" w:cs="Arial"/>
          <w:sz w:val="24"/>
          <w:szCs w:val="24"/>
        </w:rPr>
        <w:t xml:space="preserve"> (Access on 11 November 2025)</w:t>
      </w:r>
    </w:p>
    <w:p w14:paraId="027CAF07" w14:textId="77777777" w:rsidR="00D36914" w:rsidRPr="00064788" w:rsidRDefault="00D36914" w:rsidP="00064788">
      <w:pPr>
        <w:rPr>
          <w:rFonts w:ascii="Arial" w:hAnsi="Arial" w:cs="Arial"/>
          <w:sz w:val="24"/>
          <w:szCs w:val="24"/>
        </w:rPr>
      </w:pPr>
      <w:r w:rsidRPr="00064788">
        <w:rPr>
          <w:rFonts w:ascii="Arial" w:hAnsi="Arial" w:cs="Arial"/>
          <w:sz w:val="24"/>
          <w:szCs w:val="24"/>
        </w:rPr>
        <w:t>Alonso-Almeida, M. D. M., Bremser, K., &amp; Llach, J. (2015). Proactive and reactive strategies deployed by restaurants in times of crisis: Effects on capabilities, organization and competitive advantage. International Journal of Contemporary Hospitality Management, 27(7), 1641-1661.Available at: https://www.emerald.com/ijchm/article-abstract/27/7/1641/130392/Proactive-and-reactive-strategies-deployed-by?redirectedFrom=fulltext (Access on 28 October 2025)</w:t>
      </w:r>
    </w:p>
    <w:p w14:paraId="04534C34" w14:textId="77777777" w:rsidR="00D36914" w:rsidRDefault="00D36914" w:rsidP="00064788">
      <w:pPr>
        <w:rPr>
          <w:rFonts w:ascii="Arial" w:hAnsi="Arial" w:cs="Arial"/>
          <w:sz w:val="24"/>
          <w:szCs w:val="24"/>
        </w:rPr>
      </w:pPr>
      <w:r w:rsidRPr="00B85EEA">
        <w:rPr>
          <w:rFonts w:ascii="Arial" w:hAnsi="Arial" w:cs="Arial"/>
          <w:sz w:val="24"/>
          <w:szCs w:val="24"/>
        </w:rPr>
        <w:t>Buhalis, D., &amp; Sinarta, Y. (2019). Real-time co-creation and nowness service: lessons from tourism and hospitality. Journal of Travel &amp; Tourism Marketing, 36(5), 563-582.</w:t>
      </w:r>
      <w:r>
        <w:rPr>
          <w:rFonts w:ascii="Arial" w:hAnsi="Arial" w:cs="Arial"/>
          <w:sz w:val="24"/>
          <w:szCs w:val="24"/>
        </w:rPr>
        <w:t xml:space="preserve"> Available at: </w:t>
      </w:r>
      <w:hyperlink r:id="rId11" w:history="1">
        <w:r w:rsidRPr="00F930CC">
          <w:rPr>
            <w:rStyle w:val="Hyperlink"/>
            <w:rFonts w:ascii="Arial" w:hAnsi="Arial" w:cs="Arial"/>
            <w:sz w:val="24"/>
            <w:szCs w:val="24"/>
          </w:rPr>
          <w:t>https://www.tandfonline.com/doi/full/10.1080/10548408.2019.1592059?scroll=top&amp;needAccess=true#abstract</w:t>
        </w:r>
      </w:hyperlink>
      <w:r>
        <w:rPr>
          <w:rFonts w:ascii="Arial" w:hAnsi="Arial" w:cs="Arial"/>
          <w:sz w:val="24"/>
          <w:szCs w:val="24"/>
        </w:rPr>
        <w:t xml:space="preserve"> (Access on 11 November 2025)</w:t>
      </w:r>
    </w:p>
    <w:p w14:paraId="0A9F2443" w14:textId="77777777" w:rsidR="00D36914" w:rsidRDefault="00D36914" w:rsidP="00064788">
      <w:pPr>
        <w:rPr>
          <w:rFonts w:ascii="Arial" w:hAnsi="Arial" w:cs="Arial"/>
          <w:sz w:val="24"/>
          <w:szCs w:val="24"/>
        </w:rPr>
      </w:pPr>
      <w:r w:rsidRPr="00F170EE">
        <w:rPr>
          <w:rFonts w:ascii="Arial" w:hAnsi="Arial" w:cs="Arial"/>
          <w:sz w:val="24"/>
          <w:szCs w:val="24"/>
        </w:rPr>
        <w:t>Buhalis, D., &amp; Sinarta, Y. (2019). Real-time co-creation and nowness service: lessons from tourism and hospitality. Journal of Travel &amp; Tourism Marketing, 36(5), 563-582.</w:t>
      </w:r>
      <w:r>
        <w:rPr>
          <w:rFonts w:ascii="Arial" w:hAnsi="Arial" w:cs="Arial"/>
          <w:sz w:val="24"/>
          <w:szCs w:val="24"/>
        </w:rPr>
        <w:t xml:space="preserve"> Available at: </w:t>
      </w:r>
      <w:hyperlink r:id="rId12" w:history="1">
        <w:r w:rsidRPr="00F930CC">
          <w:rPr>
            <w:rStyle w:val="Hyperlink"/>
            <w:rFonts w:ascii="Arial" w:hAnsi="Arial" w:cs="Arial"/>
            <w:sz w:val="24"/>
            <w:szCs w:val="24"/>
          </w:rPr>
          <w:t>https://www.tandfonline.com/doi/full/10.1080/10548408.2019.1592059?needAccess=true#abstract</w:t>
        </w:r>
      </w:hyperlink>
      <w:r>
        <w:rPr>
          <w:rFonts w:ascii="Arial" w:hAnsi="Arial" w:cs="Arial"/>
          <w:sz w:val="24"/>
          <w:szCs w:val="24"/>
        </w:rPr>
        <w:t xml:space="preserve"> (Access on 11 November 2025)</w:t>
      </w:r>
    </w:p>
    <w:p w14:paraId="163EDFBF" w14:textId="77777777" w:rsidR="00D36914" w:rsidRPr="00064788" w:rsidRDefault="00D36914" w:rsidP="00064788">
      <w:pPr>
        <w:rPr>
          <w:rFonts w:ascii="Arial" w:hAnsi="Arial" w:cs="Arial"/>
          <w:sz w:val="24"/>
          <w:szCs w:val="24"/>
        </w:rPr>
      </w:pPr>
      <w:r w:rsidRPr="00064788">
        <w:rPr>
          <w:rFonts w:ascii="Arial" w:hAnsi="Arial" w:cs="Arial"/>
          <w:sz w:val="24"/>
          <w:szCs w:val="24"/>
        </w:rPr>
        <w:t xml:space="preserve">Cairncross, G., Wilde, S., &amp; Hutchinson, L. (2008). Training and Service Quality—A Case Study Analysis of Regional Australian Restaurants. Tourism and Hospitality Planning &amp; Development, 5(2), 149-163. Available at: </w:t>
      </w:r>
      <w:hyperlink r:id="rId13" w:history="1">
        <w:r w:rsidRPr="00F930CC">
          <w:rPr>
            <w:rStyle w:val="Hyperlink"/>
            <w:rFonts w:ascii="Arial" w:hAnsi="Arial" w:cs="Arial"/>
            <w:sz w:val="24"/>
            <w:szCs w:val="24"/>
          </w:rPr>
          <w:t>https://www.tandfonline.com/do</w:t>
        </w:r>
        <w:r w:rsidRPr="00F930CC">
          <w:rPr>
            <w:rStyle w:val="Hyperlink"/>
            <w:rFonts w:ascii="Arial" w:hAnsi="Arial" w:cs="Arial"/>
            <w:sz w:val="24"/>
            <w:szCs w:val="24"/>
          </w:rPr>
          <w:t>i/full/10.1080/147905308022528</w:t>
        </w:r>
        <w:r w:rsidRPr="00F930CC">
          <w:rPr>
            <w:rStyle w:val="Hyperlink"/>
            <w:rFonts w:ascii="Arial" w:hAnsi="Arial" w:cs="Arial"/>
            <w:sz w:val="24"/>
            <w:szCs w:val="24"/>
          </w:rPr>
          <w:t>00#d1e237</w:t>
        </w:r>
      </w:hyperlink>
      <w:r>
        <w:rPr>
          <w:rFonts w:ascii="Arial" w:hAnsi="Arial" w:cs="Arial"/>
          <w:sz w:val="24"/>
          <w:szCs w:val="24"/>
        </w:rPr>
        <w:t xml:space="preserve"> </w:t>
      </w:r>
      <w:r w:rsidRPr="00064788">
        <w:rPr>
          <w:rFonts w:ascii="Arial" w:hAnsi="Arial" w:cs="Arial"/>
          <w:sz w:val="24"/>
          <w:szCs w:val="24"/>
        </w:rPr>
        <w:t xml:space="preserve"> (Access on 4 November 2025)</w:t>
      </w:r>
    </w:p>
    <w:p w14:paraId="051A5C90" w14:textId="77777777" w:rsidR="00D36914" w:rsidRPr="00064788" w:rsidRDefault="00D36914" w:rsidP="00064788">
      <w:pPr>
        <w:rPr>
          <w:rFonts w:ascii="Arial" w:hAnsi="Arial" w:cs="Arial"/>
          <w:sz w:val="24"/>
          <w:szCs w:val="24"/>
        </w:rPr>
      </w:pPr>
      <w:r w:rsidRPr="00064788">
        <w:rPr>
          <w:rFonts w:ascii="Arial" w:hAnsi="Arial" w:cs="Arial"/>
          <w:sz w:val="24"/>
          <w:szCs w:val="24"/>
        </w:rPr>
        <w:t>Canning, R. (2011). Older workers in the hospitality industry: valuing experience and informal learning. International Journal of Lifelong Education, 30(5), 667–679. Available at: https://www.tandfonline.com/doi/full/10.1080/02601370.2011.611904#d1e194 (Access on 4 November 2025)</w:t>
      </w:r>
    </w:p>
    <w:p w14:paraId="5F5DB968" w14:textId="77777777" w:rsidR="00D36914" w:rsidRDefault="00D36914" w:rsidP="00442A0E">
      <w:pPr>
        <w:rPr>
          <w:rFonts w:ascii="Arial" w:hAnsi="Arial" w:cs="Arial"/>
          <w:sz w:val="24"/>
          <w:szCs w:val="24"/>
        </w:rPr>
      </w:pPr>
      <w:r w:rsidRPr="00442A0E">
        <w:rPr>
          <w:rFonts w:ascii="Arial" w:hAnsi="Arial" w:cs="Arial"/>
          <w:sz w:val="24"/>
          <w:szCs w:val="24"/>
        </w:rPr>
        <w:t>Choi, H., Lee, H.-J., &amp; Ok, C. (2018)</w:t>
      </w:r>
      <w:r>
        <w:rPr>
          <w:rFonts w:ascii="Arial" w:hAnsi="Arial" w:cs="Arial"/>
          <w:sz w:val="24"/>
          <w:szCs w:val="24"/>
        </w:rPr>
        <w:t xml:space="preserve">. </w:t>
      </w:r>
      <w:r w:rsidRPr="00442A0E">
        <w:rPr>
          <w:rFonts w:ascii="Arial" w:hAnsi="Arial" w:cs="Arial"/>
          <w:sz w:val="24"/>
          <w:szCs w:val="24"/>
        </w:rPr>
        <w:t xml:space="preserve">Measuring service quality of rural accommodations, Sustainability, 10(2), 443. Available at: </w:t>
      </w:r>
      <w:hyperlink r:id="rId14" w:history="1">
        <w:r w:rsidRPr="00F930CC">
          <w:rPr>
            <w:rStyle w:val="Hyperlink"/>
            <w:rFonts w:ascii="Arial" w:hAnsi="Arial" w:cs="Arial"/>
            <w:sz w:val="24"/>
            <w:szCs w:val="24"/>
          </w:rPr>
          <w:t>https://www.mdpi.com/2071-1050/10/2/443</w:t>
        </w:r>
      </w:hyperlink>
      <w:r>
        <w:rPr>
          <w:rFonts w:ascii="Arial" w:hAnsi="Arial" w:cs="Arial"/>
          <w:sz w:val="24"/>
          <w:szCs w:val="24"/>
        </w:rPr>
        <w:t xml:space="preserve"> (</w:t>
      </w:r>
      <w:r w:rsidRPr="00442A0E">
        <w:rPr>
          <w:rFonts w:ascii="Arial" w:hAnsi="Arial" w:cs="Arial"/>
          <w:sz w:val="24"/>
          <w:szCs w:val="24"/>
        </w:rPr>
        <w:t>Accessed 1</w:t>
      </w:r>
      <w:r>
        <w:rPr>
          <w:rFonts w:ascii="Arial" w:hAnsi="Arial" w:cs="Arial"/>
          <w:sz w:val="24"/>
          <w:szCs w:val="24"/>
        </w:rPr>
        <w:t>0</w:t>
      </w:r>
      <w:r w:rsidRPr="00442A0E">
        <w:rPr>
          <w:rFonts w:ascii="Arial" w:hAnsi="Arial" w:cs="Arial"/>
          <w:sz w:val="24"/>
          <w:szCs w:val="24"/>
        </w:rPr>
        <w:t xml:space="preserve"> Nov. 2025</w:t>
      </w:r>
      <w:r>
        <w:rPr>
          <w:rFonts w:ascii="Arial" w:hAnsi="Arial" w:cs="Arial"/>
          <w:sz w:val="24"/>
          <w:szCs w:val="24"/>
        </w:rPr>
        <w:t>)</w:t>
      </w:r>
    </w:p>
    <w:p w14:paraId="299EB45B" w14:textId="77777777" w:rsidR="00D36914" w:rsidRDefault="00D36914" w:rsidP="00064788">
      <w:pPr>
        <w:rPr>
          <w:rFonts w:ascii="Arial" w:hAnsi="Arial" w:cs="Arial"/>
          <w:sz w:val="24"/>
          <w:szCs w:val="24"/>
        </w:rPr>
      </w:pPr>
      <w:r>
        <w:rPr>
          <w:rFonts w:ascii="Arial" w:hAnsi="Arial" w:cs="Arial"/>
          <w:sz w:val="24"/>
          <w:szCs w:val="24"/>
        </w:rPr>
        <w:t xml:space="preserve">Danao M., (2024). </w:t>
      </w:r>
      <w:r w:rsidRPr="00254D34">
        <w:rPr>
          <w:rFonts w:ascii="Arial" w:hAnsi="Arial" w:cs="Arial"/>
          <w:sz w:val="24"/>
          <w:szCs w:val="24"/>
        </w:rPr>
        <w:t xml:space="preserve">Porter’s Five Forces: Definition &amp; How </w:t>
      </w:r>
      <w:proofErr w:type="gramStart"/>
      <w:r w:rsidRPr="00254D34">
        <w:rPr>
          <w:rFonts w:ascii="Arial" w:hAnsi="Arial" w:cs="Arial"/>
          <w:sz w:val="24"/>
          <w:szCs w:val="24"/>
        </w:rPr>
        <w:t>To</w:t>
      </w:r>
      <w:proofErr w:type="gramEnd"/>
      <w:r w:rsidRPr="00254D34">
        <w:rPr>
          <w:rFonts w:ascii="Arial" w:hAnsi="Arial" w:cs="Arial"/>
          <w:sz w:val="24"/>
          <w:szCs w:val="24"/>
        </w:rPr>
        <w:t xml:space="preserve"> Use </w:t>
      </w:r>
      <w:proofErr w:type="gramStart"/>
      <w:r w:rsidRPr="00254D34">
        <w:rPr>
          <w:rFonts w:ascii="Arial" w:hAnsi="Arial" w:cs="Arial"/>
          <w:sz w:val="24"/>
          <w:szCs w:val="24"/>
        </w:rPr>
        <w:t>The</w:t>
      </w:r>
      <w:proofErr w:type="gramEnd"/>
      <w:r w:rsidRPr="00254D34">
        <w:rPr>
          <w:rFonts w:ascii="Arial" w:hAnsi="Arial" w:cs="Arial"/>
          <w:sz w:val="24"/>
          <w:szCs w:val="24"/>
        </w:rPr>
        <w:t xml:space="preserve"> Model</w:t>
      </w:r>
      <w:r>
        <w:rPr>
          <w:rFonts w:ascii="Arial" w:hAnsi="Arial" w:cs="Arial"/>
          <w:sz w:val="24"/>
          <w:szCs w:val="24"/>
        </w:rPr>
        <w:t xml:space="preserve">. Available at: </w:t>
      </w:r>
      <w:hyperlink r:id="rId15" w:history="1">
        <w:r w:rsidRPr="00F930CC">
          <w:rPr>
            <w:rStyle w:val="Hyperlink"/>
            <w:rFonts w:ascii="Arial" w:hAnsi="Arial" w:cs="Arial"/>
            <w:sz w:val="24"/>
            <w:szCs w:val="24"/>
          </w:rPr>
          <w:t>https://www.forbes.com/advisor/business/porters-five-forces/</w:t>
        </w:r>
      </w:hyperlink>
      <w:r>
        <w:rPr>
          <w:rFonts w:ascii="Arial" w:hAnsi="Arial" w:cs="Arial"/>
          <w:sz w:val="24"/>
          <w:szCs w:val="24"/>
        </w:rPr>
        <w:t xml:space="preserve"> (Access on 8 November 2025)</w:t>
      </w:r>
    </w:p>
    <w:p w14:paraId="4879DE46" w14:textId="77777777" w:rsidR="00D36914" w:rsidRPr="00064788" w:rsidRDefault="00D36914" w:rsidP="00064788">
      <w:pPr>
        <w:rPr>
          <w:rFonts w:ascii="Arial" w:hAnsi="Arial" w:cs="Arial"/>
          <w:sz w:val="24"/>
          <w:szCs w:val="24"/>
        </w:rPr>
      </w:pPr>
      <w:r w:rsidRPr="00064788">
        <w:rPr>
          <w:rFonts w:ascii="Arial" w:hAnsi="Arial" w:cs="Arial"/>
          <w:sz w:val="24"/>
          <w:szCs w:val="24"/>
        </w:rPr>
        <w:t>Evans, N. G. (2024). Strategic management for tourism, hospitality and events. Routledge. Available at: https://www.taylorfrancis.com/books/mono/10.4324/9781003318613/strategic-management-tourism-hospitality-events-nigel-evans (Access on 3 November 2025)</w:t>
      </w:r>
    </w:p>
    <w:p w14:paraId="06510DC2" w14:textId="77777777" w:rsidR="00D36914" w:rsidRDefault="00D36914" w:rsidP="00064788">
      <w:pPr>
        <w:rPr>
          <w:rFonts w:ascii="Arial" w:hAnsi="Arial" w:cs="Arial"/>
          <w:sz w:val="24"/>
          <w:szCs w:val="24"/>
        </w:rPr>
      </w:pPr>
      <w:r>
        <w:rPr>
          <w:rFonts w:ascii="Arial" w:hAnsi="Arial" w:cs="Arial"/>
          <w:sz w:val="24"/>
          <w:szCs w:val="24"/>
        </w:rPr>
        <w:lastRenderedPageBreak/>
        <w:t>Food Standard Agency, (2025).</w:t>
      </w:r>
      <w:r w:rsidRPr="005900E4">
        <w:t xml:space="preserve"> </w:t>
      </w:r>
      <w:r w:rsidRPr="005900E4">
        <w:rPr>
          <w:rFonts w:ascii="Arial" w:hAnsi="Arial" w:cs="Arial"/>
          <w:sz w:val="24"/>
          <w:szCs w:val="24"/>
        </w:rPr>
        <w:t>Summary Report of 2023-2024 and 2024-2025 Audit Programme: local authority service delivery planning processes and arrangements and relevant open audit action</w:t>
      </w:r>
      <w:r>
        <w:rPr>
          <w:rFonts w:ascii="Arial" w:hAnsi="Arial" w:cs="Arial"/>
          <w:sz w:val="24"/>
          <w:szCs w:val="24"/>
        </w:rPr>
        <w:t xml:space="preserve">. Available at:  </w:t>
      </w:r>
      <w:hyperlink r:id="rId16" w:history="1">
        <w:r w:rsidRPr="00F930CC">
          <w:rPr>
            <w:rStyle w:val="Hyperlink"/>
            <w:rFonts w:ascii="Arial" w:hAnsi="Arial" w:cs="Arial"/>
            <w:sz w:val="24"/>
            <w:szCs w:val="24"/>
          </w:rPr>
          <w:t>https://www.food.gov.uk/local-authorities/summary-report-of-2023-2024-and-2024-2025-audit-programme-local-authority-service-delivery-planning-processes-and-arrangements</w:t>
        </w:r>
      </w:hyperlink>
      <w:r>
        <w:rPr>
          <w:rFonts w:ascii="Arial" w:hAnsi="Arial" w:cs="Arial"/>
          <w:sz w:val="24"/>
          <w:szCs w:val="24"/>
        </w:rPr>
        <w:t xml:space="preserve"> (Access on 8 November 2025)</w:t>
      </w:r>
    </w:p>
    <w:p w14:paraId="6E897549" w14:textId="77777777" w:rsidR="00D36914" w:rsidRDefault="00D36914" w:rsidP="00B44DDD">
      <w:pPr>
        <w:rPr>
          <w:rFonts w:ascii="Arial" w:hAnsi="Arial" w:cs="Arial"/>
          <w:sz w:val="24"/>
          <w:szCs w:val="24"/>
        </w:rPr>
      </w:pPr>
      <w:r w:rsidRPr="008E460C">
        <w:rPr>
          <w:rFonts w:ascii="Arial" w:hAnsi="Arial" w:cs="Arial"/>
          <w:sz w:val="24"/>
          <w:szCs w:val="24"/>
        </w:rPr>
        <w:t>Gilmore, J. H., &amp; Pine, B. J. (2007). Authenticity: What consumers really want. Harvard Business Press.</w:t>
      </w:r>
    </w:p>
    <w:p w14:paraId="2A6558FF" w14:textId="77777777" w:rsidR="00D36914" w:rsidRDefault="00D36914" w:rsidP="00064788">
      <w:pPr>
        <w:rPr>
          <w:rFonts w:ascii="Arial" w:hAnsi="Arial" w:cs="Arial"/>
          <w:sz w:val="24"/>
          <w:szCs w:val="24"/>
        </w:rPr>
      </w:pPr>
      <w:r w:rsidRPr="001F0278">
        <w:rPr>
          <w:rFonts w:ascii="Arial" w:hAnsi="Arial" w:cs="Arial"/>
          <w:sz w:val="24"/>
          <w:szCs w:val="24"/>
        </w:rPr>
        <w:t>Goldratt, E. M. (1990). Theory of constraints (pp. 1-159). Croton-on-Hudson: North River.</w:t>
      </w:r>
    </w:p>
    <w:p w14:paraId="0D1402A3" w14:textId="77777777" w:rsidR="00D36914" w:rsidRDefault="00D36914" w:rsidP="00064788">
      <w:pPr>
        <w:rPr>
          <w:rFonts w:ascii="Arial" w:hAnsi="Arial" w:cs="Arial"/>
          <w:sz w:val="24"/>
          <w:szCs w:val="24"/>
        </w:rPr>
      </w:pPr>
      <w:r w:rsidRPr="00225490">
        <w:rPr>
          <w:rFonts w:ascii="Arial" w:hAnsi="Arial" w:cs="Arial"/>
          <w:sz w:val="24"/>
          <w:szCs w:val="24"/>
        </w:rPr>
        <w:t xml:space="preserve">Gorondutse, A. H., &amp; Hilman, H. A. I. M. (2018). Does differentiation strategy influence hotel </w:t>
      </w:r>
      <w:proofErr w:type="gramStart"/>
      <w:r w:rsidRPr="00225490">
        <w:rPr>
          <w:rFonts w:ascii="Arial" w:hAnsi="Arial" w:cs="Arial"/>
          <w:sz w:val="24"/>
          <w:szCs w:val="24"/>
        </w:rPr>
        <w:t>performance?.</w:t>
      </w:r>
      <w:proofErr w:type="gramEnd"/>
      <w:r w:rsidRPr="00225490">
        <w:rPr>
          <w:rFonts w:ascii="Arial" w:hAnsi="Arial" w:cs="Arial"/>
          <w:sz w:val="24"/>
          <w:szCs w:val="24"/>
        </w:rPr>
        <w:t xml:space="preserve"> Journal of Business and Social Development, 6(1), 120-129.</w:t>
      </w:r>
      <w:r>
        <w:rPr>
          <w:rFonts w:ascii="Arial" w:hAnsi="Arial" w:cs="Arial"/>
          <w:sz w:val="24"/>
          <w:szCs w:val="24"/>
        </w:rPr>
        <w:t xml:space="preserve">Available at: </w:t>
      </w:r>
      <w:hyperlink r:id="rId17" w:history="1">
        <w:r w:rsidRPr="00F930CC">
          <w:rPr>
            <w:rStyle w:val="Hyperlink"/>
            <w:rFonts w:ascii="Arial" w:hAnsi="Arial" w:cs="Arial"/>
            <w:sz w:val="24"/>
            <w:szCs w:val="24"/>
          </w:rPr>
          <w:t>https://ppsms.umt.edu.my/wp-content/uploads/sites/53/2018/03/6.1.11.pdf</w:t>
        </w:r>
      </w:hyperlink>
      <w:r>
        <w:rPr>
          <w:rFonts w:ascii="Arial" w:hAnsi="Arial" w:cs="Arial"/>
          <w:sz w:val="24"/>
          <w:szCs w:val="24"/>
        </w:rPr>
        <w:t xml:space="preserve"> (Access on 10 November 2025)</w:t>
      </w:r>
    </w:p>
    <w:p w14:paraId="53B5CC14" w14:textId="77777777" w:rsidR="00D36914" w:rsidRPr="00064788" w:rsidRDefault="00D36914" w:rsidP="00064788">
      <w:pPr>
        <w:rPr>
          <w:rFonts w:ascii="Arial" w:hAnsi="Arial" w:cs="Arial"/>
          <w:sz w:val="24"/>
          <w:szCs w:val="24"/>
        </w:rPr>
      </w:pPr>
      <w:r w:rsidRPr="00064788">
        <w:rPr>
          <w:rFonts w:ascii="Arial" w:hAnsi="Arial" w:cs="Arial"/>
          <w:sz w:val="24"/>
          <w:szCs w:val="24"/>
        </w:rPr>
        <w:t>Hemmington, N. (2007). From service to experience: Understanding and defining the hospitality business. The service industries journal, 27(6), 747-755. Available at: https://www.tandfonline.com/doi/full/10.1080/02642060701453221?scroll=top&amp;needAccess=true#d1e160 (Access on 3 November 2025)</w:t>
      </w:r>
    </w:p>
    <w:p w14:paraId="00630332" w14:textId="77777777" w:rsidR="00D36914" w:rsidRDefault="00D36914" w:rsidP="00064788">
      <w:pPr>
        <w:rPr>
          <w:rFonts w:ascii="Arial" w:hAnsi="Arial" w:cs="Arial"/>
          <w:sz w:val="24"/>
          <w:szCs w:val="24"/>
        </w:rPr>
      </w:pPr>
      <w:hyperlink r:id="rId18" w:history="1">
        <w:r w:rsidRPr="00F930CC">
          <w:rPr>
            <w:rStyle w:val="Hyperlink"/>
            <w:rFonts w:ascii="Arial" w:hAnsi="Arial" w:cs="Arial"/>
            <w:sz w:val="24"/>
            <w:szCs w:val="24"/>
          </w:rPr>
          <w:t>https://beachhouseoxwich.co.uk/</w:t>
        </w:r>
      </w:hyperlink>
    </w:p>
    <w:p w14:paraId="717E462A" w14:textId="77777777" w:rsidR="00D36914" w:rsidRDefault="00D36914" w:rsidP="00064788">
      <w:pPr>
        <w:rPr>
          <w:rFonts w:ascii="Arial" w:hAnsi="Arial" w:cs="Arial"/>
          <w:sz w:val="24"/>
          <w:szCs w:val="24"/>
        </w:rPr>
      </w:pPr>
      <w:hyperlink r:id="rId19" w:history="1">
        <w:r w:rsidRPr="00F930CC">
          <w:rPr>
            <w:rStyle w:val="Hyperlink"/>
            <w:rFonts w:ascii="Arial" w:hAnsi="Arial" w:cs="Arial"/>
            <w:sz w:val="24"/>
            <w:szCs w:val="24"/>
          </w:rPr>
          <w:t>https://www.hansonatthechelsea.co.uk/</w:t>
        </w:r>
      </w:hyperlink>
      <w:r>
        <w:rPr>
          <w:rFonts w:ascii="Arial" w:hAnsi="Arial" w:cs="Arial"/>
          <w:sz w:val="24"/>
          <w:szCs w:val="24"/>
        </w:rPr>
        <w:t xml:space="preserve"> </w:t>
      </w:r>
    </w:p>
    <w:p w14:paraId="1456B186" w14:textId="77777777" w:rsidR="00D36914" w:rsidRDefault="00D36914" w:rsidP="00064788">
      <w:pPr>
        <w:rPr>
          <w:rFonts w:ascii="Arial" w:hAnsi="Arial" w:cs="Arial"/>
          <w:sz w:val="24"/>
          <w:szCs w:val="24"/>
        </w:rPr>
      </w:pPr>
      <w:hyperlink r:id="rId20" w:history="1">
        <w:r w:rsidRPr="00F930CC">
          <w:rPr>
            <w:rStyle w:val="Hyperlink"/>
            <w:rFonts w:ascii="Arial" w:hAnsi="Arial" w:cs="Arial"/>
            <w:sz w:val="24"/>
            <w:szCs w:val="24"/>
          </w:rPr>
          <w:t>https://www.welcomecountrypubkitchen-gower.foodndrink.uk/</w:t>
        </w:r>
      </w:hyperlink>
      <w:r>
        <w:rPr>
          <w:rFonts w:ascii="Arial" w:hAnsi="Arial" w:cs="Arial"/>
          <w:sz w:val="24"/>
          <w:szCs w:val="24"/>
        </w:rPr>
        <w:t xml:space="preserve"> </w:t>
      </w:r>
    </w:p>
    <w:p w14:paraId="5CE511B5" w14:textId="77777777" w:rsidR="00D36914" w:rsidRDefault="00D36914" w:rsidP="00B44DDD">
      <w:pPr>
        <w:rPr>
          <w:rFonts w:ascii="Arial" w:hAnsi="Arial" w:cs="Arial"/>
          <w:sz w:val="24"/>
          <w:szCs w:val="24"/>
        </w:rPr>
      </w:pPr>
      <w:r w:rsidRPr="004F03D9">
        <w:rPr>
          <w:rFonts w:ascii="Arial" w:hAnsi="Arial" w:cs="Arial"/>
          <w:sz w:val="24"/>
          <w:szCs w:val="24"/>
        </w:rPr>
        <w:t xml:space="preserve">Johnson, G., Whittington, R., Scholes, K., Angwin, D., &amp; </w:t>
      </w:r>
      <w:proofErr w:type="spellStart"/>
      <w:r w:rsidRPr="004F03D9">
        <w:rPr>
          <w:rFonts w:ascii="Arial" w:hAnsi="Arial" w:cs="Arial"/>
          <w:sz w:val="24"/>
          <w:szCs w:val="24"/>
        </w:rPr>
        <w:t>Regnér</w:t>
      </w:r>
      <w:proofErr w:type="spellEnd"/>
      <w:r w:rsidRPr="004F03D9">
        <w:rPr>
          <w:rFonts w:ascii="Arial" w:hAnsi="Arial" w:cs="Arial"/>
          <w:sz w:val="24"/>
          <w:szCs w:val="24"/>
        </w:rPr>
        <w:t>, P. (2011). Exploring strategy. London, UK: Financial Times Prentice Hall.</w:t>
      </w:r>
    </w:p>
    <w:p w14:paraId="5AE53727" w14:textId="77777777" w:rsidR="00D36914" w:rsidRPr="00064788" w:rsidRDefault="00D36914" w:rsidP="00064788">
      <w:pPr>
        <w:rPr>
          <w:rFonts w:ascii="Arial" w:hAnsi="Arial" w:cs="Arial"/>
          <w:sz w:val="24"/>
          <w:szCs w:val="24"/>
        </w:rPr>
      </w:pPr>
      <w:r w:rsidRPr="00064788">
        <w:rPr>
          <w:rFonts w:ascii="Arial" w:hAnsi="Arial" w:cs="Arial"/>
          <w:sz w:val="24"/>
          <w:szCs w:val="24"/>
        </w:rPr>
        <w:t xml:space="preserve">Kodom-Wiredu, J.K., Coetzer, A., Redmond, J. &amp; </w:t>
      </w:r>
      <w:proofErr w:type="spellStart"/>
      <w:r w:rsidRPr="00064788">
        <w:rPr>
          <w:rFonts w:ascii="Arial" w:hAnsi="Arial" w:cs="Arial"/>
          <w:sz w:val="24"/>
          <w:szCs w:val="24"/>
        </w:rPr>
        <w:t>Sharafizad</w:t>
      </w:r>
      <w:proofErr w:type="spellEnd"/>
      <w:r w:rsidRPr="00064788">
        <w:rPr>
          <w:rFonts w:ascii="Arial" w:hAnsi="Arial" w:cs="Arial"/>
          <w:sz w:val="24"/>
          <w:szCs w:val="24"/>
        </w:rPr>
        <w:t>, J. (2022) ‘Informal learning research in hospitality and tourism: A systematic literature review’, Journal of Hospitality and Tourism Management, 52, pp. 13–28. Available at: https://doi.org/10.1080/02601370.2011.611904 (Access on 4 November 2025)</w:t>
      </w:r>
    </w:p>
    <w:p w14:paraId="2681AA50" w14:textId="77777777" w:rsidR="00D36914" w:rsidRDefault="00D36914" w:rsidP="00B44DDD">
      <w:pPr>
        <w:rPr>
          <w:rFonts w:ascii="Arial" w:hAnsi="Arial" w:cs="Arial"/>
          <w:sz w:val="24"/>
          <w:szCs w:val="24"/>
        </w:rPr>
      </w:pPr>
      <w:r>
        <w:rPr>
          <w:rFonts w:ascii="Arial" w:hAnsi="Arial" w:cs="Arial"/>
          <w:sz w:val="24"/>
          <w:szCs w:val="24"/>
        </w:rPr>
        <w:t>K</w:t>
      </w:r>
      <w:r w:rsidRPr="004F03D9">
        <w:rPr>
          <w:rFonts w:ascii="Arial" w:hAnsi="Arial" w:cs="Arial"/>
          <w:sz w:val="24"/>
          <w:szCs w:val="24"/>
        </w:rPr>
        <w:t>otler, P. and Keller, K.L. (2016) Marketing Management. 1</w:t>
      </w:r>
      <w:r>
        <w:rPr>
          <w:rFonts w:ascii="Arial" w:hAnsi="Arial" w:cs="Arial"/>
          <w:sz w:val="24"/>
          <w:szCs w:val="24"/>
        </w:rPr>
        <w:t>4</w:t>
      </w:r>
      <w:r w:rsidRPr="004F03D9">
        <w:rPr>
          <w:rFonts w:ascii="Arial" w:hAnsi="Arial" w:cs="Arial"/>
          <w:sz w:val="24"/>
          <w:szCs w:val="24"/>
        </w:rPr>
        <w:t xml:space="preserve">th </w:t>
      </w:r>
      <w:proofErr w:type="spellStart"/>
      <w:r w:rsidRPr="004F03D9">
        <w:rPr>
          <w:rFonts w:ascii="Arial" w:hAnsi="Arial" w:cs="Arial"/>
          <w:sz w:val="24"/>
          <w:szCs w:val="24"/>
        </w:rPr>
        <w:t>edn</w:t>
      </w:r>
      <w:proofErr w:type="spellEnd"/>
      <w:r w:rsidRPr="004F03D9">
        <w:rPr>
          <w:rFonts w:ascii="Arial" w:hAnsi="Arial" w:cs="Arial"/>
          <w:sz w:val="24"/>
          <w:szCs w:val="24"/>
        </w:rPr>
        <w:t xml:space="preserve">. </w:t>
      </w:r>
      <w:r>
        <w:rPr>
          <w:rFonts w:ascii="Arial" w:hAnsi="Arial" w:cs="Arial"/>
          <w:sz w:val="24"/>
          <w:szCs w:val="24"/>
        </w:rPr>
        <w:t>Boston: Prentice Hall, Pearson.</w:t>
      </w:r>
    </w:p>
    <w:p w14:paraId="576F7C0E" w14:textId="77777777" w:rsidR="00D36914" w:rsidRPr="00064788" w:rsidRDefault="00D36914" w:rsidP="00064788">
      <w:pPr>
        <w:rPr>
          <w:rFonts w:ascii="Arial" w:hAnsi="Arial" w:cs="Arial"/>
          <w:sz w:val="24"/>
          <w:szCs w:val="24"/>
        </w:rPr>
      </w:pPr>
      <w:r w:rsidRPr="00064788">
        <w:rPr>
          <w:rFonts w:ascii="Arial" w:hAnsi="Arial" w:cs="Arial"/>
          <w:sz w:val="24"/>
          <w:szCs w:val="24"/>
        </w:rPr>
        <w:t>Kotler, P., Keller, K.L. and Chernev, A. (2022). Marketing Management. 16th ed. Harlow: Pearson.</w:t>
      </w:r>
    </w:p>
    <w:p w14:paraId="6AF6F961" w14:textId="77777777" w:rsidR="00D36914" w:rsidRDefault="00D36914" w:rsidP="00442A0E">
      <w:pPr>
        <w:rPr>
          <w:rFonts w:ascii="Arial" w:hAnsi="Arial" w:cs="Arial"/>
          <w:sz w:val="24"/>
          <w:szCs w:val="24"/>
        </w:rPr>
      </w:pPr>
      <w:r w:rsidRPr="00442A0E">
        <w:rPr>
          <w:rFonts w:ascii="Arial" w:hAnsi="Arial" w:cs="Arial"/>
          <w:sz w:val="24"/>
          <w:szCs w:val="24"/>
        </w:rPr>
        <w:t>Kumar, P. (2021) ‘Digital marketing in hospitality and tourism,’ in Cobanoglu, C., Dogan, S., Berezina, K. and Collins, G. (eds.)</w:t>
      </w:r>
      <w:r>
        <w:rPr>
          <w:rFonts w:ascii="Arial" w:hAnsi="Arial" w:cs="Arial"/>
          <w:sz w:val="24"/>
          <w:szCs w:val="24"/>
        </w:rPr>
        <w:t>.</w:t>
      </w:r>
      <w:r w:rsidRPr="00442A0E">
        <w:rPr>
          <w:rFonts w:ascii="Arial" w:hAnsi="Arial" w:cs="Arial"/>
          <w:sz w:val="24"/>
          <w:szCs w:val="24"/>
        </w:rPr>
        <w:t xml:space="preserve"> Advances in Hospitality and Tourism Information Technology. USF M3 Publishing, pp. 1–22. Available at: </w:t>
      </w:r>
      <w:hyperlink r:id="rId21" w:history="1">
        <w:r w:rsidRPr="00F930CC">
          <w:rPr>
            <w:rStyle w:val="Hyperlink"/>
            <w:rFonts w:ascii="Arial" w:hAnsi="Arial" w:cs="Arial"/>
            <w:sz w:val="24"/>
            <w:szCs w:val="24"/>
          </w:rPr>
          <w:t>https://digitalcommons.usf.edu/m3publishing/vol18/iss9781732127586/11/</w:t>
        </w:r>
      </w:hyperlink>
      <w:r>
        <w:rPr>
          <w:rFonts w:ascii="Arial" w:hAnsi="Arial" w:cs="Arial"/>
          <w:sz w:val="24"/>
          <w:szCs w:val="24"/>
        </w:rPr>
        <w:t xml:space="preserve"> (</w:t>
      </w:r>
      <w:r w:rsidRPr="00442A0E">
        <w:rPr>
          <w:rFonts w:ascii="Arial" w:hAnsi="Arial" w:cs="Arial"/>
          <w:sz w:val="24"/>
          <w:szCs w:val="24"/>
        </w:rPr>
        <w:t xml:space="preserve">Accessed </w:t>
      </w:r>
      <w:r>
        <w:rPr>
          <w:rFonts w:ascii="Arial" w:hAnsi="Arial" w:cs="Arial"/>
          <w:sz w:val="24"/>
          <w:szCs w:val="24"/>
        </w:rPr>
        <w:t xml:space="preserve">on </w:t>
      </w:r>
      <w:r w:rsidRPr="00442A0E">
        <w:rPr>
          <w:rFonts w:ascii="Arial" w:hAnsi="Arial" w:cs="Arial"/>
          <w:sz w:val="24"/>
          <w:szCs w:val="24"/>
        </w:rPr>
        <w:t>1</w:t>
      </w:r>
      <w:r>
        <w:rPr>
          <w:rFonts w:ascii="Arial" w:hAnsi="Arial" w:cs="Arial"/>
          <w:sz w:val="24"/>
          <w:szCs w:val="24"/>
        </w:rPr>
        <w:t>0</w:t>
      </w:r>
      <w:r w:rsidRPr="00442A0E">
        <w:rPr>
          <w:rFonts w:ascii="Arial" w:hAnsi="Arial" w:cs="Arial"/>
          <w:sz w:val="24"/>
          <w:szCs w:val="24"/>
        </w:rPr>
        <w:t xml:space="preserve"> Nov. 2025</w:t>
      </w:r>
      <w:r>
        <w:rPr>
          <w:rFonts w:ascii="Arial" w:hAnsi="Arial" w:cs="Arial"/>
          <w:sz w:val="24"/>
          <w:szCs w:val="24"/>
        </w:rPr>
        <w:t>)</w:t>
      </w:r>
    </w:p>
    <w:p w14:paraId="1FC9E558" w14:textId="77777777" w:rsidR="00D36914" w:rsidRPr="00064788" w:rsidRDefault="00D36914" w:rsidP="00064788">
      <w:pPr>
        <w:rPr>
          <w:rFonts w:ascii="Arial" w:hAnsi="Arial" w:cs="Arial"/>
          <w:sz w:val="24"/>
          <w:szCs w:val="24"/>
        </w:rPr>
      </w:pPr>
      <w:r w:rsidRPr="00064788">
        <w:rPr>
          <w:rFonts w:ascii="Arial" w:hAnsi="Arial" w:cs="Arial"/>
          <w:sz w:val="24"/>
          <w:szCs w:val="24"/>
        </w:rPr>
        <w:t>Lane, B., Kastenholz, E., &amp; Carneiro, M. J. (2022). Rural tourism and sustainability: A special issue, review and update for the opening years of the twenty-first century. Sustainability, 14(10), 6070. Available at: https://www.mdpi.com/2071-1050/14/10/6070 (Access on 3 November 2025)</w:t>
      </w:r>
    </w:p>
    <w:p w14:paraId="1F70120D" w14:textId="77777777" w:rsidR="00D36914" w:rsidRDefault="00D36914" w:rsidP="000D413A">
      <w:pPr>
        <w:rPr>
          <w:rFonts w:ascii="Arial" w:hAnsi="Arial" w:cs="Arial"/>
          <w:sz w:val="24"/>
          <w:szCs w:val="24"/>
        </w:rPr>
      </w:pPr>
      <w:r w:rsidRPr="000D413A">
        <w:rPr>
          <w:rFonts w:ascii="Arial" w:hAnsi="Arial" w:cs="Arial"/>
          <w:sz w:val="24"/>
          <w:szCs w:val="24"/>
        </w:rPr>
        <w:t>Leung, X. Y. (2024). Bridging the digital divide in hospitality and tourism: Digital inclusion for disadvantaged. Journal of Global Hospitality and Tourism, 3(2), 181-184.</w:t>
      </w:r>
      <w:r>
        <w:rPr>
          <w:rFonts w:ascii="Arial" w:hAnsi="Arial" w:cs="Arial"/>
          <w:sz w:val="24"/>
          <w:szCs w:val="24"/>
        </w:rPr>
        <w:t xml:space="preserve"> Available at:</w:t>
      </w:r>
      <w:r w:rsidRPr="000D413A">
        <w:rPr>
          <w:rFonts w:ascii="Arial" w:hAnsi="Arial" w:cs="Arial"/>
          <w:sz w:val="24"/>
          <w:szCs w:val="24"/>
        </w:rPr>
        <w:t xml:space="preserve"> </w:t>
      </w:r>
      <w:hyperlink r:id="rId22" w:history="1">
        <w:r w:rsidRPr="00F930CC">
          <w:rPr>
            <w:rStyle w:val="Hyperlink"/>
            <w:rFonts w:ascii="Arial" w:hAnsi="Arial" w:cs="Arial"/>
            <w:sz w:val="24"/>
            <w:szCs w:val="24"/>
          </w:rPr>
          <w:t>https://www.doi.org/10.5038/2771-5957.3.2.1056</w:t>
        </w:r>
      </w:hyperlink>
      <w:r>
        <w:rPr>
          <w:rFonts w:ascii="Arial" w:hAnsi="Arial" w:cs="Arial"/>
          <w:sz w:val="24"/>
          <w:szCs w:val="24"/>
        </w:rPr>
        <w:t xml:space="preserve"> (Access on 11 November 2025)</w:t>
      </w:r>
    </w:p>
    <w:p w14:paraId="29712F3A" w14:textId="77777777" w:rsidR="00D36914" w:rsidRDefault="00D36914" w:rsidP="00064788">
      <w:pPr>
        <w:rPr>
          <w:rFonts w:ascii="Arial" w:hAnsi="Arial" w:cs="Arial"/>
          <w:sz w:val="24"/>
          <w:szCs w:val="24"/>
        </w:rPr>
      </w:pPr>
      <w:r w:rsidRPr="00D65539">
        <w:rPr>
          <w:rFonts w:ascii="Arial" w:hAnsi="Arial" w:cs="Arial"/>
          <w:sz w:val="24"/>
          <w:szCs w:val="24"/>
        </w:rPr>
        <w:t>Ma J, Scott N, Wu Y (2024)</w:t>
      </w:r>
      <w:r>
        <w:rPr>
          <w:rFonts w:ascii="Arial" w:hAnsi="Arial" w:cs="Arial"/>
          <w:sz w:val="24"/>
          <w:szCs w:val="24"/>
        </w:rPr>
        <w:t>.</w:t>
      </w:r>
      <w:r w:rsidRPr="00D65539">
        <w:rPr>
          <w:rFonts w:ascii="Arial" w:hAnsi="Arial" w:cs="Arial"/>
          <w:sz w:val="24"/>
          <w:szCs w:val="24"/>
        </w:rPr>
        <w:t xml:space="preserve"> "Tourism destination advertising: effect of storytelling and sensory stimuli on arousal and memorability". Tourism Review, Vol. 79 No. 3 pp. 671–687</w:t>
      </w:r>
      <w:r>
        <w:rPr>
          <w:rFonts w:ascii="Arial" w:hAnsi="Arial" w:cs="Arial"/>
          <w:sz w:val="24"/>
          <w:szCs w:val="24"/>
        </w:rPr>
        <w:t xml:space="preserve">. Available at: </w:t>
      </w:r>
      <w:r w:rsidRPr="00D65539">
        <w:rPr>
          <w:rFonts w:ascii="Arial" w:hAnsi="Arial" w:cs="Arial"/>
          <w:sz w:val="24"/>
          <w:szCs w:val="24"/>
        </w:rPr>
        <w:t xml:space="preserve"> </w:t>
      </w:r>
      <w:hyperlink r:id="rId23" w:history="1">
        <w:r w:rsidRPr="00F930CC">
          <w:rPr>
            <w:rStyle w:val="Hyperlink"/>
            <w:rFonts w:ascii="Arial" w:hAnsi="Arial" w:cs="Arial"/>
            <w:sz w:val="24"/>
            <w:szCs w:val="24"/>
          </w:rPr>
          <w:t>https://doi.org/10.1108/TR-07-2022-0319</w:t>
        </w:r>
      </w:hyperlink>
      <w:r>
        <w:rPr>
          <w:rFonts w:ascii="Arial" w:hAnsi="Arial" w:cs="Arial"/>
          <w:sz w:val="24"/>
          <w:szCs w:val="24"/>
        </w:rPr>
        <w:t xml:space="preserve"> (Access on 11 November 2025)</w:t>
      </w:r>
    </w:p>
    <w:p w14:paraId="762D87E1" w14:textId="77777777" w:rsidR="00D36914" w:rsidRDefault="00D36914" w:rsidP="00064788">
      <w:pPr>
        <w:rPr>
          <w:rFonts w:ascii="Arial" w:hAnsi="Arial" w:cs="Arial"/>
          <w:sz w:val="24"/>
          <w:szCs w:val="24"/>
        </w:rPr>
      </w:pPr>
      <w:r w:rsidRPr="00642A31">
        <w:rPr>
          <w:rFonts w:ascii="Arial" w:hAnsi="Arial" w:cs="Arial"/>
          <w:sz w:val="24"/>
          <w:szCs w:val="24"/>
        </w:rPr>
        <w:lastRenderedPageBreak/>
        <w:t>Mauri, A. G., &amp; Minazzi, R. (2013). Web reviews influence on expectations and purchasing intentions of hotel potential customers. International journal of hospitality management, 34, 99-107.</w:t>
      </w:r>
      <w:r>
        <w:rPr>
          <w:rFonts w:ascii="Arial" w:hAnsi="Arial" w:cs="Arial"/>
          <w:sz w:val="24"/>
          <w:szCs w:val="24"/>
        </w:rPr>
        <w:t xml:space="preserve"> Available at: </w:t>
      </w:r>
      <w:hyperlink r:id="rId24" w:history="1">
        <w:r w:rsidRPr="00F930CC">
          <w:rPr>
            <w:rStyle w:val="Hyperlink"/>
            <w:rFonts w:ascii="Arial" w:hAnsi="Arial" w:cs="Arial"/>
            <w:sz w:val="24"/>
            <w:szCs w:val="24"/>
          </w:rPr>
          <w:t>https://www.sciencedirect.com/science/article/pii/S0261517711000033</w:t>
        </w:r>
      </w:hyperlink>
      <w:r>
        <w:rPr>
          <w:rFonts w:ascii="Arial" w:hAnsi="Arial" w:cs="Arial"/>
          <w:sz w:val="24"/>
          <w:szCs w:val="24"/>
        </w:rPr>
        <w:t xml:space="preserve"> (Access on 11 November 2025)</w:t>
      </w:r>
    </w:p>
    <w:p w14:paraId="4BC2AB56" w14:textId="77777777" w:rsidR="00D36914" w:rsidRPr="00B44DDD" w:rsidRDefault="00D36914" w:rsidP="000D413A">
      <w:pPr>
        <w:rPr>
          <w:rFonts w:ascii="Arial" w:hAnsi="Arial" w:cs="Arial"/>
          <w:sz w:val="24"/>
          <w:szCs w:val="24"/>
        </w:rPr>
      </w:pPr>
      <w:r>
        <w:rPr>
          <w:rFonts w:ascii="Arial" w:hAnsi="Arial" w:cs="Arial"/>
          <w:sz w:val="24"/>
          <w:szCs w:val="24"/>
        </w:rPr>
        <w:t>Mcdowell E.</w:t>
      </w:r>
      <w:r w:rsidRPr="007265FA">
        <w:rPr>
          <w:rFonts w:ascii="Arial" w:hAnsi="Arial" w:cs="Arial"/>
          <w:sz w:val="24"/>
          <w:szCs w:val="24"/>
        </w:rPr>
        <w:t xml:space="preserve">, </w:t>
      </w:r>
      <w:r>
        <w:rPr>
          <w:rFonts w:ascii="Arial" w:hAnsi="Arial" w:cs="Arial"/>
          <w:sz w:val="24"/>
          <w:szCs w:val="24"/>
        </w:rPr>
        <w:t>(</w:t>
      </w:r>
      <w:r w:rsidRPr="007265FA">
        <w:rPr>
          <w:rFonts w:ascii="Arial" w:hAnsi="Arial" w:cs="Arial"/>
          <w:sz w:val="24"/>
          <w:szCs w:val="24"/>
        </w:rPr>
        <w:t>2025</w:t>
      </w:r>
      <w:r>
        <w:rPr>
          <w:rFonts w:ascii="Arial" w:hAnsi="Arial" w:cs="Arial"/>
          <w:sz w:val="24"/>
          <w:szCs w:val="24"/>
        </w:rPr>
        <w:t>)</w:t>
      </w:r>
      <w:r w:rsidRPr="007265FA">
        <w:rPr>
          <w:rFonts w:ascii="Arial" w:hAnsi="Arial" w:cs="Arial"/>
          <w:sz w:val="24"/>
          <w:szCs w:val="24"/>
        </w:rPr>
        <w:t xml:space="preserve">. Gen Z diners are turning to social media to discover restaurants over Yelp and Michelin. [online] Available at: </w:t>
      </w:r>
      <w:hyperlink r:id="rId25" w:history="1">
        <w:r w:rsidRPr="00F930CC">
          <w:rPr>
            <w:rStyle w:val="Hyperlink"/>
            <w:rFonts w:ascii="Arial" w:hAnsi="Arial" w:cs="Arial"/>
            <w:sz w:val="24"/>
            <w:szCs w:val="24"/>
          </w:rPr>
          <w:t>https://www.businessinsider.com/gen-z-restaurant-discovery-social-media-2025-11</w:t>
        </w:r>
      </w:hyperlink>
      <w:r>
        <w:rPr>
          <w:rFonts w:ascii="Arial" w:hAnsi="Arial" w:cs="Arial"/>
          <w:sz w:val="24"/>
          <w:szCs w:val="24"/>
        </w:rPr>
        <w:t xml:space="preserve"> (Access on 11 November 2025)</w:t>
      </w:r>
    </w:p>
    <w:p w14:paraId="0633F1F7" w14:textId="77777777" w:rsidR="00D36914" w:rsidRDefault="00D36914" w:rsidP="00064788">
      <w:pPr>
        <w:rPr>
          <w:rFonts w:ascii="Arial" w:hAnsi="Arial" w:cs="Arial"/>
          <w:sz w:val="24"/>
          <w:szCs w:val="24"/>
        </w:rPr>
      </w:pPr>
      <w:r w:rsidRPr="00651750">
        <w:rPr>
          <w:rFonts w:ascii="Arial" w:hAnsi="Arial" w:cs="Arial"/>
          <w:sz w:val="24"/>
          <w:szCs w:val="24"/>
        </w:rPr>
        <w:t xml:space="preserve">Nasir, M. E., &amp; Gunawan, I. (2025). Optimizing Cost Control in the Hospitality Sector: A Comprehensive Study of Food and Beverage Management. </w:t>
      </w:r>
      <w:proofErr w:type="spellStart"/>
      <w:r w:rsidRPr="00651750">
        <w:rPr>
          <w:rFonts w:ascii="Arial" w:hAnsi="Arial" w:cs="Arial"/>
          <w:sz w:val="24"/>
          <w:szCs w:val="24"/>
        </w:rPr>
        <w:t>Daengku</w:t>
      </w:r>
      <w:proofErr w:type="spellEnd"/>
      <w:r w:rsidRPr="00651750">
        <w:rPr>
          <w:rFonts w:ascii="Arial" w:hAnsi="Arial" w:cs="Arial"/>
          <w:sz w:val="24"/>
          <w:szCs w:val="24"/>
        </w:rPr>
        <w:t>: Journal of Humanities and Social Sciences Innovation, 5(1), 1-8.</w:t>
      </w:r>
      <w:r>
        <w:rPr>
          <w:rFonts w:ascii="Arial" w:hAnsi="Arial" w:cs="Arial"/>
          <w:sz w:val="24"/>
          <w:szCs w:val="24"/>
        </w:rPr>
        <w:t xml:space="preserve"> Available at: </w:t>
      </w:r>
      <w:hyperlink r:id="rId26" w:history="1">
        <w:r w:rsidRPr="00F930CC">
          <w:rPr>
            <w:rStyle w:val="Hyperlink"/>
            <w:rFonts w:ascii="Arial" w:hAnsi="Arial" w:cs="Arial"/>
            <w:sz w:val="24"/>
            <w:szCs w:val="24"/>
          </w:rPr>
          <w:t>https://jpabdimas.idjournal.eu/index.php/daengku/article/view/3233/2167</w:t>
        </w:r>
      </w:hyperlink>
      <w:r>
        <w:rPr>
          <w:rFonts w:ascii="Arial" w:hAnsi="Arial" w:cs="Arial"/>
          <w:sz w:val="24"/>
          <w:szCs w:val="24"/>
        </w:rPr>
        <w:t xml:space="preserve"> (Access on 10 November 2025)</w:t>
      </w:r>
    </w:p>
    <w:p w14:paraId="11D63D8A" w14:textId="77777777" w:rsidR="00D36914" w:rsidRDefault="00D36914" w:rsidP="00064788">
      <w:pPr>
        <w:rPr>
          <w:rFonts w:ascii="Arial" w:hAnsi="Arial" w:cs="Arial"/>
          <w:sz w:val="24"/>
          <w:szCs w:val="24"/>
        </w:rPr>
      </w:pPr>
      <w:r w:rsidRPr="00722CA8">
        <w:rPr>
          <w:rFonts w:ascii="Arial" w:hAnsi="Arial" w:cs="Arial"/>
          <w:sz w:val="24"/>
          <w:szCs w:val="24"/>
        </w:rPr>
        <w:t>Noone, B. M., Kimes, S. E., Mattila, A. S., &amp; Wirtz, J. (2009). Perceived service encounter pace and customer satisfaction: An empirical study of restaurant experiences. Journal of Service Management, 20(4), 380-403.</w:t>
      </w:r>
      <w:r>
        <w:rPr>
          <w:rFonts w:ascii="Arial" w:hAnsi="Arial" w:cs="Arial"/>
          <w:sz w:val="24"/>
          <w:szCs w:val="24"/>
        </w:rPr>
        <w:t xml:space="preserve">Available at: </w:t>
      </w:r>
      <w:hyperlink r:id="rId27" w:history="1">
        <w:r w:rsidRPr="00F930CC">
          <w:rPr>
            <w:rStyle w:val="Hyperlink"/>
            <w:rFonts w:ascii="Arial" w:hAnsi="Arial" w:cs="Arial"/>
            <w:sz w:val="24"/>
            <w:szCs w:val="24"/>
          </w:rPr>
          <w:t>https://www.emerald.com/josm/article-pdf/20/4/380/1572308/09564230910978494.pdf</w:t>
        </w:r>
      </w:hyperlink>
      <w:r>
        <w:rPr>
          <w:rFonts w:ascii="Arial" w:hAnsi="Arial" w:cs="Arial"/>
          <w:sz w:val="24"/>
          <w:szCs w:val="24"/>
        </w:rPr>
        <w:t xml:space="preserve"> (Access on 12 November 2025)</w:t>
      </w:r>
    </w:p>
    <w:p w14:paraId="6303A26F" w14:textId="77777777" w:rsidR="00D36914" w:rsidRDefault="00D36914" w:rsidP="00064788">
      <w:pPr>
        <w:rPr>
          <w:rFonts w:ascii="Arial" w:hAnsi="Arial" w:cs="Arial"/>
          <w:sz w:val="24"/>
          <w:szCs w:val="24"/>
        </w:rPr>
      </w:pPr>
      <w:r w:rsidRPr="00EC4776">
        <w:rPr>
          <w:rFonts w:ascii="Arial" w:hAnsi="Arial" w:cs="Arial"/>
          <w:sz w:val="24"/>
          <w:szCs w:val="24"/>
        </w:rPr>
        <w:t xml:space="preserve">Nyokabi, J., </w:t>
      </w:r>
      <w:proofErr w:type="spellStart"/>
      <w:r w:rsidRPr="00EC4776">
        <w:rPr>
          <w:rFonts w:ascii="Arial" w:hAnsi="Arial" w:cs="Arial"/>
          <w:sz w:val="24"/>
          <w:szCs w:val="24"/>
        </w:rPr>
        <w:t>Namada</w:t>
      </w:r>
      <w:proofErr w:type="spellEnd"/>
      <w:r w:rsidRPr="00EC4776">
        <w:rPr>
          <w:rFonts w:ascii="Arial" w:hAnsi="Arial" w:cs="Arial"/>
          <w:sz w:val="24"/>
          <w:szCs w:val="24"/>
        </w:rPr>
        <w:t xml:space="preserve">, J., &amp; </w:t>
      </w:r>
      <w:proofErr w:type="spellStart"/>
      <w:r w:rsidRPr="00EC4776">
        <w:rPr>
          <w:rFonts w:ascii="Arial" w:hAnsi="Arial" w:cs="Arial"/>
          <w:sz w:val="24"/>
          <w:szCs w:val="24"/>
        </w:rPr>
        <w:t>Muchara</w:t>
      </w:r>
      <w:proofErr w:type="spellEnd"/>
      <w:r w:rsidRPr="00EC4776">
        <w:rPr>
          <w:rFonts w:ascii="Arial" w:hAnsi="Arial" w:cs="Arial"/>
          <w:sz w:val="24"/>
          <w:szCs w:val="24"/>
        </w:rPr>
        <w:t>, M. (2019). Differentiation strategy, firm structure and performance of star rated hotels. International Journal of Research in Business and Social Science, 8(6), 8-14.</w:t>
      </w:r>
      <w:r>
        <w:rPr>
          <w:rFonts w:ascii="Arial" w:hAnsi="Arial" w:cs="Arial"/>
          <w:sz w:val="24"/>
          <w:szCs w:val="24"/>
        </w:rPr>
        <w:t>Available at:</w:t>
      </w:r>
      <w:r w:rsidRPr="00EC4776">
        <w:t xml:space="preserve"> </w:t>
      </w:r>
      <w:hyperlink r:id="rId28" w:history="1">
        <w:r w:rsidRPr="00F930CC">
          <w:rPr>
            <w:rStyle w:val="Hyperlink"/>
            <w:rFonts w:ascii="Arial" w:hAnsi="Arial" w:cs="Arial"/>
            <w:sz w:val="24"/>
            <w:szCs w:val="24"/>
          </w:rPr>
          <w:t>https://d1wqtxts1xzle7.cloudfront.net/95757830/462-libre.pdf?1671029786=&amp;response-content-disposition=inline%3B+filename%3DDifferentiation_strategy_firm_structure.pdf&amp;Expires=1763111416&amp;Signature=B11~O3DpPvIo-2ZmuHMh2O1iwh9LgEeazfYrS8R5Sk5c3TlqG7i2PdeDGe9EaH3AQkCTSN4zUjkpd7OgO-pDBmTfPuuElQ6V8sWtmX9GA5rQG4oTwuOvyxHqbChUVVS3IYLpbNMOhnydFRbGdUx0rPWQ6U3Zz~f3TLQDoz3aze3GF6cUkTeAAzWgYcsIAyI6fyS7W3hT6Zy9fx8mFEjGPldDHIUYEuEDqb5CFbFDaTSW3kZgl6PRwKSQvHd~hWuI-LFRxigFZWstELq66eEHz-1u0krd3DYxhWUyyQpGaGAsdtuKup8JtAluqySLtwxqMyAWdoBUhdqzVlNP2zVPdA__&amp;Key-Pair-Id=APKAJLOHF5GGSLRBV4ZA</w:t>
        </w:r>
      </w:hyperlink>
      <w:r>
        <w:rPr>
          <w:rFonts w:ascii="Arial" w:hAnsi="Arial" w:cs="Arial"/>
          <w:sz w:val="24"/>
          <w:szCs w:val="24"/>
        </w:rPr>
        <w:t xml:space="preserve"> (Access on 10 November 2025)</w:t>
      </w:r>
    </w:p>
    <w:p w14:paraId="1D7B6B38" w14:textId="77777777" w:rsidR="00D36914" w:rsidRPr="00064788" w:rsidRDefault="00D36914" w:rsidP="00064788">
      <w:pPr>
        <w:rPr>
          <w:rFonts w:ascii="Arial" w:hAnsi="Arial" w:cs="Arial"/>
          <w:sz w:val="24"/>
          <w:szCs w:val="24"/>
        </w:rPr>
      </w:pPr>
      <w:r w:rsidRPr="00064788">
        <w:rPr>
          <w:rFonts w:ascii="Arial" w:hAnsi="Arial" w:cs="Arial"/>
          <w:sz w:val="24"/>
          <w:szCs w:val="24"/>
        </w:rPr>
        <w:t>Oliveras</w:t>
      </w:r>
      <w:r w:rsidRPr="00064788">
        <w:rPr>
          <w:rFonts w:ascii="Cambria Math" w:hAnsi="Cambria Math" w:cs="Cambria Math"/>
          <w:sz w:val="24"/>
          <w:szCs w:val="24"/>
        </w:rPr>
        <w:t>‑</w:t>
      </w:r>
      <w:r w:rsidRPr="00064788">
        <w:rPr>
          <w:rFonts w:ascii="Arial" w:hAnsi="Arial" w:cs="Arial"/>
          <w:sz w:val="24"/>
          <w:szCs w:val="24"/>
        </w:rPr>
        <w:t>Villanueva, M., Llach, J., &amp; Perramon, J. (2020). Service quality in hospitality and the sustainability effect: systematic literature review and future research agenda. Sustainability, 12(19), 8152. Available at: https://www.mdpi.com/2071-1050/12/19/8152 (Access on 29 October 2025)</w:t>
      </w:r>
    </w:p>
    <w:p w14:paraId="22CD1697" w14:textId="77777777" w:rsidR="00D36914" w:rsidRDefault="00D36914" w:rsidP="005D2565">
      <w:pPr>
        <w:rPr>
          <w:rFonts w:ascii="Arial" w:hAnsi="Arial" w:cs="Arial"/>
          <w:sz w:val="24"/>
          <w:szCs w:val="24"/>
        </w:rPr>
      </w:pPr>
      <w:r w:rsidRPr="005D2565">
        <w:rPr>
          <w:rFonts w:ascii="Arial" w:hAnsi="Arial" w:cs="Arial"/>
          <w:sz w:val="24"/>
          <w:szCs w:val="24"/>
        </w:rPr>
        <w:t>OpenTable (2022) How to calculate and optimise restaurant table turnover</w:t>
      </w:r>
      <w:r>
        <w:rPr>
          <w:rFonts w:ascii="Arial" w:hAnsi="Arial" w:cs="Arial"/>
          <w:sz w:val="24"/>
          <w:szCs w:val="24"/>
        </w:rPr>
        <w:t xml:space="preserve">. </w:t>
      </w:r>
      <w:r w:rsidRPr="005D2565">
        <w:rPr>
          <w:rFonts w:ascii="Arial" w:hAnsi="Arial" w:cs="Arial"/>
          <w:sz w:val="24"/>
          <w:szCs w:val="24"/>
        </w:rPr>
        <w:t xml:space="preserve">Available at: </w:t>
      </w:r>
      <w:hyperlink r:id="rId29" w:history="1">
        <w:r w:rsidRPr="00F930CC">
          <w:rPr>
            <w:rStyle w:val="Hyperlink"/>
            <w:rFonts w:ascii="Arial" w:hAnsi="Arial" w:cs="Arial"/>
            <w:sz w:val="24"/>
            <w:szCs w:val="24"/>
          </w:rPr>
          <w:t>https://www.opentable.co.uk/restaurant-solutions/resources/restaurant-table-turnover/</w:t>
        </w:r>
      </w:hyperlink>
      <w:r>
        <w:rPr>
          <w:rFonts w:ascii="Arial" w:hAnsi="Arial" w:cs="Arial"/>
          <w:sz w:val="24"/>
          <w:szCs w:val="24"/>
        </w:rPr>
        <w:t xml:space="preserve"> (</w:t>
      </w:r>
      <w:r w:rsidRPr="005D2565">
        <w:rPr>
          <w:rFonts w:ascii="Arial" w:hAnsi="Arial" w:cs="Arial"/>
          <w:sz w:val="24"/>
          <w:szCs w:val="24"/>
        </w:rPr>
        <w:t xml:space="preserve">Accessed </w:t>
      </w:r>
      <w:r>
        <w:rPr>
          <w:rFonts w:ascii="Arial" w:hAnsi="Arial" w:cs="Arial"/>
          <w:sz w:val="24"/>
          <w:szCs w:val="24"/>
        </w:rPr>
        <w:t>10</w:t>
      </w:r>
      <w:r w:rsidRPr="005D2565">
        <w:rPr>
          <w:rFonts w:ascii="Arial" w:hAnsi="Arial" w:cs="Arial"/>
          <w:sz w:val="24"/>
          <w:szCs w:val="24"/>
        </w:rPr>
        <w:t xml:space="preserve"> Nov. 2025</w:t>
      </w:r>
      <w:r>
        <w:rPr>
          <w:rFonts w:ascii="Arial" w:hAnsi="Arial" w:cs="Arial"/>
          <w:sz w:val="24"/>
          <w:szCs w:val="24"/>
        </w:rPr>
        <w:t>)</w:t>
      </w:r>
      <w:r w:rsidRPr="005D2565">
        <w:rPr>
          <w:rFonts w:ascii="Arial" w:hAnsi="Arial" w:cs="Arial"/>
          <w:sz w:val="24"/>
          <w:szCs w:val="24"/>
        </w:rPr>
        <w:t>.</w:t>
      </w:r>
    </w:p>
    <w:p w14:paraId="30E87121" w14:textId="77777777" w:rsidR="00D36914" w:rsidRPr="00064788" w:rsidRDefault="00D36914" w:rsidP="00064788">
      <w:pPr>
        <w:rPr>
          <w:rFonts w:ascii="Arial" w:hAnsi="Arial" w:cs="Arial"/>
          <w:sz w:val="24"/>
          <w:szCs w:val="24"/>
        </w:rPr>
      </w:pPr>
      <w:r w:rsidRPr="00064788">
        <w:rPr>
          <w:rFonts w:ascii="Arial" w:hAnsi="Arial" w:cs="Arial"/>
          <w:sz w:val="24"/>
          <w:szCs w:val="24"/>
        </w:rPr>
        <w:t>Ottenbacher, M. C., &amp; Harrington, R. J. (2009). Institutional, cultural and contextual factors: Potential drivers of the culinary innovation process. Tourism and Hospitality Research, 9(3), 235-249. Available at: https://journals.sagepub.com/doi/epdf/10.1177/1096348009338675 (Access on October 28</w:t>
      </w:r>
      <w:proofErr w:type="gramStart"/>
      <w:r w:rsidRPr="00064788">
        <w:rPr>
          <w:rFonts w:ascii="Arial" w:hAnsi="Arial" w:cs="Arial"/>
          <w:sz w:val="24"/>
          <w:szCs w:val="24"/>
        </w:rPr>
        <w:t xml:space="preserve"> 2025</w:t>
      </w:r>
      <w:proofErr w:type="gramEnd"/>
      <w:r w:rsidRPr="00064788">
        <w:rPr>
          <w:rFonts w:ascii="Arial" w:hAnsi="Arial" w:cs="Arial"/>
          <w:sz w:val="24"/>
          <w:szCs w:val="24"/>
        </w:rPr>
        <w:t>)</w:t>
      </w:r>
    </w:p>
    <w:p w14:paraId="6048C365" w14:textId="77777777" w:rsidR="00D36914" w:rsidRDefault="00D36914" w:rsidP="00064788">
      <w:pPr>
        <w:rPr>
          <w:rFonts w:ascii="Arial" w:hAnsi="Arial" w:cs="Arial"/>
          <w:sz w:val="24"/>
          <w:szCs w:val="24"/>
        </w:rPr>
      </w:pPr>
      <w:r w:rsidRPr="004946AA">
        <w:rPr>
          <w:rFonts w:ascii="Arial" w:hAnsi="Arial" w:cs="Arial"/>
          <w:sz w:val="24"/>
          <w:szCs w:val="24"/>
        </w:rPr>
        <w:t>Pal, A. (2024). Enhancing Customer Experience: Creating New Touchpoints for Experience-Centric Mobile Services.</w:t>
      </w:r>
      <w:r>
        <w:rPr>
          <w:rFonts w:ascii="Arial" w:hAnsi="Arial" w:cs="Arial"/>
          <w:sz w:val="24"/>
          <w:szCs w:val="24"/>
        </w:rPr>
        <w:t xml:space="preserve"> Available at: </w:t>
      </w:r>
      <w:hyperlink r:id="rId30" w:history="1">
        <w:r w:rsidRPr="00F930CC">
          <w:rPr>
            <w:rStyle w:val="Hyperlink"/>
            <w:rFonts w:ascii="Arial" w:hAnsi="Arial" w:cs="Arial"/>
            <w:sz w:val="24"/>
            <w:szCs w:val="24"/>
          </w:rPr>
          <w:t>https://helda.helsinki.fi/server/api/core/bitstreams/09e1fd78-f29d-40f0-87f3-47f56758b3b0/content</w:t>
        </w:r>
      </w:hyperlink>
      <w:r>
        <w:rPr>
          <w:rFonts w:ascii="Arial" w:hAnsi="Arial" w:cs="Arial"/>
          <w:sz w:val="24"/>
          <w:szCs w:val="24"/>
        </w:rPr>
        <w:t xml:space="preserve"> (Access on 11 November 2025)</w:t>
      </w:r>
    </w:p>
    <w:p w14:paraId="627CF3AC" w14:textId="77777777" w:rsidR="00D36914" w:rsidRDefault="00D36914" w:rsidP="00064788">
      <w:pPr>
        <w:rPr>
          <w:rFonts w:ascii="Arial" w:hAnsi="Arial" w:cs="Arial"/>
          <w:sz w:val="24"/>
          <w:szCs w:val="24"/>
        </w:rPr>
      </w:pPr>
      <w:r w:rsidRPr="00E93D91">
        <w:rPr>
          <w:rFonts w:ascii="Arial" w:hAnsi="Arial" w:cs="Arial"/>
          <w:sz w:val="24"/>
          <w:szCs w:val="24"/>
        </w:rPr>
        <w:t>Parasuraman, A., Zeithaml, V. A., &amp; Malhotra, A. (2005). ES-QUAL: A multiple-item scale for assessing electronic service quality. Journal of service research, 7(3), 213-233.</w:t>
      </w:r>
      <w:r>
        <w:rPr>
          <w:rFonts w:ascii="Arial" w:hAnsi="Arial" w:cs="Arial"/>
          <w:sz w:val="24"/>
          <w:szCs w:val="24"/>
        </w:rPr>
        <w:t xml:space="preserve"> Available at: </w:t>
      </w:r>
      <w:hyperlink r:id="rId31" w:history="1">
        <w:r w:rsidRPr="00F930CC">
          <w:rPr>
            <w:rStyle w:val="Hyperlink"/>
            <w:rFonts w:ascii="Arial" w:hAnsi="Arial" w:cs="Arial"/>
            <w:sz w:val="24"/>
            <w:szCs w:val="24"/>
          </w:rPr>
          <w:t>https://journals.sagepub.com/doi/epdf/10.1177/1094670504271156</w:t>
        </w:r>
      </w:hyperlink>
      <w:r>
        <w:rPr>
          <w:rFonts w:ascii="Arial" w:hAnsi="Arial" w:cs="Arial"/>
          <w:sz w:val="24"/>
          <w:szCs w:val="24"/>
        </w:rPr>
        <w:t xml:space="preserve"> (Access on 11 November 2025)</w:t>
      </w:r>
    </w:p>
    <w:p w14:paraId="6E9D0298" w14:textId="77777777" w:rsidR="00D36914" w:rsidRDefault="00D36914" w:rsidP="00064788">
      <w:pPr>
        <w:rPr>
          <w:rFonts w:ascii="Arial" w:hAnsi="Arial" w:cs="Arial"/>
          <w:sz w:val="24"/>
          <w:szCs w:val="24"/>
        </w:rPr>
      </w:pPr>
      <w:r>
        <w:rPr>
          <w:rFonts w:ascii="Arial" w:hAnsi="Arial" w:cs="Arial"/>
          <w:sz w:val="24"/>
          <w:szCs w:val="24"/>
        </w:rPr>
        <w:lastRenderedPageBreak/>
        <w:t xml:space="preserve"> </w:t>
      </w:r>
      <w:r w:rsidRPr="001F0278">
        <w:rPr>
          <w:rFonts w:ascii="Arial" w:hAnsi="Arial" w:cs="Arial"/>
          <w:sz w:val="24"/>
          <w:szCs w:val="24"/>
        </w:rPr>
        <w:t>Parasuraman, A., Zeithaml, V.A. &amp; Berry, L.L. (1985) ‘A conceptual model of service quality and its implications for future research’, Journal of Marketing, 49(4), pp. 41–50.</w:t>
      </w:r>
      <w:r>
        <w:rPr>
          <w:rFonts w:ascii="Arial" w:hAnsi="Arial" w:cs="Arial"/>
          <w:sz w:val="24"/>
          <w:szCs w:val="24"/>
        </w:rPr>
        <w:t xml:space="preserve"> Available at: </w:t>
      </w:r>
      <w:hyperlink r:id="rId32" w:history="1">
        <w:r w:rsidRPr="00F930CC">
          <w:rPr>
            <w:rStyle w:val="Hyperlink"/>
            <w:rFonts w:ascii="Arial" w:hAnsi="Arial" w:cs="Arial"/>
            <w:sz w:val="24"/>
            <w:szCs w:val="24"/>
          </w:rPr>
          <w:t>https://www.researchgate.net/publication/329049970_A_Conceptual_Model_of_Service_Quality_and_Its_Implications_for_Future_Research</w:t>
        </w:r>
      </w:hyperlink>
      <w:r>
        <w:rPr>
          <w:rFonts w:ascii="Arial" w:hAnsi="Arial" w:cs="Arial"/>
          <w:sz w:val="24"/>
          <w:szCs w:val="24"/>
        </w:rPr>
        <w:t xml:space="preserve"> (Access on 12 November 2025)</w:t>
      </w:r>
    </w:p>
    <w:p w14:paraId="18797DC1" w14:textId="77777777" w:rsidR="00D36914" w:rsidRPr="00064788" w:rsidRDefault="00D36914" w:rsidP="00064788">
      <w:pPr>
        <w:rPr>
          <w:rFonts w:ascii="Arial" w:hAnsi="Arial" w:cs="Arial"/>
          <w:sz w:val="24"/>
          <w:szCs w:val="24"/>
        </w:rPr>
      </w:pPr>
      <w:r w:rsidRPr="00064788">
        <w:rPr>
          <w:rFonts w:ascii="Arial" w:hAnsi="Arial" w:cs="Arial"/>
          <w:sz w:val="24"/>
          <w:szCs w:val="24"/>
        </w:rPr>
        <w:t xml:space="preserve">Parc Le Breos, official website — Restaurant in Gower page. Available at: https://parc-le-breos.co.uk/restaurant-in-gower/ </w:t>
      </w:r>
      <w:r>
        <w:rPr>
          <w:rFonts w:ascii="Arial" w:hAnsi="Arial" w:cs="Arial"/>
          <w:sz w:val="24"/>
          <w:szCs w:val="24"/>
        </w:rPr>
        <w:t>(Access on 2 November 2025)</w:t>
      </w:r>
    </w:p>
    <w:p w14:paraId="07DA0466" w14:textId="77777777" w:rsidR="00D36914" w:rsidRDefault="00D36914" w:rsidP="00064788">
      <w:pPr>
        <w:rPr>
          <w:rFonts w:ascii="Arial" w:hAnsi="Arial" w:cs="Arial"/>
          <w:sz w:val="24"/>
          <w:szCs w:val="24"/>
        </w:rPr>
      </w:pPr>
      <w:r w:rsidRPr="00F170EE">
        <w:rPr>
          <w:rFonts w:ascii="Arial" w:hAnsi="Arial" w:cs="Arial"/>
          <w:sz w:val="24"/>
          <w:szCs w:val="24"/>
        </w:rPr>
        <w:t xml:space="preserve">Phillips, W. J., Wolfe, K., Hodur, N., &amp; </w:t>
      </w:r>
      <w:proofErr w:type="spellStart"/>
      <w:r w:rsidRPr="00F170EE">
        <w:rPr>
          <w:rFonts w:ascii="Arial" w:hAnsi="Arial" w:cs="Arial"/>
          <w:sz w:val="24"/>
          <w:szCs w:val="24"/>
        </w:rPr>
        <w:t>Leistritz</w:t>
      </w:r>
      <w:proofErr w:type="spellEnd"/>
      <w:r w:rsidRPr="00F170EE">
        <w:rPr>
          <w:rFonts w:ascii="Arial" w:hAnsi="Arial" w:cs="Arial"/>
          <w:sz w:val="24"/>
          <w:szCs w:val="24"/>
        </w:rPr>
        <w:t>, F. L. (2013). Tourist word of mouth and revisit intentions to rural tourism destinations: A case of North Dakota, USA. International journal of tourism research, 15(1), 93-104.</w:t>
      </w:r>
      <w:r w:rsidRPr="00F170EE">
        <w:rPr>
          <w:rFonts w:ascii="Arial" w:hAnsi="Arial" w:cs="Arial"/>
          <w:sz w:val="24"/>
          <w:szCs w:val="24"/>
        </w:rPr>
        <w:t xml:space="preserve"> </w:t>
      </w:r>
      <w:r>
        <w:rPr>
          <w:rFonts w:ascii="Arial" w:hAnsi="Arial" w:cs="Arial"/>
          <w:sz w:val="24"/>
          <w:szCs w:val="24"/>
        </w:rPr>
        <w:t xml:space="preserve">Available at: </w:t>
      </w:r>
      <w:hyperlink r:id="rId33" w:history="1">
        <w:r w:rsidRPr="00F930CC">
          <w:rPr>
            <w:rStyle w:val="Hyperlink"/>
            <w:rFonts w:ascii="Arial" w:hAnsi="Arial" w:cs="Arial"/>
            <w:sz w:val="24"/>
            <w:szCs w:val="24"/>
          </w:rPr>
          <w:t>https://onlinelibrary.wiley.com/doi/epdf/10.1002/jtr.879?saml_referrer</w:t>
        </w:r>
      </w:hyperlink>
      <w:r>
        <w:rPr>
          <w:rFonts w:ascii="Arial" w:hAnsi="Arial" w:cs="Arial"/>
          <w:sz w:val="24"/>
          <w:szCs w:val="24"/>
        </w:rPr>
        <w:t xml:space="preserve"> (Access on 11 November 2025)</w:t>
      </w:r>
    </w:p>
    <w:p w14:paraId="51E761C5" w14:textId="77777777" w:rsidR="00D36914" w:rsidRPr="00064788" w:rsidRDefault="00D36914" w:rsidP="00064788">
      <w:pPr>
        <w:rPr>
          <w:rFonts w:ascii="Arial" w:hAnsi="Arial" w:cs="Arial"/>
          <w:sz w:val="24"/>
          <w:szCs w:val="24"/>
        </w:rPr>
      </w:pPr>
      <w:r w:rsidRPr="00064788">
        <w:rPr>
          <w:rFonts w:ascii="Arial" w:hAnsi="Arial" w:cs="Arial"/>
          <w:sz w:val="24"/>
          <w:szCs w:val="24"/>
        </w:rPr>
        <w:t>Porter, M. E. (1985). Competitive advantage. New York, 13.</w:t>
      </w:r>
    </w:p>
    <w:p w14:paraId="349E9C8E" w14:textId="77777777" w:rsidR="00D36914" w:rsidRPr="00064788" w:rsidRDefault="00D36914" w:rsidP="00064788">
      <w:pPr>
        <w:rPr>
          <w:rFonts w:ascii="Arial" w:hAnsi="Arial" w:cs="Arial"/>
          <w:sz w:val="24"/>
          <w:szCs w:val="24"/>
        </w:rPr>
      </w:pPr>
      <w:r w:rsidRPr="00064788">
        <w:rPr>
          <w:rFonts w:ascii="Arial" w:hAnsi="Arial" w:cs="Arial"/>
          <w:sz w:val="24"/>
          <w:szCs w:val="24"/>
        </w:rPr>
        <w:t xml:space="preserve">Porter, M. E. (2008). Competitive advantage: Creating and sustaining superior performance. </w:t>
      </w:r>
      <w:proofErr w:type="spellStart"/>
      <w:r w:rsidRPr="00064788">
        <w:rPr>
          <w:rFonts w:ascii="Arial" w:hAnsi="Arial" w:cs="Arial"/>
          <w:sz w:val="24"/>
          <w:szCs w:val="24"/>
        </w:rPr>
        <w:t>simon</w:t>
      </w:r>
      <w:proofErr w:type="spellEnd"/>
      <w:r w:rsidRPr="00064788">
        <w:rPr>
          <w:rFonts w:ascii="Arial" w:hAnsi="Arial" w:cs="Arial"/>
          <w:sz w:val="24"/>
          <w:szCs w:val="24"/>
        </w:rPr>
        <w:t xml:space="preserve"> and </w:t>
      </w:r>
      <w:proofErr w:type="spellStart"/>
      <w:r w:rsidRPr="00064788">
        <w:rPr>
          <w:rFonts w:ascii="Arial" w:hAnsi="Arial" w:cs="Arial"/>
          <w:sz w:val="24"/>
          <w:szCs w:val="24"/>
        </w:rPr>
        <w:t>schuster</w:t>
      </w:r>
      <w:proofErr w:type="spellEnd"/>
      <w:r w:rsidRPr="00064788">
        <w:rPr>
          <w:rFonts w:ascii="Arial" w:hAnsi="Arial" w:cs="Arial"/>
          <w:sz w:val="24"/>
          <w:szCs w:val="24"/>
        </w:rPr>
        <w:t>.</w:t>
      </w:r>
    </w:p>
    <w:p w14:paraId="43E8D332" w14:textId="77777777" w:rsidR="00D36914" w:rsidRPr="00064788" w:rsidRDefault="00D36914" w:rsidP="00064788">
      <w:pPr>
        <w:rPr>
          <w:rFonts w:ascii="Arial" w:hAnsi="Arial" w:cs="Arial"/>
          <w:sz w:val="24"/>
          <w:szCs w:val="24"/>
        </w:rPr>
      </w:pPr>
      <w:r w:rsidRPr="00064788">
        <w:rPr>
          <w:rFonts w:ascii="Arial" w:hAnsi="Arial" w:cs="Arial"/>
          <w:sz w:val="24"/>
          <w:szCs w:val="24"/>
        </w:rPr>
        <w:t>Reklitis, D. P., Terzi, M. C., Sakas, D. P., &amp; Reklitis, P. (2025). Harnessing Digital Marketing Analytics for Knowledge-Driven Digital Transformation in the Hospitality Industry. Information, 16(10), 868. Available at: https://www.mdpi.com/2078-2489/16/10/868 (Access on 29 October 2025)</w:t>
      </w:r>
    </w:p>
    <w:p w14:paraId="55FAF64F" w14:textId="77777777" w:rsidR="00D36914" w:rsidRPr="00064788" w:rsidRDefault="00D36914" w:rsidP="00064788">
      <w:pPr>
        <w:rPr>
          <w:rFonts w:ascii="Arial" w:hAnsi="Arial" w:cs="Arial"/>
          <w:sz w:val="24"/>
          <w:szCs w:val="24"/>
        </w:rPr>
      </w:pPr>
      <w:r w:rsidRPr="00064788">
        <w:rPr>
          <w:rFonts w:ascii="Arial" w:hAnsi="Arial" w:cs="Arial"/>
          <w:sz w:val="24"/>
          <w:szCs w:val="24"/>
        </w:rPr>
        <w:t>Rhou, Y., Singal, M., &amp; Koh, Y. (2016). CSR and financial performance: The role of CSR awareness in the restaurant industry. International Journal of Hospitality Management, 57, 30-39. Available at: https://www.sciencedirect.com/science/article/pii/S0278431916300652 (Access on 28 October 2025)</w:t>
      </w:r>
    </w:p>
    <w:p w14:paraId="17C82A0A" w14:textId="77777777" w:rsidR="00D36914" w:rsidRDefault="00D36914" w:rsidP="00B44DDD">
      <w:pPr>
        <w:rPr>
          <w:rFonts w:ascii="Arial" w:hAnsi="Arial" w:cs="Arial"/>
          <w:sz w:val="24"/>
          <w:szCs w:val="24"/>
        </w:rPr>
      </w:pPr>
      <w:r w:rsidRPr="0014353B">
        <w:rPr>
          <w:rFonts w:ascii="Arial" w:hAnsi="Arial" w:cs="Arial"/>
          <w:sz w:val="24"/>
          <w:szCs w:val="24"/>
        </w:rPr>
        <w:t>Rodrigues, S., Correia, R., Gonçalves, R., Branco, F., &amp; Martins, J. (2023). Digital marketing’s impact on rural destinations’ image, intention to visit, and destination sustainability. Sustainability, 15(3), 2683.</w:t>
      </w:r>
      <w:r>
        <w:rPr>
          <w:rFonts w:ascii="Arial" w:hAnsi="Arial" w:cs="Arial"/>
          <w:sz w:val="24"/>
          <w:szCs w:val="24"/>
        </w:rPr>
        <w:t xml:space="preserve"> Available at: </w:t>
      </w:r>
      <w:hyperlink r:id="rId34" w:history="1">
        <w:r w:rsidRPr="00F930CC">
          <w:rPr>
            <w:rStyle w:val="Hyperlink"/>
            <w:rFonts w:ascii="Arial" w:hAnsi="Arial" w:cs="Arial"/>
            <w:sz w:val="24"/>
            <w:szCs w:val="24"/>
          </w:rPr>
          <w:t>https://www.mdpi.com/2071-1050/15/3/2683</w:t>
        </w:r>
      </w:hyperlink>
      <w:r>
        <w:rPr>
          <w:rFonts w:ascii="Arial" w:hAnsi="Arial" w:cs="Arial"/>
          <w:sz w:val="24"/>
          <w:szCs w:val="24"/>
        </w:rPr>
        <w:t xml:space="preserve"> (Access on 10 November 2025)</w:t>
      </w:r>
    </w:p>
    <w:p w14:paraId="75018657" w14:textId="77777777" w:rsidR="00D36914" w:rsidRPr="00064788" w:rsidRDefault="00D36914" w:rsidP="00064788">
      <w:pPr>
        <w:rPr>
          <w:rFonts w:ascii="Arial" w:hAnsi="Arial" w:cs="Arial"/>
          <w:sz w:val="24"/>
          <w:szCs w:val="24"/>
        </w:rPr>
      </w:pPr>
      <w:r w:rsidRPr="00064788">
        <w:rPr>
          <w:rFonts w:ascii="Arial" w:hAnsi="Arial" w:cs="Arial"/>
          <w:sz w:val="24"/>
          <w:szCs w:val="24"/>
        </w:rPr>
        <w:t>Sims, R. (2009). Food, place and authenticity: local food and the sustainable tourism experience. Journal of sustainable tourism, 17(3), 321-336. Available at: https://www.tandfonline.com/doi/full/10.1080/09669580802359293 (Access on 3 November 2025)</w:t>
      </w:r>
    </w:p>
    <w:p w14:paraId="568BA719" w14:textId="77777777" w:rsidR="00D36914" w:rsidRPr="00064788" w:rsidRDefault="00D36914" w:rsidP="00064788">
      <w:pPr>
        <w:rPr>
          <w:rFonts w:ascii="Arial" w:hAnsi="Arial" w:cs="Arial"/>
          <w:sz w:val="24"/>
          <w:szCs w:val="24"/>
        </w:rPr>
      </w:pPr>
      <w:r w:rsidRPr="00064788">
        <w:rPr>
          <w:rFonts w:ascii="Arial" w:hAnsi="Arial" w:cs="Arial"/>
          <w:sz w:val="24"/>
          <w:szCs w:val="24"/>
        </w:rPr>
        <w:t xml:space="preserve">Sims, R. (2009). Food, place and authenticity: local food and the sustainable tourism experience. Journal of Sustainable Tourism, 17(3), 321–336 </w:t>
      </w:r>
      <w:proofErr w:type="spellStart"/>
      <w:r w:rsidRPr="00064788">
        <w:rPr>
          <w:rFonts w:ascii="Arial" w:hAnsi="Arial" w:cs="Arial"/>
          <w:sz w:val="24"/>
          <w:szCs w:val="24"/>
        </w:rPr>
        <w:t>Avaialble</w:t>
      </w:r>
      <w:proofErr w:type="spellEnd"/>
      <w:r w:rsidRPr="00064788">
        <w:rPr>
          <w:rFonts w:ascii="Arial" w:hAnsi="Arial" w:cs="Arial"/>
          <w:sz w:val="24"/>
          <w:szCs w:val="24"/>
        </w:rPr>
        <w:t xml:space="preserve"> at: </w:t>
      </w:r>
      <w:proofErr w:type="gramStart"/>
      <w:r w:rsidRPr="00064788">
        <w:rPr>
          <w:rFonts w:ascii="Arial" w:hAnsi="Arial" w:cs="Arial"/>
          <w:sz w:val="24"/>
          <w:szCs w:val="24"/>
        </w:rPr>
        <w:t>https://www.tandfonline.com/doi/full/10.1080/09669580802359293?needAccess=true#d1e375  (</w:t>
      </w:r>
      <w:proofErr w:type="gramEnd"/>
      <w:r w:rsidRPr="00064788">
        <w:rPr>
          <w:rFonts w:ascii="Arial" w:hAnsi="Arial" w:cs="Arial"/>
          <w:sz w:val="24"/>
          <w:szCs w:val="24"/>
        </w:rPr>
        <w:t>Access on 29 October 2025)</w:t>
      </w:r>
    </w:p>
    <w:p w14:paraId="46964EB6" w14:textId="77777777" w:rsidR="00D36914" w:rsidRDefault="00D36914" w:rsidP="00B44DDD">
      <w:pPr>
        <w:rPr>
          <w:rFonts w:ascii="Arial" w:hAnsi="Arial" w:cs="Arial"/>
          <w:sz w:val="24"/>
          <w:szCs w:val="24"/>
        </w:rPr>
      </w:pPr>
      <w:r w:rsidRPr="007B574A">
        <w:rPr>
          <w:rFonts w:ascii="Arial" w:hAnsi="Arial" w:cs="Arial"/>
          <w:sz w:val="24"/>
          <w:szCs w:val="24"/>
        </w:rPr>
        <w:t xml:space="preserve">Sinulingga, S., </w:t>
      </w:r>
      <w:proofErr w:type="spellStart"/>
      <w:r w:rsidRPr="007B574A">
        <w:rPr>
          <w:rFonts w:ascii="Arial" w:hAnsi="Arial" w:cs="Arial"/>
          <w:sz w:val="24"/>
          <w:szCs w:val="24"/>
        </w:rPr>
        <w:t>Nauly</w:t>
      </w:r>
      <w:proofErr w:type="spellEnd"/>
      <w:r w:rsidRPr="007B574A">
        <w:rPr>
          <w:rFonts w:ascii="Arial" w:hAnsi="Arial" w:cs="Arial"/>
          <w:sz w:val="24"/>
          <w:szCs w:val="24"/>
        </w:rPr>
        <w:t xml:space="preserve">, M., </w:t>
      </w:r>
      <w:proofErr w:type="spellStart"/>
      <w:r w:rsidRPr="007B574A">
        <w:rPr>
          <w:rFonts w:ascii="Arial" w:hAnsi="Arial" w:cs="Arial"/>
          <w:sz w:val="24"/>
          <w:szCs w:val="24"/>
        </w:rPr>
        <w:t>Marpaung</w:t>
      </w:r>
      <w:proofErr w:type="spellEnd"/>
      <w:r w:rsidRPr="007B574A">
        <w:rPr>
          <w:rFonts w:ascii="Arial" w:hAnsi="Arial" w:cs="Arial"/>
          <w:sz w:val="24"/>
          <w:szCs w:val="24"/>
        </w:rPr>
        <w:t xml:space="preserve">, J. L., &amp; </w:t>
      </w:r>
      <w:proofErr w:type="spellStart"/>
      <w:r w:rsidRPr="007B574A">
        <w:rPr>
          <w:rFonts w:ascii="Arial" w:hAnsi="Arial" w:cs="Arial"/>
          <w:sz w:val="24"/>
          <w:szCs w:val="24"/>
        </w:rPr>
        <w:t>Zulfan</w:t>
      </w:r>
      <w:proofErr w:type="spellEnd"/>
      <w:r w:rsidRPr="007B574A">
        <w:rPr>
          <w:rFonts w:ascii="Arial" w:hAnsi="Arial" w:cs="Arial"/>
          <w:sz w:val="24"/>
          <w:szCs w:val="24"/>
        </w:rPr>
        <w:t xml:space="preserve">, L. AS, &amp; </w:t>
      </w:r>
      <w:proofErr w:type="spellStart"/>
      <w:r w:rsidRPr="007B574A">
        <w:rPr>
          <w:rFonts w:ascii="Arial" w:hAnsi="Arial" w:cs="Arial"/>
          <w:sz w:val="24"/>
          <w:szCs w:val="24"/>
        </w:rPr>
        <w:t>Sibarani</w:t>
      </w:r>
      <w:proofErr w:type="spellEnd"/>
      <w:r w:rsidRPr="007B574A">
        <w:rPr>
          <w:rFonts w:ascii="Arial" w:hAnsi="Arial" w:cs="Arial"/>
          <w:sz w:val="24"/>
          <w:szCs w:val="24"/>
        </w:rPr>
        <w:t xml:space="preserve">, HS (2024). Optimizing hotel management performance through standard operating procedures: A path model analysis and strategic monitoring framework. Tour. </w:t>
      </w:r>
      <w:proofErr w:type="spellStart"/>
      <w:r w:rsidRPr="007B574A">
        <w:rPr>
          <w:rFonts w:ascii="Arial" w:hAnsi="Arial" w:cs="Arial"/>
          <w:sz w:val="24"/>
          <w:szCs w:val="24"/>
        </w:rPr>
        <w:t>Spectr</w:t>
      </w:r>
      <w:proofErr w:type="spellEnd"/>
      <w:r w:rsidRPr="007B574A">
        <w:rPr>
          <w:rFonts w:ascii="Arial" w:hAnsi="Arial" w:cs="Arial"/>
          <w:sz w:val="24"/>
          <w:szCs w:val="24"/>
        </w:rPr>
        <w:t>. Div. Dyn, 1(2), 71-80.</w:t>
      </w:r>
      <w:r>
        <w:rPr>
          <w:rFonts w:ascii="Arial" w:hAnsi="Arial" w:cs="Arial"/>
          <w:sz w:val="24"/>
          <w:szCs w:val="24"/>
        </w:rPr>
        <w:t xml:space="preserve"> Available at: </w:t>
      </w:r>
      <w:hyperlink r:id="rId35" w:history="1">
        <w:r w:rsidRPr="00F930CC">
          <w:rPr>
            <w:rStyle w:val="Hyperlink"/>
            <w:rFonts w:ascii="Arial" w:hAnsi="Arial" w:cs="Arial"/>
            <w:sz w:val="24"/>
            <w:szCs w:val="24"/>
          </w:rPr>
          <w:t>https://www.researchgate.net/profile/Samerdanta-Sinulingga/publication/384895690_Optimizing_Hotel_Management_Performance_Through_Standard_Operating_Procedures_A_Path_Model_Analysis_and_Strategic_Monitoring_Framework/links/670e689c8e87ce48524d5d6f/Optimizing-Hotel-Management-Performance-Through-Standard-Operating-Procedures-A-Path-Model-Analysis-and-Strategic-Monitoring-Framework.pdf</w:t>
        </w:r>
      </w:hyperlink>
      <w:r>
        <w:rPr>
          <w:rFonts w:ascii="Arial" w:hAnsi="Arial" w:cs="Arial"/>
          <w:sz w:val="24"/>
          <w:szCs w:val="24"/>
        </w:rPr>
        <w:t xml:space="preserve"> (Access on 8 November 2025)</w:t>
      </w:r>
    </w:p>
    <w:p w14:paraId="0F5673C9" w14:textId="77777777" w:rsidR="00D36914" w:rsidRDefault="00D36914" w:rsidP="00064788">
      <w:pPr>
        <w:rPr>
          <w:rFonts w:ascii="Arial" w:hAnsi="Arial" w:cs="Arial"/>
          <w:sz w:val="24"/>
          <w:szCs w:val="24"/>
        </w:rPr>
      </w:pPr>
      <w:r w:rsidRPr="00642A31">
        <w:rPr>
          <w:rFonts w:ascii="Arial" w:hAnsi="Arial" w:cs="Arial"/>
          <w:sz w:val="24"/>
          <w:szCs w:val="24"/>
        </w:rPr>
        <w:t>Sparks, B. A., &amp; Browning, V. (2011). The impact of online reviews on hotel booking intentions and perception of trust. Tourism management, 32(6), 1310-1323.</w:t>
      </w:r>
      <w:r>
        <w:rPr>
          <w:rFonts w:ascii="Arial" w:hAnsi="Arial" w:cs="Arial"/>
          <w:sz w:val="24"/>
          <w:szCs w:val="24"/>
        </w:rPr>
        <w:t xml:space="preserve">Available at: </w:t>
      </w:r>
      <w:hyperlink r:id="rId36" w:history="1">
        <w:r w:rsidRPr="00F930CC">
          <w:rPr>
            <w:rStyle w:val="Hyperlink"/>
            <w:rFonts w:ascii="Arial" w:hAnsi="Arial" w:cs="Arial"/>
            <w:sz w:val="24"/>
            <w:szCs w:val="24"/>
          </w:rPr>
          <w:t>https://www.sciencedirect.com/science/article/pii/S0261517711000033</w:t>
        </w:r>
      </w:hyperlink>
      <w:r>
        <w:rPr>
          <w:rFonts w:ascii="Arial" w:hAnsi="Arial" w:cs="Arial"/>
          <w:sz w:val="24"/>
          <w:szCs w:val="24"/>
        </w:rPr>
        <w:t xml:space="preserve"> (Access on 11 November 2025)</w:t>
      </w:r>
    </w:p>
    <w:p w14:paraId="02A4AD6E" w14:textId="77777777" w:rsidR="00D36914" w:rsidRDefault="00D36914" w:rsidP="00442A0E">
      <w:pPr>
        <w:rPr>
          <w:rFonts w:ascii="Arial" w:hAnsi="Arial" w:cs="Arial"/>
          <w:sz w:val="24"/>
          <w:szCs w:val="24"/>
        </w:rPr>
      </w:pPr>
      <w:r w:rsidRPr="00442A0E">
        <w:rPr>
          <w:rFonts w:ascii="Arial" w:hAnsi="Arial" w:cs="Arial"/>
          <w:sz w:val="24"/>
          <w:szCs w:val="24"/>
        </w:rPr>
        <w:t>Standardisation and certification in hotel restaurants (2025)</w:t>
      </w:r>
      <w:r>
        <w:rPr>
          <w:rFonts w:ascii="Arial" w:hAnsi="Arial" w:cs="Arial"/>
          <w:sz w:val="24"/>
          <w:szCs w:val="24"/>
        </w:rPr>
        <w:t>.</w:t>
      </w:r>
      <w:r w:rsidRPr="00442A0E">
        <w:rPr>
          <w:rFonts w:ascii="Arial" w:hAnsi="Arial" w:cs="Arial"/>
          <w:sz w:val="24"/>
          <w:szCs w:val="24"/>
        </w:rPr>
        <w:t xml:space="preserve"> International Journal of Artificial Intelligence, 1(4), pp. 306–315. Available at: </w:t>
      </w:r>
      <w:hyperlink r:id="rId37" w:history="1">
        <w:r w:rsidRPr="00F930CC">
          <w:rPr>
            <w:rStyle w:val="Hyperlink"/>
            <w:rFonts w:ascii="Arial" w:hAnsi="Arial" w:cs="Arial"/>
            <w:sz w:val="24"/>
            <w:szCs w:val="24"/>
          </w:rPr>
          <w:t>https://in-library.uz/index.php/ijai/article/view/97962</w:t>
        </w:r>
      </w:hyperlink>
      <w:r>
        <w:rPr>
          <w:rFonts w:ascii="Arial" w:hAnsi="Arial" w:cs="Arial"/>
          <w:sz w:val="24"/>
          <w:szCs w:val="24"/>
        </w:rPr>
        <w:t xml:space="preserve"> (</w:t>
      </w:r>
      <w:r w:rsidRPr="00442A0E">
        <w:rPr>
          <w:rFonts w:ascii="Arial" w:hAnsi="Arial" w:cs="Arial"/>
          <w:sz w:val="24"/>
          <w:szCs w:val="24"/>
        </w:rPr>
        <w:t>Accessed 1</w:t>
      </w:r>
      <w:r>
        <w:rPr>
          <w:rFonts w:ascii="Arial" w:hAnsi="Arial" w:cs="Arial"/>
          <w:sz w:val="24"/>
          <w:szCs w:val="24"/>
        </w:rPr>
        <w:t>0</w:t>
      </w:r>
      <w:r w:rsidRPr="00442A0E">
        <w:rPr>
          <w:rFonts w:ascii="Arial" w:hAnsi="Arial" w:cs="Arial"/>
          <w:sz w:val="24"/>
          <w:szCs w:val="24"/>
        </w:rPr>
        <w:t xml:space="preserve"> Nov. 2025</w:t>
      </w:r>
      <w:r>
        <w:rPr>
          <w:rFonts w:ascii="Arial" w:hAnsi="Arial" w:cs="Arial"/>
          <w:sz w:val="24"/>
          <w:szCs w:val="24"/>
        </w:rPr>
        <w:t>)</w:t>
      </w:r>
    </w:p>
    <w:p w14:paraId="029E0C69" w14:textId="77777777" w:rsidR="00D36914" w:rsidRPr="00064788" w:rsidRDefault="00D36914" w:rsidP="00064788">
      <w:pPr>
        <w:rPr>
          <w:rFonts w:ascii="Arial" w:hAnsi="Arial" w:cs="Arial"/>
          <w:sz w:val="24"/>
          <w:szCs w:val="24"/>
        </w:rPr>
      </w:pPr>
      <w:r w:rsidRPr="008E6202">
        <w:rPr>
          <w:rFonts w:ascii="Arial" w:hAnsi="Arial" w:cs="Arial"/>
          <w:sz w:val="24"/>
          <w:szCs w:val="24"/>
        </w:rPr>
        <w:t>Tracey, J. B. (2017) ‘Hospitality Training Research: A Review and Implications for Future Research’, in Brown, K. G. (ed.) The Cambridge Handbook of Workplace Training and Employee Development. Cambridge: Cambridge University Press, pp. 566–584.</w:t>
      </w:r>
      <w:r>
        <w:rPr>
          <w:rFonts w:ascii="Arial" w:hAnsi="Arial" w:cs="Arial"/>
          <w:sz w:val="24"/>
          <w:szCs w:val="24"/>
        </w:rPr>
        <w:t xml:space="preserve"> Available at: </w:t>
      </w:r>
      <w:hyperlink r:id="rId38" w:history="1">
        <w:r w:rsidRPr="00F930CC">
          <w:rPr>
            <w:rStyle w:val="Hyperlink"/>
            <w:rFonts w:ascii="Arial" w:hAnsi="Arial" w:cs="Arial"/>
            <w:sz w:val="24"/>
            <w:szCs w:val="24"/>
          </w:rPr>
          <w:t>https://www.cambridge.org/core/books/cambridge-handbook-of-workplace-training-and-employee-development/hospitality-training-research/10DB0A68CB979FB1E09E65743B7E1457</w:t>
        </w:r>
      </w:hyperlink>
      <w:r>
        <w:rPr>
          <w:rFonts w:ascii="Arial" w:hAnsi="Arial" w:cs="Arial"/>
          <w:sz w:val="24"/>
          <w:szCs w:val="24"/>
        </w:rPr>
        <w:t xml:space="preserve"> (Access on 13 November 2025)</w:t>
      </w:r>
    </w:p>
    <w:p w14:paraId="044EDB83" w14:textId="77777777" w:rsidR="00D36914" w:rsidRDefault="00D36914" w:rsidP="00064788">
      <w:pPr>
        <w:rPr>
          <w:rFonts w:ascii="Arial" w:hAnsi="Arial" w:cs="Arial"/>
          <w:sz w:val="24"/>
          <w:szCs w:val="24"/>
        </w:rPr>
      </w:pPr>
      <w:r w:rsidRPr="00064788">
        <w:rPr>
          <w:rFonts w:ascii="Arial" w:hAnsi="Arial" w:cs="Arial"/>
          <w:sz w:val="24"/>
          <w:szCs w:val="24"/>
        </w:rPr>
        <w:t xml:space="preserve">TripAdvisor (Parc-Le-Breos listings &amp; reviews). Available at: </w:t>
      </w:r>
      <w:hyperlink r:id="rId39" w:history="1">
        <w:r w:rsidRPr="00F930CC">
          <w:rPr>
            <w:rStyle w:val="Hyperlink"/>
            <w:rFonts w:ascii="Arial" w:hAnsi="Arial" w:cs="Arial"/>
            <w:sz w:val="24"/>
            <w:szCs w:val="24"/>
          </w:rPr>
          <w:t>https://www.tripadvisor.co.uk/</w:t>
        </w:r>
      </w:hyperlink>
      <w:r>
        <w:rPr>
          <w:rFonts w:ascii="Arial" w:hAnsi="Arial" w:cs="Arial"/>
          <w:sz w:val="24"/>
          <w:szCs w:val="24"/>
        </w:rPr>
        <w:t xml:space="preserve"> (Access on 2 November 2025)</w:t>
      </w:r>
    </w:p>
    <w:p w14:paraId="6047E003" w14:textId="77777777" w:rsidR="00D36914" w:rsidRDefault="00D36914" w:rsidP="00064788">
      <w:pPr>
        <w:rPr>
          <w:rFonts w:ascii="Arial" w:hAnsi="Arial" w:cs="Arial"/>
          <w:sz w:val="24"/>
          <w:szCs w:val="24"/>
        </w:rPr>
      </w:pPr>
      <w:r w:rsidRPr="00225490">
        <w:rPr>
          <w:rFonts w:ascii="Arial" w:hAnsi="Arial" w:cs="Arial"/>
          <w:sz w:val="24"/>
          <w:szCs w:val="24"/>
        </w:rPr>
        <w:t>van Leeuwen, J. &amp; Koole, S. (2021) ‘Data-driven market segmentation in hospitality’, Tourism Analytics, 7(3), pp. 45</w:t>
      </w:r>
      <w:r w:rsidRPr="00225490">
        <w:rPr>
          <w:rFonts w:ascii="Cambria Math" w:hAnsi="Cambria Math" w:cs="Cambria Math"/>
          <w:sz w:val="24"/>
          <w:szCs w:val="24"/>
        </w:rPr>
        <w:t>‑</w:t>
      </w:r>
      <w:r w:rsidRPr="00225490">
        <w:rPr>
          <w:rFonts w:ascii="Arial" w:hAnsi="Arial" w:cs="Arial"/>
          <w:sz w:val="24"/>
          <w:szCs w:val="24"/>
        </w:rPr>
        <w:t>60.</w:t>
      </w:r>
      <w:r>
        <w:rPr>
          <w:rFonts w:ascii="Arial" w:hAnsi="Arial" w:cs="Arial"/>
          <w:sz w:val="24"/>
          <w:szCs w:val="24"/>
        </w:rPr>
        <w:t xml:space="preserve">Avilable at: </w:t>
      </w:r>
      <w:hyperlink r:id="rId40" w:history="1">
        <w:r w:rsidRPr="00F930CC">
          <w:rPr>
            <w:rStyle w:val="Hyperlink"/>
            <w:rFonts w:ascii="Arial" w:hAnsi="Arial" w:cs="Arial"/>
            <w:sz w:val="24"/>
            <w:szCs w:val="24"/>
          </w:rPr>
          <w:t>https://www.sciencedirect.com/science/article/pii/S2666827022000895</w:t>
        </w:r>
      </w:hyperlink>
      <w:r>
        <w:rPr>
          <w:rFonts w:ascii="Arial" w:hAnsi="Arial" w:cs="Arial"/>
          <w:sz w:val="24"/>
          <w:szCs w:val="24"/>
        </w:rPr>
        <w:t xml:space="preserve"> (Access on 10 November 2025</w:t>
      </w:r>
    </w:p>
    <w:p w14:paraId="4069CAD7" w14:textId="77777777" w:rsidR="00D36914" w:rsidRDefault="00D36914" w:rsidP="0014353B">
      <w:pPr>
        <w:rPr>
          <w:rFonts w:ascii="Arial" w:hAnsi="Arial" w:cs="Arial"/>
          <w:sz w:val="24"/>
          <w:szCs w:val="24"/>
        </w:rPr>
      </w:pPr>
      <w:r w:rsidRPr="0014353B">
        <w:rPr>
          <w:rFonts w:ascii="Arial" w:hAnsi="Arial" w:cs="Arial"/>
          <w:sz w:val="24"/>
          <w:szCs w:val="24"/>
        </w:rPr>
        <w:t xml:space="preserve">VisitEngland (2023) England Hotel Occupancy Data: Quarterly Survey, April 2023. Available at: </w:t>
      </w:r>
      <w:hyperlink r:id="rId41" w:history="1">
        <w:r w:rsidRPr="00F930CC">
          <w:rPr>
            <w:rStyle w:val="Hyperlink"/>
            <w:rFonts w:ascii="Arial" w:hAnsi="Arial" w:cs="Arial"/>
            <w:sz w:val="24"/>
            <w:szCs w:val="24"/>
          </w:rPr>
          <w:t>https://www.visitbritain.org/sites/ind/files/2023-07/england_hotel_occupancy_data_april_2023.pdf</w:t>
        </w:r>
      </w:hyperlink>
      <w:r>
        <w:rPr>
          <w:rFonts w:ascii="Arial" w:hAnsi="Arial" w:cs="Arial"/>
          <w:sz w:val="24"/>
          <w:szCs w:val="24"/>
        </w:rPr>
        <w:t xml:space="preserve"> (</w:t>
      </w:r>
      <w:r w:rsidRPr="0014353B">
        <w:rPr>
          <w:rFonts w:ascii="Arial" w:hAnsi="Arial" w:cs="Arial"/>
          <w:sz w:val="24"/>
          <w:szCs w:val="24"/>
        </w:rPr>
        <w:t>Accessed 1</w:t>
      </w:r>
      <w:r>
        <w:rPr>
          <w:rFonts w:ascii="Arial" w:hAnsi="Arial" w:cs="Arial"/>
          <w:sz w:val="24"/>
          <w:szCs w:val="24"/>
        </w:rPr>
        <w:t>0</w:t>
      </w:r>
      <w:r w:rsidRPr="0014353B">
        <w:rPr>
          <w:rFonts w:ascii="Arial" w:hAnsi="Arial" w:cs="Arial"/>
          <w:sz w:val="24"/>
          <w:szCs w:val="24"/>
        </w:rPr>
        <w:t xml:space="preserve"> Nov. 2025</w:t>
      </w:r>
      <w:r>
        <w:rPr>
          <w:rFonts w:ascii="Arial" w:hAnsi="Arial" w:cs="Arial"/>
          <w:sz w:val="24"/>
          <w:szCs w:val="24"/>
        </w:rPr>
        <w:t>)</w:t>
      </w:r>
    </w:p>
    <w:p w14:paraId="35976E7A" w14:textId="77777777" w:rsidR="00D36914" w:rsidRDefault="00D36914" w:rsidP="00064788">
      <w:pPr>
        <w:rPr>
          <w:rFonts w:ascii="Arial" w:hAnsi="Arial" w:cs="Arial"/>
          <w:sz w:val="24"/>
          <w:szCs w:val="24"/>
        </w:rPr>
      </w:pPr>
      <w:r w:rsidRPr="00642A31">
        <w:rPr>
          <w:rFonts w:ascii="Arial" w:hAnsi="Arial" w:cs="Arial"/>
          <w:sz w:val="24"/>
          <w:szCs w:val="24"/>
        </w:rPr>
        <w:t>Vukolic D, Gajić T, Penic M (2025), "The effect of social networks on the development of gastronomy – the way forward to the development of gastronomy tourism in Serbia". Journal of Tourism Future</w:t>
      </w:r>
      <w:r>
        <w:rPr>
          <w:rFonts w:ascii="Arial" w:hAnsi="Arial" w:cs="Arial"/>
          <w:sz w:val="24"/>
          <w:szCs w:val="24"/>
        </w:rPr>
        <w:t xml:space="preserve">. Available at: </w:t>
      </w:r>
      <w:hyperlink r:id="rId42" w:history="1">
        <w:r w:rsidRPr="00F930CC">
          <w:rPr>
            <w:rStyle w:val="Hyperlink"/>
            <w:rFonts w:ascii="Arial" w:hAnsi="Arial" w:cs="Arial"/>
            <w:sz w:val="24"/>
            <w:szCs w:val="24"/>
          </w:rPr>
          <w:t>https://www.emerald.com/jtf/article/11/1/124/1274546/The-effect-of-social-networks-on-the-development</w:t>
        </w:r>
      </w:hyperlink>
      <w:r>
        <w:rPr>
          <w:rFonts w:ascii="Arial" w:hAnsi="Arial" w:cs="Arial"/>
          <w:sz w:val="24"/>
          <w:szCs w:val="24"/>
        </w:rPr>
        <w:t xml:space="preserve"> (Access on 11 November 2025)</w:t>
      </w:r>
    </w:p>
    <w:p w14:paraId="0D760608" w14:textId="77777777" w:rsidR="00D36914" w:rsidRPr="0014353B" w:rsidRDefault="00D36914" w:rsidP="0014353B">
      <w:pPr>
        <w:rPr>
          <w:rFonts w:ascii="Arial" w:hAnsi="Arial" w:cs="Arial"/>
          <w:sz w:val="24"/>
          <w:szCs w:val="24"/>
        </w:rPr>
      </w:pPr>
      <w:r w:rsidRPr="0014353B">
        <w:rPr>
          <w:rFonts w:ascii="Arial" w:hAnsi="Arial" w:cs="Arial"/>
          <w:sz w:val="24"/>
          <w:szCs w:val="24"/>
        </w:rPr>
        <w:t>Welsh Government (2024) Wales Tourism Accommodation Occupancy Surveys 2023.</w:t>
      </w:r>
      <w:r>
        <w:rPr>
          <w:rFonts w:ascii="Arial" w:hAnsi="Arial" w:cs="Arial"/>
          <w:sz w:val="24"/>
          <w:szCs w:val="24"/>
        </w:rPr>
        <w:t xml:space="preserve"> </w:t>
      </w:r>
      <w:r w:rsidRPr="0014353B">
        <w:rPr>
          <w:rFonts w:ascii="Arial" w:hAnsi="Arial" w:cs="Arial"/>
          <w:sz w:val="24"/>
          <w:szCs w:val="24"/>
        </w:rPr>
        <w:t xml:space="preserve">Available at: </w:t>
      </w:r>
      <w:hyperlink r:id="rId43" w:history="1">
        <w:r w:rsidRPr="00F930CC">
          <w:rPr>
            <w:rStyle w:val="Hyperlink"/>
            <w:rFonts w:ascii="Arial" w:hAnsi="Arial" w:cs="Arial"/>
            <w:sz w:val="24"/>
            <w:szCs w:val="24"/>
          </w:rPr>
          <w:t>https://www.gov.wales/sites/default/files/statistics-and-research/2024-06/wales-tourism-accommodation-occupancy-surveys-2023-941.pdf</w:t>
        </w:r>
      </w:hyperlink>
      <w:r>
        <w:rPr>
          <w:rFonts w:ascii="Arial" w:hAnsi="Arial" w:cs="Arial"/>
          <w:sz w:val="24"/>
          <w:szCs w:val="24"/>
        </w:rPr>
        <w:t xml:space="preserve"> (</w:t>
      </w:r>
      <w:r w:rsidRPr="0014353B">
        <w:rPr>
          <w:rFonts w:ascii="Arial" w:hAnsi="Arial" w:cs="Arial"/>
          <w:sz w:val="24"/>
          <w:szCs w:val="24"/>
        </w:rPr>
        <w:t>Accessed 1</w:t>
      </w:r>
      <w:r>
        <w:rPr>
          <w:rFonts w:ascii="Arial" w:hAnsi="Arial" w:cs="Arial"/>
          <w:sz w:val="24"/>
          <w:szCs w:val="24"/>
        </w:rPr>
        <w:t>0</w:t>
      </w:r>
      <w:r w:rsidRPr="0014353B">
        <w:rPr>
          <w:rFonts w:ascii="Arial" w:hAnsi="Arial" w:cs="Arial"/>
          <w:sz w:val="24"/>
          <w:szCs w:val="24"/>
        </w:rPr>
        <w:t xml:space="preserve"> Nov. 2025</w:t>
      </w:r>
      <w:r>
        <w:rPr>
          <w:rFonts w:ascii="Arial" w:hAnsi="Arial" w:cs="Arial"/>
          <w:sz w:val="24"/>
          <w:szCs w:val="24"/>
        </w:rPr>
        <w:t>)</w:t>
      </w:r>
      <w:r w:rsidRPr="0014353B">
        <w:rPr>
          <w:rFonts w:ascii="Arial" w:hAnsi="Arial" w:cs="Arial"/>
          <w:sz w:val="24"/>
          <w:szCs w:val="24"/>
        </w:rPr>
        <w:t>.</w:t>
      </w:r>
    </w:p>
    <w:p w14:paraId="03D20DDE" w14:textId="77777777" w:rsidR="00D36914" w:rsidRPr="00064788" w:rsidRDefault="00D36914" w:rsidP="00064788">
      <w:pPr>
        <w:rPr>
          <w:rFonts w:ascii="Arial" w:hAnsi="Arial" w:cs="Arial"/>
          <w:sz w:val="24"/>
          <w:szCs w:val="24"/>
        </w:rPr>
      </w:pPr>
      <w:r w:rsidRPr="00064788">
        <w:rPr>
          <w:rFonts w:ascii="Arial" w:hAnsi="Arial" w:cs="Arial"/>
          <w:sz w:val="24"/>
          <w:szCs w:val="24"/>
        </w:rPr>
        <w:t>Wu, S. H., Ku, E. C., &amp; Wu, T. P. (2023). Increasing restaurants' sales performance: linking suppliers and chefs' culinary knowledge. British Food Journal, 125(1), 345-360. Available at: https://www.emerald.com/bfj/article-abstract/125/1/345/42229/Increasing-restaurants-sales-performance-linking?redirectedFrom=fulltext (Access 28 October 2025)</w:t>
      </w:r>
    </w:p>
    <w:p w14:paraId="2C6AB087" w14:textId="77777777" w:rsidR="00D36914" w:rsidRDefault="00D36914" w:rsidP="00064788">
      <w:pPr>
        <w:rPr>
          <w:rFonts w:ascii="Arial" w:hAnsi="Arial" w:cs="Arial"/>
          <w:sz w:val="24"/>
          <w:szCs w:val="24"/>
        </w:rPr>
      </w:pPr>
      <w:r w:rsidRPr="00064788">
        <w:rPr>
          <w:rFonts w:ascii="Arial" w:hAnsi="Arial" w:cs="Arial"/>
          <w:sz w:val="24"/>
          <w:szCs w:val="24"/>
        </w:rPr>
        <w:t>Wu, S. J., Melnyk, S. A., &amp; Flynn, B. B. (2010). Operational capabilities: The secret ingredient. Decision Sciences, 41(4), 721-754. Available at: https://onlinelibrary.wiley.com/doi/epdf/10.1111/j.1540-5915.2010.00294.x?saml_referrer (Access 29 October 2025)</w:t>
      </w:r>
    </w:p>
    <w:p w14:paraId="1402EB56" w14:textId="4F0AEFDF" w:rsidR="00D36914" w:rsidRDefault="00D36914" w:rsidP="00064788">
      <w:pPr>
        <w:rPr>
          <w:rFonts w:ascii="Arial" w:hAnsi="Arial" w:cs="Arial"/>
          <w:sz w:val="24"/>
          <w:szCs w:val="24"/>
        </w:rPr>
      </w:pPr>
      <w:r w:rsidRPr="003A7829">
        <w:rPr>
          <w:rFonts w:ascii="Arial" w:hAnsi="Arial" w:cs="Arial"/>
          <w:sz w:val="24"/>
          <w:szCs w:val="24"/>
        </w:rPr>
        <w:t xml:space="preserve">Yoo, M. &amp; Dalton, A.N. (2021) Operations Management in the Hospitality Industry. 1st </w:t>
      </w:r>
      <w:proofErr w:type="spellStart"/>
      <w:r w:rsidRPr="003A7829">
        <w:rPr>
          <w:rFonts w:ascii="Arial" w:hAnsi="Arial" w:cs="Arial"/>
          <w:sz w:val="24"/>
          <w:szCs w:val="24"/>
        </w:rPr>
        <w:t>edn</w:t>
      </w:r>
      <w:proofErr w:type="spellEnd"/>
      <w:r w:rsidRPr="003A7829">
        <w:rPr>
          <w:rFonts w:ascii="Arial" w:hAnsi="Arial" w:cs="Arial"/>
          <w:sz w:val="24"/>
          <w:szCs w:val="24"/>
        </w:rPr>
        <w:t>. Bingley: Emerald Publishing.</w:t>
      </w:r>
    </w:p>
    <w:sectPr w:rsidR="00D36914" w:rsidSect="00B44DDD">
      <w:headerReference w:type="default" r:id="rId4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CF04F" w14:textId="77777777" w:rsidR="00592DCE" w:rsidRDefault="00592DCE" w:rsidP="0026362B">
      <w:pPr>
        <w:spacing w:after="0" w:line="240" w:lineRule="auto"/>
      </w:pPr>
      <w:r>
        <w:separator/>
      </w:r>
    </w:p>
  </w:endnote>
  <w:endnote w:type="continuationSeparator" w:id="0">
    <w:p w14:paraId="15A6455E" w14:textId="77777777" w:rsidR="00592DCE" w:rsidRDefault="00592DCE" w:rsidP="00263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15482" w14:textId="77777777" w:rsidR="00592DCE" w:rsidRDefault="00592DCE" w:rsidP="0026362B">
      <w:pPr>
        <w:spacing w:after="0" w:line="240" w:lineRule="auto"/>
      </w:pPr>
      <w:r>
        <w:separator/>
      </w:r>
    </w:p>
  </w:footnote>
  <w:footnote w:type="continuationSeparator" w:id="0">
    <w:p w14:paraId="2AB53732" w14:textId="77777777" w:rsidR="00592DCE" w:rsidRDefault="00592DCE" w:rsidP="00263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7094D" w14:textId="77777777" w:rsidR="0026362B" w:rsidRDefault="002636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76411"/>
    <w:multiLevelType w:val="hybridMultilevel"/>
    <w:tmpl w:val="7890A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F3976"/>
    <w:multiLevelType w:val="hybridMultilevel"/>
    <w:tmpl w:val="55C6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F5CCC"/>
    <w:multiLevelType w:val="hybridMultilevel"/>
    <w:tmpl w:val="83E0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522BF8"/>
    <w:multiLevelType w:val="hybridMultilevel"/>
    <w:tmpl w:val="EB68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70E7B"/>
    <w:multiLevelType w:val="hybridMultilevel"/>
    <w:tmpl w:val="4C2A6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C04A66"/>
    <w:multiLevelType w:val="hybridMultilevel"/>
    <w:tmpl w:val="BCBAB87A"/>
    <w:lvl w:ilvl="0" w:tplc="08090001">
      <w:start w:val="1"/>
      <w:numFmt w:val="bullet"/>
      <w:lvlText w:val=""/>
      <w:lvlJc w:val="left"/>
      <w:pPr>
        <w:ind w:left="720" w:hanging="360"/>
      </w:pPr>
      <w:rPr>
        <w:rFonts w:ascii="Symbol" w:hAnsi="Symbol" w:hint="default"/>
      </w:rPr>
    </w:lvl>
    <w:lvl w:ilvl="1" w:tplc="C2C0CD74">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09240B"/>
    <w:multiLevelType w:val="hybridMultilevel"/>
    <w:tmpl w:val="E854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965788">
    <w:abstractNumId w:val="5"/>
  </w:num>
  <w:num w:numId="2" w16cid:durableId="1786391125">
    <w:abstractNumId w:val="3"/>
  </w:num>
  <w:num w:numId="3" w16cid:durableId="1284581351">
    <w:abstractNumId w:val="0"/>
  </w:num>
  <w:num w:numId="4" w16cid:durableId="56249467">
    <w:abstractNumId w:val="4"/>
  </w:num>
  <w:num w:numId="5" w16cid:durableId="1652832455">
    <w:abstractNumId w:val="6"/>
  </w:num>
  <w:num w:numId="6" w16cid:durableId="859709045">
    <w:abstractNumId w:val="1"/>
  </w:num>
  <w:num w:numId="7" w16cid:durableId="15939735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DDD"/>
    <w:rsid w:val="00047836"/>
    <w:rsid w:val="00064788"/>
    <w:rsid w:val="000D413A"/>
    <w:rsid w:val="000E45F8"/>
    <w:rsid w:val="0014353B"/>
    <w:rsid w:val="00166584"/>
    <w:rsid w:val="001F0278"/>
    <w:rsid w:val="0020141A"/>
    <w:rsid w:val="0021791D"/>
    <w:rsid w:val="00225490"/>
    <w:rsid w:val="0024360B"/>
    <w:rsid w:val="00254D34"/>
    <w:rsid w:val="00255688"/>
    <w:rsid w:val="0026362B"/>
    <w:rsid w:val="003A7829"/>
    <w:rsid w:val="004329C9"/>
    <w:rsid w:val="00442A0E"/>
    <w:rsid w:val="004946AA"/>
    <w:rsid w:val="004E1A1E"/>
    <w:rsid w:val="004F03D9"/>
    <w:rsid w:val="005048F1"/>
    <w:rsid w:val="005900E4"/>
    <w:rsid w:val="00592DCE"/>
    <w:rsid w:val="005D2565"/>
    <w:rsid w:val="00642A31"/>
    <w:rsid w:val="00651750"/>
    <w:rsid w:val="00657403"/>
    <w:rsid w:val="00711E04"/>
    <w:rsid w:val="00722CA8"/>
    <w:rsid w:val="007265FA"/>
    <w:rsid w:val="007B574A"/>
    <w:rsid w:val="007F5D6F"/>
    <w:rsid w:val="00882CDC"/>
    <w:rsid w:val="008E460C"/>
    <w:rsid w:val="008E6202"/>
    <w:rsid w:val="008F4BD9"/>
    <w:rsid w:val="00931C3A"/>
    <w:rsid w:val="00A50A3C"/>
    <w:rsid w:val="00A82725"/>
    <w:rsid w:val="00AA21FB"/>
    <w:rsid w:val="00B44DDD"/>
    <w:rsid w:val="00B85EEA"/>
    <w:rsid w:val="00C059AD"/>
    <w:rsid w:val="00D21390"/>
    <w:rsid w:val="00D36914"/>
    <w:rsid w:val="00D65539"/>
    <w:rsid w:val="00E54710"/>
    <w:rsid w:val="00E674DC"/>
    <w:rsid w:val="00E93D91"/>
    <w:rsid w:val="00EC4776"/>
    <w:rsid w:val="00F170EE"/>
    <w:rsid w:val="00F358FA"/>
    <w:rsid w:val="00F77CFF"/>
    <w:rsid w:val="00FA35D2"/>
    <w:rsid w:val="00FB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168D"/>
  <w15:chartTrackingRefBased/>
  <w15:docId w15:val="{39B77B90-F520-43D1-B3A9-B86779958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DDD"/>
    <w:rPr>
      <w:rFonts w:eastAsiaTheme="majorEastAsia" w:cstheme="majorBidi"/>
      <w:color w:val="272727" w:themeColor="text1" w:themeTint="D8"/>
    </w:rPr>
  </w:style>
  <w:style w:type="paragraph" w:styleId="Title">
    <w:name w:val="Title"/>
    <w:basedOn w:val="Normal"/>
    <w:next w:val="Normal"/>
    <w:link w:val="TitleChar"/>
    <w:uiPriority w:val="10"/>
    <w:qFormat/>
    <w:rsid w:val="00B44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DDD"/>
    <w:pPr>
      <w:spacing w:before="160"/>
      <w:jc w:val="center"/>
    </w:pPr>
    <w:rPr>
      <w:i/>
      <w:iCs/>
      <w:color w:val="404040" w:themeColor="text1" w:themeTint="BF"/>
    </w:rPr>
  </w:style>
  <w:style w:type="character" w:customStyle="1" w:styleId="QuoteChar">
    <w:name w:val="Quote Char"/>
    <w:basedOn w:val="DefaultParagraphFont"/>
    <w:link w:val="Quote"/>
    <w:uiPriority w:val="29"/>
    <w:rsid w:val="00B44DDD"/>
    <w:rPr>
      <w:i/>
      <w:iCs/>
      <w:color w:val="404040" w:themeColor="text1" w:themeTint="BF"/>
    </w:rPr>
  </w:style>
  <w:style w:type="paragraph" w:styleId="ListParagraph">
    <w:name w:val="List Paragraph"/>
    <w:basedOn w:val="Normal"/>
    <w:uiPriority w:val="34"/>
    <w:qFormat/>
    <w:rsid w:val="00B44DDD"/>
    <w:pPr>
      <w:ind w:left="720"/>
      <w:contextualSpacing/>
    </w:pPr>
  </w:style>
  <w:style w:type="character" w:styleId="IntenseEmphasis">
    <w:name w:val="Intense Emphasis"/>
    <w:basedOn w:val="DefaultParagraphFont"/>
    <w:uiPriority w:val="21"/>
    <w:qFormat/>
    <w:rsid w:val="00B44DDD"/>
    <w:rPr>
      <w:i/>
      <w:iCs/>
      <w:color w:val="0F4761" w:themeColor="accent1" w:themeShade="BF"/>
    </w:rPr>
  </w:style>
  <w:style w:type="paragraph" w:styleId="IntenseQuote">
    <w:name w:val="Intense Quote"/>
    <w:basedOn w:val="Normal"/>
    <w:next w:val="Normal"/>
    <w:link w:val="IntenseQuoteChar"/>
    <w:uiPriority w:val="30"/>
    <w:qFormat/>
    <w:rsid w:val="00B44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DDD"/>
    <w:rPr>
      <w:i/>
      <w:iCs/>
      <w:color w:val="0F4761" w:themeColor="accent1" w:themeShade="BF"/>
    </w:rPr>
  </w:style>
  <w:style w:type="character" w:styleId="IntenseReference">
    <w:name w:val="Intense Reference"/>
    <w:basedOn w:val="DefaultParagraphFont"/>
    <w:uiPriority w:val="32"/>
    <w:qFormat/>
    <w:rsid w:val="00B44DDD"/>
    <w:rPr>
      <w:b/>
      <w:bCs/>
      <w:smallCaps/>
      <w:color w:val="0F4761" w:themeColor="accent1" w:themeShade="BF"/>
      <w:spacing w:val="5"/>
    </w:rPr>
  </w:style>
  <w:style w:type="character" w:styleId="Hyperlink">
    <w:name w:val="Hyperlink"/>
    <w:basedOn w:val="DefaultParagraphFont"/>
    <w:uiPriority w:val="99"/>
    <w:unhideWhenUsed/>
    <w:rsid w:val="007B574A"/>
    <w:rPr>
      <w:color w:val="467886" w:themeColor="hyperlink"/>
      <w:u w:val="single"/>
    </w:rPr>
  </w:style>
  <w:style w:type="character" w:styleId="UnresolvedMention">
    <w:name w:val="Unresolved Mention"/>
    <w:basedOn w:val="DefaultParagraphFont"/>
    <w:uiPriority w:val="99"/>
    <w:semiHidden/>
    <w:unhideWhenUsed/>
    <w:rsid w:val="007B574A"/>
    <w:rPr>
      <w:color w:val="605E5C"/>
      <w:shd w:val="clear" w:color="auto" w:fill="E1DFDD"/>
    </w:rPr>
  </w:style>
  <w:style w:type="table" w:styleId="TableGrid">
    <w:name w:val="Table Grid"/>
    <w:basedOn w:val="TableNormal"/>
    <w:uiPriority w:val="39"/>
    <w:rsid w:val="00201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0141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6202"/>
    <w:rPr>
      <w:color w:val="96607D" w:themeColor="followedHyperlink"/>
      <w:u w:val="single"/>
    </w:rPr>
  </w:style>
  <w:style w:type="paragraph" w:styleId="TOCHeading">
    <w:name w:val="TOC Heading"/>
    <w:basedOn w:val="Heading1"/>
    <w:next w:val="Normal"/>
    <w:uiPriority w:val="39"/>
    <w:unhideWhenUsed/>
    <w:qFormat/>
    <w:rsid w:val="0026362B"/>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263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62B"/>
  </w:style>
  <w:style w:type="paragraph" w:styleId="Footer">
    <w:name w:val="footer"/>
    <w:basedOn w:val="Normal"/>
    <w:link w:val="FooterChar"/>
    <w:uiPriority w:val="99"/>
    <w:unhideWhenUsed/>
    <w:rsid w:val="00263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62B"/>
  </w:style>
  <w:style w:type="paragraph" w:styleId="TOC1">
    <w:name w:val="toc 1"/>
    <w:basedOn w:val="Normal"/>
    <w:next w:val="Normal"/>
    <w:autoRedefine/>
    <w:uiPriority w:val="39"/>
    <w:unhideWhenUsed/>
    <w:rsid w:val="00D369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4790530802252800#d1e237" TargetMode="External"/><Relationship Id="rId18" Type="http://schemas.openxmlformats.org/officeDocument/2006/relationships/hyperlink" Target="https://beachhouseoxwich.co.uk/" TargetMode="External"/><Relationship Id="rId26" Type="http://schemas.openxmlformats.org/officeDocument/2006/relationships/hyperlink" Target="https://jpabdimas.idjournal.eu/index.php/daengku/article/view/3233/2167" TargetMode="External"/><Relationship Id="rId39" Type="http://schemas.openxmlformats.org/officeDocument/2006/relationships/hyperlink" Target="https://www.tripadvisor.co.uk/" TargetMode="External"/><Relationship Id="rId21" Type="http://schemas.openxmlformats.org/officeDocument/2006/relationships/hyperlink" Target="https://digitalcommons.usf.edu/m3publishing/vol18/iss9781732127586/11/" TargetMode="External"/><Relationship Id="rId34" Type="http://schemas.openxmlformats.org/officeDocument/2006/relationships/hyperlink" Target="https://www.mdpi.com/2071-1050/15/3/2683" TargetMode="External"/><Relationship Id="rId42" Type="http://schemas.openxmlformats.org/officeDocument/2006/relationships/hyperlink" Target="https://www.emerald.com/jtf/article/11/1/124/1274546/The-effect-of-social-networks-on-the-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od.gov.uk/local-authorities/summary-report-of-2023-2024-and-2024-2025-audit-programme-local-authority-service-delivery-planning-processes-and-arrangements" TargetMode="External"/><Relationship Id="rId29" Type="http://schemas.openxmlformats.org/officeDocument/2006/relationships/hyperlink" Target="https://www.opentable.co.uk/restaurant-solutions/resources/restaurant-table-turnov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0548408.2019.1592059?scroll=top&amp;needAccess=true#abstract" TargetMode="External"/><Relationship Id="rId24" Type="http://schemas.openxmlformats.org/officeDocument/2006/relationships/hyperlink" Target="https://www.sciencedirect.com/science/article/pii/S0261517711000033" TargetMode="External"/><Relationship Id="rId32" Type="http://schemas.openxmlformats.org/officeDocument/2006/relationships/hyperlink" Target="https://www.researchgate.net/publication/329049970_A_Conceptual_Model_of_Service_Quality_and_Its_Implications_for_Future_Research" TargetMode="External"/><Relationship Id="rId37" Type="http://schemas.openxmlformats.org/officeDocument/2006/relationships/hyperlink" Target="https://in-library.uz/index.php/ijai/article/view/97962" TargetMode="External"/><Relationship Id="rId40" Type="http://schemas.openxmlformats.org/officeDocument/2006/relationships/hyperlink" Target="https://www.sciencedirect.com/science/article/pii/S2666827022000895"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bes.com/advisor/business/porters-five-forces/" TargetMode="External"/><Relationship Id="rId23" Type="http://schemas.openxmlformats.org/officeDocument/2006/relationships/hyperlink" Target="https://doi.org/10.1108/TR-07-2022-0319" TargetMode="External"/><Relationship Id="rId28" Type="http://schemas.openxmlformats.org/officeDocument/2006/relationships/hyperlink" Target="https://d1wqtxts1xzle7.cloudfront.net/95757830/462-libre.pdf?1671029786=&amp;response-content-disposition=inline%3B+filename%3DDifferentiation_strategy_firm_structure.pdf&amp;Expires=1763111416&amp;Signature=B11~O3DpPvIo-2ZmuHMh2O1iwh9LgEeazfYrS8R5Sk5c3TlqG7i2PdeDGe9EaH3AQkCTSN4zUjkpd7OgO-pDBmTfPuuElQ6V8sWtmX9GA5rQG4oTwuOvyxHqbChUVVS3IYLpbNMOhnydFRbGdUx0rPWQ6U3Zz~f3TLQDoz3aze3GF6cUkTeAAzWgYcsIAyI6fyS7W3hT6Zy9fx8mFEjGPldDHIUYEuEDqb5CFbFDaTSW3kZgl6PRwKSQvHd~hWuI-LFRxigFZWstELq66eEHz-1u0krd3DYxhWUyyQpGaGAsdtuKup8JtAluqySLtwxqMyAWdoBUhdqzVlNP2zVPdA__&amp;Key-Pair-Id=APKAJLOHF5GGSLRBV4ZA" TargetMode="External"/><Relationship Id="rId36" Type="http://schemas.openxmlformats.org/officeDocument/2006/relationships/hyperlink" Target="https://www.sciencedirect.com/science/article/pii/S0261517711000033" TargetMode="External"/><Relationship Id="rId10" Type="http://schemas.openxmlformats.org/officeDocument/2006/relationships/hyperlink" Target="https://www.emerald.com/ijoa/article-abstract/30/3/679/444960/Impact-of-online-social-media-activities-on?redirectedFrom=fulltext" TargetMode="External"/><Relationship Id="rId19" Type="http://schemas.openxmlformats.org/officeDocument/2006/relationships/hyperlink" Target="https://www.hansonatthechelsea.co.uk/" TargetMode="External"/><Relationship Id="rId31" Type="http://schemas.openxmlformats.org/officeDocument/2006/relationships/hyperlink" Target="https://journals.sagepub.com/doi/epdf/10.1177/1094670504271156"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igitalcommons.usf.edu/m3publishing/vol5/iss2021/11/" TargetMode="External"/><Relationship Id="rId14" Type="http://schemas.openxmlformats.org/officeDocument/2006/relationships/hyperlink" Target="https://www.mdpi.com/2071-1050/10/2/443" TargetMode="External"/><Relationship Id="rId22" Type="http://schemas.openxmlformats.org/officeDocument/2006/relationships/hyperlink" Target="https://www.doi.org/10.5038/2771-5957.3.2.1056" TargetMode="External"/><Relationship Id="rId27" Type="http://schemas.openxmlformats.org/officeDocument/2006/relationships/hyperlink" Target="https://www.emerald.com/josm/article-pdf/20/4/380/1572308/09564230910978494.pdf" TargetMode="External"/><Relationship Id="rId30" Type="http://schemas.openxmlformats.org/officeDocument/2006/relationships/hyperlink" Target="https://helda.helsinki.fi/server/api/core/bitstreams/09e1fd78-f29d-40f0-87f3-47f56758b3b0/content" TargetMode="External"/><Relationship Id="rId35" Type="http://schemas.openxmlformats.org/officeDocument/2006/relationships/hyperlink" Target="https://www.researchgate.net/profile/Samerdanta-Sinulingga/publication/384895690_Optimizing_Hotel_Management_Performance_Through_Standard_Operating_Procedures_A_Path_Model_Analysis_and_Strategic_Monitoring_Framework/links/670e689c8e87ce48524d5d6f/Optimizing-Hotel-Management-Performance-Through-Standard-Operating-Procedures-A-Path-Model-Analysis-and-Strategic-Monitoring-Framework.pdf" TargetMode="External"/><Relationship Id="rId43" Type="http://schemas.openxmlformats.org/officeDocument/2006/relationships/hyperlink" Target="https://www.gov.wales/sites/default/files/statistics-and-research/2024-06/wales-tourism-accommodation-occupancy-surveys-2023-941.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andfonline.com/doi/full/10.1080/10548408.2019.1592059?needAccess=true#abstract" TargetMode="External"/><Relationship Id="rId17" Type="http://schemas.openxmlformats.org/officeDocument/2006/relationships/hyperlink" Target="https://ppsms.umt.edu.my/wp-content/uploads/sites/53/2018/03/6.1.11.pdf" TargetMode="External"/><Relationship Id="rId25" Type="http://schemas.openxmlformats.org/officeDocument/2006/relationships/hyperlink" Target="https://www.businessinsider.com/gen-z-restaurant-discovery-social-media-2025-11" TargetMode="External"/><Relationship Id="rId33" Type="http://schemas.openxmlformats.org/officeDocument/2006/relationships/hyperlink" Target="https://onlinelibrary.wiley.com/doi/epdf/10.1002/jtr.879?saml_referrer" TargetMode="External"/><Relationship Id="rId38" Type="http://schemas.openxmlformats.org/officeDocument/2006/relationships/hyperlink" Target="https://www.cambridge.org/core/books/cambridge-handbook-of-workplace-training-and-employee-development/hospitality-training-research/10DB0A68CB979FB1E09E65743B7E1457" TargetMode="External"/><Relationship Id="rId46" Type="http://schemas.openxmlformats.org/officeDocument/2006/relationships/theme" Target="theme/theme1.xml"/><Relationship Id="rId20" Type="http://schemas.openxmlformats.org/officeDocument/2006/relationships/hyperlink" Target="https://www.welcomecountrypubkitchen-gower.foodndrink.uk/" TargetMode="External"/><Relationship Id="rId41" Type="http://schemas.openxmlformats.org/officeDocument/2006/relationships/hyperlink" Target="https://www.visitbritain.org/sites/ind/files/2023-07/england_hotel_occupancy_data_april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1458</TotalTime>
  <Pages>25</Pages>
  <Words>8954</Words>
  <Characters>54621</Characters>
  <Application>Microsoft Office Word</Application>
  <DocSecurity>0</DocSecurity>
  <Lines>5462</Lines>
  <Paragraphs>2050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15</cp:revision>
  <dcterms:created xsi:type="dcterms:W3CDTF">2025-11-13T20:08:00Z</dcterms:created>
  <dcterms:modified xsi:type="dcterms:W3CDTF">2025-11-14T20:56:00Z</dcterms:modified>
</cp:coreProperties>
</file>