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42100" w14:textId="23BDDE64" w:rsidR="00894AB2" w:rsidRDefault="00894AB2" w:rsidP="00061CFB">
      <w:pPr>
        <w:spacing w:line="360" w:lineRule="auto"/>
        <w:rPr>
          <w:rFonts w:eastAsia="Calibri" w:cstheme="minorHAnsi"/>
          <w:b/>
          <w:bCs/>
          <w:color w:val="353740"/>
          <w:sz w:val="24"/>
          <w:szCs w:val="24"/>
          <w:u w:val="single"/>
        </w:rPr>
      </w:pPr>
      <w:r>
        <w:rPr>
          <w:rFonts w:eastAsia="Calibri" w:cstheme="minorHAnsi"/>
          <w:b/>
          <w:bCs/>
          <w:color w:val="353740"/>
          <w:sz w:val="24"/>
          <w:szCs w:val="24"/>
          <w:u w:val="single"/>
        </w:rPr>
        <w:t xml:space="preserve">Student Name: Claire Davies  </w:t>
      </w:r>
    </w:p>
    <w:p w14:paraId="13F34EC2" w14:textId="09C7DAF9" w:rsidR="00894AB2" w:rsidRDefault="00894AB2" w:rsidP="00061CFB">
      <w:pPr>
        <w:spacing w:line="360" w:lineRule="auto"/>
        <w:rPr>
          <w:rFonts w:eastAsia="Calibri" w:cstheme="minorHAnsi"/>
          <w:b/>
          <w:bCs/>
          <w:color w:val="353740"/>
          <w:sz w:val="24"/>
          <w:szCs w:val="24"/>
          <w:u w:val="single"/>
        </w:rPr>
      </w:pPr>
      <w:r>
        <w:rPr>
          <w:rFonts w:eastAsia="Calibri" w:cstheme="minorHAnsi"/>
          <w:b/>
          <w:bCs/>
          <w:color w:val="353740"/>
          <w:sz w:val="24"/>
          <w:szCs w:val="24"/>
          <w:u w:val="single"/>
        </w:rPr>
        <w:t xml:space="preserve">ID number: </w:t>
      </w:r>
      <w:r w:rsidR="00A350C5">
        <w:rPr>
          <w:rFonts w:eastAsia="Calibri" w:cstheme="minorHAnsi"/>
          <w:b/>
          <w:bCs/>
          <w:color w:val="353740"/>
          <w:sz w:val="24"/>
          <w:szCs w:val="24"/>
          <w:u w:val="single"/>
        </w:rPr>
        <w:t>2124823</w:t>
      </w:r>
    </w:p>
    <w:p w14:paraId="2FD88150" w14:textId="45C4932F" w:rsidR="00894AB2" w:rsidRDefault="00894AB2" w:rsidP="00061CFB">
      <w:pPr>
        <w:spacing w:line="360" w:lineRule="auto"/>
        <w:rPr>
          <w:rFonts w:eastAsia="Calibri" w:cstheme="minorHAnsi"/>
          <w:b/>
          <w:bCs/>
          <w:color w:val="353740"/>
          <w:sz w:val="24"/>
          <w:szCs w:val="24"/>
          <w:u w:val="single"/>
        </w:rPr>
      </w:pPr>
      <w:r>
        <w:rPr>
          <w:rFonts w:eastAsia="Calibri" w:cstheme="minorHAnsi"/>
          <w:b/>
          <w:bCs/>
          <w:color w:val="353740"/>
          <w:sz w:val="24"/>
          <w:szCs w:val="24"/>
          <w:u w:val="single"/>
        </w:rPr>
        <w:t>Module Code: BMP6005D</w:t>
      </w:r>
    </w:p>
    <w:p w14:paraId="722D0EFA" w14:textId="77777777" w:rsidR="00894AB2" w:rsidRDefault="00894AB2" w:rsidP="00061CFB">
      <w:pPr>
        <w:spacing w:line="360" w:lineRule="auto"/>
        <w:rPr>
          <w:rFonts w:eastAsia="Calibri" w:cstheme="minorHAnsi"/>
          <w:b/>
          <w:bCs/>
          <w:color w:val="353740"/>
          <w:sz w:val="24"/>
          <w:szCs w:val="24"/>
          <w:u w:val="single"/>
        </w:rPr>
      </w:pPr>
    </w:p>
    <w:p w14:paraId="78BAB610" w14:textId="460969CF" w:rsidR="00906E0A" w:rsidRPr="00061CFB" w:rsidRDefault="00906E0A" w:rsidP="00061CFB">
      <w:pPr>
        <w:spacing w:line="360" w:lineRule="auto"/>
        <w:rPr>
          <w:rFonts w:eastAsia="Calibri" w:cstheme="minorHAnsi"/>
          <w:b/>
          <w:bCs/>
          <w:color w:val="353740"/>
          <w:sz w:val="24"/>
          <w:szCs w:val="24"/>
          <w:u w:val="single"/>
        </w:rPr>
      </w:pPr>
      <w:r w:rsidRPr="00061CFB">
        <w:rPr>
          <w:rFonts w:eastAsia="Calibri" w:cstheme="minorHAnsi"/>
          <w:b/>
          <w:bCs/>
          <w:color w:val="353740"/>
          <w:sz w:val="24"/>
          <w:szCs w:val="24"/>
          <w:u w:val="single"/>
        </w:rPr>
        <w:t>Assignment 1 – CPTED</w:t>
      </w:r>
    </w:p>
    <w:p w14:paraId="2DE76D9D" w14:textId="2CFD76C9"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Ensuring the safety of a community is of utmost importance, which requires implementing a comprehensive strategy to combat crime. </w:t>
      </w:r>
      <w:r w:rsidR="00061CFB" w:rsidRPr="00061CFB">
        <w:rPr>
          <w:rFonts w:asciiTheme="minorHAnsi" w:hAnsiTheme="minorHAnsi" w:cstheme="minorHAnsi"/>
        </w:rPr>
        <w:t>A systematic strategy called Crime Prevention Through Environmental Design (CPTED) seeks to lower crime rates by carefully planning the physical environment.</w:t>
      </w:r>
    </w:p>
    <w:p w14:paraId="2264FCE0" w14:textId="73E2BB19" w:rsidR="00906E0A" w:rsidRPr="00061CFB" w:rsidRDefault="00061CFB"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Fox (2022) posits that the theoretical framework known as 'Crime Prevention Through Environmental Design' (CPTED) centres on the deliberate design of the built environment </w:t>
      </w:r>
      <w:r w:rsidR="00086D5F">
        <w:rPr>
          <w:rFonts w:asciiTheme="minorHAnsi" w:hAnsiTheme="minorHAnsi" w:cstheme="minorHAnsi"/>
        </w:rPr>
        <w:t>to reduce criminal activity and enhance</w:t>
      </w:r>
      <w:r w:rsidRPr="00061CFB">
        <w:rPr>
          <w:rFonts w:asciiTheme="minorHAnsi" w:hAnsiTheme="minorHAnsi" w:cstheme="minorHAnsi"/>
        </w:rPr>
        <w:t xml:space="preserve"> general safety. CPTED, which stands for Crime Prevention Through Environmental Design, is based on four core ideas. The concepts that are being </w:t>
      </w:r>
      <w:r>
        <w:rPr>
          <w:rFonts w:asciiTheme="minorHAnsi" w:hAnsiTheme="minorHAnsi" w:cstheme="minorHAnsi"/>
        </w:rPr>
        <w:t>mentioned</w:t>
      </w:r>
      <w:r w:rsidRPr="00061CFB">
        <w:rPr>
          <w:rFonts w:asciiTheme="minorHAnsi" w:hAnsiTheme="minorHAnsi" w:cstheme="minorHAnsi"/>
        </w:rPr>
        <w:t xml:space="preserve"> encompass natural surveillance, natural access control, territoriality, and maintenance</w:t>
      </w:r>
      <w:r w:rsidR="007F4DB1">
        <w:rPr>
          <w:rFonts w:asciiTheme="minorHAnsi" w:hAnsiTheme="minorHAnsi" w:cstheme="minorHAnsi"/>
        </w:rPr>
        <w:t xml:space="preserve"> (Design for Security 2023)</w:t>
      </w:r>
      <w:r w:rsidRPr="00061CFB">
        <w:rPr>
          <w:rFonts w:asciiTheme="minorHAnsi" w:hAnsiTheme="minorHAnsi" w:cstheme="minorHAnsi"/>
        </w:rPr>
        <w:t xml:space="preserve">. </w:t>
      </w:r>
      <w:r w:rsidR="00906E0A" w:rsidRPr="00061CFB">
        <w:rPr>
          <w:rFonts w:asciiTheme="minorHAnsi" w:hAnsiTheme="minorHAnsi" w:cstheme="minorHAnsi"/>
        </w:rPr>
        <w:t>CPTED, which stands for Crime Prevention Through Environmental Design, is a strategy that focuses on designing spaces in a manner that discourages criminal activity. Natural surveillance involves implementing measures to ensure clear sightlines, sufficient lighting, and the removal of potential hiding spots</w:t>
      </w:r>
      <w:r w:rsidR="007F4DB1">
        <w:rPr>
          <w:rFonts w:asciiTheme="minorHAnsi" w:hAnsiTheme="minorHAnsi" w:cstheme="minorHAnsi"/>
        </w:rPr>
        <w:t xml:space="preserve"> (Design for Security 2023)</w:t>
      </w:r>
      <w:r w:rsidR="00906E0A" w:rsidRPr="00061CFB">
        <w:rPr>
          <w:rFonts w:asciiTheme="minorHAnsi" w:hAnsiTheme="minorHAnsi" w:cstheme="minorHAnsi"/>
        </w:rPr>
        <w:t>. Natural access control is a security measure that involves the installation of gates, barriers, and locks to restrict the access of potential offenders. Territoriality is established using signs, symbols, and colours. These elements help to mark and define various areas, clearly indicating who is permitted to access them. Furthermore, maintenance duties encompass the crucial task of upholding a clean and organised physical environment. This includes tasks like promptly removing graffiti and repairing any damages that may occur (Fox, 2022).</w:t>
      </w:r>
    </w:p>
    <w:p w14:paraId="1745D2E0" w14:textId="38029802"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The rational choice theory (RCT) holds considerable influence in the field of crime prevention. According to M</w:t>
      </w:r>
      <w:r w:rsidR="007F4DB1">
        <w:rPr>
          <w:rFonts w:asciiTheme="minorHAnsi" w:hAnsiTheme="minorHAnsi" w:cstheme="minorHAnsi"/>
        </w:rPr>
        <w:t xml:space="preserve">erton </w:t>
      </w:r>
      <w:r w:rsidRPr="00061CFB">
        <w:rPr>
          <w:rFonts w:asciiTheme="minorHAnsi" w:hAnsiTheme="minorHAnsi" w:cstheme="minorHAnsi"/>
        </w:rPr>
        <w:t>(202</w:t>
      </w:r>
      <w:r w:rsidR="007F4DB1">
        <w:rPr>
          <w:rFonts w:asciiTheme="minorHAnsi" w:hAnsiTheme="minorHAnsi" w:cstheme="minorHAnsi"/>
        </w:rPr>
        <w:t>3</w:t>
      </w:r>
      <w:r w:rsidRPr="00061CFB">
        <w:rPr>
          <w:rFonts w:asciiTheme="minorHAnsi" w:hAnsiTheme="minorHAnsi" w:cstheme="minorHAnsi"/>
        </w:rPr>
        <w:t xml:space="preserve">), this theory suggests that individuals engage in rational decision-making when considering whether to commit a crime. They carefully </w:t>
      </w:r>
      <w:r w:rsidRPr="00061CFB">
        <w:rPr>
          <w:rFonts w:asciiTheme="minorHAnsi" w:hAnsiTheme="minorHAnsi" w:cstheme="minorHAnsi"/>
        </w:rPr>
        <w:lastRenderedPageBreak/>
        <w:t>evaluate the potential costs and benefits associated with their actions. The RCT (Rational Choice Theory) principles state that changing the environment and reducing the incentives for criminal activity can effectively prevent crime by making the costs of doing so outweigh the benefits. This approach aligns with situational crime prevention (SCP), a strategy that emphasises modifying the environment to reduce criminal opportunities rather than solely targeting the individuals involved (</w:t>
      </w:r>
      <w:r w:rsidR="007F4DB1">
        <w:rPr>
          <w:rFonts w:asciiTheme="minorHAnsi" w:hAnsiTheme="minorHAnsi" w:cstheme="minorHAnsi"/>
        </w:rPr>
        <w:t>Neighbourhood Crime</w:t>
      </w:r>
      <w:r w:rsidRPr="00061CFB">
        <w:rPr>
          <w:rFonts w:asciiTheme="minorHAnsi" w:hAnsiTheme="minorHAnsi" w:cstheme="minorHAnsi"/>
        </w:rPr>
        <w:t>, 2022).</w:t>
      </w:r>
    </w:p>
    <w:p w14:paraId="6CB7A95F"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The effectiveness of environmental design as a crime prevention strategy has been assessed through numerous research studies, leading to varying outcomes. According to a 2008 study by Welsh and Farrington, increased security measures and better lighting conditions are associated with a decrease in criminal activity. A 2015 report by the College of Policing revealed that street lighting improvements in the United Kingdom led to an average reduction of thirty-eight crimes per year. However, critics of Defensible Space (DS) have pointed out that Newman's findings regarding how modifying the physical environment can potentially increase crime were inconsistent in certain cases (Newman, 1972).</w:t>
      </w:r>
    </w:p>
    <w:p w14:paraId="5CE9A516"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A significant study conducted in the United States found that enhancing street lighting in high-crime areas led to an average decrease of seven crimes. According to Welsh and Farrington (2008), the study revealed that the improvement was more effective in reducing daytime crimes compared to nighttime crimes. The findings indicate that a theory of street lighting that prioritises fostering community pride and informal social control is more credible than a theory that solely emphasises deterrence.</w:t>
      </w:r>
    </w:p>
    <w:p w14:paraId="0A6F1556"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While there have been some positive findings, it is crucial to recognise that the introduction of Crime Prevention Through Environmental Design (CPTED) also comes with its fair share of challenges. According to a report by the College of Policing in 2015, several studies have suggested that environmental design might not reduce crime, but instead, it could potentially displace it. Criminals have demonstrated their ability to adapt to changes in their environment and engage in unlawful activities in various locations. Additionally, it is worth noting that the effectiveness of CPTED may vary depending on different populations and circumstances, as emphasised by Newman (1972).</w:t>
      </w:r>
    </w:p>
    <w:p w14:paraId="62923DA3" w14:textId="2FDA3FC9"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lastRenderedPageBreak/>
        <w:t>Critics argue that the focus of CPTED on the physical environment may overlook the broader social and economic factors that play a role in crime. It is crucial to recognise that environmental design alone cannot effectively address all forms of criminal behaviour</w:t>
      </w:r>
      <w:r w:rsidR="007F4DB1">
        <w:rPr>
          <w:rFonts w:asciiTheme="minorHAnsi" w:hAnsiTheme="minorHAnsi" w:cstheme="minorHAnsi"/>
        </w:rPr>
        <w:t xml:space="preserve"> (Home Office and May 2016)</w:t>
      </w:r>
      <w:r w:rsidRPr="00061CFB">
        <w:rPr>
          <w:rFonts w:asciiTheme="minorHAnsi" w:hAnsiTheme="minorHAnsi" w:cstheme="minorHAnsi"/>
        </w:rPr>
        <w:t>. Simply altering the physical environment may not be sufficient to effectively prevent crimes that are influenced by social and economic inequalities. Therefore, it is crucial to adopt a comprehensive approach to crime prevention that involves a range of strategies. The strategies should encompass community involvement, education, and addressing societal inequality</w:t>
      </w:r>
      <w:r w:rsidR="007F4DB1">
        <w:rPr>
          <w:rFonts w:asciiTheme="minorHAnsi" w:hAnsiTheme="minorHAnsi" w:cstheme="minorHAnsi"/>
        </w:rPr>
        <w:t xml:space="preserve"> (Home Office and May 2016)</w:t>
      </w:r>
      <w:r w:rsidRPr="00061CFB">
        <w:rPr>
          <w:rFonts w:asciiTheme="minorHAnsi" w:hAnsiTheme="minorHAnsi" w:cstheme="minorHAnsi"/>
        </w:rPr>
        <w:t>.</w:t>
      </w:r>
    </w:p>
    <w:p w14:paraId="1F53754D" w14:textId="2EB47F21"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Additionally, </w:t>
      </w:r>
      <w:r w:rsidR="00061CFB" w:rsidRPr="00061CFB">
        <w:rPr>
          <w:rFonts w:asciiTheme="minorHAnsi" w:hAnsiTheme="minorHAnsi" w:cstheme="minorHAnsi"/>
        </w:rPr>
        <w:t>it is</w:t>
      </w:r>
      <w:r w:rsidRPr="00061CFB">
        <w:rPr>
          <w:rFonts w:asciiTheme="minorHAnsi" w:hAnsiTheme="minorHAnsi" w:cstheme="minorHAnsi"/>
        </w:rPr>
        <w:t xml:space="preserve"> crucial to keep in mind that the particulars of the crime under investigation may have an impact on CPTED's effectiveness. Environmental measures could potentially be more effective in addressing crimes of opportunity, such as theft and vandalism. However, in cases involving crimes influenced by complex motives or deeply rooted social issues, it may be necessary to develop an overarching strategy. The approach should involve multiple stakeholders, including the police, community groups, and the government</w:t>
      </w:r>
      <w:r w:rsidR="007F4DB1">
        <w:rPr>
          <w:rFonts w:asciiTheme="minorHAnsi" w:hAnsiTheme="minorHAnsi" w:cstheme="minorHAnsi"/>
        </w:rPr>
        <w:t xml:space="preserve"> (Home Office and May 2016)</w:t>
      </w:r>
      <w:r w:rsidRPr="00061CFB">
        <w:rPr>
          <w:rFonts w:asciiTheme="minorHAnsi" w:hAnsiTheme="minorHAnsi" w:cstheme="minorHAnsi"/>
        </w:rPr>
        <w:t>.</w:t>
      </w:r>
    </w:p>
    <w:p w14:paraId="5FC7D1B4"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In conclusion, Crime Prevention Through Environmental Design (CPTED) has the potential to reduce criminal activity by implementing barriers that increase the difficulty for offenders to participate in unlawful behaviour. Although some studies have shown positive results, there are significant difficulties and differences in how they are conducted. The effectiveness of environmental design is evident in many situations, although it may not always achieve the intended results. To enhance the effectiveness of CPTED, it is crucial to conduct a comprehensive evaluation of its activities and address any potential issues that may arise.</w:t>
      </w:r>
    </w:p>
    <w:p w14:paraId="0FC4D237"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To create successful and long-lasting methods for reducing crime, it is essential to combine CPTED with other crime prevention strategies and recognise the complex nature of criminal activities. By combining environmental design with community engagement, social programmes, and policy initiatives, communities have the potential to enhance safety and improve the well-being of their residents.</w:t>
      </w:r>
    </w:p>
    <w:p w14:paraId="0CC14A12" w14:textId="5DBB0425" w:rsidR="00906E0A" w:rsidRPr="00061CFB" w:rsidRDefault="00906E0A" w:rsidP="00061CFB">
      <w:pPr>
        <w:spacing w:line="360" w:lineRule="auto"/>
        <w:rPr>
          <w:rFonts w:eastAsia="Calibri" w:cstheme="minorHAnsi"/>
          <w:b/>
          <w:bCs/>
          <w:color w:val="353740"/>
          <w:sz w:val="24"/>
          <w:szCs w:val="24"/>
          <w:u w:val="single"/>
        </w:rPr>
      </w:pPr>
      <w:r w:rsidRPr="00061CFB">
        <w:rPr>
          <w:rFonts w:eastAsia="Calibri" w:cstheme="minorHAnsi"/>
          <w:b/>
          <w:bCs/>
          <w:color w:val="353740"/>
          <w:sz w:val="24"/>
          <w:szCs w:val="24"/>
          <w:u w:val="single"/>
        </w:rPr>
        <w:t>9</w:t>
      </w:r>
      <w:r w:rsidR="0005185C">
        <w:rPr>
          <w:rFonts w:eastAsia="Calibri" w:cstheme="minorHAnsi"/>
          <w:b/>
          <w:bCs/>
          <w:color w:val="353740"/>
          <w:sz w:val="24"/>
          <w:szCs w:val="24"/>
          <w:u w:val="single"/>
        </w:rPr>
        <w:t>4</w:t>
      </w:r>
      <w:r w:rsidRPr="00061CFB">
        <w:rPr>
          <w:rFonts w:eastAsia="Calibri" w:cstheme="minorHAnsi"/>
          <w:b/>
          <w:bCs/>
          <w:color w:val="353740"/>
          <w:sz w:val="24"/>
          <w:szCs w:val="24"/>
          <w:u w:val="single"/>
        </w:rPr>
        <w:t>8 words</w:t>
      </w:r>
    </w:p>
    <w:p w14:paraId="275F456B" w14:textId="77777777" w:rsidR="00906E0A" w:rsidRPr="00061CFB" w:rsidRDefault="00906E0A" w:rsidP="00061CFB">
      <w:pPr>
        <w:spacing w:line="360" w:lineRule="auto"/>
        <w:rPr>
          <w:rFonts w:eastAsia="Calibri" w:cstheme="minorHAnsi"/>
          <w:b/>
          <w:bCs/>
          <w:color w:val="353740"/>
          <w:sz w:val="24"/>
          <w:szCs w:val="24"/>
          <w:u w:val="single"/>
        </w:rPr>
      </w:pPr>
      <w:r w:rsidRPr="00061CFB">
        <w:rPr>
          <w:rFonts w:eastAsia="Calibri" w:cstheme="minorHAnsi"/>
          <w:b/>
          <w:bCs/>
          <w:color w:val="353740"/>
          <w:sz w:val="24"/>
          <w:szCs w:val="24"/>
          <w:u w:val="single"/>
        </w:rPr>
        <w:t>Bibliography</w:t>
      </w:r>
    </w:p>
    <w:p w14:paraId="06FA65B5" w14:textId="77777777"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lastRenderedPageBreak/>
        <w:t xml:space="preserve">College of Policing (2015) </w:t>
      </w:r>
      <w:r w:rsidRPr="007F4DB1">
        <w:rPr>
          <w:rFonts w:asciiTheme="minorHAnsi" w:hAnsiTheme="minorHAnsi" w:cstheme="minorHAnsi"/>
          <w:i/>
          <w:iCs/>
        </w:rPr>
        <w:t>Street lighting</w:t>
      </w:r>
      <w:r w:rsidRPr="007F4DB1">
        <w:rPr>
          <w:rFonts w:asciiTheme="minorHAnsi" w:hAnsiTheme="minorHAnsi" w:cstheme="minorHAnsi"/>
        </w:rPr>
        <w:t xml:space="preserve">, </w:t>
      </w:r>
      <w:r w:rsidRPr="007F4DB1">
        <w:rPr>
          <w:rFonts w:asciiTheme="minorHAnsi" w:hAnsiTheme="minorHAnsi" w:cstheme="minorHAnsi"/>
          <w:i/>
          <w:iCs/>
        </w:rPr>
        <w:t>college.police.uk</w:t>
      </w:r>
      <w:r w:rsidRPr="007F4DB1">
        <w:rPr>
          <w:rFonts w:asciiTheme="minorHAnsi" w:hAnsiTheme="minorHAnsi" w:cstheme="minorHAnsi"/>
        </w:rPr>
        <w:t>. Available at: https://www.college.police.uk/research/crime-reduction-toolkit/street-lighting (Accessed: August 30, 2023).</w:t>
      </w:r>
    </w:p>
    <w:p w14:paraId="4F1C886D" w14:textId="77777777"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t xml:space="preserve">Design for Security (2023) </w:t>
      </w:r>
      <w:r w:rsidRPr="007F4DB1">
        <w:rPr>
          <w:rFonts w:asciiTheme="minorHAnsi" w:hAnsiTheme="minorHAnsi" w:cstheme="minorHAnsi"/>
          <w:i/>
          <w:iCs/>
        </w:rPr>
        <w:t>Crime Prevention Through Environmental Design</w:t>
      </w:r>
      <w:r w:rsidRPr="007F4DB1">
        <w:rPr>
          <w:rFonts w:asciiTheme="minorHAnsi" w:hAnsiTheme="minorHAnsi" w:cstheme="minorHAnsi"/>
        </w:rPr>
        <w:t xml:space="preserve">, </w:t>
      </w:r>
      <w:r w:rsidRPr="007F4DB1">
        <w:rPr>
          <w:rFonts w:asciiTheme="minorHAnsi" w:hAnsiTheme="minorHAnsi" w:cstheme="minorHAnsi"/>
          <w:i/>
          <w:iCs/>
        </w:rPr>
        <w:t>designforsecurity.org</w:t>
      </w:r>
      <w:r w:rsidRPr="007F4DB1">
        <w:rPr>
          <w:rFonts w:asciiTheme="minorHAnsi" w:hAnsiTheme="minorHAnsi" w:cstheme="minorHAnsi"/>
        </w:rPr>
        <w:t>. Available at: https://designforsecurity.org/crime-prevention-through-environmental-design/ (Accessed: August 30, 2023).</w:t>
      </w:r>
    </w:p>
    <w:p w14:paraId="14AA95DE" w14:textId="77777777"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t xml:space="preserve">Fox, J. (2022) </w:t>
      </w:r>
      <w:r w:rsidRPr="007F4DB1">
        <w:rPr>
          <w:rFonts w:asciiTheme="minorHAnsi" w:hAnsiTheme="minorHAnsi" w:cstheme="minorHAnsi"/>
          <w:i/>
          <w:iCs/>
        </w:rPr>
        <w:t>Crime Prevention Through Environmental Design (Be Safe)</w:t>
      </w:r>
      <w:r w:rsidRPr="007F4DB1">
        <w:rPr>
          <w:rFonts w:asciiTheme="minorHAnsi" w:hAnsiTheme="minorHAnsi" w:cstheme="minorHAnsi"/>
        </w:rPr>
        <w:t xml:space="preserve">, </w:t>
      </w:r>
      <w:r w:rsidRPr="007F4DB1">
        <w:rPr>
          <w:rFonts w:asciiTheme="minorHAnsi" w:hAnsiTheme="minorHAnsi" w:cstheme="minorHAnsi"/>
          <w:i/>
          <w:iCs/>
        </w:rPr>
        <w:t>safenow.org</w:t>
      </w:r>
      <w:r w:rsidRPr="007F4DB1">
        <w:rPr>
          <w:rFonts w:asciiTheme="minorHAnsi" w:hAnsiTheme="minorHAnsi" w:cstheme="minorHAnsi"/>
        </w:rPr>
        <w:t>. Available at: https://safenow.org/crime-prevention-through-environmental-design/ (Accessed: August 30, 2023).</w:t>
      </w:r>
    </w:p>
    <w:p w14:paraId="6F441813" w14:textId="77777777"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t xml:space="preserve">Home Office and May, M. H. S. T. (2016) </w:t>
      </w:r>
      <w:r w:rsidRPr="007F4DB1">
        <w:rPr>
          <w:rFonts w:asciiTheme="minorHAnsi" w:hAnsiTheme="minorHAnsi" w:cstheme="minorHAnsi"/>
          <w:i/>
          <w:iCs/>
        </w:rPr>
        <w:t>Modern Crime Prevention Strategy</w:t>
      </w:r>
      <w:r w:rsidRPr="007F4DB1">
        <w:rPr>
          <w:rFonts w:asciiTheme="minorHAnsi" w:hAnsiTheme="minorHAnsi" w:cstheme="minorHAnsi"/>
        </w:rPr>
        <w:t xml:space="preserve">, </w:t>
      </w:r>
      <w:r w:rsidRPr="007F4DB1">
        <w:rPr>
          <w:rFonts w:asciiTheme="minorHAnsi" w:hAnsiTheme="minorHAnsi" w:cstheme="minorHAnsi"/>
          <w:i/>
          <w:iCs/>
        </w:rPr>
        <w:t>assets.publishing.service.gov.uk</w:t>
      </w:r>
      <w:r w:rsidRPr="007F4DB1">
        <w:rPr>
          <w:rFonts w:asciiTheme="minorHAnsi" w:hAnsiTheme="minorHAnsi" w:cstheme="minorHAnsi"/>
        </w:rPr>
        <w:t>. United Kingdom.</w:t>
      </w:r>
    </w:p>
    <w:p w14:paraId="225C741C" w14:textId="77777777"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t xml:space="preserve">Merton, R. C. T. in S. R. (2023) “Strain Theory / Anomie in Criminology and Sociology,” </w:t>
      </w:r>
      <w:r w:rsidRPr="007F4DB1">
        <w:rPr>
          <w:rFonts w:asciiTheme="minorHAnsi" w:hAnsiTheme="minorHAnsi" w:cstheme="minorHAnsi"/>
          <w:i/>
          <w:iCs/>
        </w:rPr>
        <w:t>youtube.com</w:t>
      </w:r>
      <w:r w:rsidRPr="007F4DB1">
        <w:rPr>
          <w:rFonts w:asciiTheme="minorHAnsi" w:hAnsiTheme="minorHAnsi" w:cstheme="minorHAnsi"/>
        </w:rPr>
        <w:t>. Available at: https://www.youtube.com/@CriminologyWeb/about (Accessed: August 30, 2023).</w:t>
      </w:r>
    </w:p>
    <w:p w14:paraId="4FDF1C87" w14:textId="5C30AF42"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t xml:space="preserve">Neighbourhood Crime (2022) </w:t>
      </w:r>
      <w:r w:rsidRPr="007F4DB1">
        <w:rPr>
          <w:rFonts w:asciiTheme="minorHAnsi" w:hAnsiTheme="minorHAnsi" w:cstheme="minorHAnsi"/>
          <w:i/>
          <w:iCs/>
        </w:rPr>
        <w:t>What is situational crime prevention?</w:t>
      </w:r>
      <w:r w:rsidRPr="007F4DB1">
        <w:rPr>
          <w:rFonts w:asciiTheme="minorHAnsi" w:hAnsiTheme="minorHAnsi" w:cstheme="minorHAnsi"/>
        </w:rPr>
        <w:t xml:space="preserve"> </w:t>
      </w:r>
      <w:r w:rsidRPr="007F4DB1">
        <w:rPr>
          <w:rFonts w:asciiTheme="minorHAnsi" w:hAnsiTheme="minorHAnsi" w:cstheme="minorHAnsi"/>
          <w:i/>
          <w:iCs/>
        </w:rPr>
        <w:t>college.police.uk</w:t>
      </w:r>
      <w:r w:rsidRPr="007F4DB1">
        <w:rPr>
          <w:rFonts w:asciiTheme="minorHAnsi" w:hAnsiTheme="minorHAnsi" w:cstheme="minorHAnsi"/>
        </w:rPr>
        <w:t>. Available at: https://www.college.police.uk/guidance/neighbourhood-crime/what-situational-crime-prevention (Accessed: August 30, 2023).</w:t>
      </w:r>
    </w:p>
    <w:p w14:paraId="3D565663" w14:textId="77777777" w:rsidR="007F4DB1" w:rsidRPr="007F4DB1" w:rsidRDefault="007F4DB1" w:rsidP="007F4DB1">
      <w:pPr>
        <w:pStyle w:val="NormalWeb"/>
        <w:spacing w:line="360" w:lineRule="auto"/>
        <w:rPr>
          <w:rFonts w:asciiTheme="minorHAnsi" w:hAnsiTheme="minorHAnsi" w:cstheme="minorHAnsi"/>
        </w:rPr>
      </w:pPr>
      <w:r w:rsidRPr="007F4DB1">
        <w:rPr>
          <w:rFonts w:asciiTheme="minorHAnsi" w:eastAsia="Calibri" w:hAnsiTheme="minorHAnsi" w:cstheme="minorHAnsi"/>
        </w:rPr>
        <w:t xml:space="preserve">Welsh, B.C. and Farrington, D.P. (2008) “Effects of Improved Street Lighting on Crime,” </w:t>
      </w:r>
      <w:r w:rsidRPr="007F4DB1">
        <w:rPr>
          <w:rFonts w:asciiTheme="minorHAnsi" w:eastAsia="Calibri" w:hAnsiTheme="minorHAnsi" w:cstheme="minorHAnsi"/>
          <w:i/>
          <w:iCs/>
        </w:rPr>
        <w:t>Campbell Systematic Reviews</w:t>
      </w:r>
      <w:r w:rsidRPr="007F4DB1">
        <w:rPr>
          <w:rFonts w:asciiTheme="minorHAnsi" w:eastAsia="Calibri" w:hAnsiTheme="minorHAnsi" w:cstheme="minorHAnsi"/>
        </w:rPr>
        <w:t>, 4(1), pp. 1–51. doi:10.4073/csr.2008.13.</w:t>
      </w:r>
      <w:r w:rsidRPr="007F4DB1">
        <w:rPr>
          <w:rFonts w:asciiTheme="minorHAnsi" w:eastAsia="Calibri" w:hAnsiTheme="minorHAnsi" w:cstheme="minorHAnsi"/>
          <w:i/>
          <w:iCs/>
        </w:rPr>
        <w:t xml:space="preserve"> </w:t>
      </w:r>
    </w:p>
    <w:p w14:paraId="15A0BE0A" w14:textId="77777777" w:rsidR="00906E0A" w:rsidRPr="00061CFB" w:rsidRDefault="00906E0A" w:rsidP="00061CFB">
      <w:pPr>
        <w:spacing w:line="360" w:lineRule="auto"/>
        <w:rPr>
          <w:rFonts w:eastAsia="Calibri" w:cstheme="minorHAnsi"/>
          <w:sz w:val="24"/>
          <w:szCs w:val="24"/>
        </w:rPr>
      </w:pPr>
    </w:p>
    <w:p w14:paraId="711F4C3F" w14:textId="77777777" w:rsidR="007F4DB1" w:rsidRDefault="007F4DB1" w:rsidP="00061CFB">
      <w:pPr>
        <w:spacing w:line="360" w:lineRule="auto"/>
        <w:rPr>
          <w:rFonts w:cstheme="minorHAnsi"/>
          <w:b/>
          <w:bCs/>
          <w:sz w:val="24"/>
          <w:szCs w:val="24"/>
          <w:u w:val="single"/>
        </w:rPr>
      </w:pPr>
    </w:p>
    <w:p w14:paraId="7AFCE6C3" w14:textId="04E570A6" w:rsidR="00906E0A" w:rsidRPr="00061CFB" w:rsidRDefault="00906E0A" w:rsidP="00061CFB">
      <w:pPr>
        <w:spacing w:line="360" w:lineRule="auto"/>
        <w:rPr>
          <w:rFonts w:cstheme="minorHAnsi"/>
          <w:b/>
          <w:bCs/>
          <w:sz w:val="24"/>
          <w:szCs w:val="24"/>
          <w:u w:val="single"/>
        </w:rPr>
      </w:pPr>
      <w:r w:rsidRPr="00061CFB">
        <w:rPr>
          <w:rFonts w:cstheme="minorHAnsi"/>
          <w:b/>
          <w:bCs/>
          <w:sz w:val="24"/>
          <w:szCs w:val="24"/>
          <w:u w:val="single"/>
        </w:rPr>
        <w:t xml:space="preserve">Assignment 2 – Trauma and Mental </w:t>
      </w:r>
      <w:r w:rsidR="00061CFB">
        <w:rPr>
          <w:rFonts w:cstheme="minorHAnsi"/>
          <w:b/>
          <w:bCs/>
          <w:sz w:val="24"/>
          <w:szCs w:val="24"/>
          <w:u w:val="single"/>
        </w:rPr>
        <w:t>W</w:t>
      </w:r>
      <w:r w:rsidRPr="00061CFB">
        <w:rPr>
          <w:rFonts w:cstheme="minorHAnsi"/>
          <w:b/>
          <w:bCs/>
          <w:sz w:val="24"/>
          <w:szCs w:val="24"/>
          <w:u w:val="single"/>
        </w:rPr>
        <w:t xml:space="preserve">ellbeing </w:t>
      </w:r>
    </w:p>
    <w:p w14:paraId="532DAF97"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Policing is a difficult and demanding profession, and managing trauma and mental health is critical. Police officers are frequently exposed to high-stress situations and traumatic events such as violence, crime, accidents, and human suffering, making them vulnerable to trauma-related mental health issues such as post-traumatic stress disorder (PTSD), depression, </w:t>
      </w:r>
      <w:r w:rsidRPr="00061CFB">
        <w:rPr>
          <w:rFonts w:asciiTheme="minorHAnsi" w:hAnsiTheme="minorHAnsi" w:cstheme="minorHAnsi"/>
        </w:rPr>
        <w:lastRenderedPageBreak/>
        <w:t>anxiety, and burnout (Violanti &amp; Aron, 1995). Recognising the importance of trauma and mental health management in policing is critical for officers' well-being, law enforcement agencies' effectiveness, and the safety of the communities they serve. This assignment will explain why it is critical in policing to manage trauma and mental health.</w:t>
      </w:r>
    </w:p>
    <w:p w14:paraId="1AB60B4D" w14:textId="52C05682"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Trauma can have a significant impact on police officers. Trauma-related conditions can cause cognitive difficulties, impairing one's ability to respond effectively in an emergency and jeopardising public safety </w:t>
      </w:r>
      <w:r w:rsidR="007F4DB1" w:rsidRPr="00061CFB">
        <w:rPr>
          <w:rFonts w:asciiTheme="minorHAnsi" w:hAnsiTheme="minorHAnsi" w:cstheme="minorHAnsi"/>
        </w:rPr>
        <w:t>(</w:t>
      </w:r>
      <w:r w:rsidR="007F4DB1">
        <w:rPr>
          <w:rFonts w:asciiTheme="minorHAnsi" w:hAnsiTheme="minorHAnsi" w:cstheme="minorHAnsi"/>
        </w:rPr>
        <w:t xml:space="preserve">College of Policing and </w:t>
      </w:r>
      <w:r w:rsidR="007F4DB1" w:rsidRPr="00061CFB">
        <w:rPr>
          <w:rFonts w:asciiTheme="minorHAnsi" w:hAnsiTheme="minorHAnsi" w:cstheme="minorHAnsi"/>
        </w:rPr>
        <w:t>Wellbeing, 2013).</w:t>
      </w:r>
      <w:r w:rsidR="00086D5F">
        <w:rPr>
          <w:rFonts w:asciiTheme="minorHAnsi" w:hAnsiTheme="minorHAnsi" w:cstheme="minorHAnsi"/>
        </w:rPr>
        <w:t xml:space="preserve"> </w:t>
      </w:r>
      <w:r w:rsidRPr="00061CFB">
        <w:rPr>
          <w:rFonts w:asciiTheme="minorHAnsi" w:hAnsiTheme="minorHAnsi" w:cstheme="minorHAnsi"/>
        </w:rPr>
        <w:t>Furthermore, the effects of trauma extend outside of the workplace, affecting officers' personal lives and resulting in relationship problems, loneliness, substance abuse, and domestic violence.</w:t>
      </w:r>
    </w:p>
    <w:p w14:paraId="54DC3B79" w14:textId="5A986DFF"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Mental health issues in police departments have historically been stigmatised, discouraging officers from seeking help. To address this, it is critical to create an environment that encourages open discussions about mental health and reduces the stigma associated with it. Implementing trauma management programmes and mental health support networks can encourage help-seeking behaviour and foster a culture that recognises emotional well-being as a key component of effective policing (</w:t>
      </w:r>
      <w:r w:rsidR="007F4DB1">
        <w:rPr>
          <w:rFonts w:asciiTheme="minorHAnsi" w:hAnsiTheme="minorHAnsi" w:cstheme="minorHAnsi"/>
        </w:rPr>
        <w:t xml:space="preserve">College of Policing and </w:t>
      </w:r>
      <w:r w:rsidRPr="00061CFB">
        <w:rPr>
          <w:rFonts w:asciiTheme="minorHAnsi" w:hAnsiTheme="minorHAnsi" w:cstheme="minorHAnsi"/>
        </w:rPr>
        <w:t>Wellbeing, 2013).</w:t>
      </w:r>
    </w:p>
    <w:p w14:paraId="1FE27B22"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West Yorkshire Police Inspector John Bradfield's initiative is an example of this approach. The effects of mental health on employees are better understood by advocating for mental health discussions in emergency services and collaborating with 'Leads Mind,' resulting in a positive shift in attitudes towards seeking support (Blue Light, 2021). Peer-to-peer support initiatives and supervisor training in dealing with individuals experiencing mental health crises are effective in promoting mental well-being.</w:t>
      </w:r>
    </w:p>
    <w:p w14:paraId="4E9A8996" w14:textId="4B8946F1"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Trauma Risk Management (TRiM) is a valuable resource for police officers who are dealing with trauma. It provides a safe and confidential environment for officers to discuss their experiences and emotions following traumatic events, assisting in understanding the potential impact and determining the appropriate next steps (</w:t>
      </w:r>
      <w:r w:rsidR="00086D5F">
        <w:rPr>
          <w:rFonts w:asciiTheme="minorHAnsi" w:hAnsiTheme="minorHAnsi" w:cstheme="minorHAnsi"/>
        </w:rPr>
        <w:t>Trims</w:t>
      </w:r>
      <w:r w:rsidR="007F4DB1">
        <w:rPr>
          <w:rFonts w:asciiTheme="minorHAnsi" w:hAnsiTheme="minorHAnsi" w:cstheme="minorHAnsi"/>
        </w:rPr>
        <w:t>,</w:t>
      </w:r>
      <w:r w:rsidRPr="00061CFB">
        <w:rPr>
          <w:rFonts w:asciiTheme="minorHAnsi" w:hAnsiTheme="minorHAnsi" w:cstheme="minorHAnsi"/>
        </w:rPr>
        <w:t xml:space="preserve"> 2023). TRiM requires the ability to recognise symptoms of acute stress and distinguish between normal reactions and trauma-related reactions that require immediate medical attention.</w:t>
      </w:r>
    </w:p>
    <w:p w14:paraId="199D2F37" w14:textId="64E05362"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lastRenderedPageBreak/>
        <w:t xml:space="preserve">Another significant issue affecting police officers' mental and physical health is </w:t>
      </w:r>
      <w:r w:rsidR="00061CFB" w:rsidRPr="00061CFB">
        <w:rPr>
          <w:rFonts w:asciiTheme="minorHAnsi" w:hAnsiTheme="minorHAnsi" w:cstheme="minorHAnsi"/>
        </w:rPr>
        <w:t>hypervigilance or</w:t>
      </w:r>
      <w:r w:rsidRPr="00061CFB">
        <w:rPr>
          <w:rFonts w:asciiTheme="minorHAnsi" w:hAnsiTheme="minorHAnsi" w:cstheme="minorHAnsi"/>
        </w:rPr>
        <w:t xml:space="preserve"> being constantly on guard. Officers find it difficult to relax, even in safe environments or at home, due to the stress of their jobs (Rainne, 2021). Officers may experience mental fatigue, compassion fatigue, and burnout because of the cumulative effect of hypervigilance and trauma exposure.</w:t>
      </w:r>
    </w:p>
    <w:p w14:paraId="3E28FDCA" w14:textId="78688D70"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Support animals, such as the Os</w:t>
      </w:r>
      <w:r w:rsidR="0005185C">
        <w:rPr>
          <w:rFonts w:asciiTheme="minorHAnsi" w:hAnsiTheme="minorHAnsi" w:cstheme="minorHAnsi"/>
        </w:rPr>
        <w:t>c</w:t>
      </w:r>
      <w:r w:rsidRPr="00061CFB">
        <w:rPr>
          <w:rFonts w:asciiTheme="minorHAnsi" w:hAnsiTheme="minorHAnsi" w:cstheme="minorHAnsi"/>
        </w:rPr>
        <w:t>a</w:t>
      </w:r>
      <w:r w:rsidR="0005185C">
        <w:rPr>
          <w:rFonts w:asciiTheme="minorHAnsi" w:hAnsiTheme="minorHAnsi" w:cstheme="minorHAnsi"/>
        </w:rPr>
        <w:t>r</w:t>
      </w:r>
      <w:r w:rsidRPr="00061CFB">
        <w:rPr>
          <w:rFonts w:asciiTheme="minorHAnsi" w:hAnsiTheme="minorHAnsi" w:cstheme="minorHAnsi"/>
        </w:rPr>
        <w:t xml:space="preserve"> Kilo Nine (OK9) dogs, have shown promise in assisting police officers with mental health and stress management (Oscar Kilo, 2023). The presence of these animals at TRiM meetings encourages officers to interact, be open, and communicate more effectively, thereby reducing tension and anxiety</w:t>
      </w:r>
      <w:r w:rsidR="007F4DB1">
        <w:rPr>
          <w:rFonts w:asciiTheme="minorHAnsi" w:hAnsiTheme="minorHAnsi" w:cstheme="minorHAnsi"/>
        </w:rPr>
        <w:t xml:space="preserve"> (College of Policing, 2023)</w:t>
      </w:r>
      <w:r w:rsidRPr="00061CFB">
        <w:rPr>
          <w:rFonts w:asciiTheme="minorHAnsi" w:hAnsiTheme="minorHAnsi" w:cstheme="minorHAnsi"/>
        </w:rPr>
        <w:t>.</w:t>
      </w:r>
    </w:p>
    <w:p w14:paraId="459CF9B0"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The implementation of effective trauma management and mental health support systems in policing is critical for police officers' well-being and performance. The nature of police work exposes officers to traumatic incidents regularly, which can have long-term psychological consequences. Police officers frequently experience PTSD, depression, and anxiety, which can have far-reaching consequences in both their professional and personal lives (Violanti &amp; Aron, 1995).</w:t>
      </w:r>
    </w:p>
    <w:p w14:paraId="32239D78"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One of the most common mental health conditions among police officers is post-traumatic stress disorder (PTSD). It can develop because of traumatic events such as violent encounters, accidents, or the loss of colleagues. PTSD symptoms can be incapacitating, impairing an officer's ability to function professionally and personally (Violanti &amp; Aron, 1995). Nightmares, flashbacks, and hypervigilance can all disrupt an officer's sleep, concentration, and overall quality of life.</w:t>
      </w:r>
    </w:p>
    <w:p w14:paraId="1B5CD7D7"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Depression and anxiety are also common mental health issues in law enforcement. Constant exposure to traumatic events, combined with the pressure to perform under high-stress conditions, can harm an officer's mental health. The stress of the job, combined with the need to project a strong and calm image, may cause officers to suppress their emotions, making it difficult for them to seek help when required (O'Hara &amp; Violanti, 2016).</w:t>
      </w:r>
    </w:p>
    <w:p w14:paraId="53D12560"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lastRenderedPageBreak/>
        <w:t>Furthermore, compassion fatigue is a common occurrence among police officers. Compassion fatigue develops when people are repeatedly exposed to the suffering and trauma of others, resulting in emotional exhaustion and a diminished ability to empathise with or provide care (Figley, 1995). Police officers frequently encounter people in distress or crisis, and the emotional toll of these encounters can add up over time, affecting their mental health.</w:t>
      </w:r>
    </w:p>
    <w:p w14:paraId="1993BEA7"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Addressing mental health issues in law enforcement necessitates a multifaceted approach that includes comprehensive policies, education, and support systems. Trauma management programmes, such as TRiM, can provide officers with a safe and confidential environment in which to discuss their experiences, emotions, and potential coping strategies following traumatic events (Figley, 2002). These programmes can assist officers in processing their emotions and minimising the long-term effects of trauma on their well-being.</w:t>
      </w:r>
    </w:p>
    <w:p w14:paraId="5405B9EC" w14:textId="37C3A9C5"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It is critical to provide officers with access to mental health resources such as counselling and peer support networks to promote officer well-being</w:t>
      </w:r>
      <w:r w:rsidR="007F4DB1">
        <w:rPr>
          <w:rFonts w:asciiTheme="minorHAnsi" w:hAnsiTheme="minorHAnsi" w:cstheme="minorHAnsi"/>
        </w:rPr>
        <w:t xml:space="preserve"> (College of Policing, 2023)</w:t>
      </w:r>
      <w:r w:rsidRPr="00061CFB">
        <w:rPr>
          <w:rFonts w:asciiTheme="minorHAnsi" w:hAnsiTheme="minorHAnsi" w:cstheme="minorHAnsi"/>
        </w:rPr>
        <w:t>. These resources should be easily accessible and stigma-free, encouraging officers to seek assistance when necessary without fear of judgment or repercussions (Papazoglou &amp; Andersen, 2009).</w:t>
      </w:r>
    </w:p>
    <w:p w14:paraId="60FA65FF" w14:textId="07659792"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Furthermore, incorporating mental health training into police academy curricula and ongoing professional development can raise officers' awareness of the importance of mental well-being and provide them with coping mechanisms to effectively manage stress and trauma (O'Hara &amp; Violanti, 2016).</w:t>
      </w:r>
      <w:r w:rsidR="007F4DB1">
        <w:rPr>
          <w:rFonts w:asciiTheme="minorHAnsi" w:hAnsiTheme="minorHAnsi" w:cstheme="minorHAnsi"/>
        </w:rPr>
        <w:t xml:space="preserve"> </w:t>
      </w:r>
      <w:r w:rsidRPr="00061CFB">
        <w:rPr>
          <w:rFonts w:asciiTheme="minorHAnsi" w:hAnsiTheme="minorHAnsi" w:cstheme="minorHAnsi"/>
        </w:rPr>
        <w:t>Support animals, such as the OK9 dogs, have been shown to improve officer well-being. These animals can provide comfort, reduce stress, and improve communication among officers, resulting in a more supportive and open workplace (Oscar Kilo, 2023).</w:t>
      </w:r>
    </w:p>
    <w:p w14:paraId="1DBD0C08" w14:textId="77777777" w:rsidR="007F4DB1" w:rsidRDefault="00906E0A" w:rsidP="007F4DB1">
      <w:pPr>
        <w:pStyle w:val="NormalWeb"/>
        <w:spacing w:line="360" w:lineRule="auto"/>
        <w:rPr>
          <w:rFonts w:asciiTheme="minorHAnsi" w:hAnsiTheme="minorHAnsi" w:cstheme="minorHAnsi"/>
        </w:rPr>
      </w:pPr>
      <w:r w:rsidRPr="00061CFB">
        <w:rPr>
          <w:rFonts w:asciiTheme="minorHAnsi" w:hAnsiTheme="minorHAnsi" w:cstheme="minorHAnsi"/>
        </w:rPr>
        <w:t xml:space="preserve">In conclusion, managing trauma and mental health in policing is critical for officers' well-being, law enforcement agencies' effectiveness, and the safety of the communities they serve. Police officers are more likely to develop mental health issues such as PTSD, depression, anxiety, and burnout because of their exposure to high-stress and traumatic </w:t>
      </w:r>
      <w:r w:rsidRPr="00061CFB">
        <w:rPr>
          <w:rFonts w:asciiTheme="minorHAnsi" w:hAnsiTheme="minorHAnsi" w:cstheme="minorHAnsi"/>
        </w:rPr>
        <w:lastRenderedPageBreak/>
        <w:t>events. Addressing mental health issues in the police force requires a multifaceted approach that includes trauma management programmes, mental health support resources, stigma reduction efforts, and mental health education. By putting police officers' mental health first, policing organisations can foster a supportive environment that improves their ability to protect and serve the community. Recognising the importance of trauma and mental health management in policing and implementing appropriate strategies are crucial for officers' overall well-being given their demanding profession. </w:t>
      </w:r>
    </w:p>
    <w:p w14:paraId="415525CF" w14:textId="0346BCEF" w:rsidR="00906E0A" w:rsidRPr="007F4DB1" w:rsidRDefault="00906E0A" w:rsidP="007F4DB1">
      <w:pPr>
        <w:pStyle w:val="NormalWeb"/>
        <w:spacing w:line="360" w:lineRule="auto"/>
        <w:rPr>
          <w:rFonts w:asciiTheme="minorHAnsi" w:hAnsiTheme="minorHAnsi" w:cstheme="minorHAnsi"/>
        </w:rPr>
      </w:pPr>
      <w:r w:rsidRPr="00061CFB">
        <w:rPr>
          <w:rFonts w:cstheme="minorHAnsi"/>
          <w:b/>
          <w:bCs/>
          <w:u w:val="single"/>
        </w:rPr>
        <w:t>10</w:t>
      </w:r>
      <w:r w:rsidR="0005185C">
        <w:rPr>
          <w:rFonts w:cstheme="minorHAnsi"/>
          <w:b/>
          <w:bCs/>
          <w:u w:val="single"/>
        </w:rPr>
        <w:t>73</w:t>
      </w:r>
      <w:r w:rsidRPr="00061CFB">
        <w:rPr>
          <w:rFonts w:cstheme="minorHAnsi"/>
          <w:b/>
          <w:bCs/>
          <w:u w:val="single"/>
        </w:rPr>
        <w:t xml:space="preserve"> words</w:t>
      </w:r>
    </w:p>
    <w:p w14:paraId="3D1E8584" w14:textId="492FB46A" w:rsidR="00906E0A" w:rsidRPr="00061CFB" w:rsidRDefault="00906E0A" w:rsidP="00061CFB">
      <w:pPr>
        <w:spacing w:line="360" w:lineRule="auto"/>
        <w:rPr>
          <w:rFonts w:cstheme="minorHAnsi"/>
          <w:b/>
          <w:bCs/>
          <w:sz w:val="24"/>
          <w:szCs w:val="24"/>
          <w:u w:val="single"/>
        </w:rPr>
      </w:pPr>
      <w:r w:rsidRPr="00061CFB">
        <w:rPr>
          <w:rFonts w:cstheme="minorHAnsi"/>
          <w:b/>
          <w:bCs/>
          <w:sz w:val="24"/>
          <w:szCs w:val="24"/>
          <w:u w:val="single"/>
        </w:rPr>
        <w:t>Bibliography</w:t>
      </w:r>
    </w:p>
    <w:p w14:paraId="1C5E8450" w14:textId="77777777"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t xml:space="preserve">Blue Light (2021) </w:t>
      </w:r>
      <w:r w:rsidRPr="007F4DB1">
        <w:rPr>
          <w:rFonts w:asciiTheme="minorHAnsi" w:hAnsiTheme="minorHAnsi" w:cstheme="minorHAnsi"/>
          <w:i/>
          <w:iCs/>
        </w:rPr>
        <w:t>Blue Light: Post Coronavirus Research Findings: Police Service Report</w:t>
      </w:r>
      <w:r w:rsidRPr="007F4DB1">
        <w:rPr>
          <w:rFonts w:asciiTheme="minorHAnsi" w:hAnsiTheme="minorHAnsi" w:cstheme="minorHAnsi"/>
        </w:rPr>
        <w:t xml:space="preserve">, </w:t>
      </w:r>
      <w:r w:rsidRPr="007F4DB1">
        <w:rPr>
          <w:rFonts w:asciiTheme="minorHAnsi" w:hAnsiTheme="minorHAnsi" w:cstheme="minorHAnsi"/>
          <w:i/>
          <w:iCs/>
        </w:rPr>
        <w:t>mind.org.uk</w:t>
      </w:r>
      <w:r w:rsidRPr="007F4DB1">
        <w:rPr>
          <w:rFonts w:asciiTheme="minorHAnsi" w:hAnsiTheme="minorHAnsi" w:cstheme="minorHAnsi"/>
        </w:rPr>
        <w:t>. Available at: https://www.mind.org.uk/media/8587/blue-light-programme_c19_police-report-2021_final.pdf (Accessed: June 19, 2023).</w:t>
      </w:r>
    </w:p>
    <w:p w14:paraId="7106BD30" w14:textId="77777777"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t xml:space="preserve">College of Policing (2023) “Oscar Kilo 9 | Wellbeing and trauma support dogs service | College of Policing,” </w:t>
      </w:r>
      <w:r w:rsidRPr="007F4DB1">
        <w:rPr>
          <w:rFonts w:asciiTheme="minorHAnsi" w:hAnsiTheme="minorHAnsi" w:cstheme="minorHAnsi"/>
          <w:i/>
          <w:iCs/>
        </w:rPr>
        <w:t>youtube.com</w:t>
      </w:r>
      <w:r w:rsidRPr="007F4DB1">
        <w:rPr>
          <w:rFonts w:asciiTheme="minorHAnsi" w:hAnsiTheme="minorHAnsi" w:cstheme="minorHAnsi"/>
        </w:rPr>
        <w:t>. Available at: https://www.youtube.com/watch?v=1_gNImAqo24&amp;t=170s (Accessed: June 19, 2023).</w:t>
      </w:r>
    </w:p>
    <w:p w14:paraId="2A94C942" w14:textId="77777777"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t xml:space="preserve">College of Policing and Wellbeing (2023) </w:t>
      </w:r>
      <w:r w:rsidRPr="007F4DB1">
        <w:rPr>
          <w:rFonts w:asciiTheme="minorHAnsi" w:hAnsiTheme="minorHAnsi" w:cstheme="minorHAnsi"/>
          <w:i/>
          <w:iCs/>
        </w:rPr>
        <w:t>Wellbeing,</w:t>
      </w:r>
      <w:r w:rsidRPr="007F4DB1">
        <w:rPr>
          <w:rFonts w:asciiTheme="minorHAnsi" w:hAnsiTheme="minorHAnsi" w:cstheme="minorHAnsi"/>
        </w:rPr>
        <w:t xml:space="preserve"> </w:t>
      </w:r>
      <w:r w:rsidRPr="007F4DB1">
        <w:rPr>
          <w:rFonts w:asciiTheme="minorHAnsi" w:hAnsiTheme="minorHAnsi" w:cstheme="minorHAnsi"/>
          <w:i/>
          <w:iCs/>
        </w:rPr>
        <w:t>college.police.uk</w:t>
      </w:r>
      <w:r w:rsidRPr="007F4DB1">
        <w:rPr>
          <w:rFonts w:asciiTheme="minorHAnsi" w:hAnsiTheme="minorHAnsi" w:cstheme="minorHAnsi"/>
        </w:rPr>
        <w:t>. Available at: https://www.college.police.uk/support-forces/health-safety-welfare/wellbeing (Accessed: May 22, 2023).</w:t>
      </w:r>
    </w:p>
    <w:p w14:paraId="28F9B555" w14:textId="77777777"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t xml:space="preserve">Comer, M. C. and Office for National Statistics (2017) </w:t>
      </w:r>
      <w:r w:rsidRPr="007F4DB1">
        <w:rPr>
          <w:rFonts w:asciiTheme="minorHAnsi" w:hAnsiTheme="minorHAnsi" w:cstheme="minorHAnsi"/>
          <w:i/>
          <w:iCs/>
        </w:rPr>
        <w:t>Sickness absence in the UK labour market - 2016</w:t>
      </w:r>
      <w:r w:rsidRPr="007F4DB1">
        <w:rPr>
          <w:rFonts w:asciiTheme="minorHAnsi" w:hAnsiTheme="minorHAnsi" w:cstheme="minorHAnsi"/>
        </w:rPr>
        <w:t xml:space="preserve">, </w:t>
      </w:r>
      <w:r w:rsidRPr="007F4DB1">
        <w:rPr>
          <w:rFonts w:asciiTheme="minorHAnsi" w:hAnsiTheme="minorHAnsi" w:cstheme="minorHAnsi"/>
          <w:i/>
          <w:iCs/>
        </w:rPr>
        <w:t>ons.gov.uk</w:t>
      </w:r>
      <w:r w:rsidRPr="007F4DB1">
        <w:rPr>
          <w:rFonts w:asciiTheme="minorHAnsi" w:hAnsiTheme="minorHAnsi" w:cstheme="minorHAnsi"/>
        </w:rPr>
        <w:t>. Available at: https://www.ons.gov.uk/employmentandlabourmarket/peopleinwork/labourproductivity/articles/sicknessabsenceinthelabourmarket/2016 (Accessed: August 30, 2023).</w:t>
      </w:r>
    </w:p>
    <w:p w14:paraId="0EAE34E1" w14:textId="77777777" w:rsidR="007F4DB1" w:rsidRPr="007F4DB1" w:rsidRDefault="007F4DB1" w:rsidP="007F4DB1">
      <w:pPr>
        <w:spacing w:line="360" w:lineRule="auto"/>
        <w:rPr>
          <w:rFonts w:cstheme="minorHAnsi"/>
          <w:sz w:val="24"/>
          <w:szCs w:val="24"/>
        </w:rPr>
      </w:pPr>
      <w:r w:rsidRPr="007F4DB1">
        <w:rPr>
          <w:rFonts w:cstheme="minorHAnsi"/>
          <w:sz w:val="24"/>
          <w:szCs w:val="24"/>
        </w:rPr>
        <w:t>Figley, C. R. (1995). Compassion fatigue: Toward a new understanding of the costs of caring. In B. H. Stamm (Ed.), Secondary traumatic stress: Self-care issues for clinicians, researchers, and educators (pp. 3-28). Sidran Press.</w:t>
      </w:r>
    </w:p>
    <w:p w14:paraId="4C2F5BA7" w14:textId="77777777" w:rsidR="007F4DB1" w:rsidRPr="007F4DB1" w:rsidRDefault="007F4DB1" w:rsidP="007F4DB1">
      <w:pPr>
        <w:spacing w:line="360" w:lineRule="auto"/>
        <w:rPr>
          <w:rFonts w:eastAsia="Calibri" w:cstheme="minorHAnsi"/>
          <w:sz w:val="24"/>
          <w:szCs w:val="24"/>
        </w:rPr>
      </w:pPr>
      <w:r w:rsidRPr="007F4DB1">
        <w:rPr>
          <w:rFonts w:eastAsia="Calibri" w:cstheme="minorHAnsi"/>
          <w:sz w:val="24"/>
          <w:szCs w:val="24"/>
        </w:rPr>
        <w:t xml:space="preserve">Gov. UK (2023) </w:t>
      </w:r>
      <w:r w:rsidRPr="007F4DB1">
        <w:rPr>
          <w:rFonts w:eastAsia="Calibri" w:cstheme="minorHAnsi"/>
          <w:i/>
          <w:iCs/>
          <w:sz w:val="24"/>
          <w:szCs w:val="24"/>
        </w:rPr>
        <w:t>Trauma Risk Management - TRiM</w:t>
      </w:r>
      <w:r w:rsidRPr="007F4DB1">
        <w:rPr>
          <w:rFonts w:eastAsia="Calibri" w:cstheme="minorHAnsi"/>
          <w:sz w:val="24"/>
          <w:szCs w:val="24"/>
        </w:rPr>
        <w:t xml:space="preserve">, </w:t>
      </w:r>
      <w:r w:rsidRPr="007F4DB1">
        <w:rPr>
          <w:rFonts w:eastAsia="Calibri" w:cstheme="minorHAnsi"/>
          <w:i/>
          <w:iCs/>
          <w:sz w:val="24"/>
          <w:szCs w:val="24"/>
        </w:rPr>
        <w:t>assets.publishing.service.gov.uk</w:t>
      </w:r>
      <w:r w:rsidRPr="007F4DB1">
        <w:rPr>
          <w:rFonts w:eastAsia="Calibri" w:cstheme="minorHAnsi"/>
          <w:sz w:val="24"/>
          <w:szCs w:val="24"/>
        </w:rPr>
        <w:t xml:space="preserve">. </w:t>
      </w:r>
    </w:p>
    <w:p w14:paraId="5CDDC0CA" w14:textId="77777777" w:rsidR="0005185C" w:rsidRDefault="007F4DB1" w:rsidP="0005185C">
      <w:pPr>
        <w:spacing w:line="360" w:lineRule="auto"/>
        <w:rPr>
          <w:rFonts w:cstheme="minorHAnsi"/>
          <w:sz w:val="24"/>
          <w:szCs w:val="24"/>
        </w:rPr>
      </w:pPr>
      <w:r w:rsidRPr="007F4DB1">
        <w:rPr>
          <w:rFonts w:cstheme="minorHAnsi"/>
          <w:sz w:val="24"/>
          <w:szCs w:val="24"/>
        </w:rPr>
        <w:lastRenderedPageBreak/>
        <w:t>O'Hara, A. F., &amp; Violanti, J. M. (2016). Police suicide: Strategies for prevention. Journal of Criminal Justice, 45, 1-7.</w:t>
      </w:r>
    </w:p>
    <w:p w14:paraId="432703E8" w14:textId="49F526C9" w:rsidR="007F4DB1" w:rsidRPr="0005185C" w:rsidRDefault="007F4DB1" w:rsidP="0005185C">
      <w:pPr>
        <w:spacing w:line="360" w:lineRule="auto"/>
        <w:rPr>
          <w:rFonts w:cstheme="minorHAnsi"/>
          <w:sz w:val="24"/>
          <w:szCs w:val="24"/>
        </w:rPr>
      </w:pPr>
      <w:r w:rsidRPr="0005185C">
        <w:rPr>
          <w:rFonts w:cstheme="minorHAnsi"/>
          <w:sz w:val="24"/>
          <w:szCs w:val="24"/>
        </w:rPr>
        <w:t xml:space="preserve">Oscar Kilo 9 (2023) </w:t>
      </w:r>
      <w:r w:rsidRPr="0005185C">
        <w:rPr>
          <w:rFonts w:cstheme="minorHAnsi"/>
          <w:i/>
          <w:iCs/>
          <w:sz w:val="24"/>
          <w:szCs w:val="24"/>
        </w:rPr>
        <w:t>Oscar Kilo 9: Wellbeing and trauma support dogs</w:t>
      </w:r>
      <w:r w:rsidRPr="0005185C">
        <w:rPr>
          <w:rFonts w:cstheme="minorHAnsi"/>
          <w:sz w:val="24"/>
          <w:szCs w:val="24"/>
        </w:rPr>
        <w:t xml:space="preserve">, </w:t>
      </w:r>
      <w:r w:rsidRPr="0005185C">
        <w:rPr>
          <w:rFonts w:cstheme="minorHAnsi"/>
          <w:i/>
          <w:iCs/>
          <w:sz w:val="24"/>
          <w:szCs w:val="24"/>
        </w:rPr>
        <w:t>Oscarkilo.org.uk</w:t>
      </w:r>
      <w:r w:rsidRPr="0005185C">
        <w:rPr>
          <w:rFonts w:cstheme="minorHAnsi"/>
          <w:sz w:val="24"/>
          <w:szCs w:val="24"/>
        </w:rPr>
        <w:t>. Available at: https://www.oscarkilo.org.uk/services/wellbeing-dogs (Accessed: August 30, 2023).</w:t>
      </w:r>
    </w:p>
    <w:p w14:paraId="4ACDC155" w14:textId="77777777" w:rsidR="007F4DB1" w:rsidRPr="007F4DB1" w:rsidRDefault="007F4DB1" w:rsidP="007F4DB1">
      <w:pPr>
        <w:spacing w:line="360" w:lineRule="auto"/>
        <w:rPr>
          <w:rFonts w:cstheme="minorHAnsi"/>
          <w:sz w:val="24"/>
          <w:szCs w:val="24"/>
        </w:rPr>
      </w:pPr>
      <w:r w:rsidRPr="007F4DB1">
        <w:rPr>
          <w:rFonts w:cstheme="minorHAnsi"/>
          <w:sz w:val="24"/>
          <w:szCs w:val="24"/>
        </w:rPr>
        <w:t>Papazoglou, K., &amp; Andersen, J. P. (2009). Police officer attitudes and use of force: Examining the moderating effect of education level. Policing: An International Journal, 32(2), 309-322.</w:t>
      </w:r>
    </w:p>
    <w:p w14:paraId="527EC2DA" w14:textId="77777777" w:rsidR="007F4DB1" w:rsidRPr="007F4DB1" w:rsidRDefault="007F4DB1" w:rsidP="007F4DB1">
      <w:pPr>
        <w:spacing w:line="360" w:lineRule="auto"/>
        <w:rPr>
          <w:rFonts w:eastAsia="Calibri" w:cstheme="minorHAnsi"/>
          <w:i/>
          <w:iCs/>
          <w:sz w:val="24"/>
          <w:szCs w:val="24"/>
        </w:rPr>
      </w:pPr>
      <w:r w:rsidRPr="007F4DB1">
        <w:rPr>
          <w:rFonts w:eastAsia="Calibri" w:cstheme="minorHAnsi"/>
          <w:sz w:val="24"/>
          <w:szCs w:val="24"/>
        </w:rPr>
        <w:t xml:space="preserve">Phythian, R. </w:t>
      </w:r>
      <w:r w:rsidRPr="007F4DB1">
        <w:rPr>
          <w:rFonts w:eastAsia="Calibri" w:cstheme="minorHAnsi"/>
          <w:i/>
          <w:iCs/>
          <w:sz w:val="24"/>
          <w:szCs w:val="24"/>
        </w:rPr>
        <w:t>et al.</w:t>
      </w:r>
      <w:r w:rsidRPr="007F4DB1">
        <w:rPr>
          <w:rFonts w:eastAsia="Calibri" w:cstheme="minorHAnsi"/>
          <w:sz w:val="24"/>
          <w:szCs w:val="24"/>
        </w:rPr>
        <w:t xml:space="preserve"> (2022) “Developments in UK police wellbeing: A review of blue light wellbeing frameworks,” </w:t>
      </w:r>
      <w:r w:rsidRPr="007F4DB1">
        <w:rPr>
          <w:rFonts w:eastAsia="Calibri" w:cstheme="minorHAnsi"/>
          <w:i/>
          <w:iCs/>
          <w:sz w:val="24"/>
          <w:szCs w:val="24"/>
        </w:rPr>
        <w:t>The Police Journal: Theory, Practice and Principles</w:t>
      </w:r>
      <w:r w:rsidRPr="007F4DB1">
        <w:rPr>
          <w:rFonts w:eastAsia="Calibri" w:cstheme="minorHAnsi"/>
          <w:sz w:val="24"/>
          <w:szCs w:val="24"/>
        </w:rPr>
        <w:t>, 95(1), pp. 24–49. doi:10.1177/0032258x211073003.</w:t>
      </w:r>
      <w:r w:rsidRPr="007F4DB1">
        <w:rPr>
          <w:rFonts w:eastAsia="Calibri" w:cstheme="minorHAnsi"/>
          <w:i/>
          <w:iCs/>
          <w:sz w:val="24"/>
          <w:szCs w:val="24"/>
        </w:rPr>
        <w:t xml:space="preserve"> </w:t>
      </w:r>
    </w:p>
    <w:p w14:paraId="64061164" w14:textId="501D1E41"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t xml:space="preserve">Rainne, S. (2021) </w:t>
      </w:r>
      <w:r w:rsidRPr="007F4DB1">
        <w:rPr>
          <w:rFonts w:asciiTheme="minorHAnsi" w:hAnsiTheme="minorHAnsi" w:cstheme="minorHAnsi"/>
          <w:i/>
          <w:iCs/>
        </w:rPr>
        <w:t>What’s Hypervigilance? Definition, Examples, And Causes</w:t>
      </w:r>
      <w:r w:rsidRPr="007F4DB1">
        <w:rPr>
          <w:rFonts w:asciiTheme="minorHAnsi" w:hAnsiTheme="minorHAnsi" w:cstheme="minorHAnsi"/>
        </w:rPr>
        <w:t xml:space="preserve">, </w:t>
      </w:r>
      <w:r w:rsidR="00086D5F" w:rsidRPr="007F4DB1">
        <w:rPr>
          <w:rFonts w:asciiTheme="minorHAnsi" w:hAnsiTheme="minorHAnsi" w:cstheme="minorHAnsi"/>
          <w:i/>
          <w:iCs/>
        </w:rPr>
        <w:t>Supportive</w:t>
      </w:r>
      <w:r w:rsidRPr="007F4DB1">
        <w:rPr>
          <w:rFonts w:asciiTheme="minorHAnsi" w:hAnsiTheme="minorHAnsi" w:cstheme="minorHAnsi"/>
        </w:rPr>
        <w:t>. Available at: https://www.supportiv.com/trauma/what-is-hypervigilance-definition-examples-causes.</w:t>
      </w:r>
    </w:p>
    <w:p w14:paraId="57D60E41" w14:textId="77777777"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t xml:space="preserve">Trauma Risk Management (TRiM) and Blue Light Together (2023) </w:t>
      </w:r>
      <w:r w:rsidRPr="007F4DB1">
        <w:rPr>
          <w:rFonts w:asciiTheme="minorHAnsi" w:hAnsiTheme="minorHAnsi" w:cstheme="minorHAnsi"/>
          <w:i/>
          <w:iCs/>
        </w:rPr>
        <w:t>Blue Light Together</w:t>
      </w:r>
      <w:r w:rsidRPr="007F4DB1">
        <w:rPr>
          <w:rFonts w:asciiTheme="minorHAnsi" w:hAnsiTheme="minorHAnsi" w:cstheme="minorHAnsi"/>
        </w:rPr>
        <w:t xml:space="preserve">, </w:t>
      </w:r>
      <w:r w:rsidRPr="007F4DB1">
        <w:rPr>
          <w:rFonts w:asciiTheme="minorHAnsi" w:hAnsiTheme="minorHAnsi" w:cstheme="minorHAnsi"/>
          <w:i/>
          <w:iCs/>
        </w:rPr>
        <w:t>bluelighttogether.org.uk</w:t>
      </w:r>
      <w:r w:rsidRPr="007F4DB1">
        <w:rPr>
          <w:rFonts w:asciiTheme="minorHAnsi" w:hAnsiTheme="minorHAnsi" w:cstheme="minorHAnsi"/>
        </w:rPr>
        <w:t>. Available at: https://bluelighttogether.org.uk/police/trauma-risk-management-trim-in-the-police/ (Accessed: June 19, 2023).</w:t>
      </w:r>
    </w:p>
    <w:p w14:paraId="49EDC727" w14:textId="77777777" w:rsidR="007F4DB1" w:rsidRPr="007F4DB1" w:rsidRDefault="007F4DB1" w:rsidP="007F4DB1">
      <w:pPr>
        <w:spacing w:line="360" w:lineRule="auto"/>
        <w:rPr>
          <w:rFonts w:cstheme="minorHAnsi"/>
          <w:sz w:val="24"/>
          <w:szCs w:val="24"/>
        </w:rPr>
      </w:pPr>
      <w:r w:rsidRPr="007F4DB1">
        <w:rPr>
          <w:rFonts w:cstheme="minorHAnsi"/>
          <w:sz w:val="24"/>
          <w:szCs w:val="24"/>
        </w:rPr>
        <w:t>Violanti, J. M., &amp; Aron, F. (1995). Police stressors: Variations in perception among police personnel. Journal of Criminal Justice, 23(3), 287-295.</w:t>
      </w:r>
    </w:p>
    <w:p w14:paraId="48644173" w14:textId="77777777" w:rsidR="007F4DB1" w:rsidRDefault="007F4DB1" w:rsidP="00061CFB">
      <w:pPr>
        <w:spacing w:line="360" w:lineRule="auto"/>
        <w:rPr>
          <w:rFonts w:cstheme="minorHAnsi"/>
          <w:b/>
          <w:bCs/>
          <w:sz w:val="24"/>
          <w:szCs w:val="24"/>
          <w:u w:val="single"/>
        </w:rPr>
      </w:pPr>
    </w:p>
    <w:p w14:paraId="614E1BFA" w14:textId="77777777" w:rsidR="007F4DB1" w:rsidRDefault="007F4DB1" w:rsidP="00061CFB">
      <w:pPr>
        <w:spacing w:line="360" w:lineRule="auto"/>
        <w:rPr>
          <w:rFonts w:cstheme="minorHAnsi"/>
          <w:b/>
          <w:bCs/>
          <w:sz w:val="24"/>
          <w:szCs w:val="24"/>
          <w:u w:val="single"/>
        </w:rPr>
      </w:pPr>
    </w:p>
    <w:p w14:paraId="7319B55F" w14:textId="78835483" w:rsidR="00906E0A" w:rsidRPr="00061CFB" w:rsidRDefault="00906E0A" w:rsidP="00061CFB">
      <w:pPr>
        <w:spacing w:line="360" w:lineRule="auto"/>
        <w:rPr>
          <w:rFonts w:cstheme="minorHAnsi"/>
          <w:b/>
          <w:bCs/>
          <w:sz w:val="24"/>
          <w:szCs w:val="24"/>
          <w:u w:val="single"/>
        </w:rPr>
      </w:pPr>
      <w:r w:rsidRPr="00061CFB">
        <w:rPr>
          <w:rFonts w:cstheme="minorHAnsi"/>
          <w:b/>
          <w:bCs/>
          <w:sz w:val="24"/>
          <w:szCs w:val="24"/>
          <w:u w:val="single"/>
        </w:rPr>
        <w:t xml:space="preserve">Assignment 4 - Organisational culture </w:t>
      </w:r>
    </w:p>
    <w:p w14:paraId="3C5002A9" w14:textId="63622A6C"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The relationship between the community and the police is crucial for maintaining law and order within society. An increasing gulf and lack of trust between the </w:t>
      </w:r>
      <w:r w:rsidR="00086D5F" w:rsidRPr="00061CFB">
        <w:rPr>
          <w:rFonts w:asciiTheme="minorHAnsi" w:hAnsiTheme="minorHAnsi" w:cstheme="minorHAnsi"/>
        </w:rPr>
        <w:t>public</w:t>
      </w:r>
      <w:r w:rsidRPr="00061CFB">
        <w:rPr>
          <w:rFonts w:asciiTheme="minorHAnsi" w:hAnsiTheme="minorHAnsi" w:cstheme="minorHAnsi"/>
        </w:rPr>
        <w:t xml:space="preserve"> and the police has hampered police efforts in recent years, which has challenged this relationship. Instances of police brutality, racial profiling, and a lack of accountability have fuelled this mistrust, resulting in an adversarial relationship between the two parties. This assignment examines the necessity of challenging negative aspects of organisational culture within the </w:t>
      </w:r>
      <w:r w:rsidRPr="00061CFB">
        <w:rPr>
          <w:rFonts w:asciiTheme="minorHAnsi" w:hAnsiTheme="minorHAnsi" w:cstheme="minorHAnsi"/>
        </w:rPr>
        <w:lastRenderedPageBreak/>
        <w:t>police force to restore trust and strengthen police-community relations. We can create a more equitable and just society by addressing issues such as police misconduct, bias, lack of transparency, racial profiling, the impact of reduced police numbers, and the need for collaborative efforts.</w:t>
      </w:r>
    </w:p>
    <w:p w14:paraId="6482DEB1"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Combating growing mistrust among the public is one of the most important reasons to challenge the negative aspects of the police department's organisational culture. The public's trust has been further undermined by instances of police misconduct, such as covering up wrongdoing and failing to remove predatory officers from duty. The tragic murder of Sarah Everard and other high-profile cases have had a significant impact on public perception and trust in law enforcement. The mishandling of accusations against Sarah Everard's murderer, which included previous instances of indecent exposure and what he was known for at work, raised questions about police accountability and vetting processes (Casciani, 2021).</w:t>
      </w:r>
    </w:p>
    <w:p w14:paraId="0BA60937" w14:textId="7B3291A2"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Negative aspects of organisational culture are addressed by recognising and resolving the historical disparities and systemic issues that have led to mistrust between the police and certain communities. In the past, for instance, harsh stop-and-search tactics and the over-policing of </w:t>
      </w:r>
      <w:r w:rsidR="00061CFB" w:rsidRPr="00061CFB">
        <w:rPr>
          <w:rFonts w:asciiTheme="minorHAnsi" w:hAnsiTheme="minorHAnsi" w:cstheme="minorHAnsi"/>
        </w:rPr>
        <w:t>Black</w:t>
      </w:r>
      <w:r w:rsidRPr="00061CFB">
        <w:rPr>
          <w:rFonts w:asciiTheme="minorHAnsi" w:hAnsiTheme="minorHAnsi" w:cstheme="minorHAnsi"/>
        </w:rPr>
        <w:t xml:space="preserve"> communities contributed to feelings of discrimination and marginalisation (Gov. UK, 2021). By recognising these past injustices and working to rectify them, the police can demonstrate their dedication to constructing a fair and equitable system.</w:t>
      </w:r>
    </w:p>
    <w:p w14:paraId="7BBC3F72"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To rebuild trust and strengthen police-community relations, police agencies must prioritise community-oriented policing techniques. Regular interactions between police officers and members of the community can foster mutual understanding and compassion. Outreach programmes that involve the community in decision-making can aid in ensuring that policing practises are responsive to the public's needs and concerns.</w:t>
      </w:r>
    </w:p>
    <w:p w14:paraId="7FDAE8A7"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Moreover, restoring public trust requires a commitment to accountability and transparency. The use of body-worn cameras by police officers is one effective measure that can reduce the use of excessive force and improve interactions with the public (Body-worn cameras | College of Policing, 2021). Body-worn camera footage is used in investigations and court </w:t>
      </w:r>
      <w:r w:rsidRPr="00061CFB">
        <w:rPr>
          <w:rFonts w:asciiTheme="minorHAnsi" w:hAnsiTheme="minorHAnsi" w:cstheme="minorHAnsi"/>
        </w:rPr>
        <w:lastRenderedPageBreak/>
        <w:t>proceedings, assisting in the resolution of complaints or disputes and supporting the gathering of evidence (Body-worn cameras | College of Policing, 2021).</w:t>
      </w:r>
    </w:p>
    <w:p w14:paraId="0C1C52C5"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It is important to hold the police accountable for their actions, but it is equally important to recognise that not all police officers are bad. Few individuals' actions should characterise the entire police force. To rebuild trust and foster a better relationship between the police and the community, both sides must work together. The public must recognise the efforts of the many police officers who work consistently to protect and serve the community, often at the risk of their lives.</w:t>
      </w:r>
    </w:p>
    <w:p w14:paraId="35A00C09"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In addition, the impact of reduced police staff has created difficulties for the police force and community protection. Budget cuts and a decrease in the number of police officers have placed enormous strain on the police service (UK Parliament, 2015). This decrease in police presence can raise concerns about the potential loss of neighbourhood policing, thereby reducing the overall effectiveness of police efforts.</w:t>
      </w:r>
    </w:p>
    <w:p w14:paraId="112A6D09" w14:textId="15637572" w:rsidR="0005185C" w:rsidRDefault="0005185C" w:rsidP="00061CFB">
      <w:pPr>
        <w:pStyle w:val="NormalWeb"/>
        <w:spacing w:line="360" w:lineRule="auto"/>
        <w:rPr>
          <w:rFonts w:asciiTheme="minorHAnsi" w:hAnsiTheme="minorHAnsi" w:cstheme="minorHAnsi"/>
        </w:rPr>
      </w:pPr>
      <w:r w:rsidRPr="0005185C">
        <w:rPr>
          <w:rFonts w:asciiTheme="minorHAnsi" w:hAnsiTheme="minorHAnsi" w:cstheme="minorHAnsi"/>
        </w:rPr>
        <w:t>To resolve negative aspects of organisational culture, it is crucial to invest in comprehensive reform programmes. Community-based police programmes, accountability systems, and the elimination of biased practi</w:t>
      </w:r>
      <w:r w:rsidR="00086D5F">
        <w:rPr>
          <w:rFonts w:asciiTheme="minorHAnsi" w:hAnsiTheme="minorHAnsi" w:cstheme="minorHAnsi"/>
        </w:rPr>
        <w:t>c</w:t>
      </w:r>
      <w:r w:rsidRPr="0005185C">
        <w:rPr>
          <w:rFonts w:asciiTheme="minorHAnsi" w:hAnsiTheme="minorHAnsi" w:cstheme="minorHAnsi"/>
        </w:rPr>
        <w:t>es are essential elements of police reform</w:t>
      </w:r>
      <w:r>
        <w:rPr>
          <w:rFonts w:asciiTheme="minorHAnsi" w:hAnsiTheme="minorHAnsi" w:cstheme="minorHAnsi"/>
        </w:rPr>
        <w:t xml:space="preserve"> </w:t>
      </w:r>
      <w:r w:rsidRPr="0005185C">
        <w:rPr>
          <w:rFonts w:asciiTheme="minorHAnsi" w:hAnsiTheme="minorHAnsi" w:cstheme="minorHAnsi"/>
        </w:rPr>
        <w:t>(Gov.</w:t>
      </w:r>
      <w:r w:rsidR="00086D5F">
        <w:rPr>
          <w:rFonts w:asciiTheme="minorHAnsi" w:hAnsiTheme="minorHAnsi" w:cstheme="minorHAnsi"/>
        </w:rPr>
        <w:t xml:space="preserve"> </w:t>
      </w:r>
      <w:r w:rsidR="00086D5F" w:rsidRPr="0005185C">
        <w:rPr>
          <w:rFonts w:asciiTheme="minorHAnsi" w:hAnsiTheme="minorHAnsi" w:cstheme="minorHAnsi"/>
        </w:rPr>
        <w:t>UK</w:t>
      </w:r>
      <w:r w:rsidRPr="0005185C">
        <w:rPr>
          <w:rFonts w:asciiTheme="minorHAnsi" w:hAnsiTheme="minorHAnsi" w:cstheme="minorHAnsi"/>
        </w:rPr>
        <w:t xml:space="preserve">, 2012). The Standards in </w:t>
      </w:r>
      <w:r w:rsidR="00086D5F">
        <w:rPr>
          <w:rFonts w:asciiTheme="minorHAnsi" w:hAnsiTheme="minorHAnsi" w:cstheme="minorHAnsi"/>
        </w:rPr>
        <w:t>Public Life C</w:t>
      </w:r>
      <w:r w:rsidRPr="0005185C">
        <w:rPr>
          <w:rFonts w:asciiTheme="minorHAnsi" w:hAnsiTheme="minorHAnsi" w:cstheme="minorHAnsi"/>
        </w:rPr>
        <w:t xml:space="preserve">ommittee of the UK government discusses the role of police and crime commissioners (PCCs) in fostering public accountability for the police service. They emphasise the significance of adhering to the seven principles of public life. Leadership, honesty, openness, objectivity, accountability, and selflessness (Gov.uk, 2012). These efforts can help restore public confidence, increase transparency, and create a more equitable and fair society (Gov.uk, 2012). </w:t>
      </w:r>
    </w:p>
    <w:p w14:paraId="3FECB264" w14:textId="5CD5CD1B"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In addition, community involvement and open conversation are crucial for removing barriers and restoring trust. Regular interactions between police officers and members of the community can foster mutual understanding and compassion. Outreach programmes that involve the community in decision-making can aid in ensuring that policing practises are responsive to the public's needs and concerns.</w:t>
      </w:r>
    </w:p>
    <w:p w14:paraId="76847B25"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lastRenderedPageBreak/>
        <w:t>The development of safeguarding trust groups is an additional key component of restoring trust between the police and the public. These groups aim to bring together the interests of the police and the community by providing an opportunity for open discussion and cooperation (Johnson, 2021). By engaging in meaningful discussion, both sides can address their concerns and work together to find solutions that will benefit the community.</w:t>
      </w:r>
    </w:p>
    <w:p w14:paraId="53752BF5" w14:textId="69EF8BEE"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Moreover, addressing racial disparities in law enforcement is essential for fostering trust and inclusion. The disproportionate targeting of individuals from the </w:t>
      </w:r>
      <w:r w:rsidR="00061CFB" w:rsidRPr="00061CFB">
        <w:rPr>
          <w:rFonts w:asciiTheme="minorHAnsi" w:hAnsiTheme="minorHAnsi" w:cstheme="minorHAnsi"/>
        </w:rPr>
        <w:t>Black</w:t>
      </w:r>
      <w:r w:rsidRPr="00061CFB">
        <w:rPr>
          <w:rFonts w:asciiTheme="minorHAnsi" w:hAnsiTheme="minorHAnsi" w:cstheme="minorHAnsi"/>
        </w:rPr>
        <w:t xml:space="preserve"> community during stop-and-search operations has further eroded public trust in the police (Gov. UK, 2021). To effectively address this issue, it is essential to examine disparities in stop and search practi</w:t>
      </w:r>
      <w:r w:rsidR="00061CFB">
        <w:rPr>
          <w:rFonts w:asciiTheme="minorHAnsi" w:hAnsiTheme="minorHAnsi" w:cstheme="minorHAnsi"/>
        </w:rPr>
        <w:t>c</w:t>
      </w:r>
      <w:r w:rsidRPr="00061CFB">
        <w:rPr>
          <w:rFonts w:asciiTheme="minorHAnsi" w:hAnsiTheme="minorHAnsi" w:cstheme="minorHAnsi"/>
        </w:rPr>
        <w:t>es within smaller geographic regions. Additionally, promoting transparency and accountability in stop-and-search operations can aid in restoring community trust and ensuring fair policing practi</w:t>
      </w:r>
      <w:r w:rsidR="00061CFB">
        <w:rPr>
          <w:rFonts w:asciiTheme="minorHAnsi" w:hAnsiTheme="minorHAnsi" w:cstheme="minorHAnsi"/>
        </w:rPr>
        <w:t>c</w:t>
      </w:r>
      <w:r w:rsidRPr="00061CFB">
        <w:rPr>
          <w:rFonts w:asciiTheme="minorHAnsi" w:hAnsiTheme="minorHAnsi" w:cstheme="minorHAnsi"/>
        </w:rPr>
        <w:t>es.</w:t>
      </w:r>
    </w:p>
    <w:p w14:paraId="756036B9" w14:textId="22F6E48C"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To conclude, rebuilding trust between the police and the public is crucial for the effectiveness of law enforcement and the safety of the community. Improving police-community relations requires addressing negative aspects of organisational culture within the police force, such as misconduct, bias, and a lack of transparency. To create a more equitable and just society in which the police and the public can work together towards a common goal, it is necessary to combat these negative characteristics. Both the police and the public play an essential role in this process, and collaborative efforts from both parties are required to bridge the gap and restore trust. The public must approach the relationship with an open mind and give the police a fair chance, recognising the efforts of many police officers who consistently protect and serve the community. Police departments must maintain their commitment to implementing reforms that improve transparency, fairness, and community engagement. By recognising historical disparities and promoting community-oriented policing strategies, both parties can work together to create a society that is more equitable and fairer. Through mutual understanding and a commitment to discussion, we may foster a positive and constructive relationship that benefits our communities and ensures the safety and well-being of every member. By challenging the negative aspects of policing's organisational culture, we can end harmful practi</w:t>
      </w:r>
      <w:r w:rsidR="00061CFB">
        <w:rPr>
          <w:rFonts w:asciiTheme="minorHAnsi" w:hAnsiTheme="minorHAnsi" w:cstheme="minorHAnsi"/>
        </w:rPr>
        <w:t>c</w:t>
      </w:r>
      <w:r w:rsidRPr="00061CFB">
        <w:rPr>
          <w:rFonts w:asciiTheme="minorHAnsi" w:hAnsiTheme="minorHAnsi" w:cstheme="minorHAnsi"/>
        </w:rPr>
        <w:t xml:space="preserve">es, restore public trust, and pave the way for a safer, more harmonious society. By embracing shared </w:t>
      </w:r>
      <w:r w:rsidRPr="00061CFB">
        <w:rPr>
          <w:rFonts w:asciiTheme="minorHAnsi" w:hAnsiTheme="minorHAnsi" w:cstheme="minorHAnsi"/>
        </w:rPr>
        <w:lastRenderedPageBreak/>
        <w:t>responsibility and mutual respect, the police and the public can bring in a new era of collaborative efforts that protect and serve the best interests of the community. </w:t>
      </w:r>
    </w:p>
    <w:p w14:paraId="447E8601" w14:textId="429C50FB" w:rsidR="007F4DB1" w:rsidRDefault="00906E0A" w:rsidP="007F4DB1">
      <w:pPr>
        <w:pStyle w:val="NormalWeb"/>
        <w:spacing w:line="360" w:lineRule="auto"/>
        <w:rPr>
          <w:rFonts w:asciiTheme="minorHAnsi" w:hAnsiTheme="minorHAnsi" w:cstheme="minorHAnsi"/>
          <w:b/>
          <w:bCs/>
          <w:u w:val="single"/>
        </w:rPr>
      </w:pPr>
      <w:r w:rsidRPr="00061CFB">
        <w:rPr>
          <w:rFonts w:asciiTheme="minorHAnsi" w:hAnsiTheme="minorHAnsi" w:cstheme="minorHAnsi"/>
          <w:b/>
          <w:bCs/>
          <w:u w:val="single"/>
        </w:rPr>
        <w:t>1</w:t>
      </w:r>
      <w:r w:rsidR="0005185C">
        <w:rPr>
          <w:rFonts w:asciiTheme="minorHAnsi" w:hAnsiTheme="minorHAnsi" w:cstheme="minorHAnsi"/>
          <w:b/>
          <w:bCs/>
          <w:u w:val="single"/>
        </w:rPr>
        <w:t>138</w:t>
      </w:r>
      <w:r w:rsidRPr="00061CFB">
        <w:rPr>
          <w:rFonts w:asciiTheme="minorHAnsi" w:hAnsiTheme="minorHAnsi" w:cstheme="minorHAnsi"/>
          <w:b/>
          <w:bCs/>
          <w:u w:val="single"/>
        </w:rPr>
        <w:t xml:space="preserve"> words </w:t>
      </w:r>
      <w:r w:rsidR="0005185C">
        <w:rPr>
          <w:rFonts w:asciiTheme="minorHAnsi" w:hAnsiTheme="minorHAnsi" w:cstheme="minorHAnsi"/>
          <w:b/>
          <w:bCs/>
          <w:u w:val="single"/>
        </w:rPr>
        <w:t>38</w:t>
      </w:r>
      <w:r w:rsidRPr="00061CFB">
        <w:rPr>
          <w:rFonts w:asciiTheme="minorHAnsi" w:hAnsiTheme="minorHAnsi" w:cstheme="minorHAnsi"/>
          <w:b/>
          <w:bCs/>
          <w:u w:val="single"/>
        </w:rPr>
        <w:t xml:space="preserve"> words over</w:t>
      </w:r>
    </w:p>
    <w:p w14:paraId="1EEF7620" w14:textId="2983E896" w:rsidR="007F4DB1" w:rsidRPr="007F4DB1" w:rsidRDefault="00906E0A" w:rsidP="007F4DB1">
      <w:pPr>
        <w:pStyle w:val="NormalWeb"/>
        <w:spacing w:line="360" w:lineRule="auto"/>
        <w:rPr>
          <w:rFonts w:asciiTheme="minorHAnsi" w:hAnsiTheme="minorHAnsi" w:cstheme="minorHAnsi"/>
        </w:rPr>
      </w:pPr>
      <w:r w:rsidRPr="00061CFB">
        <w:rPr>
          <w:rFonts w:cstheme="minorHAnsi"/>
          <w:b/>
          <w:bCs/>
          <w:u w:val="single"/>
        </w:rPr>
        <w:t xml:space="preserve">Bibliography </w:t>
      </w:r>
    </w:p>
    <w:p w14:paraId="2DD20AB5" w14:textId="77777777" w:rsidR="0005185C" w:rsidRPr="0005185C" w:rsidRDefault="0005185C" w:rsidP="0005185C">
      <w:pPr>
        <w:spacing w:line="360" w:lineRule="auto"/>
        <w:rPr>
          <w:rFonts w:cstheme="minorHAnsi"/>
          <w:sz w:val="24"/>
          <w:szCs w:val="24"/>
        </w:rPr>
      </w:pPr>
      <w:r w:rsidRPr="0005185C">
        <w:rPr>
          <w:rFonts w:cstheme="minorHAnsi"/>
          <w:sz w:val="24"/>
          <w:szCs w:val="24"/>
        </w:rPr>
        <w:t xml:space="preserve">Casciani, M.D. (2021) “Sarah Everard’s murder and the questions the Met Police now face,” </w:t>
      </w:r>
      <w:r w:rsidRPr="0005185C">
        <w:rPr>
          <w:rFonts w:cstheme="minorHAnsi"/>
          <w:i/>
          <w:iCs/>
          <w:sz w:val="24"/>
          <w:szCs w:val="24"/>
        </w:rPr>
        <w:t>bbc.co.uk</w:t>
      </w:r>
      <w:r w:rsidRPr="0005185C">
        <w:rPr>
          <w:rFonts w:cstheme="minorHAnsi"/>
          <w:sz w:val="24"/>
          <w:szCs w:val="24"/>
        </w:rPr>
        <w:t>, 2 October. Available at: https://www.bbc.co.uk/news/uk-58772787 (Accessed: July 18, 2023).</w:t>
      </w:r>
    </w:p>
    <w:p w14:paraId="6DF17B39" w14:textId="26CEA3B5" w:rsidR="0005185C" w:rsidRPr="0005185C" w:rsidRDefault="0005185C" w:rsidP="0005185C">
      <w:pPr>
        <w:pStyle w:val="NormalWeb"/>
        <w:spacing w:line="360" w:lineRule="auto"/>
        <w:rPr>
          <w:rFonts w:asciiTheme="minorHAnsi" w:hAnsiTheme="minorHAnsi" w:cstheme="minorHAnsi"/>
        </w:rPr>
      </w:pPr>
      <w:r w:rsidRPr="0005185C">
        <w:rPr>
          <w:rFonts w:asciiTheme="minorHAnsi" w:hAnsiTheme="minorHAnsi" w:cstheme="minorHAnsi"/>
        </w:rPr>
        <w:t xml:space="preserve">College of Policing (2021) </w:t>
      </w:r>
      <w:r w:rsidRPr="0005185C">
        <w:rPr>
          <w:rFonts w:asciiTheme="minorHAnsi" w:hAnsiTheme="minorHAnsi" w:cstheme="minorHAnsi"/>
          <w:i/>
          <w:iCs/>
        </w:rPr>
        <w:t>Body-worn cameras</w:t>
      </w:r>
      <w:r w:rsidRPr="0005185C">
        <w:rPr>
          <w:rFonts w:asciiTheme="minorHAnsi" w:hAnsiTheme="minorHAnsi" w:cstheme="minorHAnsi"/>
        </w:rPr>
        <w:t xml:space="preserve">, </w:t>
      </w:r>
      <w:r w:rsidRPr="0005185C">
        <w:rPr>
          <w:rFonts w:asciiTheme="minorHAnsi" w:hAnsiTheme="minorHAnsi" w:cstheme="minorHAnsi"/>
          <w:i/>
          <w:iCs/>
        </w:rPr>
        <w:t>college.police.uk</w:t>
      </w:r>
      <w:r w:rsidRPr="0005185C">
        <w:rPr>
          <w:rFonts w:asciiTheme="minorHAnsi" w:hAnsiTheme="minorHAnsi" w:cstheme="minorHAnsi"/>
        </w:rPr>
        <w:t>. Available at: https://www.college.police.uk/research/crime-reduction-toolkit/body-worn-cameras (Accessed: August 30, 2023).</w:t>
      </w:r>
    </w:p>
    <w:p w14:paraId="64111FC2" w14:textId="77777777" w:rsidR="0005185C" w:rsidRPr="0005185C" w:rsidRDefault="0005185C" w:rsidP="0005185C">
      <w:pPr>
        <w:pStyle w:val="NormalWeb"/>
        <w:spacing w:line="360" w:lineRule="auto"/>
        <w:rPr>
          <w:rFonts w:asciiTheme="minorHAnsi" w:hAnsiTheme="minorHAnsi" w:cstheme="minorHAnsi"/>
        </w:rPr>
      </w:pPr>
      <w:r w:rsidRPr="0005185C">
        <w:rPr>
          <w:rFonts w:asciiTheme="minorHAnsi" w:hAnsiTheme="minorHAnsi" w:cstheme="minorHAnsi"/>
        </w:rPr>
        <w:t xml:space="preserve">Gov. UK (2021) </w:t>
      </w:r>
      <w:r w:rsidRPr="0005185C">
        <w:rPr>
          <w:rFonts w:asciiTheme="minorHAnsi" w:hAnsiTheme="minorHAnsi" w:cstheme="minorHAnsi"/>
          <w:i/>
          <w:iCs/>
        </w:rPr>
        <w:t>Commission on Race and Ethnic Disparities</w:t>
      </w:r>
      <w:r w:rsidRPr="0005185C">
        <w:rPr>
          <w:rFonts w:asciiTheme="minorHAnsi" w:hAnsiTheme="minorHAnsi" w:cstheme="minorHAnsi"/>
        </w:rPr>
        <w:t xml:space="preserve">, </w:t>
      </w:r>
      <w:r w:rsidRPr="0005185C">
        <w:rPr>
          <w:rFonts w:asciiTheme="minorHAnsi" w:hAnsiTheme="minorHAnsi" w:cstheme="minorHAnsi"/>
          <w:i/>
          <w:iCs/>
        </w:rPr>
        <w:t>Crime and Policing - GOV.UK</w:t>
      </w:r>
      <w:r w:rsidRPr="0005185C">
        <w:rPr>
          <w:rFonts w:asciiTheme="minorHAnsi" w:hAnsiTheme="minorHAnsi" w:cstheme="minorHAnsi"/>
        </w:rPr>
        <w:t>. https://www.gov.uk/government/publications/the-report-of-the-commission-on-race-and-ethnic-disparities/crime-and-policing.</w:t>
      </w:r>
    </w:p>
    <w:p w14:paraId="7FFC3E99" w14:textId="77777777" w:rsidR="0005185C" w:rsidRPr="0005185C" w:rsidRDefault="0005185C" w:rsidP="0005185C">
      <w:pPr>
        <w:pStyle w:val="NormalWeb"/>
        <w:spacing w:line="360" w:lineRule="auto"/>
        <w:rPr>
          <w:rFonts w:asciiTheme="minorHAnsi" w:hAnsiTheme="minorHAnsi" w:cstheme="minorHAnsi"/>
        </w:rPr>
      </w:pPr>
      <w:r w:rsidRPr="0005185C">
        <w:rPr>
          <w:rFonts w:asciiTheme="minorHAnsi" w:hAnsiTheme="minorHAnsi" w:cstheme="minorHAnsi"/>
        </w:rPr>
        <w:t xml:space="preserve">Gov.uk (2012) </w:t>
      </w:r>
      <w:r w:rsidRPr="0005185C">
        <w:rPr>
          <w:rFonts w:asciiTheme="minorHAnsi" w:hAnsiTheme="minorHAnsi" w:cstheme="minorHAnsi"/>
          <w:i/>
          <w:iCs/>
        </w:rPr>
        <w:t>Committee on Standards in Public Life Police accountability structures</w:t>
      </w:r>
      <w:r w:rsidRPr="0005185C">
        <w:rPr>
          <w:rFonts w:asciiTheme="minorHAnsi" w:hAnsiTheme="minorHAnsi" w:cstheme="minorHAnsi"/>
        </w:rPr>
        <w:t xml:space="preserve">, </w:t>
      </w:r>
      <w:r w:rsidRPr="0005185C">
        <w:rPr>
          <w:rFonts w:asciiTheme="minorHAnsi" w:hAnsiTheme="minorHAnsi" w:cstheme="minorHAnsi"/>
          <w:i/>
          <w:iCs/>
        </w:rPr>
        <w:t>assets.publishing.service.gov.uk</w:t>
      </w:r>
      <w:r w:rsidRPr="0005185C">
        <w:rPr>
          <w:rFonts w:asciiTheme="minorHAnsi" w:hAnsiTheme="minorHAnsi" w:cstheme="minorHAnsi"/>
        </w:rPr>
        <w:t>. Available at: https://assets.publishing.service.gov.uk/government/uploads/system/uploads/attachment_data/file/360941/Police_Accountability_Structures_-_Issues_and_Questions_Paper.pdf (Accessed: August 30, 2023).</w:t>
      </w:r>
    </w:p>
    <w:p w14:paraId="0AFA6DB8" w14:textId="77777777" w:rsidR="0005185C" w:rsidRPr="0005185C" w:rsidRDefault="0005185C" w:rsidP="0005185C">
      <w:pPr>
        <w:pStyle w:val="NormalWeb"/>
        <w:spacing w:line="360" w:lineRule="auto"/>
        <w:rPr>
          <w:rFonts w:asciiTheme="minorHAnsi" w:hAnsiTheme="minorHAnsi" w:cstheme="minorHAnsi"/>
        </w:rPr>
      </w:pPr>
      <w:r w:rsidRPr="0005185C">
        <w:rPr>
          <w:rFonts w:asciiTheme="minorHAnsi" w:hAnsiTheme="minorHAnsi" w:cstheme="minorHAnsi"/>
        </w:rPr>
        <w:t xml:space="preserve">Johnson, M.B. (2021) </w:t>
      </w:r>
      <w:r w:rsidRPr="0005185C">
        <w:rPr>
          <w:rFonts w:asciiTheme="minorHAnsi" w:hAnsiTheme="minorHAnsi" w:cstheme="minorHAnsi"/>
          <w:i/>
          <w:iCs/>
        </w:rPr>
        <w:t>Government moves to provide reassurance to women and girls</w:t>
      </w:r>
      <w:r w:rsidRPr="0005185C">
        <w:rPr>
          <w:rFonts w:asciiTheme="minorHAnsi" w:hAnsiTheme="minorHAnsi" w:cstheme="minorHAnsi"/>
        </w:rPr>
        <w:t xml:space="preserve">, </w:t>
      </w:r>
      <w:r w:rsidRPr="0005185C">
        <w:rPr>
          <w:rFonts w:asciiTheme="minorHAnsi" w:hAnsiTheme="minorHAnsi" w:cstheme="minorHAnsi"/>
          <w:i/>
          <w:iCs/>
        </w:rPr>
        <w:t>Gov. UK</w:t>
      </w:r>
      <w:r w:rsidRPr="0005185C">
        <w:rPr>
          <w:rFonts w:asciiTheme="minorHAnsi" w:hAnsiTheme="minorHAnsi" w:cstheme="minorHAnsi"/>
        </w:rPr>
        <w:t>. London, United Kingdom. Available at: https://www.gov.uk/government/news/government-moves-to-provide-reassurance-to-women-and-girls-15-march-2021 (Accessed: July 18, 2023).</w:t>
      </w:r>
    </w:p>
    <w:p w14:paraId="444FE251" w14:textId="77777777" w:rsidR="0005185C" w:rsidRPr="0005185C" w:rsidRDefault="0005185C" w:rsidP="0005185C">
      <w:pPr>
        <w:pStyle w:val="NormalWeb"/>
        <w:spacing w:line="360" w:lineRule="auto"/>
        <w:rPr>
          <w:rFonts w:asciiTheme="minorHAnsi" w:hAnsiTheme="minorHAnsi" w:cstheme="minorHAnsi"/>
        </w:rPr>
      </w:pPr>
      <w:r w:rsidRPr="0005185C">
        <w:rPr>
          <w:rFonts w:asciiTheme="minorHAnsi" w:hAnsiTheme="minorHAnsi" w:cstheme="minorHAnsi"/>
        </w:rPr>
        <w:t xml:space="preserve">UK Parliament (2015) </w:t>
      </w:r>
      <w:r w:rsidRPr="0005185C">
        <w:rPr>
          <w:rFonts w:asciiTheme="minorHAnsi" w:hAnsiTheme="minorHAnsi" w:cstheme="minorHAnsi"/>
          <w:i/>
          <w:iCs/>
        </w:rPr>
        <w:t>Police reform in England and Wales</w:t>
      </w:r>
      <w:r w:rsidRPr="0005185C">
        <w:rPr>
          <w:rFonts w:asciiTheme="minorHAnsi" w:hAnsiTheme="minorHAnsi" w:cstheme="minorHAnsi"/>
        </w:rPr>
        <w:t xml:space="preserve">, </w:t>
      </w:r>
      <w:r w:rsidRPr="0005185C">
        <w:rPr>
          <w:rFonts w:asciiTheme="minorHAnsi" w:hAnsiTheme="minorHAnsi" w:cstheme="minorHAnsi"/>
          <w:i/>
          <w:iCs/>
        </w:rPr>
        <w:t>parliament. UK</w:t>
      </w:r>
      <w:r w:rsidRPr="0005185C">
        <w:rPr>
          <w:rFonts w:asciiTheme="minorHAnsi" w:hAnsiTheme="minorHAnsi" w:cstheme="minorHAnsi"/>
        </w:rPr>
        <w:t>. United Kingdom. Available at: https://www.parliament.uk/business/publications/research/key-issues-parliament-2015/justice/police-reform/ (Accessed: July 21, 2023).</w:t>
      </w:r>
    </w:p>
    <w:p w14:paraId="6BAD0E39" w14:textId="77777777" w:rsidR="00906E0A" w:rsidRPr="00061CFB" w:rsidRDefault="00906E0A" w:rsidP="00061CFB">
      <w:pPr>
        <w:spacing w:line="360" w:lineRule="auto"/>
        <w:rPr>
          <w:rFonts w:cstheme="minorHAnsi"/>
          <w:b/>
          <w:bCs/>
          <w:sz w:val="24"/>
          <w:szCs w:val="24"/>
          <w:u w:val="single"/>
        </w:rPr>
      </w:pPr>
    </w:p>
    <w:p w14:paraId="5322C822" w14:textId="44E7A117" w:rsidR="00906E0A" w:rsidRPr="00061CFB" w:rsidRDefault="00906E0A" w:rsidP="00061CFB">
      <w:pPr>
        <w:spacing w:line="360" w:lineRule="auto"/>
        <w:rPr>
          <w:rFonts w:cstheme="minorHAnsi"/>
          <w:b/>
          <w:bCs/>
          <w:sz w:val="24"/>
          <w:szCs w:val="24"/>
          <w:u w:val="single"/>
        </w:rPr>
      </w:pPr>
      <w:r w:rsidRPr="00061CFB">
        <w:rPr>
          <w:rFonts w:cstheme="minorHAnsi"/>
          <w:b/>
          <w:bCs/>
          <w:sz w:val="24"/>
          <w:szCs w:val="24"/>
          <w:u w:val="single"/>
        </w:rPr>
        <w:lastRenderedPageBreak/>
        <w:t>Assignment 5 – MAPPA</w:t>
      </w:r>
    </w:p>
    <w:p w14:paraId="7864A37B"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In 2001, the introduction of Multi-Agency Public Protection Arrangements (MAPPA) sought to enhance communication between various agencies to effectively manage individuals who present a risk to the public and vulnerable individuals (College of Policing, 2017). This assignment aims to evaluate the effectiveness of MAPPA in protecting vulnerable individuals. It will specifically focus on the case study of Thomas Bennie Smith (TBS) to highlight the significance of initiative-taking policing and thorough risk assessment within the framework of MAPPA. To ensure the continued effectiveness of MAPPA in safeguarding communities and managing high-risk offenders, it is crucial to engage in continuous evaluation and refinement (HM Inspectorate of Probation, 2022).</w:t>
      </w:r>
    </w:p>
    <w:p w14:paraId="47E08B70"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MAPPA is an organization that specifically concentrates on the police, probation, and prison systems. They oversaw the MAPPA Responsible Authority area. To function efficiently, MAPPA depends on the collaboration of different organizations, such as the National Health Service and local administrations. The primary goal of MAPPA is to safeguard the public by closely monitoring individuals deemed high-risk offenders and implementing appropriate measures to effectively manage the risks they pose (College of Policing, 2017).</w:t>
      </w:r>
    </w:p>
    <w:p w14:paraId="43FA1F71"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Numerous research studies and case analyses have consistently demonstrated the effectiveness of MAPPA in effectively managing high-risk offenders and ensuring the safety of vulnerable individuals. The impact of MAPPA was examined in a study, which found that eligible service recipients experienced a decrease in their reoffending rate. Before the establishment of MAPPA in 2000, the recidivism rate for individuals who had committed violent offences and those who had engaged in non-registered sexual offences stood at 26%. In 2004, the rate had decreased to 23%. According to the HM Inspectorate of Probation (2021), there was a notable decrease in the recidivism rate for high-risk service users. Specifically, the rate dropped from 29% to 16% from 2000 to 2010 (HM Inspectorate of Probation, 2021).</w:t>
      </w:r>
    </w:p>
    <w:p w14:paraId="6D950D3C" w14:textId="3D43AC16"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On the other hand, the HM Inspectorate of Probation has released a report indicating that MAPPA has not been fully used for the past twenty years and that additional enhancements are necessary. Charlie Taylor, the Chief Inspector of Prisons, found inconsistencies in the </w:t>
      </w:r>
      <w:r w:rsidRPr="00061CFB">
        <w:rPr>
          <w:rFonts w:asciiTheme="minorHAnsi" w:hAnsiTheme="minorHAnsi" w:cstheme="minorHAnsi"/>
        </w:rPr>
        <w:lastRenderedPageBreak/>
        <w:t>report regarding the management of high-risk prisoners. However, he also emphasised that the significance of effective multi-agency collaboration was not adequately acknowledged, especially in challenging situations like staff shortages (HM Inspectorate of Probation, 2022). Wendy Williams, Her Majesty's Inspector of Constabulary, noted the presence of innovative practi</w:t>
      </w:r>
      <w:r w:rsidR="00061CFB">
        <w:rPr>
          <w:rFonts w:asciiTheme="minorHAnsi" w:hAnsiTheme="minorHAnsi" w:cstheme="minorHAnsi"/>
        </w:rPr>
        <w:t>c</w:t>
      </w:r>
      <w:r w:rsidRPr="00061CFB">
        <w:rPr>
          <w:rFonts w:asciiTheme="minorHAnsi" w:hAnsiTheme="minorHAnsi" w:cstheme="minorHAnsi"/>
        </w:rPr>
        <w:t>es within the sector. However, she also observed a lack of consistency and coherence, specifically within the MAPPA section of the report. To prioritise public safety and efficiently manage individuals who pose a substantial risk, it is crucial to establish a well-defined structure, effective management, and regular evaluations of these arrangements (HM Inspectorate of Probation, 2022).</w:t>
      </w:r>
    </w:p>
    <w:p w14:paraId="0A29B92D"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Critics have expressed concerns about potential stigmatisation and human rights issues related to MAPPA. The concerns are highlighted in the case study of TBS. TBS faced charges for the murders of Holly and Diane Fallon. However, officers were cautious about requesting his consent to search his home or mobile phone. They were mindful of potential violations of his rights under the Human Rights Act of 1988. Due to this hesitation, there were missed chances to uncover TBS's connection with the victims and notify them about his previous convictions (East Ayrshire Chief Officers Group, 2011). Critics contend that placing too much emphasis on safeguarding the rights of offenders could impede their ability to effectively manage risks and potentially result in tragic outcomes. Nevertheless, it is possible to overcome these challenges by prioritising effective communication with offenders and their families, seeking their input through consultation, and holding ourselves accountable for every decision we make. To effectively address these challenges, it is crucial to use MAPPA's framework. This involves actively involving offenders in the decision-making process and ensuring that they fully comprehend the risk management strategies that are in place.</w:t>
      </w:r>
    </w:p>
    <w:p w14:paraId="7DB1A8EB" w14:textId="09FD96DD"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Furthermore, it is widely recognised that individuals who have experienced abuse, especially those who are particularly vulnerable, can endure significant and enduring repercussions. These may encompass trauma, anxiety, depression, and challenges in establishing trusting connections with others. The case of Diane Fallon's family concerning TBS highlights the significant impact that violent offenders can have. The police expressed their apologies for the murders, acknowledging their responsibility for the errors made and their insufficient understanding of TBS's background and the level of threat posed. Critics also pointed out </w:t>
      </w:r>
      <w:r w:rsidRPr="00061CFB">
        <w:rPr>
          <w:rFonts w:asciiTheme="minorHAnsi" w:hAnsiTheme="minorHAnsi" w:cstheme="minorHAnsi"/>
        </w:rPr>
        <w:lastRenderedPageBreak/>
        <w:t xml:space="preserve">missed opportunities to identify TBS's dangerous actions, as well as the lack of sufficient police resources. The tragedy had an impact on the Cronberry community. Accessing support can be a challenge for victims of abuse. However, Diane Fallon's family took the initiative to meet with the relevant agencies to address the failures in managing TBS. The participants in the emotional meeting recognised the various organisational deficiencies and expressed gratitude for the recommendations put forth. They aimed to </w:t>
      </w:r>
      <w:r w:rsidR="00086D5F">
        <w:rPr>
          <w:rFonts w:asciiTheme="minorHAnsi" w:hAnsiTheme="minorHAnsi" w:cstheme="minorHAnsi"/>
        </w:rPr>
        <w:t>prevent</w:t>
      </w:r>
      <w:r w:rsidRPr="00061CFB">
        <w:rPr>
          <w:rFonts w:asciiTheme="minorHAnsi" w:hAnsiTheme="minorHAnsi" w:cstheme="minorHAnsi"/>
        </w:rPr>
        <w:t xml:space="preserve"> similar tragedies from occurring in the future (Campsie, 2011).</w:t>
      </w:r>
    </w:p>
    <w:p w14:paraId="23AA3AB5"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In addition, the case study of TBS also emphasises the significance of initiative-taking policing and thorough risk assessment within MAPPA. The investigation found that there was no follow-up conducted until one year after TBS's release from prison, which suggests a lack of supervision from management. Furthermore, it is worth noting that there was a lack of established local or national frameworks in place to adequately support offender management teams in managing the considerable number of high-risk offenders residing in the community (East Ayrshire Chief Officers Group, 2011).</w:t>
      </w:r>
    </w:p>
    <w:p w14:paraId="5541DB24" w14:textId="727D6F21"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To conclude, to tackle these challenges, it is crucial to continuously evaluate and refine the procedures of MAPPA. Learning from past experiences and applying the knowledge gained is of utmost importance to enhance risk assessment and management strategies. It is crucial to allocate agency resources appropriately to provide effective supervision and assistance, thereby preventing any additional harm. Despite its effectiveness, challenges and areas for improvement have been identified within MAPPA. Reports suggest inconsistencies in the management of high-risk prisoners and the need for additional enhancements to ensure the full utilisation of MAPPA (HM Inspectorate of Probation, 2022). One crucial area that requires attention is the potential for stigmatisation and human rights violations within the framework. </w:t>
      </w:r>
      <w:r w:rsidR="00061CFB">
        <w:rPr>
          <w:rFonts w:asciiTheme="minorHAnsi" w:hAnsiTheme="minorHAnsi" w:cstheme="minorHAnsi"/>
        </w:rPr>
        <w:t>The s</w:t>
      </w:r>
      <w:r w:rsidRPr="00061CFB">
        <w:rPr>
          <w:rFonts w:asciiTheme="minorHAnsi" w:hAnsiTheme="minorHAnsi" w:cstheme="minorHAnsi"/>
        </w:rPr>
        <w:t>tigmatisation of offenders can lead to social isolation, hindering their successful reintegration into society and increasing the likelihood of recidivism. To address this concern, MAPPA should implement training programmes for all professionals involved to promote a non-stigmatising approach.</w:t>
      </w:r>
    </w:p>
    <w:p w14:paraId="5A80C812" w14:textId="74741D7D"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b/>
          <w:bCs/>
          <w:u w:val="single"/>
        </w:rPr>
        <w:t>1</w:t>
      </w:r>
      <w:r w:rsidR="0005185C">
        <w:rPr>
          <w:rFonts w:asciiTheme="minorHAnsi" w:hAnsiTheme="minorHAnsi" w:cstheme="minorHAnsi"/>
          <w:b/>
          <w:bCs/>
          <w:u w:val="single"/>
        </w:rPr>
        <w:t>047</w:t>
      </w:r>
      <w:r w:rsidRPr="00061CFB">
        <w:rPr>
          <w:rFonts w:asciiTheme="minorHAnsi" w:hAnsiTheme="minorHAnsi" w:cstheme="minorHAnsi"/>
          <w:b/>
          <w:bCs/>
          <w:u w:val="single"/>
        </w:rPr>
        <w:t xml:space="preserve"> words</w:t>
      </w:r>
      <w:r w:rsidR="0005185C">
        <w:rPr>
          <w:rFonts w:asciiTheme="minorHAnsi" w:hAnsiTheme="minorHAnsi" w:cstheme="minorHAnsi"/>
          <w:b/>
          <w:bCs/>
          <w:u w:val="single"/>
        </w:rPr>
        <w:t xml:space="preserve"> 0 words over</w:t>
      </w:r>
    </w:p>
    <w:p w14:paraId="4912BF3A" w14:textId="77777777" w:rsidR="007F4DB1" w:rsidRDefault="00906E0A" w:rsidP="007F4DB1">
      <w:pPr>
        <w:spacing w:line="360" w:lineRule="auto"/>
        <w:rPr>
          <w:rFonts w:cstheme="minorHAnsi"/>
          <w:b/>
          <w:bCs/>
          <w:sz w:val="24"/>
          <w:szCs w:val="24"/>
          <w:u w:val="single"/>
        </w:rPr>
      </w:pPr>
      <w:r w:rsidRPr="00061CFB">
        <w:rPr>
          <w:rFonts w:cstheme="minorHAnsi"/>
          <w:b/>
          <w:bCs/>
          <w:sz w:val="24"/>
          <w:szCs w:val="24"/>
          <w:u w:val="single"/>
        </w:rPr>
        <w:t>Bibliography</w:t>
      </w:r>
    </w:p>
    <w:p w14:paraId="523C1356" w14:textId="1B4BE166" w:rsidR="007F4DB1" w:rsidRPr="007F4DB1" w:rsidRDefault="007F4DB1" w:rsidP="007F4DB1">
      <w:pPr>
        <w:spacing w:line="360" w:lineRule="auto"/>
        <w:rPr>
          <w:rFonts w:cstheme="minorHAnsi"/>
          <w:b/>
          <w:bCs/>
          <w:sz w:val="24"/>
          <w:szCs w:val="24"/>
          <w:u w:val="single"/>
        </w:rPr>
      </w:pPr>
      <w:r w:rsidRPr="007F4DB1">
        <w:rPr>
          <w:rFonts w:cstheme="minorHAnsi"/>
          <w:sz w:val="24"/>
          <w:szCs w:val="24"/>
        </w:rPr>
        <w:lastRenderedPageBreak/>
        <w:t xml:space="preserve">Campsie, A. (2011) “Police apology over murder of mother and daughter, 10,” </w:t>
      </w:r>
      <w:r w:rsidRPr="007F4DB1">
        <w:rPr>
          <w:rFonts w:cstheme="minorHAnsi"/>
          <w:i/>
          <w:iCs/>
          <w:sz w:val="24"/>
          <w:szCs w:val="24"/>
        </w:rPr>
        <w:t>heraldscotland.com</w:t>
      </w:r>
      <w:r w:rsidRPr="007F4DB1">
        <w:rPr>
          <w:rFonts w:cstheme="minorHAnsi"/>
          <w:sz w:val="24"/>
          <w:szCs w:val="24"/>
        </w:rPr>
        <w:t>, 12 November. Available at: https://www.heraldscotland.com/news/13040007.police-apology-murder-mother-daughter-10/ (Accessed: August 30, 2023).</w:t>
      </w:r>
    </w:p>
    <w:p w14:paraId="15B93A7E" w14:textId="77777777"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t xml:space="preserve">East Ayrshire Chief Officers Group (2011) </w:t>
      </w:r>
      <w:r w:rsidRPr="007F4DB1">
        <w:rPr>
          <w:rFonts w:asciiTheme="minorHAnsi" w:hAnsiTheme="minorHAnsi" w:cstheme="minorHAnsi"/>
          <w:i/>
          <w:iCs/>
        </w:rPr>
        <w:t>MAPPA Significant Case Review: Thomas Bennie Smith</w:t>
      </w:r>
      <w:r w:rsidRPr="007F4DB1">
        <w:rPr>
          <w:rFonts w:asciiTheme="minorHAnsi" w:hAnsiTheme="minorHAnsi" w:cstheme="minorHAnsi"/>
        </w:rPr>
        <w:t xml:space="preserve">, </w:t>
      </w:r>
      <w:r w:rsidRPr="007F4DB1">
        <w:rPr>
          <w:rFonts w:asciiTheme="minorHAnsi" w:hAnsiTheme="minorHAnsi" w:cstheme="minorHAnsi"/>
          <w:i/>
          <w:iCs/>
        </w:rPr>
        <w:t>east-ayrshire.gov.uk</w:t>
      </w:r>
      <w:r w:rsidRPr="007F4DB1">
        <w:rPr>
          <w:rFonts w:asciiTheme="minorHAnsi" w:hAnsiTheme="minorHAnsi" w:cstheme="minorHAnsi"/>
        </w:rPr>
        <w:t>. Available at: https://www.east-ayrshire.gov.uk/Resources/PDF/M/MAPPASignificantCaseReviewThomasBennieSmith.pdf (Accessed: July 23, 2023).</w:t>
      </w:r>
    </w:p>
    <w:p w14:paraId="32B8D04F" w14:textId="77777777"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t xml:space="preserve">HM Inspectorate of Probation (2021) </w:t>
      </w:r>
      <w:r w:rsidRPr="007F4DB1">
        <w:rPr>
          <w:rFonts w:asciiTheme="minorHAnsi" w:hAnsiTheme="minorHAnsi" w:cstheme="minorHAnsi"/>
          <w:i/>
          <w:iCs/>
        </w:rPr>
        <w:t>Multi-agency public protection arrangements</w:t>
      </w:r>
      <w:r w:rsidRPr="007F4DB1">
        <w:rPr>
          <w:rFonts w:asciiTheme="minorHAnsi" w:hAnsiTheme="minorHAnsi" w:cstheme="minorHAnsi"/>
        </w:rPr>
        <w:t xml:space="preserve">, </w:t>
      </w:r>
      <w:r w:rsidRPr="007F4DB1">
        <w:rPr>
          <w:rFonts w:asciiTheme="minorHAnsi" w:hAnsiTheme="minorHAnsi" w:cstheme="minorHAnsi"/>
          <w:i/>
          <w:iCs/>
        </w:rPr>
        <w:t>justiceinspectorates.gov.uk</w:t>
      </w:r>
      <w:r w:rsidRPr="007F4DB1">
        <w:rPr>
          <w:rFonts w:asciiTheme="minorHAnsi" w:hAnsiTheme="minorHAnsi" w:cstheme="minorHAnsi"/>
        </w:rPr>
        <w:t>. Available at: https://www.justiceinspectorates.gov.uk/hmiprobation/research/the-evidence-base-probation/specific-types-of-delivery/mappa/ (Accessed: July 23, 2023).</w:t>
      </w:r>
    </w:p>
    <w:p w14:paraId="629CA785" w14:textId="77777777"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t xml:space="preserve">HM Inspectorate of Probation (2022) </w:t>
      </w:r>
      <w:r w:rsidRPr="007F4DB1">
        <w:rPr>
          <w:rFonts w:asciiTheme="minorHAnsi" w:hAnsiTheme="minorHAnsi" w:cstheme="minorHAnsi"/>
          <w:i/>
          <w:iCs/>
        </w:rPr>
        <w:t>20 years of Multi-Agency Public Protection Arrangements (MAPPA) – they are ‘underused’, and further improvements are needed</w:t>
      </w:r>
      <w:r w:rsidRPr="007F4DB1">
        <w:rPr>
          <w:rFonts w:asciiTheme="minorHAnsi" w:hAnsiTheme="minorHAnsi" w:cstheme="minorHAnsi"/>
        </w:rPr>
        <w:t xml:space="preserve">, </w:t>
      </w:r>
      <w:r w:rsidRPr="007F4DB1">
        <w:rPr>
          <w:rFonts w:asciiTheme="minorHAnsi" w:hAnsiTheme="minorHAnsi" w:cstheme="minorHAnsi"/>
          <w:i/>
          <w:iCs/>
        </w:rPr>
        <w:t>justiceinspectorates.gov.uk</w:t>
      </w:r>
      <w:r w:rsidRPr="007F4DB1">
        <w:rPr>
          <w:rFonts w:asciiTheme="minorHAnsi" w:hAnsiTheme="minorHAnsi" w:cstheme="minorHAnsi"/>
        </w:rPr>
        <w:t>. Available at: https://www.justiceinspectorates.gov.uk/hmiprobation/media/press-releases/2022/07/mappa/ (Accessed: July 23, 2023).</w:t>
      </w:r>
    </w:p>
    <w:p w14:paraId="5E1BE999" w14:textId="77777777" w:rsidR="007F4DB1" w:rsidRPr="007F4DB1" w:rsidRDefault="007F4DB1" w:rsidP="007F4DB1">
      <w:pPr>
        <w:pStyle w:val="NormalWeb"/>
        <w:spacing w:line="360" w:lineRule="auto"/>
        <w:rPr>
          <w:rFonts w:asciiTheme="minorHAnsi" w:hAnsiTheme="minorHAnsi" w:cstheme="minorHAnsi"/>
        </w:rPr>
      </w:pPr>
      <w:r w:rsidRPr="007F4DB1">
        <w:rPr>
          <w:rFonts w:asciiTheme="minorHAnsi" w:hAnsiTheme="minorHAnsi" w:cstheme="minorHAnsi"/>
        </w:rPr>
        <w:t xml:space="preserve">College of Policing (2017) </w:t>
      </w:r>
      <w:r w:rsidRPr="007F4DB1">
        <w:rPr>
          <w:rFonts w:asciiTheme="minorHAnsi" w:hAnsiTheme="minorHAnsi" w:cstheme="minorHAnsi"/>
          <w:i/>
          <w:iCs/>
        </w:rPr>
        <w:t>Multi-agency public protection arrangements (MAPPA)</w:t>
      </w:r>
      <w:r w:rsidRPr="007F4DB1">
        <w:rPr>
          <w:rFonts w:asciiTheme="minorHAnsi" w:hAnsiTheme="minorHAnsi" w:cstheme="minorHAnsi"/>
        </w:rPr>
        <w:t xml:space="preserve">, </w:t>
      </w:r>
      <w:r w:rsidRPr="007F4DB1">
        <w:rPr>
          <w:rFonts w:asciiTheme="minorHAnsi" w:hAnsiTheme="minorHAnsi" w:cstheme="minorHAnsi"/>
          <w:i/>
          <w:iCs/>
        </w:rPr>
        <w:t>college.police.uk</w:t>
      </w:r>
      <w:r w:rsidRPr="007F4DB1">
        <w:rPr>
          <w:rFonts w:asciiTheme="minorHAnsi" w:hAnsiTheme="minorHAnsi" w:cstheme="minorHAnsi"/>
        </w:rPr>
        <w:t>. Available at: https://www.college.police.uk/app/major-investigation-and-public-protection/managing-sexual-offenders-and-violent-offenders/multi-agency-public-protection-arrangements-mappa (Accessed: August 30, 2023).</w:t>
      </w:r>
    </w:p>
    <w:p w14:paraId="297BD931" w14:textId="77777777" w:rsidR="00906E0A" w:rsidRPr="007F4DB1" w:rsidRDefault="00906E0A" w:rsidP="007F4DB1">
      <w:pPr>
        <w:spacing w:line="360" w:lineRule="auto"/>
        <w:rPr>
          <w:rFonts w:cstheme="minorHAnsi"/>
          <w:sz w:val="24"/>
          <w:szCs w:val="24"/>
        </w:rPr>
      </w:pPr>
    </w:p>
    <w:p w14:paraId="0F47F2B6" w14:textId="77777777" w:rsidR="00906E0A" w:rsidRPr="007F4DB1" w:rsidRDefault="00906E0A" w:rsidP="007F4DB1">
      <w:pPr>
        <w:spacing w:line="360" w:lineRule="auto"/>
        <w:rPr>
          <w:rFonts w:cstheme="minorHAnsi"/>
          <w:sz w:val="24"/>
          <w:szCs w:val="24"/>
        </w:rPr>
      </w:pPr>
    </w:p>
    <w:p w14:paraId="5636F5A6" w14:textId="77777777" w:rsidR="00906E0A" w:rsidRPr="007F4DB1" w:rsidRDefault="00906E0A" w:rsidP="007F4DB1">
      <w:pPr>
        <w:spacing w:line="360" w:lineRule="auto"/>
        <w:rPr>
          <w:rFonts w:cstheme="minorHAnsi"/>
          <w:sz w:val="24"/>
          <w:szCs w:val="24"/>
        </w:rPr>
      </w:pPr>
    </w:p>
    <w:p w14:paraId="50F88F66" w14:textId="77777777" w:rsidR="006B67AE" w:rsidRPr="00061CFB" w:rsidRDefault="006B67AE" w:rsidP="00061CFB">
      <w:pPr>
        <w:spacing w:line="360" w:lineRule="auto"/>
        <w:rPr>
          <w:rFonts w:cstheme="minorHAnsi"/>
          <w:sz w:val="24"/>
          <w:szCs w:val="24"/>
        </w:rPr>
      </w:pPr>
    </w:p>
    <w:sectPr w:rsidR="006B67AE" w:rsidRPr="00061CF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wNzU0NjGwMDIxMDZS0lEKTi0uzszPAykwqgUAGZA8FiwAAAA="/>
  </w:docVars>
  <w:rsids>
    <w:rsidRoot w:val="00906E0A"/>
    <w:rsid w:val="0005185C"/>
    <w:rsid w:val="00061CFB"/>
    <w:rsid w:val="00086D5F"/>
    <w:rsid w:val="000F4FE0"/>
    <w:rsid w:val="00140A6A"/>
    <w:rsid w:val="00206EE4"/>
    <w:rsid w:val="005E0176"/>
    <w:rsid w:val="006B67AE"/>
    <w:rsid w:val="00737977"/>
    <w:rsid w:val="007F4DB1"/>
    <w:rsid w:val="00894AB2"/>
    <w:rsid w:val="00906E0A"/>
    <w:rsid w:val="00A350C5"/>
    <w:rsid w:val="00A466ED"/>
    <w:rsid w:val="00D22DE3"/>
    <w:rsid w:val="00F53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6CC23"/>
  <w15:chartTrackingRefBased/>
  <w15:docId w15:val="{8C0FBE3A-2C18-4F30-BE4B-B29D8E586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E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6E0A"/>
    <w:rPr>
      <w:color w:val="0563C1" w:themeColor="hyperlink"/>
      <w:u w:val="single"/>
    </w:rPr>
  </w:style>
  <w:style w:type="paragraph" w:styleId="NormalWeb">
    <w:name w:val="Normal (Web)"/>
    <w:basedOn w:val="Normal"/>
    <w:uiPriority w:val="99"/>
    <w:unhideWhenUsed/>
    <w:rsid w:val="00906E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F4DB1"/>
    <w:rPr>
      <w:color w:val="954F72" w:themeColor="followedHyperlink"/>
      <w:u w:val="single"/>
    </w:rPr>
  </w:style>
  <w:style w:type="character" w:styleId="UnresolvedMention">
    <w:name w:val="Unresolved Mention"/>
    <w:basedOn w:val="DefaultParagraphFont"/>
    <w:uiPriority w:val="99"/>
    <w:semiHidden/>
    <w:unhideWhenUsed/>
    <w:rsid w:val="007F4D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78263">
      <w:bodyDiv w:val="1"/>
      <w:marLeft w:val="0"/>
      <w:marRight w:val="0"/>
      <w:marTop w:val="0"/>
      <w:marBottom w:val="0"/>
      <w:divBdr>
        <w:top w:val="none" w:sz="0" w:space="0" w:color="auto"/>
        <w:left w:val="none" w:sz="0" w:space="0" w:color="auto"/>
        <w:bottom w:val="none" w:sz="0" w:space="0" w:color="auto"/>
        <w:right w:val="none" w:sz="0" w:space="0" w:color="auto"/>
      </w:divBdr>
    </w:div>
    <w:div w:id="223218213">
      <w:bodyDiv w:val="1"/>
      <w:marLeft w:val="0"/>
      <w:marRight w:val="0"/>
      <w:marTop w:val="0"/>
      <w:marBottom w:val="0"/>
      <w:divBdr>
        <w:top w:val="none" w:sz="0" w:space="0" w:color="auto"/>
        <w:left w:val="none" w:sz="0" w:space="0" w:color="auto"/>
        <w:bottom w:val="none" w:sz="0" w:space="0" w:color="auto"/>
        <w:right w:val="none" w:sz="0" w:space="0" w:color="auto"/>
      </w:divBdr>
    </w:div>
    <w:div w:id="630215153">
      <w:bodyDiv w:val="1"/>
      <w:marLeft w:val="0"/>
      <w:marRight w:val="0"/>
      <w:marTop w:val="0"/>
      <w:marBottom w:val="0"/>
      <w:divBdr>
        <w:top w:val="none" w:sz="0" w:space="0" w:color="auto"/>
        <w:left w:val="none" w:sz="0" w:space="0" w:color="auto"/>
        <w:bottom w:val="none" w:sz="0" w:space="0" w:color="auto"/>
        <w:right w:val="none" w:sz="0" w:space="0" w:color="auto"/>
      </w:divBdr>
    </w:div>
    <w:div w:id="775491429">
      <w:bodyDiv w:val="1"/>
      <w:marLeft w:val="0"/>
      <w:marRight w:val="0"/>
      <w:marTop w:val="0"/>
      <w:marBottom w:val="0"/>
      <w:divBdr>
        <w:top w:val="none" w:sz="0" w:space="0" w:color="auto"/>
        <w:left w:val="none" w:sz="0" w:space="0" w:color="auto"/>
        <w:bottom w:val="none" w:sz="0" w:space="0" w:color="auto"/>
        <w:right w:val="none" w:sz="0" w:space="0" w:color="auto"/>
      </w:divBdr>
    </w:div>
    <w:div w:id="800657850">
      <w:bodyDiv w:val="1"/>
      <w:marLeft w:val="0"/>
      <w:marRight w:val="0"/>
      <w:marTop w:val="0"/>
      <w:marBottom w:val="0"/>
      <w:divBdr>
        <w:top w:val="none" w:sz="0" w:space="0" w:color="auto"/>
        <w:left w:val="none" w:sz="0" w:space="0" w:color="auto"/>
        <w:bottom w:val="none" w:sz="0" w:space="0" w:color="auto"/>
        <w:right w:val="none" w:sz="0" w:space="0" w:color="auto"/>
      </w:divBdr>
    </w:div>
    <w:div w:id="811602796">
      <w:bodyDiv w:val="1"/>
      <w:marLeft w:val="0"/>
      <w:marRight w:val="0"/>
      <w:marTop w:val="0"/>
      <w:marBottom w:val="0"/>
      <w:divBdr>
        <w:top w:val="none" w:sz="0" w:space="0" w:color="auto"/>
        <w:left w:val="none" w:sz="0" w:space="0" w:color="auto"/>
        <w:bottom w:val="none" w:sz="0" w:space="0" w:color="auto"/>
        <w:right w:val="none" w:sz="0" w:space="0" w:color="auto"/>
      </w:divBdr>
    </w:div>
    <w:div w:id="912350377">
      <w:bodyDiv w:val="1"/>
      <w:marLeft w:val="0"/>
      <w:marRight w:val="0"/>
      <w:marTop w:val="0"/>
      <w:marBottom w:val="0"/>
      <w:divBdr>
        <w:top w:val="none" w:sz="0" w:space="0" w:color="auto"/>
        <w:left w:val="none" w:sz="0" w:space="0" w:color="auto"/>
        <w:bottom w:val="none" w:sz="0" w:space="0" w:color="auto"/>
        <w:right w:val="none" w:sz="0" w:space="0" w:color="auto"/>
      </w:divBdr>
    </w:div>
    <w:div w:id="1104687504">
      <w:bodyDiv w:val="1"/>
      <w:marLeft w:val="0"/>
      <w:marRight w:val="0"/>
      <w:marTop w:val="0"/>
      <w:marBottom w:val="0"/>
      <w:divBdr>
        <w:top w:val="none" w:sz="0" w:space="0" w:color="auto"/>
        <w:left w:val="none" w:sz="0" w:space="0" w:color="auto"/>
        <w:bottom w:val="none" w:sz="0" w:space="0" w:color="auto"/>
        <w:right w:val="none" w:sz="0" w:space="0" w:color="auto"/>
      </w:divBdr>
    </w:div>
    <w:div w:id="1182162109">
      <w:bodyDiv w:val="1"/>
      <w:marLeft w:val="0"/>
      <w:marRight w:val="0"/>
      <w:marTop w:val="0"/>
      <w:marBottom w:val="0"/>
      <w:divBdr>
        <w:top w:val="none" w:sz="0" w:space="0" w:color="auto"/>
        <w:left w:val="none" w:sz="0" w:space="0" w:color="auto"/>
        <w:bottom w:val="none" w:sz="0" w:space="0" w:color="auto"/>
        <w:right w:val="none" w:sz="0" w:space="0" w:color="auto"/>
      </w:divBdr>
    </w:div>
    <w:div w:id="1198084501">
      <w:bodyDiv w:val="1"/>
      <w:marLeft w:val="0"/>
      <w:marRight w:val="0"/>
      <w:marTop w:val="0"/>
      <w:marBottom w:val="0"/>
      <w:divBdr>
        <w:top w:val="none" w:sz="0" w:space="0" w:color="auto"/>
        <w:left w:val="none" w:sz="0" w:space="0" w:color="auto"/>
        <w:bottom w:val="none" w:sz="0" w:space="0" w:color="auto"/>
        <w:right w:val="none" w:sz="0" w:space="0" w:color="auto"/>
      </w:divBdr>
    </w:div>
    <w:div w:id="1284926365">
      <w:bodyDiv w:val="1"/>
      <w:marLeft w:val="0"/>
      <w:marRight w:val="0"/>
      <w:marTop w:val="0"/>
      <w:marBottom w:val="0"/>
      <w:divBdr>
        <w:top w:val="none" w:sz="0" w:space="0" w:color="auto"/>
        <w:left w:val="none" w:sz="0" w:space="0" w:color="auto"/>
        <w:bottom w:val="none" w:sz="0" w:space="0" w:color="auto"/>
        <w:right w:val="none" w:sz="0" w:space="0" w:color="auto"/>
      </w:divBdr>
    </w:div>
    <w:div w:id="1288463792">
      <w:bodyDiv w:val="1"/>
      <w:marLeft w:val="0"/>
      <w:marRight w:val="0"/>
      <w:marTop w:val="0"/>
      <w:marBottom w:val="0"/>
      <w:divBdr>
        <w:top w:val="none" w:sz="0" w:space="0" w:color="auto"/>
        <w:left w:val="none" w:sz="0" w:space="0" w:color="auto"/>
        <w:bottom w:val="none" w:sz="0" w:space="0" w:color="auto"/>
        <w:right w:val="none" w:sz="0" w:space="0" w:color="auto"/>
      </w:divBdr>
    </w:div>
    <w:div w:id="1300767583">
      <w:bodyDiv w:val="1"/>
      <w:marLeft w:val="0"/>
      <w:marRight w:val="0"/>
      <w:marTop w:val="0"/>
      <w:marBottom w:val="0"/>
      <w:divBdr>
        <w:top w:val="none" w:sz="0" w:space="0" w:color="auto"/>
        <w:left w:val="none" w:sz="0" w:space="0" w:color="auto"/>
        <w:bottom w:val="none" w:sz="0" w:space="0" w:color="auto"/>
        <w:right w:val="none" w:sz="0" w:space="0" w:color="auto"/>
      </w:divBdr>
    </w:div>
    <w:div w:id="1407876700">
      <w:bodyDiv w:val="1"/>
      <w:marLeft w:val="0"/>
      <w:marRight w:val="0"/>
      <w:marTop w:val="0"/>
      <w:marBottom w:val="0"/>
      <w:divBdr>
        <w:top w:val="none" w:sz="0" w:space="0" w:color="auto"/>
        <w:left w:val="none" w:sz="0" w:space="0" w:color="auto"/>
        <w:bottom w:val="none" w:sz="0" w:space="0" w:color="auto"/>
        <w:right w:val="none" w:sz="0" w:space="0" w:color="auto"/>
      </w:divBdr>
    </w:div>
    <w:div w:id="1434741125">
      <w:bodyDiv w:val="1"/>
      <w:marLeft w:val="0"/>
      <w:marRight w:val="0"/>
      <w:marTop w:val="0"/>
      <w:marBottom w:val="0"/>
      <w:divBdr>
        <w:top w:val="none" w:sz="0" w:space="0" w:color="auto"/>
        <w:left w:val="none" w:sz="0" w:space="0" w:color="auto"/>
        <w:bottom w:val="none" w:sz="0" w:space="0" w:color="auto"/>
        <w:right w:val="none" w:sz="0" w:space="0" w:color="auto"/>
      </w:divBdr>
    </w:div>
    <w:div w:id="1448965339">
      <w:bodyDiv w:val="1"/>
      <w:marLeft w:val="0"/>
      <w:marRight w:val="0"/>
      <w:marTop w:val="0"/>
      <w:marBottom w:val="0"/>
      <w:divBdr>
        <w:top w:val="none" w:sz="0" w:space="0" w:color="auto"/>
        <w:left w:val="none" w:sz="0" w:space="0" w:color="auto"/>
        <w:bottom w:val="none" w:sz="0" w:space="0" w:color="auto"/>
        <w:right w:val="none" w:sz="0" w:space="0" w:color="auto"/>
      </w:divBdr>
    </w:div>
    <w:div w:id="1582909240">
      <w:bodyDiv w:val="1"/>
      <w:marLeft w:val="0"/>
      <w:marRight w:val="0"/>
      <w:marTop w:val="0"/>
      <w:marBottom w:val="0"/>
      <w:divBdr>
        <w:top w:val="none" w:sz="0" w:space="0" w:color="auto"/>
        <w:left w:val="none" w:sz="0" w:space="0" w:color="auto"/>
        <w:bottom w:val="none" w:sz="0" w:space="0" w:color="auto"/>
        <w:right w:val="none" w:sz="0" w:space="0" w:color="auto"/>
      </w:divBdr>
    </w:div>
    <w:div w:id="1613853214">
      <w:bodyDiv w:val="1"/>
      <w:marLeft w:val="0"/>
      <w:marRight w:val="0"/>
      <w:marTop w:val="0"/>
      <w:marBottom w:val="0"/>
      <w:divBdr>
        <w:top w:val="none" w:sz="0" w:space="0" w:color="auto"/>
        <w:left w:val="none" w:sz="0" w:space="0" w:color="auto"/>
        <w:bottom w:val="none" w:sz="0" w:space="0" w:color="auto"/>
        <w:right w:val="none" w:sz="0" w:space="0" w:color="auto"/>
      </w:divBdr>
    </w:div>
    <w:div w:id="1634408561">
      <w:bodyDiv w:val="1"/>
      <w:marLeft w:val="0"/>
      <w:marRight w:val="0"/>
      <w:marTop w:val="0"/>
      <w:marBottom w:val="0"/>
      <w:divBdr>
        <w:top w:val="none" w:sz="0" w:space="0" w:color="auto"/>
        <w:left w:val="none" w:sz="0" w:space="0" w:color="auto"/>
        <w:bottom w:val="none" w:sz="0" w:space="0" w:color="auto"/>
        <w:right w:val="none" w:sz="0" w:space="0" w:color="auto"/>
      </w:divBdr>
    </w:div>
    <w:div w:id="1701928331">
      <w:bodyDiv w:val="1"/>
      <w:marLeft w:val="0"/>
      <w:marRight w:val="0"/>
      <w:marTop w:val="0"/>
      <w:marBottom w:val="0"/>
      <w:divBdr>
        <w:top w:val="none" w:sz="0" w:space="0" w:color="auto"/>
        <w:left w:val="none" w:sz="0" w:space="0" w:color="auto"/>
        <w:bottom w:val="none" w:sz="0" w:space="0" w:color="auto"/>
        <w:right w:val="none" w:sz="0" w:space="0" w:color="auto"/>
      </w:divBdr>
    </w:div>
    <w:div w:id="1746951854">
      <w:bodyDiv w:val="1"/>
      <w:marLeft w:val="0"/>
      <w:marRight w:val="0"/>
      <w:marTop w:val="0"/>
      <w:marBottom w:val="0"/>
      <w:divBdr>
        <w:top w:val="none" w:sz="0" w:space="0" w:color="auto"/>
        <w:left w:val="none" w:sz="0" w:space="0" w:color="auto"/>
        <w:bottom w:val="none" w:sz="0" w:space="0" w:color="auto"/>
        <w:right w:val="none" w:sz="0" w:space="0" w:color="auto"/>
      </w:divBdr>
    </w:div>
    <w:div w:id="1985771959">
      <w:bodyDiv w:val="1"/>
      <w:marLeft w:val="0"/>
      <w:marRight w:val="0"/>
      <w:marTop w:val="0"/>
      <w:marBottom w:val="0"/>
      <w:divBdr>
        <w:top w:val="none" w:sz="0" w:space="0" w:color="auto"/>
        <w:left w:val="none" w:sz="0" w:space="0" w:color="auto"/>
        <w:bottom w:val="none" w:sz="0" w:space="0" w:color="auto"/>
        <w:right w:val="none" w:sz="0" w:space="0" w:color="auto"/>
      </w:divBdr>
    </w:div>
    <w:div w:id="2054228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5432</Words>
  <Characters>30963</Characters>
  <Application>Microsoft Office Word</Application>
  <DocSecurity>0</DocSecurity>
  <Lines>258</Lines>
  <Paragraphs>72</Paragraphs>
  <ScaleCrop>false</ScaleCrop>
  <Company/>
  <LinksUpToDate>false</LinksUpToDate>
  <CharactersWithSpaces>36323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dc:creator>
  <cp:keywords/>
  <dc:description/>
  <cp:lastModifiedBy>Claire</cp:lastModifiedBy>
  <cp:revision>3</cp:revision>
  <dcterms:created xsi:type="dcterms:W3CDTF">2023-08-30T21:37:00Z</dcterms:created>
  <dcterms:modified xsi:type="dcterms:W3CDTF">2023-08-30T21:37:00Z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2023-08-30T21:32:04Z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7141e0ce-51d8-4827-94cd-338dbbc49827</vt:lpwstr>
  </property>
  <property fmtid="{D5CDD505-2E9C-101B-9397-08002B2CF9AE}" pid="8" name="MSIP_Label_66cf8fe5-b7b7-4df7-b38d-1c61ac2f6639_ContentBits">
    <vt:lpwstr>0</vt:lpwstr>
  </property>
</Properties>
</file>