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E86CA" w14:textId="77777777" w:rsidR="00A625D2" w:rsidRPr="00C560AF" w:rsidRDefault="00A625D2" w:rsidP="00C560AF">
      <w:pPr>
        <w:spacing w:before="1000" w:line="360" w:lineRule="auto"/>
        <w:rPr>
          <w:rFonts w:ascii="Times New Roman" w:hAnsi="Times New Roman" w:cs="Times New Roman"/>
          <w:color w:val="000000" w:themeColor="text1"/>
          <w:sz w:val="24"/>
          <w:szCs w:val="24"/>
        </w:rPr>
      </w:pPr>
    </w:p>
    <w:p w14:paraId="3485AF12" w14:textId="77777777" w:rsidR="00A625D2" w:rsidRPr="00C560AF" w:rsidRDefault="00000000" w:rsidP="00C25C30">
      <w:pPr>
        <w:spacing w:after="200"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LCHS4010: Psychology in Health and Social Care</w:t>
      </w:r>
    </w:p>
    <w:p w14:paraId="7F3803B0" w14:textId="77777777" w:rsidR="00A625D2" w:rsidRDefault="00000000" w:rsidP="00C25C30">
      <w:pPr>
        <w:spacing w:after="600"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Assessment 2: Annotated Bibliography and Short Report</w:t>
      </w:r>
    </w:p>
    <w:p w14:paraId="1F6B1B73" w14:textId="77777777" w:rsidR="00C25C30" w:rsidRPr="00C560AF" w:rsidRDefault="00C25C30" w:rsidP="00C25C30">
      <w:pPr>
        <w:spacing w:after="600" w:line="360" w:lineRule="auto"/>
        <w:jc w:val="center"/>
        <w:rPr>
          <w:rFonts w:ascii="Times New Roman" w:hAnsi="Times New Roman" w:cs="Times New Roman"/>
          <w:color w:val="000000" w:themeColor="text1"/>
          <w:sz w:val="24"/>
          <w:szCs w:val="24"/>
        </w:rPr>
      </w:pPr>
    </w:p>
    <w:p w14:paraId="74046802" w14:textId="535B9D03" w:rsidR="00A625D2" w:rsidRPr="00C560AF" w:rsidRDefault="00000000" w:rsidP="00C25C30">
      <w:pPr>
        <w:spacing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Student Name:</w:t>
      </w:r>
      <w:r w:rsidRPr="00C560AF">
        <w:rPr>
          <w:rFonts w:ascii="Times New Roman" w:hAnsi="Times New Roman" w:cs="Times New Roman"/>
          <w:color w:val="000000" w:themeColor="text1"/>
          <w:sz w:val="24"/>
          <w:szCs w:val="24"/>
        </w:rPr>
        <w:tab/>
      </w:r>
      <w:r w:rsidR="0039340B">
        <w:rPr>
          <w:rFonts w:ascii="Times New Roman" w:hAnsi="Times New Roman" w:cs="Times New Roman"/>
          <w:color w:val="000000" w:themeColor="text1"/>
          <w:sz w:val="24"/>
          <w:szCs w:val="24"/>
        </w:rPr>
        <w:t xml:space="preserve"> Mihaela Ionita</w:t>
      </w:r>
    </w:p>
    <w:p w14:paraId="3CEF17E2" w14:textId="6B08CC43" w:rsidR="00A625D2" w:rsidRDefault="00000000" w:rsidP="00C25C30">
      <w:pPr>
        <w:spacing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Student Number:</w:t>
      </w:r>
      <w:r w:rsidR="0039340B">
        <w:rPr>
          <w:rFonts w:ascii="Times New Roman" w:hAnsi="Times New Roman" w:cs="Times New Roman"/>
          <w:color w:val="000000" w:themeColor="text1"/>
          <w:sz w:val="24"/>
          <w:szCs w:val="24"/>
        </w:rPr>
        <w:t xml:space="preserve"> 2436853</w:t>
      </w:r>
    </w:p>
    <w:p w14:paraId="1916448A" w14:textId="77777777" w:rsidR="00C25C30" w:rsidRDefault="00C25C30" w:rsidP="00C25C30">
      <w:pPr>
        <w:spacing w:line="360" w:lineRule="auto"/>
        <w:jc w:val="center"/>
        <w:rPr>
          <w:rFonts w:ascii="Times New Roman" w:hAnsi="Times New Roman" w:cs="Times New Roman"/>
          <w:color w:val="000000" w:themeColor="text1"/>
          <w:sz w:val="24"/>
          <w:szCs w:val="24"/>
        </w:rPr>
      </w:pPr>
    </w:p>
    <w:p w14:paraId="4D6784A8" w14:textId="77777777" w:rsidR="00C25C30" w:rsidRPr="00C560AF" w:rsidRDefault="00C25C30" w:rsidP="00C25C30">
      <w:pPr>
        <w:spacing w:line="360" w:lineRule="auto"/>
        <w:jc w:val="center"/>
        <w:rPr>
          <w:rFonts w:ascii="Times New Roman" w:hAnsi="Times New Roman" w:cs="Times New Roman"/>
          <w:color w:val="000000" w:themeColor="text1"/>
          <w:sz w:val="24"/>
          <w:szCs w:val="24"/>
        </w:rPr>
      </w:pPr>
    </w:p>
    <w:p w14:paraId="6E77AE06" w14:textId="77777777" w:rsidR="00A625D2" w:rsidRPr="00C560AF" w:rsidRDefault="00000000" w:rsidP="00C25C30">
      <w:pPr>
        <w:spacing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Module Code:</w:t>
      </w:r>
      <w:r w:rsidRPr="00C560AF">
        <w:rPr>
          <w:rFonts w:ascii="Times New Roman" w:hAnsi="Times New Roman" w:cs="Times New Roman"/>
          <w:color w:val="000000" w:themeColor="text1"/>
          <w:sz w:val="24"/>
          <w:szCs w:val="24"/>
        </w:rPr>
        <w:tab/>
        <w:t>LCHS4010</w:t>
      </w:r>
    </w:p>
    <w:p w14:paraId="24AE316D" w14:textId="77777777" w:rsidR="00A625D2" w:rsidRPr="00C560AF" w:rsidRDefault="00000000" w:rsidP="00C25C30">
      <w:pPr>
        <w:spacing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Module Title:</w:t>
      </w:r>
      <w:r w:rsidRPr="00C560AF">
        <w:rPr>
          <w:rFonts w:ascii="Times New Roman" w:hAnsi="Times New Roman" w:cs="Times New Roman"/>
          <w:color w:val="000000" w:themeColor="text1"/>
          <w:sz w:val="24"/>
          <w:szCs w:val="24"/>
        </w:rPr>
        <w:tab/>
        <w:t>Psychology in Health and Social Care</w:t>
      </w:r>
    </w:p>
    <w:p w14:paraId="29FFF550" w14:textId="2E0F6162" w:rsidR="00A625D2" w:rsidRPr="00C560AF" w:rsidRDefault="00000000" w:rsidP="00C25C30">
      <w:pPr>
        <w:spacing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Assignment Title:</w:t>
      </w:r>
      <w:r w:rsidR="00C560AF">
        <w:rPr>
          <w:rFonts w:ascii="Times New Roman" w:hAnsi="Times New Roman" w:cs="Times New Roman"/>
          <w:color w:val="000000" w:themeColor="text1"/>
          <w:sz w:val="24"/>
          <w:szCs w:val="24"/>
        </w:rPr>
        <w:t xml:space="preserve"> </w:t>
      </w:r>
      <w:r w:rsidRPr="00C560AF">
        <w:rPr>
          <w:rFonts w:ascii="Times New Roman" w:hAnsi="Times New Roman" w:cs="Times New Roman"/>
          <w:color w:val="000000" w:themeColor="text1"/>
          <w:sz w:val="24"/>
          <w:szCs w:val="24"/>
        </w:rPr>
        <w:t>Assessment 2: Bibliography and Report</w:t>
      </w:r>
    </w:p>
    <w:p w14:paraId="3267679E" w14:textId="697604A6" w:rsidR="00A625D2" w:rsidRPr="00C560AF" w:rsidRDefault="00000000" w:rsidP="00C25C30">
      <w:pPr>
        <w:spacing w:line="360" w:lineRule="auto"/>
        <w:jc w:val="center"/>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Submission Date:</w:t>
      </w:r>
      <w:r w:rsidR="00C560AF">
        <w:rPr>
          <w:rFonts w:ascii="Times New Roman" w:hAnsi="Times New Roman" w:cs="Times New Roman"/>
          <w:color w:val="000000" w:themeColor="text1"/>
          <w:sz w:val="24"/>
          <w:szCs w:val="24"/>
        </w:rPr>
        <w:t xml:space="preserve"> </w:t>
      </w:r>
      <w:r w:rsidRPr="00C560AF">
        <w:rPr>
          <w:rFonts w:ascii="Times New Roman" w:hAnsi="Times New Roman" w:cs="Times New Roman"/>
          <w:color w:val="000000" w:themeColor="text1"/>
          <w:sz w:val="24"/>
          <w:szCs w:val="24"/>
        </w:rPr>
        <w:t>24th March 2026</w:t>
      </w:r>
    </w:p>
    <w:p w14:paraId="7F8C34BE" w14:textId="77777777" w:rsidR="00A625D2" w:rsidRPr="00C560AF" w:rsidRDefault="00000000" w:rsidP="00C560AF">
      <w:pPr>
        <w:spacing w:line="360" w:lineRule="auto"/>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br w:type="page"/>
      </w:r>
    </w:p>
    <w:p w14:paraId="3FF2DF65" w14:textId="77777777" w:rsidR="00A625D2" w:rsidRPr="00C560AF" w:rsidRDefault="00A625D2" w:rsidP="00C560AF">
      <w:pPr>
        <w:spacing w:line="360" w:lineRule="auto"/>
        <w:rPr>
          <w:rFonts w:ascii="Times New Roman" w:hAnsi="Times New Roman" w:cs="Times New Roman"/>
          <w:color w:val="000000" w:themeColor="text1"/>
          <w:sz w:val="24"/>
          <w:szCs w:val="24"/>
        </w:rPr>
      </w:pPr>
    </w:p>
    <w:sdt>
      <w:sdtPr>
        <w:rPr>
          <w:rFonts w:ascii="Times New Roman" w:eastAsia="Arial" w:hAnsi="Times New Roman" w:cs="Times New Roman"/>
          <w:color w:val="auto"/>
          <w:sz w:val="24"/>
          <w:szCs w:val="24"/>
          <w:lang w:val="en-GB" w:eastAsia="en-GB"/>
        </w:rPr>
        <w:id w:val="385998101"/>
        <w:docPartObj>
          <w:docPartGallery w:val="Table of Contents"/>
          <w:docPartUnique/>
        </w:docPartObj>
      </w:sdtPr>
      <w:sdtEndPr>
        <w:rPr>
          <w:rFonts w:ascii="Arial" w:hAnsi="Arial" w:cs="Arial"/>
          <w:noProof/>
          <w:sz w:val="22"/>
          <w:szCs w:val="22"/>
        </w:rPr>
      </w:sdtEndPr>
      <w:sdtContent>
        <w:p w14:paraId="7C26F243" w14:textId="7AE97FBF" w:rsidR="0065211F" w:rsidRPr="0065211F" w:rsidRDefault="0065211F" w:rsidP="0065211F">
          <w:pPr>
            <w:pStyle w:val="TOCHeading"/>
            <w:spacing w:line="360" w:lineRule="auto"/>
            <w:rPr>
              <w:rFonts w:ascii="Times New Roman" w:hAnsi="Times New Roman" w:cs="Times New Roman"/>
              <w:sz w:val="24"/>
              <w:szCs w:val="24"/>
            </w:rPr>
          </w:pPr>
          <w:r w:rsidRPr="0065211F">
            <w:rPr>
              <w:rFonts w:ascii="Times New Roman" w:hAnsi="Times New Roman" w:cs="Times New Roman"/>
              <w:sz w:val="24"/>
              <w:szCs w:val="24"/>
            </w:rPr>
            <w:t>Contents</w:t>
          </w:r>
        </w:p>
        <w:p w14:paraId="0788184C" w14:textId="4CA7E0DC" w:rsidR="0065211F" w:rsidRPr="0065211F" w:rsidRDefault="0065211F" w:rsidP="0065211F">
          <w:pPr>
            <w:pStyle w:val="TOC1"/>
            <w:tabs>
              <w:tab w:val="right" w:leader="dot" w:pos="9016"/>
            </w:tabs>
            <w:spacing w:line="360" w:lineRule="auto"/>
            <w:rPr>
              <w:rFonts w:ascii="Times New Roman" w:eastAsiaTheme="minorEastAsia" w:hAnsi="Times New Roman" w:cs="Times New Roman"/>
              <w:noProof/>
              <w:kern w:val="2"/>
              <w:sz w:val="24"/>
              <w:szCs w:val="24"/>
              <w14:ligatures w14:val="standardContextual"/>
            </w:rPr>
          </w:pPr>
          <w:r w:rsidRPr="0065211F">
            <w:rPr>
              <w:rFonts w:ascii="Times New Roman" w:hAnsi="Times New Roman" w:cs="Times New Roman"/>
              <w:sz w:val="24"/>
              <w:szCs w:val="24"/>
            </w:rPr>
            <w:fldChar w:fldCharType="begin"/>
          </w:r>
          <w:r w:rsidRPr="0065211F">
            <w:rPr>
              <w:rFonts w:ascii="Times New Roman" w:hAnsi="Times New Roman" w:cs="Times New Roman"/>
              <w:sz w:val="24"/>
              <w:szCs w:val="24"/>
            </w:rPr>
            <w:instrText xml:space="preserve"> TOC \o "1-3" \h \z \u </w:instrText>
          </w:r>
          <w:r w:rsidRPr="0065211F">
            <w:rPr>
              <w:rFonts w:ascii="Times New Roman" w:hAnsi="Times New Roman" w:cs="Times New Roman"/>
              <w:sz w:val="24"/>
              <w:szCs w:val="24"/>
            </w:rPr>
            <w:fldChar w:fldCharType="separate"/>
          </w:r>
          <w:hyperlink w:anchor="_Toc224361611" w:history="1">
            <w:r w:rsidRPr="0065211F">
              <w:rPr>
                <w:rStyle w:val="Hyperlink"/>
                <w:rFonts w:ascii="Times New Roman" w:hAnsi="Times New Roman" w:cs="Times New Roman"/>
                <w:noProof/>
                <w:sz w:val="24"/>
                <w:szCs w:val="24"/>
              </w:rPr>
              <w:t>Part A: Annotated Bibliography</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_Toc224361611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3</w:t>
            </w:r>
            <w:r w:rsidRPr="0065211F">
              <w:rPr>
                <w:rFonts w:ascii="Times New Roman" w:hAnsi="Times New Roman" w:cs="Times New Roman"/>
                <w:noProof/>
                <w:webHidden/>
                <w:sz w:val="24"/>
                <w:szCs w:val="24"/>
              </w:rPr>
              <w:fldChar w:fldCharType="end"/>
            </w:r>
          </w:hyperlink>
        </w:p>
        <w:p w14:paraId="0B18CFD7" w14:textId="09E6C1CA"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2" w:history="1">
            <w:r w:rsidRPr="0065211F">
              <w:rPr>
                <w:rStyle w:val="Hyperlink"/>
                <w:rFonts w:ascii="Times New Roman" w:hAnsi="Times New Roman" w:cs="Times New Roman"/>
                <w:noProof/>
                <w:sz w:val="24"/>
                <w:szCs w:val="24"/>
              </w:rPr>
              <w:t>Source 1</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_Toc224361612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3</w:t>
            </w:r>
            <w:r w:rsidRPr="0065211F">
              <w:rPr>
                <w:rFonts w:ascii="Times New Roman" w:hAnsi="Times New Roman" w:cs="Times New Roman"/>
                <w:noProof/>
                <w:webHidden/>
                <w:sz w:val="24"/>
                <w:szCs w:val="24"/>
              </w:rPr>
              <w:fldChar w:fldCharType="end"/>
            </w:r>
          </w:hyperlink>
        </w:p>
        <w:p w14:paraId="51EA0F5F" w14:textId="7BEE2E78"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3" w:history="1">
            <w:r w:rsidRPr="0065211F">
              <w:rPr>
                <w:rStyle w:val="Hyperlink"/>
                <w:rFonts w:ascii="Times New Roman" w:hAnsi="Times New Roman" w:cs="Times New Roman"/>
                <w:noProof/>
                <w:sz w:val="24"/>
                <w:szCs w:val="24"/>
              </w:rPr>
              <w:t>Summary</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_Toc224361613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3</w:t>
            </w:r>
            <w:r w:rsidRPr="0065211F">
              <w:rPr>
                <w:rFonts w:ascii="Times New Roman" w:hAnsi="Times New Roman" w:cs="Times New Roman"/>
                <w:noProof/>
                <w:webHidden/>
                <w:sz w:val="24"/>
                <w:szCs w:val="24"/>
              </w:rPr>
              <w:fldChar w:fldCharType="end"/>
            </w:r>
          </w:hyperlink>
        </w:p>
        <w:p w14:paraId="1B5C860E" w14:textId="07DD22E5"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4" w:history="1">
            <w:r w:rsidRPr="0065211F">
              <w:rPr>
                <w:rStyle w:val="Hyperlink"/>
                <w:rFonts w:ascii="Times New Roman" w:hAnsi="Times New Roman" w:cs="Times New Roman"/>
                <w:noProof/>
                <w:sz w:val="24"/>
                <w:szCs w:val="24"/>
              </w:rPr>
              <w:t>Critical Comment</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_Toc224361614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3</w:t>
            </w:r>
            <w:r w:rsidRPr="0065211F">
              <w:rPr>
                <w:rFonts w:ascii="Times New Roman" w:hAnsi="Times New Roman" w:cs="Times New Roman"/>
                <w:noProof/>
                <w:webHidden/>
                <w:sz w:val="24"/>
                <w:szCs w:val="24"/>
              </w:rPr>
              <w:fldChar w:fldCharType="end"/>
            </w:r>
          </w:hyperlink>
        </w:p>
        <w:p w14:paraId="478F990F" w14:textId="4014343F"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5" w:history="1">
            <w:r w:rsidRPr="0065211F">
              <w:rPr>
                <w:rStyle w:val="Hyperlink"/>
                <w:rFonts w:ascii="Times New Roman" w:hAnsi="Times New Roman" w:cs="Times New Roman"/>
                <w:noProof/>
                <w:sz w:val="24"/>
                <w:szCs w:val="24"/>
              </w:rPr>
              <w:t>Source 2</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_Toc224361615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3</w:t>
            </w:r>
            <w:r w:rsidRPr="0065211F">
              <w:rPr>
                <w:rFonts w:ascii="Times New Roman" w:hAnsi="Times New Roman" w:cs="Times New Roman"/>
                <w:noProof/>
                <w:webHidden/>
                <w:sz w:val="24"/>
                <w:szCs w:val="24"/>
              </w:rPr>
              <w:fldChar w:fldCharType="end"/>
            </w:r>
          </w:hyperlink>
        </w:p>
        <w:p w14:paraId="6AEFA359" w14:textId="4550C055"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6" w:history="1">
            <w:r w:rsidRPr="0065211F">
              <w:rPr>
                <w:rStyle w:val="Hyperlink"/>
                <w:rFonts w:ascii="Times New Roman" w:hAnsi="Times New Roman" w:cs="Times New Roman"/>
                <w:noProof/>
                <w:sz w:val="24"/>
                <w:szCs w:val="24"/>
              </w:rPr>
              <w:t>Summary</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_Toc224361616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3</w:t>
            </w:r>
            <w:r w:rsidRPr="0065211F">
              <w:rPr>
                <w:rFonts w:ascii="Times New Roman" w:hAnsi="Times New Roman" w:cs="Times New Roman"/>
                <w:noProof/>
                <w:webHidden/>
                <w:sz w:val="24"/>
                <w:szCs w:val="24"/>
              </w:rPr>
              <w:fldChar w:fldCharType="end"/>
            </w:r>
          </w:hyperlink>
        </w:p>
        <w:p w14:paraId="065A7171" w14:textId="08E1ADE6"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7" w:history="1">
            <w:r w:rsidRPr="0065211F">
              <w:rPr>
                <w:rStyle w:val="Hyperlink"/>
                <w:rFonts w:ascii="Times New Roman" w:hAnsi="Times New Roman" w:cs="Times New Roman"/>
                <w:noProof/>
                <w:sz w:val="24"/>
                <w:szCs w:val="24"/>
              </w:rPr>
              <w:t>Critical Comment</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_Toc224361617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4</w:t>
            </w:r>
            <w:r w:rsidRPr="0065211F">
              <w:rPr>
                <w:rFonts w:ascii="Times New Roman" w:hAnsi="Times New Roman" w:cs="Times New Roman"/>
                <w:noProof/>
                <w:webHidden/>
                <w:sz w:val="24"/>
                <w:szCs w:val="24"/>
              </w:rPr>
              <w:fldChar w:fldCharType="end"/>
            </w:r>
          </w:hyperlink>
        </w:p>
        <w:p w14:paraId="56BEA2F0" w14:textId="27061B5A"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8" w:history="1">
            <w:r w:rsidRPr="0065211F">
              <w:rPr>
                <w:rStyle w:val="Hyperlink"/>
                <w:rFonts w:ascii="Times New Roman" w:hAnsi="Times New Roman" w:cs="Times New Roman"/>
                <w:noProof/>
                <w:sz w:val="24"/>
                <w:szCs w:val="24"/>
              </w:rPr>
              <w:t>Source 3</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_Toc224361618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4</w:t>
            </w:r>
            <w:r w:rsidRPr="0065211F">
              <w:rPr>
                <w:rFonts w:ascii="Times New Roman" w:hAnsi="Times New Roman" w:cs="Times New Roman"/>
                <w:noProof/>
                <w:webHidden/>
                <w:sz w:val="24"/>
                <w:szCs w:val="24"/>
              </w:rPr>
              <w:fldChar w:fldCharType="end"/>
            </w:r>
          </w:hyperlink>
        </w:p>
        <w:p w14:paraId="6A7DB570" w14:textId="25875D95"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19" w:history="1">
            <w:r w:rsidRPr="0065211F">
              <w:rPr>
                <w:rStyle w:val="Hyperlink"/>
                <w:rFonts w:ascii="Times New Roman" w:hAnsi="Times New Roman" w:cs="Times New Roman"/>
                <w:noProof/>
                <w:sz w:val="24"/>
                <w:szCs w:val="24"/>
              </w:rPr>
              <w:t>Summary</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_Toc224361619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4</w:t>
            </w:r>
            <w:r w:rsidRPr="0065211F">
              <w:rPr>
                <w:rFonts w:ascii="Times New Roman" w:hAnsi="Times New Roman" w:cs="Times New Roman"/>
                <w:noProof/>
                <w:webHidden/>
                <w:sz w:val="24"/>
                <w:szCs w:val="24"/>
              </w:rPr>
              <w:fldChar w:fldCharType="end"/>
            </w:r>
          </w:hyperlink>
        </w:p>
        <w:p w14:paraId="73A68B3C" w14:textId="78F1A143"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0" w:history="1">
            <w:r w:rsidRPr="0065211F">
              <w:rPr>
                <w:rStyle w:val="Hyperlink"/>
                <w:rFonts w:ascii="Times New Roman" w:hAnsi="Times New Roman" w:cs="Times New Roman"/>
                <w:noProof/>
                <w:sz w:val="24"/>
                <w:szCs w:val="24"/>
              </w:rPr>
              <w:t>Critical Comment</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_Toc224361620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4</w:t>
            </w:r>
            <w:r w:rsidRPr="0065211F">
              <w:rPr>
                <w:rFonts w:ascii="Times New Roman" w:hAnsi="Times New Roman" w:cs="Times New Roman"/>
                <w:noProof/>
                <w:webHidden/>
                <w:sz w:val="24"/>
                <w:szCs w:val="24"/>
              </w:rPr>
              <w:fldChar w:fldCharType="end"/>
            </w:r>
          </w:hyperlink>
        </w:p>
        <w:p w14:paraId="57387F2C" w14:textId="57D2A2C2"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1" w:history="1">
            <w:r w:rsidRPr="0065211F">
              <w:rPr>
                <w:rStyle w:val="Hyperlink"/>
                <w:rFonts w:ascii="Times New Roman" w:hAnsi="Times New Roman" w:cs="Times New Roman"/>
                <w:noProof/>
                <w:sz w:val="24"/>
                <w:szCs w:val="24"/>
              </w:rPr>
              <w:t>Source 4</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_Toc224361621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5</w:t>
            </w:r>
            <w:r w:rsidRPr="0065211F">
              <w:rPr>
                <w:rFonts w:ascii="Times New Roman" w:hAnsi="Times New Roman" w:cs="Times New Roman"/>
                <w:noProof/>
                <w:webHidden/>
                <w:sz w:val="24"/>
                <w:szCs w:val="24"/>
              </w:rPr>
              <w:fldChar w:fldCharType="end"/>
            </w:r>
          </w:hyperlink>
        </w:p>
        <w:p w14:paraId="2D7396EC" w14:textId="0722F9EB"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2" w:history="1">
            <w:r w:rsidRPr="0065211F">
              <w:rPr>
                <w:rStyle w:val="Hyperlink"/>
                <w:rFonts w:ascii="Times New Roman" w:hAnsi="Times New Roman" w:cs="Times New Roman"/>
                <w:noProof/>
                <w:sz w:val="24"/>
                <w:szCs w:val="24"/>
              </w:rPr>
              <w:t>Summary</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_Toc224361622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5</w:t>
            </w:r>
            <w:r w:rsidRPr="0065211F">
              <w:rPr>
                <w:rFonts w:ascii="Times New Roman" w:hAnsi="Times New Roman" w:cs="Times New Roman"/>
                <w:noProof/>
                <w:webHidden/>
                <w:sz w:val="24"/>
                <w:szCs w:val="24"/>
              </w:rPr>
              <w:fldChar w:fldCharType="end"/>
            </w:r>
          </w:hyperlink>
        </w:p>
        <w:p w14:paraId="4671B0B4" w14:textId="4DAFA194"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3" w:history="1">
            <w:r w:rsidRPr="0065211F">
              <w:rPr>
                <w:rStyle w:val="Hyperlink"/>
                <w:rFonts w:ascii="Times New Roman" w:hAnsi="Times New Roman" w:cs="Times New Roman"/>
                <w:noProof/>
                <w:sz w:val="24"/>
                <w:szCs w:val="24"/>
              </w:rPr>
              <w:t>Critical Comment</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_Toc224361623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5</w:t>
            </w:r>
            <w:r w:rsidRPr="0065211F">
              <w:rPr>
                <w:rFonts w:ascii="Times New Roman" w:hAnsi="Times New Roman" w:cs="Times New Roman"/>
                <w:noProof/>
                <w:webHidden/>
                <w:sz w:val="24"/>
                <w:szCs w:val="24"/>
              </w:rPr>
              <w:fldChar w:fldCharType="end"/>
            </w:r>
          </w:hyperlink>
        </w:p>
        <w:p w14:paraId="1294C27C" w14:textId="72539859" w:rsidR="0065211F" w:rsidRPr="0065211F" w:rsidRDefault="0065211F" w:rsidP="0065211F">
          <w:pPr>
            <w:pStyle w:val="TOC1"/>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224361624" w:history="1">
            <w:r w:rsidRPr="0065211F">
              <w:rPr>
                <w:rStyle w:val="Hyperlink"/>
                <w:rFonts w:ascii="Times New Roman" w:hAnsi="Times New Roman" w:cs="Times New Roman"/>
                <w:noProof/>
                <w:sz w:val="24"/>
                <w:szCs w:val="24"/>
              </w:rPr>
              <w:t>Part B: Short Report</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_Toc224361624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6</w:t>
            </w:r>
            <w:r w:rsidRPr="0065211F">
              <w:rPr>
                <w:rFonts w:ascii="Times New Roman" w:hAnsi="Times New Roman" w:cs="Times New Roman"/>
                <w:noProof/>
                <w:webHidden/>
                <w:sz w:val="24"/>
                <w:szCs w:val="24"/>
              </w:rPr>
              <w:fldChar w:fldCharType="end"/>
            </w:r>
          </w:hyperlink>
        </w:p>
        <w:p w14:paraId="6FF5C165" w14:textId="3D4E6697"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5" w:history="1">
            <w:r w:rsidRPr="0065211F">
              <w:rPr>
                <w:rStyle w:val="Hyperlink"/>
                <w:rFonts w:ascii="Times New Roman" w:hAnsi="Times New Roman" w:cs="Times New Roman"/>
                <w:noProof/>
                <w:sz w:val="24"/>
                <w:szCs w:val="24"/>
              </w:rPr>
              <w:t>Introduction</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_Toc224361625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6</w:t>
            </w:r>
            <w:r w:rsidRPr="0065211F">
              <w:rPr>
                <w:rFonts w:ascii="Times New Roman" w:hAnsi="Times New Roman" w:cs="Times New Roman"/>
                <w:noProof/>
                <w:webHidden/>
                <w:sz w:val="24"/>
                <w:szCs w:val="24"/>
              </w:rPr>
              <w:fldChar w:fldCharType="end"/>
            </w:r>
          </w:hyperlink>
        </w:p>
        <w:p w14:paraId="4209424B" w14:textId="5A41F7FB"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6" w:history="1">
            <w:r w:rsidRPr="0065211F">
              <w:rPr>
                <w:rStyle w:val="Hyperlink"/>
                <w:rFonts w:ascii="Times New Roman" w:hAnsi="Times New Roman" w:cs="Times New Roman"/>
                <w:noProof/>
                <w:sz w:val="24"/>
                <w:szCs w:val="24"/>
              </w:rPr>
              <w:t>Ego integrity Vs Despair by Erikson.</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_Toc224361626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6</w:t>
            </w:r>
            <w:r w:rsidRPr="0065211F">
              <w:rPr>
                <w:rFonts w:ascii="Times New Roman" w:hAnsi="Times New Roman" w:cs="Times New Roman"/>
                <w:noProof/>
                <w:webHidden/>
                <w:sz w:val="24"/>
                <w:szCs w:val="24"/>
              </w:rPr>
              <w:fldChar w:fldCharType="end"/>
            </w:r>
          </w:hyperlink>
        </w:p>
        <w:p w14:paraId="784101CC" w14:textId="5491BD95"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7" w:history="1">
            <w:r w:rsidRPr="0065211F">
              <w:rPr>
                <w:rStyle w:val="Hyperlink"/>
                <w:rFonts w:ascii="Times New Roman" w:hAnsi="Times New Roman" w:cs="Times New Roman"/>
                <w:noProof/>
                <w:sz w:val="24"/>
                <w:szCs w:val="24"/>
              </w:rPr>
              <w:t>Case Scenario</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_Toc224361627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6</w:t>
            </w:r>
            <w:r w:rsidRPr="0065211F">
              <w:rPr>
                <w:rFonts w:ascii="Times New Roman" w:hAnsi="Times New Roman" w:cs="Times New Roman"/>
                <w:noProof/>
                <w:webHidden/>
                <w:sz w:val="24"/>
                <w:szCs w:val="24"/>
              </w:rPr>
              <w:fldChar w:fldCharType="end"/>
            </w:r>
          </w:hyperlink>
        </w:p>
        <w:p w14:paraId="70EEE50B" w14:textId="342A3C69"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8" w:history="1">
            <w:r w:rsidRPr="0065211F">
              <w:rPr>
                <w:rStyle w:val="Hyperlink"/>
                <w:rFonts w:ascii="Times New Roman" w:hAnsi="Times New Roman" w:cs="Times New Roman"/>
                <w:noProof/>
                <w:sz w:val="24"/>
                <w:szCs w:val="24"/>
              </w:rPr>
              <w:t>Application to Practice</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_Toc224361628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7</w:t>
            </w:r>
            <w:r w:rsidRPr="0065211F">
              <w:rPr>
                <w:rFonts w:ascii="Times New Roman" w:hAnsi="Times New Roman" w:cs="Times New Roman"/>
                <w:noProof/>
                <w:webHidden/>
                <w:sz w:val="24"/>
                <w:szCs w:val="24"/>
              </w:rPr>
              <w:fldChar w:fldCharType="end"/>
            </w:r>
          </w:hyperlink>
        </w:p>
        <w:p w14:paraId="17D5D39B" w14:textId="17E32C58"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29" w:history="1">
            <w:r w:rsidRPr="0065211F">
              <w:rPr>
                <w:rStyle w:val="Hyperlink"/>
                <w:rFonts w:ascii="Times New Roman" w:hAnsi="Times New Roman" w:cs="Times New Roman"/>
                <w:noProof/>
                <w:sz w:val="24"/>
                <w:szCs w:val="24"/>
              </w:rPr>
              <w:t>Issue: Employee trust in Psychosocial Support.</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_Toc224361629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7</w:t>
            </w:r>
            <w:r w:rsidRPr="0065211F">
              <w:rPr>
                <w:rFonts w:ascii="Times New Roman" w:hAnsi="Times New Roman" w:cs="Times New Roman"/>
                <w:noProof/>
                <w:webHidden/>
                <w:sz w:val="24"/>
                <w:szCs w:val="24"/>
              </w:rPr>
              <w:fldChar w:fldCharType="end"/>
            </w:r>
          </w:hyperlink>
        </w:p>
        <w:p w14:paraId="0123977C" w14:textId="1C04BC91"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30" w:history="1">
            <w:r w:rsidRPr="0065211F">
              <w:rPr>
                <w:rStyle w:val="Hyperlink"/>
                <w:rFonts w:ascii="Times New Roman" w:hAnsi="Times New Roman" w:cs="Times New Roman"/>
                <w:noProof/>
                <w:sz w:val="24"/>
                <w:szCs w:val="24"/>
              </w:rPr>
              <w:t>Training: Psychologically Informed Strategic Training.</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_Toc224361630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8</w:t>
            </w:r>
            <w:r w:rsidRPr="0065211F">
              <w:rPr>
                <w:rFonts w:ascii="Times New Roman" w:hAnsi="Times New Roman" w:cs="Times New Roman"/>
                <w:noProof/>
                <w:webHidden/>
                <w:sz w:val="24"/>
                <w:szCs w:val="24"/>
              </w:rPr>
              <w:fldChar w:fldCharType="end"/>
            </w:r>
          </w:hyperlink>
        </w:p>
        <w:p w14:paraId="4D773009" w14:textId="566EFBB3" w:rsidR="0065211F" w:rsidRPr="0065211F" w:rsidRDefault="0065211F" w:rsidP="0065211F">
          <w:pPr>
            <w:pStyle w:val="TOC2"/>
            <w:tabs>
              <w:tab w:val="right" w:leader="dot" w:pos="9016"/>
            </w:tabs>
            <w:spacing w:line="360" w:lineRule="auto"/>
            <w:ind w:left="440"/>
            <w:rPr>
              <w:rFonts w:ascii="Times New Roman" w:eastAsiaTheme="minorEastAsia" w:hAnsi="Times New Roman" w:cs="Times New Roman"/>
              <w:noProof/>
              <w:kern w:val="2"/>
              <w:sz w:val="24"/>
              <w:szCs w:val="24"/>
              <w14:ligatures w14:val="standardContextual"/>
            </w:rPr>
          </w:pPr>
          <w:hyperlink w:anchor="_Toc224361631" w:history="1">
            <w:r w:rsidRPr="0065211F">
              <w:rPr>
                <w:rStyle w:val="Hyperlink"/>
                <w:rFonts w:ascii="Times New Roman" w:hAnsi="Times New Roman" w:cs="Times New Roman"/>
                <w:noProof/>
                <w:sz w:val="24"/>
                <w:szCs w:val="24"/>
              </w:rPr>
              <w:t>Conclusion</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_Toc224361631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8</w:t>
            </w:r>
            <w:r w:rsidRPr="0065211F">
              <w:rPr>
                <w:rFonts w:ascii="Times New Roman" w:hAnsi="Times New Roman" w:cs="Times New Roman"/>
                <w:noProof/>
                <w:webHidden/>
                <w:sz w:val="24"/>
                <w:szCs w:val="24"/>
              </w:rPr>
              <w:fldChar w:fldCharType="end"/>
            </w:r>
          </w:hyperlink>
        </w:p>
        <w:p w14:paraId="707AA7C1" w14:textId="719C76C3" w:rsidR="0065211F" w:rsidRPr="0065211F" w:rsidRDefault="0065211F" w:rsidP="0065211F">
          <w:pPr>
            <w:pStyle w:val="TOC1"/>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224361632" w:history="1">
            <w:r w:rsidRPr="0065211F">
              <w:rPr>
                <w:rStyle w:val="Hyperlink"/>
                <w:rFonts w:ascii="Times New Roman" w:hAnsi="Times New Roman" w:cs="Times New Roman"/>
                <w:noProof/>
                <w:sz w:val="24"/>
                <w:szCs w:val="24"/>
                <w:lang w:val="en-US"/>
              </w:rPr>
              <w:t>References</w:t>
            </w:r>
            <w:r w:rsidRPr="0065211F">
              <w:rPr>
                <w:rFonts w:ascii="Times New Roman" w:hAnsi="Times New Roman" w:cs="Times New Roman"/>
                <w:noProof/>
                <w:webHidden/>
                <w:sz w:val="24"/>
                <w:szCs w:val="24"/>
              </w:rPr>
              <w:tab/>
            </w:r>
            <w:r w:rsidRPr="0065211F">
              <w:rPr>
                <w:rFonts w:ascii="Times New Roman" w:hAnsi="Times New Roman" w:cs="Times New Roman"/>
                <w:noProof/>
                <w:webHidden/>
                <w:sz w:val="24"/>
                <w:szCs w:val="24"/>
              </w:rPr>
              <w:fldChar w:fldCharType="begin"/>
            </w:r>
            <w:r w:rsidRPr="0065211F">
              <w:rPr>
                <w:rFonts w:ascii="Times New Roman" w:hAnsi="Times New Roman" w:cs="Times New Roman"/>
                <w:noProof/>
                <w:webHidden/>
                <w:sz w:val="24"/>
                <w:szCs w:val="24"/>
              </w:rPr>
              <w:instrText xml:space="preserve"> PAGEREF _Toc224361632 \h </w:instrText>
            </w:r>
            <w:r w:rsidRPr="0065211F">
              <w:rPr>
                <w:rFonts w:ascii="Times New Roman" w:hAnsi="Times New Roman" w:cs="Times New Roman"/>
                <w:noProof/>
                <w:webHidden/>
                <w:sz w:val="24"/>
                <w:szCs w:val="24"/>
              </w:rPr>
            </w:r>
            <w:r w:rsidRPr="0065211F">
              <w:rPr>
                <w:rFonts w:ascii="Times New Roman" w:hAnsi="Times New Roman" w:cs="Times New Roman"/>
                <w:noProof/>
                <w:webHidden/>
                <w:sz w:val="24"/>
                <w:szCs w:val="24"/>
              </w:rPr>
              <w:fldChar w:fldCharType="separate"/>
            </w:r>
            <w:r w:rsidRPr="0065211F">
              <w:rPr>
                <w:rFonts w:ascii="Times New Roman" w:hAnsi="Times New Roman" w:cs="Times New Roman"/>
                <w:noProof/>
                <w:webHidden/>
                <w:sz w:val="24"/>
                <w:szCs w:val="24"/>
              </w:rPr>
              <w:t>9</w:t>
            </w:r>
            <w:r w:rsidRPr="0065211F">
              <w:rPr>
                <w:rFonts w:ascii="Times New Roman" w:hAnsi="Times New Roman" w:cs="Times New Roman"/>
                <w:noProof/>
                <w:webHidden/>
                <w:sz w:val="24"/>
                <w:szCs w:val="24"/>
              </w:rPr>
              <w:fldChar w:fldCharType="end"/>
            </w:r>
          </w:hyperlink>
        </w:p>
        <w:p w14:paraId="7D28EB2C" w14:textId="1A84FCF8" w:rsidR="0065211F" w:rsidRPr="0065211F" w:rsidRDefault="0065211F" w:rsidP="0065211F">
          <w:pPr>
            <w:spacing w:line="360" w:lineRule="auto"/>
          </w:pPr>
          <w:r w:rsidRPr="0065211F">
            <w:rPr>
              <w:rFonts w:ascii="Times New Roman" w:hAnsi="Times New Roman" w:cs="Times New Roman"/>
              <w:noProof/>
              <w:sz w:val="24"/>
              <w:szCs w:val="24"/>
            </w:rPr>
            <w:fldChar w:fldCharType="end"/>
          </w:r>
        </w:p>
      </w:sdtContent>
    </w:sdt>
    <w:p w14:paraId="70DFECDE" w14:textId="77777777" w:rsidR="00A625D2" w:rsidRPr="00C560AF" w:rsidRDefault="00000000" w:rsidP="00C560AF">
      <w:pPr>
        <w:spacing w:line="360" w:lineRule="auto"/>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br w:type="page"/>
      </w:r>
    </w:p>
    <w:p w14:paraId="0B0822B9" w14:textId="77777777" w:rsidR="00A625D2" w:rsidRPr="00C560AF" w:rsidRDefault="00000000" w:rsidP="00C560AF">
      <w:pPr>
        <w:pStyle w:val="Heading1"/>
        <w:spacing w:line="360" w:lineRule="auto"/>
        <w:jc w:val="both"/>
        <w:rPr>
          <w:rFonts w:ascii="Times New Roman" w:hAnsi="Times New Roman" w:cs="Times New Roman"/>
          <w:b/>
          <w:bCs/>
          <w:color w:val="000000" w:themeColor="text1"/>
          <w:sz w:val="24"/>
          <w:szCs w:val="24"/>
        </w:rPr>
      </w:pPr>
      <w:bookmarkStart w:id="0" w:name="_Toc17092"/>
      <w:bookmarkStart w:id="1" w:name="_Toc224361611"/>
      <w:r w:rsidRPr="00C560AF">
        <w:rPr>
          <w:rFonts w:ascii="Times New Roman" w:hAnsi="Times New Roman" w:cs="Times New Roman"/>
          <w:b/>
          <w:bCs/>
          <w:color w:val="000000" w:themeColor="text1"/>
          <w:sz w:val="24"/>
          <w:szCs w:val="24"/>
        </w:rPr>
        <w:lastRenderedPageBreak/>
        <w:t>Part A: Annotated Bibliography</w:t>
      </w:r>
      <w:bookmarkEnd w:id="0"/>
      <w:bookmarkEnd w:id="1"/>
    </w:p>
    <w:p w14:paraId="40300C90"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following four sources explore psychological theories which apply to the study of adult development and wellbeing research in health and social care. The sources include two theories which cover Erikson's psychosocial theory from Weeks 1 to 5 and Bowlby's attachment theory from Weeks 7 to 9.</w:t>
      </w:r>
    </w:p>
    <w:p w14:paraId="440D580E"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2" w:name="_Toc17706"/>
      <w:bookmarkStart w:id="3" w:name="_Toc224361612"/>
      <w:r w:rsidRPr="00C560AF">
        <w:rPr>
          <w:rFonts w:ascii="Times New Roman" w:hAnsi="Times New Roman" w:cs="Times New Roman"/>
          <w:b/>
          <w:bCs/>
          <w:color w:val="000000" w:themeColor="text1"/>
          <w:sz w:val="24"/>
          <w:szCs w:val="24"/>
        </w:rPr>
        <w:t>Source 1</w:t>
      </w:r>
      <w:bookmarkEnd w:id="2"/>
      <w:bookmarkEnd w:id="3"/>
    </w:p>
    <w:p w14:paraId="4DFB9C00" w14:textId="77777777" w:rsidR="00A625D2" w:rsidRPr="00C560AF" w:rsidRDefault="00000000" w:rsidP="00C560AF">
      <w:pPr>
        <w:spacing w:before="60" w:after="60" w:line="360" w:lineRule="auto"/>
        <w:ind w:left="720" w:hanging="720"/>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Erikson, E.H. (1982) </w:t>
      </w:r>
      <w:r w:rsidRPr="00C560AF">
        <w:rPr>
          <w:rFonts w:ascii="Times New Roman" w:hAnsi="Times New Roman" w:cs="Times New Roman"/>
          <w:i/>
          <w:iCs/>
          <w:color w:val="000000" w:themeColor="text1"/>
          <w:sz w:val="24"/>
          <w:szCs w:val="24"/>
        </w:rPr>
        <w:t>The Life Cycle Completed.</w:t>
      </w:r>
      <w:r w:rsidRPr="00C560AF">
        <w:rPr>
          <w:rFonts w:ascii="Times New Roman" w:hAnsi="Times New Roman" w:cs="Times New Roman"/>
          <w:color w:val="000000" w:themeColor="text1"/>
          <w:sz w:val="24"/>
          <w:szCs w:val="24"/>
        </w:rPr>
        <w:t xml:space="preserve"> New York: W.W. Norton.</w:t>
      </w:r>
    </w:p>
    <w:p w14:paraId="46A0CA4E"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4" w:name="_Toc5047"/>
      <w:bookmarkStart w:id="5" w:name="_Toc224361613"/>
      <w:r w:rsidRPr="00C560AF">
        <w:rPr>
          <w:rFonts w:ascii="Times New Roman" w:hAnsi="Times New Roman" w:cs="Times New Roman"/>
          <w:b/>
          <w:bCs/>
          <w:color w:val="000000" w:themeColor="text1"/>
          <w:sz w:val="24"/>
          <w:szCs w:val="24"/>
        </w:rPr>
        <w:t>Summary</w:t>
      </w:r>
      <w:bookmarkEnd w:id="4"/>
      <w:bookmarkEnd w:id="5"/>
    </w:p>
    <w:p w14:paraId="6D877EFC"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psychosocial model by Erikson outlines eight development stages that run through the lifespan of human beings. The Ego Integrity vs. Despair terminal stage is especially relevant to the older adults. Erikson argues that at a point at about 65 years of age, people start to be autobiographically reflective to establish whether their lives have been meaningful. Ego integrity achieved by those that achieve a coherent sense of personal wholeness and acceptance and when those who fail to derive meaning are prone to despair both marked by depressive affect and increased fear of death. The text prefigures late adulthood as a vigorous stage of development, which demands the continuing psychological occupation.</w:t>
      </w:r>
    </w:p>
    <w:p w14:paraId="708261D1"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6" w:name="_Toc7880"/>
      <w:bookmarkStart w:id="7" w:name="_Toc224361614"/>
      <w:r w:rsidRPr="00C560AF">
        <w:rPr>
          <w:rFonts w:ascii="Times New Roman" w:hAnsi="Times New Roman" w:cs="Times New Roman"/>
          <w:b/>
          <w:bCs/>
          <w:color w:val="000000" w:themeColor="text1"/>
          <w:sz w:val="24"/>
          <w:szCs w:val="24"/>
        </w:rPr>
        <w:t>Critical Comment</w:t>
      </w:r>
      <w:bookmarkEnd w:id="6"/>
      <w:bookmarkEnd w:id="7"/>
    </w:p>
    <w:p w14:paraId="06A379E9"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The conceptual insights provided in this book are essential to practitioners in long-term care, which provide a solid conceptual prism through which to perceive the emotional needs of older residents. The utility of life -review interventions is backed by the framework, as shown by Westerhof and </w:t>
      </w:r>
      <w:proofErr w:type="spellStart"/>
      <w:r w:rsidRPr="00C560AF">
        <w:rPr>
          <w:rFonts w:ascii="Times New Roman" w:hAnsi="Times New Roman" w:cs="Times New Roman"/>
          <w:color w:val="000000" w:themeColor="text1"/>
          <w:sz w:val="24"/>
          <w:szCs w:val="24"/>
        </w:rPr>
        <w:t>Bohlmeijer</w:t>
      </w:r>
      <w:proofErr w:type="spellEnd"/>
      <w:r w:rsidRPr="00C560AF">
        <w:rPr>
          <w:rFonts w:ascii="Times New Roman" w:hAnsi="Times New Roman" w:cs="Times New Roman"/>
          <w:color w:val="000000" w:themeColor="text1"/>
          <w:sz w:val="24"/>
          <w:szCs w:val="24"/>
        </w:rPr>
        <w:t xml:space="preserve"> (2014). However, it has been criticised that Erikson model represents a Western and a middle-class view of ageing which might be inadequate in terms of culturally different world-ageing conceptions (Gilligan, 1982). The practitioners should, therefore, use the model with a high degree of flexibility and sensitivity toward cultural aspects.</w:t>
      </w:r>
    </w:p>
    <w:p w14:paraId="28F387EF"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8" w:name="_Toc29082"/>
      <w:bookmarkStart w:id="9" w:name="_Toc224361615"/>
      <w:r w:rsidRPr="00C560AF">
        <w:rPr>
          <w:rFonts w:ascii="Times New Roman" w:hAnsi="Times New Roman" w:cs="Times New Roman"/>
          <w:b/>
          <w:bCs/>
          <w:color w:val="000000" w:themeColor="text1"/>
          <w:sz w:val="24"/>
          <w:szCs w:val="24"/>
        </w:rPr>
        <w:t>Source 2</w:t>
      </w:r>
      <w:bookmarkEnd w:id="8"/>
      <w:bookmarkEnd w:id="9"/>
    </w:p>
    <w:p w14:paraId="2B2EE93A" w14:textId="77777777" w:rsidR="00A625D2" w:rsidRPr="00C560AF" w:rsidRDefault="00000000" w:rsidP="00C560AF">
      <w:pPr>
        <w:spacing w:before="60" w:after="60" w:line="360" w:lineRule="auto"/>
        <w:ind w:left="720" w:hanging="720"/>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Westerhof, G.J. and </w:t>
      </w:r>
      <w:proofErr w:type="spellStart"/>
      <w:r w:rsidRPr="00C560AF">
        <w:rPr>
          <w:rFonts w:ascii="Times New Roman" w:hAnsi="Times New Roman" w:cs="Times New Roman"/>
          <w:color w:val="000000" w:themeColor="text1"/>
          <w:sz w:val="24"/>
          <w:szCs w:val="24"/>
        </w:rPr>
        <w:t>Bohlmeijer</w:t>
      </w:r>
      <w:proofErr w:type="spellEnd"/>
      <w:r w:rsidRPr="00C560AF">
        <w:rPr>
          <w:rFonts w:ascii="Times New Roman" w:hAnsi="Times New Roman" w:cs="Times New Roman"/>
          <w:color w:val="000000" w:themeColor="text1"/>
          <w:sz w:val="24"/>
          <w:szCs w:val="24"/>
        </w:rPr>
        <w:t xml:space="preserve">, E.T. (2014) 'Celebrating fifty years of research and applications in reminiscence and life review', </w:t>
      </w:r>
      <w:r w:rsidRPr="00C560AF">
        <w:rPr>
          <w:rFonts w:ascii="Times New Roman" w:hAnsi="Times New Roman" w:cs="Times New Roman"/>
          <w:i/>
          <w:iCs/>
          <w:color w:val="000000" w:themeColor="text1"/>
          <w:sz w:val="24"/>
          <w:szCs w:val="24"/>
        </w:rPr>
        <w:t>Journal of Aging Studies,</w:t>
      </w:r>
      <w:r w:rsidRPr="00C560AF">
        <w:rPr>
          <w:rFonts w:ascii="Times New Roman" w:hAnsi="Times New Roman" w:cs="Times New Roman"/>
          <w:color w:val="000000" w:themeColor="text1"/>
          <w:sz w:val="24"/>
          <w:szCs w:val="24"/>
        </w:rPr>
        <w:t xml:space="preserve"> 29, pp.107–114.</w:t>
      </w:r>
    </w:p>
    <w:p w14:paraId="0F73EA42"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10" w:name="_Toc21631"/>
      <w:bookmarkStart w:id="11" w:name="_Toc224361616"/>
      <w:r w:rsidRPr="00C560AF">
        <w:rPr>
          <w:rFonts w:ascii="Times New Roman" w:hAnsi="Times New Roman" w:cs="Times New Roman"/>
          <w:b/>
          <w:bCs/>
          <w:color w:val="000000" w:themeColor="text1"/>
          <w:sz w:val="24"/>
          <w:szCs w:val="24"/>
        </w:rPr>
        <w:t>Summary</w:t>
      </w:r>
      <w:bookmarkEnd w:id="10"/>
      <w:bookmarkEnd w:id="11"/>
    </w:p>
    <w:p w14:paraId="6757F7C4"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The article is a comprehensive analysis of five-decade empirical research related to reminiscence and life-review practises which are placed in theory through the psychosocial model as put forward by Erikson. The authors distinguish informal reminiscence and formal </w:t>
      </w:r>
      <w:r w:rsidRPr="00C560AF">
        <w:rPr>
          <w:rFonts w:ascii="Times New Roman" w:hAnsi="Times New Roman" w:cs="Times New Roman"/>
          <w:color w:val="000000" w:themeColor="text1"/>
          <w:sz w:val="24"/>
          <w:szCs w:val="24"/>
        </w:rPr>
        <w:lastRenderedPageBreak/>
        <w:t>life review, which is a therapeutic process that helps people to create a coherent life narrative. The accumulating body of evidence in various research studies proves that structured life review has a significant effect of alleviating depressive symptoms and improving the level of life satisfaction in the elderly. The authors propose that these modalities be part of the daily care delivery.</w:t>
      </w:r>
    </w:p>
    <w:p w14:paraId="073CC8B8"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12" w:name="_Toc13168"/>
      <w:bookmarkStart w:id="13" w:name="_Toc224361617"/>
      <w:r w:rsidRPr="00C560AF">
        <w:rPr>
          <w:rFonts w:ascii="Times New Roman" w:hAnsi="Times New Roman" w:cs="Times New Roman"/>
          <w:b/>
          <w:bCs/>
          <w:color w:val="000000" w:themeColor="text1"/>
          <w:sz w:val="24"/>
          <w:szCs w:val="24"/>
        </w:rPr>
        <w:t>Critical Comment</w:t>
      </w:r>
      <w:bookmarkEnd w:id="12"/>
      <w:bookmarkEnd w:id="13"/>
    </w:p>
    <w:p w14:paraId="576FA56F"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The source is especially relevant to the care-home practise since it converts the </w:t>
      </w:r>
      <w:proofErr w:type="spellStart"/>
      <w:r w:rsidRPr="00C560AF">
        <w:rPr>
          <w:rFonts w:ascii="Times New Roman" w:hAnsi="Times New Roman" w:cs="Times New Roman"/>
          <w:color w:val="000000" w:themeColor="text1"/>
          <w:sz w:val="24"/>
          <w:szCs w:val="24"/>
        </w:rPr>
        <w:t>Eriksonian</w:t>
      </w:r>
      <w:proofErr w:type="spellEnd"/>
      <w:r w:rsidRPr="00C560AF">
        <w:rPr>
          <w:rFonts w:ascii="Times New Roman" w:hAnsi="Times New Roman" w:cs="Times New Roman"/>
          <w:color w:val="000000" w:themeColor="text1"/>
          <w:sz w:val="24"/>
          <w:szCs w:val="24"/>
        </w:rPr>
        <w:t xml:space="preserve"> theory into evidence-based interventions. Differentiating between informal and structured approaches, the staff can provide the residents with the assistance that suits their needs and is personally relevant. The first limitation is that most of the examined researches were done in a community and not in a residential environment. Irrespective of this limitation, the article provides a strong evidence </w:t>
      </w:r>
      <w:proofErr w:type="spellStart"/>
      <w:r w:rsidRPr="00C560AF">
        <w:rPr>
          <w:rFonts w:ascii="Times New Roman" w:hAnsi="Times New Roman" w:cs="Times New Roman"/>
          <w:color w:val="000000" w:themeColor="text1"/>
          <w:sz w:val="24"/>
          <w:szCs w:val="24"/>
        </w:rPr>
        <w:t>base</w:t>
      </w:r>
      <w:proofErr w:type="spellEnd"/>
      <w:r w:rsidRPr="00C560AF">
        <w:rPr>
          <w:rFonts w:ascii="Times New Roman" w:hAnsi="Times New Roman" w:cs="Times New Roman"/>
          <w:color w:val="000000" w:themeColor="text1"/>
          <w:sz w:val="24"/>
          <w:szCs w:val="24"/>
        </w:rPr>
        <w:t xml:space="preserve"> upon the application of reminiscence activities in the care-home settings.</w:t>
      </w:r>
    </w:p>
    <w:p w14:paraId="6E375F7C"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14" w:name="_Toc29358"/>
      <w:bookmarkStart w:id="15" w:name="_Toc224361618"/>
      <w:r w:rsidRPr="00C560AF">
        <w:rPr>
          <w:rFonts w:ascii="Times New Roman" w:hAnsi="Times New Roman" w:cs="Times New Roman"/>
          <w:b/>
          <w:bCs/>
          <w:color w:val="000000" w:themeColor="text1"/>
          <w:sz w:val="24"/>
          <w:szCs w:val="24"/>
        </w:rPr>
        <w:t>Source 3</w:t>
      </w:r>
      <w:bookmarkEnd w:id="14"/>
      <w:bookmarkEnd w:id="15"/>
    </w:p>
    <w:p w14:paraId="28E56E72" w14:textId="77777777" w:rsidR="00A625D2" w:rsidRPr="00C560AF" w:rsidRDefault="00000000" w:rsidP="00C560AF">
      <w:pPr>
        <w:spacing w:before="60" w:after="60" w:line="360" w:lineRule="auto"/>
        <w:ind w:left="720" w:hanging="720"/>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Bowlby, J. (1988) </w:t>
      </w:r>
      <w:r w:rsidRPr="00C560AF">
        <w:rPr>
          <w:rFonts w:ascii="Times New Roman" w:hAnsi="Times New Roman" w:cs="Times New Roman"/>
          <w:i/>
          <w:iCs/>
          <w:color w:val="000000" w:themeColor="text1"/>
          <w:sz w:val="24"/>
          <w:szCs w:val="24"/>
        </w:rPr>
        <w:t>A Secure Base: Clinical Applications of Attachment Theory.</w:t>
      </w:r>
      <w:r w:rsidRPr="00C560AF">
        <w:rPr>
          <w:rFonts w:ascii="Times New Roman" w:hAnsi="Times New Roman" w:cs="Times New Roman"/>
          <w:color w:val="000000" w:themeColor="text1"/>
          <w:sz w:val="24"/>
          <w:szCs w:val="24"/>
        </w:rPr>
        <w:t xml:space="preserve"> London: Routledge.</w:t>
      </w:r>
    </w:p>
    <w:p w14:paraId="0AFE1E26"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16" w:name="_Toc2037"/>
      <w:bookmarkStart w:id="17" w:name="_Toc224361619"/>
      <w:r w:rsidRPr="00C560AF">
        <w:rPr>
          <w:rFonts w:ascii="Times New Roman" w:hAnsi="Times New Roman" w:cs="Times New Roman"/>
          <w:b/>
          <w:bCs/>
          <w:color w:val="000000" w:themeColor="text1"/>
          <w:sz w:val="24"/>
          <w:szCs w:val="24"/>
        </w:rPr>
        <w:t>Summary</w:t>
      </w:r>
      <w:bookmarkEnd w:id="16"/>
      <w:bookmarkEnd w:id="17"/>
    </w:p>
    <w:p w14:paraId="3D099D6E"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Bowlby expands the lifespan of the attachment theory and insinuates that the need to have a secure base, which will operate as a trusted relation, providing a sense of safety and even emotional support will continue in the older adult age. Patterns of early attachment persist in influencing other aspects of life, in terms of emotional control and wellbeing. The passage emphasises the role of a secure attachment in the process of adaptive coping responses toward the loss, bereavement, and other making life transitions, which have a critical implication to older adults in care settings.</w:t>
      </w:r>
    </w:p>
    <w:p w14:paraId="3324B2CD"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18" w:name="_Toc22928"/>
      <w:bookmarkStart w:id="19" w:name="_Toc224361620"/>
      <w:r w:rsidRPr="00C560AF">
        <w:rPr>
          <w:rFonts w:ascii="Times New Roman" w:hAnsi="Times New Roman" w:cs="Times New Roman"/>
          <w:b/>
          <w:bCs/>
          <w:color w:val="000000" w:themeColor="text1"/>
          <w:sz w:val="24"/>
          <w:szCs w:val="24"/>
        </w:rPr>
        <w:t>Critical Comment</w:t>
      </w:r>
      <w:bookmarkEnd w:id="18"/>
      <w:bookmarkEnd w:id="19"/>
    </w:p>
    <w:p w14:paraId="26EA1F2E" w14:textId="6635F727" w:rsid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literature has a direct practical applicability to the care-home environment where the residents face significant transitions triggering the needs to attach. The notion of the secure base made by Bowlby offers the idea of care personnel to focus on the aspects of consistency, reliability, and emotional warmth. Another significant weakness in the book is that the clinical uses outlined in it are mostly related to the psychotherapeutic setting with younger adults, and have to be adjusted with the structural reality of the setting of the care home, including staff turnover which undercuts continuity of the care.</w:t>
      </w:r>
    </w:p>
    <w:p w14:paraId="3F578B81" w14:textId="77777777" w:rsidR="00C560AF" w:rsidRDefault="00C560A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46CCECF"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20" w:name="_Toc20764"/>
      <w:bookmarkStart w:id="21" w:name="_Toc224361621"/>
      <w:r w:rsidRPr="00C560AF">
        <w:rPr>
          <w:rFonts w:ascii="Times New Roman" w:hAnsi="Times New Roman" w:cs="Times New Roman"/>
          <w:b/>
          <w:bCs/>
          <w:color w:val="000000" w:themeColor="text1"/>
          <w:sz w:val="24"/>
          <w:szCs w:val="24"/>
        </w:rPr>
        <w:lastRenderedPageBreak/>
        <w:t>Source 4</w:t>
      </w:r>
      <w:bookmarkEnd w:id="20"/>
      <w:bookmarkEnd w:id="21"/>
    </w:p>
    <w:p w14:paraId="1A132F40" w14:textId="77777777" w:rsidR="00A625D2" w:rsidRPr="00C560AF" w:rsidRDefault="00000000" w:rsidP="00C560AF">
      <w:pPr>
        <w:spacing w:before="60" w:after="60" w:line="360" w:lineRule="auto"/>
        <w:ind w:left="720" w:hanging="720"/>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Mikulincer, M. and Shaver, P.R. (2007) </w:t>
      </w:r>
      <w:r w:rsidRPr="00C560AF">
        <w:rPr>
          <w:rFonts w:ascii="Times New Roman" w:hAnsi="Times New Roman" w:cs="Times New Roman"/>
          <w:i/>
          <w:iCs/>
          <w:color w:val="000000" w:themeColor="text1"/>
          <w:sz w:val="24"/>
          <w:szCs w:val="24"/>
        </w:rPr>
        <w:t>Attachment in Adulthood: Structure, Dynamics, and Change.</w:t>
      </w:r>
      <w:r w:rsidRPr="00C560AF">
        <w:rPr>
          <w:rFonts w:ascii="Times New Roman" w:hAnsi="Times New Roman" w:cs="Times New Roman"/>
          <w:color w:val="000000" w:themeColor="text1"/>
          <w:sz w:val="24"/>
          <w:szCs w:val="24"/>
        </w:rPr>
        <w:t xml:space="preserve"> New York: Guilford Press.</w:t>
      </w:r>
    </w:p>
    <w:p w14:paraId="6E540246"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22" w:name="_Toc845"/>
      <w:bookmarkStart w:id="23" w:name="_Toc224361622"/>
      <w:r w:rsidRPr="00C560AF">
        <w:rPr>
          <w:rFonts w:ascii="Times New Roman" w:hAnsi="Times New Roman" w:cs="Times New Roman"/>
          <w:b/>
          <w:bCs/>
          <w:color w:val="000000" w:themeColor="text1"/>
          <w:sz w:val="24"/>
          <w:szCs w:val="24"/>
        </w:rPr>
        <w:t>Summary</w:t>
      </w:r>
      <w:bookmarkEnd w:id="22"/>
      <w:bookmarkEnd w:id="23"/>
    </w:p>
    <w:p w14:paraId="72C82720"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text examines the three styles of adult attachment which are secure, anxious, and avoidant, and how these styles impact on emotional regulation and wellbeing in late life. The authors, based on a large amount of research, show that insecure attachment styles provide increased susceptibility to anxiety and depression at late adulthood, particularly in the face of loss or transition. The article also demonstrates that authority and positive therapeutic associations and environments may support the attachment security even in adults.</w:t>
      </w:r>
    </w:p>
    <w:p w14:paraId="3A5E785B"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24" w:name="_Toc18543"/>
      <w:bookmarkStart w:id="25" w:name="_Toc224361623"/>
      <w:r w:rsidRPr="00C560AF">
        <w:rPr>
          <w:rFonts w:ascii="Times New Roman" w:hAnsi="Times New Roman" w:cs="Times New Roman"/>
          <w:b/>
          <w:bCs/>
          <w:color w:val="000000" w:themeColor="text1"/>
          <w:sz w:val="24"/>
          <w:szCs w:val="24"/>
        </w:rPr>
        <w:t>Critical Comment</w:t>
      </w:r>
      <w:bookmarkEnd w:id="24"/>
      <w:bookmarkEnd w:id="25"/>
    </w:p>
    <w:p w14:paraId="29A06F67"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source supports the practicality of the application of the attachment theory to the elderly population. Using the found attachment styles, the staff will be able to address the emotional needs of residents in a sensitive manner such as being able to offer reassurance to high-level of anxiety attached people. Another limitation is the fact that the samples of North American studies that are referred to were mainly predominant which may limit the generalisability of the study on the UK care setting. Furthermore, high personnel turnover is one of the major structural obstacles to the position of having safe attachment relationship in the care homes.</w:t>
      </w:r>
    </w:p>
    <w:p w14:paraId="1076A3E0"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br w:type="page"/>
      </w:r>
    </w:p>
    <w:p w14:paraId="2ECFA225" w14:textId="77777777" w:rsidR="00A625D2" w:rsidRPr="00C560AF" w:rsidRDefault="00000000" w:rsidP="00C560AF">
      <w:pPr>
        <w:pStyle w:val="Heading1"/>
        <w:spacing w:line="360" w:lineRule="auto"/>
        <w:jc w:val="both"/>
        <w:rPr>
          <w:rFonts w:ascii="Times New Roman" w:hAnsi="Times New Roman" w:cs="Times New Roman"/>
          <w:b/>
          <w:bCs/>
          <w:color w:val="000000" w:themeColor="text1"/>
          <w:sz w:val="24"/>
          <w:szCs w:val="24"/>
        </w:rPr>
      </w:pPr>
      <w:bookmarkStart w:id="26" w:name="_Toc13147"/>
      <w:bookmarkStart w:id="27" w:name="_Toc224361624"/>
      <w:r w:rsidRPr="00C560AF">
        <w:rPr>
          <w:rFonts w:ascii="Times New Roman" w:hAnsi="Times New Roman" w:cs="Times New Roman"/>
          <w:b/>
          <w:bCs/>
          <w:color w:val="000000" w:themeColor="text1"/>
          <w:sz w:val="24"/>
          <w:szCs w:val="24"/>
        </w:rPr>
        <w:lastRenderedPageBreak/>
        <w:t>Part B: Short Report</w:t>
      </w:r>
      <w:bookmarkEnd w:id="26"/>
      <w:bookmarkEnd w:id="27"/>
    </w:p>
    <w:p w14:paraId="222D556C" w14:textId="77777777" w:rsidR="00A625D2" w:rsidRPr="00C560AF" w:rsidRDefault="00000000" w:rsidP="00C560AF">
      <w:pPr>
        <w:spacing w:line="360" w:lineRule="auto"/>
        <w:jc w:val="both"/>
        <w:rPr>
          <w:rFonts w:ascii="Times New Roman" w:hAnsi="Times New Roman" w:cs="Times New Roman"/>
          <w:b/>
          <w:bCs/>
          <w:color w:val="000000" w:themeColor="text1"/>
          <w:sz w:val="24"/>
          <w:szCs w:val="24"/>
        </w:rPr>
      </w:pPr>
      <w:r w:rsidRPr="00C560AF">
        <w:rPr>
          <w:rFonts w:ascii="Times New Roman" w:hAnsi="Times New Roman" w:cs="Times New Roman"/>
          <w:b/>
          <w:bCs/>
          <w:color w:val="000000" w:themeColor="text1"/>
          <w:sz w:val="24"/>
          <w:szCs w:val="24"/>
        </w:rPr>
        <w:t>Applying Erikson's Psychosocial Theory to Improve Psychological Wellbeing in Older Adults in Residential Care</w:t>
      </w:r>
    </w:p>
    <w:p w14:paraId="50CF76DC" w14:textId="77777777" w:rsidR="00A625D2" w:rsidRPr="00C560AF" w:rsidRDefault="00000000" w:rsidP="00C560AF">
      <w:pPr>
        <w:spacing w:line="360" w:lineRule="auto"/>
        <w:jc w:val="both"/>
        <w:rPr>
          <w:rFonts w:ascii="Times New Roman" w:hAnsi="Times New Roman" w:cs="Times New Roman"/>
          <w:b/>
          <w:bCs/>
          <w:color w:val="000000" w:themeColor="text1"/>
          <w:sz w:val="24"/>
          <w:szCs w:val="24"/>
        </w:rPr>
      </w:pPr>
      <w:r w:rsidRPr="00C560AF">
        <w:rPr>
          <w:rFonts w:ascii="Times New Roman" w:hAnsi="Times New Roman" w:cs="Times New Roman"/>
          <w:b/>
          <w:bCs/>
          <w:color w:val="000000" w:themeColor="text1"/>
          <w:sz w:val="24"/>
          <w:szCs w:val="24"/>
        </w:rPr>
        <w:t>A Professional Report for Health and Social Care Staff — Older Adults Care Home</w:t>
      </w:r>
    </w:p>
    <w:p w14:paraId="232B6916"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28" w:name="_Toc6993"/>
      <w:bookmarkStart w:id="29" w:name="_Toc224361625"/>
      <w:r w:rsidRPr="00C560AF">
        <w:rPr>
          <w:rFonts w:ascii="Times New Roman" w:hAnsi="Times New Roman" w:cs="Times New Roman"/>
          <w:b/>
          <w:bCs/>
          <w:color w:val="000000" w:themeColor="text1"/>
          <w:sz w:val="24"/>
          <w:szCs w:val="24"/>
        </w:rPr>
        <w:t>Introduction</w:t>
      </w:r>
      <w:bookmarkEnd w:id="28"/>
      <w:bookmarkEnd w:id="29"/>
    </w:p>
    <w:p w14:paraId="400820D5"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report targets the health and social care providers in a residential care home of the elderly. It describes how the psychosocial theory developed by Erikson (1982) can be used to enhance the psychological wellbeing of residents and gives an example of one of them in a case scenario and one professional challenge that could arise and the suggested strategy to overcome it.</w:t>
      </w:r>
    </w:p>
    <w:p w14:paraId="6964A88E"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30" w:name="_Toc8752"/>
      <w:bookmarkStart w:id="31" w:name="_Toc224361626"/>
      <w:r w:rsidRPr="00C560AF">
        <w:rPr>
          <w:rFonts w:ascii="Times New Roman" w:hAnsi="Times New Roman" w:cs="Times New Roman"/>
          <w:b/>
          <w:bCs/>
          <w:color w:val="000000" w:themeColor="text1"/>
          <w:sz w:val="24"/>
          <w:szCs w:val="24"/>
        </w:rPr>
        <w:t>Ego integrity Vs Despair by Erikson.</w:t>
      </w:r>
      <w:bookmarkEnd w:id="30"/>
      <w:bookmarkEnd w:id="31"/>
    </w:p>
    <w:p w14:paraId="5D061EAD"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Ego Integrity vs. Despair (Erik Erikson, 1982) is the eighth psychosocial stage that defines the main psychological task that an adult faces around the age of 65 years and further. At this phase, they do an extensive self-reflection on their lives including relationships, choices, achievements, and regrets. The individuals who can embrace their past in a way that provides them with a feeling of whole, meaning and peace acquire the integrity of their ego. This condition is connected to the lessening of anxiety and emotional stability and the acceptance of death.</w:t>
      </w:r>
    </w:p>
    <w:p w14:paraId="23122D4F"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On the other hand, when they are not able to give meaning to their experience in life or apprehend any value in life, old adults will sink into the state of despair, which is characterised by depression, bitterness, regrets, and fear of death (Erikson, 1982). To care professionals, this framework is an important critical perspective through which they can understand the psychological experience of residents who, in most instances, grapple with issues of meaning, legacy, and mortality that happen in the daily life of the care home environment.</w:t>
      </w:r>
    </w:p>
    <w:p w14:paraId="7E9EA9A4"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32" w:name="_Toc26233"/>
      <w:bookmarkStart w:id="33" w:name="_Toc224361627"/>
      <w:r w:rsidRPr="00C560AF">
        <w:rPr>
          <w:rFonts w:ascii="Times New Roman" w:hAnsi="Times New Roman" w:cs="Times New Roman"/>
          <w:b/>
          <w:bCs/>
          <w:color w:val="000000" w:themeColor="text1"/>
          <w:sz w:val="24"/>
          <w:szCs w:val="24"/>
        </w:rPr>
        <w:t>Case Scenario</w:t>
      </w:r>
      <w:bookmarkEnd w:id="32"/>
      <w:bookmarkEnd w:id="33"/>
    </w:p>
    <w:p w14:paraId="69B181EC"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Margaret is a 79-year-old patient who has been admitted six months ago with the history of stroke. She is more withdrawn now never wanting to engage in group activities and claiming her life was a nothingness. According to the framework by Erikson, Margaret is going through the state of despair, because she cannot create any meaningful storey about her life storey.</w:t>
      </w:r>
    </w:p>
    <w:p w14:paraId="0FBF7E89"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The care staff provided a 1-hour organised life-review group based on recollections and personal accomplishments discussed by residents, accompanied by a trained employee (Westerhof and </w:t>
      </w:r>
      <w:proofErr w:type="spellStart"/>
      <w:r w:rsidRPr="00C560AF">
        <w:rPr>
          <w:rFonts w:ascii="Times New Roman" w:hAnsi="Times New Roman" w:cs="Times New Roman"/>
          <w:color w:val="000000" w:themeColor="text1"/>
          <w:sz w:val="24"/>
          <w:szCs w:val="24"/>
        </w:rPr>
        <w:t>Bohlmeijer</w:t>
      </w:r>
      <w:proofErr w:type="spellEnd"/>
      <w:r w:rsidRPr="00C560AF">
        <w:rPr>
          <w:rFonts w:ascii="Times New Roman" w:hAnsi="Times New Roman" w:cs="Times New Roman"/>
          <w:color w:val="000000" w:themeColor="text1"/>
          <w:sz w:val="24"/>
          <w:szCs w:val="24"/>
        </w:rPr>
        <w:t xml:space="preserve">, 2014). In a period of twelve weeks, the improvement of Margaret regarding engagement was considerable. She has started taking pride in her motherhood status </w:t>
      </w:r>
      <w:r w:rsidRPr="00C560AF">
        <w:rPr>
          <w:rFonts w:ascii="Times New Roman" w:hAnsi="Times New Roman" w:cs="Times New Roman"/>
          <w:color w:val="000000" w:themeColor="text1"/>
          <w:sz w:val="24"/>
          <w:szCs w:val="24"/>
        </w:rPr>
        <w:lastRenderedPageBreak/>
        <w:t>and the years of community participation and staff has noticed that her mood has improved significantly.</w:t>
      </w:r>
    </w:p>
    <w:p w14:paraId="635A4588" w14:textId="77777777" w:rsidR="00A625D2" w:rsidRPr="00C560AF" w:rsidRDefault="00A625D2" w:rsidP="00C560AF">
      <w:pPr>
        <w:spacing w:before="40" w:after="40" w:line="360" w:lineRule="auto"/>
        <w:jc w:val="both"/>
        <w:rPr>
          <w:rFonts w:ascii="Times New Roman" w:hAnsi="Times New Roman" w:cs="Times New Roman"/>
          <w:color w:val="000000" w:themeColor="text1"/>
          <w:sz w:val="24"/>
          <w:szCs w:val="24"/>
        </w:rPr>
      </w:pPr>
    </w:p>
    <w:p w14:paraId="3A624CC6" w14:textId="77777777" w:rsidR="00A625D2" w:rsidRPr="00C560AF" w:rsidRDefault="00000000" w:rsidP="00C560AF">
      <w:pPr>
        <w:pStyle w:val="Caption"/>
        <w:spacing w:line="360" w:lineRule="auto"/>
        <w:jc w:val="both"/>
        <w:rPr>
          <w:rFonts w:ascii="Times New Roman" w:hAnsi="Times New Roman" w:cs="Times New Roman"/>
          <w:color w:val="000000" w:themeColor="text1"/>
          <w:sz w:val="24"/>
          <w:szCs w:val="24"/>
          <w:lang w:val="en-US"/>
        </w:rPr>
      </w:pPr>
      <w:r w:rsidRPr="00C560AF">
        <w:rPr>
          <w:rFonts w:ascii="Times New Roman" w:hAnsi="Times New Roman" w:cs="Times New Roman"/>
          <w:color w:val="000000" w:themeColor="text1"/>
          <w:sz w:val="24"/>
          <w:szCs w:val="24"/>
        </w:rPr>
        <w:t xml:space="preserve">Table </w:t>
      </w:r>
      <w:r w:rsidRPr="00C560AF">
        <w:rPr>
          <w:rFonts w:ascii="Times New Roman" w:hAnsi="Times New Roman" w:cs="Times New Roman"/>
          <w:color w:val="000000" w:themeColor="text1"/>
          <w:sz w:val="24"/>
          <w:szCs w:val="24"/>
        </w:rPr>
        <w:fldChar w:fldCharType="begin"/>
      </w:r>
      <w:r w:rsidRPr="00C560AF">
        <w:rPr>
          <w:rFonts w:ascii="Times New Roman" w:hAnsi="Times New Roman" w:cs="Times New Roman"/>
          <w:color w:val="000000" w:themeColor="text1"/>
          <w:sz w:val="24"/>
          <w:szCs w:val="24"/>
        </w:rPr>
        <w:instrText xml:space="preserve"> SEQ Table \* ARABIC </w:instrText>
      </w:r>
      <w:r w:rsidRPr="00C560AF">
        <w:rPr>
          <w:rFonts w:ascii="Times New Roman" w:hAnsi="Times New Roman" w:cs="Times New Roman"/>
          <w:color w:val="000000" w:themeColor="text1"/>
          <w:sz w:val="24"/>
          <w:szCs w:val="24"/>
        </w:rPr>
        <w:fldChar w:fldCharType="separate"/>
      </w:r>
      <w:r w:rsidRPr="00C560AF">
        <w:rPr>
          <w:rFonts w:ascii="Times New Roman" w:hAnsi="Times New Roman" w:cs="Times New Roman"/>
          <w:color w:val="000000" w:themeColor="text1"/>
          <w:sz w:val="24"/>
          <w:szCs w:val="24"/>
        </w:rPr>
        <w:t>1</w:t>
      </w:r>
      <w:r w:rsidRPr="00C560AF">
        <w:rPr>
          <w:rFonts w:ascii="Times New Roman" w:hAnsi="Times New Roman" w:cs="Times New Roman"/>
          <w:color w:val="000000" w:themeColor="text1"/>
          <w:sz w:val="24"/>
          <w:szCs w:val="24"/>
        </w:rPr>
        <w:fldChar w:fldCharType="end"/>
      </w:r>
      <w:r w:rsidRPr="00C560AF">
        <w:rPr>
          <w:rFonts w:ascii="Times New Roman" w:hAnsi="Times New Roman" w:cs="Times New Roman"/>
          <w:color w:val="000000" w:themeColor="text1"/>
          <w:sz w:val="24"/>
          <w:szCs w:val="24"/>
          <w:lang w:val="en-US"/>
        </w:rPr>
        <w:t>: Resident Wellbeing Outcomes Before and After Life Review Intervention</w:t>
      </w:r>
    </w:p>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00"/>
        <w:gridCol w:w="2500"/>
        <w:gridCol w:w="400"/>
        <w:gridCol w:w="2500"/>
        <w:gridCol w:w="400"/>
      </w:tblGrid>
      <w:tr w:rsidR="00A625D2" w:rsidRPr="00C560AF" w14:paraId="5C28BF0D" w14:textId="77777777">
        <w:tc>
          <w:tcPr>
            <w:tcW w:w="3100" w:type="dxa"/>
            <w:tcBorders>
              <w:top w:val="single" w:sz="8" w:space="0" w:color="F79646"/>
              <w:left w:val="single" w:sz="8" w:space="0" w:color="F79646"/>
              <w:bottom w:val="single" w:sz="18" w:space="0" w:color="FFFFFF"/>
              <w:right w:val="single" w:sz="8" w:space="0" w:color="F79646"/>
            </w:tcBorders>
            <w:shd w:val="clear" w:color="auto" w:fill="F79646"/>
            <w:tcMar>
              <w:top w:w="80" w:type="dxa"/>
              <w:left w:w="120" w:type="dxa"/>
              <w:bottom w:w="80" w:type="dxa"/>
              <w:right w:w="120" w:type="dxa"/>
            </w:tcMar>
          </w:tcPr>
          <w:p w14:paraId="1ECE473F"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Measure</w:t>
            </w:r>
          </w:p>
        </w:tc>
        <w:tc>
          <w:tcPr>
            <w:tcW w:w="2500" w:type="dxa"/>
            <w:tcBorders>
              <w:top w:val="single" w:sz="8" w:space="0" w:color="F79646"/>
              <w:left w:val="single" w:sz="8" w:space="0" w:color="F79646"/>
              <w:bottom w:val="single" w:sz="18" w:space="0" w:color="FFFFFF"/>
              <w:right w:val="single" w:sz="8" w:space="0" w:color="F79646"/>
            </w:tcBorders>
            <w:shd w:val="clear" w:color="auto" w:fill="F79646"/>
            <w:tcMar>
              <w:top w:w="80" w:type="dxa"/>
              <w:left w:w="120" w:type="dxa"/>
              <w:bottom w:w="80" w:type="dxa"/>
              <w:right w:w="120" w:type="dxa"/>
            </w:tcMar>
          </w:tcPr>
          <w:p w14:paraId="6151FA0F"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Before (red)</w:t>
            </w:r>
          </w:p>
        </w:tc>
        <w:tc>
          <w:tcPr>
            <w:tcW w:w="400" w:type="dxa"/>
            <w:tcBorders>
              <w:top w:val="single" w:sz="8" w:space="0" w:color="F79646"/>
              <w:left w:val="single" w:sz="8" w:space="0" w:color="F79646"/>
              <w:bottom w:val="single" w:sz="18" w:space="0" w:color="FFFFFF"/>
              <w:right w:val="single" w:sz="8" w:space="0" w:color="F79646"/>
            </w:tcBorders>
            <w:shd w:val="clear" w:color="auto" w:fill="F79646"/>
            <w:tcMar>
              <w:top w:w="80" w:type="dxa"/>
              <w:left w:w="60" w:type="dxa"/>
              <w:bottom w:w="80" w:type="dxa"/>
              <w:right w:w="60" w:type="dxa"/>
            </w:tcMar>
          </w:tcPr>
          <w:p w14:paraId="6380684C"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w:t>
            </w:r>
          </w:p>
        </w:tc>
        <w:tc>
          <w:tcPr>
            <w:tcW w:w="2500" w:type="dxa"/>
            <w:tcBorders>
              <w:top w:val="single" w:sz="8" w:space="0" w:color="F79646"/>
              <w:left w:val="single" w:sz="8" w:space="0" w:color="F79646"/>
              <w:bottom w:val="single" w:sz="18" w:space="0" w:color="FFFFFF"/>
              <w:right w:val="single" w:sz="8" w:space="0" w:color="F79646"/>
            </w:tcBorders>
            <w:shd w:val="clear" w:color="auto" w:fill="F79646"/>
            <w:tcMar>
              <w:top w:w="80" w:type="dxa"/>
              <w:left w:w="120" w:type="dxa"/>
              <w:bottom w:w="80" w:type="dxa"/>
              <w:right w:w="120" w:type="dxa"/>
            </w:tcMar>
          </w:tcPr>
          <w:p w14:paraId="64B7C79A"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After (green)</w:t>
            </w:r>
          </w:p>
        </w:tc>
        <w:tc>
          <w:tcPr>
            <w:tcW w:w="400" w:type="dxa"/>
            <w:tcBorders>
              <w:top w:val="single" w:sz="8" w:space="0" w:color="F79646"/>
              <w:left w:val="single" w:sz="8" w:space="0" w:color="F79646"/>
              <w:bottom w:val="single" w:sz="18" w:space="0" w:color="FFFFFF"/>
              <w:right w:val="single" w:sz="8" w:space="0" w:color="F79646"/>
            </w:tcBorders>
            <w:shd w:val="clear" w:color="auto" w:fill="F79646"/>
            <w:tcMar>
              <w:top w:w="80" w:type="dxa"/>
              <w:left w:w="60" w:type="dxa"/>
              <w:bottom w:w="80" w:type="dxa"/>
              <w:right w:w="60" w:type="dxa"/>
            </w:tcMar>
          </w:tcPr>
          <w:p w14:paraId="199BF57A"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w:t>
            </w:r>
          </w:p>
        </w:tc>
      </w:tr>
      <w:tr w:rsidR="00A625D2" w:rsidRPr="00C560AF" w14:paraId="31F526F3" w14:textId="77777777">
        <w:tc>
          <w:tcPr>
            <w:tcW w:w="3100" w:type="dxa"/>
            <w:tcBorders>
              <w:top w:val="single" w:sz="18" w:space="0" w:color="FFFFFF"/>
              <w:left w:val="single" w:sz="8" w:space="0" w:color="F79646"/>
              <w:bottom w:val="single" w:sz="8" w:space="0" w:color="F79646"/>
              <w:right w:val="single" w:sz="8" w:space="0" w:color="F79646"/>
            </w:tcBorders>
            <w:shd w:val="clear" w:color="auto" w:fill="FBD5B5"/>
            <w:tcMar>
              <w:top w:w="80" w:type="dxa"/>
              <w:left w:w="120" w:type="dxa"/>
              <w:bottom w:w="80" w:type="dxa"/>
              <w:right w:w="120" w:type="dxa"/>
            </w:tcMar>
            <w:vAlign w:val="center"/>
          </w:tcPr>
          <w:p w14:paraId="3F2B7F4A"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Depression (PHQ-9, lower=better)</w:t>
            </w:r>
          </w:p>
        </w:tc>
        <w:tc>
          <w:tcPr>
            <w:tcW w:w="2500" w:type="dxa"/>
            <w:tcBorders>
              <w:top w:val="single" w:sz="18" w:space="0" w:color="FFFFFF"/>
              <w:left w:val="single" w:sz="8" w:space="0" w:color="F79646"/>
              <w:bottom w:val="single" w:sz="8" w:space="0" w:color="F79646"/>
              <w:right w:val="single" w:sz="8" w:space="0" w:color="F79646"/>
            </w:tcBorders>
            <w:shd w:val="clear" w:color="auto" w:fill="FBD5B5"/>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74"/>
              <w:gridCol w:w="26"/>
            </w:tblGrid>
            <w:tr w:rsidR="00A625D2" w:rsidRPr="00C560AF" w14:paraId="4E0D7D9A" w14:textId="77777777">
              <w:tc>
                <w:tcPr>
                  <w:tcW w:w="2300" w:type="dxa"/>
                  <w:tcBorders>
                    <w:top w:val="nil"/>
                    <w:left w:val="nil"/>
                    <w:bottom w:val="nil"/>
                    <w:right w:val="nil"/>
                  </w:tcBorders>
                  <w:shd w:val="clear" w:color="auto" w:fill="C9505A"/>
                  <w:tcMar>
                    <w:top w:w="50" w:type="dxa"/>
                    <w:left w:w="0" w:type="dxa"/>
                    <w:bottom w:w="50" w:type="dxa"/>
                    <w:right w:w="0" w:type="dxa"/>
                  </w:tcMar>
                </w:tcPr>
                <w:p w14:paraId="1F4304F6"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0" w:type="dxa"/>
                  <w:tcBorders>
                    <w:top w:val="nil"/>
                    <w:left w:val="nil"/>
                    <w:bottom w:val="nil"/>
                    <w:right w:val="nil"/>
                  </w:tcBorders>
                  <w:shd w:val="clear" w:color="auto" w:fill="EEEEEE"/>
                </w:tcPr>
                <w:p w14:paraId="1B368D0E"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62103324"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18" w:space="0" w:color="FFFFFF"/>
              <w:left w:val="single" w:sz="8" w:space="0" w:color="F79646"/>
              <w:bottom w:val="single" w:sz="8" w:space="0" w:color="F79646"/>
              <w:right w:val="single" w:sz="8" w:space="0" w:color="F79646"/>
            </w:tcBorders>
            <w:shd w:val="clear" w:color="auto" w:fill="FBD5B5"/>
            <w:tcMar>
              <w:top w:w="80" w:type="dxa"/>
              <w:left w:w="40" w:type="dxa"/>
              <w:bottom w:w="80" w:type="dxa"/>
              <w:right w:w="40" w:type="dxa"/>
            </w:tcMar>
            <w:vAlign w:val="center"/>
          </w:tcPr>
          <w:p w14:paraId="1DC764A5"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14</w:t>
            </w:r>
          </w:p>
        </w:tc>
        <w:tc>
          <w:tcPr>
            <w:tcW w:w="2500" w:type="dxa"/>
            <w:tcBorders>
              <w:top w:val="single" w:sz="18" w:space="0" w:color="FFFFFF"/>
              <w:left w:val="single" w:sz="8" w:space="0" w:color="F79646"/>
              <w:bottom w:val="single" w:sz="8" w:space="0" w:color="F79646"/>
              <w:right w:val="single" w:sz="8" w:space="0" w:color="F79646"/>
            </w:tcBorders>
            <w:shd w:val="clear" w:color="auto" w:fill="FBD5B5"/>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00"/>
              <w:gridCol w:w="1200"/>
            </w:tblGrid>
            <w:tr w:rsidR="00A625D2" w:rsidRPr="00C560AF" w14:paraId="6080DCA8" w14:textId="77777777">
              <w:tc>
                <w:tcPr>
                  <w:tcW w:w="1100" w:type="dxa"/>
                  <w:tcBorders>
                    <w:top w:val="nil"/>
                    <w:left w:val="nil"/>
                    <w:bottom w:val="nil"/>
                    <w:right w:val="nil"/>
                  </w:tcBorders>
                  <w:shd w:val="clear" w:color="auto" w:fill="2E7D32"/>
                  <w:tcMar>
                    <w:top w:w="50" w:type="dxa"/>
                    <w:left w:w="0" w:type="dxa"/>
                    <w:bottom w:w="50" w:type="dxa"/>
                    <w:right w:w="0" w:type="dxa"/>
                  </w:tcMar>
                </w:tcPr>
                <w:p w14:paraId="1AE9E9AB"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1200" w:type="dxa"/>
                  <w:tcBorders>
                    <w:top w:val="nil"/>
                    <w:left w:val="nil"/>
                    <w:bottom w:val="nil"/>
                    <w:right w:val="nil"/>
                  </w:tcBorders>
                  <w:shd w:val="clear" w:color="auto" w:fill="EEEEEE"/>
                </w:tcPr>
                <w:p w14:paraId="1E5C0BBC"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10BB34DE"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18" w:space="0" w:color="FFFFFF"/>
              <w:left w:val="single" w:sz="8" w:space="0" w:color="F79646"/>
              <w:bottom w:val="single" w:sz="8" w:space="0" w:color="F79646"/>
              <w:right w:val="single" w:sz="8" w:space="0" w:color="F79646"/>
            </w:tcBorders>
            <w:shd w:val="clear" w:color="auto" w:fill="FBD5B5"/>
            <w:tcMar>
              <w:top w:w="80" w:type="dxa"/>
              <w:left w:w="40" w:type="dxa"/>
              <w:bottom w:w="80" w:type="dxa"/>
              <w:right w:w="40" w:type="dxa"/>
            </w:tcMar>
            <w:vAlign w:val="center"/>
          </w:tcPr>
          <w:p w14:paraId="24573EDD"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7</w:t>
            </w:r>
          </w:p>
        </w:tc>
      </w:tr>
      <w:tr w:rsidR="00A625D2" w:rsidRPr="00C560AF" w14:paraId="7DF195C2" w14:textId="77777777">
        <w:tc>
          <w:tcPr>
            <w:tcW w:w="31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120" w:type="dxa"/>
              <w:bottom w:w="80" w:type="dxa"/>
              <w:right w:w="120" w:type="dxa"/>
            </w:tcMar>
            <w:vAlign w:val="center"/>
          </w:tcPr>
          <w:p w14:paraId="74719ABB"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Life Satisfaction (1–10)</w:t>
            </w:r>
          </w:p>
        </w:tc>
        <w:tc>
          <w:tcPr>
            <w:tcW w:w="25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1400"/>
            </w:tblGrid>
            <w:tr w:rsidR="00A625D2" w:rsidRPr="00C560AF" w14:paraId="520031E5" w14:textId="77777777">
              <w:tc>
                <w:tcPr>
                  <w:tcW w:w="900" w:type="dxa"/>
                  <w:tcBorders>
                    <w:top w:val="nil"/>
                    <w:left w:val="nil"/>
                    <w:bottom w:val="nil"/>
                    <w:right w:val="nil"/>
                  </w:tcBorders>
                  <w:shd w:val="clear" w:color="auto" w:fill="C9505A"/>
                  <w:tcMar>
                    <w:top w:w="50" w:type="dxa"/>
                    <w:left w:w="0" w:type="dxa"/>
                    <w:bottom w:w="50" w:type="dxa"/>
                    <w:right w:w="0" w:type="dxa"/>
                  </w:tcMar>
                </w:tcPr>
                <w:p w14:paraId="6B805510"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1400" w:type="dxa"/>
                  <w:tcBorders>
                    <w:top w:val="nil"/>
                    <w:left w:val="nil"/>
                    <w:bottom w:val="nil"/>
                    <w:right w:val="nil"/>
                  </w:tcBorders>
                  <w:shd w:val="clear" w:color="auto" w:fill="EEEEEE"/>
                </w:tcPr>
                <w:p w14:paraId="3BBD150E"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25F02685"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40" w:type="dxa"/>
              <w:bottom w:w="80" w:type="dxa"/>
              <w:right w:w="40" w:type="dxa"/>
            </w:tcMar>
            <w:vAlign w:val="center"/>
          </w:tcPr>
          <w:p w14:paraId="60E898AF"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4</w:t>
            </w:r>
          </w:p>
        </w:tc>
        <w:tc>
          <w:tcPr>
            <w:tcW w:w="25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400"/>
            </w:tblGrid>
            <w:tr w:rsidR="00A625D2" w:rsidRPr="00C560AF" w14:paraId="2FC87E36" w14:textId="77777777">
              <w:tc>
                <w:tcPr>
                  <w:tcW w:w="1900" w:type="dxa"/>
                  <w:tcBorders>
                    <w:top w:val="nil"/>
                    <w:left w:val="nil"/>
                    <w:bottom w:val="nil"/>
                    <w:right w:val="nil"/>
                  </w:tcBorders>
                  <w:shd w:val="clear" w:color="auto" w:fill="2E7D32"/>
                  <w:tcMar>
                    <w:top w:w="50" w:type="dxa"/>
                    <w:left w:w="0" w:type="dxa"/>
                    <w:bottom w:w="50" w:type="dxa"/>
                    <w:right w:w="0" w:type="dxa"/>
                  </w:tcMar>
                </w:tcPr>
                <w:p w14:paraId="09681D18"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nil"/>
                    <w:left w:val="nil"/>
                    <w:bottom w:val="nil"/>
                    <w:right w:val="nil"/>
                  </w:tcBorders>
                  <w:shd w:val="clear" w:color="auto" w:fill="EEEEEE"/>
                </w:tcPr>
                <w:p w14:paraId="398D6ACE"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5951FB92"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40" w:type="dxa"/>
              <w:bottom w:w="80" w:type="dxa"/>
              <w:right w:w="40" w:type="dxa"/>
            </w:tcMar>
            <w:vAlign w:val="center"/>
          </w:tcPr>
          <w:p w14:paraId="2636BDAE"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8</w:t>
            </w:r>
          </w:p>
        </w:tc>
      </w:tr>
      <w:tr w:rsidR="00A625D2" w:rsidRPr="00C560AF" w14:paraId="6F8815CF" w14:textId="77777777">
        <w:tc>
          <w:tcPr>
            <w:tcW w:w="3100" w:type="dxa"/>
            <w:tcBorders>
              <w:top w:val="single" w:sz="8" w:space="0" w:color="F79646"/>
              <w:left w:val="single" w:sz="8" w:space="0" w:color="F79646"/>
              <w:bottom w:val="single" w:sz="8" w:space="0" w:color="F79646"/>
              <w:right w:val="single" w:sz="8" w:space="0" w:color="F79646"/>
            </w:tcBorders>
            <w:shd w:val="clear" w:color="auto" w:fill="FBD5B5"/>
            <w:tcMar>
              <w:top w:w="80" w:type="dxa"/>
              <w:left w:w="120" w:type="dxa"/>
              <w:bottom w:w="80" w:type="dxa"/>
              <w:right w:w="120" w:type="dxa"/>
            </w:tcMar>
            <w:vAlign w:val="center"/>
          </w:tcPr>
          <w:p w14:paraId="638EE1ED"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Social Engagement (1–10)</w:t>
            </w:r>
          </w:p>
        </w:tc>
        <w:tc>
          <w:tcPr>
            <w:tcW w:w="2500" w:type="dxa"/>
            <w:tcBorders>
              <w:top w:val="single" w:sz="8" w:space="0" w:color="F79646"/>
              <w:left w:val="single" w:sz="8" w:space="0" w:color="F79646"/>
              <w:bottom w:val="single" w:sz="8" w:space="0" w:color="F79646"/>
              <w:right w:val="single" w:sz="8" w:space="0" w:color="F79646"/>
            </w:tcBorders>
            <w:shd w:val="clear" w:color="auto" w:fill="FBD5B5"/>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1600"/>
            </w:tblGrid>
            <w:tr w:rsidR="00A625D2" w:rsidRPr="00C560AF" w14:paraId="74459C7D" w14:textId="77777777">
              <w:tc>
                <w:tcPr>
                  <w:tcW w:w="700" w:type="dxa"/>
                  <w:tcBorders>
                    <w:top w:val="nil"/>
                    <w:left w:val="nil"/>
                    <w:bottom w:val="nil"/>
                    <w:right w:val="nil"/>
                  </w:tcBorders>
                  <w:shd w:val="clear" w:color="auto" w:fill="C9505A"/>
                  <w:tcMar>
                    <w:top w:w="50" w:type="dxa"/>
                    <w:left w:w="0" w:type="dxa"/>
                    <w:bottom w:w="50" w:type="dxa"/>
                    <w:right w:w="0" w:type="dxa"/>
                  </w:tcMar>
                </w:tcPr>
                <w:p w14:paraId="6BEA50F8"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1600" w:type="dxa"/>
                  <w:tcBorders>
                    <w:top w:val="nil"/>
                    <w:left w:val="nil"/>
                    <w:bottom w:val="nil"/>
                    <w:right w:val="nil"/>
                  </w:tcBorders>
                  <w:shd w:val="clear" w:color="auto" w:fill="EEEEEE"/>
                </w:tcPr>
                <w:p w14:paraId="1A7A90F2"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5430C909"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8" w:space="0" w:color="F79646"/>
              <w:left w:val="single" w:sz="8" w:space="0" w:color="F79646"/>
              <w:bottom w:val="single" w:sz="8" w:space="0" w:color="F79646"/>
              <w:right w:val="single" w:sz="8" w:space="0" w:color="F79646"/>
            </w:tcBorders>
            <w:shd w:val="clear" w:color="auto" w:fill="FBD5B5"/>
            <w:tcMar>
              <w:top w:w="80" w:type="dxa"/>
              <w:left w:w="40" w:type="dxa"/>
              <w:bottom w:w="80" w:type="dxa"/>
              <w:right w:w="40" w:type="dxa"/>
            </w:tcMar>
            <w:vAlign w:val="center"/>
          </w:tcPr>
          <w:p w14:paraId="44602843"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3</w:t>
            </w:r>
          </w:p>
        </w:tc>
        <w:tc>
          <w:tcPr>
            <w:tcW w:w="2500" w:type="dxa"/>
            <w:tcBorders>
              <w:top w:val="single" w:sz="8" w:space="0" w:color="F79646"/>
              <w:left w:val="single" w:sz="8" w:space="0" w:color="F79646"/>
              <w:bottom w:val="single" w:sz="8" w:space="0" w:color="F79646"/>
              <w:right w:val="single" w:sz="8" w:space="0" w:color="F79646"/>
            </w:tcBorders>
            <w:shd w:val="clear" w:color="auto" w:fill="FBD5B5"/>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700"/>
            </w:tblGrid>
            <w:tr w:rsidR="00A625D2" w:rsidRPr="00C560AF" w14:paraId="288025E7" w14:textId="77777777">
              <w:tc>
                <w:tcPr>
                  <w:tcW w:w="1600" w:type="dxa"/>
                  <w:tcBorders>
                    <w:top w:val="nil"/>
                    <w:left w:val="nil"/>
                    <w:bottom w:val="nil"/>
                    <w:right w:val="nil"/>
                  </w:tcBorders>
                  <w:shd w:val="clear" w:color="auto" w:fill="2E7D32"/>
                  <w:tcMar>
                    <w:top w:w="50" w:type="dxa"/>
                    <w:left w:w="0" w:type="dxa"/>
                    <w:bottom w:w="50" w:type="dxa"/>
                    <w:right w:w="0" w:type="dxa"/>
                  </w:tcMar>
                </w:tcPr>
                <w:p w14:paraId="02CC195D"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700" w:type="dxa"/>
                  <w:tcBorders>
                    <w:top w:val="nil"/>
                    <w:left w:val="nil"/>
                    <w:bottom w:val="nil"/>
                    <w:right w:val="nil"/>
                  </w:tcBorders>
                  <w:shd w:val="clear" w:color="auto" w:fill="EEEEEE"/>
                </w:tcPr>
                <w:p w14:paraId="40153789"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7FBF27CE"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8" w:space="0" w:color="F79646"/>
              <w:left w:val="single" w:sz="8" w:space="0" w:color="F79646"/>
              <w:bottom w:val="single" w:sz="8" w:space="0" w:color="F79646"/>
              <w:right w:val="single" w:sz="8" w:space="0" w:color="F79646"/>
            </w:tcBorders>
            <w:shd w:val="clear" w:color="auto" w:fill="FBD5B5"/>
            <w:tcMar>
              <w:top w:w="80" w:type="dxa"/>
              <w:left w:w="40" w:type="dxa"/>
              <w:bottom w:w="80" w:type="dxa"/>
              <w:right w:w="40" w:type="dxa"/>
            </w:tcMar>
            <w:vAlign w:val="center"/>
          </w:tcPr>
          <w:p w14:paraId="7A5E52D8"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7</w:t>
            </w:r>
          </w:p>
        </w:tc>
      </w:tr>
      <w:tr w:rsidR="00A625D2" w:rsidRPr="00C560AF" w14:paraId="0DF3468E" w14:textId="77777777">
        <w:tc>
          <w:tcPr>
            <w:tcW w:w="31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120" w:type="dxa"/>
              <w:bottom w:w="80" w:type="dxa"/>
              <w:right w:w="120" w:type="dxa"/>
            </w:tcMar>
            <w:vAlign w:val="center"/>
          </w:tcPr>
          <w:p w14:paraId="4097918B"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Sense of Meaning (1–10)</w:t>
            </w:r>
          </w:p>
        </w:tc>
        <w:tc>
          <w:tcPr>
            <w:tcW w:w="25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1600"/>
            </w:tblGrid>
            <w:tr w:rsidR="00A625D2" w:rsidRPr="00C560AF" w14:paraId="232ECC63" w14:textId="77777777">
              <w:tc>
                <w:tcPr>
                  <w:tcW w:w="700" w:type="dxa"/>
                  <w:tcBorders>
                    <w:top w:val="nil"/>
                    <w:left w:val="nil"/>
                    <w:bottom w:val="nil"/>
                    <w:right w:val="nil"/>
                  </w:tcBorders>
                  <w:shd w:val="clear" w:color="auto" w:fill="C9505A"/>
                  <w:tcMar>
                    <w:top w:w="50" w:type="dxa"/>
                    <w:left w:w="0" w:type="dxa"/>
                    <w:bottom w:w="50" w:type="dxa"/>
                    <w:right w:w="0" w:type="dxa"/>
                  </w:tcMar>
                </w:tcPr>
                <w:p w14:paraId="361308E4"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1600" w:type="dxa"/>
                  <w:tcBorders>
                    <w:top w:val="nil"/>
                    <w:left w:val="nil"/>
                    <w:bottom w:val="nil"/>
                    <w:right w:val="nil"/>
                  </w:tcBorders>
                  <w:shd w:val="clear" w:color="auto" w:fill="EEEEEE"/>
                </w:tcPr>
                <w:p w14:paraId="44F6E838"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559E13E8"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40" w:type="dxa"/>
              <w:bottom w:w="80" w:type="dxa"/>
              <w:right w:w="40" w:type="dxa"/>
            </w:tcMar>
            <w:vAlign w:val="center"/>
          </w:tcPr>
          <w:p w14:paraId="14C20CA6"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3</w:t>
            </w:r>
          </w:p>
        </w:tc>
        <w:tc>
          <w:tcPr>
            <w:tcW w:w="25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80" w:type="dxa"/>
              <w:bottom w:w="80" w:type="dxa"/>
              <w:right w:w="80" w:type="dxa"/>
            </w:tcMar>
            <w:vAlign w:val="center"/>
          </w:tcPr>
          <w:tbl>
            <w:tblPr>
              <w:tblW w:w="2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400"/>
            </w:tblGrid>
            <w:tr w:rsidR="00A625D2" w:rsidRPr="00C560AF" w14:paraId="5714F705" w14:textId="77777777">
              <w:tc>
                <w:tcPr>
                  <w:tcW w:w="1900" w:type="dxa"/>
                  <w:tcBorders>
                    <w:top w:val="nil"/>
                    <w:left w:val="nil"/>
                    <w:bottom w:val="nil"/>
                    <w:right w:val="nil"/>
                  </w:tcBorders>
                  <w:shd w:val="clear" w:color="auto" w:fill="2E7D32"/>
                  <w:tcMar>
                    <w:top w:w="50" w:type="dxa"/>
                    <w:left w:w="0" w:type="dxa"/>
                    <w:bottom w:w="50" w:type="dxa"/>
                    <w:right w:w="0" w:type="dxa"/>
                  </w:tcMar>
                </w:tcPr>
                <w:p w14:paraId="380AE607"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nil"/>
                    <w:left w:val="nil"/>
                    <w:bottom w:val="nil"/>
                    <w:right w:val="nil"/>
                  </w:tcBorders>
                  <w:shd w:val="clear" w:color="auto" w:fill="EEEEEE"/>
                </w:tcPr>
                <w:p w14:paraId="0D6289EB"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r>
          </w:tbl>
          <w:p w14:paraId="49D171B3" w14:textId="77777777" w:rsidR="00A625D2" w:rsidRPr="00C560AF" w:rsidRDefault="00A625D2" w:rsidP="00C560AF">
            <w:pPr>
              <w:spacing w:line="360" w:lineRule="auto"/>
              <w:jc w:val="both"/>
              <w:rPr>
                <w:rFonts w:ascii="Times New Roman" w:hAnsi="Times New Roman" w:cs="Times New Roman"/>
                <w:color w:val="000000" w:themeColor="text1"/>
                <w:sz w:val="24"/>
                <w:szCs w:val="24"/>
              </w:rPr>
            </w:pPr>
          </w:p>
        </w:tc>
        <w:tc>
          <w:tcPr>
            <w:tcW w:w="400" w:type="dxa"/>
            <w:tcBorders>
              <w:top w:val="single" w:sz="8" w:space="0" w:color="F79646"/>
              <w:left w:val="single" w:sz="8" w:space="0" w:color="F79646"/>
              <w:bottom w:val="single" w:sz="8" w:space="0" w:color="F79646"/>
              <w:right w:val="single" w:sz="8" w:space="0" w:color="F79646"/>
            </w:tcBorders>
            <w:shd w:val="clear" w:color="auto" w:fill="FFFFFF"/>
            <w:tcMar>
              <w:top w:w="80" w:type="dxa"/>
              <w:left w:w="40" w:type="dxa"/>
              <w:bottom w:w="80" w:type="dxa"/>
              <w:right w:w="40" w:type="dxa"/>
            </w:tcMar>
            <w:vAlign w:val="center"/>
          </w:tcPr>
          <w:p w14:paraId="14E1C613"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b/>
                <w:bCs/>
                <w:color w:val="000000" w:themeColor="text1"/>
                <w:sz w:val="24"/>
                <w:szCs w:val="24"/>
              </w:rPr>
              <w:t>8</w:t>
            </w:r>
          </w:p>
        </w:tc>
      </w:tr>
    </w:tbl>
    <w:p w14:paraId="29B8DB04" w14:textId="77777777" w:rsidR="00A625D2" w:rsidRPr="00C560AF" w:rsidRDefault="00000000" w:rsidP="00C560AF">
      <w:pPr>
        <w:spacing w:before="80" w:after="18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i/>
          <w:iCs/>
          <w:color w:val="000000" w:themeColor="text1"/>
          <w:sz w:val="24"/>
          <w:szCs w:val="24"/>
        </w:rPr>
        <w:t xml:space="preserve">Note: Illustrative scores adapted from Westerhof and </w:t>
      </w:r>
      <w:proofErr w:type="spellStart"/>
      <w:r w:rsidRPr="00C560AF">
        <w:rPr>
          <w:rFonts w:ascii="Times New Roman" w:hAnsi="Times New Roman" w:cs="Times New Roman"/>
          <w:i/>
          <w:iCs/>
          <w:color w:val="000000" w:themeColor="text1"/>
          <w:sz w:val="24"/>
          <w:szCs w:val="24"/>
        </w:rPr>
        <w:t>Bohlmeijer</w:t>
      </w:r>
      <w:proofErr w:type="spellEnd"/>
      <w:r w:rsidRPr="00C560AF">
        <w:rPr>
          <w:rFonts w:ascii="Times New Roman" w:hAnsi="Times New Roman" w:cs="Times New Roman"/>
          <w:i/>
          <w:iCs/>
          <w:color w:val="000000" w:themeColor="text1"/>
          <w:sz w:val="24"/>
          <w:szCs w:val="24"/>
        </w:rPr>
        <w:t xml:space="preserve"> (2014). PHQ-9: 0–27 (lower = better); others 1–10 (higher = better).</w:t>
      </w:r>
    </w:p>
    <w:p w14:paraId="6A4260CA"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34" w:name="_Toc3935"/>
      <w:bookmarkStart w:id="35" w:name="_Toc224361628"/>
      <w:r w:rsidRPr="00C560AF">
        <w:rPr>
          <w:rFonts w:ascii="Times New Roman" w:hAnsi="Times New Roman" w:cs="Times New Roman"/>
          <w:b/>
          <w:bCs/>
          <w:color w:val="000000" w:themeColor="text1"/>
          <w:sz w:val="24"/>
          <w:szCs w:val="24"/>
        </w:rPr>
        <w:t>Application to Practice</w:t>
      </w:r>
      <w:bookmarkEnd w:id="34"/>
      <w:bookmarkEnd w:id="35"/>
    </w:p>
    <w:p w14:paraId="21DC8933"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According to the theory proposed by Erikson, helping residents to derive a meaning in their past is not an additional element of psychological wellbeing in later life but a central aspect of the life inherent in a particular theory. This can be used by the care staff in one on one life storey discussions using personal photographs or objects; structured group reminiscence with music or movies of the time the residents lived; and contributing to personal books of their life history. All these strategies assist residents in creating meaningful, coherent life scripts and serves as a direct response to the Ego Integrity versus Despair task to minimise depressive symptoms (Westerhof and </w:t>
      </w:r>
      <w:proofErr w:type="spellStart"/>
      <w:r w:rsidRPr="00C560AF">
        <w:rPr>
          <w:rFonts w:ascii="Times New Roman" w:hAnsi="Times New Roman" w:cs="Times New Roman"/>
          <w:color w:val="000000" w:themeColor="text1"/>
          <w:sz w:val="24"/>
          <w:szCs w:val="24"/>
        </w:rPr>
        <w:t>Bohlmeijer</w:t>
      </w:r>
      <w:proofErr w:type="spellEnd"/>
      <w:r w:rsidRPr="00C560AF">
        <w:rPr>
          <w:rFonts w:ascii="Times New Roman" w:hAnsi="Times New Roman" w:cs="Times New Roman"/>
          <w:color w:val="000000" w:themeColor="text1"/>
          <w:sz w:val="24"/>
          <w:szCs w:val="24"/>
        </w:rPr>
        <w:t>, 2014).</w:t>
      </w:r>
    </w:p>
    <w:p w14:paraId="1D99D2F3"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36" w:name="_Toc29214"/>
      <w:bookmarkStart w:id="37" w:name="_Toc224361629"/>
      <w:r w:rsidRPr="00C560AF">
        <w:rPr>
          <w:rFonts w:ascii="Times New Roman" w:hAnsi="Times New Roman" w:cs="Times New Roman"/>
          <w:b/>
          <w:bCs/>
          <w:color w:val="000000" w:themeColor="text1"/>
          <w:sz w:val="24"/>
          <w:szCs w:val="24"/>
        </w:rPr>
        <w:t>Issue: Employee trust in Psychosocial Support.</w:t>
      </w:r>
      <w:bookmarkEnd w:id="36"/>
      <w:bookmarkEnd w:id="37"/>
    </w:p>
    <w:p w14:paraId="1F20F065" w14:textId="51CF9503" w:rsidR="0058470D"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One of the main issues is that care personnel is usually oriented on the physical care and they are unprepared to have an emotionally reflective dialogue. It has been found out that a significant portion of employees gets inadequate psychological approach training, and thus, the psychosocial needs of residents are not addressed in the context of the daily care requirements needs (Livingston et al., 2014).</w:t>
      </w:r>
    </w:p>
    <w:p w14:paraId="23947041" w14:textId="77777777" w:rsidR="0058470D" w:rsidRDefault="0058470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419FBC3"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38" w:name="_Toc13696"/>
      <w:bookmarkStart w:id="39" w:name="_Toc224361630"/>
      <w:r w:rsidRPr="00C560AF">
        <w:rPr>
          <w:rFonts w:ascii="Times New Roman" w:hAnsi="Times New Roman" w:cs="Times New Roman"/>
          <w:b/>
          <w:bCs/>
          <w:color w:val="000000" w:themeColor="text1"/>
          <w:sz w:val="24"/>
          <w:szCs w:val="24"/>
        </w:rPr>
        <w:lastRenderedPageBreak/>
        <w:t>Training: Psychologically Informed Strategic Training.</w:t>
      </w:r>
      <w:bookmarkEnd w:id="38"/>
      <w:bookmarkEnd w:id="39"/>
    </w:p>
    <w:p w14:paraId="23077DEE"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suggested intervention is based on psychologically informed care, such as structured training, including all the stages of development by Erikson, the application of practical skills of reminiscence facilitation, and the reflective practise sessions. It is proved that this training enhances the confidence of staff and significantly positively affects the quality of psychosocial care (</w:t>
      </w:r>
      <w:proofErr w:type="spellStart"/>
      <w:r w:rsidRPr="00C560AF">
        <w:rPr>
          <w:rFonts w:ascii="Times New Roman" w:hAnsi="Times New Roman" w:cs="Times New Roman"/>
          <w:color w:val="000000" w:themeColor="text1"/>
          <w:sz w:val="24"/>
          <w:szCs w:val="24"/>
        </w:rPr>
        <w:t>Brodaty</w:t>
      </w:r>
      <w:proofErr w:type="spellEnd"/>
      <w:r w:rsidRPr="00C560AF">
        <w:rPr>
          <w:rFonts w:ascii="Times New Roman" w:hAnsi="Times New Roman" w:cs="Times New Roman"/>
          <w:color w:val="000000" w:themeColor="text1"/>
          <w:sz w:val="24"/>
          <w:szCs w:val="24"/>
        </w:rPr>
        <w:t xml:space="preserve"> et al., 2003). This should be instilled in staff-induction and annual continuing professional development to make long-term changes in the care team.</w:t>
      </w:r>
    </w:p>
    <w:p w14:paraId="75DAE0FC" w14:textId="77777777" w:rsidR="00A625D2" w:rsidRPr="00C560AF" w:rsidRDefault="00000000" w:rsidP="00C560AF">
      <w:pPr>
        <w:pStyle w:val="Heading2"/>
        <w:spacing w:line="360" w:lineRule="auto"/>
        <w:jc w:val="both"/>
        <w:rPr>
          <w:rFonts w:ascii="Times New Roman" w:hAnsi="Times New Roman" w:cs="Times New Roman"/>
          <w:b/>
          <w:bCs/>
          <w:color w:val="000000" w:themeColor="text1"/>
          <w:sz w:val="24"/>
          <w:szCs w:val="24"/>
        </w:rPr>
      </w:pPr>
      <w:bookmarkStart w:id="40" w:name="_Toc23723"/>
      <w:bookmarkStart w:id="41" w:name="_Toc224361631"/>
      <w:r w:rsidRPr="00C560AF">
        <w:rPr>
          <w:rFonts w:ascii="Times New Roman" w:hAnsi="Times New Roman" w:cs="Times New Roman"/>
          <w:b/>
          <w:bCs/>
          <w:color w:val="000000" w:themeColor="text1"/>
          <w:sz w:val="24"/>
          <w:szCs w:val="24"/>
        </w:rPr>
        <w:t>Conclusion</w:t>
      </w:r>
      <w:bookmarkEnd w:id="40"/>
      <w:bookmarkEnd w:id="41"/>
    </w:p>
    <w:p w14:paraId="0334CBCB" w14:textId="77777777" w:rsidR="00A625D2" w:rsidRPr="00C560AF" w:rsidRDefault="00000000" w:rsidP="00C560AF">
      <w:pPr>
        <w:spacing w:before="40" w:after="40"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The Erikson theory of Ego Integrity and Despair gives the professionals at the care home a very coherent evidence-based theory to use in addressing the psychological wellbeing of the residents. Care homes can constructively assist older adults in finding some ease and completeness in their latter life– a core element of the truly person-centred care through the use of life-review activities, emotionally stable care relationships, and staffed with sufficient and properly trained personnel.</w:t>
      </w:r>
    </w:p>
    <w:p w14:paraId="5346C310" w14:textId="77777777" w:rsidR="00A625D2" w:rsidRPr="00C560AF" w:rsidRDefault="00000000" w:rsidP="00C560AF">
      <w:pPr>
        <w:spacing w:line="360" w:lineRule="auto"/>
        <w:jc w:val="both"/>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br w:type="page"/>
      </w:r>
    </w:p>
    <w:p w14:paraId="62F81B50" w14:textId="77777777" w:rsidR="00A625D2" w:rsidRPr="00C560AF" w:rsidRDefault="00000000" w:rsidP="00C560AF">
      <w:pPr>
        <w:pStyle w:val="Heading1"/>
        <w:spacing w:line="360" w:lineRule="auto"/>
        <w:rPr>
          <w:rFonts w:ascii="Times New Roman" w:hAnsi="Times New Roman" w:cs="Times New Roman"/>
          <w:b/>
          <w:bCs/>
          <w:color w:val="000000" w:themeColor="text1"/>
          <w:sz w:val="24"/>
          <w:szCs w:val="24"/>
          <w:lang w:val="en-US"/>
        </w:rPr>
      </w:pPr>
      <w:bookmarkStart w:id="42" w:name="_Toc13989"/>
      <w:bookmarkStart w:id="43" w:name="_Toc224361632"/>
      <w:r w:rsidRPr="00C560AF">
        <w:rPr>
          <w:rFonts w:ascii="Times New Roman" w:hAnsi="Times New Roman" w:cs="Times New Roman"/>
          <w:b/>
          <w:bCs/>
          <w:color w:val="000000" w:themeColor="text1"/>
          <w:sz w:val="24"/>
          <w:szCs w:val="24"/>
          <w:lang w:val="en-US"/>
        </w:rPr>
        <w:lastRenderedPageBreak/>
        <w:t>References</w:t>
      </w:r>
      <w:bookmarkEnd w:id="42"/>
      <w:bookmarkEnd w:id="43"/>
    </w:p>
    <w:p w14:paraId="3FD9A003" w14:textId="77777777" w:rsidR="00A625D2" w:rsidRPr="00C560AF" w:rsidRDefault="00000000" w:rsidP="00C560AF">
      <w:pPr>
        <w:spacing w:before="60" w:after="60" w:line="360" w:lineRule="auto"/>
        <w:ind w:left="720" w:hanging="720"/>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Bowlby, J. (1988) </w:t>
      </w:r>
      <w:r w:rsidRPr="00C560AF">
        <w:rPr>
          <w:rFonts w:ascii="Times New Roman" w:hAnsi="Times New Roman" w:cs="Times New Roman"/>
          <w:i/>
          <w:iCs/>
          <w:color w:val="000000" w:themeColor="text1"/>
          <w:sz w:val="24"/>
          <w:szCs w:val="24"/>
        </w:rPr>
        <w:t>A Secure Base: Clinical Applications of Attachment Theory.</w:t>
      </w:r>
      <w:r w:rsidRPr="00C560AF">
        <w:rPr>
          <w:rFonts w:ascii="Times New Roman" w:hAnsi="Times New Roman" w:cs="Times New Roman"/>
          <w:color w:val="000000" w:themeColor="text1"/>
          <w:sz w:val="24"/>
          <w:szCs w:val="24"/>
        </w:rPr>
        <w:t xml:space="preserve"> London: Routledge.</w:t>
      </w:r>
    </w:p>
    <w:p w14:paraId="2EB8BAF8" w14:textId="77777777" w:rsidR="00A625D2" w:rsidRPr="00C560AF" w:rsidRDefault="00000000" w:rsidP="00C560AF">
      <w:pPr>
        <w:spacing w:before="60" w:after="60" w:line="360" w:lineRule="auto"/>
        <w:ind w:left="720" w:hanging="720"/>
        <w:rPr>
          <w:rFonts w:ascii="Times New Roman" w:hAnsi="Times New Roman" w:cs="Times New Roman"/>
          <w:color w:val="000000" w:themeColor="text1"/>
          <w:sz w:val="24"/>
          <w:szCs w:val="24"/>
        </w:rPr>
      </w:pPr>
      <w:proofErr w:type="spellStart"/>
      <w:r w:rsidRPr="00C560AF">
        <w:rPr>
          <w:rFonts w:ascii="Times New Roman" w:hAnsi="Times New Roman" w:cs="Times New Roman"/>
          <w:color w:val="000000" w:themeColor="text1"/>
          <w:sz w:val="24"/>
          <w:szCs w:val="24"/>
        </w:rPr>
        <w:t>Brodaty</w:t>
      </w:r>
      <w:proofErr w:type="spellEnd"/>
      <w:r w:rsidRPr="00C560AF">
        <w:rPr>
          <w:rFonts w:ascii="Times New Roman" w:hAnsi="Times New Roman" w:cs="Times New Roman"/>
          <w:color w:val="000000" w:themeColor="text1"/>
          <w:sz w:val="24"/>
          <w:szCs w:val="24"/>
        </w:rPr>
        <w:t xml:space="preserve">, H., Draper, B. and Low, L.F. (2003) 'Nursing home staff attitudes towards residents with dementia', </w:t>
      </w:r>
      <w:r w:rsidRPr="00C560AF">
        <w:rPr>
          <w:rFonts w:ascii="Times New Roman" w:hAnsi="Times New Roman" w:cs="Times New Roman"/>
          <w:i/>
          <w:iCs/>
          <w:color w:val="000000" w:themeColor="text1"/>
          <w:sz w:val="24"/>
          <w:szCs w:val="24"/>
        </w:rPr>
        <w:t>Australian and New Zealand Journal of Psychiatry,</w:t>
      </w:r>
      <w:r w:rsidRPr="00C560AF">
        <w:rPr>
          <w:rFonts w:ascii="Times New Roman" w:hAnsi="Times New Roman" w:cs="Times New Roman"/>
          <w:color w:val="000000" w:themeColor="text1"/>
          <w:sz w:val="24"/>
          <w:szCs w:val="24"/>
        </w:rPr>
        <w:t xml:space="preserve"> 37(2), pp.211–218.</w:t>
      </w:r>
    </w:p>
    <w:p w14:paraId="3B75048E" w14:textId="77777777" w:rsidR="00A625D2" w:rsidRPr="00C560AF" w:rsidRDefault="00000000" w:rsidP="00C560AF">
      <w:pPr>
        <w:spacing w:before="60" w:after="60" w:line="360" w:lineRule="auto"/>
        <w:ind w:left="720" w:hanging="720"/>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Erikson, E.H. (1982) </w:t>
      </w:r>
      <w:r w:rsidRPr="00C560AF">
        <w:rPr>
          <w:rFonts w:ascii="Times New Roman" w:hAnsi="Times New Roman" w:cs="Times New Roman"/>
          <w:i/>
          <w:iCs/>
          <w:color w:val="000000" w:themeColor="text1"/>
          <w:sz w:val="24"/>
          <w:szCs w:val="24"/>
        </w:rPr>
        <w:t>The Life Cycle Completed.</w:t>
      </w:r>
      <w:r w:rsidRPr="00C560AF">
        <w:rPr>
          <w:rFonts w:ascii="Times New Roman" w:hAnsi="Times New Roman" w:cs="Times New Roman"/>
          <w:color w:val="000000" w:themeColor="text1"/>
          <w:sz w:val="24"/>
          <w:szCs w:val="24"/>
        </w:rPr>
        <w:t xml:space="preserve"> New York: W.W. Norton.</w:t>
      </w:r>
    </w:p>
    <w:p w14:paraId="665CF7CB" w14:textId="77777777" w:rsidR="00A625D2" w:rsidRPr="00C560AF" w:rsidRDefault="00000000" w:rsidP="00C560AF">
      <w:pPr>
        <w:spacing w:before="60" w:after="60" w:line="360" w:lineRule="auto"/>
        <w:ind w:left="720" w:hanging="720"/>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Gilligan, C. (1982) </w:t>
      </w:r>
      <w:r w:rsidRPr="00C560AF">
        <w:rPr>
          <w:rFonts w:ascii="Times New Roman" w:hAnsi="Times New Roman" w:cs="Times New Roman"/>
          <w:i/>
          <w:iCs/>
          <w:color w:val="000000" w:themeColor="text1"/>
          <w:sz w:val="24"/>
          <w:szCs w:val="24"/>
        </w:rPr>
        <w:t>In a Different Voice: Psychological Theory and Women's Development.</w:t>
      </w:r>
      <w:r w:rsidRPr="00C560AF">
        <w:rPr>
          <w:rFonts w:ascii="Times New Roman" w:hAnsi="Times New Roman" w:cs="Times New Roman"/>
          <w:color w:val="000000" w:themeColor="text1"/>
          <w:sz w:val="24"/>
          <w:szCs w:val="24"/>
        </w:rPr>
        <w:t xml:space="preserve"> Cambridge, MA: Harvard University Press.</w:t>
      </w:r>
    </w:p>
    <w:p w14:paraId="693F61E0" w14:textId="77777777" w:rsidR="00A625D2" w:rsidRPr="00C560AF" w:rsidRDefault="00000000" w:rsidP="00C560AF">
      <w:pPr>
        <w:spacing w:before="60" w:after="60" w:line="360" w:lineRule="auto"/>
        <w:ind w:left="720" w:hanging="720"/>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Livingston, G., Kelly, L., Lewis-Holmes, E., Baio, G., Morris, S., Patel, N., Omar, R.Z., Katona, C. and Cooper, C. (2014) 'A systematic review of the clinical effectiveness and cost-effectiveness of sensory, psychological and behavioural interventions for managing agitation in older adults with dementia', </w:t>
      </w:r>
      <w:r w:rsidRPr="00C560AF">
        <w:rPr>
          <w:rFonts w:ascii="Times New Roman" w:hAnsi="Times New Roman" w:cs="Times New Roman"/>
          <w:i/>
          <w:iCs/>
          <w:color w:val="000000" w:themeColor="text1"/>
          <w:sz w:val="24"/>
          <w:szCs w:val="24"/>
        </w:rPr>
        <w:t>Health Technology Assessment,</w:t>
      </w:r>
      <w:r w:rsidRPr="00C560AF">
        <w:rPr>
          <w:rFonts w:ascii="Times New Roman" w:hAnsi="Times New Roman" w:cs="Times New Roman"/>
          <w:color w:val="000000" w:themeColor="text1"/>
          <w:sz w:val="24"/>
          <w:szCs w:val="24"/>
        </w:rPr>
        <w:t xml:space="preserve"> 18(39), pp.1–226.</w:t>
      </w:r>
    </w:p>
    <w:p w14:paraId="275893CB" w14:textId="77777777" w:rsidR="00A625D2" w:rsidRPr="00C560AF" w:rsidRDefault="00000000" w:rsidP="00C560AF">
      <w:pPr>
        <w:spacing w:before="60" w:after="60" w:line="360" w:lineRule="auto"/>
        <w:ind w:left="720" w:hanging="720"/>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Mikulincer, M. and Shaver, P.R. (2007) </w:t>
      </w:r>
      <w:r w:rsidRPr="00C560AF">
        <w:rPr>
          <w:rFonts w:ascii="Times New Roman" w:hAnsi="Times New Roman" w:cs="Times New Roman"/>
          <w:i/>
          <w:iCs/>
          <w:color w:val="000000" w:themeColor="text1"/>
          <w:sz w:val="24"/>
          <w:szCs w:val="24"/>
        </w:rPr>
        <w:t>Attachment in Adulthood: Structure, Dynamics, and Change.</w:t>
      </w:r>
      <w:r w:rsidRPr="00C560AF">
        <w:rPr>
          <w:rFonts w:ascii="Times New Roman" w:hAnsi="Times New Roman" w:cs="Times New Roman"/>
          <w:color w:val="000000" w:themeColor="text1"/>
          <w:sz w:val="24"/>
          <w:szCs w:val="24"/>
        </w:rPr>
        <w:t xml:space="preserve"> New York: Guilford Press.</w:t>
      </w:r>
    </w:p>
    <w:p w14:paraId="3D3C991E" w14:textId="77777777" w:rsidR="00A625D2" w:rsidRPr="00C560AF" w:rsidRDefault="00000000" w:rsidP="00C560AF">
      <w:pPr>
        <w:spacing w:before="60" w:after="60" w:line="360" w:lineRule="auto"/>
        <w:ind w:left="720" w:hanging="720"/>
        <w:rPr>
          <w:rFonts w:ascii="Times New Roman" w:hAnsi="Times New Roman" w:cs="Times New Roman"/>
          <w:color w:val="000000" w:themeColor="text1"/>
          <w:sz w:val="24"/>
          <w:szCs w:val="24"/>
        </w:rPr>
      </w:pPr>
      <w:r w:rsidRPr="00C560AF">
        <w:rPr>
          <w:rFonts w:ascii="Times New Roman" w:hAnsi="Times New Roman" w:cs="Times New Roman"/>
          <w:color w:val="000000" w:themeColor="text1"/>
          <w:sz w:val="24"/>
          <w:szCs w:val="24"/>
        </w:rPr>
        <w:t xml:space="preserve">Westerhof, G.J. and </w:t>
      </w:r>
      <w:proofErr w:type="spellStart"/>
      <w:r w:rsidRPr="00C560AF">
        <w:rPr>
          <w:rFonts w:ascii="Times New Roman" w:hAnsi="Times New Roman" w:cs="Times New Roman"/>
          <w:color w:val="000000" w:themeColor="text1"/>
          <w:sz w:val="24"/>
          <w:szCs w:val="24"/>
        </w:rPr>
        <w:t>Bohlmeijer</w:t>
      </w:r>
      <w:proofErr w:type="spellEnd"/>
      <w:r w:rsidRPr="00C560AF">
        <w:rPr>
          <w:rFonts w:ascii="Times New Roman" w:hAnsi="Times New Roman" w:cs="Times New Roman"/>
          <w:color w:val="000000" w:themeColor="text1"/>
          <w:sz w:val="24"/>
          <w:szCs w:val="24"/>
        </w:rPr>
        <w:t xml:space="preserve">, E.T. (2014) 'Celebrating fifty years of research and applications in reminiscence and life review', </w:t>
      </w:r>
      <w:r w:rsidRPr="00C560AF">
        <w:rPr>
          <w:rFonts w:ascii="Times New Roman" w:hAnsi="Times New Roman" w:cs="Times New Roman"/>
          <w:i/>
          <w:iCs/>
          <w:color w:val="000000" w:themeColor="text1"/>
          <w:sz w:val="24"/>
          <w:szCs w:val="24"/>
        </w:rPr>
        <w:t>Journal of Aging Studies,</w:t>
      </w:r>
      <w:r w:rsidRPr="00C560AF">
        <w:rPr>
          <w:rFonts w:ascii="Times New Roman" w:hAnsi="Times New Roman" w:cs="Times New Roman"/>
          <w:color w:val="000000" w:themeColor="text1"/>
          <w:sz w:val="24"/>
          <w:szCs w:val="24"/>
        </w:rPr>
        <w:t xml:space="preserve"> 29, pp.107–114.</w:t>
      </w:r>
    </w:p>
    <w:sectPr w:rsidR="00A625D2" w:rsidRPr="00C560AF">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25D2"/>
    <w:rsid w:val="000A6729"/>
    <w:rsid w:val="0039340B"/>
    <w:rsid w:val="0058470D"/>
    <w:rsid w:val="0065211F"/>
    <w:rsid w:val="009806C5"/>
    <w:rsid w:val="00A625D2"/>
    <w:rsid w:val="00C25C30"/>
    <w:rsid w:val="00C560AF"/>
    <w:rsid w:val="18C33266"/>
    <w:rsid w:val="716D62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78271"/>
  <w15:docId w15:val="{1CADEB89-DBA3-4691-93BA-A0CA8DADE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note text" w:semiHidden="1" w:uiPriority="99" w:unhideWhenUsed="1"/>
    <w:lsdException w:name="caption" w:semiHidden="1" w:unhideWhenUsed="1" w:qFormat="1"/>
    <w:lsdException w:name="footnote reference" w:semiHidden="1" w:uiPriority="99" w:unhideWhenUsed="1" w:qFormat="1"/>
    <w:lsdException w:name="endnote reference" w:semiHidden="1" w:uiPriority="99" w:unhideWhenUsed="1"/>
    <w:lsdException w:name="endnote text" w:semiHidden="1" w:uiPriority="99" w:unhideWhenUsed="1" w:qFormat="1"/>
    <w:lsdException w:name="Title" w:qFormat="1"/>
    <w:lsdException w:name="Default Paragraph Font" w:semiHidden="1"/>
    <w:lsdException w:name="Subtitle" w:qFormat="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2"/>
      <w:szCs w:val="22"/>
    </w:rPr>
  </w:style>
  <w:style w:type="paragraph" w:styleId="Heading1">
    <w:name w:val="heading 1"/>
    <w:next w:val="Normal"/>
    <w:qFormat/>
    <w:pPr>
      <w:outlineLvl w:val="0"/>
    </w:pPr>
    <w:rPr>
      <w:color w:val="2E74B5"/>
      <w:sz w:val="32"/>
      <w:szCs w:val="32"/>
    </w:rPr>
  </w:style>
  <w:style w:type="paragraph" w:styleId="Heading2">
    <w:name w:val="heading 2"/>
    <w:next w:val="Normal"/>
    <w:qFormat/>
    <w:pPr>
      <w:outlineLvl w:val="1"/>
    </w:pPr>
    <w:rPr>
      <w:color w:val="2E74B5"/>
      <w:sz w:val="26"/>
      <w:szCs w:val="26"/>
    </w:rPr>
  </w:style>
  <w:style w:type="paragraph" w:styleId="Heading3">
    <w:name w:val="heading 3"/>
    <w:next w:val="Normal"/>
    <w:qFormat/>
    <w:pPr>
      <w:outlineLvl w:val="2"/>
    </w:pPr>
    <w:rPr>
      <w:color w:val="1F4D78"/>
      <w:sz w:val="24"/>
      <w:szCs w:val="24"/>
    </w:rPr>
  </w:style>
  <w:style w:type="paragraph" w:styleId="Heading4">
    <w:name w:val="heading 4"/>
    <w:next w:val="Normal"/>
    <w:qFormat/>
    <w:pPr>
      <w:outlineLvl w:val="3"/>
    </w:pPr>
    <w:rPr>
      <w:i/>
      <w:iCs/>
      <w:color w:val="2E74B5"/>
      <w:sz w:val="22"/>
      <w:szCs w:val="22"/>
    </w:rPr>
  </w:style>
  <w:style w:type="paragraph" w:styleId="Heading5">
    <w:name w:val="heading 5"/>
    <w:next w:val="Normal"/>
    <w:qFormat/>
    <w:pPr>
      <w:outlineLvl w:val="4"/>
    </w:pPr>
    <w:rPr>
      <w:color w:val="2E74B5"/>
      <w:sz w:val="22"/>
      <w:szCs w:val="22"/>
    </w:rPr>
  </w:style>
  <w:style w:type="paragraph" w:styleId="Heading6">
    <w:name w:val="heading 6"/>
    <w:next w:val="Normal"/>
    <w:qFormat/>
    <w:pPr>
      <w:outlineLvl w:val="5"/>
    </w:pPr>
    <w:rPr>
      <w:color w:val="1F4D7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semiHidden/>
    <w:unhideWhenUsed/>
    <w:qFormat/>
    <w:rPr>
      <w:rFonts w:eastAsia="SimHei"/>
      <w:sz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qFormat/>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style>
  <w:style w:type="character" w:styleId="Hyperlink">
    <w:name w:val="Hyperlink"/>
    <w:uiPriority w:val="99"/>
    <w:unhideWhenUsed/>
    <w:rPr>
      <w:color w:val="0563C1"/>
      <w:u w:val="single"/>
    </w:rPr>
  </w:style>
  <w:style w:type="paragraph" w:styleId="Title">
    <w:name w:val="Title"/>
    <w:qFormat/>
    <w:rPr>
      <w:sz w:val="56"/>
      <w:szCs w:val="56"/>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ListParagraph">
    <w:name w:val="List Paragraph"/>
    <w:qFormat/>
    <w:rPr>
      <w:sz w:val="22"/>
      <w:szCs w:val="22"/>
    </w:rPr>
  </w:style>
  <w:style w:type="character" w:customStyle="1" w:styleId="FootnoteTextChar">
    <w:name w:val="Footnote Text Char"/>
    <w:link w:val="FootnoteText"/>
    <w:uiPriority w:val="99"/>
    <w:semiHidden/>
    <w:unhideWhenUsed/>
    <w:qFormat/>
    <w:rPr>
      <w:sz w:val="20"/>
      <w:szCs w:val="20"/>
    </w:rPr>
  </w:style>
  <w:style w:type="character" w:customStyle="1" w:styleId="EndnoteTextChar">
    <w:name w:val="Endnote Text Char"/>
    <w:link w:val="EndnoteText"/>
    <w:uiPriority w:val="99"/>
    <w:semiHidden/>
    <w:unhideWhenUsed/>
    <w:qFormat/>
    <w:rPr>
      <w:sz w:val="20"/>
      <w:szCs w:val="20"/>
    </w:rPr>
  </w:style>
  <w:style w:type="paragraph" w:styleId="TOCHeading">
    <w:name w:val="TOC Heading"/>
    <w:basedOn w:val="Heading1"/>
    <w:next w:val="Normal"/>
    <w:uiPriority w:val="39"/>
    <w:unhideWhenUsed/>
    <w:qFormat/>
    <w:rsid w:val="0065211F"/>
    <w:pPr>
      <w:keepNext/>
      <w:keepLines/>
      <w:spacing w:before="240" w:line="259" w:lineRule="auto"/>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C5A58-B7C6-4B6F-A421-A44353A7D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2222</Words>
  <Characters>12377</Characters>
  <Application>Microsoft Office Word</Application>
  <DocSecurity>0</DocSecurity>
  <Lines>281</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j w</cp:lastModifiedBy>
  <cp:revision>6</cp:revision>
  <dcterms:created xsi:type="dcterms:W3CDTF">2026-03-13T15:54:00Z</dcterms:created>
  <dcterms:modified xsi:type="dcterms:W3CDTF">2026-03-18T19:01:00Z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37719A06F4C34ED5B2998F6B2D587873_13</vt:lpwstr>
  </property>
</Properties>
</file>