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line="276" w:lineRule="auto"/>
        <w:jc w:val="center"/>
      </w:pPr>
      <w:r>
        <w:rPr>
          <w:rFonts w:ascii="Times New Roman" w:hAnsi="Times New Roman" w:eastAsia="Times New Roman"/>
          <w:b w:val="0"/>
          <w:sz w:val="24"/>
        </w:rPr>
        <w:t>Lecturer Name: Charles Obinwa</w:t>
      </w:r>
    </w:p>
    <w:p>
      <w:pPr>
        <w:spacing w:after="120" w:line="276" w:lineRule="auto"/>
        <w:jc w:val="center"/>
      </w:pPr>
      <w:r>
        <w:rPr>
          <w:rFonts w:ascii="Times New Roman" w:hAnsi="Times New Roman" w:eastAsia="Times New Roman"/>
          <w:b w:val="0"/>
          <w:sz w:val="24"/>
        </w:rPr>
        <w:t>Student Number: 2434974</w:t>
      </w:r>
    </w:p>
    <w:p>
      <w:pPr>
        <w:spacing w:after="120" w:line="276" w:lineRule="auto"/>
        <w:jc w:val="center"/>
      </w:pPr>
      <w:r>
        <w:rPr>
          <w:rFonts w:ascii="Times New Roman" w:hAnsi="Times New Roman" w:eastAsia="Times New Roman"/>
          <w:b w:val="0"/>
          <w:sz w:val="24"/>
        </w:rPr>
        <w:t>Student Name: Marian Zaharciuc</w:t>
      </w:r>
    </w:p>
    <w:p>
      <w:pPr>
        <w:spacing w:after="240" w:line="276" w:lineRule="auto"/>
        <w:jc w:val="center"/>
      </w:pPr>
    </w:p>
    <w:p>
      <w:pPr>
        <w:spacing w:after="120" w:line="276" w:lineRule="auto"/>
        <w:jc w:val="center"/>
      </w:pPr>
      <w:r>
        <w:rPr>
          <w:rFonts w:ascii="Times New Roman" w:hAnsi="Times New Roman" w:eastAsia="Times New Roman"/>
          <w:b w:val="0"/>
          <w:sz w:val="24"/>
        </w:rPr>
        <w:t>Module: Enterprise and Entrepreneurship</w:t>
      </w:r>
    </w:p>
    <w:p>
      <w:pPr>
        <w:spacing w:after="120" w:line="276" w:lineRule="auto"/>
        <w:jc w:val="center"/>
      </w:pPr>
      <w:r>
        <w:rPr>
          <w:rFonts w:ascii="Times New Roman" w:hAnsi="Times New Roman" w:eastAsia="Times New Roman"/>
          <w:b w:val="0"/>
          <w:sz w:val="24"/>
        </w:rPr>
        <w:t>Module Code: LCLM4006</w:t>
      </w:r>
    </w:p>
    <w:p>
      <w:pPr>
        <w:spacing w:after="240" w:line="276" w:lineRule="auto"/>
        <w:jc w:val="center"/>
      </w:pPr>
    </w:p>
    <w:p>
      <w:pPr>
        <w:spacing w:after="200" w:line="276" w:lineRule="auto"/>
        <w:jc w:val="center"/>
      </w:pPr>
      <w:r>
        <w:rPr>
          <w:rFonts w:ascii="Times New Roman" w:hAnsi="Times New Roman" w:eastAsia="Times New Roman"/>
          <w:b/>
          <w:sz w:val="32"/>
        </w:rPr>
        <w:t>Plum Goodness: A Vegan Beauty Start-up in the UK</w:t>
      </w:r>
    </w:p>
    <w:p>
      <w:pPr>
        <w:spacing w:after="200" w:line="276" w:lineRule="auto"/>
        <w:jc w:val="center"/>
      </w:pPr>
      <w:r>
        <w:rPr>
          <w:rFonts w:ascii="Times New Roman" w:hAnsi="Times New Roman" w:eastAsia="Times New Roman"/>
          <w:b/>
          <w:sz w:val="36"/>
        </w:rPr>
        <w:t>Business Plan</w:t>
      </w:r>
    </w:p>
    <w:p>
      <w:pPr>
        <w:spacing w:after="480" w:line="276" w:lineRule="auto"/>
        <w:jc w:val="center"/>
      </w:pPr>
      <w:r>
        <w:rPr>
          <w:rFonts w:ascii="Times New Roman" w:hAnsi="Times New Roman" w:eastAsia="Times New Roman"/>
          <w:b/>
          <w:sz w:val="28"/>
        </w:rPr>
        <w:t>LCLM4006 Component 1</w:t>
      </w:r>
      <w:r>
        <w:br w:type="page"/>
      </w:r>
    </w:p>
    <w:p>
      <w:pPr>
        <w:pStyle w:val="Heading1"/>
      </w:pPr>
      <w:r>
        <w:t>Executive Summary</w:t>
      </w:r>
    </w:p>
    <w:p>
      <w:r>
        <w:t>This business plan proposes the launch of Plum Goodness, a UK-based vegan beauty start-up offering cruelty-free, plant-based skincare and haircare products. The idea responds to the growing demand for ethical and sustainable beauty products, particularly among younger consumers who value ingredient transparency, animal welfare and environmentally responsible packaging.</w:t>
      </w:r>
    </w:p>
    <w:p>
      <w:r>
        <w:t>The business will position itself as an affordable premium brand rather than a luxury brand. This is important because many customers want ethical beauty products, but they still remain price-conscious. Plum Goodness will therefore focus on giving customers good quality, clear ingredient information and a modern brand identity at a price level that is competitive within the UK market.</w:t>
      </w:r>
    </w:p>
    <w:p>
      <w:r>
        <w:t>The proposed launch strategy is deliberately focused. Instead of introducing a very wide range of products, the business will start with three hero products: a facial serum, a moisturiser and a shampoo. This approach is more realistic for a new venture because it reduces start-up complexity, improves stock control and allows the company to build a stronger early brand identity.</w:t>
      </w:r>
    </w:p>
    <w:p>
      <w:r>
        <w:t>Market analysis suggests that the external environment is generally favourable, although competition is intense. PESTEL analysis highlights opportunities linked to ethical consumer trends, digital marketing technology and environmental awareness. However, Porter’s Five Forces also shows high rivalry, strong buyer power and a high threat of substitutes. As a result, the business will need strong differentiation, careful cost control and a clear target market.</w:t>
      </w:r>
    </w:p>
    <w:p>
      <w:r>
        <w:t>The start-up requires £150,000 in funding, made up of £50,000 personal savings and a £100,000 bank loan. This money will be used for product development, packaging, website creation, launch marketing, initial stock and working capital. Overall, Plum Goodness appears to be a viable small business idea if it follows a digital-first strategy, controls spending and builds customer trust through consistent ethical branding.</w:t>
      </w:r>
    </w:p>
    <w:p>
      <w:pPr>
        <w:pStyle w:val="Heading1"/>
      </w:pPr>
      <w:r>
        <w:t>Contents</w:t>
      </w:r>
    </w:p>
    <w:p>
      <w:pPr>
        <w:ind w:left="227"/>
      </w:pPr>
      <w:r>
        <w:t>1. Overview of the Business Idea</w:t>
      </w:r>
    </w:p>
    <w:p>
      <w:pPr>
        <w:ind w:left="227"/>
      </w:pPr>
      <w:r>
        <w:t>2. Market Research</w:t>
      </w:r>
    </w:p>
    <w:p>
      <w:pPr>
        <w:ind w:left="227"/>
      </w:pPr>
      <w:r>
        <w:t>3. PESTEL Analysis</w:t>
      </w:r>
    </w:p>
    <w:p>
      <w:pPr>
        <w:ind w:left="227"/>
      </w:pPr>
      <w:r>
        <w:t>4. Porter's Five Forces and Competition</w:t>
      </w:r>
    </w:p>
    <w:p>
      <w:pPr>
        <w:ind w:left="227"/>
      </w:pPr>
      <w:r>
        <w:t>5. Marketing Communications</w:t>
      </w:r>
    </w:p>
    <w:p>
      <w:pPr>
        <w:ind w:left="227"/>
      </w:pPr>
      <w:r>
        <w:t>6. Financials</w:t>
      </w:r>
    </w:p>
    <w:p>
      <w:pPr>
        <w:ind w:left="227"/>
      </w:pPr>
      <w:r>
        <w:t>7. Conclusion</w:t>
      </w:r>
    </w:p>
    <w:p>
      <w:pPr>
        <w:ind w:left="227"/>
      </w:pPr>
      <w:r>
        <w:t>8. References</w:t>
      </w:r>
    </w:p>
    <w:p>
      <w:pPr>
        <w:pStyle w:val="Heading1"/>
      </w:pPr>
      <w:r>
        <w:t>1. Overview of the Business Idea</w:t>
      </w:r>
    </w:p>
    <w:p>
      <w:r>
        <w:t>Climate change, animal welfare concerns and greater public awareness of sustainability have changed consumer behaviour in the beauty industry. Customers now increasingly look for products that are not only effective, but also cruelty-free, responsibly sourced and environmentally friendly. This creates an opportunity for a start-up such as Plum Goodness.</w:t>
      </w:r>
    </w:p>
    <w:p>
      <w:r>
        <w:t>Plum Goodness is a proposed vegan beauty brand that will offer plant-based skincare and haircare products in the UK market. The original concept included a larger product range, but a more realistic launch strategy is to begin with only three products: a facial serum, a moisturiser and a shampoo. This narrower approach is more suitable for a small start-up because it keeps operations manageable and makes the initial brand message clearer.</w:t>
      </w:r>
    </w:p>
    <w:p>
      <w:r>
        <w:t>The mission of the business is to provide ethical, cruelty-free and sustainable beauty products without compromising quality. Its vision is to become a trusted small UK beauty brand known for transparent ingredient communication, recyclable packaging and a modern customer experience.</w:t>
      </w:r>
    </w:p>
    <w:p>
      <w:r>
        <w:t>The unique selling proposition of Plum Goodness is that it aims to offer affordable premium vegan beauty products for young professional women in the UK. The brand will combine three features that matter to this target market: effective products, transparent ethical values and accessible digital shopping.</w:t>
      </w:r>
    </w:p>
    <w:p>
      <w:r>
        <w:t>In organisational terms, the business will begin as a sole proprietorship because this is simple and practical for a small owner-managed venture. The founder will oversee branding, supplier coordination and business strategy, while specialist tasks such as website design, packaging development and some digital marketing activities can be outsourced when needed.</w:t>
      </w:r>
    </w:p>
    <w:p>
      <w:pPr>
        <w:pStyle w:val="Heading1"/>
      </w:pPr>
      <w:r>
        <w:t>2. Market Research</w:t>
      </w:r>
    </w:p>
    <w:p>
      <w:r>
        <w:t>The UK beauty market is already crowded, but the vegan and sustainable segment continues to attract attention because of changing customer values. Many consumers now connect vegan and cruelty-free products with healthier lifestyles, stronger ethical standards and more responsible consumption. This supports the idea behind Plum Goodness, but it does not guarantee success on its own.</w:t>
      </w:r>
    </w:p>
    <w:p>
      <w:r>
        <w:t>A key feature of this market is that buying decisions are shaped heavily by trust. Customers often compare ingredients, packaging, online reviews and brand image before purchasing. This means that Plum Goodness must do more than simply describe itself as vegan. It must also present a believable brand story and offer clear reasons for customers to choose it over established alternatives.</w:t>
      </w:r>
    </w:p>
    <w:p>
      <w:r>
        <w:t>The market is also strongly influenced by digital culture. Beauty products are often discovered through Instagram, TikTok, influencers and customer reviews. For a small start-up, this can be an advantage because digital channels make it possible to build awareness without the cost of large-scale traditional advertising. However, it also means that weak branding or inconsistent messaging can damage trust quickly.</w:t>
      </w:r>
    </w:p>
    <w:p>
      <w:r>
        <w:t>Overall, the market research suggests that there is genuine demand for ethical beauty products, but the business will need a focused launch and a strong value proposition in order to compete effectively.</w:t>
      </w:r>
    </w:p>
    <w:p>
      <w:pPr>
        <w:pStyle w:val="Heading1"/>
      </w:pPr>
      <w:r>
        <w:t>3. PESTEL Analysis</w:t>
      </w:r>
    </w:p>
    <w:p>
      <w:pPr>
        <w:pStyle w:val="Heading2"/>
      </w:pPr>
      <w:r>
        <w:t>Political</w:t>
      </w:r>
    </w:p>
    <w:p>
      <w:r>
        <w:t>The UK market is generally supportive of ethical beauty trends because of growing interest in sustainability, responsible business behaviour and animal welfare. This creates a positive background for vegan cosmetics, although any ethical claims must be genuine and well supported.</w:t>
      </w:r>
    </w:p>
    <w:p>
      <w:pPr>
        <w:pStyle w:val="Heading2"/>
      </w:pPr>
      <w:r>
        <w:t>Economic</w:t>
      </w:r>
    </w:p>
    <w:p>
      <w:r>
        <w:t>Economic pressure and inflation can affect how much consumers are willing to spend on beauty products. For this reason, Plum Goodness should avoid positioning itself as an expensive luxury brand. An affordable premium strategy is more suitable because it reflects both customer values and spending limits.</w:t>
      </w:r>
    </w:p>
    <w:p>
      <w:pPr>
        <w:pStyle w:val="Heading2"/>
      </w:pPr>
      <w:r>
        <w:t>Social</w:t>
      </w:r>
    </w:p>
    <w:p>
      <w:r>
        <w:t>Social factors are highly favourable. Millennials and Generation Z are more likely to pay attention to cruelty-free production, ingredient safety and sustainable packaging. Online beauty communities also help spread awareness of ethical skincare trends.</w:t>
      </w:r>
    </w:p>
    <w:p>
      <w:pPr>
        <w:pStyle w:val="Heading2"/>
      </w:pPr>
      <w:r>
        <w:t>Technological</w:t>
      </w:r>
    </w:p>
    <w:p>
      <w:r>
        <w:t>Technology is especially important for a start-up because social media, e-commerce, customer analytics and email marketing allow the business to reach a narrow target audience efficiently. These tools support both customer acquisition and retention.</w:t>
      </w:r>
    </w:p>
    <w:p>
      <w:pPr>
        <w:pStyle w:val="Heading2"/>
      </w:pPr>
      <w:r>
        <w:t>Environmental</w:t>
      </w:r>
    </w:p>
    <w:p>
      <w:r>
        <w:t>Environmental concerns are directly linked to the proposed business idea. Customers increasingly expect reduced waste, recyclable packaging and responsible sourcing. These expectations create a strong opportunity for Plum Goodness if the brand can communicate them credibly.</w:t>
      </w:r>
    </w:p>
    <w:p>
      <w:pPr>
        <w:pStyle w:val="Heading2"/>
      </w:pPr>
      <w:r>
        <w:t>Legal</w:t>
      </w:r>
    </w:p>
    <w:p>
      <w:r>
        <w:t>The legal environment matters because beauty products must meet standards for safety, labelling and advertising. The company must be careful not to overstate environmental claims, since greenwashing would damage both compliance and customer trust.</w:t>
      </w:r>
    </w:p>
    <w:p>
      <w:r>
        <w:t>Overall, the PESTEL analysis shows that the strongest opportunity comes from social and environmental trends, while the main risks are economic pressure and the need to make all sustainability claims credible.</w:t>
      </w:r>
    </w:p>
    <w:p>
      <w:pPr>
        <w:pStyle w:val="Heading1"/>
      </w:pPr>
      <w:r>
        <w:t>4. Porter’s Five Forces and Competition</w:t>
      </w:r>
    </w:p>
    <w:p>
      <w:pPr>
        <w:pStyle w:val="Heading2"/>
      </w:pPr>
      <w:r>
        <w:t>Competitive rivalry</w:t>
      </w:r>
    </w:p>
    <w:p>
      <w:r>
        <w:t>Rivalry is high because the beauty industry contains many established brands, including firms that already offer vegan and cruelty-free product ranges. This means Plum Goodness cannot compete only by claiming ethical values; it must also communicate a clear niche identity.</w:t>
      </w:r>
    </w:p>
    <w:p>
      <w:pPr>
        <w:pStyle w:val="Heading2"/>
      </w:pPr>
      <w:r>
        <w:t>Threat of new entrants</w:t>
      </w:r>
    </w:p>
    <w:p>
      <w:r>
        <w:t>The threat of new entrants is also high because contract manufacturing and online distribution make market entry easier than before. Even so, building trust and customer loyalty remains difficult.</w:t>
      </w:r>
    </w:p>
    <w:p>
      <w:pPr>
        <w:pStyle w:val="Heading2"/>
      </w:pPr>
      <w:r>
        <w:t>Bargaining power of buyers</w:t>
      </w:r>
    </w:p>
    <w:p>
      <w:r>
        <w:t>Buyer power is high because customers can easily compare brands, read reviews and switch to alternatives. To reduce this risk, the business should focus on quality, transparency and repeat-purchase relationships.</w:t>
      </w:r>
    </w:p>
    <w:p>
      <w:pPr>
        <w:pStyle w:val="Heading2"/>
      </w:pPr>
      <w:r>
        <w:t>Bargaining power of suppliers</w:t>
      </w:r>
    </w:p>
    <w:p>
      <w:r>
        <w:t>Supplier power is better described as medium rather than low. Although there are multiple suppliers in the market, not all of them can provide ethical raw materials, sustainable packaging and suitable prices for a small firm.</w:t>
      </w:r>
    </w:p>
    <w:p>
      <w:pPr>
        <w:pStyle w:val="Heading2"/>
      </w:pPr>
      <w:r>
        <w:t>Threat of substitutes</w:t>
      </w:r>
    </w:p>
    <w:p>
      <w:r>
        <w:t>The threat of substitutes is high because consumers can choose natural skincare brands, mainstream skincare brands or low-cost alternatives. This increases the importance of product differentiation and clear positioning.</w:t>
      </w:r>
    </w:p>
    <w:p>
      <w:pPr>
        <w:pStyle w:val="Heading2"/>
      </w:pPr>
      <w:r>
        <w:t>Competitor comparison</w:t>
      </w:r>
    </w:p>
    <w:tbl>
      <w:tblPr>
        <w:tblStyle w:val="TableGrid"/>
        <w:tblW w:type="auto" w:w="0"/>
        <w:jc w:val="center"/>
        <w:tblLayout w:type="fixed"/>
        <w:tblLook w:firstColumn="1" w:firstRow="1" w:lastColumn="0" w:lastRow="0" w:noHBand="0" w:noVBand="1" w:val="04A0"/>
      </w:tblPr>
      <w:tblGrid>
        <w:gridCol w:w="1757"/>
        <w:gridCol w:w="1814"/>
        <w:gridCol w:w="2098"/>
        <w:gridCol w:w="1814"/>
        <w:gridCol w:w="2041"/>
      </w:tblGrid>
      <w:tr>
        <w:trPr>
          <w:tblHeader w:val="true"/>
        </w:trPr>
        <w:tc>
          <w:tcPr>
            <w:tcW w:type="dxa" w:w="1926"/>
            <w:shd w:fill="DCEDE4"/>
            <w:tcMar>
              <w:top w:w="110" w:type="dxa"/>
              <w:start w:w="100" w:type="dxa"/>
              <w:bottom w:w="110" w:type="dxa"/>
              <w:end w:w="100" w:type="dxa"/>
            </w:tcMar>
            <w:vAlign w:val="center"/>
          </w:tcPr>
          <w:p>
            <w:pPr>
              <w:jc w:val="center"/>
            </w:pPr>
            <w:r>
              <w:rPr>
                <w:b/>
                <w:color w:val="254F3D"/>
              </w:rPr>
              <w:t>Competitor</w:t>
            </w:r>
          </w:p>
        </w:tc>
        <w:tc>
          <w:tcPr>
            <w:tcW w:type="dxa" w:w="1926"/>
            <w:shd w:fill="DCEDE4"/>
            <w:tcMar>
              <w:top w:w="110" w:type="dxa"/>
              <w:start w:w="100" w:type="dxa"/>
              <w:bottom w:w="110" w:type="dxa"/>
              <w:end w:w="100" w:type="dxa"/>
            </w:tcMar>
            <w:vAlign w:val="center"/>
          </w:tcPr>
          <w:p>
            <w:pPr>
              <w:jc w:val="center"/>
            </w:pPr>
            <w:r>
              <w:rPr>
                <w:b/>
                <w:color w:val="254F3D"/>
              </w:rPr>
              <w:t>Positioning</w:t>
            </w:r>
          </w:p>
        </w:tc>
        <w:tc>
          <w:tcPr>
            <w:tcW w:type="dxa" w:w="1926"/>
            <w:shd w:fill="DCEDE4"/>
            <w:tcMar>
              <w:top w:w="110" w:type="dxa"/>
              <w:start w:w="100" w:type="dxa"/>
              <w:bottom w:w="110" w:type="dxa"/>
              <w:end w:w="100" w:type="dxa"/>
            </w:tcMar>
            <w:vAlign w:val="center"/>
          </w:tcPr>
          <w:p>
            <w:pPr>
              <w:jc w:val="center"/>
            </w:pPr>
            <w:r>
              <w:rPr>
                <w:b/>
                <w:color w:val="254F3D"/>
              </w:rPr>
              <w:t>Strength</w:t>
            </w:r>
          </w:p>
        </w:tc>
        <w:tc>
          <w:tcPr>
            <w:tcW w:type="dxa" w:w="1926"/>
            <w:shd w:fill="DCEDE4"/>
            <w:tcMar>
              <w:top w:w="110" w:type="dxa"/>
              <w:start w:w="100" w:type="dxa"/>
              <w:bottom w:w="110" w:type="dxa"/>
              <w:end w:w="100" w:type="dxa"/>
            </w:tcMar>
            <w:vAlign w:val="center"/>
          </w:tcPr>
          <w:p>
            <w:pPr>
              <w:jc w:val="center"/>
            </w:pPr>
            <w:r>
              <w:rPr>
                <w:b/>
                <w:color w:val="254F3D"/>
              </w:rPr>
              <w:t>Weakness</w:t>
            </w:r>
          </w:p>
        </w:tc>
        <w:tc>
          <w:tcPr>
            <w:tcW w:type="dxa" w:w="1926"/>
            <w:shd w:fill="DCEDE4"/>
            <w:tcMar>
              <w:top w:w="110" w:type="dxa"/>
              <w:start w:w="100" w:type="dxa"/>
              <w:bottom w:w="110" w:type="dxa"/>
              <w:end w:w="100" w:type="dxa"/>
            </w:tcMar>
            <w:vAlign w:val="center"/>
          </w:tcPr>
          <w:p>
            <w:pPr>
              <w:jc w:val="center"/>
            </w:pPr>
            <w:r>
              <w:rPr>
                <w:b/>
                <w:color w:val="254F3D"/>
              </w:rPr>
              <w:t>Opportunity for Plum Goodness</w:t>
            </w:r>
          </w:p>
        </w:tc>
      </w:tr>
      <w:tr>
        <w:tc>
          <w:tcPr>
            <w:tcW w:type="dxa" w:w="1757"/>
            <w:vAlign w:val="center"/>
            <w:tcMar>
              <w:top w:w="100" w:type="dxa"/>
              <w:start w:w="100" w:type="dxa"/>
              <w:bottom w:w="100" w:type="dxa"/>
              <w:end w:w="100" w:type="dxa"/>
            </w:tcMar>
          </w:tcPr>
          <w:p>
            <w:pPr>
              <w:jc w:val="center"/>
            </w:pPr>
            <w:r>
              <w:t>The Body Shop</w:t>
            </w:r>
          </w:p>
        </w:tc>
        <w:tc>
          <w:tcPr>
            <w:tcW w:type="dxa" w:w="1814"/>
            <w:vAlign w:val="center"/>
            <w:tcMar>
              <w:top w:w="100" w:type="dxa"/>
              <w:start w:w="100" w:type="dxa"/>
              <w:bottom w:w="100" w:type="dxa"/>
              <w:end w:w="100" w:type="dxa"/>
            </w:tcMar>
          </w:tcPr>
          <w:p>
            <w:pPr>
              <w:jc w:val="center"/>
            </w:pPr>
            <w:r>
              <w:t>Ethical mainstream beauty</w:t>
            </w:r>
          </w:p>
        </w:tc>
        <w:tc>
          <w:tcPr>
            <w:tcW w:type="dxa" w:w="2098"/>
            <w:vAlign w:val="center"/>
            <w:tcMar>
              <w:top w:w="100" w:type="dxa"/>
              <w:start w:w="100" w:type="dxa"/>
              <w:bottom w:w="100" w:type="dxa"/>
              <w:end w:w="100" w:type="dxa"/>
            </w:tcMar>
          </w:tcPr>
          <w:p>
            <w:r>
              <w:t>Strong brand recognition and wide distribution</w:t>
            </w:r>
          </w:p>
        </w:tc>
        <w:tc>
          <w:tcPr>
            <w:tcW w:type="dxa" w:w="1814"/>
            <w:vAlign w:val="center"/>
            <w:tcMar>
              <w:top w:w="100" w:type="dxa"/>
              <w:start w:w="100" w:type="dxa"/>
              <w:bottom w:w="100" w:type="dxa"/>
              <w:end w:w="100" w:type="dxa"/>
            </w:tcMar>
          </w:tcPr>
          <w:p>
            <w:r>
              <w:t>Less niche and less distinctive for younger digital audiences</w:t>
            </w:r>
          </w:p>
        </w:tc>
        <w:tc>
          <w:tcPr>
            <w:tcW w:type="dxa" w:w="2041"/>
            <w:vAlign w:val="center"/>
            <w:tcMar>
              <w:top w:w="100" w:type="dxa"/>
              <w:start w:w="100" w:type="dxa"/>
              <w:bottom w:w="100" w:type="dxa"/>
              <w:end w:w="100" w:type="dxa"/>
            </w:tcMar>
          </w:tcPr>
          <w:p>
            <w:r>
              <w:t>Offer a more focused vegan skincare identity</w:t>
            </w:r>
          </w:p>
        </w:tc>
      </w:tr>
      <w:tr>
        <w:tc>
          <w:tcPr>
            <w:tcW w:type="dxa" w:w="1757"/>
            <w:vAlign w:val="center"/>
            <w:tcMar>
              <w:top w:w="100" w:type="dxa"/>
              <w:start w:w="100" w:type="dxa"/>
              <w:bottom w:w="100" w:type="dxa"/>
              <w:end w:w="100" w:type="dxa"/>
            </w:tcMar>
          </w:tcPr>
          <w:p>
            <w:pPr>
              <w:jc w:val="center"/>
            </w:pPr>
            <w:r>
              <w:t>Lush</w:t>
            </w:r>
          </w:p>
        </w:tc>
        <w:tc>
          <w:tcPr>
            <w:tcW w:type="dxa" w:w="1814"/>
            <w:vAlign w:val="center"/>
            <w:tcMar>
              <w:top w:w="100" w:type="dxa"/>
              <w:start w:w="100" w:type="dxa"/>
              <w:bottom w:w="100" w:type="dxa"/>
              <w:end w:w="100" w:type="dxa"/>
            </w:tcMar>
          </w:tcPr>
          <w:p>
            <w:pPr>
              <w:jc w:val="center"/>
            </w:pPr>
            <w:r>
              <w:t>Handmade ethical cosmetics</w:t>
            </w:r>
          </w:p>
        </w:tc>
        <w:tc>
          <w:tcPr>
            <w:tcW w:type="dxa" w:w="2098"/>
            <w:vAlign w:val="center"/>
            <w:tcMar>
              <w:top w:w="100" w:type="dxa"/>
              <w:start w:w="100" w:type="dxa"/>
              <w:bottom w:w="100" w:type="dxa"/>
              <w:end w:w="100" w:type="dxa"/>
            </w:tcMar>
          </w:tcPr>
          <w:p>
            <w:r>
              <w:t>Strong values and memorable branding</w:t>
            </w:r>
          </w:p>
        </w:tc>
        <w:tc>
          <w:tcPr>
            <w:tcW w:type="dxa" w:w="1814"/>
            <w:vAlign w:val="center"/>
            <w:tcMar>
              <w:top w:w="100" w:type="dxa"/>
              <w:start w:w="100" w:type="dxa"/>
              <w:bottom w:w="100" w:type="dxa"/>
              <w:end w:w="100" w:type="dxa"/>
            </w:tcMar>
          </w:tcPr>
          <w:p>
            <w:r>
              <w:t>Premium pricing and a niche product style</w:t>
            </w:r>
          </w:p>
        </w:tc>
        <w:tc>
          <w:tcPr>
            <w:tcW w:type="dxa" w:w="2041"/>
            <w:vAlign w:val="center"/>
            <w:tcMar>
              <w:top w:w="100" w:type="dxa"/>
              <w:start w:w="100" w:type="dxa"/>
              <w:bottom w:w="100" w:type="dxa"/>
              <w:end w:w="100" w:type="dxa"/>
            </w:tcMar>
          </w:tcPr>
          <w:p>
            <w:r>
              <w:t>Compete with simpler everyday skincare</w:t>
            </w:r>
          </w:p>
        </w:tc>
      </w:tr>
      <w:tr>
        <w:tc>
          <w:tcPr>
            <w:tcW w:type="dxa" w:w="1757"/>
            <w:vAlign w:val="center"/>
            <w:tcMar>
              <w:top w:w="100" w:type="dxa"/>
              <w:start w:w="100" w:type="dxa"/>
              <w:bottom w:w="100" w:type="dxa"/>
              <w:end w:w="100" w:type="dxa"/>
            </w:tcMar>
          </w:tcPr>
          <w:p>
            <w:pPr>
              <w:jc w:val="center"/>
            </w:pPr>
            <w:r>
              <w:t>e.l.f. Cosmetics</w:t>
            </w:r>
          </w:p>
        </w:tc>
        <w:tc>
          <w:tcPr>
            <w:tcW w:type="dxa" w:w="1814"/>
            <w:vAlign w:val="center"/>
            <w:tcMar>
              <w:top w:w="100" w:type="dxa"/>
              <w:start w:w="100" w:type="dxa"/>
              <w:bottom w:w="100" w:type="dxa"/>
              <w:end w:w="100" w:type="dxa"/>
            </w:tcMar>
          </w:tcPr>
          <w:p>
            <w:pPr>
              <w:jc w:val="center"/>
            </w:pPr>
            <w:r>
              <w:t>Affordable vegan beauty</w:t>
            </w:r>
          </w:p>
        </w:tc>
        <w:tc>
          <w:tcPr>
            <w:tcW w:type="dxa" w:w="2098"/>
            <w:vAlign w:val="center"/>
            <w:tcMar>
              <w:top w:w="100" w:type="dxa"/>
              <w:start w:w="100" w:type="dxa"/>
              <w:bottom w:w="100" w:type="dxa"/>
              <w:end w:w="100" w:type="dxa"/>
            </w:tcMar>
          </w:tcPr>
          <w:p>
            <w:r>
              <w:t>Very accessible pricing and popularity online</w:t>
            </w:r>
          </w:p>
        </w:tc>
        <w:tc>
          <w:tcPr>
            <w:tcW w:type="dxa" w:w="1814"/>
            <w:vAlign w:val="center"/>
            <w:tcMar>
              <w:top w:w="100" w:type="dxa"/>
              <w:start w:w="100" w:type="dxa"/>
              <w:bottom w:w="100" w:type="dxa"/>
              <w:end w:w="100" w:type="dxa"/>
            </w:tcMar>
          </w:tcPr>
          <w:p>
            <w:r>
              <w:t>Mass-market image rather than premium ethical branding</w:t>
            </w:r>
          </w:p>
        </w:tc>
        <w:tc>
          <w:tcPr>
            <w:tcW w:type="dxa" w:w="2041"/>
            <w:vAlign w:val="center"/>
            <w:tcMar>
              <w:top w:w="100" w:type="dxa"/>
              <w:start w:w="100" w:type="dxa"/>
              <w:bottom w:w="100" w:type="dxa"/>
              <w:end w:w="100" w:type="dxa"/>
            </w:tcMar>
          </w:tcPr>
          <w:p>
            <w:r>
              <w:t>Position as more premium and sustainability-led</w:t>
            </w:r>
          </w:p>
        </w:tc>
      </w:tr>
      <w:tr>
        <w:tc>
          <w:tcPr>
            <w:tcW w:type="dxa" w:w="1757"/>
            <w:vAlign w:val="center"/>
            <w:tcMar>
              <w:top w:w="100" w:type="dxa"/>
              <w:start w:w="100" w:type="dxa"/>
              <w:bottom w:w="100" w:type="dxa"/>
              <w:end w:w="100" w:type="dxa"/>
            </w:tcMar>
          </w:tcPr>
          <w:p>
            <w:pPr>
              <w:jc w:val="center"/>
            </w:pPr>
            <w:r>
              <w:t>Indie vegan brands</w:t>
            </w:r>
          </w:p>
        </w:tc>
        <w:tc>
          <w:tcPr>
            <w:tcW w:type="dxa" w:w="1814"/>
            <w:vAlign w:val="center"/>
            <w:tcMar>
              <w:top w:w="100" w:type="dxa"/>
              <w:start w:w="100" w:type="dxa"/>
              <w:bottom w:w="100" w:type="dxa"/>
              <w:end w:w="100" w:type="dxa"/>
            </w:tcMar>
          </w:tcPr>
          <w:p>
            <w:pPr>
              <w:jc w:val="center"/>
            </w:pPr>
            <w:r>
              <w:t>Small niche ethical beauty</w:t>
            </w:r>
          </w:p>
        </w:tc>
        <w:tc>
          <w:tcPr>
            <w:tcW w:type="dxa" w:w="2098"/>
            <w:vAlign w:val="center"/>
            <w:tcMar>
              <w:top w:w="100" w:type="dxa"/>
              <w:start w:w="100" w:type="dxa"/>
              <w:bottom w:w="100" w:type="dxa"/>
              <w:end w:w="100" w:type="dxa"/>
            </w:tcMar>
          </w:tcPr>
          <w:p>
            <w:r>
              <w:t>Authenticity and closer customer relationships</w:t>
            </w:r>
          </w:p>
        </w:tc>
        <w:tc>
          <w:tcPr>
            <w:tcW w:type="dxa" w:w="1814"/>
            <w:vAlign w:val="center"/>
            <w:tcMar>
              <w:top w:w="100" w:type="dxa"/>
              <w:start w:w="100" w:type="dxa"/>
              <w:bottom w:w="100" w:type="dxa"/>
              <w:end w:w="100" w:type="dxa"/>
            </w:tcMar>
          </w:tcPr>
          <w:p>
            <w:r>
              <w:t>Lower visibility and limited scale</w:t>
            </w:r>
          </w:p>
        </w:tc>
        <w:tc>
          <w:tcPr>
            <w:tcW w:type="dxa" w:w="2041"/>
            <w:vAlign w:val="center"/>
            <w:tcMar>
              <w:top w:w="100" w:type="dxa"/>
              <w:start w:w="100" w:type="dxa"/>
              <w:bottom w:w="100" w:type="dxa"/>
              <w:end w:w="100" w:type="dxa"/>
            </w:tcMar>
          </w:tcPr>
          <w:p>
            <w:r>
              <w:t>Compete through stronger execution and consistency</w:t>
            </w:r>
          </w:p>
        </w:tc>
      </w:tr>
    </w:tbl>
    <w:p>
      <w:r>
        <w:t>This comparison shows that Plum Goodness would need to enter the market with a narrower and clearer identity instead of trying to compete broadly with large established brands.</w:t>
      </w:r>
    </w:p>
    <w:p>
      <w:pPr>
        <w:pStyle w:val="Heading1"/>
      </w:pPr>
      <w:r>
        <w:t>5. Marketing Communications</w:t>
      </w:r>
    </w:p>
    <w:p>
      <w:pPr>
        <w:pStyle w:val="Heading2"/>
      </w:pPr>
      <w:r>
        <w:t>Segmentation, targeting and positioning</w:t>
      </w:r>
    </w:p>
    <w:p>
      <w:r>
        <w:t>The business will use demographic and psychographic segmentation. Demographically, the main audience is women aged 20–40 living in urban areas. Psychographically, the focus is on consumers who value sustainability, cruelty-free products, ingredient transparency and modern skincare routines.</w:t>
      </w:r>
    </w:p>
    <w:p>
      <w:r>
        <w:t>The primary target market should be defined more precisely as young professional women aged 25–35. This segment is more useful for decision-making because it reflects likely purchasing power, lifestyle habits and online behaviour.</w:t>
      </w:r>
    </w:p>
    <w:p>
      <w:r>
        <w:t>Plum Goodness will position itself as an affordable premium vegan beauty brand for ethically minded consumers who want effective products, transparent ingredients and sustainable packaging without paying luxury prices.</w:t>
      </w:r>
    </w:p>
    <w:p>
      <w:pPr>
        <w:pStyle w:val="Heading2"/>
      </w:pPr>
      <w:r>
        <w:t>Marketing mix</w:t>
      </w:r>
    </w:p>
    <w:p>
      <w:pPr>
        <w:pStyle w:val="Heading2"/>
      </w:pPr>
      <w:r>
        <w:t>Product</w:t>
      </w:r>
    </w:p>
    <w:p>
      <w:r>
        <w:t>The launch range will include three hero products: a facial serum, a moisturiser and a shampoo. Starting with a smaller range is more realistic than launching many products at once, and it helps the business maintain quality and consistency.</w:t>
      </w:r>
    </w:p>
    <w:p>
      <w:pPr>
        <w:pStyle w:val="Heading2"/>
      </w:pPr>
      <w:r>
        <w:t>Price</w:t>
      </w:r>
    </w:p>
    <w:p>
      <w:r>
        <w:t>A competitive value-based pricing strategy is the most suitable choice. The products should not be priced as the cheapest option, because that may weaken the brand image, but they should remain accessible to the target customer.</w:t>
      </w:r>
    </w:p>
    <w:p>
      <w:pPr>
        <w:pStyle w:val="Heading2"/>
      </w:pPr>
      <w:r>
        <w:t>Place</w:t>
      </w:r>
    </w:p>
    <w:p>
      <w:r>
        <w:t>A digital-first strategy is the most appropriate route to market. Sales should begin through the brand’s own website and selected online marketplaces. Pop-up events or selective retail partnerships can support offline visibility later, but opening a permanent store at the start would create unnecessary fixed costs.</w:t>
      </w:r>
    </w:p>
    <w:p>
      <w:pPr>
        <w:pStyle w:val="Heading2"/>
      </w:pPr>
      <w:r>
        <w:t>Promotion</w:t>
      </w:r>
    </w:p>
    <w:p>
      <w:r>
        <w:t>Promotion will rely mainly on Instagram, TikTok, micro-influencer partnerships, content marketing, SEO and email marketing. This mix matches the target audience and gives the business a realistic way to build awareness, trust and repeat purchase behaviour on a limited budget.</w:t>
      </w:r>
    </w:p>
    <w:p>
      <w:pPr>
        <w:pStyle w:val="Heading1"/>
      </w:pPr>
      <w:r>
        <w:t>6. Financials</w:t>
      </w:r>
    </w:p>
    <w:p>
      <w:pPr>
        <w:pStyle w:val="Heading2"/>
      </w:pPr>
      <w:r>
        <w:t>Funding required</w:t>
      </w:r>
    </w:p>
    <w:p>
      <w:r>
        <w:t>The start-up requires £150,000 in initial funding. This will be financed through £50,000 personal savings and a £100,000 bank loan. This funding mix is reasonable because it shows owner commitment while also providing enough capital to cover launch and working capital needs.</w:t>
      </w:r>
    </w:p>
    <w:p>
      <w:pPr>
        <w:pStyle w:val="Heading2"/>
      </w:pPr>
      <w:r>
        <w:t>Start-up expenses: first month of operations</w:t>
      </w:r>
    </w:p>
    <w:tbl>
      <w:tblPr>
        <w:tblStyle w:val="TableGrid"/>
        <w:tblW w:type="auto" w:w="0"/>
        <w:jc w:val="center"/>
        <w:tblLayout w:type="fixed"/>
        <w:tblLook w:firstColumn="1" w:firstRow="1" w:lastColumn="0" w:lastRow="0" w:noHBand="0" w:noVBand="1" w:val="04A0"/>
      </w:tblPr>
      <w:tblGrid>
        <w:gridCol w:w="6520"/>
        <w:gridCol w:w="2381"/>
      </w:tblGrid>
      <w:tr>
        <w:trPr>
          <w:tblHeader w:val="true"/>
        </w:trPr>
        <w:tc>
          <w:tcPr>
            <w:tcW w:type="dxa" w:w="4816"/>
            <w:shd w:fill="DCEDE4"/>
            <w:tcMar>
              <w:top w:w="110" w:type="dxa"/>
              <w:start w:w="100" w:type="dxa"/>
              <w:bottom w:w="110" w:type="dxa"/>
              <w:end w:w="100" w:type="dxa"/>
            </w:tcMar>
            <w:vAlign w:val="center"/>
          </w:tcPr>
          <w:p>
            <w:pPr>
              <w:jc w:val="center"/>
            </w:pPr>
            <w:r>
              <w:rPr>
                <w:b/>
                <w:color w:val="254F3D"/>
              </w:rPr>
              <w:t>Expense</w:t>
            </w:r>
          </w:p>
        </w:tc>
        <w:tc>
          <w:tcPr>
            <w:tcW w:type="dxa" w:w="4816"/>
            <w:shd w:fill="DCEDE4"/>
            <w:tcMar>
              <w:top w:w="110" w:type="dxa"/>
              <w:start w:w="100" w:type="dxa"/>
              <w:bottom w:w="110" w:type="dxa"/>
              <w:end w:w="100" w:type="dxa"/>
            </w:tcMar>
            <w:vAlign w:val="center"/>
          </w:tcPr>
          <w:p>
            <w:pPr>
              <w:jc w:val="center"/>
            </w:pPr>
            <w:r>
              <w:rPr>
                <w:b/>
                <w:color w:val="254F3D"/>
              </w:rPr>
              <w:t>Estimated cost (£)</w:t>
            </w:r>
          </w:p>
        </w:tc>
      </w:tr>
      <w:tr>
        <w:tc>
          <w:tcPr>
            <w:tcW w:type="dxa" w:w="6520"/>
            <w:tcMar>
              <w:top w:w="95" w:type="dxa"/>
              <w:start w:w="100" w:type="dxa"/>
              <w:bottom w:w="95" w:type="dxa"/>
              <w:end w:w="100" w:type="dxa"/>
            </w:tcMar>
            <w:vAlign w:val="center"/>
          </w:tcPr>
          <w:p>
            <w:r>
              <w:t>Product development and testing</w:t>
            </w:r>
          </w:p>
        </w:tc>
        <w:tc>
          <w:tcPr>
            <w:tcW w:type="dxa" w:w="2381"/>
            <w:tcMar>
              <w:top w:w="95" w:type="dxa"/>
              <w:start w:w="100" w:type="dxa"/>
              <w:bottom w:w="95" w:type="dxa"/>
              <w:end w:w="100" w:type="dxa"/>
            </w:tcMar>
            <w:vAlign w:val="center"/>
          </w:tcPr>
          <w:p>
            <w:pPr>
              <w:jc w:val="center"/>
            </w:pPr>
            <w:r>
              <w:t>20,000</w:t>
            </w:r>
          </w:p>
        </w:tc>
      </w:tr>
      <w:tr>
        <w:tc>
          <w:tcPr>
            <w:tcW w:type="dxa" w:w="6520"/>
            <w:tcMar>
              <w:top w:w="95" w:type="dxa"/>
              <w:start w:w="100" w:type="dxa"/>
              <w:bottom w:w="95" w:type="dxa"/>
              <w:end w:w="100" w:type="dxa"/>
            </w:tcMar>
            <w:vAlign w:val="center"/>
          </w:tcPr>
          <w:p>
            <w:r>
              <w:t>Initial inventory</w:t>
            </w:r>
          </w:p>
        </w:tc>
        <w:tc>
          <w:tcPr>
            <w:tcW w:type="dxa" w:w="2381"/>
            <w:tcMar>
              <w:top w:w="95" w:type="dxa"/>
              <w:start w:w="100" w:type="dxa"/>
              <w:bottom w:w="95" w:type="dxa"/>
              <w:end w:w="100" w:type="dxa"/>
            </w:tcMar>
            <w:vAlign w:val="center"/>
          </w:tcPr>
          <w:p>
            <w:pPr>
              <w:jc w:val="center"/>
            </w:pPr>
            <w:r>
              <w:t>30,000</w:t>
            </w:r>
          </w:p>
        </w:tc>
      </w:tr>
      <w:tr>
        <w:tc>
          <w:tcPr>
            <w:tcW w:type="dxa" w:w="6520"/>
            <w:tcMar>
              <w:top w:w="95" w:type="dxa"/>
              <w:start w:w="100" w:type="dxa"/>
              <w:bottom w:w="95" w:type="dxa"/>
              <w:end w:w="100" w:type="dxa"/>
            </w:tcMar>
            <w:vAlign w:val="center"/>
          </w:tcPr>
          <w:p>
            <w:r>
              <w:t>Packaging design and production</w:t>
            </w:r>
          </w:p>
        </w:tc>
        <w:tc>
          <w:tcPr>
            <w:tcW w:type="dxa" w:w="2381"/>
            <w:tcMar>
              <w:top w:w="95" w:type="dxa"/>
              <w:start w:w="100" w:type="dxa"/>
              <w:bottom w:w="95" w:type="dxa"/>
              <w:end w:w="100" w:type="dxa"/>
            </w:tcMar>
            <w:vAlign w:val="center"/>
          </w:tcPr>
          <w:p>
            <w:pPr>
              <w:jc w:val="center"/>
            </w:pPr>
            <w:r>
              <w:t>15,000</w:t>
            </w:r>
          </w:p>
        </w:tc>
      </w:tr>
      <w:tr>
        <w:tc>
          <w:tcPr>
            <w:tcW w:type="dxa" w:w="6520"/>
            <w:tcMar>
              <w:top w:w="95" w:type="dxa"/>
              <w:start w:w="100" w:type="dxa"/>
              <w:bottom w:w="95" w:type="dxa"/>
              <w:end w:w="100" w:type="dxa"/>
            </w:tcMar>
            <w:vAlign w:val="center"/>
          </w:tcPr>
          <w:p>
            <w:r>
              <w:t>Website development and e-commerce setup</w:t>
            </w:r>
          </w:p>
        </w:tc>
        <w:tc>
          <w:tcPr>
            <w:tcW w:type="dxa" w:w="2381"/>
            <w:tcMar>
              <w:top w:w="95" w:type="dxa"/>
              <w:start w:w="100" w:type="dxa"/>
              <w:bottom w:w="95" w:type="dxa"/>
              <w:end w:w="100" w:type="dxa"/>
            </w:tcMar>
            <w:vAlign w:val="center"/>
          </w:tcPr>
          <w:p>
            <w:pPr>
              <w:jc w:val="center"/>
            </w:pPr>
            <w:r>
              <w:t>10,000</w:t>
            </w:r>
          </w:p>
        </w:tc>
      </w:tr>
      <w:tr>
        <w:tc>
          <w:tcPr>
            <w:tcW w:type="dxa" w:w="6520"/>
            <w:tcMar>
              <w:top w:w="95" w:type="dxa"/>
              <w:start w:w="100" w:type="dxa"/>
              <w:bottom w:w="95" w:type="dxa"/>
              <w:end w:w="100" w:type="dxa"/>
            </w:tcMar>
            <w:vAlign w:val="center"/>
          </w:tcPr>
          <w:p>
            <w:r>
              <w:t>Branding and launch marketing</w:t>
            </w:r>
          </w:p>
        </w:tc>
        <w:tc>
          <w:tcPr>
            <w:tcW w:type="dxa" w:w="2381"/>
            <w:tcMar>
              <w:top w:w="95" w:type="dxa"/>
              <w:start w:w="100" w:type="dxa"/>
              <w:bottom w:w="95" w:type="dxa"/>
              <w:end w:w="100" w:type="dxa"/>
            </w:tcMar>
            <w:vAlign w:val="center"/>
          </w:tcPr>
          <w:p>
            <w:pPr>
              <w:jc w:val="center"/>
            </w:pPr>
            <w:r>
              <w:t>20,000</w:t>
            </w:r>
          </w:p>
        </w:tc>
      </w:tr>
      <w:tr>
        <w:tc>
          <w:tcPr>
            <w:tcW w:type="dxa" w:w="6520"/>
            <w:tcMar>
              <w:top w:w="95" w:type="dxa"/>
              <w:start w:w="100" w:type="dxa"/>
              <w:bottom w:w="95" w:type="dxa"/>
              <w:end w:w="100" w:type="dxa"/>
            </w:tcMar>
            <w:vAlign w:val="center"/>
          </w:tcPr>
          <w:p>
            <w:r>
              <w:t>Legal registration and compliance</w:t>
            </w:r>
          </w:p>
        </w:tc>
        <w:tc>
          <w:tcPr>
            <w:tcW w:type="dxa" w:w="2381"/>
            <w:tcMar>
              <w:top w:w="95" w:type="dxa"/>
              <w:start w:w="100" w:type="dxa"/>
              <w:bottom w:w="95" w:type="dxa"/>
              <w:end w:w="100" w:type="dxa"/>
            </w:tcMar>
            <w:vAlign w:val="center"/>
          </w:tcPr>
          <w:p>
            <w:pPr>
              <w:jc w:val="center"/>
            </w:pPr>
            <w:r>
              <w:t>5,000</w:t>
            </w:r>
          </w:p>
        </w:tc>
      </w:tr>
      <w:tr>
        <w:tc>
          <w:tcPr>
            <w:tcW w:type="dxa" w:w="6520"/>
            <w:tcMar>
              <w:top w:w="95" w:type="dxa"/>
              <w:start w:w="100" w:type="dxa"/>
              <w:bottom w:w="95" w:type="dxa"/>
              <w:end w:w="100" w:type="dxa"/>
            </w:tcMar>
            <w:vAlign w:val="center"/>
          </w:tcPr>
          <w:p>
            <w:r>
              <w:t>Rent/deposit and utilities</w:t>
            </w:r>
          </w:p>
        </w:tc>
        <w:tc>
          <w:tcPr>
            <w:tcW w:type="dxa" w:w="2381"/>
            <w:tcMar>
              <w:top w:w="95" w:type="dxa"/>
              <w:start w:w="100" w:type="dxa"/>
              <w:bottom w:w="95" w:type="dxa"/>
              <w:end w:w="100" w:type="dxa"/>
            </w:tcMar>
            <w:vAlign w:val="center"/>
          </w:tcPr>
          <w:p>
            <w:pPr>
              <w:jc w:val="center"/>
            </w:pPr>
            <w:r>
              <w:t>15,000</w:t>
            </w:r>
          </w:p>
        </w:tc>
      </w:tr>
      <w:tr>
        <w:tc>
          <w:tcPr>
            <w:tcW w:type="dxa" w:w="6520"/>
            <w:tcMar>
              <w:top w:w="95" w:type="dxa"/>
              <w:start w:w="100" w:type="dxa"/>
              <w:bottom w:w="95" w:type="dxa"/>
              <w:end w:w="100" w:type="dxa"/>
            </w:tcMar>
            <w:vAlign w:val="center"/>
          </w:tcPr>
          <w:p>
            <w:r>
              <w:t>Salaries and freelance support</w:t>
            </w:r>
          </w:p>
        </w:tc>
        <w:tc>
          <w:tcPr>
            <w:tcW w:type="dxa" w:w="2381"/>
            <w:tcMar>
              <w:top w:w="95" w:type="dxa"/>
              <w:start w:w="100" w:type="dxa"/>
              <w:bottom w:w="95" w:type="dxa"/>
              <w:end w:w="100" w:type="dxa"/>
            </w:tcMar>
            <w:vAlign w:val="center"/>
          </w:tcPr>
          <w:p>
            <w:pPr>
              <w:jc w:val="center"/>
            </w:pPr>
            <w:r>
              <w:t>15,000</w:t>
            </w:r>
          </w:p>
        </w:tc>
      </w:tr>
      <w:tr>
        <w:tc>
          <w:tcPr>
            <w:tcW w:type="dxa" w:w="6520"/>
            <w:tcMar>
              <w:top w:w="95" w:type="dxa"/>
              <w:start w:w="100" w:type="dxa"/>
              <w:bottom w:w="95" w:type="dxa"/>
              <w:end w:w="100" w:type="dxa"/>
            </w:tcMar>
            <w:vAlign w:val="center"/>
          </w:tcPr>
          <w:p>
            <w:r>
              <w:t>Contingency fund</w:t>
            </w:r>
          </w:p>
        </w:tc>
        <w:tc>
          <w:tcPr>
            <w:tcW w:type="dxa" w:w="2381"/>
            <w:tcMar>
              <w:top w:w="95" w:type="dxa"/>
              <w:start w:w="100" w:type="dxa"/>
              <w:bottom w:w="95" w:type="dxa"/>
              <w:end w:w="100" w:type="dxa"/>
            </w:tcMar>
            <w:vAlign w:val="center"/>
          </w:tcPr>
          <w:p>
            <w:pPr>
              <w:jc w:val="center"/>
            </w:pPr>
            <w:r>
              <w:t>20,000</w:t>
            </w:r>
          </w:p>
        </w:tc>
      </w:tr>
      <w:tr>
        <w:tc>
          <w:tcPr>
            <w:tcW w:type="dxa" w:w="6520"/>
            <w:tcMar>
              <w:top w:w="95" w:type="dxa"/>
              <w:start w:w="100" w:type="dxa"/>
              <w:bottom w:w="95" w:type="dxa"/>
              <w:end w:w="100" w:type="dxa"/>
            </w:tcMar>
            <w:vAlign w:val="center"/>
            <w:shd w:fill="EFF7F2"/>
          </w:tcPr>
          <w:p>
            <w:r>
              <w:rPr>
                <w:b/>
              </w:rPr>
              <w:t>Total</w:t>
            </w:r>
          </w:p>
        </w:tc>
        <w:tc>
          <w:tcPr>
            <w:tcW w:type="dxa" w:w="2381"/>
            <w:tcMar>
              <w:top w:w="95" w:type="dxa"/>
              <w:start w:w="100" w:type="dxa"/>
              <w:bottom w:w="95" w:type="dxa"/>
              <w:end w:w="100" w:type="dxa"/>
            </w:tcMar>
            <w:vAlign w:val="center"/>
            <w:shd w:fill="EFF7F2"/>
          </w:tcPr>
          <w:p>
            <w:pPr>
              <w:jc w:val="center"/>
            </w:pPr>
            <w:r>
              <w:rPr>
                <w:b/>
              </w:rPr>
              <w:t>150,000</w:t>
            </w:r>
          </w:p>
        </w:tc>
      </w:tr>
    </w:tbl>
    <w:p>
      <w:pPr>
        <w:pStyle w:val="Heading2"/>
      </w:pPr>
      <w:r>
        <w:t>Projected income statement</w:t>
      </w:r>
    </w:p>
    <w:tbl>
      <w:tblPr>
        <w:tblStyle w:val="TableGrid"/>
        <w:tblW w:type="auto" w:w="0"/>
        <w:jc w:val="center"/>
        <w:tblLayout w:type="fixed"/>
        <w:tblLook w:firstColumn="1" w:firstRow="1" w:lastColumn="0" w:lastRow="0" w:noHBand="0" w:noVBand="1" w:val="04A0"/>
      </w:tblPr>
      <w:tblGrid>
        <w:gridCol w:w="4195"/>
        <w:gridCol w:w="1701"/>
        <w:gridCol w:w="1701"/>
        <w:gridCol w:w="1701"/>
      </w:tblGrid>
      <w:tr>
        <w:trPr>
          <w:tblHeader w:val="true"/>
        </w:trPr>
        <w:tc>
          <w:tcPr>
            <w:tcW w:type="dxa" w:w="2408"/>
            <w:shd w:fill="DCEDE4"/>
            <w:tcMar>
              <w:top w:w="110" w:type="dxa"/>
              <w:start w:w="100" w:type="dxa"/>
              <w:bottom w:w="110" w:type="dxa"/>
              <w:end w:w="100" w:type="dxa"/>
            </w:tcMar>
          </w:tcPr>
          <w:p>
            <w:pPr>
              <w:jc w:val="center"/>
            </w:pPr>
            <w:r>
              <w:rPr>
                <w:b/>
                <w:color w:val="254F3D"/>
              </w:rPr>
              <w:t>Particulars</w:t>
            </w:r>
          </w:p>
        </w:tc>
        <w:tc>
          <w:tcPr>
            <w:tcW w:type="dxa" w:w="2408"/>
            <w:shd w:fill="DCEDE4"/>
            <w:tcMar>
              <w:top w:w="110" w:type="dxa"/>
              <w:start w:w="100" w:type="dxa"/>
              <w:bottom w:w="110" w:type="dxa"/>
              <w:end w:w="100" w:type="dxa"/>
            </w:tcMar>
          </w:tcPr>
          <w:p>
            <w:pPr>
              <w:jc w:val="center"/>
            </w:pPr>
            <w:r>
              <w:rPr>
                <w:b/>
                <w:color w:val="254F3D"/>
              </w:rPr>
              <w:t>Year 1 (£)</w:t>
            </w:r>
          </w:p>
        </w:tc>
        <w:tc>
          <w:tcPr>
            <w:tcW w:type="dxa" w:w="2408"/>
            <w:shd w:fill="DCEDE4"/>
            <w:tcMar>
              <w:top w:w="110" w:type="dxa"/>
              <w:start w:w="100" w:type="dxa"/>
              <w:bottom w:w="110" w:type="dxa"/>
              <w:end w:w="100" w:type="dxa"/>
            </w:tcMar>
          </w:tcPr>
          <w:p>
            <w:pPr>
              <w:jc w:val="center"/>
            </w:pPr>
            <w:r>
              <w:rPr>
                <w:b/>
                <w:color w:val="254F3D"/>
              </w:rPr>
              <w:t>Year 2 (£)</w:t>
            </w:r>
          </w:p>
        </w:tc>
        <w:tc>
          <w:tcPr>
            <w:tcW w:type="dxa" w:w="2408"/>
            <w:shd w:fill="DCEDE4"/>
            <w:tcMar>
              <w:top w:w="110" w:type="dxa"/>
              <w:start w:w="100" w:type="dxa"/>
              <w:bottom w:w="110" w:type="dxa"/>
              <w:end w:w="100" w:type="dxa"/>
            </w:tcMar>
          </w:tcPr>
          <w:p>
            <w:pPr>
              <w:jc w:val="center"/>
            </w:pPr>
            <w:r>
              <w:rPr>
                <w:b/>
                <w:color w:val="254F3D"/>
              </w:rPr>
              <w:t>Year 3 (£)</w:t>
            </w:r>
          </w:p>
        </w:tc>
      </w:tr>
      <w:tr>
        <w:tc>
          <w:tcPr>
            <w:tcW w:type="dxa" w:w="4195"/>
            <w:tcMar>
              <w:top w:w="95" w:type="dxa"/>
              <w:start w:w="100" w:type="dxa"/>
              <w:bottom w:w="95" w:type="dxa"/>
              <w:end w:w="100" w:type="dxa"/>
            </w:tcMar>
            <w:vAlign w:val="center"/>
          </w:tcPr>
          <w:p>
            <w:pPr>
              <w:jc w:val="left"/>
            </w:pPr>
            <w:r>
              <w:t>Sales</w:t>
            </w:r>
          </w:p>
        </w:tc>
        <w:tc>
          <w:tcPr>
            <w:tcW w:type="dxa" w:w="1701"/>
            <w:tcMar>
              <w:top w:w="95" w:type="dxa"/>
              <w:start w:w="100" w:type="dxa"/>
              <w:bottom w:w="95" w:type="dxa"/>
              <w:end w:w="100" w:type="dxa"/>
            </w:tcMar>
            <w:vAlign w:val="center"/>
          </w:tcPr>
          <w:p>
            <w:pPr>
              <w:jc w:val="center"/>
            </w:pPr>
            <w:r>
              <w:t>383,250</w:t>
            </w:r>
          </w:p>
        </w:tc>
        <w:tc>
          <w:tcPr>
            <w:tcW w:type="dxa" w:w="1701"/>
            <w:tcMar>
              <w:top w:w="95" w:type="dxa"/>
              <w:start w:w="100" w:type="dxa"/>
              <w:bottom w:w="95" w:type="dxa"/>
              <w:end w:w="100" w:type="dxa"/>
            </w:tcMar>
            <w:vAlign w:val="center"/>
          </w:tcPr>
          <w:p>
            <w:pPr>
              <w:jc w:val="center"/>
            </w:pPr>
            <w:r>
              <w:t>421,575</w:t>
            </w:r>
          </w:p>
        </w:tc>
        <w:tc>
          <w:tcPr>
            <w:tcW w:type="dxa" w:w="1701"/>
            <w:tcMar>
              <w:top w:w="95" w:type="dxa"/>
              <w:start w:w="100" w:type="dxa"/>
              <w:bottom w:w="95" w:type="dxa"/>
              <w:end w:w="100" w:type="dxa"/>
            </w:tcMar>
            <w:vAlign w:val="center"/>
          </w:tcPr>
          <w:p>
            <w:pPr>
              <w:jc w:val="center"/>
            </w:pPr>
            <w:r>
              <w:t>463,733</w:t>
            </w:r>
          </w:p>
        </w:tc>
      </w:tr>
      <w:tr>
        <w:tc>
          <w:tcPr>
            <w:tcW w:type="dxa" w:w="4195"/>
            <w:tcMar>
              <w:top w:w="95" w:type="dxa"/>
              <w:start w:w="100" w:type="dxa"/>
              <w:bottom w:w="95" w:type="dxa"/>
              <w:end w:w="100" w:type="dxa"/>
            </w:tcMar>
            <w:vAlign w:val="center"/>
          </w:tcPr>
          <w:p>
            <w:pPr>
              <w:jc w:val="left"/>
            </w:pPr>
            <w:r>
              <w:t>Cost of goods sold</w:t>
            </w:r>
          </w:p>
        </w:tc>
        <w:tc>
          <w:tcPr>
            <w:tcW w:type="dxa" w:w="1701"/>
            <w:tcMar>
              <w:top w:w="95" w:type="dxa"/>
              <w:start w:w="100" w:type="dxa"/>
              <w:bottom w:w="95" w:type="dxa"/>
              <w:end w:w="100" w:type="dxa"/>
            </w:tcMar>
            <w:vAlign w:val="center"/>
          </w:tcPr>
          <w:p>
            <w:pPr>
              <w:jc w:val="center"/>
            </w:pPr>
            <w:r>
              <w:t>114,975</w:t>
            </w:r>
          </w:p>
        </w:tc>
        <w:tc>
          <w:tcPr>
            <w:tcW w:type="dxa" w:w="1701"/>
            <w:tcMar>
              <w:top w:w="95" w:type="dxa"/>
              <w:start w:w="100" w:type="dxa"/>
              <w:bottom w:w="95" w:type="dxa"/>
              <w:end w:w="100" w:type="dxa"/>
            </w:tcMar>
            <w:vAlign w:val="center"/>
          </w:tcPr>
          <w:p>
            <w:pPr>
              <w:jc w:val="center"/>
            </w:pPr>
            <w:r>
              <w:t>126,473</w:t>
            </w:r>
          </w:p>
        </w:tc>
        <w:tc>
          <w:tcPr>
            <w:tcW w:type="dxa" w:w="1701"/>
            <w:tcMar>
              <w:top w:w="95" w:type="dxa"/>
              <w:start w:w="100" w:type="dxa"/>
              <w:bottom w:w="95" w:type="dxa"/>
              <w:end w:w="100" w:type="dxa"/>
            </w:tcMar>
            <w:vAlign w:val="center"/>
          </w:tcPr>
          <w:p>
            <w:pPr>
              <w:jc w:val="center"/>
            </w:pPr>
            <w:r>
              <w:t>139,120</w:t>
            </w:r>
          </w:p>
        </w:tc>
      </w:tr>
      <w:tr>
        <w:tc>
          <w:tcPr>
            <w:tcW w:type="dxa" w:w="4195"/>
            <w:tcMar>
              <w:top w:w="95" w:type="dxa"/>
              <w:start w:w="100" w:type="dxa"/>
              <w:bottom w:w="95" w:type="dxa"/>
              <w:end w:w="100" w:type="dxa"/>
            </w:tcMar>
            <w:vAlign w:val="center"/>
            <w:shd w:fill="EFF7F2"/>
          </w:tcPr>
          <w:p>
            <w:pPr>
              <w:jc w:val="left"/>
            </w:pPr>
            <w:r>
              <w:rPr>
                <w:b/>
              </w:rPr>
              <w:t>Gross profit</w:t>
            </w:r>
          </w:p>
        </w:tc>
        <w:tc>
          <w:tcPr>
            <w:tcW w:type="dxa" w:w="1701"/>
            <w:tcMar>
              <w:top w:w="95" w:type="dxa"/>
              <w:start w:w="100" w:type="dxa"/>
              <w:bottom w:w="95" w:type="dxa"/>
              <w:end w:w="100" w:type="dxa"/>
            </w:tcMar>
            <w:vAlign w:val="center"/>
            <w:shd w:fill="EFF7F2"/>
          </w:tcPr>
          <w:p>
            <w:pPr>
              <w:jc w:val="center"/>
            </w:pPr>
            <w:r>
              <w:rPr>
                <w:b/>
              </w:rPr>
              <w:t>268,275</w:t>
            </w:r>
          </w:p>
        </w:tc>
        <w:tc>
          <w:tcPr>
            <w:tcW w:type="dxa" w:w="1701"/>
            <w:tcMar>
              <w:top w:w="95" w:type="dxa"/>
              <w:start w:w="100" w:type="dxa"/>
              <w:bottom w:w="95" w:type="dxa"/>
              <w:end w:w="100" w:type="dxa"/>
            </w:tcMar>
            <w:vAlign w:val="center"/>
            <w:shd w:fill="EFF7F2"/>
          </w:tcPr>
          <w:p>
            <w:pPr>
              <w:jc w:val="center"/>
            </w:pPr>
            <w:r>
              <w:rPr>
                <w:b/>
              </w:rPr>
              <w:t>295,103</w:t>
            </w:r>
          </w:p>
        </w:tc>
        <w:tc>
          <w:tcPr>
            <w:tcW w:type="dxa" w:w="1701"/>
            <w:tcMar>
              <w:top w:w="95" w:type="dxa"/>
              <w:start w:w="100" w:type="dxa"/>
              <w:bottom w:w="95" w:type="dxa"/>
              <w:end w:w="100" w:type="dxa"/>
            </w:tcMar>
            <w:vAlign w:val="center"/>
            <w:shd w:fill="EFF7F2"/>
          </w:tcPr>
          <w:p>
            <w:pPr>
              <w:jc w:val="center"/>
            </w:pPr>
            <w:r>
              <w:rPr>
                <w:b/>
              </w:rPr>
              <w:t>324,613</w:t>
            </w:r>
          </w:p>
        </w:tc>
      </w:tr>
      <w:tr>
        <w:tc>
          <w:tcPr>
            <w:tcW w:type="dxa" w:w="4195"/>
            <w:tcMar>
              <w:top w:w="95" w:type="dxa"/>
              <w:start w:w="100" w:type="dxa"/>
              <w:bottom w:w="95" w:type="dxa"/>
              <w:end w:w="100" w:type="dxa"/>
            </w:tcMar>
            <w:vAlign w:val="center"/>
          </w:tcPr>
          <w:p>
            <w:pPr>
              <w:jc w:val="left"/>
            </w:pPr>
            <w:r>
              <w:t>Operating expenses</w:t>
            </w:r>
          </w:p>
        </w:tc>
        <w:tc>
          <w:tcPr>
            <w:tcW w:type="dxa" w:w="1701"/>
            <w:tcMar>
              <w:top w:w="95" w:type="dxa"/>
              <w:start w:w="100" w:type="dxa"/>
              <w:bottom w:w="95" w:type="dxa"/>
              <w:end w:w="100" w:type="dxa"/>
            </w:tcMar>
            <w:vAlign w:val="center"/>
          </w:tcPr>
          <w:p>
            <w:pPr>
              <w:jc w:val="center"/>
            </w:pPr>
            <w:r>
              <w:t>107,500</w:t>
            </w:r>
          </w:p>
        </w:tc>
        <w:tc>
          <w:tcPr>
            <w:tcW w:type="dxa" w:w="1701"/>
            <w:tcMar>
              <w:top w:w="95" w:type="dxa"/>
              <w:start w:w="100" w:type="dxa"/>
              <w:bottom w:w="95" w:type="dxa"/>
              <w:end w:w="100" w:type="dxa"/>
            </w:tcMar>
            <w:vAlign w:val="center"/>
          </w:tcPr>
          <w:p>
            <w:pPr>
              <w:jc w:val="center"/>
            </w:pPr>
            <w:r>
              <w:t>116,500</w:t>
            </w:r>
          </w:p>
        </w:tc>
        <w:tc>
          <w:tcPr>
            <w:tcW w:type="dxa" w:w="1701"/>
            <w:tcMar>
              <w:top w:w="95" w:type="dxa"/>
              <w:start w:w="100" w:type="dxa"/>
              <w:bottom w:w="95" w:type="dxa"/>
              <w:end w:w="100" w:type="dxa"/>
            </w:tcMar>
            <w:vAlign w:val="center"/>
          </w:tcPr>
          <w:p>
            <w:pPr>
              <w:jc w:val="center"/>
            </w:pPr>
            <w:r>
              <w:t>130,500</w:t>
            </w:r>
          </w:p>
        </w:tc>
      </w:tr>
      <w:tr>
        <w:tc>
          <w:tcPr>
            <w:tcW w:type="dxa" w:w="4195"/>
            <w:tcMar>
              <w:top w:w="95" w:type="dxa"/>
              <w:start w:w="100" w:type="dxa"/>
              <w:bottom w:w="95" w:type="dxa"/>
              <w:end w:w="100" w:type="dxa"/>
            </w:tcMar>
            <w:vAlign w:val="center"/>
            <w:shd w:fill="EFF7F2"/>
          </w:tcPr>
          <w:p>
            <w:pPr>
              <w:jc w:val="left"/>
            </w:pPr>
            <w:r>
              <w:rPr>
                <w:b/>
              </w:rPr>
              <w:t>Net profit</w:t>
            </w:r>
          </w:p>
        </w:tc>
        <w:tc>
          <w:tcPr>
            <w:tcW w:type="dxa" w:w="1701"/>
            <w:tcMar>
              <w:top w:w="95" w:type="dxa"/>
              <w:start w:w="100" w:type="dxa"/>
              <w:bottom w:w="95" w:type="dxa"/>
              <w:end w:w="100" w:type="dxa"/>
            </w:tcMar>
            <w:vAlign w:val="center"/>
            <w:shd w:fill="EFF7F2"/>
          </w:tcPr>
          <w:p>
            <w:pPr>
              <w:jc w:val="center"/>
            </w:pPr>
            <w:r>
              <w:rPr>
                <w:b/>
              </w:rPr>
              <w:t>160,775</w:t>
            </w:r>
          </w:p>
        </w:tc>
        <w:tc>
          <w:tcPr>
            <w:tcW w:type="dxa" w:w="1701"/>
            <w:tcMar>
              <w:top w:w="95" w:type="dxa"/>
              <w:start w:w="100" w:type="dxa"/>
              <w:bottom w:w="95" w:type="dxa"/>
              <w:end w:w="100" w:type="dxa"/>
            </w:tcMar>
            <w:vAlign w:val="center"/>
            <w:shd w:fill="EFF7F2"/>
          </w:tcPr>
          <w:p>
            <w:pPr>
              <w:jc w:val="center"/>
            </w:pPr>
            <w:r>
              <w:rPr>
                <w:b/>
              </w:rPr>
              <w:t>178,603</w:t>
            </w:r>
          </w:p>
        </w:tc>
        <w:tc>
          <w:tcPr>
            <w:tcW w:type="dxa" w:w="1701"/>
            <w:tcMar>
              <w:top w:w="95" w:type="dxa"/>
              <w:start w:w="100" w:type="dxa"/>
              <w:bottom w:w="95" w:type="dxa"/>
              <w:end w:w="100" w:type="dxa"/>
            </w:tcMar>
            <w:vAlign w:val="center"/>
            <w:shd w:fill="EFF7F2"/>
          </w:tcPr>
          <w:p>
            <w:pPr>
              <w:jc w:val="center"/>
            </w:pPr>
            <w:r>
              <w:rPr>
                <w:b/>
              </w:rPr>
              <w:t>194,113</w:t>
            </w:r>
          </w:p>
        </w:tc>
      </w:tr>
    </w:tbl>
    <w:p>
      <w:r>
        <w:t>These figures suggest that the business could become profitable if sales develop as expected. However, the projections depend on a successful digital launch, controlled operating costs and repeat customer purchases.</w:t>
      </w:r>
    </w:p>
    <w:p>
      <w:r>
        <w:t>Cash flow will be tight in the early stage because marketing, inventory and website costs are paid before sales become stable. For this reason, working capital and cautious spending are important in the first trading period.</w:t>
      </w:r>
    </w:p>
    <w:p>
      <w:pPr>
        <w:pStyle w:val="Heading2"/>
      </w:pPr>
      <w:r>
        <w:t>Break-even analysis</w:t>
      </w:r>
    </w:p>
    <w:p>
      <w:pPr>
        <w:ind w:left="340"/>
      </w:pPr>
      <w:r>
        <w:t>Selling price per unit = £200</w:t>
      </w:r>
    </w:p>
    <w:p>
      <w:pPr>
        <w:ind w:left="340"/>
      </w:pPr>
      <w:r>
        <w:t>Variable cost per unit = £165</w:t>
      </w:r>
    </w:p>
    <w:p>
      <w:pPr>
        <w:ind w:left="340"/>
      </w:pPr>
      <w:r>
        <w:t>Contribution per unit = £35</w:t>
      </w:r>
    </w:p>
    <w:p>
      <w:pPr>
        <w:ind w:left="340"/>
      </w:pPr>
      <w:r>
        <w:t>Fixed costs = £22,580</w:t>
      </w:r>
    </w:p>
    <w:p>
      <w:pPr>
        <w:ind w:left="340"/>
      </w:pPr>
      <w:r>
        <w:t>Break-even point = 22,580 / 35 = 645 units</w:t>
      </w:r>
    </w:p>
    <w:p>
      <w:r>
        <w:t>This means that the business would need to sell approximately 645 units to cover its fixed and variable costs. After this point, additional sales would start to generate profit.</w:t>
      </w:r>
    </w:p>
    <w:p>
      <w:pPr>
        <w:pStyle w:val="Heading1"/>
      </w:pPr>
      <w:r>
        <w:t>7. Conclusion</w:t>
      </w:r>
    </w:p>
    <w:p>
      <w:r>
        <w:t>Plum Goodness is a promising business idea because it reflects current demand for vegan, cruelty-free and sustainable beauty products in the UK. There is clear interest in ethical beauty, especially among younger consumers who value transparency and environmentally responsible packaging.</w:t>
      </w:r>
    </w:p>
    <w:p>
      <w:r>
        <w:t>At the same time, the market is highly competitive. This means the business will need to rely on more than a broad ethical message. A focused launch, realistic financial planning and a strong digital brand identity will be essential if Plum Goodness is to compete successfully.</w:t>
      </w:r>
    </w:p>
    <w:p>
      <w:r>
        <w:t>Overall, the business appears feasible as a small start-up, particularly if it begins with a narrow product range, follows a digital-first route to market and keeps fixed costs under control. In that form, Plum Goodness has the potential to become a viable and credible entrant in the UK ethical beauty segment.</w:t>
      </w:r>
    </w:p>
    <w:p>
      <w:pPr>
        <w:pStyle w:val="Heading1"/>
      </w:pPr>
      <w:r>
        <w:t>8. References</w:t>
      </w:r>
    </w:p>
    <w:p>
      <w:pPr/>
      <w:r>
        <w:t>Karakurum, S.S. (2024) “Green Marketing Practices in the Context of Environmental Sustainability: A Case Study of an Eco-Friendly Cleaning Firm”, Journal of Management Marketing and Logistics, 11(1), pp. 41–53.</w:t>
      </w:r>
    </w:p>
    <w:p>
      <w:pPr/>
      <w:r>
        <w:t>Nunes, M.F. and Park, C.L. (2026) The Business of Vegan Luxury. Taylor &amp; Francis.</w:t>
      </w:r>
    </w:p>
    <w:p>
      <w:pPr/>
      <w:r>
        <w:t>Park, C.L. and Nunes, M.F. (2024) “Vegan luxury for non-vegan consumers: Impacts on brand trust and attitude towards the firm”, Journal of Retailing and Consumer Services, 77, 103669.</w:t>
      </w:r>
    </w:p>
    <w:p>
      <w:pPr/>
      <w:r>
        <w:t>Park, Y.W. and Hong, P. (2024) Cosmetics Marketing Strategy in the Era of the Digital Ecosystem. Singapore: Springer Nature.</w:t>
      </w:r>
    </w:p>
    <w:p>
      <w:pPr/>
      <w:r>
        <w:t>Rahmanifar, A.H. (2024) “Exploring Factors Influencing the Economy’s Long-Term Growth and Wellbeing”. Available at SSRN 5675782.</w:t>
      </w:r>
    </w:p>
    <w:p>
      <w:pPr/>
      <w:r>
        <w:t>Richardson, N. (2024) Sustainable Marketing Planning. London: Routledge.</w:t>
      </w:r>
    </w:p>
    <w:p>
      <w:pPr/>
      <w:r>
        <w:t>UK Vegan Cosmetics Market Size &amp; Outlook, 2022–2030 (2026) Grand View Research.</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Aptos" w:hAnsi="Aptos"/>
      <w:b/>
      <w:bCs/>
      <w:color w:val="254F3D"/>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w:hAnsi="Aptos"/>
      <w:b/>
      <w:bCs/>
      <w:color w:val="3D6B57"/>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w:hAnsi="Aptos"/>
      <w:b/>
      <w:color w:val="254F3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