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B5EDD1" w14:textId="77777777" w:rsidR="00466F20" w:rsidRPr="00A50E4A" w:rsidRDefault="006A1C32" w:rsidP="00615F2E">
      <w:pPr>
        <w:spacing w:after="120" w:line="360" w:lineRule="auto"/>
        <w:jc w:val="center"/>
        <w:rPr>
          <w:rFonts w:ascii="Arial" w:hAnsi="Arial" w:cs="Arial"/>
          <w:sz w:val="22"/>
          <w:szCs w:val="22"/>
        </w:rPr>
      </w:pPr>
      <w:r w:rsidRPr="00A50E4A">
        <w:rPr>
          <w:rFonts w:ascii="Arial" w:eastAsia="Calibri" w:hAnsi="Arial" w:cs="Arial"/>
          <w:b/>
          <w:bCs/>
          <w:sz w:val="22"/>
          <w:szCs w:val="22"/>
        </w:rPr>
        <w:t>UNIVERSITY OF WALES TRINITY SAINT DAVID</w:t>
      </w:r>
    </w:p>
    <w:p w14:paraId="51B5EDD3" w14:textId="77777777" w:rsidR="00466F20" w:rsidRPr="00A50E4A" w:rsidRDefault="00466F20" w:rsidP="00615F2E">
      <w:pPr>
        <w:spacing w:after="300" w:line="360" w:lineRule="auto"/>
        <w:rPr>
          <w:rFonts w:ascii="Arial" w:eastAsia="Calibri" w:hAnsi="Arial" w:cs="Arial"/>
          <w:sz w:val="22"/>
          <w:szCs w:val="22"/>
        </w:rPr>
      </w:pPr>
    </w:p>
    <w:p w14:paraId="1A2D8A13" w14:textId="77777777" w:rsidR="00615F2E" w:rsidRPr="00A50E4A" w:rsidRDefault="00615F2E" w:rsidP="00615F2E">
      <w:pPr>
        <w:spacing w:after="300" w:line="360" w:lineRule="auto"/>
        <w:rPr>
          <w:rFonts w:ascii="Arial" w:hAnsi="Arial" w:cs="Arial"/>
          <w:sz w:val="22"/>
          <w:szCs w:val="22"/>
        </w:rPr>
      </w:pPr>
    </w:p>
    <w:p w14:paraId="51B5EDD4" w14:textId="77777777" w:rsidR="00466F20" w:rsidRPr="00A50E4A" w:rsidRDefault="006A1C32" w:rsidP="00615F2E">
      <w:pPr>
        <w:spacing w:after="120" w:line="360" w:lineRule="auto"/>
        <w:jc w:val="center"/>
        <w:rPr>
          <w:rFonts w:ascii="Arial" w:hAnsi="Arial" w:cs="Arial"/>
          <w:sz w:val="22"/>
          <w:szCs w:val="22"/>
        </w:rPr>
      </w:pPr>
      <w:r w:rsidRPr="00A50E4A">
        <w:rPr>
          <w:rFonts w:ascii="Arial" w:eastAsia="Calibri" w:hAnsi="Arial" w:cs="Arial"/>
          <w:b/>
          <w:bCs/>
          <w:sz w:val="22"/>
          <w:szCs w:val="22"/>
        </w:rPr>
        <w:t>Strategic Management for Business</w:t>
      </w:r>
    </w:p>
    <w:p w14:paraId="51B5EDD5" w14:textId="77777777" w:rsidR="00466F20" w:rsidRPr="00A50E4A" w:rsidRDefault="006A1C32" w:rsidP="00615F2E">
      <w:pPr>
        <w:spacing w:after="90" w:line="360" w:lineRule="auto"/>
        <w:jc w:val="center"/>
        <w:rPr>
          <w:rFonts w:ascii="Arial" w:hAnsi="Arial" w:cs="Arial"/>
          <w:sz w:val="22"/>
          <w:szCs w:val="22"/>
        </w:rPr>
      </w:pPr>
      <w:r w:rsidRPr="00A50E4A">
        <w:rPr>
          <w:rFonts w:ascii="Arial" w:eastAsia="Calibri" w:hAnsi="Arial" w:cs="Arial"/>
          <w:sz w:val="22"/>
          <w:szCs w:val="22"/>
        </w:rPr>
        <w:t>Module Code: LCLM 6001</w:t>
      </w:r>
    </w:p>
    <w:p w14:paraId="51B5EDD6" w14:textId="77777777" w:rsidR="00466F20" w:rsidRPr="00A50E4A" w:rsidRDefault="006A1C32" w:rsidP="00615F2E">
      <w:pPr>
        <w:spacing w:line="360" w:lineRule="auto"/>
        <w:jc w:val="center"/>
        <w:rPr>
          <w:rFonts w:ascii="Arial" w:hAnsi="Arial" w:cs="Arial"/>
          <w:sz w:val="22"/>
          <w:szCs w:val="22"/>
        </w:rPr>
      </w:pPr>
      <w:r w:rsidRPr="00A50E4A">
        <w:rPr>
          <w:rFonts w:ascii="Arial" w:eastAsia="Calibri" w:hAnsi="Arial" w:cs="Arial"/>
          <w:sz w:val="22"/>
          <w:szCs w:val="22"/>
        </w:rPr>
        <w:t>Lecturer: Laila Maazouz</w:t>
      </w:r>
    </w:p>
    <w:p w14:paraId="79101897" w14:textId="77777777" w:rsidR="00615F2E" w:rsidRPr="00A50E4A" w:rsidRDefault="00615F2E" w:rsidP="00615F2E">
      <w:pPr>
        <w:spacing w:after="700" w:line="360" w:lineRule="auto"/>
        <w:rPr>
          <w:rFonts w:ascii="Arial" w:hAnsi="Arial" w:cs="Arial"/>
          <w:sz w:val="22"/>
          <w:szCs w:val="22"/>
        </w:rPr>
      </w:pPr>
    </w:p>
    <w:p w14:paraId="66892CCA" w14:textId="77777777" w:rsidR="00615F2E" w:rsidRPr="00A50E4A" w:rsidRDefault="00615F2E" w:rsidP="00615F2E">
      <w:pPr>
        <w:spacing w:after="700" w:line="360" w:lineRule="auto"/>
        <w:rPr>
          <w:rFonts w:ascii="Arial" w:hAnsi="Arial" w:cs="Arial"/>
          <w:sz w:val="22"/>
          <w:szCs w:val="22"/>
        </w:rPr>
      </w:pPr>
    </w:p>
    <w:p w14:paraId="51B5EDD8" w14:textId="77777777" w:rsidR="00466F20" w:rsidRPr="00A50E4A" w:rsidRDefault="006A1C32" w:rsidP="00615F2E">
      <w:pPr>
        <w:spacing w:after="160" w:line="360" w:lineRule="auto"/>
        <w:jc w:val="center"/>
        <w:rPr>
          <w:rFonts w:ascii="Arial" w:hAnsi="Arial" w:cs="Arial"/>
          <w:sz w:val="22"/>
          <w:szCs w:val="22"/>
        </w:rPr>
      </w:pPr>
      <w:r w:rsidRPr="00A50E4A">
        <w:rPr>
          <w:rFonts w:ascii="Arial" w:eastAsia="Calibri" w:hAnsi="Arial" w:cs="Arial"/>
          <w:b/>
          <w:bCs/>
          <w:sz w:val="22"/>
          <w:szCs w:val="22"/>
        </w:rPr>
        <w:t xml:space="preserve">Beyond Connectivity: A Strategic Analysis of </w:t>
      </w:r>
      <w:proofErr w:type="spellStart"/>
      <w:r w:rsidRPr="00A50E4A">
        <w:rPr>
          <w:rFonts w:ascii="Arial" w:eastAsia="Calibri" w:hAnsi="Arial" w:cs="Arial"/>
          <w:b/>
          <w:bCs/>
          <w:sz w:val="22"/>
          <w:szCs w:val="22"/>
        </w:rPr>
        <w:t>VodafoneThree</w:t>
      </w:r>
      <w:proofErr w:type="spellEnd"/>
      <w:r w:rsidRPr="00A50E4A">
        <w:rPr>
          <w:rFonts w:ascii="Arial" w:eastAsia="Calibri" w:hAnsi="Arial" w:cs="Arial"/>
          <w:b/>
          <w:bCs/>
          <w:sz w:val="22"/>
          <w:szCs w:val="22"/>
        </w:rPr>
        <w:t xml:space="preserve"> and a Proposed Growth Strategy in 5G-Enabled IoT and Smart City Services</w:t>
      </w:r>
    </w:p>
    <w:p w14:paraId="51B5EDD9" w14:textId="77777777" w:rsidR="00466F20" w:rsidRPr="00A50E4A" w:rsidRDefault="006A1C32" w:rsidP="00615F2E">
      <w:pPr>
        <w:spacing w:line="360" w:lineRule="auto"/>
        <w:jc w:val="center"/>
        <w:rPr>
          <w:rFonts w:ascii="Arial" w:hAnsi="Arial" w:cs="Arial"/>
          <w:sz w:val="22"/>
          <w:szCs w:val="22"/>
        </w:rPr>
      </w:pPr>
      <w:r w:rsidRPr="00A50E4A">
        <w:rPr>
          <w:rFonts w:ascii="Arial" w:eastAsia="Calibri" w:hAnsi="Arial" w:cs="Arial"/>
          <w:i/>
          <w:iCs/>
          <w:sz w:val="22"/>
          <w:szCs w:val="22"/>
        </w:rPr>
        <w:t>A strategic report prepared following the merger of Vodafone UK and Three UK</w:t>
      </w:r>
    </w:p>
    <w:p w14:paraId="51B5EDDA" w14:textId="77777777" w:rsidR="00466F20" w:rsidRPr="00A50E4A" w:rsidRDefault="00466F20" w:rsidP="00615F2E">
      <w:pPr>
        <w:spacing w:after="800" w:line="360" w:lineRule="auto"/>
        <w:rPr>
          <w:rFonts w:ascii="Arial" w:hAnsi="Arial" w:cs="Arial"/>
          <w:sz w:val="22"/>
          <w:szCs w:val="22"/>
        </w:rPr>
      </w:pPr>
    </w:p>
    <w:p w14:paraId="7D7D54DF" w14:textId="77777777" w:rsidR="00615F2E" w:rsidRPr="00A50E4A" w:rsidRDefault="00615F2E" w:rsidP="00615F2E">
      <w:pPr>
        <w:spacing w:after="800" w:line="360" w:lineRule="auto"/>
        <w:rPr>
          <w:rFonts w:ascii="Arial" w:hAnsi="Arial" w:cs="Arial"/>
          <w:sz w:val="22"/>
          <w:szCs w:val="22"/>
        </w:rPr>
      </w:pPr>
    </w:p>
    <w:p w14:paraId="1AF3CF13" w14:textId="77777777" w:rsidR="00615F2E" w:rsidRPr="00A50E4A" w:rsidRDefault="00615F2E" w:rsidP="00615F2E">
      <w:pPr>
        <w:spacing w:after="800" w:line="360" w:lineRule="auto"/>
        <w:rPr>
          <w:rFonts w:ascii="Arial" w:hAnsi="Arial" w:cs="Arial"/>
          <w:sz w:val="22"/>
          <w:szCs w:val="22"/>
        </w:rPr>
      </w:pPr>
    </w:p>
    <w:p w14:paraId="57E0E862" w14:textId="77777777" w:rsidR="00615F2E" w:rsidRPr="00A50E4A" w:rsidRDefault="00615F2E" w:rsidP="00615F2E">
      <w:pPr>
        <w:spacing w:after="800" w:line="360" w:lineRule="auto"/>
        <w:rPr>
          <w:rFonts w:ascii="Arial" w:hAnsi="Arial" w:cs="Arial"/>
          <w:sz w:val="22"/>
          <w:szCs w:val="22"/>
        </w:rPr>
      </w:pPr>
    </w:p>
    <w:p w14:paraId="31496012" w14:textId="77777777" w:rsidR="00615F2E" w:rsidRPr="00A50E4A" w:rsidRDefault="00615F2E" w:rsidP="00615F2E">
      <w:pPr>
        <w:spacing w:after="800" w:line="360" w:lineRule="auto"/>
        <w:rPr>
          <w:rFonts w:ascii="Arial" w:hAnsi="Arial" w:cs="Arial"/>
          <w:sz w:val="22"/>
          <w:szCs w:val="22"/>
        </w:rPr>
      </w:pPr>
    </w:p>
    <w:p w14:paraId="51B5EDDB" w14:textId="77777777" w:rsidR="00466F20" w:rsidRPr="00A50E4A" w:rsidRDefault="006A1C32" w:rsidP="00615F2E">
      <w:pPr>
        <w:spacing w:after="110" w:line="360" w:lineRule="auto"/>
        <w:jc w:val="center"/>
        <w:rPr>
          <w:rFonts w:ascii="Arial" w:hAnsi="Arial" w:cs="Arial"/>
          <w:sz w:val="22"/>
          <w:szCs w:val="22"/>
        </w:rPr>
      </w:pPr>
      <w:r w:rsidRPr="00A50E4A">
        <w:rPr>
          <w:rFonts w:ascii="Arial" w:eastAsia="Calibri" w:hAnsi="Arial" w:cs="Arial"/>
          <w:b/>
          <w:bCs/>
          <w:sz w:val="22"/>
          <w:szCs w:val="22"/>
        </w:rPr>
        <w:t>Submitted by: Galyna Vovk</w:t>
      </w:r>
    </w:p>
    <w:p w14:paraId="51B5EDDC" w14:textId="77777777" w:rsidR="00466F20" w:rsidRPr="00A50E4A" w:rsidRDefault="006A1C32" w:rsidP="00615F2E">
      <w:pPr>
        <w:spacing w:after="220" w:line="360" w:lineRule="auto"/>
        <w:jc w:val="center"/>
        <w:rPr>
          <w:rFonts w:ascii="Arial" w:hAnsi="Arial" w:cs="Arial"/>
          <w:sz w:val="22"/>
          <w:szCs w:val="22"/>
        </w:rPr>
      </w:pPr>
      <w:r w:rsidRPr="00A50E4A">
        <w:rPr>
          <w:rFonts w:ascii="Arial" w:eastAsia="Calibri" w:hAnsi="Arial" w:cs="Arial"/>
          <w:b/>
          <w:bCs/>
          <w:sz w:val="22"/>
          <w:szCs w:val="22"/>
        </w:rPr>
        <w:t>Student Number: 2337083</w:t>
      </w:r>
    </w:p>
    <w:p w14:paraId="5ECDCBB1" w14:textId="77777777" w:rsidR="00615F2E" w:rsidRPr="00A50E4A" w:rsidRDefault="00615F2E" w:rsidP="00615F2E">
      <w:pPr>
        <w:spacing w:line="360" w:lineRule="auto"/>
        <w:rPr>
          <w:rFonts w:ascii="Arial" w:eastAsia="Calibri" w:hAnsi="Arial" w:cs="Arial"/>
          <w:sz w:val="22"/>
          <w:szCs w:val="22"/>
        </w:rPr>
      </w:pPr>
    </w:p>
    <w:p w14:paraId="51B5EDE0" w14:textId="62643F1B" w:rsidR="00466F20" w:rsidRPr="00A50E4A" w:rsidRDefault="006A1C32" w:rsidP="00615F2E">
      <w:pPr>
        <w:spacing w:line="360" w:lineRule="auto"/>
        <w:jc w:val="center"/>
        <w:rPr>
          <w:rFonts w:ascii="Arial" w:hAnsi="Arial" w:cs="Arial"/>
          <w:b/>
          <w:bCs/>
          <w:sz w:val="22"/>
          <w:szCs w:val="22"/>
        </w:rPr>
      </w:pPr>
      <w:r w:rsidRPr="00A50E4A">
        <w:rPr>
          <w:rFonts w:ascii="Arial" w:hAnsi="Arial" w:cs="Arial"/>
          <w:sz w:val="22"/>
          <w:szCs w:val="22"/>
        </w:rPr>
        <w:br w:type="page"/>
      </w:r>
      <w:r w:rsidRPr="00A50E4A">
        <w:rPr>
          <w:rFonts w:ascii="Arial" w:hAnsi="Arial" w:cs="Arial"/>
          <w:b/>
          <w:bCs/>
          <w:sz w:val="22"/>
          <w:szCs w:val="22"/>
        </w:rPr>
        <w:lastRenderedPageBreak/>
        <w:t>Table of Contents</w:t>
      </w:r>
    </w:p>
    <w:p w14:paraId="51B5EDE1" w14:textId="77777777" w:rsidR="00466F20" w:rsidRPr="00A50E4A" w:rsidRDefault="006A1C32" w:rsidP="00615F2E">
      <w:pPr>
        <w:tabs>
          <w:tab w:val="right" w:leader="dot" w:pos="9026"/>
        </w:tabs>
        <w:spacing w:after="140" w:line="360" w:lineRule="auto"/>
        <w:rPr>
          <w:rFonts w:ascii="Arial" w:hAnsi="Arial" w:cs="Arial"/>
          <w:sz w:val="22"/>
          <w:szCs w:val="22"/>
        </w:rPr>
      </w:pPr>
      <w:r w:rsidRPr="00A50E4A">
        <w:rPr>
          <w:rFonts w:ascii="Arial" w:hAnsi="Arial" w:cs="Arial"/>
          <w:sz w:val="22"/>
          <w:szCs w:val="22"/>
        </w:rPr>
        <w:fldChar w:fldCharType="begin"/>
      </w:r>
      <w:r w:rsidRPr="00A50E4A">
        <w:rPr>
          <w:rFonts w:ascii="Arial" w:hAnsi="Arial" w:cs="Arial"/>
          <w:sz w:val="22"/>
          <w:szCs w:val="22"/>
        </w:rPr>
        <w:instrText xml:space="preserve"> TOC \o "1-2" \h \z \u </w:instrText>
      </w:r>
      <w:r w:rsidRPr="00A50E4A">
        <w:rPr>
          <w:rFonts w:ascii="Arial" w:hAnsi="Arial" w:cs="Arial"/>
          <w:sz w:val="22"/>
          <w:szCs w:val="22"/>
        </w:rPr>
        <w:fldChar w:fldCharType="separate"/>
      </w:r>
      <w:r w:rsidRPr="00A50E4A">
        <w:rPr>
          <w:rFonts w:ascii="Arial" w:eastAsia="Calibri" w:hAnsi="Arial" w:cs="Arial"/>
          <w:b/>
          <w:bCs/>
          <w:sz w:val="22"/>
          <w:szCs w:val="22"/>
        </w:rPr>
        <w:t>Executive Summary</w:t>
      </w:r>
      <w:r w:rsidRPr="00A50E4A">
        <w:rPr>
          <w:rFonts w:ascii="Arial" w:eastAsia="Calibri" w:hAnsi="Arial" w:cs="Arial"/>
          <w:b/>
          <w:bCs/>
          <w:sz w:val="22"/>
          <w:szCs w:val="22"/>
        </w:rPr>
        <w:tab/>
        <w:t>3</w:t>
      </w:r>
    </w:p>
    <w:p w14:paraId="51B5EDE2" w14:textId="447B40BB" w:rsidR="00466F20" w:rsidRPr="00A50E4A" w:rsidRDefault="006A1C32" w:rsidP="00615F2E">
      <w:pPr>
        <w:tabs>
          <w:tab w:val="right" w:leader="dot" w:pos="9026"/>
        </w:tabs>
        <w:spacing w:after="140" w:line="360" w:lineRule="auto"/>
        <w:rPr>
          <w:rFonts w:ascii="Arial" w:hAnsi="Arial" w:cs="Arial"/>
          <w:sz w:val="22"/>
          <w:szCs w:val="22"/>
        </w:rPr>
      </w:pPr>
      <w:r w:rsidRPr="00A50E4A">
        <w:rPr>
          <w:rFonts w:ascii="Arial" w:eastAsia="Calibri" w:hAnsi="Arial" w:cs="Arial"/>
          <w:b/>
          <w:bCs/>
          <w:sz w:val="22"/>
          <w:szCs w:val="22"/>
        </w:rPr>
        <w:t>1. Introduction to Vodafone</w:t>
      </w:r>
      <w:r w:rsidRPr="00A50E4A">
        <w:rPr>
          <w:rFonts w:ascii="Arial" w:eastAsia="Calibri" w:hAnsi="Arial" w:cs="Arial"/>
          <w:b/>
          <w:bCs/>
          <w:sz w:val="22"/>
          <w:szCs w:val="22"/>
        </w:rPr>
        <w:tab/>
      </w:r>
      <w:r w:rsidR="00733385" w:rsidRPr="00A50E4A">
        <w:rPr>
          <w:rFonts w:ascii="Arial" w:eastAsia="Calibri" w:hAnsi="Arial" w:cs="Arial"/>
          <w:b/>
          <w:bCs/>
          <w:sz w:val="22"/>
          <w:szCs w:val="22"/>
        </w:rPr>
        <w:t>4</w:t>
      </w:r>
    </w:p>
    <w:p w14:paraId="51B5EDE3" w14:textId="0A37623B" w:rsidR="00466F20" w:rsidRPr="00A50E4A" w:rsidRDefault="006A1C32" w:rsidP="00615F2E">
      <w:pPr>
        <w:tabs>
          <w:tab w:val="right" w:leader="dot" w:pos="9026"/>
        </w:tabs>
        <w:spacing w:after="140" w:line="360" w:lineRule="auto"/>
        <w:rPr>
          <w:rFonts w:ascii="Arial" w:hAnsi="Arial" w:cs="Arial"/>
          <w:sz w:val="22"/>
          <w:szCs w:val="22"/>
        </w:rPr>
      </w:pPr>
      <w:r w:rsidRPr="00A50E4A">
        <w:rPr>
          <w:rFonts w:ascii="Arial" w:eastAsia="Calibri" w:hAnsi="Arial" w:cs="Arial"/>
          <w:b/>
          <w:bCs/>
          <w:sz w:val="22"/>
          <w:szCs w:val="22"/>
        </w:rPr>
        <w:t>2. Strategic and Literature Context</w:t>
      </w:r>
      <w:r w:rsidRPr="00A50E4A">
        <w:rPr>
          <w:rFonts w:ascii="Arial" w:eastAsia="Calibri" w:hAnsi="Arial" w:cs="Arial"/>
          <w:b/>
          <w:bCs/>
          <w:sz w:val="22"/>
          <w:szCs w:val="22"/>
        </w:rPr>
        <w:tab/>
      </w:r>
      <w:r w:rsidR="00733385" w:rsidRPr="00A50E4A">
        <w:rPr>
          <w:rFonts w:ascii="Arial" w:eastAsia="Calibri" w:hAnsi="Arial" w:cs="Arial"/>
          <w:b/>
          <w:bCs/>
          <w:sz w:val="22"/>
          <w:szCs w:val="22"/>
        </w:rPr>
        <w:t>5</w:t>
      </w:r>
    </w:p>
    <w:p w14:paraId="51B5EDE4" w14:textId="2ADC15C0" w:rsidR="00466F20" w:rsidRPr="00A50E4A" w:rsidRDefault="006A1C32" w:rsidP="00615F2E">
      <w:pPr>
        <w:tabs>
          <w:tab w:val="right" w:leader="dot" w:pos="9026"/>
        </w:tabs>
        <w:spacing w:after="140" w:line="360" w:lineRule="auto"/>
        <w:rPr>
          <w:rFonts w:ascii="Arial" w:hAnsi="Arial" w:cs="Arial"/>
          <w:sz w:val="22"/>
          <w:szCs w:val="22"/>
        </w:rPr>
      </w:pPr>
      <w:r w:rsidRPr="00A50E4A">
        <w:rPr>
          <w:rFonts w:ascii="Arial" w:eastAsia="Calibri" w:hAnsi="Arial" w:cs="Arial"/>
          <w:b/>
          <w:bCs/>
          <w:sz w:val="22"/>
          <w:szCs w:val="22"/>
        </w:rPr>
        <w:t>3. Evaluation of Current Market Situation</w:t>
      </w:r>
      <w:r w:rsidRPr="00A50E4A">
        <w:rPr>
          <w:rFonts w:ascii="Arial" w:eastAsia="Calibri" w:hAnsi="Arial" w:cs="Arial"/>
          <w:b/>
          <w:bCs/>
          <w:sz w:val="22"/>
          <w:szCs w:val="22"/>
        </w:rPr>
        <w:tab/>
      </w:r>
      <w:r w:rsidR="00733385" w:rsidRPr="00A50E4A">
        <w:rPr>
          <w:rFonts w:ascii="Arial" w:eastAsia="Calibri" w:hAnsi="Arial" w:cs="Arial"/>
          <w:b/>
          <w:bCs/>
          <w:sz w:val="22"/>
          <w:szCs w:val="22"/>
        </w:rPr>
        <w:t>5</w:t>
      </w:r>
    </w:p>
    <w:p w14:paraId="51B5EDE5" w14:textId="7149D3A2" w:rsidR="00466F20" w:rsidRPr="00A50E4A" w:rsidRDefault="006A1C32" w:rsidP="00615F2E">
      <w:pPr>
        <w:tabs>
          <w:tab w:val="right" w:leader="dot" w:pos="9026"/>
        </w:tabs>
        <w:spacing w:after="140" w:line="360" w:lineRule="auto"/>
        <w:ind w:left="340"/>
        <w:rPr>
          <w:rFonts w:ascii="Arial" w:hAnsi="Arial" w:cs="Arial"/>
          <w:sz w:val="22"/>
          <w:szCs w:val="22"/>
        </w:rPr>
      </w:pPr>
      <w:r w:rsidRPr="00A50E4A">
        <w:rPr>
          <w:rFonts w:ascii="Arial" w:eastAsia="Calibri" w:hAnsi="Arial" w:cs="Arial"/>
          <w:sz w:val="22"/>
          <w:szCs w:val="22"/>
        </w:rPr>
        <w:t>3.1 PESTLE Analysis</w:t>
      </w:r>
      <w:r w:rsidRPr="00A50E4A">
        <w:rPr>
          <w:rFonts w:ascii="Arial" w:eastAsia="Calibri" w:hAnsi="Arial" w:cs="Arial"/>
          <w:sz w:val="22"/>
          <w:szCs w:val="22"/>
        </w:rPr>
        <w:tab/>
      </w:r>
      <w:r w:rsidR="00733385" w:rsidRPr="00A50E4A">
        <w:rPr>
          <w:rFonts w:ascii="Arial" w:eastAsia="Calibri" w:hAnsi="Arial" w:cs="Arial"/>
          <w:sz w:val="22"/>
          <w:szCs w:val="22"/>
        </w:rPr>
        <w:t>5</w:t>
      </w:r>
    </w:p>
    <w:p w14:paraId="51B5EDE6" w14:textId="5DF042B7" w:rsidR="00466F20" w:rsidRPr="00A50E4A" w:rsidRDefault="006A1C32" w:rsidP="00615F2E">
      <w:pPr>
        <w:tabs>
          <w:tab w:val="right" w:leader="dot" w:pos="9026"/>
        </w:tabs>
        <w:spacing w:after="140" w:line="360" w:lineRule="auto"/>
        <w:ind w:left="340"/>
        <w:rPr>
          <w:rFonts w:ascii="Arial" w:hAnsi="Arial" w:cs="Arial"/>
          <w:sz w:val="22"/>
          <w:szCs w:val="22"/>
        </w:rPr>
      </w:pPr>
      <w:r w:rsidRPr="00A50E4A">
        <w:rPr>
          <w:rFonts w:ascii="Arial" w:eastAsia="Calibri" w:hAnsi="Arial" w:cs="Arial"/>
          <w:sz w:val="22"/>
          <w:szCs w:val="22"/>
        </w:rPr>
        <w:t>3.2 Porter's Five Forces Analysis</w:t>
      </w:r>
      <w:r w:rsidRPr="00A50E4A">
        <w:rPr>
          <w:rFonts w:ascii="Arial" w:eastAsia="Calibri" w:hAnsi="Arial" w:cs="Arial"/>
          <w:sz w:val="22"/>
          <w:szCs w:val="22"/>
        </w:rPr>
        <w:tab/>
      </w:r>
      <w:r w:rsidR="00733385" w:rsidRPr="00A50E4A">
        <w:rPr>
          <w:rFonts w:ascii="Arial" w:eastAsia="Calibri" w:hAnsi="Arial" w:cs="Arial"/>
          <w:sz w:val="22"/>
          <w:szCs w:val="22"/>
        </w:rPr>
        <w:t>7</w:t>
      </w:r>
    </w:p>
    <w:p w14:paraId="51B5EDE7" w14:textId="554B26A3" w:rsidR="00466F20" w:rsidRPr="00A50E4A" w:rsidRDefault="006A1C32" w:rsidP="00615F2E">
      <w:pPr>
        <w:tabs>
          <w:tab w:val="right" w:leader="dot" w:pos="9026"/>
        </w:tabs>
        <w:spacing w:after="140" w:line="360" w:lineRule="auto"/>
        <w:ind w:left="340"/>
        <w:rPr>
          <w:rFonts w:ascii="Arial" w:hAnsi="Arial" w:cs="Arial"/>
          <w:sz w:val="22"/>
          <w:szCs w:val="22"/>
        </w:rPr>
      </w:pPr>
      <w:r w:rsidRPr="00A50E4A">
        <w:rPr>
          <w:rFonts w:ascii="Arial" w:eastAsia="Calibri" w:hAnsi="Arial" w:cs="Arial"/>
          <w:sz w:val="22"/>
          <w:szCs w:val="22"/>
        </w:rPr>
        <w:t>3.3 SWOT Analysis</w:t>
      </w:r>
      <w:r w:rsidRPr="00A50E4A">
        <w:rPr>
          <w:rFonts w:ascii="Arial" w:eastAsia="Calibri" w:hAnsi="Arial" w:cs="Arial"/>
          <w:sz w:val="22"/>
          <w:szCs w:val="22"/>
        </w:rPr>
        <w:tab/>
      </w:r>
      <w:r w:rsidR="00733385" w:rsidRPr="00A50E4A">
        <w:rPr>
          <w:rFonts w:ascii="Arial" w:eastAsia="Calibri" w:hAnsi="Arial" w:cs="Arial"/>
          <w:sz w:val="22"/>
          <w:szCs w:val="22"/>
        </w:rPr>
        <w:t>9</w:t>
      </w:r>
    </w:p>
    <w:p w14:paraId="51B5EDE8" w14:textId="12CD420E" w:rsidR="00466F20" w:rsidRPr="00A50E4A" w:rsidRDefault="006A1C32" w:rsidP="00615F2E">
      <w:pPr>
        <w:tabs>
          <w:tab w:val="right" w:leader="dot" w:pos="9026"/>
        </w:tabs>
        <w:spacing w:after="140" w:line="360" w:lineRule="auto"/>
        <w:ind w:left="340"/>
        <w:rPr>
          <w:rFonts w:ascii="Arial" w:hAnsi="Arial" w:cs="Arial"/>
          <w:sz w:val="22"/>
          <w:szCs w:val="22"/>
        </w:rPr>
      </w:pPr>
      <w:r w:rsidRPr="00A50E4A">
        <w:rPr>
          <w:rFonts w:ascii="Arial" w:eastAsia="Calibri" w:hAnsi="Arial" w:cs="Arial"/>
          <w:sz w:val="22"/>
          <w:szCs w:val="22"/>
        </w:rPr>
        <w:t>3.4 Critical Reflection: Counterarguments and Limitations</w:t>
      </w:r>
      <w:r w:rsidRPr="00A50E4A">
        <w:rPr>
          <w:rFonts w:ascii="Arial" w:eastAsia="Calibri" w:hAnsi="Arial" w:cs="Arial"/>
          <w:sz w:val="22"/>
          <w:szCs w:val="22"/>
        </w:rPr>
        <w:tab/>
      </w:r>
      <w:r w:rsidR="00733385" w:rsidRPr="00A50E4A">
        <w:rPr>
          <w:rFonts w:ascii="Arial" w:eastAsia="Calibri" w:hAnsi="Arial" w:cs="Arial"/>
          <w:sz w:val="22"/>
          <w:szCs w:val="22"/>
        </w:rPr>
        <w:t>10</w:t>
      </w:r>
    </w:p>
    <w:p w14:paraId="51B5EDE9" w14:textId="3F9682C1" w:rsidR="00466F20" w:rsidRPr="00A50E4A" w:rsidRDefault="006A1C32" w:rsidP="00615F2E">
      <w:pPr>
        <w:tabs>
          <w:tab w:val="right" w:leader="dot" w:pos="9026"/>
        </w:tabs>
        <w:spacing w:after="140" w:line="360" w:lineRule="auto"/>
        <w:rPr>
          <w:rFonts w:ascii="Arial" w:hAnsi="Arial" w:cs="Arial"/>
          <w:sz w:val="22"/>
          <w:szCs w:val="22"/>
        </w:rPr>
      </w:pPr>
      <w:r w:rsidRPr="00A50E4A">
        <w:rPr>
          <w:rFonts w:ascii="Arial" w:eastAsia="Calibri" w:hAnsi="Arial" w:cs="Arial"/>
          <w:b/>
          <w:bCs/>
          <w:sz w:val="22"/>
          <w:szCs w:val="22"/>
        </w:rPr>
        <w:t>4. Strategic Growth Options and Proposed Strategy</w:t>
      </w:r>
      <w:r w:rsidRPr="00A50E4A">
        <w:rPr>
          <w:rFonts w:ascii="Arial" w:eastAsia="Calibri" w:hAnsi="Arial" w:cs="Arial"/>
          <w:b/>
          <w:bCs/>
          <w:sz w:val="22"/>
          <w:szCs w:val="22"/>
        </w:rPr>
        <w:tab/>
      </w:r>
      <w:r w:rsidR="00733385" w:rsidRPr="00A50E4A">
        <w:rPr>
          <w:rFonts w:ascii="Arial" w:eastAsia="Calibri" w:hAnsi="Arial" w:cs="Arial"/>
          <w:b/>
          <w:bCs/>
          <w:sz w:val="22"/>
          <w:szCs w:val="22"/>
        </w:rPr>
        <w:t>11</w:t>
      </w:r>
    </w:p>
    <w:p w14:paraId="51B5EDEA" w14:textId="09627C76" w:rsidR="00466F20" w:rsidRPr="00A50E4A" w:rsidRDefault="006A1C32" w:rsidP="00615F2E">
      <w:pPr>
        <w:tabs>
          <w:tab w:val="right" w:leader="dot" w:pos="9026"/>
        </w:tabs>
        <w:spacing w:after="140" w:line="360" w:lineRule="auto"/>
        <w:rPr>
          <w:rFonts w:ascii="Arial" w:hAnsi="Arial" w:cs="Arial"/>
          <w:sz w:val="22"/>
          <w:szCs w:val="22"/>
        </w:rPr>
      </w:pPr>
      <w:r w:rsidRPr="00A50E4A">
        <w:rPr>
          <w:rFonts w:ascii="Arial" w:eastAsia="Calibri" w:hAnsi="Arial" w:cs="Arial"/>
          <w:b/>
          <w:bCs/>
          <w:sz w:val="22"/>
          <w:szCs w:val="22"/>
        </w:rPr>
        <w:t>5. Strategy Evaluation</w:t>
      </w:r>
      <w:r w:rsidRPr="00A50E4A">
        <w:rPr>
          <w:rFonts w:ascii="Arial" w:eastAsia="Calibri" w:hAnsi="Arial" w:cs="Arial"/>
          <w:b/>
          <w:bCs/>
          <w:sz w:val="22"/>
          <w:szCs w:val="22"/>
        </w:rPr>
        <w:tab/>
      </w:r>
      <w:r w:rsidR="00733385" w:rsidRPr="00A50E4A">
        <w:rPr>
          <w:rFonts w:ascii="Arial" w:eastAsia="Calibri" w:hAnsi="Arial" w:cs="Arial"/>
          <w:b/>
          <w:bCs/>
          <w:sz w:val="22"/>
          <w:szCs w:val="22"/>
        </w:rPr>
        <w:t>13</w:t>
      </w:r>
    </w:p>
    <w:p w14:paraId="51B5EDEB" w14:textId="1132A4C3" w:rsidR="00466F20" w:rsidRPr="00A50E4A" w:rsidRDefault="006A1C32" w:rsidP="00615F2E">
      <w:pPr>
        <w:tabs>
          <w:tab w:val="right" w:leader="dot" w:pos="9026"/>
        </w:tabs>
        <w:spacing w:after="140" w:line="360" w:lineRule="auto"/>
        <w:rPr>
          <w:rFonts w:ascii="Arial" w:hAnsi="Arial" w:cs="Arial"/>
          <w:sz w:val="22"/>
          <w:szCs w:val="22"/>
        </w:rPr>
      </w:pPr>
      <w:r w:rsidRPr="00A50E4A">
        <w:rPr>
          <w:rFonts w:ascii="Arial" w:eastAsia="Calibri" w:hAnsi="Arial" w:cs="Arial"/>
          <w:b/>
          <w:bCs/>
          <w:sz w:val="22"/>
          <w:szCs w:val="22"/>
        </w:rPr>
        <w:t>6. Stakeholder Analysis</w:t>
      </w:r>
      <w:r w:rsidRPr="00A50E4A">
        <w:rPr>
          <w:rFonts w:ascii="Arial" w:eastAsia="Calibri" w:hAnsi="Arial" w:cs="Arial"/>
          <w:b/>
          <w:bCs/>
          <w:sz w:val="22"/>
          <w:szCs w:val="22"/>
        </w:rPr>
        <w:tab/>
        <w:t>1</w:t>
      </w:r>
      <w:r w:rsidR="00733385" w:rsidRPr="00A50E4A">
        <w:rPr>
          <w:rFonts w:ascii="Arial" w:eastAsia="Calibri" w:hAnsi="Arial" w:cs="Arial"/>
          <w:b/>
          <w:bCs/>
          <w:sz w:val="22"/>
          <w:szCs w:val="22"/>
        </w:rPr>
        <w:t>4</w:t>
      </w:r>
    </w:p>
    <w:p w14:paraId="51B5EDEC" w14:textId="73F2E0EC" w:rsidR="00466F20" w:rsidRPr="00A50E4A" w:rsidRDefault="006A1C32" w:rsidP="00615F2E">
      <w:pPr>
        <w:tabs>
          <w:tab w:val="right" w:leader="dot" w:pos="9026"/>
        </w:tabs>
        <w:spacing w:after="140" w:line="360" w:lineRule="auto"/>
        <w:rPr>
          <w:rFonts w:ascii="Arial" w:hAnsi="Arial" w:cs="Arial"/>
          <w:sz w:val="22"/>
          <w:szCs w:val="22"/>
        </w:rPr>
      </w:pPr>
      <w:r w:rsidRPr="00A50E4A">
        <w:rPr>
          <w:rFonts w:ascii="Arial" w:eastAsia="Calibri" w:hAnsi="Arial" w:cs="Arial"/>
          <w:b/>
          <w:bCs/>
          <w:sz w:val="22"/>
          <w:szCs w:val="22"/>
        </w:rPr>
        <w:t>7. Implementation and Monitoring</w:t>
      </w:r>
      <w:r w:rsidRPr="00A50E4A">
        <w:rPr>
          <w:rFonts w:ascii="Arial" w:eastAsia="Calibri" w:hAnsi="Arial" w:cs="Arial"/>
          <w:b/>
          <w:bCs/>
          <w:sz w:val="22"/>
          <w:szCs w:val="22"/>
        </w:rPr>
        <w:tab/>
        <w:t>1</w:t>
      </w:r>
      <w:r w:rsidR="00733385" w:rsidRPr="00A50E4A">
        <w:rPr>
          <w:rFonts w:ascii="Arial" w:eastAsia="Calibri" w:hAnsi="Arial" w:cs="Arial"/>
          <w:b/>
          <w:bCs/>
          <w:sz w:val="22"/>
          <w:szCs w:val="22"/>
        </w:rPr>
        <w:t>6</w:t>
      </w:r>
    </w:p>
    <w:p w14:paraId="51B5EDED" w14:textId="1E35E4E4" w:rsidR="00466F20" w:rsidRPr="00A50E4A" w:rsidRDefault="006A1C32" w:rsidP="00615F2E">
      <w:pPr>
        <w:tabs>
          <w:tab w:val="right" w:leader="dot" w:pos="9026"/>
        </w:tabs>
        <w:spacing w:after="140" w:line="360" w:lineRule="auto"/>
        <w:rPr>
          <w:rFonts w:ascii="Arial" w:hAnsi="Arial" w:cs="Arial"/>
          <w:sz w:val="22"/>
          <w:szCs w:val="22"/>
        </w:rPr>
      </w:pPr>
      <w:r w:rsidRPr="00A50E4A">
        <w:rPr>
          <w:rFonts w:ascii="Arial" w:eastAsia="Calibri" w:hAnsi="Arial" w:cs="Arial"/>
          <w:b/>
          <w:bCs/>
          <w:sz w:val="22"/>
          <w:szCs w:val="22"/>
        </w:rPr>
        <w:t>8. Conclusion</w:t>
      </w:r>
      <w:r w:rsidRPr="00A50E4A">
        <w:rPr>
          <w:rFonts w:ascii="Arial" w:eastAsia="Calibri" w:hAnsi="Arial" w:cs="Arial"/>
          <w:b/>
          <w:bCs/>
          <w:sz w:val="22"/>
          <w:szCs w:val="22"/>
        </w:rPr>
        <w:tab/>
        <w:t>1</w:t>
      </w:r>
      <w:r w:rsidR="00733385" w:rsidRPr="00A50E4A">
        <w:rPr>
          <w:rFonts w:ascii="Arial" w:eastAsia="Calibri" w:hAnsi="Arial" w:cs="Arial"/>
          <w:b/>
          <w:bCs/>
          <w:sz w:val="22"/>
          <w:szCs w:val="22"/>
        </w:rPr>
        <w:t>9</w:t>
      </w:r>
    </w:p>
    <w:p w14:paraId="51B5EDEE" w14:textId="44AB8E90" w:rsidR="00466F20" w:rsidRPr="00A50E4A" w:rsidRDefault="006A1C32" w:rsidP="00615F2E">
      <w:pPr>
        <w:tabs>
          <w:tab w:val="right" w:leader="dot" w:pos="9026"/>
        </w:tabs>
        <w:spacing w:after="140" w:line="360" w:lineRule="auto"/>
        <w:rPr>
          <w:rFonts w:ascii="Arial" w:hAnsi="Arial" w:cs="Arial"/>
          <w:sz w:val="22"/>
          <w:szCs w:val="22"/>
        </w:rPr>
      </w:pPr>
      <w:r w:rsidRPr="00A50E4A">
        <w:rPr>
          <w:rFonts w:ascii="Arial" w:eastAsia="Calibri" w:hAnsi="Arial" w:cs="Arial"/>
          <w:b/>
          <w:bCs/>
          <w:sz w:val="22"/>
          <w:szCs w:val="22"/>
        </w:rPr>
        <w:t>References</w:t>
      </w:r>
      <w:r w:rsidRPr="00A50E4A">
        <w:rPr>
          <w:rFonts w:ascii="Arial" w:eastAsia="Calibri" w:hAnsi="Arial" w:cs="Arial"/>
          <w:b/>
          <w:bCs/>
          <w:sz w:val="22"/>
          <w:szCs w:val="22"/>
        </w:rPr>
        <w:tab/>
      </w:r>
      <w:r w:rsidR="00733385" w:rsidRPr="00A50E4A">
        <w:rPr>
          <w:rFonts w:ascii="Arial" w:eastAsia="Calibri" w:hAnsi="Arial" w:cs="Arial"/>
          <w:b/>
          <w:bCs/>
          <w:sz w:val="22"/>
          <w:szCs w:val="22"/>
        </w:rPr>
        <w:t>20</w:t>
      </w:r>
      <w:r w:rsidRPr="00A50E4A">
        <w:rPr>
          <w:rFonts w:ascii="Arial" w:hAnsi="Arial" w:cs="Arial"/>
          <w:sz w:val="22"/>
          <w:szCs w:val="22"/>
        </w:rPr>
        <w:fldChar w:fldCharType="end"/>
      </w:r>
    </w:p>
    <w:p w14:paraId="51B5EDEF" w14:textId="77777777" w:rsidR="00466F20" w:rsidRPr="00A50E4A" w:rsidRDefault="006A1C32" w:rsidP="00615F2E">
      <w:pPr>
        <w:spacing w:line="360" w:lineRule="auto"/>
        <w:rPr>
          <w:rFonts w:ascii="Arial" w:hAnsi="Arial" w:cs="Arial"/>
          <w:sz w:val="22"/>
          <w:szCs w:val="22"/>
        </w:rPr>
      </w:pPr>
      <w:r w:rsidRPr="00A50E4A">
        <w:rPr>
          <w:rFonts w:ascii="Arial" w:hAnsi="Arial" w:cs="Arial"/>
          <w:sz w:val="22"/>
          <w:szCs w:val="22"/>
        </w:rPr>
        <w:br w:type="page"/>
      </w:r>
    </w:p>
    <w:p w14:paraId="51B5EDF1" w14:textId="77777777" w:rsidR="00466F20" w:rsidRPr="00A50E4A" w:rsidRDefault="006A1C32" w:rsidP="00615F2E">
      <w:pPr>
        <w:pStyle w:val="Heading1"/>
        <w:spacing w:before="200" w:after="160" w:line="360" w:lineRule="auto"/>
        <w:jc w:val="center"/>
        <w:rPr>
          <w:rFonts w:ascii="Arial" w:hAnsi="Arial" w:cs="Arial"/>
          <w:b/>
          <w:bCs/>
          <w:color w:val="000000" w:themeColor="text1"/>
          <w:sz w:val="22"/>
          <w:szCs w:val="22"/>
        </w:rPr>
      </w:pPr>
      <w:r w:rsidRPr="00A50E4A">
        <w:rPr>
          <w:rFonts w:ascii="Arial" w:hAnsi="Arial" w:cs="Arial"/>
          <w:b/>
          <w:bCs/>
          <w:color w:val="000000" w:themeColor="text1"/>
          <w:sz w:val="22"/>
          <w:szCs w:val="22"/>
        </w:rPr>
        <w:lastRenderedPageBreak/>
        <w:t>Executive Summary</w:t>
      </w:r>
    </w:p>
    <w:p w14:paraId="276A6FB1" w14:textId="33482FC2" w:rsidR="00A50E4A" w:rsidRPr="00A50E4A" w:rsidRDefault="00A50E4A" w:rsidP="00A50E4A">
      <w:pPr>
        <w:spacing w:line="360" w:lineRule="auto"/>
        <w:rPr>
          <w:rFonts w:ascii="Arial" w:hAnsi="Arial" w:cs="Arial"/>
          <w:sz w:val="22"/>
          <w:szCs w:val="22"/>
        </w:rPr>
      </w:pPr>
      <w:r w:rsidRPr="00A50E4A">
        <w:rPr>
          <w:rFonts w:ascii="Arial" w:hAnsi="Arial" w:cs="Arial"/>
          <w:sz w:val="22"/>
          <w:szCs w:val="22"/>
        </w:rPr>
        <w:t xml:space="preserve">The UK telecommunications sector is evolving rapidly, with mobile data use increasing by 18% in 2025 to over 1.2 billion GB per month (Ofcom, 2025). Following the merger with Three UK, </w:t>
      </w:r>
      <w:proofErr w:type="spellStart"/>
      <w:r w:rsidRPr="00A50E4A">
        <w:rPr>
          <w:rFonts w:ascii="Arial" w:hAnsi="Arial" w:cs="Arial"/>
          <w:sz w:val="22"/>
          <w:szCs w:val="22"/>
        </w:rPr>
        <w:t>VodafoneThree</w:t>
      </w:r>
      <w:proofErr w:type="spellEnd"/>
      <w:r w:rsidRPr="00A50E4A">
        <w:rPr>
          <w:rFonts w:ascii="Arial" w:hAnsi="Arial" w:cs="Arial"/>
          <w:sz w:val="22"/>
          <w:szCs w:val="22"/>
        </w:rPr>
        <w:t xml:space="preserve"> became the UK’s largest mobile operator, serving approximately 27 million customers and planning to invest £11 billion in network infrastructure over the next decade.</w:t>
      </w:r>
      <w:r w:rsidRPr="00A50E4A">
        <w:rPr>
          <w:rFonts w:ascii="Arial" w:hAnsi="Arial" w:cs="Arial"/>
          <w:sz w:val="22"/>
          <w:szCs w:val="22"/>
        </w:rPr>
        <w:br/>
      </w:r>
      <w:r w:rsidRPr="00A50E4A">
        <w:rPr>
          <w:rFonts w:ascii="Arial" w:hAnsi="Arial" w:cs="Arial"/>
          <w:sz w:val="22"/>
          <w:szCs w:val="22"/>
        </w:rPr>
        <w:br/>
        <w:t xml:space="preserve">This report applies PESTLE, Porter’s Five Forces, SWOT, Ansoff’s Matrix and the SFA framework to evaluate Vodafone’s strategic position. The analysis identifies significant strengths in network capacity, investment capability and brand recognition, but also </w:t>
      </w:r>
      <w:proofErr w:type="spellStart"/>
      <w:r w:rsidRPr="00A50E4A">
        <w:rPr>
          <w:rFonts w:ascii="Arial" w:hAnsi="Arial" w:cs="Arial"/>
          <w:sz w:val="22"/>
          <w:szCs w:val="22"/>
        </w:rPr>
        <w:t>highly</w:t>
      </w:r>
      <w:r w:rsidRPr="00A50E4A">
        <w:rPr>
          <w:rFonts w:ascii="Arial" w:hAnsi="Arial" w:cs="Arial"/>
          <w:sz w:val="22"/>
          <w:szCs w:val="22"/>
        </w:rPr>
        <w:t>ghts</w:t>
      </w:r>
      <w:proofErr w:type="spellEnd"/>
      <w:r w:rsidRPr="00A50E4A">
        <w:rPr>
          <w:rFonts w:ascii="Arial" w:hAnsi="Arial" w:cs="Arial"/>
          <w:sz w:val="22"/>
          <w:szCs w:val="22"/>
        </w:rPr>
        <w:t xml:space="preserve"> intense competition, strong buyer power and increasing commoditisation of traditional telecom services.</w:t>
      </w:r>
      <w:r w:rsidRPr="00A50E4A">
        <w:rPr>
          <w:rFonts w:ascii="Arial" w:hAnsi="Arial" w:cs="Arial"/>
          <w:sz w:val="22"/>
          <w:szCs w:val="22"/>
        </w:rPr>
        <w:br/>
      </w:r>
      <w:r w:rsidRPr="00A50E4A">
        <w:rPr>
          <w:rFonts w:ascii="Arial" w:hAnsi="Arial" w:cs="Arial"/>
          <w:sz w:val="22"/>
          <w:szCs w:val="22"/>
        </w:rPr>
        <w:br/>
        <w:t>Based on the analysis, the report recommends a product development strategy focused on 5G-enabled IoT and Smart City services. This approach offers opportunities to diversify revenue and strengthen competitive advantage while recognising risks related to cybersecurity, data governance and uncertain public-sector adoption. A phased implementation supported by effective stakeholder engagement and continuous performance monitoring is recommended to improve the likelihood of successful delivery</w:t>
      </w:r>
    </w:p>
    <w:p w14:paraId="79CF7B45" w14:textId="77777777" w:rsidR="00615F2E" w:rsidRPr="00A50E4A" w:rsidRDefault="00615F2E" w:rsidP="00615F2E">
      <w:pPr>
        <w:spacing w:after="160" w:line="360" w:lineRule="auto"/>
        <w:ind w:firstLine="720"/>
        <w:rPr>
          <w:rFonts w:ascii="Arial" w:eastAsia="Calibri" w:hAnsi="Arial" w:cs="Arial"/>
          <w:sz w:val="22"/>
          <w:szCs w:val="22"/>
        </w:rPr>
      </w:pPr>
    </w:p>
    <w:p w14:paraId="7CB17F29" w14:textId="77777777" w:rsidR="00615F2E" w:rsidRPr="00A50E4A" w:rsidRDefault="00615F2E" w:rsidP="00615F2E">
      <w:pPr>
        <w:spacing w:after="160" w:line="360" w:lineRule="auto"/>
        <w:ind w:firstLine="720"/>
        <w:rPr>
          <w:rFonts w:ascii="Arial" w:eastAsia="Calibri" w:hAnsi="Arial" w:cs="Arial"/>
          <w:sz w:val="22"/>
          <w:szCs w:val="22"/>
        </w:rPr>
      </w:pPr>
    </w:p>
    <w:p w14:paraId="79D3EDB9" w14:textId="77777777" w:rsidR="00615F2E" w:rsidRPr="00A50E4A" w:rsidRDefault="00615F2E" w:rsidP="00615F2E">
      <w:pPr>
        <w:spacing w:after="160" w:line="360" w:lineRule="auto"/>
        <w:ind w:firstLine="720"/>
        <w:rPr>
          <w:rFonts w:ascii="Arial" w:eastAsia="Calibri" w:hAnsi="Arial" w:cs="Arial"/>
          <w:sz w:val="22"/>
          <w:szCs w:val="22"/>
        </w:rPr>
      </w:pPr>
    </w:p>
    <w:p w14:paraId="72B38F5F" w14:textId="77777777" w:rsidR="00615F2E" w:rsidRPr="00A50E4A" w:rsidRDefault="00615F2E" w:rsidP="00615F2E">
      <w:pPr>
        <w:spacing w:after="160" w:line="360" w:lineRule="auto"/>
        <w:ind w:firstLine="720"/>
        <w:rPr>
          <w:rFonts w:ascii="Arial" w:eastAsia="Calibri" w:hAnsi="Arial" w:cs="Arial"/>
          <w:sz w:val="22"/>
          <w:szCs w:val="22"/>
        </w:rPr>
      </w:pPr>
    </w:p>
    <w:p w14:paraId="3D975956" w14:textId="77777777" w:rsidR="00A50E4A" w:rsidRPr="00A50E4A" w:rsidRDefault="00A50E4A" w:rsidP="00615F2E">
      <w:pPr>
        <w:spacing w:after="160" w:line="360" w:lineRule="auto"/>
        <w:ind w:firstLine="720"/>
        <w:rPr>
          <w:rFonts w:ascii="Arial" w:eastAsia="Calibri" w:hAnsi="Arial" w:cs="Arial"/>
          <w:sz w:val="22"/>
          <w:szCs w:val="22"/>
        </w:rPr>
      </w:pPr>
    </w:p>
    <w:p w14:paraId="4204E3B4" w14:textId="77777777" w:rsidR="00A50E4A" w:rsidRPr="00A50E4A" w:rsidRDefault="00A50E4A" w:rsidP="00615F2E">
      <w:pPr>
        <w:spacing w:after="160" w:line="360" w:lineRule="auto"/>
        <w:ind w:firstLine="720"/>
        <w:rPr>
          <w:rFonts w:ascii="Arial" w:eastAsia="Calibri" w:hAnsi="Arial" w:cs="Arial"/>
          <w:sz w:val="22"/>
          <w:szCs w:val="22"/>
        </w:rPr>
      </w:pPr>
    </w:p>
    <w:p w14:paraId="2DC8A813" w14:textId="77777777" w:rsidR="00A50E4A" w:rsidRPr="00A50E4A" w:rsidRDefault="00A50E4A" w:rsidP="00615F2E">
      <w:pPr>
        <w:spacing w:after="160" w:line="360" w:lineRule="auto"/>
        <w:ind w:firstLine="720"/>
        <w:rPr>
          <w:rFonts w:ascii="Arial" w:eastAsia="Calibri" w:hAnsi="Arial" w:cs="Arial"/>
          <w:sz w:val="22"/>
          <w:szCs w:val="22"/>
        </w:rPr>
      </w:pPr>
    </w:p>
    <w:p w14:paraId="33279955" w14:textId="77777777" w:rsidR="00A50E4A" w:rsidRPr="00A50E4A" w:rsidRDefault="00A50E4A" w:rsidP="00615F2E">
      <w:pPr>
        <w:spacing w:after="160" w:line="360" w:lineRule="auto"/>
        <w:ind w:firstLine="720"/>
        <w:rPr>
          <w:rFonts w:ascii="Arial" w:eastAsia="Calibri" w:hAnsi="Arial" w:cs="Arial"/>
          <w:sz w:val="22"/>
          <w:szCs w:val="22"/>
        </w:rPr>
      </w:pPr>
    </w:p>
    <w:p w14:paraId="4E557EE1" w14:textId="77777777" w:rsidR="00615F2E" w:rsidRPr="00A50E4A" w:rsidRDefault="00615F2E" w:rsidP="00615F2E">
      <w:pPr>
        <w:spacing w:after="160" w:line="360" w:lineRule="auto"/>
        <w:ind w:firstLine="720"/>
        <w:rPr>
          <w:rFonts w:ascii="Arial" w:eastAsia="Calibri" w:hAnsi="Arial" w:cs="Arial"/>
          <w:sz w:val="22"/>
          <w:szCs w:val="22"/>
        </w:rPr>
      </w:pPr>
    </w:p>
    <w:p w14:paraId="117904EC" w14:textId="77777777" w:rsidR="00A50E4A" w:rsidRPr="00A50E4A" w:rsidRDefault="00A50E4A" w:rsidP="00A50E4A">
      <w:pPr>
        <w:pStyle w:val="Heading1"/>
        <w:spacing w:before="280" w:after="160" w:line="360" w:lineRule="auto"/>
        <w:rPr>
          <w:rFonts w:ascii="Arial" w:hAnsi="Arial" w:cs="Arial"/>
          <w:b/>
          <w:bCs/>
          <w:color w:val="000000" w:themeColor="text1"/>
          <w:sz w:val="22"/>
          <w:szCs w:val="22"/>
        </w:rPr>
      </w:pPr>
    </w:p>
    <w:p w14:paraId="4F401672" w14:textId="77777777" w:rsidR="00A50E4A" w:rsidRDefault="00A50E4A" w:rsidP="00A50E4A">
      <w:pPr>
        <w:pStyle w:val="Heading1"/>
        <w:spacing w:before="280" w:after="160" w:line="360" w:lineRule="auto"/>
        <w:jc w:val="center"/>
        <w:rPr>
          <w:rFonts w:ascii="Arial" w:hAnsi="Arial" w:cs="Arial"/>
          <w:b/>
          <w:bCs/>
          <w:color w:val="000000" w:themeColor="text1"/>
          <w:sz w:val="22"/>
          <w:szCs w:val="22"/>
        </w:rPr>
      </w:pPr>
    </w:p>
    <w:p w14:paraId="5CFC45E2" w14:textId="77777777" w:rsidR="00A50E4A" w:rsidRDefault="00A50E4A" w:rsidP="00A50E4A">
      <w:pPr>
        <w:pStyle w:val="Heading1"/>
        <w:spacing w:before="280" w:after="160" w:line="360" w:lineRule="auto"/>
        <w:jc w:val="center"/>
        <w:rPr>
          <w:rFonts w:ascii="Arial" w:hAnsi="Arial" w:cs="Arial"/>
          <w:b/>
          <w:bCs/>
          <w:color w:val="000000" w:themeColor="text1"/>
          <w:sz w:val="22"/>
          <w:szCs w:val="22"/>
        </w:rPr>
      </w:pPr>
    </w:p>
    <w:p w14:paraId="51B5EDF6" w14:textId="68AA012F" w:rsidR="00466F20" w:rsidRPr="00A50E4A" w:rsidRDefault="006A1C32" w:rsidP="00A50E4A">
      <w:pPr>
        <w:pStyle w:val="Heading1"/>
        <w:spacing w:before="280" w:after="160" w:line="360" w:lineRule="auto"/>
        <w:jc w:val="center"/>
        <w:rPr>
          <w:rFonts w:ascii="Arial" w:hAnsi="Arial" w:cs="Arial"/>
          <w:b/>
          <w:bCs/>
          <w:color w:val="000000" w:themeColor="text1"/>
          <w:sz w:val="22"/>
          <w:szCs w:val="22"/>
        </w:rPr>
      </w:pPr>
      <w:r w:rsidRPr="00A50E4A">
        <w:rPr>
          <w:rFonts w:ascii="Arial" w:hAnsi="Arial" w:cs="Arial"/>
          <w:b/>
          <w:bCs/>
          <w:color w:val="000000" w:themeColor="text1"/>
          <w:sz w:val="22"/>
          <w:szCs w:val="22"/>
        </w:rPr>
        <w:lastRenderedPageBreak/>
        <w:t>Introduction to Vodafone</w:t>
      </w:r>
    </w:p>
    <w:p w14:paraId="3343C6AA" w14:textId="2995C586" w:rsidR="00A50E4A" w:rsidRPr="00A50E4A" w:rsidRDefault="00A50E4A" w:rsidP="00A50E4A">
      <w:pPr>
        <w:spacing w:line="360" w:lineRule="auto"/>
        <w:ind w:firstLine="720"/>
        <w:rPr>
          <w:rFonts w:ascii="Arial" w:hAnsi="Arial" w:cs="Arial"/>
          <w:sz w:val="22"/>
          <w:szCs w:val="22"/>
        </w:rPr>
      </w:pPr>
      <w:r w:rsidRPr="00A50E4A">
        <w:rPr>
          <w:rFonts w:ascii="Arial" w:hAnsi="Arial" w:cs="Arial"/>
          <w:sz w:val="22"/>
          <w:szCs w:val="22"/>
        </w:rPr>
        <w:t xml:space="preserve">Vodafone is one of the world’s leading telecommunications companies, providing mobile, broadband and digital connectivity services across Europe and Africa. Following its merger with Three UK, </w:t>
      </w:r>
      <w:proofErr w:type="spellStart"/>
      <w:r w:rsidRPr="00A50E4A">
        <w:rPr>
          <w:rFonts w:ascii="Arial" w:hAnsi="Arial" w:cs="Arial"/>
          <w:sz w:val="22"/>
          <w:szCs w:val="22"/>
        </w:rPr>
        <w:t>VodafoneThree</w:t>
      </w:r>
      <w:proofErr w:type="spellEnd"/>
      <w:r w:rsidRPr="00A50E4A">
        <w:rPr>
          <w:rFonts w:ascii="Arial" w:hAnsi="Arial" w:cs="Arial"/>
          <w:sz w:val="22"/>
          <w:szCs w:val="22"/>
        </w:rPr>
        <w:t xml:space="preserve"> became the UK’s largest mobile operator, serving approximately 27 million customers (Vodafone Group Plc, 2025a; 2025b).</w:t>
      </w:r>
      <w:r w:rsidRPr="00A50E4A">
        <w:rPr>
          <w:rFonts w:ascii="Arial" w:hAnsi="Arial" w:cs="Arial"/>
          <w:sz w:val="22"/>
          <w:szCs w:val="22"/>
        </w:rPr>
        <w:t xml:space="preserve"> </w:t>
      </w:r>
      <w:r w:rsidRPr="00A50E4A">
        <w:rPr>
          <w:rFonts w:ascii="Arial" w:hAnsi="Arial" w:cs="Arial"/>
          <w:sz w:val="22"/>
          <w:szCs w:val="22"/>
        </w:rPr>
        <w:t>Despite this stronger market position, Vodafone continues to face intense competition, rising customer expectations and increasing commoditisation of traditional telecom services. This report evaluates the company’s strategic position and recommends a growth strategy based on 5G-enabled IoT and Smart City services.</w:t>
      </w:r>
    </w:p>
    <w:p w14:paraId="47D44879" w14:textId="77777777" w:rsidR="00615F2E" w:rsidRPr="00A50E4A" w:rsidRDefault="00615F2E" w:rsidP="00A50E4A">
      <w:pPr>
        <w:spacing w:after="160" w:line="360" w:lineRule="auto"/>
        <w:rPr>
          <w:rFonts w:ascii="Arial" w:eastAsia="Calibri" w:hAnsi="Arial" w:cs="Arial"/>
          <w:sz w:val="22"/>
          <w:szCs w:val="22"/>
        </w:rPr>
      </w:pPr>
    </w:p>
    <w:p w14:paraId="67CD8066" w14:textId="77777777" w:rsidR="00615F2E" w:rsidRPr="00A50E4A" w:rsidRDefault="00615F2E" w:rsidP="00615F2E">
      <w:pPr>
        <w:spacing w:after="160" w:line="360" w:lineRule="auto"/>
        <w:rPr>
          <w:rFonts w:ascii="Arial" w:eastAsia="Calibri" w:hAnsi="Arial" w:cs="Arial"/>
          <w:sz w:val="22"/>
          <w:szCs w:val="22"/>
        </w:rPr>
      </w:pPr>
    </w:p>
    <w:p w14:paraId="59BA37F3" w14:textId="77777777" w:rsidR="00615F2E" w:rsidRPr="00A50E4A" w:rsidRDefault="00615F2E" w:rsidP="00615F2E">
      <w:pPr>
        <w:spacing w:after="160" w:line="360" w:lineRule="auto"/>
        <w:rPr>
          <w:rFonts w:ascii="Arial" w:eastAsia="Calibri" w:hAnsi="Arial" w:cs="Arial"/>
          <w:sz w:val="22"/>
          <w:szCs w:val="22"/>
        </w:rPr>
      </w:pPr>
    </w:p>
    <w:p w14:paraId="425539C7" w14:textId="77777777" w:rsidR="00615F2E" w:rsidRPr="00A50E4A" w:rsidRDefault="00615F2E" w:rsidP="00615F2E">
      <w:pPr>
        <w:spacing w:after="160" w:line="360" w:lineRule="auto"/>
        <w:rPr>
          <w:rFonts w:ascii="Arial" w:eastAsia="Calibri" w:hAnsi="Arial" w:cs="Arial"/>
          <w:sz w:val="22"/>
          <w:szCs w:val="22"/>
        </w:rPr>
      </w:pPr>
    </w:p>
    <w:p w14:paraId="56EDDD74" w14:textId="77777777" w:rsidR="00615F2E" w:rsidRPr="00A50E4A" w:rsidRDefault="00615F2E" w:rsidP="00615F2E">
      <w:pPr>
        <w:spacing w:after="160" w:line="360" w:lineRule="auto"/>
        <w:rPr>
          <w:rFonts w:ascii="Arial" w:eastAsia="Calibri" w:hAnsi="Arial" w:cs="Arial"/>
          <w:sz w:val="22"/>
          <w:szCs w:val="22"/>
        </w:rPr>
      </w:pPr>
    </w:p>
    <w:p w14:paraId="3214E045" w14:textId="77777777" w:rsidR="00615F2E" w:rsidRPr="00A50E4A" w:rsidRDefault="00615F2E" w:rsidP="00615F2E">
      <w:pPr>
        <w:spacing w:after="160" w:line="360" w:lineRule="auto"/>
        <w:rPr>
          <w:rFonts w:ascii="Arial" w:eastAsia="Calibri" w:hAnsi="Arial" w:cs="Arial"/>
          <w:sz w:val="22"/>
          <w:szCs w:val="22"/>
        </w:rPr>
      </w:pPr>
    </w:p>
    <w:p w14:paraId="3E99F04D" w14:textId="77777777" w:rsidR="00615F2E" w:rsidRPr="00A50E4A" w:rsidRDefault="00615F2E" w:rsidP="00615F2E">
      <w:pPr>
        <w:spacing w:after="160" w:line="360" w:lineRule="auto"/>
        <w:rPr>
          <w:rFonts w:ascii="Arial" w:eastAsia="Calibri" w:hAnsi="Arial" w:cs="Arial"/>
          <w:sz w:val="22"/>
          <w:szCs w:val="22"/>
        </w:rPr>
      </w:pPr>
    </w:p>
    <w:p w14:paraId="6C603FE8" w14:textId="77777777" w:rsidR="00615F2E" w:rsidRPr="00A50E4A" w:rsidRDefault="00615F2E" w:rsidP="00615F2E">
      <w:pPr>
        <w:spacing w:after="160" w:line="360" w:lineRule="auto"/>
        <w:rPr>
          <w:rFonts w:ascii="Arial" w:eastAsia="Calibri" w:hAnsi="Arial" w:cs="Arial"/>
          <w:sz w:val="22"/>
          <w:szCs w:val="22"/>
        </w:rPr>
      </w:pPr>
    </w:p>
    <w:p w14:paraId="39839359" w14:textId="77777777" w:rsidR="00615F2E" w:rsidRPr="00A50E4A" w:rsidRDefault="00615F2E" w:rsidP="00615F2E">
      <w:pPr>
        <w:spacing w:after="160" w:line="360" w:lineRule="auto"/>
        <w:rPr>
          <w:rFonts w:ascii="Arial" w:eastAsia="Calibri" w:hAnsi="Arial" w:cs="Arial"/>
          <w:sz w:val="22"/>
          <w:szCs w:val="22"/>
        </w:rPr>
      </w:pPr>
    </w:p>
    <w:p w14:paraId="4C70087B" w14:textId="77777777" w:rsidR="00615F2E" w:rsidRPr="00A50E4A" w:rsidRDefault="00615F2E" w:rsidP="00615F2E">
      <w:pPr>
        <w:spacing w:after="160" w:line="360" w:lineRule="auto"/>
        <w:rPr>
          <w:rFonts w:ascii="Arial" w:eastAsia="Calibri" w:hAnsi="Arial" w:cs="Arial"/>
          <w:sz w:val="22"/>
          <w:szCs w:val="22"/>
        </w:rPr>
      </w:pPr>
    </w:p>
    <w:p w14:paraId="4A93C74B" w14:textId="77777777" w:rsidR="00615F2E" w:rsidRPr="00A50E4A" w:rsidRDefault="00615F2E" w:rsidP="00615F2E">
      <w:pPr>
        <w:spacing w:after="160" w:line="360" w:lineRule="auto"/>
        <w:rPr>
          <w:rFonts w:ascii="Arial" w:eastAsia="Calibri" w:hAnsi="Arial" w:cs="Arial"/>
          <w:sz w:val="22"/>
          <w:szCs w:val="22"/>
        </w:rPr>
      </w:pPr>
    </w:p>
    <w:p w14:paraId="2785DF1F" w14:textId="77777777" w:rsidR="00615F2E" w:rsidRPr="00A50E4A" w:rsidRDefault="00615F2E" w:rsidP="00615F2E">
      <w:pPr>
        <w:spacing w:after="160" w:line="360" w:lineRule="auto"/>
        <w:rPr>
          <w:rFonts w:ascii="Arial" w:eastAsia="Calibri" w:hAnsi="Arial" w:cs="Arial"/>
          <w:sz w:val="22"/>
          <w:szCs w:val="22"/>
        </w:rPr>
      </w:pPr>
    </w:p>
    <w:p w14:paraId="44DA5596" w14:textId="77777777" w:rsidR="00615F2E" w:rsidRPr="00A50E4A" w:rsidRDefault="00615F2E" w:rsidP="00615F2E">
      <w:pPr>
        <w:spacing w:after="160" w:line="360" w:lineRule="auto"/>
        <w:rPr>
          <w:rFonts w:ascii="Arial" w:eastAsia="Calibri" w:hAnsi="Arial" w:cs="Arial"/>
          <w:sz w:val="22"/>
          <w:szCs w:val="22"/>
        </w:rPr>
      </w:pPr>
    </w:p>
    <w:p w14:paraId="6232BCED" w14:textId="77777777" w:rsidR="00615F2E" w:rsidRPr="00A50E4A" w:rsidRDefault="00615F2E" w:rsidP="00615F2E">
      <w:pPr>
        <w:spacing w:after="160" w:line="360" w:lineRule="auto"/>
        <w:rPr>
          <w:rFonts w:ascii="Arial" w:eastAsia="Calibri" w:hAnsi="Arial" w:cs="Arial"/>
          <w:sz w:val="22"/>
          <w:szCs w:val="22"/>
        </w:rPr>
      </w:pPr>
    </w:p>
    <w:p w14:paraId="0D572449" w14:textId="77777777" w:rsidR="00A50E4A" w:rsidRPr="00A50E4A" w:rsidRDefault="00A50E4A" w:rsidP="00615F2E">
      <w:pPr>
        <w:spacing w:after="160" w:line="360" w:lineRule="auto"/>
        <w:rPr>
          <w:rFonts w:ascii="Arial" w:eastAsia="Calibri" w:hAnsi="Arial" w:cs="Arial"/>
          <w:sz w:val="22"/>
          <w:szCs w:val="22"/>
        </w:rPr>
      </w:pPr>
    </w:p>
    <w:p w14:paraId="20567F2C" w14:textId="77777777" w:rsidR="00A50E4A" w:rsidRPr="00A50E4A" w:rsidRDefault="00A50E4A" w:rsidP="00615F2E">
      <w:pPr>
        <w:spacing w:after="160" w:line="360" w:lineRule="auto"/>
        <w:rPr>
          <w:rFonts w:ascii="Arial" w:eastAsia="Calibri" w:hAnsi="Arial" w:cs="Arial"/>
          <w:sz w:val="22"/>
          <w:szCs w:val="22"/>
        </w:rPr>
      </w:pPr>
    </w:p>
    <w:p w14:paraId="521A1211" w14:textId="77777777" w:rsidR="00A50E4A" w:rsidRPr="00A50E4A" w:rsidRDefault="00A50E4A" w:rsidP="00615F2E">
      <w:pPr>
        <w:spacing w:after="160" w:line="360" w:lineRule="auto"/>
        <w:rPr>
          <w:rFonts w:ascii="Arial" w:eastAsia="Calibri" w:hAnsi="Arial" w:cs="Arial"/>
          <w:sz w:val="22"/>
          <w:szCs w:val="22"/>
        </w:rPr>
      </w:pPr>
    </w:p>
    <w:p w14:paraId="7F2ECB75" w14:textId="77777777" w:rsidR="00615F2E" w:rsidRPr="00A50E4A" w:rsidRDefault="00615F2E" w:rsidP="00615F2E">
      <w:pPr>
        <w:spacing w:after="160" w:line="360" w:lineRule="auto"/>
        <w:rPr>
          <w:rFonts w:ascii="Arial" w:hAnsi="Arial" w:cs="Arial"/>
          <w:sz w:val="22"/>
          <w:szCs w:val="22"/>
        </w:rPr>
      </w:pPr>
    </w:p>
    <w:p w14:paraId="793CDF23" w14:textId="77777777" w:rsidR="00A50E4A" w:rsidRDefault="00A50E4A" w:rsidP="00615F2E">
      <w:pPr>
        <w:pStyle w:val="Heading1"/>
        <w:spacing w:before="280" w:after="160" w:line="360" w:lineRule="auto"/>
        <w:jc w:val="center"/>
        <w:rPr>
          <w:rFonts w:ascii="Arial" w:hAnsi="Arial" w:cs="Arial"/>
          <w:b/>
          <w:bCs/>
          <w:color w:val="000000" w:themeColor="text1"/>
          <w:sz w:val="22"/>
          <w:szCs w:val="22"/>
        </w:rPr>
      </w:pPr>
    </w:p>
    <w:p w14:paraId="51B5EDFA" w14:textId="277CC922" w:rsidR="00466F20" w:rsidRPr="00A50E4A" w:rsidRDefault="006A1C32" w:rsidP="00615F2E">
      <w:pPr>
        <w:pStyle w:val="Heading1"/>
        <w:spacing w:before="280" w:after="160" w:line="360" w:lineRule="auto"/>
        <w:jc w:val="center"/>
        <w:rPr>
          <w:rFonts w:ascii="Arial" w:hAnsi="Arial" w:cs="Arial"/>
          <w:b/>
          <w:bCs/>
          <w:color w:val="000000" w:themeColor="text1"/>
          <w:sz w:val="22"/>
          <w:szCs w:val="22"/>
        </w:rPr>
      </w:pPr>
      <w:r w:rsidRPr="00A50E4A">
        <w:rPr>
          <w:rFonts w:ascii="Arial" w:hAnsi="Arial" w:cs="Arial"/>
          <w:b/>
          <w:bCs/>
          <w:color w:val="000000" w:themeColor="text1"/>
          <w:sz w:val="22"/>
          <w:szCs w:val="22"/>
        </w:rPr>
        <w:lastRenderedPageBreak/>
        <w:t>2. Strategic and Literature Context</w:t>
      </w:r>
    </w:p>
    <w:p w14:paraId="51B5EDFB" w14:textId="77777777" w:rsidR="00466F20" w:rsidRPr="00A50E4A" w:rsidRDefault="006A1C32" w:rsidP="00615F2E">
      <w:pPr>
        <w:spacing w:after="160" w:line="360" w:lineRule="auto"/>
        <w:ind w:firstLine="720"/>
        <w:rPr>
          <w:rFonts w:ascii="Arial" w:hAnsi="Arial" w:cs="Arial"/>
          <w:sz w:val="22"/>
          <w:szCs w:val="22"/>
        </w:rPr>
      </w:pPr>
      <w:r w:rsidRPr="00A50E4A">
        <w:rPr>
          <w:rFonts w:ascii="Arial" w:eastAsia="Calibri" w:hAnsi="Arial" w:cs="Arial"/>
          <w:sz w:val="22"/>
          <w:szCs w:val="22"/>
        </w:rPr>
        <w:t>Porter (1985) argues sustainable advantage rests on cost leadership or differentiation. Because UK customers can easily compare providers and switch, differentiation through digital services is the more credible route, though it is easily imitated.</w:t>
      </w:r>
    </w:p>
    <w:p w14:paraId="51B5EDFC" w14:textId="77777777" w:rsidR="00466F20" w:rsidRPr="00A50E4A" w:rsidRDefault="006A1C32" w:rsidP="00615F2E">
      <w:pPr>
        <w:spacing w:after="160" w:line="360" w:lineRule="auto"/>
        <w:ind w:firstLine="720"/>
        <w:rPr>
          <w:rFonts w:ascii="Arial" w:hAnsi="Arial" w:cs="Arial"/>
          <w:sz w:val="22"/>
          <w:szCs w:val="22"/>
        </w:rPr>
      </w:pPr>
      <w:r w:rsidRPr="00A50E4A">
        <w:rPr>
          <w:rFonts w:ascii="Arial" w:eastAsia="Calibri" w:hAnsi="Arial" w:cs="Arial"/>
          <w:sz w:val="22"/>
          <w:szCs w:val="22"/>
        </w:rPr>
        <w:t>Ansoff (1957) identifies product development – new products in existing markets – as well suited to organisations with an established base, which fits Vodafone's large customer base, network assets and brand. Freeman's (1984) Stakeholder Theory adds that success depends on regulators, local authorities and the public, not only shareholders.</w:t>
      </w:r>
    </w:p>
    <w:p w14:paraId="51B5EDFD" w14:textId="77777777" w:rsidR="00466F20" w:rsidRPr="00A50E4A" w:rsidRDefault="006A1C32" w:rsidP="00615F2E">
      <w:pPr>
        <w:spacing w:after="160" w:line="360" w:lineRule="auto"/>
        <w:ind w:firstLine="720"/>
        <w:rPr>
          <w:rFonts w:ascii="Arial" w:hAnsi="Arial" w:cs="Arial"/>
          <w:sz w:val="22"/>
          <w:szCs w:val="22"/>
        </w:rPr>
      </w:pPr>
      <w:r w:rsidRPr="00A50E4A">
        <w:rPr>
          <w:rFonts w:ascii="Arial" w:eastAsia="Calibri" w:hAnsi="Arial" w:cs="Arial"/>
          <w:sz w:val="22"/>
          <w:szCs w:val="22"/>
        </w:rPr>
        <w:t xml:space="preserve">Academic opinion on Smart Cities is divided, and the division matters for how confidently Vodafone should proceed. </w:t>
      </w:r>
      <w:proofErr w:type="spellStart"/>
      <w:r w:rsidRPr="00A50E4A">
        <w:rPr>
          <w:rFonts w:ascii="Arial" w:eastAsia="Calibri" w:hAnsi="Arial" w:cs="Arial"/>
          <w:sz w:val="22"/>
          <w:szCs w:val="22"/>
        </w:rPr>
        <w:t>Bibri</w:t>
      </w:r>
      <w:proofErr w:type="spellEnd"/>
      <w:r w:rsidRPr="00A50E4A">
        <w:rPr>
          <w:rFonts w:ascii="Arial" w:eastAsia="Calibri" w:hAnsi="Arial" w:cs="Arial"/>
          <w:sz w:val="22"/>
          <w:szCs w:val="22"/>
        </w:rPr>
        <w:t xml:space="preserve"> and </w:t>
      </w:r>
      <w:proofErr w:type="spellStart"/>
      <w:r w:rsidRPr="00A50E4A">
        <w:rPr>
          <w:rFonts w:ascii="Arial" w:eastAsia="Calibri" w:hAnsi="Arial" w:cs="Arial"/>
          <w:sz w:val="22"/>
          <w:szCs w:val="22"/>
        </w:rPr>
        <w:t>Krogstie</w:t>
      </w:r>
      <w:proofErr w:type="spellEnd"/>
      <w:r w:rsidRPr="00A50E4A">
        <w:rPr>
          <w:rFonts w:ascii="Arial" w:eastAsia="Calibri" w:hAnsi="Arial" w:cs="Arial"/>
          <w:sz w:val="22"/>
          <w:szCs w:val="22"/>
        </w:rPr>
        <w:t xml:space="preserve"> (2017) and Albino, Berardi and Dangelico (2015) argue that integrating technology with governance and infrastructure improves sustainability and urban services. Kitchin (2014) treats the same data infrastructure as a governance risk – surveillance, weak accountability and loss of public trust – so efficiency gains cannot be assumed to offset trust concerns.</w:t>
      </w:r>
    </w:p>
    <w:p w14:paraId="51B5EDFE" w14:textId="77777777" w:rsidR="00466F20" w:rsidRPr="00A50E4A" w:rsidRDefault="006A1C32" w:rsidP="00615F2E">
      <w:pPr>
        <w:spacing w:after="160" w:line="360" w:lineRule="auto"/>
        <w:ind w:firstLine="720"/>
        <w:rPr>
          <w:rFonts w:ascii="Arial" w:hAnsi="Arial" w:cs="Arial"/>
          <w:sz w:val="22"/>
          <w:szCs w:val="22"/>
        </w:rPr>
      </w:pPr>
      <w:r w:rsidRPr="00A50E4A">
        <w:rPr>
          <w:rFonts w:ascii="Arial" w:eastAsia="Calibri" w:hAnsi="Arial" w:cs="Arial"/>
          <w:sz w:val="22"/>
          <w:szCs w:val="22"/>
        </w:rPr>
        <w:t xml:space="preserve">More recent work sharpens rather than settles this divide. </w:t>
      </w:r>
      <w:proofErr w:type="spellStart"/>
      <w:r w:rsidRPr="00A50E4A">
        <w:rPr>
          <w:rFonts w:ascii="Arial" w:eastAsia="Calibri" w:hAnsi="Arial" w:cs="Arial"/>
          <w:sz w:val="22"/>
          <w:szCs w:val="22"/>
        </w:rPr>
        <w:t>Ziosi</w:t>
      </w:r>
      <w:proofErr w:type="spellEnd"/>
      <w:r w:rsidRPr="00A50E4A">
        <w:rPr>
          <w:rFonts w:ascii="Arial" w:eastAsia="Calibri" w:hAnsi="Arial" w:cs="Arial"/>
          <w:sz w:val="22"/>
          <w:szCs w:val="22"/>
        </w:rPr>
        <w:t xml:space="preserve"> et al. (2024) find that the concerns Kitchin raised – surveillance, data ownership and weak accountability – remain unresolved in the current debate, while Sharifi et al. (2024) show that the literature is biased towards documenting the benefits of Smart Cities, leaving trade-offs comparatively underexplored. The evidence base supporting this strategy is therefore weaker than the sheer volume of publication suggests.</w:t>
      </w:r>
    </w:p>
    <w:p w14:paraId="51B5EDFF" w14:textId="77777777" w:rsidR="00466F20" w:rsidRPr="00A50E4A" w:rsidRDefault="006A1C32" w:rsidP="00615F2E">
      <w:pPr>
        <w:spacing w:after="160" w:line="360" w:lineRule="auto"/>
        <w:ind w:firstLine="720"/>
        <w:rPr>
          <w:rFonts w:ascii="Arial" w:hAnsi="Arial" w:cs="Arial"/>
          <w:sz w:val="22"/>
          <w:szCs w:val="22"/>
        </w:rPr>
      </w:pPr>
      <w:r w:rsidRPr="00A50E4A">
        <w:rPr>
          <w:rFonts w:ascii="Arial" w:eastAsia="Calibri" w:hAnsi="Arial" w:cs="Arial"/>
          <w:sz w:val="22"/>
          <w:szCs w:val="22"/>
        </w:rPr>
        <w:t xml:space="preserve">Porter and </w:t>
      </w:r>
      <w:proofErr w:type="spellStart"/>
      <w:r w:rsidRPr="00A50E4A">
        <w:rPr>
          <w:rFonts w:ascii="Arial" w:eastAsia="Calibri" w:hAnsi="Arial" w:cs="Arial"/>
          <w:sz w:val="22"/>
          <w:szCs w:val="22"/>
        </w:rPr>
        <w:t>Heppelmann</w:t>
      </w:r>
      <w:proofErr w:type="spellEnd"/>
      <w:r w:rsidRPr="00A50E4A">
        <w:rPr>
          <w:rFonts w:ascii="Arial" w:eastAsia="Calibri" w:hAnsi="Arial" w:cs="Arial"/>
          <w:sz w:val="22"/>
          <w:szCs w:val="22"/>
        </w:rPr>
        <w:t xml:space="preserve"> (2014) argue smart, connected products are transforming competition through data and service integration, reinforcing the case for IoT services while making trust central to their implementation.</w:t>
      </w:r>
    </w:p>
    <w:p w14:paraId="51B5EE00" w14:textId="77777777" w:rsidR="00466F20" w:rsidRPr="00A50E4A" w:rsidRDefault="006A1C32" w:rsidP="00615F2E">
      <w:pPr>
        <w:pStyle w:val="Heading1"/>
        <w:spacing w:before="280" w:after="160" w:line="360" w:lineRule="auto"/>
        <w:jc w:val="center"/>
        <w:rPr>
          <w:rFonts w:ascii="Arial" w:hAnsi="Arial" w:cs="Arial"/>
          <w:b/>
          <w:bCs/>
          <w:color w:val="000000" w:themeColor="text1"/>
          <w:sz w:val="22"/>
          <w:szCs w:val="22"/>
        </w:rPr>
      </w:pPr>
      <w:r w:rsidRPr="00A50E4A">
        <w:rPr>
          <w:rFonts w:ascii="Arial" w:hAnsi="Arial" w:cs="Arial"/>
          <w:b/>
          <w:bCs/>
          <w:color w:val="000000" w:themeColor="text1"/>
          <w:sz w:val="22"/>
          <w:szCs w:val="22"/>
        </w:rPr>
        <w:t>3. Evaluation of Current Market Situation</w:t>
      </w:r>
    </w:p>
    <w:p w14:paraId="22F6DA19" w14:textId="77777777" w:rsidR="00A50E4A" w:rsidRPr="00A50E4A" w:rsidRDefault="00A50E4A" w:rsidP="001A2670">
      <w:pPr>
        <w:spacing w:line="360" w:lineRule="auto"/>
        <w:rPr>
          <w:rFonts w:ascii="Arial" w:hAnsi="Arial" w:cs="Arial"/>
          <w:sz w:val="22"/>
          <w:szCs w:val="22"/>
        </w:rPr>
      </w:pPr>
      <w:r w:rsidRPr="00A50E4A">
        <w:rPr>
          <w:rFonts w:ascii="Arial" w:hAnsi="Arial" w:cs="Arial"/>
          <w:b/>
          <w:bCs/>
          <w:sz w:val="22"/>
          <w:szCs w:val="22"/>
        </w:rPr>
        <w:t>3.1 PESTLE Analysis</w:t>
      </w:r>
      <w:r w:rsidRPr="00A50E4A">
        <w:rPr>
          <w:rFonts w:ascii="Arial" w:hAnsi="Arial" w:cs="Arial"/>
          <w:sz w:val="22"/>
          <w:szCs w:val="22"/>
        </w:rPr>
        <w:br/>
      </w:r>
      <w:r w:rsidRPr="00A50E4A">
        <w:rPr>
          <w:rFonts w:ascii="Arial" w:hAnsi="Arial" w:cs="Arial"/>
          <w:sz w:val="22"/>
          <w:szCs w:val="22"/>
        </w:rPr>
        <w:br/>
        <w:t>PESTLE analysis evaluates the external factors influencing Vodafone’s strategic environment following the merger and increased investment commitments.</w:t>
      </w:r>
      <w:r w:rsidRPr="00A50E4A">
        <w:rPr>
          <w:rFonts w:ascii="Arial" w:hAnsi="Arial" w:cs="Arial"/>
          <w:sz w:val="22"/>
          <w:szCs w:val="22"/>
        </w:rPr>
        <w:br/>
      </w:r>
      <w:r w:rsidRPr="00A50E4A">
        <w:rPr>
          <w:rFonts w:ascii="Arial" w:hAnsi="Arial" w:cs="Arial"/>
          <w:sz w:val="22"/>
          <w:szCs w:val="22"/>
        </w:rPr>
        <w:br/>
      </w:r>
      <w:r w:rsidRPr="00A50E4A">
        <w:rPr>
          <w:rFonts w:ascii="Arial" w:hAnsi="Arial" w:cs="Arial"/>
          <w:b/>
          <w:bCs/>
          <w:sz w:val="22"/>
          <w:szCs w:val="22"/>
        </w:rPr>
        <w:t>Political Factors</w:t>
      </w:r>
      <w:r w:rsidRPr="00A50E4A">
        <w:rPr>
          <w:rFonts w:ascii="Arial" w:hAnsi="Arial" w:cs="Arial"/>
          <w:sz w:val="22"/>
          <w:szCs w:val="22"/>
        </w:rPr>
        <w:br/>
      </w:r>
      <w:r w:rsidRPr="00A50E4A">
        <w:rPr>
          <w:rFonts w:ascii="Arial" w:hAnsi="Arial" w:cs="Arial"/>
          <w:sz w:val="22"/>
          <w:szCs w:val="22"/>
        </w:rPr>
        <w:br/>
        <w:t xml:space="preserve">Government policy supports digital infrastructure expansion, with 5G recognised as a driver of economic growth and productivity (Department for Science, Innovation and Technology, </w:t>
      </w:r>
      <w:r w:rsidRPr="00A50E4A">
        <w:rPr>
          <w:rFonts w:ascii="Arial" w:hAnsi="Arial" w:cs="Arial"/>
          <w:sz w:val="22"/>
          <w:szCs w:val="22"/>
        </w:rPr>
        <w:lastRenderedPageBreak/>
        <w:t xml:space="preserve">2023). Regulatory approval of the Vodafone–Three merger also reflects this support. However, as the UK’s largest mobile operator, </w:t>
      </w:r>
      <w:proofErr w:type="spellStart"/>
      <w:r w:rsidRPr="00A50E4A">
        <w:rPr>
          <w:rFonts w:ascii="Arial" w:hAnsi="Arial" w:cs="Arial"/>
          <w:sz w:val="22"/>
          <w:szCs w:val="22"/>
        </w:rPr>
        <w:t>VodafoneThree</w:t>
      </w:r>
      <w:proofErr w:type="spellEnd"/>
      <w:r w:rsidRPr="00A50E4A">
        <w:rPr>
          <w:rFonts w:ascii="Arial" w:hAnsi="Arial" w:cs="Arial"/>
          <w:sz w:val="22"/>
          <w:szCs w:val="22"/>
        </w:rPr>
        <w:t xml:space="preserve"> is likely to face closer regulatory scrutiny.</w:t>
      </w:r>
      <w:r w:rsidRPr="00A50E4A">
        <w:rPr>
          <w:rFonts w:ascii="Arial" w:hAnsi="Arial" w:cs="Arial"/>
          <w:sz w:val="22"/>
          <w:szCs w:val="22"/>
        </w:rPr>
        <w:br/>
      </w:r>
      <w:r w:rsidRPr="00A50E4A">
        <w:rPr>
          <w:rFonts w:ascii="Arial" w:hAnsi="Arial" w:cs="Arial"/>
          <w:sz w:val="22"/>
          <w:szCs w:val="22"/>
        </w:rPr>
        <w:br/>
      </w:r>
      <w:r w:rsidRPr="00A50E4A">
        <w:rPr>
          <w:rFonts w:ascii="Arial" w:hAnsi="Arial" w:cs="Arial"/>
          <w:b/>
          <w:bCs/>
          <w:sz w:val="22"/>
          <w:szCs w:val="22"/>
        </w:rPr>
        <w:t>Economic Factors</w:t>
      </w:r>
      <w:r w:rsidRPr="00A50E4A">
        <w:rPr>
          <w:rFonts w:ascii="Arial" w:hAnsi="Arial" w:cs="Arial"/>
          <w:sz w:val="22"/>
          <w:szCs w:val="22"/>
        </w:rPr>
        <w:br/>
      </w:r>
      <w:r w:rsidRPr="00A50E4A">
        <w:rPr>
          <w:rFonts w:ascii="Arial" w:hAnsi="Arial" w:cs="Arial"/>
          <w:sz w:val="22"/>
          <w:szCs w:val="22"/>
        </w:rPr>
        <w:br/>
        <w:t>Although inflation has eased, many consumers remain price sensitive. This limits Vodafone’s ability to increase prices and may reduce margins as investment in IoT and Smart City services accelerates.</w:t>
      </w:r>
      <w:r w:rsidRPr="00A50E4A">
        <w:rPr>
          <w:rFonts w:ascii="Arial" w:hAnsi="Arial" w:cs="Arial"/>
          <w:sz w:val="22"/>
          <w:szCs w:val="22"/>
        </w:rPr>
        <w:br/>
      </w:r>
      <w:r w:rsidRPr="00A50E4A">
        <w:rPr>
          <w:rFonts w:ascii="Arial" w:hAnsi="Arial" w:cs="Arial"/>
          <w:sz w:val="22"/>
          <w:szCs w:val="22"/>
        </w:rPr>
        <w:br/>
      </w:r>
      <w:r w:rsidRPr="00A50E4A">
        <w:rPr>
          <w:rFonts w:ascii="Arial" w:hAnsi="Arial" w:cs="Arial"/>
          <w:b/>
          <w:bCs/>
          <w:sz w:val="22"/>
          <w:szCs w:val="22"/>
        </w:rPr>
        <w:t>Social Factors</w:t>
      </w:r>
      <w:r w:rsidRPr="00A50E4A">
        <w:rPr>
          <w:rFonts w:ascii="Arial" w:hAnsi="Arial" w:cs="Arial"/>
          <w:sz w:val="22"/>
          <w:szCs w:val="22"/>
        </w:rPr>
        <w:br/>
      </w:r>
      <w:r w:rsidRPr="00A50E4A">
        <w:rPr>
          <w:rFonts w:ascii="Arial" w:hAnsi="Arial" w:cs="Arial"/>
          <w:sz w:val="22"/>
          <w:szCs w:val="22"/>
        </w:rPr>
        <w:br/>
        <w:t>Reliable digital connectivity has become essential, with UK mobile data use increasing by 18% in 2025 (Ofcom, 2025). As customer expectations continue to rise, poor service quality could increase switching to competitors.</w:t>
      </w:r>
      <w:r w:rsidRPr="00A50E4A">
        <w:rPr>
          <w:rFonts w:ascii="Arial" w:hAnsi="Arial" w:cs="Arial"/>
          <w:sz w:val="22"/>
          <w:szCs w:val="22"/>
        </w:rPr>
        <w:br/>
      </w:r>
      <w:r w:rsidRPr="00A50E4A">
        <w:rPr>
          <w:rFonts w:ascii="Arial" w:hAnsi="Arial" w:cs="Arial"/>
          <w:sz w:val="22"/>
          <w:szCs w:val="22"/>
        </w:rPr>
        <w:br/>
      </w:r>
      <w:r w:rsidRPr="00A50E4A">
        <w:rPr>
          <w:rFonts w:ascii="Arial" w:hAnsi="Arial" w:cs="Arial"/>
          <w:b/>
          <w:bCs/>
          <w:sz w:val="22"/>
          <w:szCs w:val="22"/>
        </w:rPr>
        <w:t>Technological Factors</w:t>
      </w:r>
      <w:r w:rsidRPr="00A50E4A">
        <w:rPr>
          <w:rFonts w:ascii="Arial" w:hAnsi="Arial" w:cs="Arial"/>
          <w:sz w:val="22"/>
          <w:szCs w:val="22"/>
        </w:rPr>
        <w:br/>
      </w:r>
      <w:r w:rsidRPr="00A50E4A">
        <w:rPr>
          <w:rFonts w:ascii="Arial" w:hAnsi="Arial" w:cs="Arial"/>
          <w:sz w:val="22"/>
          <w:szCs w:val="22"/>
        </w:rPr>
        <w:br/>
      </w:r>
      <w:proofErr w:type="spellStart"/>
      <w:r w:rsidRPr="00A50E4A">
        <w:rPr>
          <w:rFonts w:ascii="Arial" w:hAnsi="Arial" w:cs="Arial"/>
          <w:sz w:val="22"/>
          <w:szCs w:val="22"/>
        </w:rPr>
        <w:t>VodafoneThree</w:t>
      </w:r>
      <w:proofErr w:type="spellEnd"/>
      <w:r w:rsidRPr="00A50E4A">
        <w:rPr>
          <w:rFonts w:ascii="Arial" w:hAnsi="Arial" w:cs="Arial"/>
          <w:sz w:val="22"/>
          <w:szCs w:val="22"/>
        </w:rPr>
        <w:t xml:space="preserve"> plans to invest £11 billion in its UK network over the next decade (Vodafone Group Plc, 2025b). However, competitive advantage will depend less on network ownership than on developing value-added IoT applications across transport, public services and industry (Porter and Heppelmann, 2014), particularly as competitors continue investing.</w:t>
      </w:r>
      <w:r w:rsidRPr="00A50E4A">
        <w:rPr>
          <w:rFonts w:ascii="Arial" w:hAnsi="Arial" w:cs="Arial"/>
          <w:sz w:val="22"/>
          <w:szCs w:val="22"/>
        </w:rPr>
        <w:br/>
      </w:r>
      <w:r w:rsidRPr="00A50E4A">
        <w:rPr>
          <w:rFonts w:ascii="Arial" w:hAnsi="Arial" w:cs="Arial"/>
          <w:sz w:val="22"/>
          <w:szCs w:val="22"/>
        </w:rPr>
        <w:br/>
      </w:r>
      <w:r w:rsidRPr="00A50E4A">
        <w:rPr>
          <w:rFonts w:ascii="Arial" w:hAnsi="Arial" w:cs="Arial"/>
          <w:b/>
          <w:bCs/>
          <w:sz w:val="22"/>
          <w:szCs w:val="22"/>
        </w:rPr>
        <w:t>Legal Factors</w:t>
      </w:r>
      <w:r w:rsidRPr="00A50E4A">
        <w:rPr>
          <w:rFonts w:ascii="Arial" w:hAnsi="Arial" w:cs="Arial"/>
          <w:sz w:val="22"/>
          <w:szCs w:val="22"/>
        </w:rPr>
        <w:br/>
      </w:r>
      <w:r w:rsidRPr="00A50E4A">
        <w:rPr>
          <w:rFonts w:ascii="Arial" w:hAnsi="Arial" w:cs="Arial"/>
          <w:sz w:val="22"/>
          <w:szCs w:val="22"/>
        </w:rPr>
        <w:br/>
        <w:t>Expanding IoT and Smart City services increases obligations under data protection, cybersecurity and competition law. As Kitchin (2014) argues, legal compliance alone does not create public trust, making strong governance equally important.</w:t>
      </w:r>
      <w:r w:rsidRPr="00A50E4A">
        <w:rPr>
          <w:rFonts w:ascii="Arial" w:hAnsi="Arial" w:cs="Arial"/>
          <w:sz w:val="22"/>
          <w:szCs w:val="22"/>
        </w:rPr>
        <w:br/>
      </w:r>
      <w:r w:rsidRPr="00A50E4A">
        <w:rPr>
          <w:rFonts w:ascii="Arial" w:hAnsi="Arial" w:cs="Arial"/>
          <w:sz w:val="22"/>
          <w:szCs w:val="22"/>
        </w:rPr>
        <w:br/>
      </w:r>
      <w:r w:rsidRPr="00A50E4A">
        <w:rPr>
          <w:rFonts w:ascii="Arial" w:hAnsi="Arial" w:cs="Arial"/>
          <w:b/>
          <w:bCs/>
          <w:sz w:val="22"/>
          <w:szCs w:val="22"/>
        </w:rPr>
        <w:t>Environmental Factors</w:t>
      </w:r>
      <w:r w:rsidRPr="00A50E4A">
        <w:rPr>
          <w:rFonts w:ascii="Arial" w:hAnsi="Arial" w:cs="Arial"/>
          <w:sz w:val="22"/>
          <w:szCs w:val="22"/>
        </w:rPr>
        <w:br/>
      </w:r>
      <w:r w:rsidRPr="00A50E4A">
        <w:rPr>
          <w:rFonts w:ascii="Arial" w:hAnsi="Arial" w:cs="Arial"/>
          <w:sz w:val="22"/>
          <w:szCs w:val="22"/>
        </w:rPr>
        <w:br/>
        <w:t>Sustainability is increasingly important for governments, investors and customers, and Vodafone has committed to reducing its environmental impact (Vodafone Group Plc, 2025a). However, the environmental effects of additional IoT devices and data centres remain difficult to quantify, creating tension between digital expansion and sustainability goals.</w:t>
      </w:r>
      <w:r w:rsidRPr="00A50E4A">
        <w:rPr>
          <w:rFonts w:ascii="Arial" w:hAnsi="Arial" w:cs="Arial"/>
          <w:sz w:val="22"/>
          <w:szCs w:val="22"/>
        </w:rPr>
        <w:br/>
      </w:r>
      <w:r w:rsidRPr="00A50E4A">
        <w:rPr>
          <w:rFonts w:ascii="Arial" w:hAnsi="Arial" w:cs="Arial"/>
          <w:sz w:val="22"/>
          <w:szCs w:val="22"/>
        </w:rPr>
        <w:br/>
      </w:r>
      <w:r w:rsidRPr="00A50E4A">
        <w:rPr>
          <w:rFonts w:ascii="Arial" w:hAnsi="Arial" w:cs="Arial"/>
          <w:b/>
          <w:bCs/>
          <w:sz w:val="22"/>
          <w:szCs w:val="22"/>
        </w:rPr>
        <w:t>PESTLE Summary</w:t>
      </w:r>
      <w:r w:rsidRPr="00A50E4A">
        <w:rPr>
          <w:rFonts w:ascii="Arial" w:hAnsi="Arial" w:cs="Arial"/>
          <w:sz w:val="22"/>
          <w:szCs w:val="22"/>
        </w:rPr>
        <w:br/>
      </w:r>
      <w:r w:rsidRPr="00A50E4A">
        <w:rPr>
          <w:rFonts w:ascii="Arial" w:hAnsi="Arial" w:cs="Arial"/>
          <w:sz w:val="22"/>
          <w:szCs w:val="22"/>
        </w:rPr>
        <w:lastRenderedPageBreak/>
        <w:br/>
        <w:t>Political support, technological progress and growing demand create opportunities for expansion, but economic pressure, rising customer expectations and regulatory requirements mean sustainable growth will depend on effective strategic and regulatory management rather than favourable market conditions alone.</w:t>
      </w:r>
    </w:p>
    <w:p w14:paraId="51B5EE10" w14:textId="256C919B" w:rsidR="00466F20" w:rsidRPr="00A50E4A" w:rsidRDefault="00466F20" w:rsidP="00A50E4A">
      <w:pPr>
        <w:pStyle w:val="Heading2"/>
        <w:spacing w:before="220" w:after="120" w:line="360" w:lineRule="auto"/>
        <w:rPr>
          <w:rFonts w:ascii="Arial" w:hAnsi="Arial" w:cs="Arial"/>
          <w:sz w:val="22"/>
          <w:szCs w:val="22"/>
        </w:rPr>
      </w:pPr>
    </w:p>
    <w:p w14:paraId="51B5EE11" w14:textId="77777777" w:rsidR="00466F20" w:rsidRPr="00A50E4A" w:rsidRDefault="006A1C32" w:rsidP="00615F2E">
      <w:pPr>
        <w:pStyle w:val="Heading2"/>
        <w:spacing w:before="220" w:after="120" w:line="360" w:lineRule="auto"/>
        <w:rPr>
          <w:rFonts w:ascii="Arial" w:hAnsi="Arial" w:cs="Arial"/>
          <w:b/>
          <w:bCs/>
          <w:color w:val="000000" w:themeColor="text1"/>
          <w:sz w:val="22"/>
          <w:szCs w:val="22"/>
        </w:rPr>
      </w:pPr>
      <w:r w:rsidRPr="00A50E4A">
        <w:rPr>
          <w:rFonts w:ascii="Arial" w:hAnsi="Arial" w:cs="Arial"/>
          <w:b/>
          <w:bCs/>
          <w:color w:val="000000" w:themeColor="text1"/>
          <w:sz w:val="22"/>
          <w:szCs w:val="22"/>
        </w:rPr>
        <w:t>3.2 Porter's Five Forces Analysis</w:t>
      </w:r>
    </w:p>
    <w:p w14:paraId="51B5EE12" w14:textId="77777777" w:rsidR="00466F20" w:rsidRPr="00A50E4A" w:rsidRDefault="006A1C32" w:rsidP="00615F2E">
      <w:pPr>
        <w:spacing w:after="160" w:line="360" w:lineRule="auto"/>
        <w:rPr>
          <w:rFonts w:ascii="Arial" w:hAnsi="Arial" w:cs="Arial"/>
          <w:sz w:val="22"/>
          <w:szCs w:val="22"/>
        </w:rPr>
      </w:pPr>
      <w:r w:rsidRPr="00A50E4A">
        <w:rPr>
          <w:rFonts w:ascii="Arial" w:eastAsia="Calibri" w:hAnsi="Arial" w:cs="Arial"/>
          <w:sz w:val="22"/>
          <w:szCs w:val="22"/>
        </w:rPr>
        <w:t>Porter's Five Forces framework assesses competitive intensity and profitability drivers (Porter, 1980), relevant given the maturity of UK telecoms.</w:t>
      </w:r>
    </w:p>
    <w:p w14:paraId="51B5EE13" w14:textId="77777777" w:rsidR="00466F20" w:rsidRPr="00A50E4A" w:rsidRDefault="006A1C32" w:rsidP="00615F2E">
      <w:pPr>
        <w:pStyle w:val="Heading3"/>
        <w:spacing w:before="180" w:after="100" w:line="360" w:lineRule="auto"/>
        <w:rPr>
          <w:rFonts w:ascii="Arial" w:hAnsi="Arial" w:cs="Arial"/>
          <w:b/>
          <w:bCs/>
          <w:color w:val="000000" w:themeColor="text1"/>
          <w:sz w:val="22"/>
          <w:szCs w:val="22"/>
        </w:rPr>
      </w:pPr>
      <w:r w:rsidRPr="00A50E4A">
        <w:rPr>
          <w:rFonts w:ascii="Arial" w:hAnsi="Arial" w:cs="Arial"/>
          <w:b/>
          <w:bCs/>
          <w:color w:val="000000" w:themeColor="text1"/>
          <w:sz w:val="22"/>
          <w:szCs w:val="22"/>
        </w:rPr>
        <w:t>Competitive Rivalry – High</w:t>
      </w:r>
    </w:p>
    <w:p w14:paraId="51B5EE14" w14:textId="77777777" w:rsidR="00466F20" w:rsidRPr="00A50E4A" w:rsidRDefault="006A1C32" w:rsidP="00615F2E">
      <w:pPr>
        <w:spacing w:after="160" w:line="360" w:lineRule="auto"/>
        <w:ind w:firstLine="720"/>
        <w:rPr>
          <w:rFonts w:ascii="Arial" w:hAnsi="Arial" w:cs="Arial"/>
          <w:sz w:val="22"/>
          <w:szCs w:val="22"/>
        </w:rPr>
      </w:pPr>
      <w:r w:rsidRPr="00A50E4A">
        <w:rPr>
          <w:rFonts w:ascii="Arial" w:eastAsia="Calibri" w:hAnsi="Arial" w:cs="Arial"/>
          <w:sz w:val="22"/>
          <w:szCs w:val="22"/>
        </w:rPr>
        <w:t>Rivalry is intense because Vodafone competes with two other national network operators and numerous MVNOs offering broadly comparable consumer services. Rivals continue to invest, so the scale gained through the merger will not by itself remove pressure – Vodafone needs services competitors cannot easily copy, supporting IoT and Smart City expansion.</w:t>
      </w:r>
    </w:p>
    <w:p w14:paraId="51B5EE15" w14:textId="77777777" w:rsidR="00466F20" w:rsidRPr="00A50E4A" w:rsidRDefault="006A1C32" w:rsidP="00615F2E">
      <w:pPr>
        <w:pStyle w:val="Heading3"/>
        <w:spacing w:before="180" w:after="100" w:line="360" w:lineRule="auto"/>
        <w:rPr>
          <w:rFonts w:ascii="Arial" w:hAnsi="Arial" w:cs="Arial"/>
          <w:b/>
          <w:bCs/>
          <w:color w:val="000000" w:themeColor="text1"/>
          <w:sz w:val="22"/>
          <w:szCs w:val="22"/>
        </w:rPr>
      </w:pPr>
      <w:r w:rsidRPr="00A50E4A">
        <w:rPr>
          <w:rFonts w:ascii="Arial" w:hAnsi="Arial" w:cs="Arial"/>
          <w:b/>
          <w:bCs/>
          <w:color w:val="000000" w:themeColor="text1"/>
          <w:sz w:val="22"/>
          <w:szCs w:val="22"/>
        </w:rPr>
        <w:t>Threat of New Entrants – Low to Medium</w:t>
      </w:r>
    </w:p>
    <w:p w14:paraId="51B5EE16" w14:textId="77777777" w:rsidR="00466F20" w:rsidRPr="00A50E4A" w:rsidRDefault="006A1C32" w:rsidP="00615F2E">
      <w:pPr>
        <w:spacing w:after="160" w:line="360" w:lineRule="auto"/>
        <w:ind w:firstLine="720"/>
        <w:rPr>
          <w:rFonts w:ascii="Arial" w:hAnsi="Arial" w:cs="Arial"/>
          <w:sz w:val="22"/>
          <w:szCs w:val="22"/>
        </w:rPr>
      </w:pPr>
      <w:r w:rsidRPr="00A50E4A">
        <w:rPr>
          <w:rFonts w:ascii="Arial" w:eastAsia="Calibri" w:hAnsi="Arial" w:cs="Arial"/>
          <w:sz w:val="22"/>
          <w:szCs w:val="22"/>
        </w:rPr>
        <w:t>High capital and spectrum requirements limit new national entrants, though MVNOs enter by leasing access, raising price competition without an infrastructure threat. Barriers protect Vodafone but are a ceiling on new competition, not a source of growth.</w:t>
      </w:r>
    </w:p>
    <w:p w14:paraId="51B5EE17" w14:textId="77777777" w:rsidR="00466F20" w:rsidRPr="00A50E4A" w:rsidRDefault="006A1C32" w:rsidP="00615F2E">
      <w:pPr>
        <w:pStyle w:val="Heading3"/>
        <w:spacing w:before="180" w:after="100" w:line="360" w:lineRule="auto"/>
        <w:rPr>
          <w:rFonts w:ascii="Arial" w:hAnsi="Arial" w:cs="Arial"/>
          <w:b/>
          <w:bCs/>
          <w:color w:val="000000" w:themeColor="text1"/>
          <w:sz w:val="22"/>
          <w:szCs w:val="22"/>
        </w:rPr>
      </w:pPr>
      <w:r w:rsidRPr="00A50E4A">
        <w:rPr>
          <w:rFonts w:ascii="Arial" w:hAnsi="Arial" w:cs="Arial"/>
          <w:b/>
          <w:bCs/>
          <w:color w:val="000000" w:themeColor="text1"/>
          <w:sz w:val="22"/>
          <w:szCs w:val="22"/>
        </w:rPr>
        <w:t>Bargaining Power of Buyers – High</w:t>
      </w:r>
    </w:p>
    <w:p w14:paraId="51B5EE18" w14:textId="77777777" w:rsidR="00466F20" w:rsidRPr="00A50E4A" w:rsidRDefault="006A1C32" w:rsidP="00615F2E">
      <w:pPr>
        <w:spacing w:after="160" w:line="360" w:lineRule="auto"/>
        <w:ind w:firstLine="720"/>
        <w:rPr>
          <w:rFonts w:ascii="Arial" w:hAnsi="Arial" w:cs="Arial"/>
          <w:sz w:val="22"/>
          <w:szCs w:val="22"/>
        </w:rPr>
      </w:pPr>
      <w:r w:rsidRPr="00A50E4A">
        <w:rPr>
          <w:rFonts w:ascii="Arial" w:eastAsia="Calibri" w:hAnsi="Arial" w:cs="Arial"/>
          <w:sz w:val="22"/>
          <w:szCs w:val="22"/>
        </w:rPr>
        <w:t>Buyer power is high: switching costs are low and contracts are short, limiting price increases on core services. Vodafone should target areas – enterprise IoT, Smart City contracts – where reliability and expertise matter more than price, though building that trust takes years, not quarters.</w:t>
      </w:r>
    </w:p>
    <w:p w14:paraId="51B5EE19" w14:textId="77777777" w:rsidR="00466F20" w:rsidRPr="00A50E4A" w:rsidRDefault="006A1C32" w:rsidP="00615F2E">
      <w:pPr>
        <w:pStyle w:val="Heading3"/>
        <w:spacing w:before="180" w:after="100" w:line="360" w:lineRule="auto"/>
        <w:rPr>
          <w:rFonts w:ascii="Arial" w:hAnsi="Arial" w:cs="Arial"/>
          <w:b/>
          <w:bCs/>
          <w:color w:val="000000" w:themeColor="text1"/>
          <w:sz w:val="22"/>
          <w:szCs w:val="22"/>
        </w:rPr>
      </w:pPr>
      <w:r w:rsidRPr="00A50E4A">
        <w:rPr>
          <w:rFonts w:ascii="Arial" w:hAnsi="Arial" w:cs="Arial"/>
          <w:b/>
          <w:bCs/>
          <w:color w:val="000000" w:themeColor="text1"/>
          <w:sz w:val="22"/>
          <w:szCs w:val="22"/>
        </w:rPr>
        <w:t>Bargaining Power of Suppliers – Medium</w:t>
      </w:r>
    </w:p>
    <w:p w14:paraId="51B5EE1A" w14:textId="77777777" w:rsidR="00466F20" w:rsidRPr="00A50E4A" w:rsidRDefault="006A1C32" w:rsidP="00615F2E">
      <w:pPr>
        <w:spacing w:after="160" w:line="360" w:lineRule="auto"/>
        <w:ind w:firstLine="720"/>
        <w:rPr>
          <w:rFonts w:ascii="Arial" w:hAnsi="Arial" w:cs="Arial"/>
          <w:sz w:val="22"/>
          <w:szCs w:val="22"/>
        </w:rPr>
      </w:pPr>
      <w:r w:rsidRPr="00A50E4A">
        <w:rPr>
          <w:rFonts w:ascii="Arial" w:eastAsia="Calibri" w:hAnsi="Arial" w:cs="Arial"/>
          <w:sz w:val="22"/>
          <w:szCs w:val="22"/>
        </w:rPr>
        <w:t>Suppliers of network equipment, cloud and cybersecurity solutions hold some specialist power, but Vodafone's post-merger scale should offset this, provided it maintains a diversified supplier base rather than depending on a few technology partners for critical IoT infrastructure.</w:t>
      </w:r>
    </w:p>
    <w:p w14:paraId="51B5EE1B" w14:textId="77777777" w:rsidR="00466F20" w:rsidRPr="00A50E4A" w:rsidRDefault="006A1C32" w:rsidP="00615F2E">
      <w:pPr>
        <w:pStyle w:val="Heading3"/>
        <w:spacing w:before="180" w:after="100" w:line="360" w:lineRule="auto"/>
        <w:rPr>
          <w:rFonts w:ascii="Arial" w:hAnsi="Arial" w:cs="Arial"/>
          <w:b/>
          <w:bCs/>
          <w:color w:val="000000" w:themeColor="text1"/>
          <w:sz w:val="22"/>
          <w:szCs w:val="22"/>
        </w:rPr>
      </w:pPr>
      <w:r w:rsidRPr="00A50E4A">
        <w:rPr>
          <w:rFonts w:ascii="Arial" w:hAnsi="Arial" w:cs="Arial"/>
          <w:b/>
          <w:bCs/>
          <w:color w:val="000000" w:themeColor="text1"/>
          <w:sz w:val="22"/>
          <w:szCs w:val="22"/>
        </w:rPr>
        <w:t>Threat of Substitutes – Medium</w:t>
      </w:r>
    </w:p>
    <w:p w14:paraId="51B5EE1C" w14:textId="77777777" w:rsidR="00466F20" w:rsidRPr="00A50E4A" w:rsidRDefault="006A1C32" w:rsidP="00615F2E">
      <w:pPr>
        <w:spacing w:after="160" w:line="360" w:lineRule="auto"/>
        <w:ind w:firstLine="720"/>
        <w:rPr>
          <w:rFonts w:ascii="Arial" w:hAnsi="Arial" w:cs="Arial"/>
          <w:sz w:val="22"/>
          <w:szCs w:val="22"/>
        </w:rPr>
      </w:pPr>
      <w:r w:rsidRPr="00A50E4A">
        <w:rPr>
          <w:rFonts w:ascii="Arial" w:eastAsia="Calibri" w:hAnsi="Arial" w:cs="Arial"/>
          <w:sz w:val="22"/>
          <w:szCs w:val="22"/>
        </w:rPr>
        <w:lastRenderedPageBreak/>
        <w:t>Platforms like WhatsApp, Teams and Zoom have reduced reliance on voice and messaging, yet depend on Vodafone's connectivity. The implication is to monetise the underlying network rather than defend legacy revenue.</w:t>
      </w:r>
    </w:p>
    <w:p w14:paraId="51B5EE1D" w14:textId="77777777" w:rsidR="00466F20" w:rsidRPr="00A50E4A" w:rsidRDefault="006A1C32" w:rsidP="00615F2E">
      <w:pPr>
        <w:pStyle w:val="Heading3"/>
        <w:spacing w:before="180" w:after="100" w:line="360" w:lineRule="auto"/>
        <w:rPr>
          <w:rFonts w:ascii="Arial" w:hAnsi="Arial" w:cs="Arial"/>
          <w:b/>
          <w:bCs/>
          <w:color w:val="000000" w:themeColor="text1"/>
          <w:sz w:val="22"/>
          <w:szCs w:val="22"/>
        </w:rPr>
      </w:pPr>
      <w:r w:rsidRPr="00A50E4A">
        <w:rPr>
          <w:rFonts w:ascii="Arial" w:hAnsi="Arial" w:cs="Arial"/>
          <w:b/>
          <w:bCs/>
          <w:color w:val="000000" w:themeColor="text1"/>
          <w:sz w:val="22"/>
          <w:szCs w:val="22"/>
        </w:rPr>
        <w:t>Five Forces Summary</w:t>
      </w:r>
    </w:p>
    <w:p w14:paraId="51B5EE1E" w14:textId="77777777" w:rsidR="00466F20" w:rsidRPr="00A50E4A" w:rsidRDefault="006A1C32" w:rsidP="00615F2E">
      <w:pPr>
        <w:spacing w:after="160" w:line="360" w:lineRule="auto"/>
        <w:ind w:firstLine="720"/>
        <w:rPr>
          <w:rFonts w:ascii="Arial" w:hAnsi="Arial" w:cs="Arial"/>
          <w:sz w:val="22"/>
          <w:szCs w:val="22"/>
        </w:rPr>
      </w:pPr>
      <w:r w:rsidRPr="00A50E4A">
        <w:rPr>
          <w:rFonts w:ascii="Arial" w:eastAsia="Calibri" w:hAnsi="Arial" w:cs="Arial"/>
          <w:sz w:val="22"/>
          <w:szCs w:val="22"/>
        </w:rPr>
        <w:t>Rivalry and buyer power are the biggest challenges, both pointing to commoditisation of core services. Scale opens a path into higher-value markets, but that window will close if rivals move into IoT and Smart Cities at a similar pace.</w:t>
      </w:r>
    </w:p>
    <w:p w14:paraId="51B5EE1F" w14:textId="77777777" w:rsidR="00466F20" w:rsidRPr="00A50E4A" w:rsidRDefault="006A1C32" w:rsidP="00615F2E">
      <w:pPr>
        <w:pStyle w:val="Heading2"/>
        <w:spacing w:before="220" w:after="120" w:line="360" w:lineRule="auto"/>
        <w:rPr>
          <w:rFonts w:ascii="Arial" w:hAnsi="Arial" w:cs="Arial"/>
          <w:b/>
          <w:bCs/>
          <w:color w:val="000000" w:themeColor="text1"/>
          <w:sz w:val="22"/>
          <w:szCs w:val="22"/>
        </w:rPr>
      </w:pPr>
      <w:r w:rsidRPr="00A50E4A">
        <w:rPr>
          <w:rFonts w:ascii="Arial" w:hAnsi="Arial" w:cs="Arial"/>
          <w:b/>
          <w:bCs/>
          <w:color w:val="000000" w:themeColor="text1"/>
          <w:sz w:val="22"/>
          <w:szCs w:val="22"/>
        </w:rPr>
        <w:t>Competitive Benchmark</w:t>
      </w:r>
    </w:p>
    <w:p w14:paraId="51B5EE20" w14:textId="77777777" w:rsidR="00466F20" w:rsidRPr="00A50E4A" w:rsidRDefault="006A1C32" w:rsidP="00615F2E">
      <w:pPr>
        <w:spacing w:after="160" w:line="360" w:lineRule="auto"/>
        <w:ind w:firstLine="720"/>
        <w:rPr>
          <w:rFonts w:ascii="Arial" w:eastAsia="Calibri" w:hAnsi="Arial" w:cs="Arial"/>
          <w:sz w:val="22"/>
          <w:szCs w:val="22"/>
        </w:rPr>
      </w:pPr>
      <w:r w:rsidRPr="00A50E4A">
        <w:rPr>
          <w:rFonts w:ascii="Arial" w:eastAsia="Calibri" w:hAnsi="Arial" w:cs="Arial"/>
          <w:sz w:val="22"/>
          <w:szCs w:val="22"/>
        </w:rPr>
        <w:t>Rivalry is better understood by comparing where each operator is actually strong, since the threat to Vodafone differs by segment rather than being uniform across the market.</w:t>
      </w:r>
    </w:p>
    <w:p w14:paraId="543F6285" w14:textId="6AEB2CE8" w:rsidR="00615F2E" w:rsidRPr="00A50E4A" w:rsidRDefault="00615F2E" w:rsidP="00615F2E">
      <w:pPr>
        <w:spacing w:after="160" w:line="360" w:lineRule="auto"/>
        <w:ind w:firstLine="720"/>
        <w:rPr>
          <w:rFonts w:ascii="Arial" w:hAnsi="Arial" w:cs="Arial"/>
          <w:sz w:val="22"/>
          <w:szCs w:val="22"/>
        </w:rPr>
      </w:pPr>
      <w:r w:rsidRPr="00A50E4A">
        <w:rPr>
          <w:rFonts w:ascii="Arial" w:eastAsia="Calibri" w:hAnsi="Arial" w:cs="Arial"/>
          <w:sz w:val="22"/>
          <w:szCs w:val="22"/>
        </w:rPr>
        <w:t>Table N. 1</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00"/>
        <w:gridCol w:w="2400"/>
        <w:gridCol w:w="2400"/>
        <w:gridCol w:w="2200"/>
      </w:tblGrid>
      <w:tr w:rsidR="00466F20" w:rsidRPr="00A50E4A" w14:paraId="51B5EE25" w14:textId="77777777">
        <w:tc>
          <w:tcPr>
            <w:tcW w:w="2000" w:type="dxa"/>
            <w:shd w:val="clear" w:color="auto" w:fill="D9E2F3"/>
            <w:tcMar>
              <w:top w:w="100" w:type="dxa"/>
              <w:left w:w="120" w:type="dxa"/>
              <w:bottom w:w="100" w:type="dxa"/>
              <w:right w:w="120" w:type="dxa"/>
            </w:tcMar>
          </w:tcPr>
          <w:p w14:paraId="51B5EE21"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b/>
                <w:bCs/>
                <w:sz w:val="22"/>
                <w:szCs w:val="22"/>
              </w:rPr>
              <w:t>Operator</w:t>
            </w:r>
          </w:p>
        </w:tc>
        <w:tc>
          <w:tcPr>
            <w:tcW w:w="2400" w:type="dxa"/>
            <w:shd w:val="clear" w:color="auto" w:fill="D9E2F3"/>
            <w:tcMar>
              <w:top w:w="100" w:type="dxa"/>
              <w:left w:w="120" w:type="dxa"/>
              <w:bottom w:w="100" w:type="dxa"/>
              <w:right w:w="120" w:type="dxa"/>
            </w:tcMar>
          </w:tcPr>
          <w:p w14:paraId="51B5EE22"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b/>
                <w:bCs/>
                <w:sz w:val="22"/>
                <w:szCs w:val="22"/>
              </w:rPr>
              <w:t>Scale and network position</w:t>
            </w:r>
          </w:p>
        </w:tc>
        <w:tc>
          <w:tcPr>
            <w:tcW w:w="2400" w:type="dxa"/>
            <w:shd w:val="clear" w:color="auto" w:fill="D9E2F3"/>
            <w:tcMar>
              <w:top w:w="100" w:type="dxa"/>
              <w:left w:w="120" w:type="dxa"/>
              <w:bottom w:w="100" w:type="dxa"/>
              <w:right w:w="120" w:type="dxa"/>
            </w:tcMar>
          </w:tcPr>
          <w:p w14:paraId="51B5EE23"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b/>
                <w:bCs/>
                <w:sz w:val="22"/>
                <w:szCs w:val="22"/>
              </w:rPr>
              <w:t>Enterprise and IoT capability</w:t>
            </w:r>
          </w:p>
        </w:tc>
        <w:tc>
          <w:tcPr>
            <w:tcW w:w="2200" w:type="dxa"/>
            <w:shd w:val="clear" w:color="auto" w:fill="D9E2F3"/>
            <w:tcMar>
              <w:top w:w="100" w:type="dxa"/>
              <w:left w:w="120" w:type="dxa"/>
              <w:bottom w:w="100" w:type="dxa"/>
              <w:right w:w="120" w:type="dxa"/>
            </w:tcMar>
          </w:tcPr>
          <w:p w14:paraId="51B5EE24"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b/>
                <w:bCs/>
                <w:sz w:val="22"/>
                <w:szCs w:val="22"/>
              </w:rPr>
              <w:t>Strategic threat to Vodafone</w:t>
            </w:r>
          </w:p>
        </w:tc>
      </w:tr>
      <w:tr w:rsidR="00466F20" w:rsidRPr="00A50E4A" w14:paraId="51B5EE2A" w14:textId="77777777">
        <w:tc>
          <w:tcPr>
            <w:tcW w:w="2000" w:type="dxa"/>
            <w:tcMar>
              <w:top w:w="100" w:type="dxa"/>
              <w:left w:w="120" w:type="dxa"/>
              <w:bottom w:w="100" w:type="dxa"/>
              <w:right w:w="120" w:type="dxa"/>
            </w:tcMar>
          </w:tcPr>
          <w:p w14:paraId="51B5EE26" w14:textId="77777777" w:rsidR="00466F20" w:rsidRPr="00A50E4A" w:rsidRDefault="006A1C32" w:rsidP="00615F2E">
            <w:pPr>
              <w:spacing w:line="360" w:lineRule="auto"/>
              <w:rPr>
                <w:rFonts w:ascii="Arial" w:hAnsi="Arial" w:cs="Arial"/>
                <w:sz w:val="22"/>
                <w:szCs w:val="22"/>
              </w:rPr>
            </w:pPr>
            <w:proofErr w:type="spellStart"/>
            <w:r w:rsidRPr="00A50E4A">
              <w:rPr>
                <w:rFonts w:ascii="Arial" w:eastAsia="Calibri" w:hAnsi="Arial" w:cs="Arial"/>
                <w:sz w:val="22"/>
                <w:szCs w:val="22"/>
              </w:rPr>
              <w:t>VodafoneThree</w:t>
            </w:r>
            <w:proofErr w:type="spellEnd"/>
          </w:p>
        </w:tc>
        <w:tc>
          <w:tcPr>
            <w:tcW w:w="2400" w:type="dxa"/>
            <w:tcMar>
              <w:top w:w="100" w:type="dxa"/>
              <w:left w:w="120" w:type="dxa"/>
              <w:bottom w:w="100" w:type="dxa"/>
              <w:right w:w="120" w:type="dxa"/>
            </w:tcMar>
          </w:tcPr>
          <w:p w14:paraId="51B5EE27"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Largest UK subscriber base; ten-year network programme</w:t>
            </w:r>
          </w:p>
        </w:tc>
        <w:tc>
          <w:tcPr>
            <w:tcW w:w="2400" w:type="dxa"/>
            <w:tcMar>
              <w:top w:w="100" w:type="dxa"/>
              <w:left w:w="120" w:type="dxa"/>
              <w:bottom w:w="100" w:type="dxa"/>
              <w:right w:w="120" w:type="dxa"/>
            </w:tcMar>
          </w:tcPr>
          <w:p w14:paraId="51B5EE28"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Established enterprise and public-sector relationships; IoT capability still being built</w:t>
            </w:r>
          </w:p>
        </w:tc>
        <w:tc>
          <w:tcPr>
            <w:tcW w:w="2200" w:type="dxa"/>
            <w:tcMar>
              <w:top w:w="100" w:type="dxa"/>
              <w:left w:w="120" w:type="dxa"/>
              <w:bottom w:w="100" w:type="dxa"/>
              <w:right w:w="120" w:type="dxa"/>
            </w:tcMar>
          </w:tcPr>
          <w:p w14:paraId="51B5EE29"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n/a</w:t>
            </w:r>
          </w:p>
        </w:tc>
      </w:tr>
      <w:tr w:rsidR="00466F20" w:rsidRPr="00A50E4A" w14:paraId="51B5EE2F" w14:textId="77777777">
        <w:tc>
          <w:tcPr>
            <w:tcW w:w="2000" w:type="dxa"/>
            <w:tcMar>
              <w:top w:w="100" w:type="dxa"/>
              <w:left w:w="120" w:type="dxa"/>
              <w:bottom w:w="100" w:type="dxa"/>
              <w:right w:w="120" w:type="dxa"/>
            </w:tcMar>
          </w:tcPr>
          <w:p w14:paraId="51B5EE2B"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BT / EE</w:t>
            </w:r>
          </w:p>
        </w:tc>
        <w:tc>
          <w:tcPr>
            <w:tcW w:w="2400" w:type="dxa"/>
            <w:tcMar>
              <w:top w:w="100" w:type="dxa"/>
              <w:left w:w="120" w:type="dxa"/>
              <w:bottom w:w="100" w:type="dxa"/>
              <w:right w:w="120" w:type="dxa"/>
            </w:tcMar>
          </w:tcPr>
          <w:p w14:paraId="51B5EE2C"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Extensive 5G coverage; strong consumer brand</w:t>
            </w:r>
          </w:p>
        </w:tc>
        <w:tc>
          <w:tcPr>
            <w:tcW w:w="2400" w:type="dxa"/>
            <w:tcMar>
              <w:top w:w="100" w:type="dxa"/>
              <w:left w:w="120" w:type="dxa"/>
              <w:bottom w:w="100" w:type="dxa"/>
              <w:right w:w="120" w:type="dxa"/>
            </w:tcMar>
          </w:tcPr>
          <w:p w14:paraId="51B5EE2D"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Established enterprise presence and long-standing public-sector contracts, including critical communications</w:t>
            </w:r>
          </w:p>
        </w:tc>
        <w:tc>
          <w:tcPr>
            <w:tcW w:w="2200" w:type="dxa"/>
            <w:tcMar>
              <w:top w:w="100" w:type="dxa"/>
              <w:left w:w="120" w:type="dxa"/>
              <w:bottom w:w="100" w:type="dxa"/>
              <w:right w:w="120" w:type="dxa"/>
            </w:tcMar>
          </w:tcPr>
          <w:p w14:paraId="51B5EE2E"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Highest – competes for the same local-authority and public-sector work</w:t>
            </w:r>
          </w:p>
        </w:tc>
      </w:tr>
      <w:tr w:rsidR="00466F20" w:rsidRPr="00A50E4A" w14:paraId="51B5EE34" w14:textId="77777777">
        <w:tc>
          <w:tcPr>
            <w:tcW w:w="2000" w:type="dxa"/>
            <w:tcMar>
              <w:top w:w="100" w:type="dxa"/>
              <w:left w:w="120" w:type="dxa"/>
              <w:bottom w:w="100" w:type="dxa"/>
              <w:right w:w="120" w:type="dxa"/>
            </w:tcMar>
          </w:tcPr>
          <w:p w14:paraId="51B5EE30"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Virgin Media O2</w:t>
            </w:r>
          </w:p>
        </w:tc>
        <w:tc>
          <w:tcPr>
            <w:tcW w:w="2400" w:type="dxa"/>
            <w:tcMar>
              <w:top w:w="100" w:type="dxa"/>
              <w:left w:w="120" w:type="dxa"/>
              <w:bottom w:w="100" w:type="dxa"/>
              <w:right w:w="120" w:type="dxa"/>
            </w:tcMar>
          </w:tcPr>
          <w:p w14:paraId="51B5EE31"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Converged fixed and mobile footprint</w:t>
            </w:r>
          </w:p>
        </w:tc>
        <w:tc>
          <w:tcPr>
            <w:tcW w:w="2400" w:type="dxa"/>
            <w:tcMar>
              <w:top w:w="100" w:type="dxa"/>
              <w:left w:w="120" w:type="dxa"/>
              <w:bottom w:w="100" w:type="dxa"/>
              <w:right w:w="120" w:type="dxa"/>
            </w:tcMar>
          </w:tcPr>
          <w:p w14:paraId="51B5EE32"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Growing enterprise and data-analytics propositions</w:t>
            </w:r>
          </w:p>
        </w:tc>
        <w:tc>
          <w:tcPr>
            <w:tcW w:w="2200" w:type="dxa"/>
            <w:tcMar>
              <w:top w:w="100" w:type="dxa"/>
              <w:left w:w="120" w:type="dxa"/>
              <w:bottom w:w="100" w:type="dxa"/>
              <w:right w:w="120" w:type="dxa"/>
            </w:tcMar>
          </w:tcPr>
          <w:p w14:paraId="51B5EE33"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Moderate – convergence advantage in bundled business services</w:t>
            </w:r>
          </w:p>
        </w:tc>
      </w:tr>
      <w:tr w:rsidR="00466F20" w:rsidRPr="00A50E4A" w14:paraId="51B5EE39" w14:textId="77777777">
        <w:tc>
          <w:tcPr>
            <w:tcW w:w="2000" w:type="dxa"/>
            <w:tcMar>
              <w:top w:w="100" w:type="dxa"/>
              <w:left w:w="120" w:type="dxa"/>
              <w:bottom w:w="100" w:type="dxa"/>
              <w:right w:w="120" w:type="dxa"/>
            </w:tcMar>
          </w:tcPr>
          <w:p w14:paraId="51B5EE35"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lastRenderedPageBreak/>
              <w:t>MVNOs</w:t>
            </w:r>
          </w:p>
        </w:tc>
        <w:tc>
          <w:tcPr>
            <w:tcW w:w="2400" w:type="dxa"/>
            <w:tcMar>
              <w:top w:w="100" w:type="dxa"/>
              <w:left w:w="120" w:type="dxa"/>
              <w:bottom w:w="100" w:type="dxa"/>
              <w:right w:w="120" w:type="dxa"/>
            </w:tcMar>
          </w:tcPr>
          <w:p w14:paraId="51B5EE36"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No owned infrastructure</w:t>
            </w:r>
          </w:p>
        </w:tc>
        <w:tc>
          <w:tcPr>
            <w:tcW w:w="2400" w:type="dxa"/>
            <w:tcMar>
              <w:top w:w="100" w:type="dxa"/>
              <w:left w:w="120" w:type="dxa"/>
              <w:bottom w:w="100" w:type="dxa"/>
              <w:right w:w="120" w:type="dxa"/>
            </w:tcMar>
          </w:tcPr>
          <w:p w14:paraId="51B5EE37"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Minimal</w:t>
            </w:r>
          </w:p>
        </w:tc>
        <w:tc>
          <w:tcPr>
            <w:tcW w:w="2200" w:type="dxa"/>
            <w:tcMar>
              <w:top w:w="100" w:type="dxa"/>
              <w:left w:w="120" w:type="dxa"/>
              <w:bottom w:w="100" w:type="dxa"/>
              <w:right w:w="120" w:type="dxa"/>
            </w:tcMar>
          </w:tcPr>
          <w:p w14:paraId="51B5EE38"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Low in IoT; high on price in the core consumer market</w:t>
            </w:r>
          </w:p>
        </w:tc>
      </w:tr>
    </w:tbl>
    <w:p w14:paraId="51B5EE3A" w14:textId="77777777" w:rsidR="00466F20" w:rsidRPr="00A50E4A" w:rsidRDefault="00466F20" w:rsidP="00615F2E">
      <w:pPr>
        <w:spacing w:after="200" w:line="360" w:lineRule="auto"/>
        <w:rPr>
          <w:rFonts w:ascii="Arial" w:hAnsi="Arial" w:cs="Arial"/>
          <w:sz w:val="22"/>
          <w:szCs w:val="22"/>
        </w:rPr>
      </w:pPr>
    </w:p>
    <w:p w14:paraId="51B5EE3B" w14:textId="77777777" w:rsidR="00466F20" w:rsidRPr="00A50E4A" w:rsidRDefault="006A1C32" w:rsidP="00615F2E">
      <w:pPr>
        <w:spacing w:after="160" w:line="360" w:lineRule="auto"/>
        <w:ind w:firstLine="720"/>
        <w:rPr>
          <w:rFonts w:ascii="Arial" w:hAnsi="Arial" w:cs="Arial"/>
          <w:sz w:val="22"/>
          <w:szCs w:val="22"/>
        </w:rPr>
      </w:pPr>
      <w:r w:rsidRPr="00A50E4A">
        <w:rPr>
          <w:rFonts w:ascii="Arial" w:eastAsia="Calibri" w:hAnsi="Arial" w:cs="Arial"/>
          <w:sz w:val="22"/>
          <w:szCs w:val="22"/>
        </w:rPr>
        <w:t>Positions are compiled from the operators' published corporate reporting, including Vodafone Group Plc (2025a, 2025b). The comparison qualifies the differentiation argument: Vodafone leads on subscriber scale, but BT/EE is more established in the enterprise and public-sector segment. Differentiation through IoT therefore has to be earned in delivery rather than assumed from network size.</w:t>
      </w:r>
    </w:p>
    <w:p w14:paraId="51B5EE3C" w14:textId="77777777" w:rsidR="00466F20" w:rsidRPr="00A50E4A" w:rsidRDefault="006A1C32" w:rsidP="00615F2E">
      <w:pPr>
        <w:pStyle w:val="Heading2"/>
        <w:spacing w:before="220" w:after="120" w:line="360" w:lineRule="auto"/>
        <w:rPr>
          <w:rFonts w:ascii="Arial" w:hAnsi="Arial" w:cs="Arial"/>
          <w:b/>
          <w:bCs/>
          <w:color w:val="000000" w:themeColor="text1"/>
          <w:sz w:val="22"/>
          <w:szCs w:val="22"/>
        </w:rPr>
      </w:pPr>
      <w:r w:rsidRPr="00A50E4A">
        <w:rPr>
          <w:rFonts w:ascii="Arial" w:hAnsi="Arial" w:cs="Arial"/>
          <w:b/>
          <w:bCs/>
          <w:color w:val="000000" w:themeColor="text1"/>
          <w:sz w:val="22"/>
          <w:szCs w:val="22"/>
        </w:rPr>
        <w:t>3.3 SWOT Analysis</w:t>
      </w:r>
    </w:p>
    <w:p w14:paraId="51B5EE3D" w14:textId="77777777" w:rsidR="00466F20" w:rsidRPr="00A50E4A" w:rsidRDefault="006A1C32" w:rsidP="00615F2E">
      <w:pPr>
        <w:spacing w:after="160" w:line="360" w:lineRule="auto"/>
        <w:rPr>
          <w:rFonts w:ascii="Arial" w:hAnsi="Arial" w:cs="Arial"/>
          <w:sz w:val="22"/>
          <w:szCs w:val="22"/>
        </w:rPr>
      </w:pPr>
      <w:r w:rsidRPr="00A50E4A">
        <w:rPr>
          <w:rFonts w:ascii="Arial" w:eastAsia="Calibri" w:hAnsi="Arial" w:cs="Arial"/>
          <w:sz w:val="22"/>
          <w:szCs w:val="22"/>
        </w:rPr>
        <w:t>SWOT sets Vodafone's internal strengths and weaknesses against external opportunities and threats.</w:t>
      </w:r>
    </w:p>
    <w:p w14:paraId="51B5EE3E" w14:textId="77777777" w:rsidR="00466F20" w:rsidRPr="00A50E4A" w:rsidRDefault="006A1C32" w:rsidP="00615F2E">
      <w:pPr>
        <w:pStyle w:val="Heading3"/>
        <w:spacing w:before="180" w:after="100" w:line="360" w:lineRule="auto"/>
        <w:rPr>
          <w:rFonts w:ascii="Arial" w:hAnsi="Arial" w:cs="Arial"/>
          <w:b/>
          <w:bCs/>
          <w:color w:val="000000" w:themeColor="text1"/>
          <w:sz w:val="22"/>
          <w:szCs w:val="22"/>
        </w:rPr>
      </w:pPr>
      <w:r w:rsidRPr="00A50E4A">
        <w:rPr>
          <w:rFonts w:ascii="Arial" w:hAnsi="Arial" w:cs="Arial"/>
          <w:b/>
          <w:bCs/>
          <w:color w:val="000000" w:themeColor="text1"/>
          <w:sz w:val="22"/>
          <w:szCs w:val="22"/>
        </w:rPr>
        <w:t>Strengths</w:t>
      </w:r>
    </w:p>
    <w:p w14:paraId="51B5EE3F" w14:textId="77777777" w:rsidR="00466F20" w:rsidRPr="00A50E4A" w:rsidRDefault="006A1C32" w:rsidP="00615F2E">
      <w:pPr>
        <w:spacing w:after="160" w:line="360" w:lineRule="auto"/>
        <w:ind w:firstLine="720"/>
        <w:rPr>
          <w:rFonts w:ascii="Arial" w:hAnsi="Arial" w:cs="Arial"/>
          <w:sz w:val="22"/>
          <w:szCs w:val="22"/>
        </w:rPr>
      </w:pPr>
      <w:r w:rsidRPr="00A50E4A">
        <w:rPr>
          <w:rFonts w:ascii="Arial" w:eastAsia="Calibri" w:hAnsi="Arial" w:cs="Arial"/>
          <w:sz w:val="22"/>
          <w:szCs w:val="22"/>
        </w:rPr>
        <w:t>Post-merger scale creates cross-selling opportunities, backed by the planned network investment, strong brand recognition and established enterprise and public-sector relationships. These strengths are only valuable if converted into successful commercial services; infrastructure alone guarantees nothing.</w:t>
      </w:r>
    </w:p>
    <w:p w14:paraId="51B5EE40" w14:textId="77777777" w:rsidR="00466F20" w:rsidRPr="00A50E4A" w:rsidRDefault="006A1C32" w:rsidP="00615F2E">
      <w:pPr>
        <w:pStyle w:val="Heading3"/>
        <w:spacing w:before="180" w:after="100" w:line="360" w:lineRule="auto"/>
        <w:rPr>
          <w:rFonts w:ascii="Arial" w:hAnsi="Arial" w:cs="Arial"/>
          <w:b/>
          <w:bCs/>
          <w:color w:val="000000" w:themeColor="text1"/>
          <w:sz w:val="22"/>
          <w:szCs w:val="22"/>
        </w:rPr>
      </w:pPr>
      <w:r w:rsidRPr="00A50E4A">
        <w:rPr>
          <w:rFonts w:ascii="Arial" w:hAnsi="Arial" w:cs="Arial"/>
          <w:b/>
          <w:bCs/>
          <w:color w:val="000000" w:themeColor="text1"/>
          <w:sz w:val="22"/>
          <w:szCs w:val="22"/>
        </w:rPr>
        <w:t>Weaknesses</w:t>
      </w:r>
    </w:p>
    <w:p w14:paraId="51B5EE41" w14:textId="77777777" w:rsidR="00466F20" w:rsidRPr="00A50E4A" w:rsidRDefault="006A1C32" w:rsidP="00615F2E">
      <w:pPr>
        <w:spacing w:after="160" w:line="360" w:lineRule="auto"/>
        <w:ind w:firstLine="720"/>
        <w:rPr>
          <w:rFonts w:ascii="Arial" w:hAnsi="Arial" w:cs="Arial"/>
          <w:sz w:val="22"/>
          <w:szCs w:val="22"/>
        </w:rPr>
      </w:pPr>
      <w:r w:rsidRPr="00A50E4A">
        <w:rPr>
          <w:rFonts w:ascii="Arial" w:eastAsia="Calibri" w:hAnsi="Arial" w:cs="Arial"/>
          <w:sz w:val="22"/>
          <w:szCs w:val="22"/>
        </w:rPr>
        <w:t>Integration spans systems, processes and culture, risking service quality during transition. The business remains dependent on commoditising mobile and broadband revenue, and slower-than-planned demand could extend the payback period considerably, reducing the capital available for subsequent digital investment.</w:t>
      </w:r>
    </w:p>
    <w:p w14:paraId="51B5EE42" w14:textId="77777777" w:rsidR="00466F20" w:rsidRPr="00A50E4A" w:rsidRDefault="006A1C32" w:rsidP="00615F2E">
      <w:pPr>
        <w:pStyle w:val="Heading3"/>
        <w:spacing w:before="180" w:after="100" w:line="360" w:lineRule="auto"/>
        <w:rPr>
          <w:rFonts w:ascii="Arial" w:hAnsi="Arial" w:cs="Arial"/>
          <w:b/>
          <w:bCs/>
          <w:color w:val="000000" w:themeColor="text1"/>
          <w:sz w:val="22"/>
          <w:szCs w:val="22"/>
        </w:rPr>
      </w:pPr>
      <w:r w:rsidRPr="00A50E4A">
        <w:rPr>
          <w:rFonts w:ascii="Arial" w:hAnsi="Arial" w:cs="Arial"/>
          <w:b/>
          <w:bCs/>
          <w:color w:val="000000" w:themeColor="text1"/>
          <w:sz w:val="22"/>
          <w:szCs w:val="22"/>
        </w:rPr>
        <w:t>Opportunities</w:t>
      </w:r>
    </w:p>
    <w:p w14:paraId="51B5EE43" w14:textId="77777777" w:rsidR="00466F20" w:rsidRPr="00A50E4A" w:rsidRDefault="006A1C32" w:rsidP="00615F2E">
      <w:pPr>
        <w:spacing w:after="160" w:line="360" w:lineRule="auto"/>
        <w:ind w:firstLine="720"/>
        <w:rPr>
          <w:rFonts w:ascii="Arial" w:hAnsi="Arial" w:cs="Arial"/>
          <w:sz w:val="22"/>
          <w:szCs w:val="22"/>
        </w:rPr>
      </w:pPr>
      <w:r w:rsidRPr="00A50E4A">
        <w:rPr>
          <w:rFonts w:ascii="Arial" w:eastAsia="Calibri" w:hAnsi="Arial" w:cs="Arial"/>
          <w:sz w:val="22"/>
          <w:szCs w:val="22"/>
        </w:rPr>
        <w:t>IoT and Smart City demand is the clearest opportunity: PwC (2026) projects IoT platform revenue approaching $250 billion by 2029, a market that matches Vodafone's 5G capabilities in transport, energy, healthcare and industrial automation (Yin et al., 2016). Expected cost and capital-expenditure synergies of approximately £700 million per year by the fifth year after completion (Vodafone Group Plc, 2025b) could fund innovation, though hitting that target on schedule is itself a risk.</w:t>
      </w:r>
    </w:p>
    <w:p w14:paraId="51B5EE44" w14:textId="77777777" w:rsidR="00466F20" w:rsidRPr="00A50E4A" w:rsidRDefault="006A1C32" w:rsidP="00615F2E">
      <w:pPr>
        <w:pStyle w:val="Heading3"/>
        <w:spacing w:before="180" w:after="100" w:line="360" w:lineRule="auto"/>
        <w:rPr>
          <w:rFonts w:ascii="Arial" w:hAnsi="Arial" w:cs="Arial"/>
          <w:b/>
          <w:bCs/>
          <w:sz w:val="22"/>
          <w:szCs w:val="22"/>
        </w:rPr>
      </w:pPr>
      <w:r w:rsidRPr="00A50E4A">
        <w:rPr>
          <w:rFonts w:ascii="Arial" w:hAnsi="Arial" w:cs="Arial"/>
          <w:b/>
          <w:bCs/>
          <w:color w:val="000000" w:themeColor="text1"/>
          <w:sz w:val="22"/>
          <w:szCs w:val="22"/>
        </w:rPr>
        <w:t>Threats</w:t>
      </w:r>
    </w:p>
    <w:p w14:paraId="51B5EE45" w14:textId="77777777" w:rsidR="00466F20" w:rsidRPr="00A50E4A" w:rsidRDefault="006A1C32" w:rsidP="00615F2E">
      <w:pPr>
        <w:spacing w:after="160" w:line="360" w:lineRule="auto"/>
        <w:ind w:firstLine="720"/>
        <w:rPr>
          <w:rFonts w:ascii="Arial" w:eastAsia="Calibri" w:hAnsi="Arial" w:cs="Arial"/>
          <w:sz w:val="22"/>
          <w:szCs w:val="22"/>
        </w:rPr>
      </w:pPr>
      <w:r w:rsidRPr="00A50E4A">
        <w:rPr>
          <w:rFonts w:ascii="Arial" w:eastAsia="Calibri" w:hAnsi="Arial" w:cs="Arial"/>
          <w:sz w:val="22"/>
          <w:szCs w:val="22"/>
        </w:rPr>
        <w:t xml:space="preserve">Continued rival investment means scale alone will not defend Vodafone's position. Cybersecurity is the larger long-term threat: a major breach could cause lasting reputational </w:t>
      </w:r>
      <w:r w:rsidRPr="00A50E4A">
        <w:rPr>
          <w:rFonts w:ascii="Arial" w:eastAsia="Calibri" w:hAnsi="Arial" w:cs="Arial"/>
          <w:sz w:val="22"/>
          <w:szCs w:val="22"/>
        </w:rPr>
        <w:lastRenderedPageBreak/>
        <w:t>and regulatory damage and undermine public-sector trust for years. Post-merger regulatory scrutiny adds further risk.</w:t>
      </w:r>
    </w:p>
    <w:p w14:paraId="7712599E" w14:textId="77777777" w:rsidR="00615F2E" w:rsidRPr="00A50E4A" w:rsidRDefault="00615F2E" w:rsidP="00615F2E">
      <w:pPr>
        <w:spacing w:after="160" w:line="360" w:lineRule="auto"/>
        <w:ind w:firstLine="720"/>
        <w:rPr>
          <w:rFonts w:ascii="Arial" w:eastAsia="Calibri" w:hAnsi="Arial" w:cs="Arial"/>
          <w:sz w:val="22"/>
          <w:szCs w:val="22"/>
        </w:rPr>
      </w:pPr>
    </w:p>
    <w:p w14:paraId="58D7448D" w14:textId="77777777" w:rsidR="00615F2E" w:rsidRPr="00A50E4A" w:rsidRDefault="00615F2E" w:rsidP="00615F2E">
      <w:pPr>
        <w:spacing w:after="160" w:line="360" w:lineRule="auto"/>
        <w:ind w:firstLine="720"/>
        <w:rPr>
          <w:rFonts w:ascii="Arial" w:eastAsia="Calibri" w:hAnsi="Arial" w:cs="Arial"/>
          <w:sz w:val="22"/>
          <w:szCs w:val="22"/>
        </w:rPr>
      </w:pPr>
    </w:p>
    <w:p w14:paraId="6DC1D4E2" w14:textId="77777777" w:rsidR="00615F2E" w:rsidRPr="00A50E4A" w:rsidRDefault="00615F2E" w:rsidP="00615F2E">
      <w:pPr>
        <w:spacing w:after="160" w:line="360" w:lineRule="auto"/>
        <w:ind w:firstLine="720"/>
        <w:rPr>
          <w:rFonts w:ascii="Arial" w:hAnsi="Arial" w:cs="Arial"/>
          <w:sz w:val="22"/>
          <w:szCs w:val="22"/>
        </w:rPr>
      </w:pPr>
    </w:p>
    <w:p w14:paraId="51B5EE46" w14:textId="4468289F" w:rsidR="00466F20" w:rsidRPr="00A50E4A" w:rsidRDefault="00615F2E" w:rsidP="00615F2E">
      <w:pPr>
        <w:spacing w:after="200" w:line="360" w:lineRule="auto"/>
        <w:rPr>
          <w:rFonts w:ascii="Arial" w:hAnsi="Arial" w:cs="Arial"/>
          <w:sz w:val="22"/>
          <w:szCs w:val="22"/>
        </w:rPr>
      </w:pPr>
      <w:r w:rsidRPr="00A50E4A">
        <w:rPr>
          <w:rFonts w:ascii="Arial" w:hAnsi="Arial" w:cs="Arial"/>
          <w:sz w:val="22"/>
          <w:szCs w:val="22"/>
        </w:rPr>
        <w:t xml:space="preserve">Table N.2 </w:t>
      </w: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531"/>
        <w:gridCol w:w="4678"/>
      </w:tblGrid>
      <w:tr w:rsidR="00615F2E" w:rsidRPr="00A50E4A" w14:paraId="51B5EE4B" w14:textId="77777777" w:rsidTr="00733385">
        <w:tc>
          <w:tcPr>
            <w:tcW w:w="4531" w:type="dxa"/>
            <w:shd w:val="clear" w:color="auto" w:fill="D9E2F3"/>
            <w:tcMar>
              <w:top w:w="100" w:type="dxa"/>
              <w:left w:w="120" w:type="dxa"/>
              <w:bottom w:w="100" w:type="dxa"/>
              <w:right w:w="120" w:type="dxa"/>
            </w:tcMar>
          </w:tcPr>
          <w:p w14:paraId="51B5EE47" w14:textId="77777777" w:rsidR="00615F2E" w:rsidRPr="00A50E4A" w:rsidRDefault="00615F2E" w:rsidP="00615F2E">
            <w:pPr>
              <w:spacing w:line="360" w:lineRule="auto"/>
              <w:rPr>
                <w:rFonts w:ascii="Arial" w:hAnsi="Arial" w:cs="Arial"/>
                <w:sz w:val="22"/>
                <w:szCs w:val="22"/>
              </w:rPr>
            </w:pPr>
            <w:r w:rsidRPr="00A50E4A">
              <w:rPr>
                <w:rFonts w:ascii="Arial" w:eastAsia="Calibri" w:hAnsi="Arial" w:cs="Arial"/>
                <w:b/>
                <w:bCs/>
                <w:sz w:val="22"/>
                <w:szCs w:val="22"/>
              </w:rPr>
              <w:t>Strengths</w:t>
            </w:r>
          </w:p>
        </w:tc>
        <w:tc>
          <w:tcPr>
            <w:tcW w:w="4678" w:type="dxa"/>
            <w:shd w:val="clear" w:color="auto" w:fill="FCE4E4"/>
            <w:tcMar>
              <w:top w:w="100" w:type="dxa"/>
              <w:left w:w="120" w:type="dxa"/>
              <w:bottom w:w="100" w:type="dxa"/>
              <w:right w:w="120" w:type="dxa"/>
            </w:tcMar>
          </w:tcPr>
          <w:p w14:paraId="51B5EE49" w14:textId="77777777" w:rsidR="00615F2E" w:rsidRPr="00A50E4A" w:rsidRDefault="00615F2E" w:rsidP="00615F2E">
            <w:pPr>
              <w:spacing w:line="360" w:lineRule="auto"/>
              <w:rPr>
                <w:rFonts w:ascii="Arial" w:hAnsi="Arial" w:cs="Arial"/>
                <w:sz w:val="22"/>
                <w:szCs w:val="22"/>
              </w:rPr>
            </w:pPr>
            <w:r w:rsidRPr="00A50E4A">
              <w:rPr>
                <w:rFonts w:ascii="Arial" w:eastAsia="Calibri" w:hAnsi="Arial" w:cs="Arial"/>
                <w:b/>
                <w:bCs/>
                <w:sz w:val="22"/>
                <w:szCs w:val="22"/>
              </w:rPr>
              <w:t>Weaknesses</w:t>
            </w:r>
          </w:p>
        </w:tc>
      </w:tr>
      <w:tr w:rsidR="00615F2E" w:rsidRPr="00A50E4A" w14:paraId="51B5EE50" w14:textId="77777777" w:rsidTr="00733385">
        <w:tc>
          <w:tcPr>
            <w:tcW w:w="4531" w:type="dxa"/>
            <w:tcMar>
              <w:top w:w="100" w:type="dxa"/>
              <w:left w:w="120" w:type="dxa"/>
              <w:bottom w:w="100" w:type="dxa"/>
              <w:right w:w="120" w:type="dxa"/>
            </w:tcMar>
          </w:tcPr>
          <w:p w14:paraId="51B5EE4C" w14:textId="77777777" w:rsidR="00615F2E" w:rsidRPr="00A50E4A" w:rsidRDefault="00615F2E" w:rsidP="00615F2E">
            <w:pPr>
              <w:spacing w:line="360" w:lineRule="auto"/>
              <w:rPr>
                <w:rFonts w:ascii="Arial" w:hAnsi="Arial" w:cs="Arial"/>
                <w:sz w:val="22"/>
                <w:szCs w:val="22"/>
              </w:rPr>
            </w:pPr>
            <w:r w:rsidRPr="00A50E4A">
              <w:rPr>
                <w:rFonts w:ascii="Arial" w:eastAsia="Calibri" w:hAnsi="Arial" w:cs="Arial"/>
                <w:sz w:val="22"/>
                <w:szCs w:val="22"/>
              </w:rPr>
              <w:t>27 million customers post-merger</w:t>
            </w:r>
          </w:p>
        </w:tc>
        <w:tc>
          <w:tcPr>
            <w:tcW w:w="4678" w:type="dxa"/>
            <w:tcMar>
              <w:top w:w="100" w:type="dxa"/>
              <w:left w:w="120" w:type="dxa"/>
              <w:bottom w:w="100" w:type="dxa"/>
              <w:right w:w="120" w:type="dxa"/>
            </w:tcMar>
          </w:tcPr>
          <w:p w14:paraId="51B5EE4E" w14:textId="77777777" w:rsidR="00615F2E" w:rsidRPr="00A50E4A" w:rsidRDefault="00615F2E" w:rsidP="00615F2E">
            <w:pPr>
              <w:spacing w:line="360" w:lineRule="auto"/>
              <w:rPr>
                <w:rFonts w:ascii="Arial" w:hAnsi="Arial" w:cs="Arial"/>
                <w:sz w:val="22"/>
                <w:szCs w:val="22"/>
              </w:rPr>
            </w:pPr>
            <w:r w:rsidRPr="00A50E4A">
              <w:rPr>
                <w:rFonts w:ascii="Arial" w:eastAsia="Calibri" w:hAnsi="Arial" w:cs="Arial"/>
                <w:sz w:val="22"/>
                <w:szCs w:val="22"/>
              </w:rPr>
              <w:t>Complex integration of two networks</w:t>
            </w:r>
          </w:p>
        </w:tc>
      </w:tr>
      <w:tr w:rsidR="00615F2E" w:rsidRPr="00A50E4A" w14:paraId="51B5EE55" w14:textId="77777777" w:rsidTr="00733385">
        <w:tc>
          <w:tcPr>
            <w:tcW w:w="4531" w:type="dxa"/>
            <w:tcMar>
              <w:top w:w="100" w:type="dxa"/>
              <w:left w:w="120" w:type="dxa"/>
              <w:bottom w:w="100" w:type="dxa"/>
              <w:right w:w="120" w:type="dxa"/>
            </w:tcMar>
          </w:tcPr>
          <w:p w14:paraId="51B5EE51" w14:textId="77777777" w:rsidR="00615F2E" w:rsidRPr="00A50E4A" w:rsidRDefault="00615F2E" w:rsidP="00615F2E">
            <w:pPr>
              <w:spacing w:line="360" w:lineRule="auto"/>
              <w:rPr>
                <w:rFonts w:ascii="Arial" w:hAnsi="Arial" w:cs="Arial"/>
                <w:sz w:val="22"/>
                <w:szCs w:val="22"/>
              </w:rPr>
            </w:pPr>
            <w:r w:rsidRPr="00A50E4A">
              <w:rPr>
                <w:rFonts w:ascii="Arial" w:eastAsia="Calibri" w:hAnsi="Arial" w:cs="Arial"/>
                <w:sz w:val="22"/>
                <w:szCs w:val="22"/>
              </w:rPr>
              <w:t>£11bn planned network investment</w:t>
            </w:r>
          </w:p>
        </w:tc>
        <w:tc>
          <w:tcPr>
            <w:tcW w:w="4678" w:type="dxa"/>
            <w:tcMar>
              <w:top w:w="100" w:type="dxa"/>
              <w:left w:w="120" w:type="dxa"/>
              <w:bottom w:w="100" w:type="dxa"/>
              <w:right w:w="120" w:type="dxa"/>
            </w:tcMar>
          </w:tcPr>
          <w:p w14:paraId="51B5EE53" w14:textId="77777777" w:rsidR="00615F2E" w:rsidRPr="00A50E4A" w:rsidRDefault="00615F2E" w:rsidP="00615F2E">
            <w:pPr>
              <w:spacing w:line="360" w:lineRule="auto"/>
              <w:rPr>
                <w:rFonts w:ascii="Arial" w:hAnsi="Arial" w:cs="Arial"/>
                <w:sz w:val="22"/>
                <w:szCs w:val="22"/>
              </w:rPr>
            </w:pPr>
            <w:r w:rsidRPr="00A50E4A">
              <w:rPr>
                <w:rFonts w:ascii="Arial" w:eastAsia="Calibri" w:hAnsi="Arial" w:cs="Arial"/>
                <w:sz w:val="22"/>
                <w:szCs w:val="22"/>
              </w:rPr>
              <w:t>High capital requirements / long payback</w:t>
            </w:r>
          </w:p>
        </w:tc>
      </w:tr>
      <w:tr w:rsidR="00615F2E" w:rsidRPr="00A50E4A" w14:paraId="51B5EE5A" w14:textId="77777777" w:rsidTr="00733385">
        <w:tc>
          <w:tcPr>
            <w:tcW w:w="4531" w:type="dxa"/>
            <w:tcMar>
              <w:top w:w="100" w:type="dxa"/>
              <w:left w:w="120" w:type="dxa"/>
              <w:bottom w:w="100" w:type="dxa"/>
              <w:right w:w="120" w:type="dxa"/>
            </w:tcMar>
          </w:tcPr>
          <w:p w14:paraId="51B5EE56" w14:textId="77777777" w:rsidR="00615F2E" w:rsidRPr="00A50E4A" w:rsidRDefault="00615F2E" w:rsidP="00615F2E">
            <w:pPr>
              <w:spacing w:line="360" w:lineRule="auto"/>
              <w:rPr>
                <w:rFonts w:ascii="Arial" w:hAnsi="Arial" w:cs="Arial"/>
                <w:sz w:val="22"/>
                <w:szCs w:val="22"/>
              </w:rPr>
            </w:pPr>
            <w:r w:rsidRPr="00A50E4A">
              <w:rPr>
                <w:rFonts w:ascii="Arial" w:eastAsia="Calibri" w:hAnsi="Arial" w:cs="Arial"/>
                <w:sz w:val="22"/>
                <w:szCs w:val="22"/>
              </w:rPr>
              <w:t>Strong brand recognition</w:t>
            </w:r>
          </w:p>
        </w:tc>
        <w:tc>
          <w:tcPr>
            <w:tcW w:w="4678" w:type="dxa"/>
            <w:tcMar>
              <w:top w:w="100" w:type="dxa"/>
              <w:left w:w="120" w:type="dxa"/>
              <w:bottom w:w="100" w:type="dxa"/>
              <w:right w:w="120" w:type="dxa"/>
            </w:tcMar>
          </w:tcPr>
          <w:p w14:paraId="51B5EE58" w14:textId="77777777" w:rsidR="00615F2E" w:rsidRPr="00A50E4A" w:rsidRDefault="00615F2E" w:rsidP="00615F2E">
            <w:pPr>
              <w:spacing w:line="360" w:lineRule="auto"/>
              <w:rPr>
                <w:rFonts w:ascii="Arial" w:hAnsi="Arial" w:cs="Arial"/>
                <w:sz w:val="22"/>
                <w:szCs w:val="22"/>
              </w:rPr>
            </w:pPr>
            <w:r w:rsidRPr="00A50E4A">
              <w:rPr>
                <w:rFonts w:ascii="Arial" w:eastAsia="Calibri" w:hAnsi="Arial" w:cs="Arial"/>
                <w:sz w:val="22"/>
                <w:szCs w:val="22"/>
              </w:rPr>
              <w:t>Continued dependence on mature telecom revenue</w:t>
            </w:r>
          </w:p>
        </w:tc>
      </w:tr>
      <w:tr w:rsidR="00615F2E" w:rsidRPr="00A50E4A" w14:paraId="51B5EE5F" w14:textId="77777777" w:rsidTr="00733385">
        <w:tc>
          <w:tcPr>
            <w:tcW w:w="4531" w:type="dxa"/>
            <w:tcMar>
              <w:top w:w="100" w:type="dxa"/>
              <w:left w:w="120" w:type="dxa"/>
              <w:bottom w:w="100" w:type="dxa"/>
              <w:right w:w="120" w:type="dxa"/>
            </w:tcMar>
          </w:tcPr>
          <w:p w14:paraId="51B5EE5B" w14:textId="77777777" w:rsidR="00615F2E" w:rsidRPr="00A50E4A" w:rsidRDefault="00615F2E" w:rsidP="00615F2E">
            <w:pPr>
              <w:spacing w:line="360" w:lineRule="auto"/>
              <w:rPr>
                <w:rFonts w:ascii="Arial" w:hAnsi="Arial" w:cs="Arial"/>
                <w:sz w:val="22"/>
                <w:szCs w:val="22"/>
              </w:rPr>
            </w:pPr>
            <w:r w:rsidRPr="00A50E4A">
              <w:rPr>
                <w:rFonts w:ascii="Arial" w:eastAsia="Calibri" w:hAnsi="Arial" w:cs="Arial"/>
                <w:sz w:val="22"/>
                <w:szCs w:val="22"/>
              </w:rPr>
              <w:t>Extensive 5G infrastructure</w:t>
            </w:r>
          </w:p>
        </w:tc>
        <w:tc>
          <w:tcPr>
            <w:tcW w:w="4678" w:type="dxa"/>
            <w:tcMar>
              <w:top w:w="100" w:type="dxa"/>
              <w:left w:w="120" w:type="dxa"/>
              <w:bottom w:w="100" w:type="dxa"/>
              <w:right w:w="120" w:type="dxa"/>
            </w:tcMar>
          </w:tcPr>
          <w:p w14:paraId="51B5EE5D" w14:textId="77777777" w:rsidR="00615F2E" w:rsidRPr="00A50E4A" w:rsidRDefault="00615F2E" w:rsidP="00615F2E">
            <w:pPr>
              <w:spacing w:line="360" w:lineRule="auto"/>
              <w:rPr>
                <w:rFonts w:ascii="Arial" w:hAnsi="Arial" w:cs="Arial"/>
                <w:sz w:val="22"/>
                <w:szCs w:val="22"/>
              </w:rPr>
            </w:pPr>
            <w:r w:rsidRPr="00A50E4A">
              <w:rPr>
                <w:rFonts w:ascii="Arial" w:eastAsia="Calibri" w:hAnsi="Arial" w:cs="Arial"/>
                <w:sz w:val="22"/>
                <w:szCs w:val="22"/>
              </w:rPr>
              <w:t>Pressure to justify returns quickly</w:t>
            </w:r>
          </w:p>
        </w:tc>
      </w:tr>
      <w:tr w:rsidR="00615F2E" w:rsidRPr="00A50E4A" w14:paraId="51B5EE64" w14:textId="77777777" w:rsidTr="00733385">
        <w:tc>
          <w:tcPr>
            <w:tcW w:w="4531" w:type="dxa"/>
            <w:shd w:val="clear" w:color="auto" w:fill="E2F0D9"/>
            <w:tcMar>
              <w:top w:w="100" w:type="dxa"/>
              <w:left w:w="120" w:type="dxa"/>
              <w:bottom w:w="100" w:type="dxa"/>
              <w:right w:w="120" w:type="dxa"/>
            </w:tcMar>
          </w:tcPr>
          <w:p w14:paraId="51B5EE60" w14:textId="77777777" w:rsidR="00615F2E" w:rsidRPr="00A50E4A" w:rsidRDefault="00615F2E" w:rsidP="00615F2E">
            <w:pPr>
              <w:spacing w:line="360" w:lineRule="auto"/>
              <w:rPr>
                <w:rFonts w:ascii="Arial" w:hAnsi="Arial" w:cs="Arial"/>
                <w:sz w:val="22"/>
                <w:szCs w:val="22"/>
              </w:rPr>
            </w:pPr>
            <w:r w:rsidRPr="00A50E4A">
              <w:rPr>
                <w:rFonts w:ascii="Arial" w:eastAsia="Calibri" w:hAnsi="Arial" w:cs="Arial"/>
                <w:b/>
                <w:bCs/>
                <w:sz w:val="22"/>
                <w:szCs w:val="22"/>
              </w:rPr>
              <w:t>Opportunities</w:t>
            </w:r>
          </w:p>
        </w:tc>
        <w:tc>
          <w:tcPr>
            <w:tcW w:w="4678" w:type="dxa"/>
            <w:shd w:val="clear" w:color="auto" w:fill="FDEBD0"/>
            <w:tcMar>
              <w:top w:w="100" w:type="dxa"/>
              <w:left w:w="120" w:type="dxa"/>
              <w:bottom w:w="100" w:type="dxa"/>
              <w:right w:w="120" w:type="dxa"/>
            </w:tcMar>
          </w:tcPr>
          <w:p w14:paraId="51B5EE62" w14:textId="77777777" w:rsidR="00615F2E" w:rsidRPr="00A50E4A" w:rsidRDefault="00615F2E" w:rsidP="00615F2E">
            <w:pPr>
              <w:spacing w:line="360" w:lineRule="auto"/>
              <w:rPr>
                <w:rFonts w:ascii="Arial" w:hAnsi="Arial" w:cs="Arial"/>
                <w:sz w:val="22"/>
                <w:szCs w:val="22"/>
              </w:rPr>
            </w:pPr>
            <w:r w:rsidRPr="00A50E4A">
              <w:rPr>
                <w:rFonts w:ascii="Arial" w:eastAsia="Calibri" w:hAnsi="Arial" w:cs="Arial"/>
                <w:b/>
                <w:bCs/>
                <w:sz w:val="22"/>
                <w:szCs w:val="22"/>
              </w:rPr>
              <w:t>Threats</w:t>
            </w:r>
          </w:p>
        </w:tc>
      </w:tr>
      <w:tr w:rsidR="00615F2E" w:rsidRPr="00A50E4A" w14:paraId="51B5EE69" w14:textId="77777777" w:rsidTr="00733385">
        <w:tc>
          <w:tcPr>
            <w:tcW w:w="4531" w:type="dxa"/>
            <w:tcMar>
              <w:top w:w="100" w:type="dxa"/>
              <w:left w:w="120" w:type="dxa"/>
              <w:bottom w:w="100" w:type="dxa"/>
              <w:right w:w="120" w:type="dxa"/>
            </w:tcMar>
          </w:tcPr>
          <w:p w14:paraId="51B5EE65" w14:textId="77777777" w:rsidR="00615F2E" w:rsidRPr="00A50E4A" w:rsidRDefault="00615F2E" w:rsidP="00615F2E">
            <w:pPr>
              <w:spacing w:line="360" w:lineRule="auto"/>
              <w:rPr>
                <w:rFonts w:ascii="Arial" w:hAnsi="Arial" w:cs="Arial"/>
                <w:sz w:val="22"/>
                <w:szCs w:val="22"/>
              </w:rPr>
            </w:pPr>
            <w:r w:rsidRPr="00A50E4A">
              <w:rPr>
                <w:rFonts w:ascii="Arial" w:eastAsia="Calibri" w:hAnsi="Arial" w:cs="Arial"/>
                <w:sz w:val="22"/>
                <w:szCs w:val="22"/>
              </w:rPr>
              <w:t>IoT market growth</w:t>
            </w:r>
          </w:p>
        </w:tc>
        <w:tc>
          <w:tcPr>
            <w:tcW w:w="4678" w:type="dxa"/>
            <w:tcMar>
              <w:top w:w="100" w:type="dxa"/>
              <w:left w:w="120" w:type="dxa"/>
              <w:bottom w:w="100" w:type="dxa"/>
              <w:right w:w="120" w:type="dxa"/>
            </w:tcMar>
          </w:tcPr>
          <w:p w14:paraId="51B5EE67" w14:textId="77777777" w:rsidR="00615F2E" w:rsidRPr="00A50E4A" w:rsidRDefault="00615F2E" w:rsidP="00615F2E">
            <w:pPr>
              <w:spacing w:line="360" w:lineRule="auto"/>
              <w:rPr>
                <w:rFonts w:ascii="Arial" w:hAnsi="Arial" w:cs="Arial"/>
                <w:sz w:val="22"/>
                <w:szCs w:val="22"/>
              </w:rPr>
            </w:pPr>
            <w:r w:rsidRPr="00A50E4A">
              <w:rPr>
                <w:rFonts w:ascii="Arial" w:eastAsia="Calibri" w:hAnsi="Arial" w:cs="Arial"/>
                <w:sz w:val="22"/>
                <w:szCs w:val="22"/>
              </w:rPr>
              <w:t>Intense rivalry from BT/EE and Virgin Media O2</w:t>
            </w:r>
          </w:p>
        </w:tc>
      </w:tr>
      <w:tr w:rsidR="00615F2E" w:rsidRPr="00A50E4A" w14:paraId="51B5EE6E" w14:textId="77777777" w:rsidTr="00733385">
        <w:tc>
          <w:tcPr>
            <w:tcW w:w="4531" w:type="dxa"/>
            <w:tcMar>
              <w:top w:w="100" w:type="dxa"/>
              <w:left w:w="120" w:type="dxa"/>
              <w:bottom w:w="100" w:type="dxa"/>
              <w:right w:w="120" w:type="dxa"/>
            </w:tcMar>
          </w:tcPr>
          <w:p w14:paraId="51B5EE6A" w14:textId="77777777" w:rsidR="00615F2E" w:rsidRPr="00A50E4A" w:rsidRDefault="00615F2E" w:rsidP="00615F2E">
            <w:pPr>
              <w:spacing w:line="360" w:lineRule="auto"/>
              <w:rPr>
                <w:rFonts w:ascii="Arial" w:hAnsi="Arial" w:cs="Arial"/>
                <w:sz w:val="22"/>
                <w:szCs w:val="22"/>
              </w:rPr>
            </w:pPr>
            <w:r w:rsidRPr="00A50E4A">
              <w:rPr>
                <w:rFonts w:ascii="Arial" w:eastAsia="Calibri" w:hAnsi="Arial" w:cs="Arial"/>
                <w:sz w:val="22"/>
                <w:szCs w:val="22"/>
              </w:rPr>
              <w:t>Smart City development</w:t>
            </w:r>
          </w:p>
        </w:tc>
        <w:tc>
          <w:tcPr>
            <w:tcW w:w="4678" w:type="dxa"/>
            <w:tcMar>
              <w:top w:w="100" w:type="dxa"/>
              <w:left w:w="120" w:type="dxa"/>
              <w:bottom w:w="100" w:type="dxa"/>
              <w:right w:w="120" w:type="dxa"/>
            </w:tcMar>
          </w:tcPr>
          <w:p w14:paraId="51B5EE6C" w14:textId="77777777" w:rsidR="00615F2E" w:rsidRPr="00A50E4A" w:rsidRDefault="00615F2E" w:rsidP="00615F2E">
            <w:pPr>
              <w:spacing w:line="360" w:lineRule="auto"/>
              <w:rPr>
                <w:rFonts w:ascii="Arial" w:hAnsi="Arial" w:cs="Arial"/>
                <w:sz w:val="22"/>
                <w:szCs w:val="22"/>
              </w:rPr>
            </w:pPr>
            <w:r w:rsidRPr="00A50E4A">
              <w:rPr>
                <w:rFonts w:ascii="Arial" w:eastAsia="Calibri" w:hAnsi="Arial" w:cs="Arial"/>
                <w:sz w:val="22"/>
                <w:szCs w:val="22"/>
              </w:rPr>
              <w:t>Cybersecurity and data-breach risk</w:t>
            </w:r>
          </w:p>
        </w:tc>
      </w:tr>
      <w:tr w:rsidR="00615F2E" w:rsidRPr="00A50E4A" w14:paraId="51B5EE73" w14:textId="77777777" w:rsidTr="00733385">
        <w:tc>
          <w:tcPr>
            <w:tcW w:w="4531" w:type="dxa"/>
            <w:tcMar>
              <w:top w:w="100" w:type="dxa"/>
              <w:left w:w="120" w:type="dxa"/>
              <w:bottom w:w="100" w:type="dxa"/>
              <w:right w:w="120" w:type="dxa"/>
            </w:tcMar>
          </w:tcPr>
          <w:p w14:paraId="51B5EE6F" w14:textId="77777777" w:rsidR="00615F2E" w:rsidRPr="00A50E4A" w:rsidRDefault="00615F2E" w:rsidP="00615F2E">
            <w:pPr>
              <w:spacing w:line="360" w:lineRule="auto"/>
              <w:rPr>
                <w:rFonts w:ascii="Arial" w:hAnsi="Arial" w:cs="Arial"/>
                <w:sz w:val="22"/>
                <w:szCs w:val="22"/>
              </w:rPr>
            </w:pPr>
            <w:r w:rsidRPr="00A50E4A">
              <w:rPr>
                <w:rFonts w:ascii="Arial" w:eastAsia="Calibri" w:hAnsi="Arial" w:cs="Arial"/>
                <w:sz w:val="22"/>
                <w:szCs w:val="22"/>
              </w:rPr>
              <w:t>£700m merger synergies</w:t>
            </w:r>
          </w:p>
        </w:tc>
        <w:tc>
          <w:tcPr>
            <w:tcW w:w="4678" w:type="dxa"/>
            <w:tcMar>
              <w:top w:w="100" w:type="dxa"/>
              <w:left w:w="120" w:type="dxa"/>
              <w:bottom w:w="100" w:type="dxa"/>
              <w:right w:w="120" w:type="dxa"/>
            </w:tcMar>
          </w:tcPr>
          <w:p w14:paraId="51B5EE71" w14:textId="77777777" w:rsidR="00615F2E" w:rsidRPr="00A50E4A" w:rsidRDefault="00615F2E" w:rsidP="00615F2E">
            <w:pPr>
              <w:spacing w:line="360" w:lineRule="auto"/>
              <w:rPr>
                <w:rFonts w:ascii="Arial" w:hAnsi="Arial" w:cs="Arial"/>
                <w:sz w:val="22"/>
                <w:szCs w:val="22"/>
              </w:rPr>
            </w:pPr>
            <w:r w:rsidRPr="00A50E4A">
              <w:rPr>
                <w:rFonts w:ascii="Arial" w:eastAsia="Calibri" w:hAnsi="Arial" w:cs="Arial"/>
                <w:sz w:val="22"/>
                <w:szCs w:val="22"/>
              </w:rPr>
              <w:t>Heightened regulatory scrutiny</w:t>
            </w:r>
          </w:p>
        </w:tc>
      </w:tr>
      <w:tr w:rsidR="00615F2E" w:rsidRPr="00A50E4A" w14:paraId="51B5EE78" w14:textId="77777777" w:rsidTr="00733385">
        <w:tc>
          <w:tcPr>
            <w:tcW w:w="4531" w:type="dxa"/>
            <w:tcMar>
              <w:top w:w="100" w:type="dxa"/>
              <w:left w:w="120" w:type="dxa"/>
              <w:bottom w:w="100" w:type="dxa"/>
              <w:right w:w="120" w:type="dxa"/>
            </w:tcMar>
          </w:tcPr>
          <w:p w14:paraId="51B5EE74" w14:textId="77777777" w:rsidR="00615F2E" w:rsidRPr="00A50E4A" w:rsidRDefault="00615F2E" w:rsidP="00615F2E">
            <w:pPr>
              <w:spacing w:line="360" w:lineRule="auto"/>
              <w:rPr>
                <w:rFonts w:ascii="Arial" w:hAnsi="Arial" w:cs="Arial"/>
                <w:sz w:val="22"/>
                <w:szCs w:val="22"/>
              </w:rPr>
            </w:pPr>
            <w:r w:rsidRPr="00A50E4A">
              <w:rPr>
                <w:rFonts w:ascii="Arial" w:eastAsia="Calibri" w:hAnsi="Arial" w:cs="Arial"/>
                <w:sz w:val="22"/>
                <w:szCs w:val="22"/>
              </w:rPr>
              <w:t>Growing enterprise demand for connected services</w:t>
            </w:r>
          </w:p>
        </w:tc>
        <w:tc>
          <w:tcPr>
            <w:tcW w:w="4678" w:type="dxa"/>
            <w:tcMar>
              <w:top w:w="100" w:type="dxa"/>
              <w:left w:w="120" w:type="dxa"/>
              <w:bottom w:w="100" w:type="dxa"/>
              <w:right w:w="120" w:type="dxa"/>
            </w:tcMar>
          </w:tcPr>
          <w:p w14:paraId="51B5EE76" w14:textId="77777777" w:rsidR="00615F2E" w:rsidRPr="00A50E4A" w:rsidRDefault="00615F2E" w:rsidP="00615F2E">
            <w:pPr>
              <w:spacing w:line="360" w:lineRule="auto"/>
              <w:rPr>
                <w:rFonts w:ascii="Arial" w:hAnsi="Arial" w:cs="Arial"/>
                <w:sz w:val="22"/>
                <w:szCs w:val="22"/>
              </w:rPr>
            </w:pPr>
            <w:r w:rsidRPr="00A50E4A">
              <w:rPr>
                <w:rFonts w:ascii="Arial" w:eastAsia="Calibri" w:hAnsi="Arial" w:cs="Arial"/>
                <w:sz w:val="22"/>
                <w:szCs w:val="22"/>
              </w:rPr>
              <w:t>Commoditisation of core mobile/broadband products</w:t>
            </w:r>
          </w:p>
        </w:tc>
      </w:tr>
    </w:tbl>
    <w:p w14:paraId="51B5EE79" w14:textId="77777777" w:rsidR="00466F20" w:rsidRPr="00A50E4A" w:rsidRDefault="00466F20" w:rsidP="00615F2E">
      <w:pPr>
        <w:spacing w:after="200" w:line="360" w:lineRule="auto"/>
        <w:rPr>
          <w:rFonts w:ascii="Arial" w:hAnsi="Arial" w:cs="Arial"/>
          <w:sz w:val="22"/>
          <w:szCs w:val="22"/>
        </w:rPr>
      </w:pPr>
    </w:p>
    <w:p w14:paraId="51B5EE7A" w14:textId="77777777" w:rsidR="00466F20" w:rsidRPr="00A50E4A" w:rsidRDefault="006A1C32" w:rsidP="00615F2E">
      <w:pPr>
        <w:pStyle w:val="Heading3"/>
        <w:spacing w:before="180" w:after="100" w:line="360" w:lineRule="auto"/>
        <w:rPr>
          <w:rFonts w:ascii="Arial" w:hAnsi="Arial" w:cs="Arial"/>
          <w:b/>
          <w:bCs/>
          <w:color w:val="auto"/>
          <w:sz w:val="22"/>
          <w:szCs w:val="22"/>
        </w:rPr>
      </w:pPr>
      <w:r w:rsidRPr="00A50E4A">
        <w:rPr>
          <w:rFonts w:ascii="Arial" w:hAnsi="Arial" w:cs="Arial"/>
          <w:b/>
          <w:bCs/>
          <w:color w:val="auto"/>
          <w:sz w:val="22"/>
          <w:szCs w:val="22"/>
        </w:rPr>
        <w:t>SWOT Evaluation</w:t>
      </w:r>
    </w:p>
    <w:p w14:paraId="51B5EE7B" w14:textId="77777777" w:rsidR="00466F20" w:rsidRPr="00A50E4A" w:rsidRDefault="006A1C32" w:rsidP="00733385">
      <w:pPr>
        <w:spacing w:after="160" w:line="360" w:lineRule="auto"/>
        <w:ind w:firstLine="720"/>
        <w:rPr>
          <w:rFonts w:ascii="Arial" w:hAnsi="Arial" w:cs="Arial"/>
          <w:sz w:val="22"/>
          <w:szCs w:val="22"/>
        </w:rPr>
      </w:pPr>
      <w:r w:rsidRPr="00A50E4A">
        <w:rPr>
          <w:rFonts w:ascii="Arial" w:eastAsia="Calibri" w:hAnsi="Arial" w:cs="Arial"/>
          <w:sz w:val="22"/>
          <w:szCs w:val="22"/>
        </w:rPr>
        <w:t>Strengths and opportunities align around IoT and Smart City markets, but cybersecurity, integration complexity and slow public-sector demand make this a plausible direction rather than a low-risk certainty, as Section 3.4 develops.</w:t>
      </w:r>
    </w:p>
    <w:p w14:paraId="51B5EE7C" w14:textId="77777777" w:rsidR="00466F20" w:rsidRPr="00A50E4A" w:rsidRDefault="006A1C32" w:rsidP="00615F2E">
      <w:pPr>
        <w:pStyle w:val="Heading2"/>
        <w:spacing w:before="220" w:after="120" w:line="360" w:lineRule="auto"/>
        <w:rPr>
          <w:rFonts w:ascii="Arial" w:hAnsi="Arial" w:cs="Arial"/>
          <w:b/>
          <w:bCs/>
          <w:color w:val="auto"/>
          <w:sz w:val="22"/>
          <w:szCs w:val="22"/>
        </w:rPr>
      </w:pPr>
      <w:r w:rsidRPr="00A50E4A">
        <w:rPr>
          <w:rFonts w:ascii="Arial" w:hAnsi="Arial" w:cs="Arial"/>
          <w:b/>
          <w:bCs/>
          <w:color w:val="auto"/>
          <w:sz w:val="22"/>
          <w:szCs w:val="22"/>
        </w:rPr>
        <w:t>3.4 Critical Reflection: Counterarguments and Limitations</w:t>
      </w:r>
    </w:p>
    <w:p w14:paraId="51B5EE7D" w14:textId="77777777" w:rsidR="00466F20" w:rsidRPr="00A50E4A" w:rsidRDefault="006A1C32" w:rsidP="00615F2E">
      <w:pPr>
        <w:spacing w:after="160" w:line="360" w:lineRule="auto"/>
        <w:rPr>
          <w:rFonts w:ascii="Arial" w:hAnsi="Arial" w:cs="Arial"/>
          <w:sz w:val="22"/>
          <w:szCs w:val="22"/>
        </w:rPr>
      </w:pPr>
      <w:r w:rsidRPr="00A50E4A">
        <w:rPr>
          <w:rFonts w:ascii="Arial" w:eastAsia="Calibri" w:hAnsi="Arial" w:cs="Arial"/>
          <w:sz w:val="22"/>
          <w:szCs w:val="22"/>
        </w:rPr>
        <w:t>Before recommending a direction, the strongest counterarguments deserve airing, since a strategy that only survives on favourable evidence is not robust.</w:t>
      </w:r>
    </w:p>
    <w:p w14:paraId="51B5EE7E" w14:textId="77777777" w:rsidR="00466F20" w:rsidRPr="00A50E4A" w:rsidRDefault="006A1C32" w:rsidP="00615F2E">
      <w:pPr>
        <w:pStyle w:val="ListParagraph"/>
        <w:numPr>
          <w:ilvl w:val="0"/>
          <w:numId w:val="3"/>
        </w:numPr>
        <w:spacing w:after="100" w:line="360" w:lineRule="auto"/>
        <w:rPr>
          <w:rFonts w:ascii="Arial" w:hAnsi="Arial" w:cs="Arial"/>
          <w:sz w:val="22"/>
          <w:szCs w:val="22"/>
        </w:rPr>
      </w:pPr>
      <w:r w:rsidRPr="00A50E4A">
        <w:rPr>
          <w:rFonts w:ascii="Arial" w:eastAsia="Calibri" w:hAnsi="Arial" w:cs="Arial"/>
          <w:sz w:val="22"/>
          <w:szCs w:val="22"/>
        </w:rPr>
        <w:lastRenderedPageBreak/>
        <w:t>Slower-than-forecast adoption: industry IoT projections are market-wide and do not guarantee Vodafone-specific Smart City contracts will scale at the same pace; early markets often take longer than headline forecasts suggest.</w:t>
      </w:r>
    </w:p>
    <w:p w14:paraId="51B5EE7F" w14:textId="77777777" w:rsidR="00466F20" w:rsidRPr="00A50E4A" w:rsidRDefault="006A1C32" w:rsidP="00615F2E">
      <w:pPr>
        <w:pStyle w:val="ListParagraph"/>
        <w:numPr>
          <w:ilvl w:val="0"/>
          <w:numId w:val="3"/>
        </w:numPr>
        <w:spacing w:after="100" w:line="360" w:lineRule="auto"/>
        <w:rPr>
          <w:rFonts w:ascii="Arial" w:hAnsi="Arial" w:cs="Arial"/>
          <w:sz w:val="22"/>
          <w:szCs w:val="22"/>
        </w:rPr>
      </w:pPr>
      <w:r w:rsidRPr="00A50E4A">
        <w:rPr>
          <w:rFonts w:ascii="Arial" w:eastAsia="Calibri" w:hAnsi="Arial" w:cs="Arial"/>
          <w:sz w:val="22"/>
          <w:szCs w:val="22"/>
        </w:rPr>
        <w:t>Public-sector budget constraints: many Smart City projects depend on local authority and government funding, subject to competing priorities and multi-year procurement cycles, which could slow deployment regardless of Vodafone's technical readiness.</w:t>
      </w:r>
    </w:p>
    <w:p w14:paraId="51B5EE80" w14:textId="77777777" w:rsidR="00466F20" w:rsidRPr="00A50E4A" w:rsidRDefault="006A1C32" w:rsidP="00615F2E">
      <w:pPr>
        <w:pStyle w:val="ListParagraph"/>
        <w:numPr>
          <w:ilvl w:val="0"/>
          <w:numId w:val="3"/>
        </w:numPr>
        <w:spacing w:after="100" w:line="360" w:lineRule="auto"/>
        <w:rPr>
          <w:rFonts w:ascii="Arial" w:hAnsi="Arial" w:cs="Arial"/>
          <w:sz w:val="22"/>
          <w:szCs w:val="22"/>
        </w:rPr>
      </w:pPr>
      <w:r w:rsidRPr="00A50E4A">
        <w:rPr>
          <w:rFonts w:ascii="Arial" w:eastAsia="Calibri" w:hAnsi="Arial" w:cs="Arial"/>
          <w:sz w:val="22"/>
          <w:szCs w:val="22"/>
        </w:rPr>
        <w:t>Cybersecurity and trust failures: given Kitchin's (2014) warnings, one high-profile data or privacy incident could damage trust well beyond the project involved, making other regions more cautious about future partnerships.</w:t>
      </w:r>
    </w:p>
    <w:p w14:paraId="51B5EE81" w14:textId="77777777" w:rsidR="00466F20" w:rsidRPr="00A50E4A" w:rsidRDefault="006A1C32" w:rsidP="00615F2E">
      <w:pPr>
        <w:pStyle w:val="ListParagraph"/>
        <w:numPr>
          <w:ilvl w:val="0"/>
          <w:numId w:val="3"/>
        </w:numPr>
        <w:spacing w:after="100" w:line="360" w:lineRule="auto"/>
        <w:rPr>
          <w:rFonts w:ascii="Arial" w:hAnsi="Arial" w:cs="Arial"/>
          <w:sz w:val="22"/>
          <w:szCs w:val="22"/>
        </w:rPr>
      </w:pPr>
      <w:r w:rsidRPr="00A50E4A">
        <w:rPr>
          <w:rFonts w:ascii="Arial" w:eastAsia="Calibri" w:hAnsi="Arial" w:cs="Arial"/>
          <w:sz w:val="22"/>
          <w:szCs w:val="22"/>
        </w:rPr>
        <w:t>Value capture by other players: PwC (2026) argues that most of the growth in IoT value accrues to application enablement platforms and consulting providers rather than to network operators, so Vodafone risks enabling a market it invests in without capturing a proportionate share of the returns.</w:t>
      </w:r>
    </w:p>
    <w:p w14:paraId="51B5EE82" w14:textId="77777777" w:rsidR="00466F20" w:rsidRPr="00A50E4A" w:rsidRDefault="006A1C32" w:rsidP="00615F2E">
      <w:pPr>
        <w:spacing w:after="160" w:line="360" w:lineRule="auto"/>
        <w:rPr>
          <w:rFonts w:ascii="Arial" w:hAnsi="Arial" w:cs="Arial"/>
          <w:sz w:val="22"/>
          <w:szCs w:val="22"/>
        </w:rPr>
      </w:pPr>
      <w:r w:rsidRPr="00A50E4A">
        <w:rPr>
          <w:rFonts w:ascii="Arial" w:eastAsia="Calibri" w:hAnsi="Arial" w:cs="Arial"/>
          <w:sz w:val="22"/>
          <w:szCs w:val="22"/>
        </w:rPr>
        <w:t>None of this invalidates the strategy, but it means Vodafone should pursue it incrementally, with clear checkpoints, rather than as one large commitment – developed further in Section 7.</w:t>
      </w:r>
    </w:p>
    <w:p w14:paraId="51B5EE83" w14:textId="77777777" w:rsidR="00466F20" w:rsidRPr="00A50E4A" w:rsidRDefault="006A1C32" w:rsidP="00733385">
      <w:pPr>
        <w:pStyle w:val="Heading1"/>
        <w:spacing w:before="280" w:after="160" w:line="360" w:lineRule="auto"/>
        <w:jc w:val="center"/>
        <w:rPr>
          <w:rFonts w:ascii="Arial" w:hAnsi="Arial" w:cs="Arial"/>
          <w:b/>
          <w:bCs/>
          <w:color w:val="auto"/>
          <w:sz w:val="22"/>
          <w:szCs w:val="22"/>
        </w:rPr>
      </w:pPr>
      <w:r w:rsidRPr="00A50E4A">
        <w:rPr>
          <w:rFonts w:ascii="Arial" w:hAnsi="Arial" w:cs="Arial"/>
          <w:b/>
          <w:bCs/>
          <w:color w:val="auto"/>
          <w:sz w:val="22"/>
          <w:szCs w:val="22"/>
        </w:rPr>
        <w:t>4. Strategic Growth Options and Proposed Strategy</w:t>
      </w:r>
    </w:p>
    <w:p w14:paraId="51B5EE84" w14:textId="77777777" w:rsidR="00466F20" w:rsidRPr="00A50E4A" w:rsidRDefault="006A1C32" w:rsidP="00733385">
      <w:pPr>
        <w:spacing w:after="160" w:line="360" w:lineRule="auto"/>
        <w:ind w:firstLine="720"/>
        <w:rPr>
          <w:rFonts w:ascii="Arial" w:hAnsi="Arial" w:cs="Arial"/>
          <w:sz w:val="22"/>
          <w:szCs w:val="22"/>
        </w:rPr>
      </w:pPr>
      <w:r w:rsidRPr="00A50E4A">
        <w:rPr>
          <w:rFonts w:ascii="Arial" w:eastAsia="Calibri" w:hAnsi="Arial" w:cs="Arial"/>
          <w:sz w:val="22"/>
          <w:szCs w:val="22"/>
        </w:rPr>
        <w:t>The analysis shows high rivalry, price-sensitive customers and a core business becoming harder to differentiate, alongside opportunities from 5G and IoT growth. Ansoff's Matrix (1957) is used to compare three realistic growth options.</w:t>
      </w:r>
    </w:p>
    <w:p w14:paraId="51B5EE85" w14:textId="77777777" w:rsidR="00466F20" w:rsidRPr="00A50E4A" w:rsidRDefault="006A1C32" w:rsidP="00615F2E">
      <w:pPr>
        <w:pStyle w:val="Heading2"/>
        <w:spacing w:before="220" w:after="120" w:line="360" w:lineRule="auto"/>
        <w:rPr>
          <w:rFonts w:ascii="Arial" w:hAnsi="Arial" w:cs="Arial"/>
          <w:b/>
          <w:bCs/>
          <w:color w:val="auto"/>
          <w:sz w:val="22"/>
          <w:szCs w:val="22"/>
        </w:rPr>
      </w:pPr>
      <w:r w:rsidRPr="00A50E4A">
        <w:rPr>
          <w:rFonts w:ascii="Arial" w:hAnsi="Arial" w:cs="Arial"/>
          <w:b/>
          <w:bCs/>
          <w:color w:val="auto"/>
          <w:sz w:val="22"/>
          <w:szCs w:val="22"/>
        </w:rPr>
        <w:t>Market Penetration</w:t>
      </w:r>
    </w:p>
    <w:p w14:paraId="51B5EE86" w14:textId="77777777" w:rsidR="00466F20" w:rsidRPr="00A50E4A" w:rsidRDefault="006A1C32" w:rsidP="00733385">
      <w:pPr>
        <w:spacing w:after="160" w:line="360" w:lineRule="auto"/>
        <w:ind w:firstLine="720"/>
        <w:rPr>
          <w:rFonts w:ascii="Arial" w:hAnsi="Arial" w:cs="Arial"/>
          <w:sz w:val="22"/>
          <w:szCs w:val="22"/>
        </w:rPr>
      </w:pPr>
      <w:r w:rsidRPr="00A50E4A">
        <w:rPr>
          <w:rFonts w:ascii="Arial" w:eastAsia="Calibri" w:hAnsi="Arial" w:cs="Arial"/>
          <w:sz w:val="22"/>
          <w:szCs w:val="22"/>
        </w:rPr>
        <w:t>Increasing sales of existing products through promotions, retention and pricing is low-risk, but high buyer power and low switching costs limit sustainable growth. It may protect share short-term while doing nothing to reduce dependence on a commoditising core.</w:t>
      </w:r>
    </w:p>
    <w:p w14:paraId="51B5EE87" w14:textId="77777777" w:rsidR="00466F20" w:rsidRPr="00A50E4A" w:rsidRDefault="006A1C32" w:rsidP="00615F2E">
      <w:pPr>
        <w:pStyle w:val="Heading2"/>
        <w:spacing w:before="220" w:after="120" w:line="360" w:lineRule="auto"/>
        <w:rPr>
          <w:rFonts w:ascii="Arial" w:hAnsi="Arial" w:cs="Arial"/>
          <w:b/>
          <w:bCs/>
          <w:color w:val="auto"/>
          <w:sz w:val="22"/>
          <w:szCs w:val="22"/>
        </w:rPr>
      </w:pPr>
      <w:r w:rsidRPr="00A50E4A">
        <w:rPr>
          <w:rFonts w:ascii="Arial" w:hAnsi="Arial" w:cs="Arial"/>
          <w:b/>
          <w:bCs/>
          <w:color w:val="auto"/>
          <w:sz w:val="22"/>
          <w:szCs w:val="22"/>
        </w:rPr>
        <w:t>Market Development</w:t>
      </w:r>
    </w:p>
    <w:p w14:paraId="51B5EE88" w14:textId="77777777" w:rsidR="00466F20" w:rsidRPr="00A50E4A" w:rsidRDefault="006A1C32" w:rsidP="00733385">
      <w:pPr>
        <w:spacing w:after="160" w:line="360" w:lineRule="auto"/>
        <w:ind w:firstLine="720"/>
        <w:rPr>
          <w:rFonts w:ascii="Arial" w:hAnsi="Arial" w:cs="Arial"/>
          <w:sz w:val="22"/>
          <w:szCs w:val="22"/>
        </w:rPr>
      </w:pPr>
      <w:r w:rsidRPr="00A50E4A">
        <w:rPr>
          <w:rFonts w:ascii="Arial" w:eastAsia="Calibri" w:hAnsi="Arial" w:cs="Arial"/>
          <w:sz w:val="22"/>
          <w:szCs w:val="22"/>
        </w:rPr>
        <w:t>Selling existing products into new segments – healthcare, education, local government – could use existing infrastructure, but relies on largely unchanged products that competitors can copy easily, likely producing only incremental growth without real differentiation.</w:t>
      </w:r>
    </w:p>
    <w:p w14:paraId="51B5EE89" w14:textId="77777777" w:rsidR="00466F20" w:rsidRPr="00A50E4A" w:rsidRDefault="006A1C32" w:rsidP="00615F2E">
      <w:pPr>
        <w:pStyle w:val="Heading2"/>
        <w:spacing w:before="220" w:after="120" w:line="360" w:lineRule="auto"/>
        <w:rPr>
          <w:rFonts w:ascii="Arial" w:hAnsi="Arial" w:cs="Arial"/>
          <w:b/>
          <w:bCs/>
          <w:color w:val="auto"/>
          <w:sz w:val="22"/>
          <w:szCs w:val="22"/>
        </w:rPr>
      </w:pPr>
      <w:r w:rsidRPr="00A50E4A">
        <w:rPr>
          <w:rFonts w:ascii="Arial" w:hAnsi="Arial" w:cs="Arial"/>
          <w:b/>
          <w:bCs/>
          <w:color w:val="auto"/>
          <w:sz w:val="22"/>
          <w:szCs w:val="22"/>
        </w:rPr>
        <w:t>Product Development</w:t>
      </w:r>
    </w:p>
    <w:p w14:paraId="51B5EE8A" w14:textId="77777777" w:rsidR="00466F20" w:rsidRPr="00A50E4A" w:rsidRDefault="006A1C32" w:rsidP="00615F2E">
      <w:pPr>
        <w:spacing w:after="160" w:line="360" w:lineRule="auto"/>
        <w:rPr>
          <w:rFonts w:ascii="Arial" w:hAnsi="Arial" w:cs="Arial"/>
          <w:sz w:val="22"/>
          <w:szCs w:val="22"/>
        </w:rPr>
      </w:pPr>
      <w:r w:rsidRPr="00A50E4A">
        <w:rPr>
          <w:rFonts w:ascii="Arial" w:eastAsia="Calibri" w:hAnsi="Arial" w:cs="Arial"/>
          <w:sz w:val="22"/>
          <w:szCs w:val="22"/>
        </w:rPr>
        <w:t xml:space="preserve">New products in existing markets (Ansoff, 1957) let Vodafone use its base, network and capability to create new revenue via 5G-enabled IoT and Smart City services, supported by </w:t>
      </w:r>
      <w:r w:rsidRPr="00A50E4A">
        <w:rPr>
          <w:rFonts w:ascii="Arial" w:eastAsia="Calibri" w:hAnsi="Arial" w:cs="Arial"/>
          <w:sz w:val="22"/>
          <w:szCs w:val="22"/>
        </w:rPr>
        <w:lastRenderedPageBreak/>
        <w:t>PwC's (2026) IoT growth forecasts and Albino, Berardi and Dangelico's (2015) view that Smart Cities need integrated technology and governance. This addresses the report's core issues – reducing dependence on commoditised revenue and generating returns on the £11 billion investment – but is the costliest, most complex option, and Kitchin's (2014) governance concerns apply most directly here. Even so, its risks (capability, trust, governance) are ones Vodafone can actively manage, unlike the largely structural limits facing the other two options. Industry evidence suggests the shift is achievable: GSMA Intelligence (2026) reports that services beyond traditional connectivity are becoming a materially larger contributor to operator revenue growth.</w:t>
      </w:r>
    </w:p>
    <w:p w14:paraId="51B5EE8B" w14:textId="77777777" w:rsidR="00466F20" w:rsidRPr="00A50E4A" w:rsidRDefault="006A1C32" w:rsidP="00615F2E">
      <w:pPr>
        <w:pStyle w:val="Heading2"/>
        <w:spacing w:before="220" w:after="120" w:line="360" w:lineRule="auto"/>
        <w:rPr>
          <w:rFonts w:ascii="Arial" w:hAnsi="Arial" w:cs="Arial"/>
          <w:b/>
          <w:bCs/>
          <w:color w:val="auto"/>
          <w:sz w:val="22"/>
          <w:szCs w:val="22"/>
        </w:rPr>
      </w:pPr>
      <w:r w:rsidRPr="00A50E4A">
        <w:rPr>
          <w:rFonts w:ascii="Arial" w:hAnsi="Arial" w:cs="Arial"/>
          <w:b/>
          <w:bCs/>
          <w:color w:val="auto"/>
          <w:sz w:val="22"/>
          <w:szCs w:val="22"/>
        </w:rPr>
        <w:t>Ansoff Matrix Summary</w:t>
      </w:r>
    </w:p>
    <w:p w14:paraId="51B5EE8C" w14:textId="314CEB9A" w:rsidR="00466F20" w:rsidRPr="00A50E4A" w:rsidRDefault="00733385" w:rsidP="00615F2E">
      <w:pPr>
        <w:spacing w:after="200" w:line="360" w:lineRule="auto"/>
        <w:rPr>
          <w:rFonts w:ascii="Arial" w:hAnsi="Arial" w:cs="Arial"/>
          <w:sz w:val="22"/>
          <w:szCs w:val="22"/>
        </w:rPr>
      </w:pPr>
      <w:r w:rsidRPr="00A50E4A">
        <w:rPr>
          <w:rFonts w:ascii="Arial" w:hAnsi="Arial" w:cs="Arial"/>
          <w:sz w:val="22"/>
          <w:szCs w:val="22"/>
        </w:rPr>
        <w:t xml:space="preserve">Table N.3 </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50"/>
        <w:gridCol w:w="3375"/>
        <w:gridCol w:w="3375"/>
      </w:tblGrid>
      <w:tr w:rsidR="00466F20" w:rsidRPr="00A50E4A" w14:paraId="51B5EE90" w14:textId="77777777">
        <w:tc>
          <w:tcPr>
            <w:tcW w:w="2250" w:type="dxa"/>
            <w:tcMar>
              <w:top w:w="100" w:type="dxa"/>
              <w:left w:w="120" w:type="dxa"/>
              <w:bottom w:w="100" w:type="dxa"/>
              <w:right w:w="120" w:type="dxa"/>
            </w:tcMar>
          </w:tcPr>
          <w:p w14:paraId="51B5EE8D" w14:textId="77777777" w:rsidR="00466F20" w:rsidRPr="00A50E4A" w:rsidRDefault="00466F20" w:rsidP="00615F2E">
            <w:pPr>
              <w:spacing w:line="360" w:lineRule="auto"/>
              <w:rPr>
                <w:rFonts w:ascii="Arial" w:hAnsi="Arial" w:cs="Arial"/>
                <w:sz w:val="22"/>
                <w:szCs w:val="22"/>
              </w:rPr>
            </w:pPr>
          </w:p>
        </w:tc>
        <w:tc>
          <w:tcPr>
            <w:tcW w:w="3375" w:type="dxa"/>
            <w:shd w:val="clear" w:color="auto" w:fill="D9E2F3"/>
            <w:tcMar>
              <w:top w:w="100" w:type="dxa"/>
              <w:left w:w="120" w:type="dxa"/>
              <w:bottom w:w="100" w:type="dxa"/>
              <w:right w:w="120" w:type="dxa"/>
            </w:tcMar>
          </w:tcPr>
          <w:p w14:paraId="51B5EE8E" w14:textId="77777777" w:rsidR="00466F20" w:rsidRPr="00A50E4A" w:rsidRDefault="006A1C32" w:rsidP="00615F2E">
            <w:pPr>
              <w:spacing w:line="360" w:lineRule="auto"/>
              <w:jc w:val="center"/>
              <w:rPr>
                <w:rFonts w:ascii="Arial" w:hAnsi="Arial" w:cs="Arial"/>
                <w:sz w:val="22"/>
                <w:szCs w:val="22"/>
              </w:rPr>
            </w:pPr>
            <w:r w:rsidRPr="00A50E4A">
              <w:rPr>
                <w:rFonts w:ascii="Arial" w:eastAsia="Calibri" w:hAnsi="Arial" w:cs="Arial"/>
                <w:b/>
                <w:bCs/>
                <w:sz w:val="22"/>
                <w:szCs w:val="22"/>
              </w:rPr>
              <w:t>Existing Products</w:t>
            </w:r>
          </w:p>
        </w:tc>
        <w:tc>
          <w:tcPr>
            <w:tcW w:w="3375" w:type="dxa"/>
            <w:shd w:val="clear" w:color="auto" w:fill="D9E2F3"/>
            <w:tcMar>
              <w:top w:w="100" w:type="dxa"/>
              <w:left w:w="120" w:type="dxa"/>
              <w:bottom w:w="100" w:type="dxa"/>
              <w:right w:w="120" w:type="dxa"/>
            </w:tcMar>
          </w:tcPr>
          <w:p w14:paraId="51B5EE8F" w14:textId="77777777" w:rsidR="00466F20" w:rsidRPr="00A50E4A" w:rsidRDefault="006A1C32" w:rsidP="00615F2E">
            <w:pPr>
              <w:spacing w:line="360" w:lineRule="auto"/>
              <w:jc w:val="center"/>
              <w:rPr>
                <w:rFonts w:ascii="Arial" w:hAnsi="Arial" w:cs="Arial"/>
                <w:sz w:val="22"/>
                <w:szCs w:val="22"/>
              </w:rPr>
            </w:pPr>
            <w:r w:rsidRPr="00A50E4A">
              <w:rPr>
                <w:rFonts w:ascii="Arial" w:eastAsia="Calibri" w:hAnsi="Arial" w:cs="Arial"/>
                <w:b/>
                <w:bCs/>
                <w:sz w:val="22"/>
                <w:szCs w:val="22"/>
              </w:rPr>
              <w:t>New Products</w:t>
            </w:r>
          </w:p>
        </w:tc>
      </w:tr>
      <w:tr w:rsidR="00466F20" w:rsidRPr="00A50E4A" w14:paraId="51B5EE94" w14:textId="77777777">
        <w:tc>
          <w:tcPr>
            <w:tcW w:w="2250" w:type="dxa"/>
            <w:shd w:val="clear" w:color="auto" w:fill="D9E2F3"/>
            <w:tcMar>
              <w:top w:w="100" w:type="dxa"/>
              <w:left w:w="120" w:type="dxa"/>
              <w:bottom w:w="100" w:type="dxa"/>
              <w:right w:w="120" w:type="dxa"/>
            </w:tcMar>
          </w:tcPr>
          <w:p w14:paraId="51B5EE91"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b/>
                <w:bCs/>
                <w:sz w:val="22"/>
                <w:szCs w:val="22"/>
              </w:rPr>
              <w:t>Existing Markets</w:t>
            </w:r>
          </w:p>
        </w:tc>
        <w:tc>
          <w:tcPr>
            <w:tcW w:w="3375" w:type="dxa"/>
            <w:tcMar>
              <w:top w:w="100" w:type="dxa"/>
              <w:left w:w="120" w:type="dxa"/>
              <w:bottom w:w="100" w:type="dxa"/>
              <w:right w:w="120" w:type="dxa"/>
            </w:tcMar>
          </w:tcPr>
          <w:p w14:paraId="51B5EE92"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Market Penetration Low risk; limited by high buyer power and price-based rivalry</w:t>
            </w:r>
          </w:p>
        </w:tc>
        <w:tc>
          <w:tcPr>
            <w:tcW w:w="3375" w:type="dxa"/>
            <w:shd w:val="clear" w:color="auto" w:fill="E2F0D9"/>
            <w:tcMar>
              <w:top w:w="100" w:type="dxa"/>
              <w:left w:w="120" w:type="dxa"/>
              <w:bottom w:w="100" w:type="dxa"/>
              <w:right w:w="120" w:type="dxa"/>
            </w:tcMar>
          </w:tcPr>
          <w:p w14:paraId="51B5EE93"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Product Development (recommended) 5G-enabled IoT and Smart City services for existing customer base</w:t>
            </w:r>
          </w:p>
        </w:tc>
      </w:tr>
      <w:tr w:rsidR="00466F20" w:rsidRPr="00A50E4A" w14:paraId="51B5EE98" w14:textId="77777777">
        <w:tc>
          <w:tcPr>
            <w:tcW w:w="2250" w:type="dxa"/>
            <w:shd w:val="clear" w:color="auto" w:fill="D9E2F3"/>
            <w:tcMar>
              <w:top w:w="100" w:type="dxa"/>
              <w:left w:w="120" w:type="dxa"/>
              <w:bottom w:w="100" w:type="dxa"/>
              <w:right w:w="120" w:type="dxa"/>
            </w:tcMar>
          </w:tcPr>
          <w:p w14:paraId="51B5EE95"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b/>
                <w:bCs/>
                <w:sz w:val="22"/>
                <w:szCs w:val="22"/>
              </w:rPr>
              <w:t>New Markets</w:t>
            </w:r>
          </w:p>
        </w:tc>
        <w:tc>
          <w:tcPr>
            <w:tcW w:w="3375" w:type="dxa"/>
            <w:tcMar>
              <w:top w:w="100" w:type="dxa"/>
              <w:left w:w="120" w:type="dxa"/>
              <w:bottom w:w="100" w:type="dxa"/>
              <w:right w:w="120" w:type="dxa"/>
            </w:tcMar>
          </w:tcPr>
          <w:p w14:paraId="51B5EE96"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Market Development Expansion into new sectors (health, education, local government) using existing products</w:t>
            </w:r>
          </w:p>
        </w:tc>
        <w:tc>
          <w:tcPr>
            <w:tcW w:w="3375" w:type="dxa"/>
            <w:tcMar>
              <w:top w:w="100" w:type="dxa"/>
              <w:left w:w="120" w:type="dxa"/>
              <w:bottom w:w="100" w:type="dxa"/>
              <w:right w:w="120" w:type="dxa"/>
            </w:tcMar>
          </w:tcPr>
          <w:p w14:paraId="51B5EE97"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Diversification Highest risk; not pursued in this strategy due to lack of related expertise</w:t>
            </w:r>
          </w:p>
        </w:tc>
      </w:tr>
    </w:tbl>
    <w:p w14:paraId="51B5EE99" w14:textId="77777777" w:rsidR="00466F20" w:rsidRPr="00A50E4A" w:rsidRDefault="00466F20" w:rsidP="00615F2E">
      <w:pPr>
        <w:spacing w:after="200" w:line="360" w:lineRule="auto"/>
        <w:rPr>
          <w:rFonts w:ascii="Arial" w:hAnsi="Arial" w:cs="Arial"/>
          <w:sz w:val="22"/>
          <w:szCs w:val="22"/>
        </w:rPr>
      </w:pPr>
    </w:p>
    <w:p w14:paraId="51B5EE9A" w14:textId="77777777" w:rsidR="00466F20" w:rsidRPr="00A50E4A" w:rsidRDefault="006A1C32" w:rsidP="00615F2E">
      <w:pPr>
        <w:pStyle w:val="Heading2"/>
        <w:spacing w:before="220" w:after="120" w:line="360" w:lineRule="auto"/>
        <w:rPr>
          <w:rFonts w:ascii="Arial" w:hAnsi="Arial" w:cs="Arial"/>
          <w:b/>
          <w:bCs/>
          <w:color w:val="auto"/>
          <w:sz w:val="22"/>
          <w:szCs w:val="22"/>
        </w:rPr>
      </w:pPr>
      <w:r w:rsidRPr="00A50E4A">
        <w:rPr>
          <w:rFonts w:ascii="Arial" w:hAnsi="Arial" w:cs="Arial"/>
          <w:b/>
          <w:bCs/>
          <w:color w:val="auto"/>
          <w:sz w:val="22"/>
          <w:szCs w:val="22"/>
        </w:rPr>
        <w:t>Proposed Strategy</w:t>
      </w:r>
    </w:p>
    <w:p w14:paraId="51B5EE9B" w14:textId="77777777" w:rsidR="00466F20" w:rsidRPr="00A50E4A" w:rsidRDefault="006A1C32" w:rsidP="00733385">
      <w:pPr>
        <w:spacing w:after="160" w:line="360" w:lineRule="auto"/>
        <w:ind w:firstLine="720"/>
        <w:rPr>
          <w:rFonts w:ascii="Arial" w:eastAsia="Calibri" w:hAnsi="Arial" w:cs="Arial"/>
          <w:sz w:val="22"/>
          <w:szCs w:val="22"/>
        </w:rPr>
      </w:pPr>
      <w:r w:rsidRPr="00A50E4A">
        <w:rPr>
          <w:rFonts w:ascii="Arial" w:eastAsia="Calibri" w:hAnsi="Arial" w:cs="Arial"/>
          <w:sz w:val="22"/>
          <w:szCs w:val="22"/>
        </w:rPr>
        <w:t>Product development through IoT and Smart City solutions is therefore recommended, concentrated on two priority use cases rather than the whole field. The first is smart transport and traffic connectivity for local authorities, chosen because procurement routes already exist and outcomes are measurable. The second is network slicing for enterprise and public-safety users, chosen because it monetises the 5G investment directly and is harder for MVNOs to replicate. Other applications, such as healthcare IoT, are deferred until the first two demonstrate returns. Despite its higher cost, it positions Vodafone as a provider of integrated digital solutions for businesses and public-sector organisations, diversifying revenue and strengthening differentiation – provided the risks identified in Section 3.4 are actively managed rather than assumed away.</w:t>
      </w:r>
    </w:p>
    <w:p w14:paraId="1EF37C15" w14:textId="77777777" w:rsidR="00733385" w:rsidRPr="00A50E4A" w:rsidRDefault="00733385" w:rsidP="00733385">
      <w:pPr>
        <w:spacing w:after="160" w:line="360" w:lineRule="auto"/>
        <w:ind w:firstLine="720"/>
        <w:rPr>
          <w:rFonts w:ascii="Arial" w:eastAsia="Calibri" w:hAnsi="Arial" w:cs="Arial"/>
          <w:sz w:val="22"/>
          <w:szCs w:val="22"/>
        </w:rPr>
      </w:pPr>
    </w:p>
    <w:p w14:paraId="0BE33BE0" w14:textId="77777777" w:rsidR="00A50E4A" w:rsidRDefault="00A50E4A" w:rsidP="00733385">
      <w:pPr>
        <w:pStyle w:val="Heading1"/>
        <w:spacing w:before="280" w:after="160" w:line="360" w:lineRule="auto"/>
        <w:jc w:val="center"/>
        <w:rPr>
          <w:rFonts w:ascii="Arial" w:hAnsi="Arial" w:cs="Arial"/>
          <w:b/>
          <w:bCs/>
          <w:color w:val="auto"/>
          <w:sz w:val="22"/>
          <w:szCs w:val="22"/>
        </w:rPr>
      </w:pPr>
    </w:p>
    <w:p w14:paraId="51B5EE9C" w14:textId="4C379886" w:rsidR="00466F20" w:rsidRPr="00A50E4A" w:rsidRDefault="006A1C32" w:rsidP="00733385">
      <w:pPr>
        <w:pStyle w:val="Heading1"/>
        <w:spacing w:before="280" w:after="160" w:line="360" w:lineRule="auto"/>
        <w:jc w:val="center"/>
        <w:rPr>
          <w:rFonts w:ascii="Arial" w:hAnsi="Arial" w:cs="Arial"/>
          <w:b/>
          <w:bCs/>
          <w:color w:val="auto"/>
          <w:sz w:val="22"/>
          <w:szCs w:val="22"/>
        </w:rPr>
      </w:pPr>
      <w:r w:rsidRPr="00A50E4A">
        <w:rPr>
          <w:rFonts w:ascii="Arial" w:hAnsi="Arial" w:cs="Arial"/>
          <w:b/>
          <w:bCs/>
          <w:color w:val="auto"/>
          <w:sz w:val="22"/>
          <w:szCs w:val="22"/>
        </w:rPr>
        <w:t>5. Strategy Evaluation</w:t>
      </w:r>
    </w:p>
    <w:p w14:paraId="51B5EE9D" w14:textId="77777777" w:rsidR="00466F20" w:rsidRPr="00A50E4A" w:rsidRDefault="006A1C32" w:rsidP="00733385">
      <w:pPr>
        <w:spacing w:after="160" w:line="360" w:lineRule="auto"/>
        <w:ind w:firstLine="720"/>
        <w:rPr>
          <w:rFonts w:ascii="Arial" w:hAnsi="Arial" w:cs="Arial"/>
          <w:sz w:val="22"/>
          <w:szCs w:val="22"/>
        </w:rPr>
      </w:pPr>
      <w:r w:rsidRPr="00A50E4A">
        <w:rPr>
          <w:rFonts w:ascii="Arial" w:eastAsia="Calibri" w:hAnsi="Arial" w:cs="Arial"/>
          <w:sz w:val="22"/>
          <w:szCs w:val="22"/>
        </w:rPr>
        <w:t>The SFA framework – suitability, feasibility and acceptability – tests whether the strategy can realistically support Vodafone's long-term objectives (Whittington et al., 2020).</w:t>
      </w:r>
    </w:p>
    <w:p w14:paraId="51B5EE9E" w14:textId="77777777" w:rsidR="00466F20" w:rsidRPr="00A50E4A" w:rsidRDefault="006A1C32" w:rsidP="00615F2E">
      <w:pPr>
        <w:pStyle w:val="Heading2"/>
        <w:spacing w:before="220" w:after="120" w:line="360" w:lineRule="auto"/>
        <w:rPr>
          <w:rFonts w:ascii="Arial" w:hAnsi="Arial" w:cs="Arial"/>
          <w:b/>
          <w:bCs/>
          <w:color w:val="auto"/>
          <w:sz w:val="22"/>
          <w:szCs w:val="22"/>
        </w:rPr>
      </w:pPr>
      <w:r w:rsidRPr="00A50E4A">
        <w:rPr>
          <w:rFonts w:ascii="Arial" w:hAnsi="Arial" w:cs="Arial"/>
          <w:b/>
          <w:bCs/>
          <w:color w:val="auto"/>
          <w:sz w:val="22"/>
          <w:szCs w:val="22"/>
        </w:rPr>
        <w:t>Suitability</w:t>
      </w:r>
    </w:p>
    <w:p w14:paraId="51B5EE9F" w14:textId="77777777" w:rsidR="00466F20" w:rsidRPr="00A50E4A" w:rsidRDefault="006A1C32" w:rsidP="00733385">
      <w:pPr>
        <w:spacing w:after="160" w:line="360" w:lineRule="auto"/>
        <w:ind w:firstLine="720"/>
        <w:rPr>
          <w:rFonts w:ascii="Arial" w:hAnsi="Arial" w:cs="Arial"/>
          <w:sz w:val="22"/>
          <w:szCs w:val="22"/>
        </w:rPr>
      </w:pPr>
      <w:r w:rsidRPr="00A50E4A">
        <w:rPr>
          <w:rFonts w:ascii="Arial" w:eastAsia="Calibri" w:hAnsi="Arial" w:cs="Arial"/>
          <w:sz w:val="22"/>
          <w:szCs w:val="22"/>
        </w:rPr>
        <w:t>The strategy fits an environment where core services are commoditising while 5G and IoT investment grow, directly addressing that shift. Smart City demand could still develop more slowly than expected where public funding is constrained, so suitability indicates direction rather than pace.</w:t>
      </w:r>
    </w:p>
    <w:p w14:paraId="51B5EEA0" w14:textId="77777777" w:rsidR="00466F20" w:rsidRPr="00A50E4A" w:rsidRDefault="006A1C32" w:rsidP="00615F2E">
      <w:pPr>
        <w:pStyle w:val="Heading2"/>
        <w:spacing w:before="220" w:after="120" w:line="360" w:lineRule="auto"/>
        <w:rPr>
          <w:rFonts w:ascii="Arial" w:hAnsi="Arial" w:cs="Arial"/>
          <w:b/>
          <w:bCs/>
          <w:color w:val="auto"/>
          <w:sz w:val="22"/>
          <w:szCs w:val="22"/>
        </w:rPr>
      </w:pPr>
      <w:r w:rsidRPr="00A50E4A">
        <w:rPr>
          <w:rFonts w:ascii="Arial" w:hAnsi="Arial" w:cs="Arial"/>
          <w:b/>
          <w:bCs/>
          <w:color w:val="auto"/>
          <w:sz w:val="22"/>
          <w:szCs w:val="22"/>
        </w:rPr>
        <w:t>Feasibility</w:t>
      </w:r>
    </w:p>
    <w:p w14:paraId="51B5EEA1" w14:textId="77777777" w:rsidR="00466F20" w:rsidRPr="00A50E4A" w:rsidRDefault="006A1C32" w:rsidP="00733385">
      <w:pPr>
        <w:spacing w:after="160" w:line="360" w:lineRule="auto"/>
        <w:ind w:firstLine="720"/>
        <w:rPr>
          <w:rFonts w:ascii="Arial" w:hAnsi="Arial" w:cs="Arial"/>
          <w:sz w:val="22"/>
          <w:szCs w:val="22"/>
        </w:rPr>
      </w:pPr>
      <w:r w:rsidRPr="00A50E4A">
        <w:rPr>
          <w:rFonts w:ascii="Arial" w:eastAsia="Calibri" w:hAnsi="Arial" w:cs="Arial"/>
          <w:sz w:val="22"/>
          <w:szCs w:val="22"/>
        </w:rPr>
        <w:t>Vodafone has real resources – a large base, extensive infrastructure, stronger post-merger finances – but current cybersecurity, analytics, cloud and skills capability likely need further investment and partnerships. A phased plan (Section 7) is therefore proposed rather than a single large rollout.</w:t>
      </w:r>
    </w:p>
    <w:p w14:paraId="51B5EEA2" w14:textId="77777777" w:rsidR="00466F20" w:rsidRPr="00A50E4A" w:rsidRDefault="006A1C32" w:rsidP="00615F2E">
      <w:pPr>
        <w:pStyle w:val="Heading2"/>
        <w:spacing w:before="220" w:after="120" w:line="360" w:lineRule="auto"/>
        <w:rPr>
          <w:rFonts w:ascii="Arial" w:hAnsi="Arial" w:cs="Arial"/>
          <w:b/>
          <w:bCs/>
          <w:color w:val="auto"/>
          <w:sz w:val="22"/>
          <w:szCs w:val="22"/>
        </w:rPr>
      </w:pPr>
      <w:r w:rsidRPr="00A50E4A">
        <w:rPr>
          <w:rFonts w:ascii="Arial" w:hAnsi="Arial" w:cs="Arial"/>
          <w:b/>
          <w:bCs/>
          <w:color w:val="auto"/>
          <w:sz w:val="22"/>
          <w:szCs w:val="22"/>
        </w:rPr>
        <w:t>Acceptability</w:t>
      </w:r>
    </w:p>
    <w:p w14:paraId="51B5EEA3" w14:textId="77777777" w:rsidR="00466F20" w:rsidRPr="00A50E4A" w:rsidRDefault="006A1C32" w:rsidP="00733385">
      <w:pPr>
        <w:spacing w:after="160" w:line="360" w:lineRule="auto"/>
        <w:ind w:firstLine="720"/>
        <w:rPr>
          <w:rFonts w:ascii="Arial" w:hAnsi="Arial" w:cs="Arial"/>
          <w:sz w:val="22"/>
          <w:szCs w:val="22"/>
        </w:rPr>
      </w:pPr>
      <w:r w:rsidRPr="00A50E4A">
        <w:rPr>
          <w:rFonts w:ascii="Arial" w:eastAsia="Calibri" w:hAnsi="Arial" w:cs="Arial"/>
          <w:sz w:val="22"/>
          <w:szCs w:val="22"/>
        </w:rPr>
        <w:t>Reactions are mixed. Shareholders gain from diversification, and customers and local authorities from better services, but the investment required in technology, cybersecurity and skills is significant, and Kitchin (2014) flags legitimate privacy concerns. On balance benefits outweigh risks, but only if Vodafone delivers on its cybersecurity and governance commitments.</w:t>
      </w:r>
    </w:p>
    <w:p w14:paraId="51B5EEA4" w14:textId="77777777" w:rsidR="00466F20" w:rsidRPr="00A50E4A" w:rsidRDefault="006A1C32" w:rsidP="00615F2E">
      <w:pPr>
        <w:pStyle w:val="Heading2"/>
        <w:spacing w:before="220" w:after="120" w:line="360" w:lineRule="auto"/>
        <w:rPr>
          <w:rFonts w:ascii="Arial" w:hAnsi="Arial" w:cs="Arial"/>
          <w:b/>
          <w:bCs/>
          <w:color w:val="auto"/>
          <w:sz w:val="22"/>
          <w:szCs w:val="22"/>
        </w:rPr>
      </w:pPr>
      <w:r w:rsidRPr="00A50E4A">
        <w:rPr>
          <w:rFonts w:ascii="Arial" w:hAnsi="Arial" w:cs="Arial"/>
          <w:b/>
          <w:bCs/>
          <w:color w:val="auto"/>
          <w:sz w:val="22"/>
          <w:szCs w:val="22"/>
        </w:rPr>
        <w:t>SFA Evaluation Summary</w:t>
      </w:r>
    </w:p>
    <w:p w14:paraId="51B5EEA5" w14:textId="2A4B39B6" w:rsidR="00466F20" w:rsidRPr="00A50E4A" w:rsidRDefault="00733385" w:rsidP="00615F2E">
      <w:pPr>
        <w:spacing w:after="200" w:line="360" w:lineRule="auto"/>
        <w:rPr>
          <w:rFonts w:ascii="Arial" w:hAnsi="Arial" w:cs="Arial"/>
          <w:sz w:val="22"/>
          <w:szCs w:val="22"/>
        </w:rPr>
      </w:pPr>
      <w:r w:rsidRPr="00A50E4A">
        <w:rPr>
          <w:rFonts w:ascii="Arial" w:hAnsi="Arial" w:cs="Arial"/>
          <w:sz w:val="22"/>
          <w:szCs w:val="22"/>
        </w:rPr>
        <w:t>Table N. 4</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500"/>
        <w:gridCol w:w="3500"/>
        <w:gridCol w:w="2500"/>
        <w:gridCol w:w="1500"/>
      </w:tblGrid>
      <w:tr w:rsidR="00466F20" w:rsidRPr="00A50E4A" w14:paraId="51B5EEAA" w14:textId="77777777">
        <w:tc>
          <w:tcPr>
            <w:tcW w:w="1500" w:type="dxa"/>
            <w:shd w:val="clear" w:color="auto" w:fill="D9E2F3"/>
            <w:tcMar>
              <w:top w:w="100" w:type="dxa"/>
              <w:left w:w="120" w:type="dxa"/>
              <w:bottom w:w="100" w:type="dxa"/>
              <w:right w:w="120" w:type="dxa"/>
            </w:tcMar>
          </w:tcPr>
          <w:p w14:paraId="51B5EEA6"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b/>
                <w:bCs/>
                <w:sz w:val="22"/>
                <w:szCs w:val="22"/>
              </w:rPr>
              <w:t>Criterion</w:t>
            </w:r>
          </w:p>
        </w:tc>
        <w:tc>
          <w:tcPr>
            <w:tcW w:w="3500" w:type="dxa"/>
            <w:shd w:val="clear" w:color="auto" w:fill="D9E2F3"/>
            <w:tcMar>
              <w:top w:w="100" w:type="dxa"/>
              <w:left w:w="120" w:type="dxa"/>
              <w:bottom w:w="100" w:type="dxa"/>
              <w:right w:w="120" w:type="dxa"/>
            </w:tcMar>
          </w:tcPr>
          <w:p w14:paraId="51B5EEA7"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b/>
                <w:bCs/>
                <w:sz w:val="22"/>
                <w:szCs w:val="22"/>
              </w:rPr>
              <w:t>Key Justification</w:t>
            </w:r>
          </w:p>
        </w:tc>
        <w:tc>
          <w:tcPr>
            <w:tcW w:w="2500" w:type="dxa"/>
            <w:shd w:val="clear" w:color="auto" w:fill="D9E2F3"/>
            <w:tcMar>
              <w:top w:w="100" w:type="dxa"/>
              <w:left w:w="120" w:type="dxa"/>
              <w:bottom w:w="100" w:type="dxa"/>
              <w:right w:w="120" w:type="dxa"/>
            </w:tcMar>
          </w:tcPr>
          <w:p w14:paraId="51B5EEA8"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b/>
                <w:bCs/>
                <w:sz w:val="22"/>
                <w:szCs w:val="22"/>
              </w:rPr>
              <w:t>Principal Risk</w:t>
            </w:r>
          </w:p>
        </w:tc>
        <w:tc>
          <w:tcPr>
            <w:tcW w:w="1500" w:type="dxa"/>
            <w:shd w:val="clear" w:color="auto" w:fill="D9E2F3"/>
            <w:tcMar>
              <w:top w:w="100" w:type="dxa"/>
              <w:left w:w="120" w:type="dxa"/>
              <w:bottom w:w="100" w:type="dxa"/>
              <w:right w:w="120" w:type="dxa"/>
            </w:tcMar>
          </w:tcPr>
          <w:p w14:paraId="51B5EEA9"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b/>
                <w:bCs/>
                <w:sz w:val="22"/>
                <w:szCs w:val="22"/>
              </w:rPr>
              <w:t>Verdict</w:t>
            </w:r>
          </w:p>
        </w:tc>
      </w:tr>
      <w:tr w:rsidR="00466F20" w:rsidRPr="00A50E4A" w14:paraId="51B5EEAF" w14:textId="77777777">
        <w:tc>
          <w:tcPr>
            <w:tcW w:w="1500" w:type="dxa"/>
            <w:tcMar>
              <w:top w:w="100" w:type="dxa"/>
              <w:left w:w="120" w:type="dxa"/>
              <w:bottom w:w="100" w:type="dxa"/>
              <w:right w:w="120" w:type="dxa"/>
            </w:tcMar>
          </w:tcPr>
          <w:p w14:paraId="51B5EEAB"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Suitability</w:t>
            </w:r>
          </w:p>
        </w:tc>
        <w:tc>
          <w:tcPr>
            <w:tcW w:w="3500" w:type="dxa"/>
            <w:tcMar>
              <w:top w:w="100" w:type="dxa"/>
              <w:left w:w="120" w:type="dxa"/>
              <w:bottom w:w="100" w:type="dxa"/>
              <w:right w:w="120" w:type="dxa"/>
            </w:tcMar>
          </w:tcPr>
          <w:p w14:paraId="51B5EEAC"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Responds to commoditisation of core services and rising IoT demand identified in PESTLE and Five Forces</w:t>
            </w:r>
          </w:p>
        </w:tc>
        <w:tc>
          <w:tcPr>
            <w:tcW w:w="2500" w:type="dxa"/>
            <w:tcMar>
              <w:top w:w="100" w:type="dxa"/>
              <w:left w:w="120" w:type="dxa"/>
              <w:bottom w:w="100" w:type="dxa"/>
              <w:right w:w="120" w:type="dxa"/>
            </w:tcMar>
          </w:tcPr>
          <w:p w14:paraId="51B5EEAD"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Public-sector demand may develop more slowly than forecast</w:t>
            </w:r>
          </w:p>
        </w:tc>
        <w:tc>
          <w:tcPr>
            <w:tcW w:w="1500" w:type="dxa"/>
            <w:tcMar>
              <w:top w:w="100" w:type="dxa"/>
              <w:left w:w="120" w:type="dxa"/>
              <w:bottom w:w="100" w:type="dxa"/>
              <w:right w:w="120" w:type="dxa"/>
            </w:tcMar>
          </w:tcPr>
          <w:p w14:paraId="51B5EEAE"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Met, with caution</w:t>
            </w:r>
          </w:p>
        </w:tc>
      </w:tr>
      <w:tr w:rsidR="00466F20" w:rsidRPr="00A50E4A" w14:paraId="51B5EEB4" w14:textId="77777777">
        <w:tc>
          <w:tcPr>
            <w:tcW w:w="1500" w:type="dxa"/>
            <w:tcMar>
              <w:top w:w="100" w:type="dxa"/>
              <w:left w:w="120" w:type="dxa"/>
              <w:bottom w:w="100" w:type="dxa"/>
              <w:right w:w="120" w:type="dxa"/>
            </w:tcMar>
          </w:tcPr>
          <w:p w14:paraId="51B5EEB0"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lastRenderedPageBreak/>
              <w:t>Feasibility</w:t>
            </w:r>
          </w:p>
        </w:tc>
        <w:tc>
          <w:tcPr>
            <w:tcW w:w="3500" w:type="dxa"/>
            <w:tcMar>
              <w:top w:w="100" w:type="dxa"/>
              <w:left w:w="120" w:type="dxa"/>
              <w:bottom w:w="100" w:type="dxa"/>
              <w:right w:w="120" w:type="dxa"/>
            </w:tcMar>
          </w:tcPr>
          <w:p w14:paraId="51B5EEB1"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Builds on existing network, customer base and post-merger financial capacity</w:t>
            </w:r>
          </w:p>
        </w:tc>
        <w:tc>
          <w:tcPr>
            <w:tcW w:w="2500" w:type="dxa"/>
            <w:tcMar>
              <w:top w:w="100" w:type="dxa"/>
              <w:left w:w="120" w:type="dxa"/>
              <w:bottom w:w="100" w:type="dxa"/>
              <w:right w:w="120" w:type="dxa"/>
            </w:tcMar>
          </w:tcPr>
          <w:p w14:paraId="51B5EEB2"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Depends on new capabilities (cybersecurity, data analytics) not yet fully in place</w:t>
            </w:r>
          </w:p>
        </w:tc>
        <w:tc>
          <w:tcPr>
            <w:tcW w:w="1500" w:type="dxa"/>
            <w:tcMar>
              <w:top w:w="100" w:type="dxa"/>
              <w:left w:w="120" w:type="dxa"/>
              <w:bottom w:w="100" w:type="dxa"/>
              <w:right w:w="120" w:type="dxa"/>
            </w:tcMar>
          </w:tcPr>
          <w:p w14:paraId="51B5EEB3"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Achievable, not guaranteed</w:t>
            </w:r>
          </w:p>
        </w:tc>
      </w:tr>
      <w:tr w:rsidR="00466F20" w:rsidRPr="00A50E4A" w14:paraId="51B5EEB9" w14:textId="77777777">
        <w:tc>
          <w:tcPr>
            <w:tcW w:w="1500" w:type="dxa"/>
            <w:tcMar>
              <w:top w:w="100" w:type="dxa"/>
              <w:left w:w="120" w:type="dxa"/>
              <w:bottom w:w="100" w:type="dxa"/>
              <w:right w:w="120" w:type="dxa"/>
            </w:tcMar>
          </w:tcPr>
          <w:p w14:paraId="51B5EEB5"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Acceptability</w:t>
            </w:r>
          </w:p>
        </w:tc>
        <w:tc>
          <w:tcPr>
            <w:tcW w:w="3500" w:type="dxa"/>
            <w:tcMar>
              <w:top w:w="100" w:type="dxa"/>
              <w:left w:w="120" w:type="dxa"/>
              <w:bottom w:w="100" w:type="dxa"/>
              <w:right w:w="120" w:type="dxa"/>
            </w:tcMar>
          </w:tcPr>
          <w:p w14:paraId="51B5EEB6"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Diversifies revenue for shareholders; improves services for customers and local authorities</w:t>
            </w:r>
          </w:p>
        </w:tc>
        <w:tc>
          <w:tcPr>
            <w:tcW w:w="2500" w:type="dxa"/>
            <w:tcMar>
              <w:top w:w="100" w:type="dxa"/>
              <w:left w:w="120" w:type="dxa"/>
              <w:bottom w:w="100" w:type="dxa"/>
              <w:right w:w="120" w:type="dxa"/>
            </w:tcMar>
          </w:tcPr>
          <w:p w14:paraId="51B5EEB7"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High upfront cost may delay returns and unsettle investors</w:t>
            </w:r>
          </w:p>
        </w:tc>
        <w:tc>
          <w:tcPr>
            <w:tcW w:w="1500" w:type="dxa"/>
            <w:tcMar>
              <w:top w:w="100" w:type="dxa"/>
              <w:left w:w="120" w:type="dxa"/>
              <w:bottom w:w="100" w:type="dxa"/>
              <w:right w:w="120" w:type="dxa"/>
            </w:tcMar>
          </w:tcPr>
          <w:p w14:paraId="51B5EEB8"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Conditionally met</w:t>
            </w:r>
          </w:p>
        </w:tc>
      </w:tr>
    </w:tbl>
    <w:p w14:paraId="51B5EEBA" w14:textId="77777777" w:rsidR="00466F20" w:rsidRPr="00A50E4A" w:rsidRDefault="00466F20" w:rsidP="00615F2E">
      <w:pPr>
        <w:spacing w:after="200" w:line="360" w:lineRule="auto"/>
        <w:rPr>
          <w:rFonts w:ascii="Arial" w:hAnsi="Arial" w:cs="Arial"/>
          <w:sz w:val="22"/>
          <w:szCs w:val="22"/>
        </w:rPr>
      </w:pPr>
    </w:p>
    <w:p w14:paraId="51B5EEBB" w14:textId="77777777" w:rsidR="00466F20" w:rsidRPr="00A50E4A" w:rsidRDefault="006A1C32" w:rsidP="00615F2E">
      <w:pPr>
        <w:spacing w:after="160" w:line="360" w:lineRule="auto"/>
        <w:rPr>
          <w:rFonts w:ascii="Arial" w:hAnsi="Arial" w:cs="Arial"/>
          <w:sz w:val="22"/>
          <w:szCs w:val="22"/>
        </w:rPr>
      </w:pPr>
      <w:r w:rsidRPr="00A50E4A">
        <w:rPr>
          <w:rFonts w:ascii="Arial" w:eastAsia="Calibri" w:hAnsi="Arial" w:cs="Arial"/>
          <w:sz w:val="22"/>
          <w:szCs w:val="22"/>
        </w:rPr>
        <w:t>SFA therefore supports the strategy while attaching a specific risk to each criterion. Sections 6 and 7 set out how those risks would be managed.</w:t>
      </w:r>
    </w:p>
    <w:p w14:paraId="51B5EEBC" w14:textId="77777777" w:rsidR="00466F20" w:rsidRPr="00A50E4A" w:rsidRDefault="006A1C32" w:rsidP="00733385">
      <w:pPr>
        <w:pStyle w:val="Heading1"/>
        <w:spacing w:before="280" w:after="160" w:line="360" w:lineRule="auto"/>
        <w:jc w:val="center"/>
        <w:rPr>
          <w:rFonts w:ascii="Arial" w:hAnsi="Arial" w:cs="Arial"/>
          <w:b/>
          <w:bCs/>
          <w:color w:val="auto"/>
          <w:sz w:val="22"/>
          <w:szCs w:val="22"/>
        </w:rPr>
      </w:pPr>
      <w:r w:rsidRPr="00A50E4A">
        <w:rPr>
          <w:rFonts w:ascii="Arial" w:hAnsi="Arial" w:cs="Arial"/>
          <w:b/>
          <w:bCs/>
          <w:color w:val="auto"/>
          <w:sz w:val="22"/>
          <w:szCs w:val="22"/>
        </w:rPr>
        <w:t>6. Stakeholder Analysis</w:t>
      </w:r>
    </w:p>
    <w:p w14:paraId="51B5EEBD" w14:textId="77777777" w:rsidR="00466F20" w:rsidRPr="00A50E4A" w:rsidRDefault="006A1C32" w:rsidP="00733385">
      <w:pPr>
        <w:spacing w:after="160" w:line="360" w:lineRule="auto"/>
        <w:ind w:firstLine="720"/>
        <w:rPr>
          <w:rFonts w:ascii="Arial" w:hAnsi="Arial" w:cs="Arial"/>
          <w:sz w:val="22"/>
          <w:szCs w:val="22"/>
        </w:rPr>
      </w:pPr>
      <w:r w:rsidRPr="00A50E4A">
        <w:rPr>
          <w:rFonts w:ascii="Arial" w:eastAsia="Calibri" w:hAnsi="Arial" w:cs="Arial"/>
          <w:sz w:val="22"/>
          <w:szCs w:val="22"/>
        </w:rPr>
        <w:t>Freeman (1984) argues organisations should weigh the interests of all affected groups, and for Vodafone, success depends on balancing shareholders, customers, employees, regulators and partners. Mendelow's Matrix identifies where management attention matters most.</w:t>
      </w:r>
    </w:p>
    <w:p w14:paraId="51B5EEBE" w14:textId="77777777" w:rsidR="00466F20" w:rsidRPr="00A50E4A" w:rsidRDefault="006A1C32" w:rsidP="00733385">
      <w:pPr>
        <w:spacing w:after="160" w:line="360" w:lineRule="auto"/>
        <w:ind w:firstLine="720"/>
        <w:rPr>
          <w:rFonts w:ascii="Arial" w:hAnsi="Arial" w:cs="Arial"/>
          <w:sz w:val="22"/>
          <w:szCs w:val="22"/>
        </w:rPr>
      </w:pPr>
      <w:r w:rsidRPr="00A50E4A">
        <w:rPr>
          <w:rFonts w:ascii="Arial" w:eastAsia="Calibri" w:hAnsi="Arial" w:cs="Arial"/>
          <w:sz w:val="22"/>
          <w:szCs w:val="22"/>
        </w:rPr>
        <w:t>Shareholders (high power, high interest) expect returns on the network investment and need regular updates given implementation costs and delayed returns. Senior management, also high power and interest, control resource allocation and must sustain organisational alignment.</w:t>
      </w:r>
    </w:p>
    <w:p w14:paraId="51B5EEBF" w14:textId="77777777" w:rsidR="00466F20" w:rsidRPr="00A50E4A" w:rsidRDefault="006A1C32" w:rsidP="00733385">
      <w:pPr>
        <w:spacing w:after="160" w:line="360" w:lineRule="auto"/>
        <w:ind w:firstLine="720"/>
        <w:rPr>
          <w:rFonts w:ascii="Arial" w:hAnsi="Arial" w:cs="Arial"/>
          <w:sz w:val="22"/>
          <w:szCs w:val="22"/>
        </w:rPr>
      </w:pPr>
      <w:r w:rsidRPr="00A50E4A">
        <w:rPr>
          <w:rFonts w:ascii="Arial" w:eastAsia="Calibri" w:hAnsi="Arial" w:cs="Arial"/>
          <w:sz w:val="22"/>
          <w:szCs w:val="22"/>
        </w:rPr>
        <w:t>Regulators are highly influential given the compliance demands of data-intensive services. Enterprise and public-sector customers prioritise reliability and security, since projects depend on long-term partnerships, while employees need new skills in cybersecurity, cloud and analytics.</w:t>
      </w:r>
    </w:p>
    <w:p w14:paraId="51B5EEC0" w14:textId="77777777" w:rsidR="00466F20" w:rsidRPr="00A50E4A" w:rsidRDefault="006A1C32" w:rsidP="00733385">
      <w:pPr>
        <w:spacing w:after="160" w:line="360" w:lineRule="auto"/>
        <w:ind w:firstLine="720"/>
        <w:rPr>
          <w:rFonts w:ascii="Arial" w:hAnsi="Arial" w:cs="Arial"/>
          <w:sz w:val="22"/>
          <w:szCs w:val="22"/>
        </w:rPr>
      </w:pPr>
      <w:r w:rsidRPr="00A50E4A">
        <w:rPr>
          <w:rFonts w:ascii="Arial" w:eastAsia="Calibri" w:hAnsi="Arial" w:cs="Arial"/>
          <w:sz w:val="22"/>
          <w:szCs w:val="22"/>
        </w:rPr>
        <w:t>Shareholders, senior management and regulators therefore require the closest management.</w:t>
      </w:r>
    </w:p>
    <w:p w14:paraId="51B5EEC1" w14:textId="77777777" w:rsidR="00466F20" w:rsidRPr="00A50E4A" w:rsidRDefault="006A1C32" w:rsidP="00615F2E">
      <w:pPr>
        <w:pStyle w:val="Heading2"/>
        <w:spacing w:before="220" w:after="120" w:line="360" w:lineRule="auto"/>
        <w:rPr>
          <w:rFonts w:ascii="Arial" w:hAnsi="Arial" w:cs="Arial"/>
          <w:b/>
          <w:bCs/>
          <w:color w:val="auto"/>
          <w:sz w:val="22"/>
          <w:szCs w:val="22"/>
        </w:rPr>
      </w:pPr>
      <w:r w:rsidRPr="00A50E4A">
        <w:rPr>
          <w:rFonts w:ascii="Arial" w:hAnsi="Arial" w:cs="Arial"/>
          <w:b/>
          <w:bCs/>
          <w:color w:val="auto"/>
          <w:sz w:val="22"/>
          <w:szCs w:val="22"/>
        </w:rPr>
        <w:t>Stakeholder Engagement Plan</w:t>
      </w:r>
    </w:p>
    <w:p w14:paraId="51B5EEC2" w14:textId="77777777" w:rsidR="00466F20" w:rsidRPr="00A50E4A" w:rsidRDefault="006A1C32" w:rsidP="00733385">
      <w:pPr>
        <w:spacing w:after="160" w:line="360" w:lineRule="auto"/>
        <w:ind w:firstLine="720"/>
        <w:rPr>
          <w:rFonts w:ascii="Arial" w:eastAsia="Calibri" w:hAnsi="Arial" w:cs="Arial"/>
          <w:sz w:val="22"/>
          <w:szCs w:val="22"/>
        </w:rPr>
      </w:pPr>
      <w:r w:rsidRPr="00A50E4A">
        <w:rPr>
          <w:rFonts w:ascii="Arial" w:eastAsia="Calibri" w:hAnsi="Arial" w:cs="Arial"/>
          <w:sz w:val="22"/>
          <w:szCs w:val="22"/>
        </w:rPr>
        <w:t>Identifying influence is only useful if it changes how each group is managed. The plan below assigns a method, a frequency and an owner to each priority stakeholder.</w:t>
      </w:r>
    </w:p>
    <w:p w14:paraId="2D6A8764" w14:textId="77777777" w:rsidR="00733385" w:rsidRPr="00A50E4A" w:rsidRDefault="00733385" w:rsidP="00733385">
      <w:pPr>
        <w:spacing w:after="160" w:line="360" w:lineRule="auto"/>
        <w:ind w:firstLine="720"/>
        <w:rPr>
          <w:rFonts w:ascii="Arial" w:eastAsia="Calibri" w:hAnsi="Arial" w:cs="Arial"/>
          <w:sz w:val="22"/>
          <w:szCs w:val="22"/>
        </w:rPr>
      </w:pPr>
    </w:p>
    <w:p w14:paraId="1BDE9055" w14:textId="77777777" w:rsidR="00733385" w:rsidRPr="00A50E4A" w:rsidRDefault="00733385" w:rsidP="00733385">
      <w:pPr>
        <w:spacing w:after="160" w:line="360" w:lineRule="auto"/>
        <w:ind w:firstLine="720"/>
        <w:rPr>
          <w:rFonts w:ascii="Arial" w:eastAsia="Calibri" w:hAnsi="Arial" w:cs="Arial"/>
          <w:sz w:val="22"/>
          <w:szCs w:val="22"/>
        </w:rPr>
      </w:pPr>
    </w:p>
    <w:p w14:paraId="78CA35D1" w14:textId="77777777" w:rsidR="00733385" w:rsidRPr="00A50E4A" w:rsidRDefault="00733385" w:rsidP="00733385">
      <w:pPr>
        <w:spacing w:after="160" w:line="360" w:lineRule="auto"/>
        <w:ind w:firstLine="720"/>
        <w:rPr>
          <w:rFonts w:ascii="Arial" w:eastAsia="Calibri" w:hAnsi="Arial" w:cs="Arial"/>
          <w:sz w:val="22"/>
          <w:szCs w:val="22"/>
        </w:rPr>
      </w:pPr>
    </w:p>
    <w:p w14:paraId="5DD32009" w14:textId="12134564" w:rsidR="00733385" w:rsidRPr="00A50E4A" w:rsidRDefault="00733385" w:rsidP="00733385">
      <w:pPr>
        <w:spacing w:after="160" w:line="360" w:lineRule="auto"/>
        <w:ind w:firstLine="720"/>
        <w:rPr>
          <w:rFonts w:ascii="Arial" w:hAnsi="Arial" w:cs="Arial"/>
          <w:sz w:val="22"/>
          <w:szCs w:val="22"/>
        </w:rPr>
      </w:pPr>
      <w:r w:rsidRPr="00A50E4A">
        <w:rPr>
          <w:rFonts w:ascii="Arial" w:hAnsi="Arial" w:cs="Arial"/>
          <w:sz w:val="22"/>
          <w:szCs w:val="22"/>
        </w:rPr>
        <w:t>Table N. 5</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753"/>
        <w:gridCol w:w="2068"/>
        <w:gridCol w:w="2106"/>
        <w:gridCol w:w="1353"/>
        <w:gridCol w:w="1720"/>
      </w:tblGrid>
      <w:tr w:rsidR="00466F20" w:rsidRPr="00A50E4A" w14:paraId="51B5EEC8" w14:textId="77777777">
        <w:tc>
          <w:tcPr>
            <w:tcW w:w="1900" w:type="dxa"/>
            <w:shd w:val="clear" w:color="auto" w:fill="D9E2F3"/>
            <w:tcMar>
              <w:top w:w="100" w:type="dxa"/>
              <w:left w:w="120" w:type="dxa"/>
              <w:bottom w:w="100" w:type="dxa"/>
              <w:right w:w="120" w:type="dxa"/>
            </w:tcMar>
          </w:tcPr>
          <w:p w14:paraId="51B5EEC3"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b/>
                <w:bCs/>
                <w:sz w:val="22"/>
                <w:szCs w:val="22"/>
              </w:rPr>
              <w:t>Stakeholder</w:t>
            </w:r>
          </w:p>
        </w:tc>
        <w:tc>
          <w:tcPr>
            <w:tcW w:w="2400" w:type="dxa"/>
            <w:shd w:val="clear" w:color="auto" w:fill="D9E2F3"/>
            <w:tcMar>
              <w:top w:w="100" w:type="dxa"/>
              <w:left w:w="120" w:type="dxa"/>
              <w:bottom w:w="100" w:type="dxa"/>
              <w:right w:w="120" w:type="dxa"/>
            </w:tcMar>
          </w:tcPr>
          <w:p w14:paraId="51B5EEC4"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b/>
                <w:bCs/>
                <w:sz w:val="22"/>
                <w:szCs w:val="22"/>
              </w:rPr>
              <w:t>Main concern</w:t>
            </w:r>
          </w:p>
        </w:tc>
        <w:tc>
          <w:tcPr>
            <w:tcW w:w="2500" w:type="dxa"/>
            <w:shd w:val="clear" w:color="auto" w:fill="D9E2F3"/>
            <w:tcMar>
              <w:top w:w="100" w:type="dxa"/>
              <w:left w:w="120" w:type="dxa"/>
              <w:bottom w:w="100" w:type="dxa"/>
              <w:right w:w="120" w:type="dxa"/>
            </w:tcMar>
          </w:tcPr>
          <w:p w14:paraId="51B5EEC5"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b/>
                <w:bCs/>
                <w:sz w:val="22"/>
                <w:szCs w:val="22"/>
              </w:rPr>
              <w:t>Engagement method</w:t>
            </w:r>
          </w:p>
        </w:tc>
        <w:tc>
          <w:tcPr>
            <w:tcW w:w="1200" w:type="dxa"/>
            <w:shd w:val="clear" w:color="auto" w:fill="D9E2F3"/>
            <w:tcMar>
              <w:top w:w="100" w:type="dxa"/>
              <w:left w:w="120" w:type="dxa"/>
              <w:bottom w:w="100" w:type="dxa"/>
              <w:right w:w="120" w:type="dxa"/>
            </w:tcMar>
          </w:tcPr>
          <w:p w14:paraId="51B5EEC6"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b/>
                <w:bCs/>
                <w:sz w:val="22"/>
                <w:szCs w:val="22"/>
              </w:rPr>
              <w:t>Frequency</w:t>
            </w:r>
          </w:p>
        </w:tc>
        <w:tc>
          <w:tcPr>
            <w:tcW w:w="1000" w:type="dxa"/>
            <w:shd w:val="clear" w:color="auto" w:fill="D9E2F3"/>
            <w:tcMar>
              <w:top w:w="100" w:type="dxa"/>
              <w:left w:w="120" w:type="dxa"/>
              <w:bottom w:w="100" w:type="dxa"/>
              <w:right w:w="120" w:type="dxa"/>
            </w:tcMar>
          </w:tcPr>
          <w:p w14:paraId="51B5EEC7"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b/>
                <w:bCs/>
                <w:sz w:val="22"/>
                <w:szCs w:val="22"/>
              </w:rPr>
              <w:t>Owner</w:t>
            </w:r>
          </w:p>
        </w:tc>
      </w:tr>
      <w:tr w:rsidR="00466F20" w:rsidRPr="00A50E4A" w14:paraId="51B5EECE" w14:textId="77777777">
        <w:tc>
          <w:tcPr>
            <w:tcW w:w="1900" w:type="dxa"/>
            <w:tcMar>
              <w:top w:w="100" w:type="dxa"/>
              <w:left w:w="120" w:type="dxa"/>
              <w:bottom w:w="100" w:type="dxa"/>
              <w:right w:w="120" w:type="dxa"/>
            </w:tcMar>
          </w:tcPr>
          <w:p w14:paraId="51B5EEC9"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Regulators</w:t>
            </w:r>
          </w:p>
        </w:tc>
        <w:tc>
          <w:tcPr>
            <w:tcW w:w="2400" w:type="dxa"/>
            <w:tcMar>
              <w:top w:w="100" w:type="dxa"/>
              <w:left w:w="120" w:type="dxa"/>
              <w:bottom w:w="100" w:type="dxa"/>
              <w:right w:w="120" w:type="dxa"/>
            </w:tcMar>
          </w:tcPr>
          <w:p w14:paraId="51B5EECA"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Competition, coverage and data protection</w:t>
            </w:r>
          </w:p>
        </w:tc>
        <w:tc>
          <w:tcPr>
            <w:tcW w:w="2500" w:type="dxa"/>
            <w:tcMar>
              <w:top w:w="100" w:type="dxa"/>
              <w:left w:w="120" w:type="dxa"/>
              <w:bottom w:w="100" w:type="dxa"/>
              <w:right w:w="120" w:type="dxa"/>
            </w:tcMar>
          </w:tcPr>
          <w:p w14:paraId="51B5EECB"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Formal reporting and consultation</w:t>
            </w:r>
          </w:p>
        </w:tc>
        <w:tc>
          <w:tcPr>
            <w:tcW w:w="1200" w:type="dxa"/>
            <w:tcMar>
              <w:top w:w="100" w:type="dxa"/>
              <w:left w:w="120" w:type="dxa"/>
              <w:bottom w:w="100" w:type="dxa"/>
              <w:right w:w="120" w:type="dxa"/>
            </w:tcMar>
          </w:tcPr>
          <w:p w14:paraId="51B5EECC"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Quarterly</w:t>
            </w:r>
          </w:p>
        </w:tc>
        <w:tc>
          <w:tcPr>
            <w:tcW w:w="1000" w:type="dxa"/>
            <w:tcMar>
              <w:top w:w="100" w:type="dxa"/>
              <w:left w:w="120" w:type="dxa"/>
              <w:bottom w:w="100" w:type="dxa"/>
              <w:right w:w="120" w:type="dxa"/>
            </w:tcMar>
          </w:tcPr>
          <w:p w14:paraId="51B5EECD"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Legal and Regulatory</w:t>
            </w:r>
          </w:p>
        </w:tc>
      </w:tr>
      <w:tr w:rsidR="00466F20" w:rsidRPr="00A50E4A" w14:paraId="51B5EED4" w14:textId="77777777">
        <w:tc>
          <w:tcPr>
            <w:tcW w:w="1900" w:type="dxa"/>
            <w:tcMar>
              <w:top w:w="100" w:type="dxa"/>
              <w:left w:w="120" w:type="dxa"/>
              <w:bottom w:w="100" w:type="dxa"/>
              <w:right w:w="120" w:type="dxa"/>
            </w:tcMar>
          </w:tcPr>
          <w:p w14:paraId="51B5EECF"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Local authorities</w:t>
            </w:r>
          </w:p>
        </w:tc>
        <w:tc>
          <w:tcPr>
            <w:tcW w:w="2400" w:type="dxa"/>
            <w:tcMar>
              <w:top w:w="100" w:type="dxa"/>
              <w:left w:w="120" w:type="dxa"/>
              <w:bottom w:w="100" w:type="dxa"/>
              <w:right w:w="120" w:type="dxa"/>
            </w:tcMar>
          </w:tcPr>
          <w:p w14:paraId="51B5EED0"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Cost, procurement and public trust</w:t>
            </w:r>
          </w:p>
        </w:tc>
        <w:tc>
          <w:tcPr>
            <w:tcW w:w="2500" w:type="dxa"/>
            <w:tcMar>
              <w:top w:w="100" w:type="dxa"/>
              <w:left w:w="120" w:type="dxa"/>
              <w:bottom w:w="100" w:type="dxa"/>
              <w:right w:w="120" w:type="dxa"/>
            </w:tcMar>
          </w:tcPr>
          <w:p w14:paraId="51B5EED1"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Pilot workshops and joint governance boards</w:t>
            </w:r>
          </w:p>
        </w:tc>
        <w:tc>
          <w:tcPr>
            <w:tcW w:w="1200" w:type="dxa"/>
            <w:tcMar>
              <w:top w:w="100" w:type="dxa"/>
              <w:left w:w="120" w:type="dxa"/>
              <w:bottom w:w="100" w:type="dxa"/>
              <w:right w:w="120" w:type="dxa"/>
            </w:tcMar>
          </w:tcPr>
          <w:p w14:paraId="51B5EED2"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Monthly during pilots</w:t>
            </w:r>
          </w:p>
        </w:tc>
        <w:tc>
          <w:tcPr>
            <w:tcW w:w="1000" w:type="dxa"/>
            <w:tcMar>
              <w:top w:w="100" w:type="dxa"/>
              <w:left w:w="120" w:type="dxa"/>
              <w:bottom w:w="100" w:type="dxa"/>
              <w:right w:w="120" w:type="dxa"/>
            </w:tcMar>
          </w:tcPr>
          <w:p w14:paraId="51B5EED3"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Public Sector team</w:t>
            </w:r>
          </w:p>
        </w:tc>
      </w:tr>
      <w:tr w:rsidR="00466F20" w:rsidRPr="00A50E4A" w14:paraId="51B5EEDA" w14:textId="77777777">
        <w:tc>
          <w:tcPr>
            <w:tcW w:w="1900" w:type="dxa"/>
            <w:tcMar>
              <w:top w:w="100" w:type="dxa"/>
              <w:left w:w="120" w:type="dxa"/>
              <w:bottom w:w="100" w:type="dxa"/>
              <w:right w:w="120" w:type="dxa"/>
            </w:tcMar>
          </w:tcPr>
          <w:p w14:paraId="51B5EED5"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Enterprise customers</w:t>
            </w:r>
          </w:p>
        </w:tc>
        <w:tc>
          <w:tcPr>
            <w:tcW w:w="2400" w:type="dxa"/>
            <w:tcMar>
              <w:top w:w="100" w:type="dxa"/>
              <w:left w:w="120" w:type="dxa"/>
              <w:bottom w:w="100" w:type="dxa"/>
              <w:right w:w="120" w:type="dxa"/>
            </w:tcMar>
          </w:tcPr>
          <w:p w14:paraId="51B5EED6"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Reliability, security and integration</w:t>
            </w:r>
          </w:p>
        </w:tc>
        <w:tc>
          <w:tcPr>
            <w:tcW w:w="2500" w:type="dxa"/>
            <w:tcMar>
              <w:top w:w="100" w:type="dxa"/>
              <w:left w:w="120" w:type="dxa"/>
              <w:bottom w:w="100" w:type="dxa"/>
              <w:right w:w="120" w:type="dxa"/>
            </w:tcMar>
          </w:tcPr>
          <w:p w14:paraId="51B5EED7"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Account reviews and service-level reporting</w:t>
            </w:r>
          </w:p>
        </w:tc>
        <w:tc>
          <w:tcPr>
            <w:tcW w:w="1200" w:type="dxa"/>
            <w:tcMar>
              <w:top w:w="100" w:type="dxa"/>
              <w:left w:w="120" w:type="dxa"/>
              <w:bottom w:w="100" w:type="dxa"/>
              <w:right w:w="120" w:type="dxa"/>
            </w:tcMar>
          </w:tcPr>
          <w:p w14:paraId="51B5EED8"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Quarterly</w:t>
            </w:r>
          </w:p>
        </w:tc>
        <w:tc>
          <w:tcPr>
            <w:tcW w:w="1000" w:type="dxa"/>
            <w:tcMar>
              <w:top w:w="100" w:type="dxa"/>
              <w:left w:w="120" w:type="dxa"/>
              <w:bottom w:w="100" w:type="dxa"/>
              <w:right w:w="120" w:type="dxa"/>
            </w:tcMar>
          </w:tcPr>
          <w:p w14:paraId="51B5EED9"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Enterprise sales</w:t>
            </w:r>
          </w:p>
        </w:tc>
      </w:tr>
      <w:tr w:rsidR="00466F20" w:rsidRPr="00A50E4A" w14:paraId="51B5EEE0" w14:textId="77777777">
        <w:tc>
          <w:tcPr>
            <w:tcW w:w="1900" w:type="dxa"/>
            <w:tcMar>
              <w:top w:w="100" w:type="dxa"/>
              <w:left w:w="120" w:type="dxa"/>
              <w:bottom w:w="100" w:type="dxa"/>
              <w:right w:w="120" w:type="dxa"/>
            </w:tcMar>
          </w:tcPr>
          <w:p w14:paraId="51B5EEDB"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Shareholders</w:t>
            </w:r>
          </w:p>
        </w:tc>
        <w:tc>
          <w:tcPr>
            <w:tcW w:w="2400" w:type="dxa"/>
            <w:tcMar>
              <w:top w:w="100" w:type="dxa"/>
              <w:left w:w="120" w:type="dxa"/>
              <w:bottom w:w="100" w:type="dxa"/>
              <w:right w:w="120" w:type="dxa"/>
            </w:tcMar>
          </w:tcPr>
          <w:p w14:paraId="51B5EEDC"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Return on investment and payback period</w:t>
            </w:r>
          </w:p>
        </w:tc>
        <w:tc>
          <w:tcPr>
            <w:tcW w:w="2500" w:type="dxa"/>
            <w:tcMar>
              <w:top w:w="100" w:type="dxa"/>
              <w:left w:w="120" w:type="dxa"/>
              <w:bottom w:w="100" w:type="dxa"/>
              <w:right w:w="120" w:type="dxa"/>
            </w:tcMar>
          </w:tcPr>
          <w:p w14:paraId="51B5EEDD"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Programme updates within results reporting</w:t>
            </w:r>
          </w:p>
        </w:tc>
        <w:tc>
          <w:tcPr>
            <w:tcW w:w="1200" w:type="dxa"/>
            <w:tcMar>
              <w:top w:w="100" w:type="dxa"/>
              <w:left w:w="120" w:type="dxa"/>
              <w:bottom w:w="100" w:type="dxa"/>
              <w:right w:w="120" w:type="dxa"/>
            </w:tcMar>
          </w:tcPr>
          <w:p w14:paraId="51B5EEDE"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Half-yearly</w:t>
            </w:r>
          </w:p>
        </w:tc>
        <w:tc>
          <w:tcPr>
            <w:tcW w:w="1000" w:type="dxa"/>
            <w:tcMar>
              <w:top w:w="100" w:type="dxa"/>
              <w:left w:w="120" w:type="dxa"/>
              <w:bottom w:w="100" w:type="dxa"/>
              <w:right w:w="120" w:type="dxa"/>
            </w:tcMar>
          </w:tcPr>
          <w:p w14:paraId="51B5EEDF"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Investor Relations</w:t>
            </w:r>
          </w:p>
        </w:tc>
      </w:tr>
      <w:tr w:rsidR="00466F20" w:rsidRPr="00A50E4A" w14:paraId="51B5EEE6" w14:textId="77777777">
        <w:tc>
          <w:tcPr>
            <w:tcW w:w="1900" w:type="dxa"/>
            <w:tcMar>
              <w:top w:w="100" w:type="dxa"/>
              <w:left w:w="120" w:type="dxa"/>
              <w:bottom w:w="100" w:type="dxa"/>
              <w:right w:w="120" w:type="dxa"/>
            </w:tcMar>
          </w:tcPr>
          <w:p w14:paraId="51B5EEE1"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Employees</w:t>
            </w:r>
          </w:p>
        </w:tc>
        <w:tc>
          <w:tcPr>
            <w:tcW w:w="2400" w:type="dxa"/>
            <w:tcMar>
              <w:top w:w="100" w:type="dxa"/>
              <w:left w:w="120" w:type="dxa"/>
              <w:bottom w:w="100" w:type="dxa"/>
              <w:right w:w="120" w:type="dxa"/>
            </w:tcMar>
          </w:tcPr>
          <w:p w14:paraId="51B5EEE2"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Skills and organisational change</w:t>
            </w:r>
          </w:p>
        </w:tc>
        <w:tc>
          <w:tcPr>
            <w:tcW w:w="2500" w:type="dxa"/>
            <w:tcMar>
              <w:top w:w="100" w:type="dxa"/>
              <w:left w:w="120" w:type="dxa"/>
              <w:bottom w:w="100" w:type="dxa"/>
              <w:right w:w="120" w:type="dxa"/>
            </w:tcMar>
          </w:tcPr>
          <w:p w14:paraId="51B5EEE3"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Training programmes and internal consultation</w:t>
            </w:r>
          </w:p>
        </w:tc>
        <w:tc>
          <w:tcPr>
            <w:tcW w:w="1200" w:type="dxa"/>
            <w:tcMar>
              <w:top w:w="100" w:type="dxa"/>
              <w:left w:w="120" w:type="dxa"/>
              <w:bottom w:w="100" w:type="dxa"/>
              <w:right w:w="120" w:type="dxa"/>
            </w:tcMar>
          </w:tcPr>
          <w:p w14:paraId="51B5EEE4"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Quarterly</w:t>
            </w:r>
          </w:p>
        </w:tc>
        <w:tc>
          <w:tcPr>
            <w:tcW w:w="1000" w:type="dxa"/>
            <w:tcMar>
              <w:top w:w="100" w:type="dxa"/>
              <w:left w:w="120" w:type="dxa"/>
              <w:bottom w:w="100" w:type="dxa"/>
              <w:right w:w="120" w:type="dxa"/>
            </w:tcMar>
          </w:tcPr>
          <w:p w14:paraId="51B5EEE5"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HR and Transformation</w:t>
            </w:r>
          </w:p>
        </w:tc>
      </w:tr>
      <w:tr w:rsidR="00466F20" w:rsidRPr="00A50E4A" w14:paraId="51B5EEEC" w14:textId="77777777">
        <w:tc>
          <w:tcPr>
            <w:tcW w:w="1900" w:type="dxa"/>
            <w:tcMar>
              <w:top w:w="100" w:type="dxa"/>
              <w:left w:w="120" w:type="dxa"/>
              <w:bottom w:w="100" w:type="dxa"/>
              <w:right w:w="120" w:type="dxa"/>
            </w:tcMar>
          </w:tcPr>
          <w:p w14:paraId="51B5EEE7"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Consumers</w:t>
            </w:r>
          </w:p>
        </w:tc>
        <w:tc>
          <w:tcPr>
            <w:tcW w:w="2400" w:type="dxa"/>
            <w:tcMar>
              <w:top w:w="100" w:type="dxa"/>
              <w:left w:w="120" w:type="dxa"/>
              <w:bottom w:w="100" w:type="dxa"/>
              <w:right w:w="120" w:type="dxa"/>
            </w:tcMar>
          </w:tcPr>
          <w:p w14:paraId="51B5EEE8"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Service quality and privacy</w:t>
            </w:r>
          </w:p>
        </w:tc>
        <w:tc>
          <w:tcPr>
            <w:tcW w:w="2500" w:type="dxa"/>
            <w:tcMar>
              <w:top w:w="100" w:type="dxa"/>
              <w:left w:w="120" w:type="dxa"/>
              <w:bottom w:w="100" w:type="dxa"/>
              <w:right w:w="120" w:type="dxa"/>
            </w:tcMar>
          </w:tcPr>
          <w:p w14:paraId="51B5EEE9"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Service dashboards and feedback channels</w:t>
            </w:r>
          </w:p>
        </w:tc>
        <w:tc>
          <w:tcPr>
            <w:tcW w:w="1200" w:type="dxa"/>
            <w:tcMar>
              <w:top w:w="100" w:type="dxa"/>
              <w:left w:w="120" w:type="dxa"/>
              <w:bottom w:w="100" w:type="dxa"/>
              <w:right w:w="120" w:type="dxa"/>
            </w:tcMar>
          </w:tcPr>
          <w:p w14:paraId="51B5EEEA"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Continuous</w:t>
            </w:r>
          </w:p>
        </w:tc>
        <w:tc>
          <w:tcPr>
            <w:tcW w:w="1000" w:type="dxa"/>
            <w:tcMar>
              <w:top w:w="100" w:type="dxa"/>
              <w:left w:w="120" w:type="dxa"/>
              <w:bottom w:w="100" w:type="dxa"/>
              <w:right w:w="120" w:type="dxa"/>
            </w:tcMar>
          </w:tcPr>
          <w:p w14:paraId="51B5EEEB"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Customer Experience</w:t>
            </w:r>
          </w:p>
        </w:tc>
      </w:tr>
    </w:tbl>
    <w:p w14:paraId="51B5EEED" w14:textId="77777777" w:rsidR="00466F20" w:rsidRPr="00A50E4A" w:rsidRDefault="00466F20" w:rsidP="00615F2E">
      <w:pPr>
        <w:spacing w:after="200" w:line="360" w:lineRule="auto"/>
        <w:rPr>
          <w:rFonts w:ascii="Arial" w:hAnsi="Arial" w:cs="Arial"/>
          <w:sz w:val="22"/>
          <w:szCs w:val="22"/>
        </w:rPr>
      </w:pPr>
    </w:p>
    <w:p w14:paraId="51B5EEEE" w14:textId="77777777" w:rsidR="00466F20" w:rsidRPr="00A50E4A" w:rsidRDefault="006A1C32" w:rsidP="00615F2E">
      <w:pPr>
        <w:spacing w:after="160" w:line="360" w:lineRule="auto"/>
        <w:rPr>
          <w:rFonts w:ascii="Arial" w:hAnsi="Arial" w:cs="Arial"/>
          <w:sz w:val="22"/>
          <w:szCs w:val="22"/>
        </w:rPr>
      </w:pPr>
      <w:r w:rsidRPr="00A50E4A">
        <w:rPr>
          <w:rFonts w:ascii="Arial" w:eastAsia="Calibri" w:hAnsi="Arial" w:cs="Arial"/>
          <w:sz w:val="22"/>
          <w:szCs w:val="22"/>
        </w:rPr>
        <w:t>Local authorities receive the most intensive engagement despite limited formal power, because Section 3.4 identified public-sector adoption as the main constraint on the strategy.</w:t>
      </w:r>
    </w:p>
    <w:p w14:paraId="51B5EEEF" w14:textId="77777777" w:rsidR="00466F20" w:rsidRPr="00A50E4A" w:rsidRDefault="00466F20" w:rsidP="00615F2E">
      <w:pPr>
        <w:spacing w:after="200" w:line="360" w:lineRule="auto"/>
        <w:rPr>
          <w:rFonts w:ascii="Arial" w:hAnsi="Arial" w:cs="Arial"/>
          <w:sz w:val="22"/>
          <w:szCs w:val="22"/>
        </w:rPr>
      </w:pPr>
    </w:p>
    <w:p w14:paraId="748EA44B" w14:textId="77777777" w:rsidR="00733385" w:rsidRPr="00A50E4A" w:rsidRDefault="00733385" w:rsidP="00615F2E">
      <w:pPr>
        <w:spacing w:after="200" w:line="360" w:lineRule="auto"/>
        <w:rPr>
          <w:rFonts w:ascii="Arial" w:hAnsi="Arial" w:cs="Arial"/>
          <w:sz w:val="22"/>
          <w:szCs w:val="22"/>
        </w:rPr>
      </w:pPr>
    </w:p>
    <w:p w14:paraId="37BD009A" w14:textId="77777777" w:rsidR="00733385" w:rsidRPr="00A50E4A" w:rsidRDefault="00733385" w:rsidP="00615F2E">
      <w:pPr>
        <w:spacing w:after="200" w:line="360" w:lineRule="auto"/>
        <w:rPr>
          <w:rFonts w:ascii="Arial" w:hAnsi="Arial" w:cs="Arial"/>
          <w:sz w:val="22"/>
          <w:szCs w:val="22"/>
        </w:rPr>
      </w:pPr>
    </w:p>
    <w:p w14:paraId="16F0BF08" w14:textId="77777777" w:rsidR="00733385" w:rsidRPr="00A50E4A" w:rsidRDefault="00733385" w:rsidP="00615F2E">
      <w:pPr>
        <w:spacing w:after="200" w:line="360" w:lineRule="auto"/>
        <w:rPr>
          <w:rFonts w:ascii="Arial" w:hAnsi="Arial" w:cs="Arial"/>
          <w:sz w:val="22"/>
          <w:szCs w:val="22"/>
        </w:rPr>
      </w:pPr>
    </w:p>
    <w:p w14:paraId="446E3712" w14:textId="58093328" w:rsidR="00733385" w:rsidRPr="00A50E4A" w:rsidRDefault="00733385" w:rsidP="00615F2E">
      <w:pPr>
        <w:spacing w:after="200" w:line="360" w:lineRule="auto"/>
        <w:rPr>
          <w:rFonts w:ascii="Arial" w:hAnsi="Arial" w:cs="Arial"/>
          <w:sz w:val="22"/>
          <w:szCs w:val="22"/>
        </w:rPr>
      </w:pPr>
      <w:r w:rsidRPr="00A50E4A">
        <w:rPr>
          <w:rFonts w:ascii="Arial" w:hAnsi="Arial" w:cs="Arial"/>
          <w:sz w:val="22"/>
          <w:szCs w:val="22"/>
        </w:rPr>
        <w:t>Table N.6</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500"/>
        <w:gridCol w:w="4500"/>
      </w:tblGrid>
      <w:tr w:rsidR="00466F20" w:rsidRPr="00A50E4A" w14:paraId="51B5EEF2" w14:textId="77777777">
        <w:tc>
          <w:tcPr>
            <w:tcW w:w="4500" w:type="dxa"/>
            <w:shd w:val="clear" w:color="auto" w:fill="D9E2F3"/>
            <w:tcMar>
              <w:top w:w="100" w:type="dxa"/>
              <w:left w:w="120" w:type="dxa"/>
              <w:bottom w:w="100" w:type="dxa"/>
              <w:right w:w="120" w:type="dxa"/>
            </w:tcMar>
          </w:tcPr>
          <w:p w14:paraId="51B5EEF0"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b/>
                <w:bCs/>
                <w:sz w:val="22"/>
                <w:szCs w:val="22"/>
              </w:rPr>
              <w:t>High Power / High Interest</w:t>
            </w:r>
          </w:p>
        </w:tc>
        <w:tc>
          <w:tcPr>
            <w:tcW w:w="4500" w:type="dxa"/>
            <w:shd w:val="clear" w:color="auto" w:fill="D9E2F3"/>
            <w:tcMar>
              <w:top w:w="100" w:type="dxa"/>
              <w:left w:w="120" w:type="dxa"/>
              <w:bottom w:w="100" w:type="dxa"/>
              <w:right w:w="120" w:type="dxa"/>
            </w:tcMar>
          </w:tcPr>
          <w:p w14:paraId="51B5EEF1"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b/>
                <w:bCs/>
                <w:sz w:val="22"/>
                <w:szCs w:val="22"/>
              </w:rPr>
              <w:t>High Power / Low Interest</w:t>
            </w:r>
          </w:p>
        </w:tc>
      </w:tr>
      <w:tr w:rsidR="00466F20" w:rsidRPr="00A50E4A" w14:paraId="51B5EEF5" w14:textId="77777777">
        <w:tc>
          <w:tcPr>
            <w:tcW w:w="4500" w:type="dxa"/>
            <w:tcMar>
              <w:top w:w="100" w:type="dxa"/>
              <w:left w:w="120" w:type="dxa"/>
              <w:bottom w:w="100" w:type="dxa"/>
              <w:right w:w="120" w:type="dxa"/>
            </w:tcMar>
          </w:tcPr>
          <w:p w14:paraId="51B5EEF3"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Shareholders, Senior Management, Regulators</w:t>
            </w:r>
          </w:p>
        </w:tc>
        <w:tc>
          <w:tcPr>
            <w:tcW w:w="4500" w:type="dxa"/>
            <w:tcMar>
              <w:top w:w="100" w:type="dxa"/>
              <w:left w:w="120" w:type="dxa"/>
              <w:bottom w:w="100" w:type="dxa"/>
              <w:right w:w="120" w:type="dxa"/>
            </w:tcMar>
          </w:tcPr>
          <w:p w14:paraId="51B5EEF4"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Government Departments, Industry Bodies</w:t>
            </w:r>
          </w:p>
        </w:tc>
      </w:tr>
      <w:tr w:rsidR="00466F20" w:rsidRPr="00A50E4A" w14:paraId="51B5EEF8" w14:textId="77777777">
        <w:tc>
          <w:tcPr>
            <w:tcW w:w="4500" w:type="dxa"/>
            <w:shd w:val="clear" w:color="auto" w:fill="D9E2F3"/>
            <w:tcMar>
              <w:top w:w="100" w:type="dxa"/>
              <w:left w:w="120" w:type="dxa"/>
              <w:bottom w:w="100" w:type="dxa"/>
              <w:right w:w="120" w:type="dxa"/>
            </w:tcMar>
          </w:tcPr>
          <w:p w14:paraId="51B5EEF6"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b/>
                <w:bCs/>
                <w:sz w:val="22"/>
                <w:szCs w:val="22"/>
              </w:rPr>
              <w:t>Low Power / High Interest</w:t>
            </w:r>
          </w:p>
        </w:tc>
        <w:tc>
          <w:tcPr>
            <w:tcW w:w="4500" w:type="dxa"/>
            <w:shd w:val="clear" w:color="auto" w:fill="D9E2F3"/>
            <w:tcMar>
              <w:top w:w="100" w:type="dxa"/>
              <w:left w:w="120" w:type="dxa"/>
              <w:bottom w:w="100" w:type="dxa"/>
              <w:right w:w="120" w:type="dxa"/>
            </w:tcMar>
          </w:tcPr>
          <w:p w14:paraId="51B5EEF7"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b/>
                <w:bCs/>
                <w:sz w:val="22"/>
                <w:szCs w:val="22"/>
              </w:rPr>
              <w:t>Low Power / Low Interest</w:t>
            </w:r>
          </w:p>
        </w:tc>
      </w:tr>
      <w:tr w:rsidR="00466F20" w:rsidRPr="00A50E4A" w14:paraId="51B5EEFB" w14:textId="77777777">
        <w:tc>
          <w:tcPr>
            <w:tcW w:w="4500" w:type="dxa"/>
            <w:tcMar>
              <w:top w:w="100" w:type="dxa"/>
              <w:left w:w="120" w:type="dxa"/>
              <w:bottom w:w="100" w:type="dxa"/>
              <w:right w:w="120" w:type="dxa"/>
            </w:tcMar>
          </w:tcPr>
          <w:p w14:paraId="51B5EEF9"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Customers, Employees, Local Communities</w:t>
            </w:r>
          </w:p>
        </w:tc>
        <w:tc>
          <w:tcPr>
            <w:tcW w:w="4500" w:type="dxa"/>
            <w:tcMar>
              <w:top w:w="100" w:type="dxa"/>
              <w:left w:w="120" w:type="dxa"/>
              <w:bottom w:w="100" w:type="dxa"/>
              <w:right w:w="120" w:type="dxa"/>
            </w:tcMar>
          </w:tcPr>
          <w:p w14:paraId="51B5EEFA"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General Public</w:t>
            </w:r>
          </w:p>
        </w:tc>
      </w:tr>
    </w:tbl>
    <w:p w14:paraId="51B5EEFC" w14:textId="77777777" w:rsidR="00466F20" w:rsidRPr="00A50E4A" w:rsidRDefault="00466F20" w:rsidP="00615F2E">
      <w:pPr>
        <w:spacing w:after="200" w:line="360" w:lineRule="auto"/>
        <w:rPr>
          <w:rFonts w:ascii="Arial" w:hAnsi="Arial" w:cs="Arial"/>
          <w:sz w:val="22"/>
          <w:szCs w:val="22"/>
        </w:rPr>
      </w:pPr>
    </w:p>
    <w:p w14:paraId="51B5EEFD" w14:textId="77777777" w:rsidR="00466F20" w:rsidRPr="00A50E4A" w:rsidRDefault="006A1C32" w:rsidP="00733385">
      <w:pPr>
        <w:pStyle w:val="Heading1"/>
        <w:spacing w:before="280" w:after="160" w:line="360" w:lineRule="auto"/>
        <w:jc w:val="center"/>
        <w:rPr>
          <w:rFonts w:ascii="Arial" w:hAnsi="Arial" w:cs="Arial"/>
          <w:b/>
          <w:bCs/>
          <w:color w:val="auto"/>
          <w:sz w:val="22"/>
          <w:szCs w:val="22"/>
        </w:rPr>
      </w:pPr>
      <w:r w:rsidRPr="00A50E4A">
        <w:rPr>
          <w:rFonts w:ascii="Arial" w:hAnsi="Arial" w:cs="Arial"/>
          <w:b/>
          <w:bCs/>
          <w:color w:val="auto"/>
          <w:sz w:val="22"/>
          <w:szCs w:val="22"/>
        </w:rPr>
        <w:t>7. Implementation and Monitoring</w:t>
      </w:r>
    </w:p>
    <w:p w14:paraId="51B5EEFE" w14:textId="77777777" w:rsidR="00466F20" w:rsidRPr="00A50E4A" w:rsidRDefault="006A1C32" w:rsidP="00733385">
      <w:pPr>
        <w:spacing w:after="160" w:line="360" w:lineRule="auto"/>
        <w:ind w:firstLine="720"/>
        <w:rPr>
          <w:rFonts w:ascii="Arial" w:hAnsi="Arial" w:cs="Arial"/>
          <w:sz w:val="22"/>
          <w:szCs w:val="22"/>
        </w:rPr>
      </w:pPr>
      <w:r w:rsidRPr="00A50E4A">
        <w:rPr>
          <w:rFonts w:ascii="Arial" w:eastAsia="Calibri" w:hAnsi="Arial" w:cs="Arial"/>
          <w:sz w:val="22"/>
          <w:szCs w:val="22"/>
        </w:rPr>
        <w:t>Implementation requires careful planning and continuous monitoring. A phased approach, reflecting the risks in Sections 3.4 and 5, lets Vodafone test demand, cost and trust assumptions before committing at scale.</w:t>
      </w:r>
    </w:p>
    <w:p w14:paraId="51B5EEFF" w14:textId="77777777" w:rsidR="00466F20" w:rsidRPr="00A50E4A" w:rsidRDefault="006A1C32" w:rsidP="00733385">
      <w:pPr>
        <w:spacing w:after="160" w:line="360" w:lineRule="auto"/>
        <w:ind w:firstLine="720"/>
        <w:rPr>
          <w:rFonts w:ascii="Arial" w:hAnsi="Arial" w:cs="Arial"/>
          <w:sz w:val="22"/>
          <w:szCs w:val="22"/>
        </w:rPr>
      </w:pPr>
      <w:r w:rsidRPr="00A50E4A">
        <w:rPr>
          <w:rFonts w:ascii="Arial" w:eastAsia="Calibri" w:hAnsi="Arial" w:cs="Arial"/>
          <w:sz w:val="22"/>
          <w:szCs w:val="22"/>
        </w:rPr>
        <w:t>Phase one builds capability and early partnerships; phase two runs regional pilots to surface technical and adoption issues before wider commitment; phase three, contingent on those pilots, expands commercially, positioning Vodafone as a digital solutions provider rather than solely a telecoms operator. The timeline below sets out each phase and its decision point.</w:t>
      </w:r>
    </w:p>
    <w:p w14:paraId="51B5EF00" w14:textId="77777777" w:rsidR="00466F20" w:rsidRPr="00A50E4A" w:rsidRDefault="006A1C32" w:rsidP="00615F2E">
      <w:pPr>
        <w:pStyle w:val="Heading2"/>
        <w:spacing w:before="220" w:after="120" w:line="360" w:lineRule="auto"/>
        <w:rPr>
          <w:rFonts w:ascii="Arial" w:hAnsi="Arial" w:cs="Arial"/>
          <w:b/>
          <w:bCs/>
          <w:color w:val="auto"/>
          <w:sz w:val="22"/>
          <w:szCs w:val="22"/>
        </w:rPr>
      </w:pPr>
      <w:r w:rsidRPr="00A50E4A">
        <w:rPr>
          <w:rFonts w:ascii="Arial" w:hAnsi="Arial" w:cs="Arial"/>
          <w:b/>
          <w:bCs/>
          <w:color w:val="auto"/>
          <w:sz w:val="22"/>
          <w:szCs w:val="22"/>
        </w:rPr>
        <w:t>Implementation Timeline</w:t>
      </w:r>
    </w:p>
    <w:p w14:paraId="32CCBDBB" w14:textId="20E7A666" w:rsidR="00733385" w:rsidRPr="00A50E4A" w:rsidRDefault="00733385" w:rsidP="00615F2E">
      <w:pPr>
        <w:pStyle w:val="Heading2"/>
        <w:spacing w:before="220" w:after="120" w:line="360" w:lineRule="auto"/>
        <w:rPr>
          <w:rFonts w:ascii="Arial" w:hAnsi="Arial" w:cs="Arial"/>
          <w:color w:val="auto"/>
          <w:sz w:val="22"/>
          <w:szCs w:val="22"/>
        </w:rPr>
      </w:pPr>
      <w:r w:rsidRPr="00A50E4A">
        <w:rPr>
          <w:rFonts w:ascii="Arial" w:hAnsi="Arial" w:cs="Arial"/>
          <w:color w:val="auto"/>
          <w:sz w:val="22"/>
          <w:szCs w:val="22"/>
        </w:rPr>
        <w:t>Table N.7</w:t>
      </w:r>
    </w:p>
    <w:p w14:paraId="51B5EF01" w14:textId="77777777" w:rsidR="00466F20" w:rsidRPr="00A50E4A" w:rsidRDefault="00466F20" w:rsidP="00615F2E">
      <w:pPr>
        <w:spacing w:after="200" w:line="360" w:lineRule="auto"/>
        <w:rPr>
          <w:rFonts w:ascii="Arial" w:hAnsi="Arial" w:cs="Arial"/>
          <w:sz w:val="22"/>
          <w:szCs w:val="22"/>
        </w:rPr>
      </w:pP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0"/>
        <w:gridCol w:w="3600"/>
        <w:gridCol w:w="3600"/>
      </w:tblGrid>
      <w:tr w:rsidR="00466F20" w:rsidRPr="00A50E4A" w14:paraId="51B5EF05" w14:textId="77777777">
        <w:tc>
          <w:tcPr>
            <w:tcW w:w="1800" w:type="dxa"/>
            <w:shd w:val="clear" w:color="auto" w:fill="D9E2F3"/>
            <w:tcMar>
              <w:top w:w="100" w:type="dxa"/>
              <w:left w:w="120" w:type="dxa"/>
              <w:bottom w:w="100" w:type="dxa"/>
              <w:right w:w="120" w:type="dxa"/>
            </w:tcMar>
          </w:tcPr>
          <w:p w14:paraId="51B5EF02"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b/>
                <w:bCs/>
                <w:sz w:val="22"/>
                <w:szCs w:val="22"/>
              </w:rPr>
              <w:t>Year</w:t>
            </w:r>
          </w:p>
        </w:tc>
        <w:tc>
          <w:tcPr>
            <w:tcW w:w="3600" w:type="dxa"/>
            <w:shd w:val="clear" w:color="auto" w:fill="D9E2F3"/>
            <w:tcMar>
              <w:top w:w="100" w:type="dxa"/>
              <w:left w:w="120" w:type="dxa"/>
              <w:bottom w:w="100" w:type="dxa"/>
              <w:right w:w="120" w:type="dxa"/>
            </w:tcMar>
          </w:tcPr>
          <w:p w14:paraId="51B5EF03"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b/>
                <w:bCs/>
                <w:sz w:val="22"/>
                <w:szCs w:val="22"/>
              </w:rPr>
              <w:t>Activity</w:t>
            </w:r>
          </w:p>
        </w:tc>
        <w:tc>
          <w:tcPr>
            <w:tcW w:w="3600" w:type="dxa"/>
            <w:shd w:val="clear" w:color="auto" w:fill="D9E2F3"/>
            <w:tcMar>
              <w:top w:w="100" w:type="dxa"/>
              <w:left w:w="120" w:type="dxa"/>
              <w:bottom w:w="100" w:type="dxa"/>
              <w:right w:w="120" w:type="dxa"/>
            </w:tcMar>
          </w:tcPr>
          <w:p w14:paraId="51B5EF04"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b/>
                <w:bCs/>
                <w:sz w:val="22"/>
                <w:szCs w:val="22"/>
              </w:rPr>
              <w:t>Milestone / Decision Point</w:t>
            </w:r>
          </w:p>
        </w:tc>
      </w:tr>
      <w:tr w:rsidR="00466F20" w:rsidRPr="00A50E4A" w14:paraId="51B5EF09" w14:textId="77777777">
        <w:tc>
          <w:tcPr>
            <w:tcW w:w="1800" w:type="dxa"/>
            <w:tcMar>
              <w:top w:w="100" w:type="dxa"/>
              <w:left w:w="120" w:type="dxa"/>
              <w:bottom w:w="100" w:type="dxa"/>
              <w:right w:w="120" w:type="dxa"/>
            </w:tcMar>
          </w:tcPr>
          <w:p w14:paraId="51B5EF06"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2026</w:t>
            </w:r>
          </w:p>
        </w:tc>
        <w:tc>
          <w:tcPr>
            <w:tcW w:w="3600" w:type="dxa"/>
            <w:tcMar>
              <w:top w:w="100" w:type="dxa"/>
              <w:left w:w="120" w:type="dxa"/>
              <w:bottom w:w="100" w:type="dxa"/>
              <w:right w:w="120" w:type="dxa"/>
            </w:tcMar>
          </w:tcPr>
          <w:p w14:paraId="51B5EF07"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Capability-building: cybersecurity, cloud and data-analytics investment; first partnership agreements</w:t>
            </w:r>
          </w:p>
        </w:tc>
        <w:tc>
          <w:tcPr>
            <w:tcW w:w="3600" w:type="dxa"/>
            <w:tcMar>
              <w:top w:w="100" w:type="dxa"/>
              <w:left w:w="120" w:type="dxa"/>
              <w:bottom w:w="100" w:type="dxa"/>
              <w:right w:w="120" w:type="dxa"/>
            </w:tcMar>
          </w:tcPr>
          <w:p w14:paraId="51B5EF08"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Go / no-go decision on first pilot sites</w:t>
            </w:r>
          </w:p>
        </w:tc>
      </w:tr>
      <w:tr w:rsidR="00466F20" w:rsidRPr="00A50E4A" w14:paraId="51B5EF0D" w14:textId="77777777">
        <w:tc>
          <w:tcPr>
            <w:tcW w:w="1800" w:type="dxa"/>
            <w:tcMar>
              <w:top w:w="100" w:type="dxa"/>
              <w:left w:w="120" w:type="dxa"/>
              <w:bottom w:w="100" w:type="dxa"/>
              <w:right w:w="120" w:type="dxa"/>
            </w:tcMar>
          </w:tcPr>
          <w:p w14:paraId="51B5EF0A"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lastRenderedPageBreak/>
              <w:t>2027</w:t>
            </w:r>
          </w:p>
        </w:tc>
        <w:tc>
          <w:tcPr>
            <w:tcW w:w="3600" w:type="dxa"/>
            <w:tcMar>
              <w:top w:w="100" w:type="dxa"/>
              <w:left w:w="120" w:type="dxa"/>
              <w:bottom w:w="100" w:type="dxa"/>
              <w:right w:w="120" w:type="dxa"/>
            </w:tcMar>
          </w:tcPr>
          <w:p w14:paraId="51B5EF0B"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Pilot Smart City and IoT projects in 2–3 UK regions (transport, energy, public services)</w:t>
            </w:r>
          </w:p>
        </w:tc>
        <w:tc>
          <w:tcPr>
            <w:tcW w:w="3600" w:type="dxa"/>
            <w:tcMar>
              <w:top w:w="100" w:type="dxa"/>
              <w:left w:w="120" w:type="dxa"/>
              <w:bottom w:w="100" w:type="dxa"/>
              <w:right w:w="120" w:type="dxa"/>
            </w:tcMar>
          </w:tcPr>
          <w:p w14:paraId="51B5EF0C"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Review of adoption rates and technical performance</w:t>
            </w:r>
          </w:p>
        </w:tc>
      </w:tr>
      <w:tr w:rsidR="00466F20" w:rsidRPr="00A50E4A" w14:paraId="51B5EF11" w14:textId="77777777">
        <w:tc>
          <w:tcPr>
            <w:tcW w:w="1800" w:type="dxa"/>
            <w:tcMar>
              <w:top w:w="100" w:type="dxa"/>
              <w:left w:w="120" w:type="dxa"/>
              <w:bottom w:w="100" w:type="dxa"/>
              <w:right w:w="120" w:type="dxa"/>
            </w:tcMar>
          </w:tcPr>
          <w:p w14:paraId="51B5EF0E"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2028</w:t>
            </w:r>
          </w:p>
        </w:tc>
        <w:tc>
          <w:tcPr>
            <w:tcW w:w="3600" w:type="dxa"/>
            <w:tcMar>
              <w:top w:w="100" w:type="dxa"/>
              <w:left w:w="120" w:type="dxa"/>
              <w:bottom w:w="100" w:type="dxa"/>
              <w:right w:w="120" w:type="dxa"/>
            </w:tcMar>
          </w:tcPr>
          <w:p w14:paraId="51B5EF0F"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Controlled expansion into additional regions and enterprise sectors</w:t>
            </w:r>
          </w:p>
        </w:tc>
        <w:tc>
          <w:tcPr>
            <w:tcW w:w="3600" w:type="dxa"/>
            <w:tcMar>
              <w:top w:w="100" w:type="dxa"/>
              <w:left w:w="120" w:type="dxa"/>
              <w:bottom w:w="100" w:type="dxa"/>
              <w:right w:w="120" w:type="dxa"/>
            </w:tcMar>
          </w:tcPr>
          <w:p w14:paraId="51B5EF10"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Mid-point KPI review; adjust investment pace</w:t>
            </w:r>
          </w:p>
        </w:tc>
      </w:tr>
      <w:tr w:rsidR="00466F20" w:rsidRPr="00A50E4A" w14:paraId="51B5EF15" w14:textId="77777777">
        <w:tc>
          <w:tcPr>
            <w:tcW w:w="1800" w:type="dxa"/>
            <w:tcMar>
              <w:top w:w="100" w:type="dxa"/>
              <w:left w:w="120" w:type="dxa"/>
              <w:bottom w:w="100" w:type="dxa"/>
              <w:right w:w="120" w:type="dxa"/>
            </w:tcMar>
          </w:tcPr>
          <w:p w14:paraId="51B5EF12"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2029–2030</w:t>
            </w:r>
          </w:p>
        </w:tc>
        <w:tc>
          <w:tcPr>
            <w:tcW w:w="3600" w:type="dxa"/>
            <w:tcMar>
              <w:top w:w="100" w:type="dxa"/>
              <w:left w:w="120" w:type="dxa"/>
              <w:bottom w:w="100" w:type="dxa"/>
              <w:right w:w="120" w:type="dxa"/>
            </w:tcMar>
          </w:tcPr>
          <w:p w14:paraId="51B5EF13"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National rollout and portfolio broadening across sectors</w:t>
            </w:r>
          </w:p>
        </w:tc>
        <w:tc>
          <w:tcPr>
            <w:tcW w:w="3600" w:type="dxa"/>
            <w:tcMar>
              <w:top w:w="100" w:type="dxa"/>
              <w:left w:w="120" w:type="dxa"/>
              <w:bottom w:w="100" w:type="dxa"/>
              <w:right w:w="120" w:type="dxa"/>
            </w:tcMar>
          </w:tcPr>
          <w:p w14:paraId="51B5EF14"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Assessment against 2030 partnership and revenue targets</w:t>
            </w:r>
          </w:p>
        </w:tc>
      </w:tr>
    </w:tbl>
    <w:p w14:paraId="51B5EF16" w14:textId="77777777" w:rsidR="00466F20" w:rsidRPr="00A50E4A" w:rsidRDefault="00466F20" w:rsidP="00615F2E">
      <w:pPr>
        <w:spacing w:after="200" w:line="360" w:lineRule="auto"/>
        <w:rPr>
          <w:rFonts w:ascii="Arial" w:hAnsi="Arial" w:cs="Arial"/>
          <w:sz w:val="22"/>
          <w:szCs w:val="22"/>
        </w:rPr>
      </w:pPr>
    </w:p>
    <w:p w14:paraId="51B5EF17" w14:textId="77777777" w:rsidR="00466F20" w:rsidRPr="00A50E4A" w:rsidRDefault="006A1C32" w:rsidP="00733385">
      <w:pPr>
        <w:spacing w:after="160" w:line="360" w:lineRule="auto"/>
        <w:ind w:firstLine="720"/>
        <w:rPr>
          <w:rFonts w:ascii="Arial" w:hAnsi="Arial" w:cs="Arial"/>
          <w:sz w:val="22"/>
          <w:szCs w:val="22"/>
        </w:rPr>
      </w:pPr>
      <w:r w:rsidRPr="00A50E4A">
        <w:rPr>
          <w:rFonts w:ascii="Arial" w:eastAsia="Calibri" w:hAnsi="Arial" w:cs="Arial"/>
          <w:sz w:val="22"/>
          <w:szCs w:val="22"/>
        </w:rPr>
        <w:t xml:space="preserve">Accountability should be explicit. Capability-building sits with the Chief Technology </w:t>
      </w:r>
      <w:proofErr w:type="spellStart"/>
      <w:r w:rsidRPr="00A50E4A">
        <w:rPr>
          <w:rFonts w:ascii="Arial" w:eastAsia="Calibri" w:hAnsi="Arial" w:cs="Arial"/>
          <w:sz w:val="22"/>
          <w:szCs w:val="22"/>
        </w:rPr>
        <w:t>Office</w:t>
      </w:r>
      <w:proofErr w:type="spellEnd"/>
      <w:r w:rsidRPr="00A50E4A">
        <w:rPr>
          <w:rFonts w:ascii="Arial" w:eastAsia="Calibri" w:hAnsi="Arial" w:cs="Arial"/>
          <w:sz w:val="22"/>
          <w:szCs w:val="22"/>
        </w:rPr>
        <w:t>, partnerships and pilots with the Enterprise and Public Sector division, security assurance with the Chief Information Security Officer, and skills with HR and Transformation. Progress is reviewed quarterly by a programme board reporting to the executive committee. KPIs should distinguish leading indicators, which show whether the strategy is working early – partnership pipeline, pilot adoption rates, time to deploy – from lagging indicators such as IoT revenue and enterprise customer growth, which confirm results only after investment is committed. Each phase carries a stop/go threshold: if fewer than two pilot regions reach agreed adoption levels by the 2027 review, phase three is deferred rather than funded on schedule.</w:t>
      </w:r>
    </w:p>
    <w:p w14:paraId="51B5EF18" w14:textId="09C37BC8" w:rsidR="00466F20" w:rsidRPr="00A50E4A" w:rsidRDefault="00733385" w:rsidP="00615F2E">
      <w:pPr>
        <w:spacing w:after="200" w:line="360" w:lineRule="auto"/>
        <w:rPr>
          <w:rFonts w:ascii="Arial" w:hAnsi="Arial" w:cs="Arial"/>
          <w:sz w:val="22"/>
          <w:szCs w:val="22"/>
        </w:rPr>
      </w:pPr>
      <w:r w:rsidRPr="00A50E4A">
        <w:rPr>
          <w:rFonts w:ascii="Arial" w:hAnsi="Arial" w:cs="Arial"/>
          <w:sz w:val="22"/>
          <w:szCs w:val="22"/>
        </w:rPr>
        <w:t>Table N.8</w:t>
      </w:r>
    </w:p>
    <w:tbl>
      <w:tblPr>
        <w:tblW w:w="78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600"/>
        <w:gridCol w:w="2600"/>
        <w:gridCol w:w="2600"/>
      </w:tblGrid>
      <w:tr w:rsidR="00466F20" w:rsidRPr="00A50E4A" w14:paraId="51B5EF1C" w14:textId="77777777">
        <w:tc>
          <w:tcPr>
            <w:tcW w:w="2600" w:type="dxa"/>
            <w:shd w:val="clear" w:color="auto" w:fill="D9E2F3"/>
            <w:tcMar>
              <w:top w:w="100" w:type="dxa"/>
              <w:left w:w="120" w:type="dxa"/>
              <w:bottom w:w="100" w:type="dxa"/>
              <w:right w:w="120" w:type="dxa"/>
            </w:tcMar>
          </w:tcPr>
          <w:p w14:paraId="51B5EF19"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b/>
                <w:bCs/>
                <w:sz w:val="22"/>
                <w:szCs w:val="22"/>
              </w:rPr>
              <w:t>Objective</w:t>
            </w:r>
          </w:p>
        </w:tc>
        <w:tc>
          <w:tcPr>
            <w:tcW w:w="2600" w:type="dxa"/>
            <w:shd w:val="clear" w:color="auto" w:fill="D9E2F3"/>
            <w:tcMar>
              <w:top w:w="100" w:type="dxa"/>
              <w:left w:w="120" w:type="dxa"/>
              <w:bottom w:w="100" w:type="dxa"/>
              <w:right w:w="120" w:type="dxa"/>
            </w:tcMar>
          </w:tcPr>
          <w:p w14:paraId="51B5EF1A"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b/>
                <w:bCs/>
                <w:sz w:val="22"/>
                <w:szCs w:val="22"/>
              </w:rPr>
              <w:t>KPI</w:t>
            </w:r>
          </w:p>
        </w:tc>
        <w:tc>
          <w:tcPr>
            <w:tcW w:w="2600" w:type="dxa"/>
            <w:shd w:val="clear" w:color="auto" w:fill="D9E2F3"/>
            <w:tcMar>
              <w:top w:w="100" w:type="dxa"/>
              <w:left w:w="120" w:type="dxa"/>
              <w:bottom w:w="100" w:type="dxa"/>
              <w:right w:w="120" w:type="dxa"/>
            </w:tcMar>
          </w:tcPr>
          <w:p w14:paraId="51B5EF1B"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b/>
                <w:bCs/>
                <w:sz w:val="22"/>
                <w:szCs w:val="22"/>
              </w:rPr>
              <w:t>Target</w:t>
            </w:r>
          </w:p>
        </w:tc>
      </w:tr>
      <w:tr w:rsidR="00466F20" w:rsidRPr="00A50E4A" w14:paraId="51B5EF20" w14:textId="77777777">
        <w:tc>
          <w:tcPr>
            <w:tcW w:w="2600" w:type="dxa"/>
            <w:tcMar>
              <w:top w:w="100" w:type="dxa"/>
              <w:left w:w="120" w:type="dxa"/>
              <w:bottom w:w="100" w:type="dxa"/>
              <w:right w:w="120" w:type="dxa"/>
            </w:tcMar>
          </w:tcPr>
          <w:p w14:paraId="51B5EF1D"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Increase IoT revenue</w:t>
            </w:r>
          </w:p>
        </w:tc>
        <w:tc>
          <w:tcPr>
            <w:tcW w:w="2600" w:type="dxa"/>
            <w:tcMar>
              <w:top w:w="100" w:type="dxa"/>
              <w:left w:w="120" w:type="dxa"/>
              <w:bottom w:w="100" w:type="dxa"/>
              <w:right w:w="120" w:type="dxa"/>
            </w:tcMar>
          </w:tcPr>
          <w:p w14:paraId="51B5EF1E"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Revenue from IoT services</w:t>
            </w:r>
          </w:p>
        </w:tc>
        <w:tc>
          <w:tcPr>
            <w:tcW w:w="2600" w:type="dxa"/>
            <w:tcMar>
              <w:top w:w="100" w:type="dxa"/>
              <w:left w:w="120" w:type="dxa"/>
              <w:bottom w:w="100" w:type="dxa"/>
              <w:right w:w="120" w:type="dxa"/>
            </w:tcMar>
          </w:tcPr>
          <w:p w14:paraId="51B5EF1F"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+20% within 3 years</w:t>
            </w:r>
          </w:p>
        </w:tc>
      </w:tr>
      <w:tr w:rsidR="00466F20" w:rsidRPr="00A50E4A" w14:paraId="51B5EF24" w14:textId="77777777">
        <w:tc>
          <w:tcPr>
            <w:tcW w:w="2600" w:type="dxa"/>
            <w:tcMar>
              <w:top w:w="100" w:type="dxa"/>
              <w:left w:w="120" w:type="dxa"/>
              <w:bottom w:w="100" w:type="dxa"/>
              <w:right w:w="120" w:type="dxa"/>
            </w:tcMar>
          </w:tcPr>
          <w:p w14:paraId="51B5EF21"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Expand Smart City projects</w:t>
            </w:r>
          </w:p>
        </w:tc>
        <w:tc>
          <w:tcPr>
            <w:tcW w:w="2600" w:type="dxa"/>
            <w:tcMar>
              <w:top w:w="100" w:type="dxa"/>
              <w:left w:w="120" w:type="dxa"/>
              <w:bottom w:w="100" w:type="dxa"/>
              <w:right w:w="120" w:type="dxa"/>
            </w:tcMar>
          </w:tcPr>
          <w:p w14:paraId="51B5EF22"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Number of active partnerships</w:t>
            </w:r>
          </w:p>
        </w:tc>
        <w:tc>
          <w:tcPr>
            <w:tcW w:w="2600" w:type="dxa"/>
            <w:tcMar>
              <w:top w:w="100" w:type="dxa"/>
              <w:left w:w="120" w:type="dxa"/>
              <w:bottom w:w="100" w:type="dxa"/>
              <w:right w:w="120" w:type="dxa"/>
            </w:tcMar>
          </w:tcPr>
          <w:p w14:paraId="51B5EF23"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15 partnerships by 2030</w:t>
            </w:r>
          </w:p>
        </w:tc>
      </w:tr>
      <w:tr w:rsidR="00466F20" w:rsidRPr="00A50E4A" w14:paraId="51B5EF28" w14:textId="77777777">
        <w:tc>
          <w:tcPr>
            <w:tcW w:w="2600" w:type="dxa"/>
            <w:tcMar>
              <w:top w:w="100" w:type="dxa"/>
              <w:left w:w="120" w:type="dxa"/>
              <w:bottom w:w="100" w:type="dxa"/>
              <w:right w:w="120" w:type="dxa"/>
            </w:tcMar>
          </w:tcPr>
          <w:p w14:paraId="51B5EF25"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Grow enterprise customer base</w:t>
            </w:r>
          </w:p>
        </w:tc>
        <w:tc>
          <w:tcPr>
            <w:tcW w:w="2600" w:type="dxa"/>
            <w:tcMar>
              <w:top w:w="100" w:type="dxa"/>
              <w:left w:w="120" w:type="dxa"/>
              <w:bottom w:w="100" w:type="dxa"/>
              <w:right w:w="120" w:type="dxa"/>
            </w:tcMar>
          </w:tcPr>
          <w:p w14:paraId="51B5EF26"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Enterprise IoT customers</w:t>
            </w:r>
          </w:p>
        </w:tc>
        <w:tc>
          <w:tcPr>
            <w:tcW w:w="2600" w:type="dxa"/>
            <w:tcMar>
              <w:top w:w="100" w:type="dxa"/>
              <w:left w:w="120" w:type="dxa"/>
              <w:bottom w:w="100" w:type="dxa"/>
              <w:right w:w="120" w:type="dxa"/>
            </w:tcMar>
          </w:tcPr>
          <w:p w14:paraId="51B5EF27"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+25% within 3 years</w:t>
            </w:r>
          </w:p>
        </w:tc>
      </w:tr>
      <w:tr w:rsidR="00466F20" w:rsidRPr="00A50E4A" w14:paraId="51B5EF2C" w14:textId="77777777">
        <w:tc>
          <w:tcPr>
            <w:tcW w:w="2600" w:type="dxa"/>
            <w:tcMar>
              <w:top w:w="100" w:type="dxa"/>
              <w:left w:w="120" w:type="dxa"/>
              <w:bottom w:w="100" w:type="dxa"/>
              <w:right w:w="120" w:type="dxa"/>
            </w:tcMar>
          </w:tcPr>
          <w:p w14:paraId="51B5EF29"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Improve network capability</w:t>
            </w:r>
          </w:p>
        </w:tc>
        <w:tc>
          <w:tcPr>
            <w:tcW w:w="2600" w:type="dxa"/>
            <w:tcMar>
              <w:top w:w="100" w:type="dxa"/>
              <w:left w:w="120" w:type="dxa"/>
              <w:bottom w:w="100" w:type="dxa"/>
              <w:right w:w="120" w:type="dxa"/>
            </w:tcMar>
          </w:tcPr>
          <w:p w14:paraId="51B5EF2A"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5G coverage</w:t>
            </w:r>
          </w:p>
        </w:tc>
        <w:tc>
          <w:tcPr>
            <w:tcW w:w="2600" w:type="dxa"/>
            <w:tcMar>
              <w:top w:w="100" w:type="dxa"/>
              <w:left w:w="120" w:type="dxa"/>
              <w:bottom w:w="100" w:type="dxa"/>
              <w:right w:w="120" w:type="dxa"/>
            </w:tcMar>
          </w:tcPr>
          <w:p w14:paraId="51B5EF2B"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95% coverage in target areas</w:t>
            </w:r>
          </w:p>
        </w:tc>
      </w:tr>
      <w:tr w:rsidR="00466F20" w:rsidRPr="00A50E4A" w14:paraId="51B5EF30" w14:textId="77777777">
        <w:tc>
          <w:tcPr>
            <w:tcW w:w="2600" w:type="dxa"/>
            <w:tcMar>
              <w:top w:w="100" w:type="dxa"/>
              <w:left w:w="120" w:type="dxa"/>
              <w:bottom w:w="100" w:type="dxa"/>
              <w:right w:w="120" w:type="dxa"/>
            </w:tcMar>
          </w:tcPr>
          <w:p w14:paraId="51B5EF2D"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lastRenderedPageBreak/>
              <w:t>Maintain service quality</w:t>
            </w:r>
          </w:p>
        </w:tc>
        <w:tc>
          <w:tcPr>
            <w:tcW w:w="2600" w:type="dxa"/>
            <w:tcMar>
              <w:top w:w="100" w:type="dxa"/>
              <w:left w:w="120" w:type="dxa"/>
              <w:bottom w:w="100" w:type="dxa"/>
              <w:right w:w="120" w:type="dxa"/>
            </w:tcMar>
          </w:tcPr>
          <w:p w14:paraId="51B5EF2E"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Customer satisfaction score</w:t>
            </w:r>
          </w:p>
        </w:tc>
        <w:tc>
          <w:tcPr>
            <w:tcW w:w="2600" w:type="dxa"/>
            <w:tcMar>
              <w:top w:w="100" w:type="dxa"/>
              <w:left w:w="120" w:type="dxa"/>
              <w:bottom w:w="100" w:type="dxa"/>
              <w:right w:w="120" w:type="dxa"/>
            </w:tcMar>
          </w:tcPr>
          <w:p w14:paraId="51B5EF2F" w14:textId="77777777" w:rsidR="00466F20" w:rsidRPr="00A50E4A" w:rsidRDefault="006A1C32" w:rsidP="00615F2E">
            <w:pPr>
              <w:spacing w:line="360" w:lineRule="auto"/>
              <w:rPr>
                <w:rFonts w:ascii="Arial" w:hAnsi="Arial" w:cs="Arial"/>
                <w:sz w:val="22"/>
                <w:szCs w:val="22"/>
              </w:rPr>
            </w:pPr>
            <w:r w:rsidRPr="00A50E4A">
              <w:rPr>
                <w:rFonts w:ascii="Arial" w:eastAsia="Calibri" w:hAnsi="Arial" w:cs="Arial"/>
                <w:sz w:val="22"/>
                <w:szCs w:val="22"/>
              </w:rPr>
              <w:t>Above 90%</w:t>
            </w:r>
          </w:p>
        </w:tc>
      </w:tr>
    </w:tbl>
    <w:p w14:paraId="51B5EF31" w14:textId="77777777" w:rsidR="00466F20" w:rsidRPr="00A50E4A" w:rsidRDefault="00466F20" w:rsidP="00615F2E">
      <w:pPr>
        <w:spacing w:after="200" w:line="360" w:lineRule="auto"/>
        <w:rPr>
          <w:rFonts w:ascii="Arial" w:hAnsi="Arial" w:cs="Arial"/>
          <w:sz w:val="22"/>
          <w:szCs w:val="22"/>
        </w:rPr>
      </w:pPr>
    </w:p>
    <w:p w14:paraId="51B5EF32" w14:textId="77777777" w:rsidR="00466F20" w:rsidRPr="00A50E4A" w:rsidRDefault="006A1C32" w:rsidP="00733385">
      <w:pPr>
        <w:spacing w:after="160" w:line="360" w:lineRule="auto"/>
        <w:ind w:firstLine="720"/>
        <w:rPr>
          <w:rFonts w:ascii="Arial" w:eastAsia="Calibri" w:hAnsi="Arial" w:cs="Arial"/>
          <w:sz w:val="22"/>
          <w:szCs w:val="22"/>
        </w:rPr>
      </w:pPr>
      <w:r w:rsidRPr="00A50E4A">
        <w:rPr>
          <w:rFonts w:ascii="Arial" w:eastAsia="Calibri" w:hAnsi="Arial" w:cs="Arial"/>
          <w:sz w:val="22"/>
          <w:szCs w:val="22"/>
        </w:rPr>
        <w:t>The targets above are assumptions, not published Vodafone commitments. Baselines should be set from current enterprise IoT revenue and satisfaction scores at the 2026 review, with satisfaction measured through an existing tracked metric rather than a new survey, so that the percentages are auditable. Risk management should be built in from the outset: cybersecurity threats, slower adoption, regulatory change and integration challenges are mitigated through regular security reviews, close regulatory engagement and sustained training investment. Phased monitoring increases the likelihood of success while limiting exposure if demand, trust or regulation do not develop as expected.</w:t>
      </w:r>
    </w:p>
    <w:p w14:paraId="12592286" w14:textId="77777777" w:rsidR="00733385" w:rsidRPr="00A50E4A" w:rsidRDefault="00733385" w:rsidP="00733385">
      <w:pPr>
        <w:spacing w:after="160" w:line="360" w:lineRule="auto"/>
        <w:ind w:firstLine="720"/>
        <w:rPr>
          <w:rFonts w:ascii="Arial" w:eastAsia="Calibri" w:hAnsi="Arial" w:cs="Arial"/>
          <w:sz w:val="22"/>
          <w:szCs w:val="22"/>
        </w:rPr>
      </w:pPr>
    </w:p>
    <w:p w14:paraId="6976168B" w14:textId="77777777" w:rsidR="00733385" w:rsidRPr="00A50E4A" w:rsidRDefault="00733385" w:rsidP="00733385">
      <w:pPr>
        <w:spacing w:after="160" w:line="360" w:lineRule="auto"/>
        <w:ind w:firstLine="720"/>
        <w:rPr>
          <w:rFonts w:ascii="Arial" w:eastAsia="Calibri" w:hAnsi="Arial" w:cs="Arial"/>
          <w:sz w:val="22"/>
          <w:szCs w:val="22"/>
        </w:rPr>
      </w:pPr>
    </w:p>
    <w:p w14:paraId="5FEAD0AA" w14:textId="77777777" w:rsidR="00733385" w:rsidRPr="00A50E4A" w:rsidRDefault="00733385" w:rsidP="00733385">
      <w:pPr>
        <w:spacing w:after="160" w:line="360" w:lineRule="auto"/>
        <w:ind w:firstLine="720"/>
        <w:rPr>
          <w:rFonts w:ascii="Arial" w:eastAsia="Calibri" w:hAnsi="Arial" w:cs="Arial"/>
          <w:sz w:val="22"/>
          <w:szCs w:val="22"/>
        </w:rPr>
      </w:pPr>
    </w:p>
    <w:p w14:paraId="0606D6F6" w14:textId="77777777" w:rsidR="00733385" w:rsidRPr="00A50E4A" w:rsidRDefault="00733385" w:rsidP="00733385">
      <w:pPr>
        <w:spacing w:after="160" w:line="360" w:lineRule="auto"/>
        <w:ind w:firstLine="720"/>
        <w:rPr>
          <w:rFonts w:ascii="Arial" w:eastAsia="Calibri" w:hAnsi="Arial" w:cs="Arial"/>
          <w:sz w:val="22"/>
          <w:szCs w:val="22"/>
        </w:rPr>
      </w:pPr>
    </w:p>
    <w:p w14:paraId="48DF06A8" w14:textId="77777777" w:rsidR="00733385" w:rsidRPr="00A50E4A" w:rsidRDefault="00733385" w:rsidP="00733385">
      <w:pPr>
        <w:spacing w:after="160" w:line="360" w:lineRule="auto"/>
        <w:ind w:firstLine="720"/>
        <w:rPr>
          <w:rFonts w:ascii="Arial" w:eastAsia="Calibri" w:hAnsi="Arial" w:cs="Arial"/>
          <w:sz w:val="22"/>
          <w:szCs w:val="22"/>
        </w:rPr>
      </w:pPr>
    </w:p>
    <w:p w14:paraId="77D34501" w14:textId="77777777" w:rsidR="00733385" w:rsidRPr="00A50E4A" w:rsidRDefault="00733385" w:rsidP="00733385">
      <w:pPr>
        <w:spacing w:after="160" w:line="360" w:lineRule="auto"/>
        <w:ind w:firstLine="720"/>
        <w:rPr>
          <w:rFonts w:ascii="Arial" w:eastAsia="Calibri" w:hAnsi="Arial" w:cs="Arial"/>
          <w:sz w:val="22"/>
          <w:szCs w:val="22"/>
        </w:rPr>
      </w:pPr>
    </w:p>
    <w:p w14:paraId="6C5F876C" w14:textId="77777777" w:rsidR="00733385" w:rsidRPr="00A50E4A" w:rsidRDefault="00733385" w:rsidP="00733385">
      <w:pPr>
        <w:spacing w:after="160" w:line="360" w:lineRule="auto"/>
        <w:ind w:firstLine="720"/>
        <w:rPr>
          <w:rFonts w:ascii="Arial" w:eastAsia="Calibri" w:hAnsi="Arial" w:cs="Arial"/>
          <w:sz w:val="22"/>
          <w:szCs w:val="22"/>
        </w:rPr>
      </w:pPr>
    </w:p>
    <w:p w14:paraId="1B9AE345" w14:textId="77777777" w:rsidR="00733385" w:rsidRPr="00A50E4A" w:rsidRDefault="00733385" w:rsidP="00733385">
      <w:pPr>
        <w:spacing w:after="160" w:line="360" w:lineRule="auto"/>
        <w:ind w:firstLine="720"/>
        <w:rPr>
          <w:rFonts w:ascii="Arial" w:eastAsia="Calibri" w:hAnsi="Arial" w:cs="Arial"/>
          <w:sz w:val="22"/>
          <w:szCs w:val="22"/>
        </w:rPr>
      </w:pPr>
    </w:p>
    <w:p w14:paraId="454E73B5" w14:textId="77777777" w:rsidR="00733385" w:rsidRPr="00A50E4A" w:rsidRDefault="00733385" w:rsidP="00733385">
      <w:pPr>
        <w:spacing w:after="160" w:line="360" w:lineRule="auto"/>
        <w:ind w:firstLine="720"/>
        <w:rPr>
          <w:rFonts w:ascii="Arial" w:eastAsia="Calibri" w:hAnsi="Arial" w:cs="Arial"/>
          <w:sz w:val="22"/>
          <w:szCs w:val="22"/>
        </w:rPr>
      </w:pPr>
    </w:p>
    <w:p w14:paraId="079D55BC" w14:textId="77777777" w:rsidR="00733385" w:rsidRPr="00A50E4A" w:rsidRDefault="00733385" w:rsidP="00733385">
      <w:pPr>
        <w:spacing w:after="160" w:line="360" w:lineRule="auto"/>
        <w:ind w:firstLine="720"/>
        <w:rPr>
          <w:rFonts w:ascii="Arial" w:eastAsia="Calibri" w:hAnsi="Arial" w:cs="Arial"/>
          <w:sz w:val="22"/>
          <w:szCs w:val="22"/>
        </w:rPr>
      </w:pPr>
    </w:p>
    <w:p w14:paraId="1715C13A" w14:textId="77777777" w:rsidR="00733385" w:rsidRPr="00A50E4A" w:rsidRDefault="00733385" w:rsidP="00733385">
      <w:pPr>
        <w:spacing w:after="160" w:line="360" w:lineRule="auto"/>
        <w:ind w:firstLine="720"/>
        <w:rPr>
          <w:rFonts w:ascii="Arial" w:eastAsia="Calibri" w:hAnsi="Arial" w:cs="Arial"/>
          <w:sz w:val="22"/>
          <w:szCs w:val="22"/>
        </w:rPr>
      </w:pPr>
    </w:p>
    <w:p w14:paraId="4D4AE9CA" w14:textId="77777777" w:rsidR="00733385" w:rsidRPr="00A50E4A" w:rsidRDefault="00733385" w:rsidP="00733385">
      <w:pPr>
        <w:spacing w:after="160" w:line="360" w:lineRule="auto"/>
        <w:ind w:firstLine="720"/>
        <w:rPr>
          <w:rFonts w:ascii="Arial" w:eastAsia="Calibri" w:hAnsi="Arial" w:cs="Arial"/>
          <w:sz w:val="22"/>
          <w:szCs w:val="22"/>
        </w:rPr>
      </w:pPr>
    </w:p>
    <w:p w14:paraId="365A82EE" w14:textId="77777777" w:rsidR="00733385" w:rsidRPr="00A50E4A" w:rsidRDefault="00733385" w:rsidP="00733385">
      <w:pPr>
        <w:spacing w:after="160" w:line="360" w:lineRule="auto"/>
        <w:ind w:firstLine="720"/>
        <w:rPr>
          <w:rFonts w:ascii="Arial" w:eastAsia="Calibri" w:hAnsi="Arial" w:cs="Arial"/>
          <w:sz w:val="22"/>
          <w:szCs w:val="22"/>
        </w:rPr>
      </w:pPr>
    </w:p>
    <w:p w14:paraId="2B4C2DCD" w14:textId="77777777" w:rsidR="00733385" w:rsidRPr="00A50E4A" w:rsidRDefault="00733385" w:rsidP="00733385">
      <w:pPr>
        <w:spacing w:after="160" w:line="360" w:lineRule="auto"/>
        <w:ind w:firstLine="720"/>
        <w:rPr>
          <w:rFonts w:ascii="Arial" w:eastAsia="Calibri" w:hAnsi="Arial" w:cs="Arial"/>
          <w:sz w:val="22"/>
          <w:szCs w:val="22"/>
        </w:rPr>
      </w:pPr>
    </w:p>
    <w:p w14:paraId="411FA80B" w14:textId="77777777" w:rsidR="00733385" w:rsidRPr="00A50E4A" w:rsidRDefault="00733385" w:rsidP="00733385">
      <w:pPr>
        <w:spacing w:after="160" w:line="360" w:lineRule="auto"/>
        <w:ind w:firstLine="720"/>
        <w:rPr>
          <w:rFonts w:ascii="Arial" w:eastAsia="Calibri" w:hAnsi="Arial" w:cs="Arial"/>
          <w:sz w:val="22"/>
          <w:szCs w:val="22"/>
        </w:rPr>
      </w:pPr>
    </w:p>
    <w:p w14:paraId="70AF1D15" w14:textId="77777777" w:rsidR="00733385" w:rsidRPr="00A50E4A" w:rsidRDefault="00733385" w:rsidP="00733385">
      <w:pPr>
        <w:spacing w:after="160" w:line="360" w:lineRule="auto"/>
        <w:ind w:firstLine="720"/>
        <w:rPr>
          <w:rFonts w:ascii="Arial" w:eastAsia="Calibri" w:hAnsi="Arial" w:cs="Arial"/>
          <w:sz w:val="22"/>
          <w:szCs w:val="22"/>
        </w:rPr>
      </w:pPr>
    </w:p>
    <w:p w14:paraId="38190E07" w14:textId="77777777" w:rsidR="00733385" w:rsidRPr="00A50E4A" w:rsidRDefault="00733385" w:rsidP="00733385">
      <w:pPr>
        <w:spacing w:after="160" w:line="360" w:lineRule="auto"/>
        <w:ind w:firstLine="720"/>
        <w:rPr>
          <w:rFonts w:ascii="Arial" w:eastAsia="Calibri" w:hAnsi="Arial" w:cs="Arial"/>
          <w:sz w:val="22"/>
          <w:szCs w:val="22"/>
        </w:rPr>
      </w:pPr>
    </w:p>
    <w:p w14:paraId="79824D79" w14:textId="77777777" w:rsidR="00733385" w:rsidRPr="00A50E4A" w:rsidRDefault="00733385" w:rsidP="00733385">
      <w:pPr>
        <w:spacing w:after="160" w:line="360" w:lineRule="auto"/>
        <w:ind w:firstLine="720"/>
        <w:rPr>
          <w:rFonts w:ascii="Arial" w:eastAsia="Calibri" w:hAnsi="Arial" w:cs="Arial"/>
          <w:sz w:val="22"/>
          <w:szCs w:val="22"/>
        </w:rPr>
      </w:pPr>
    </w:p>
    <w:p w14:paraId="2011B707" w14:textId="77777777" w:rsidR="00733385" w:rsidRPr="00A50E4A" w:rsidRDefault="00733385" w:rsidP="00733385">
      <w:pPr>
        <w:spacing w:after="160" w:line="360" w:lineRule="auto"/>
        <w:ind w:firstLine="720"/>
        <w:rPr>
          <w:rFonts w:ascii="Arial" w:eastAsia="Calibri" w:hAnsi="Arial" w:cs="Arial"/>
          <w:sz w:val="22"/>
          <w:szCs w:val="22"/>
        </w:rPr>
      </w:pPr>
    </w:p>
    <w:p w14:paraId="47618007" w14:textId="77777777" w:rsidR="00733385" w:rsidRPr="00A50E4A" w:rsidRDefault="00733385" w:rsidP="00733385">
      <w:pPr>
        <w:spacing w:after="160" w:line="360" w:lineRule="auto"/>
        <w:ind w:firstLine="720"/>
        <w:rPr>
          <w:rFonts w:ascii="Arial" w:hAnsi="Arial" w:cs="Arial"/>
          <w:sz w:val="22"/>
          <w:szCs w:val="22"/>
        </w:rPr>
      </w:pPr>
    </w:p>
    <w:p w14:paraId="51B5EF33" w14:textId="77777777" w:rsidR="00466F20" w:rsidRPr="00A50E4A" w:rsidRDefault="006A1C32" w:rsidP="00733385">
      <w:pPr>
        <w:pStyle w:val="Heading1"/>
        <w:spacing w:before="280" w:after="160" w:line="360" w:lineRule="auto"/>
        <w:jc w:val="center"/>
        <w:rPr>
          <w:rFonts w:ascii="Arial" w:hAnsi="Arial" w:cs="Arial"/>
          <w:b/>
          <w:bCs/>
          <w:color w:val="auto"/>
          <w:sz w:val="22"/>
          <w:szCs w:val="22"/>
        </w:rPr>
      </w:pPr>
      <w:r w:rsidRPr="00A50E4A">
        <w:rPr>
          <w:rFonts w:ascii="Arial" w:hAnsi="Arial" w:cs="Arial"/>
          <w:b/>
          <w:bCs/>
          <w:color w:val="auto"/>
          <w:sz w:val="22"/>
          <w:szCs w:val="22"/>
        </w:rPr>
        <w:t>8. Conclusion</w:t>
      </w:r>
    </w:p>
    <w:p w14:paraId="51B5EF34" w14:textId="77777777" w:rsidR="00466F20" w:rsidRPr="00A50E4A" w:rsidRDefault="006A1C32" w:rsidP="00733385">
      <w:pPr>
        <w:spacing w:after="160" w:line="360" w:lineRule="auto"/>
        <w:ind w:firstLine="720"/>
        <w:rPr>
          <w:rFonts w:ascii="Arial" w:hAnsi="Arial" w:cs="Arial"/>
          <w:sz w:val="22"/>
          <w:szCs w:val="22"/>
        </w:rPr>
      </w:pPr>
      <w:r w:rsidRPr="00A50E4A">
        <w:rPr>
          <w:rFonts w:ascii="Arial" w:eastAsia="Calibri" w:hAnsi="Arial" w:cs="Arial"/>
          <w:sz w:val="22"/>
          <w:szCs w:val="22"/>
        </w:rPr>
        <w:t>This report evaluated Vodafone's position after its merger with Three UK. Scale and 5G investment are set against intensifying competition, rising expectations and a commoditising core business – pressures the merger alone does not resolve.</w:t>
      </w:r>
    </w:p>
    <w:p w14:paraId="51B5EF35" w14:textId="77777777" w:rsidR="00466F20" w:rsidRPr="00A50E4A" w:rsidRDefault="006A1C32" w:rsidP="00733385">
      <w:pPr>
        <w:spacing w:after="160" w:line="360" w:lineRule="auto"/>
        <w:ind w:firstLine="720"/>
        <w:rPr>
          <w:rFonts w:ascii="Arial" w:hAnsi="Arial" w:cs="Arial"/>
          <w:sz w:val="22"/>
          <w:szCs w:val="22"/>
        </w:rPr>
      </w:pPr>
      <w:r w:rsidRPr="00A50E4A">
        <w:rPr>
          <w:rFonts w:ascii="Arial" w:eastAsia="Calibri" w:hAnsi="Arial" w:cs="Arial"/>
          <w:sz w:val="22"/>
          <w:szCs w:val="22"/>
        </w:rPr>
        <w:t>Using PESTLE, Five Forces, SWOT, Ansoff's Matrix and SFA, product development through 5G-enabled IoT and Smart City solutions emerged as the most appropriate option, since it reaches structural weaknesses that market penetration and market development cannot. This conclusion is qualified: slower-than-forecast public-sector adoption, cybersecurity and trust failures, and the cost of capability-building are realistic risks, not just caveats for balance.</w:t>
      </w:r>
    </w:p>
    <w:p w14:paraId="51B5EF36" w14:textId="77777777" w:rsidR="00466F20" w:rsidRPr="00A50E4A" w:rsidRDefault="006A1C32" w:rsidP="00733385">
      <w:pPr>
        <w:spacing w:after="160" w:line="360" w:lineRule="auto"/>
        <w:ind w:firstLine="720"/>
        <w:rPr>
          <w:rFonts w:ascii="Arial" w:eastAsia="Calibri" w:hAnsi="Arial" w:cs="Arial"/>
          <w:sz w:val="22"/>
          <w:szCs w:val="22"/>
        </w:rPr>
      </w:pPr>
      <w:r w:rsidRPr="00A50E4A">
        <w:rPr>
          <w:rFonts w:ascii="Arial" w:eastAsia="Calibri" w:hAnsi="Arial" w:cs="Arial"/>
          <w:sz w:val="22"/>
          <w:szCs w:val="22"/>
        </w:rPr>
        <w:t>Overall, the proposed strategy gives Vodafone a realistic and evidence-based route to sustainable growth beyond a maturing core market, while recognising that long-term success will depend on execution, cybersecurity and stakeholder trust.</w:t>
      </w:r>
    </w:p>
    <w:p w14:paraId="067EED99" w14:textId="77777777" w:rsidR="00733385" w:rsidRPr="00A50E4A" w:rsidRDefault="00733385" w:rsidP="00733385">
      <w:pPr>
        <w:spacing w:after="160" w:line="360" w:lineRule="auto"/>
        <w:ind w:firstLine="720"/>
        <w:rPr>
          <w:rFonts w:ascii="Arial" w:eastAsia="Calibri" w:hAnsi="Arial" w:cs="Arial"/>
          <w:sz w:val="22"/>
          <w:szCs w:val="22"/>
        </w:rPr>
      </w:pPr>
    </w:p>
    <w:p w14:paraId="602EF524" w14:textId="77777777" w:rsidR="00733385" w:rsidRPr="00A50E4A" w:rsidRDefault="00733385" w:rsidP="00733385">
      <w:pPr>
        <w:spacing w:after="160" w:line="360" w:lineRule="auto"/>
        <w:ind w:firstLine="720"/>
        <w:rPr>
          <w:rFonts w:ascii="Arial" w:eastAsia="Calibri" w:hAnsi="Arial" w:cs="Arial"/>
          <w:sz w:val="22"/>
          <w:szCs w:val="22"/>
        </w:rPr>
      </w:pPr>
    </w:p>
    <w:p w14:paraId="256436C3" w14:textId="77777777" w:rsidR="00733385" w:rsidRPr="00A50E4A" w:rsidRDefault="00733385" w:rsidP="00733385">
      <w:pPr>
        <w:spacing w:after="160" w:line="360" w:lineRule="auto"/>
        <w:ind w:firstLine="720"/>
        <w:rPr>
          <w:rFonts w:ascii="Arial" w:eastAsia="Calibri" w:hAnsi="Arial" w:cs="Arial"/>
          <w:sz w:val="22"/>
          <w:szCs w:val="22"/>
        </w:rPr>
      </w:pPr>
    </w:p>
    <w:p w14:paraId="581B26BB" w14:textId="77777777" w:rsidR="00733385" w:rsidRPr="00A50E4A" w:rsidRDefault="00733385" w:rsidP="00733385">
      <w:pPr>
        <w:spacing w:after="160" w:line="360" w:lineRule="auto"/>
        <w:ind w:firstLine="720"/>
        <w:rPr>
          <w:rFonts w:ascii="Arial" w:eastAsia="Calibri" w:hAnsi="Arial" w:cs="Arial"/>
          <w:sz w:val="22"/>
          <w:szCs w:val="22"/>
        </w:rPr>
      </w:pPr>
    </w:p>
    <w:p w14:paraId="1B686305" w14:textId="77777777" w:rsidR="00733385" w:rsidRPr="00A50E4A" w:rsidRDefault="00733385" w:rsidP="00733385">
      <w:pPr>
        <w:spacing w:after="160" w:line="360" w:lineRule="auto"/>
        <w:ind w:firstLine="720"/>
        <w:rPr>
          <w:rFonts w:ascii="Arial" w:eastAsia="Calibri" w:hAnsi="Arial" w:cs="Arial"/>
          <w:sz w:val="22"/>
          <w:szCs w:val="22"/>
        </w:rPr>
      </w:pPr>
    </w:p>
    <w:p w14:paraId="62D43D00" w14:textId="77777777" w:rsidR="00733385" w:rsidRPr="00A50E4A" w:rsidRDefault="00733385" w:rsidP="00733385">
      <w:pPr>
        <w:spacing w:after="160" w:line="360" w:lineRule="auto"/>
        <w:ind w:firstLine="720"/>
        <w:rPr>
          <w:rFonts w:ascii="Arial" w:eastAsia="Calibri" w:hAnsi="Arial" w:cs="Arial"/>
          <w:sz w:val="22"/>
          <w:szCs w:val="22"/>
        </w:rPr>
      </w:pPr>
    </w:p>
    <w:p w14:paraId="264A264B" w14:textId="77777777" w:rsidR="00733385" w:rsidRPr="00A50E4A" w:rsidRDefault="00733385" w:rsidP="00733385">
      <w:pPr>
        <w:spacing w:after="160" w:line="360" w:lineRule="auto"/>
        <w:ind w:firstLine="720"/>
        <w:rPr>
          <w:rFonts w:ascii="Arial" w:eastAsia="Calibri" w:hAnsi="Arial" w:cs="Arial"/>
          <w:sz w:val="22"/>
          <w:szCs w:val="22"/>
        </w:rPr>
      </w:pPr>
    </w:p>
    <w:p w14:paraId="2B9AC709" w14:textId="77777777" w:rsidR="00733385" w:rsidRPr="00A50E4A" w:rsidRDefault="00733385" w:rsidP="00733385">
      <w:pPr>
        <w:spacing w:after="160" w:line="360" w:lineRule="auto"/>
        <w:ind w:firstLine="720"/>
        <w:rPr>
          <w:rFonts w:ascii="Arial" w:eastAsia="Calibri" w:hAnsi="Arial" w:cs="Arial"/>
          <w:sz w:val="22"/>
          <w:szCs w:val="22"/>
        </w:rPr>
      </w:pPr>
    </w:p>
    <w:p w14:paraId="022C0D27" w14:textId="77777777" w:rsidR="00733385" w:rsidRPr="00A50E4A" w:rsidRDefault="00733385" w:rsidP="00733385">
      <w:pPr>
        <w:spacing w:after="160" w:line="360" w:lineRule="auto"/>
        <w:ind w:firstLine="720"/>
        <w:rPr>
          <w:rFonts w:ascii="Arial" w:eastAsia="Calibri" w:hAnsi="Arial" w:cs="Arial"/>
          <w:sz w:val="22"/>
          <w:szCs w:val="22"/>
        </w:rPr>
      </w:pPr>
    </w:p>
    <w:p w14:paraId="2084EAAB" w14:textId="77777777" w:rsidR="00733385" w:rsidRPr="00A50E4A" w:rsidRDefault="00733385" w:rsidP="00733385">
      <w:pPr>
        <w:spacing w:after="160" w:line="360" w:lineRule="auto"/>
        <w:ind w:firstLine="720"/>
        <w:rPr>
          <w:rFonts w:ascii="Arial" w:eastAsia="Calibri" w:hAnsi="Arial" w:cs="Arial"/>
          <w:sz w:val="22"/>
          <w:szCs w:val="22"/>
        </w:rPr>
      </w:pPr>
    </w:p>
    <w:p w14:paraId="689393D6" w14:textId="77777777" w:rsidR="00733385" w:rsidRPr="00A50E4A" w:rsidRDefault="00733385" w:rsidP="00733385">
      <w:pPr>
        <w:spacing w:after="160" w:line="360" w:lineRule="auto"/>
        <w:ind w:firstLine="720"/>
        <w:rPr>
          <w:rFonts w:ascii="Arial" w:eastAsia="Calibri" w:hAnsi="Arial" w:cs="Arial"/>
          <w:sz w:val="22"/>
          <w:szCs w:val="22"/>
        </w:rPr>
      </w:pPr>
    </w:p>
    <w:p w14:paraId="659E830D" w14:textId="77777777" w:rsidR="00733385" w:rsidRPr="00A50E4A" w:rsidRDefault="00733385" w:rsidP="00733385">
      <w:pPr>
        <w:spacing w:after="160" w:line="360" w:lineRule="auto"/>
        <w:ind w:firstLine="720"/>
        <w:rPr>
          <w:rFonts w:ascii="Arial" w:eastAsia="Calibri" w:hAnsi="Arial" w:cs="Arial"/>
          <w:sz w:val="22"/>
          <w:szCs w:val="22"/>
        </w:rPr>
      </w:pPr>
    </w:p>
    <w:p w14:paraId="33ADB222" w14:textId="77777777" w:rsidR="00733385" w:rsidRPr="00A50E4A" w:rsidRDefault="00733385" w:rsidP="00733385">
      <w:pPr>
        <w:spacing w:after="160" w:line="360" w:lineRule="auto"/>
        <w:ind w:firstLine="720"/>
        <w:rPr>
          <w:rFonts w:ascii="Arial" w:eastAsia="Calibri" w:hAnsi="Arial" w:cs="Arial"/>
          <w:sz w:val="22"/>
          <w:szCs w:val="22"/>
        </w:rPr>
      </w:pPr>
    </w:p>
    <w:p w14:paraId="365E8BD9" w14:textId="77777777" w:rsidR="00733385" w:rsidRPr="00A50E4A" w:rsidRDefault="00733385" w:rsidP="00733385">
      <w:pPr>
        <w:spacing w:after="160" w:line="360" w:lineRule="auto"/>
        <w:ind w:firstLine="720"/>
        <w:rPr>
          <w:rFonts w:ascii="Arial" w:eastAsia="Calibri" w:hAnsi="Arial" w:cs="Arial"/>
          <w:sz w:val="22"/>
          <w:szCs w:val="22"/>
        </w:rPr>
      </w:pPr>
    </w:p>
    <w:p w14:paraId="65FA5D7A" w14:textId="77777777" w:rsidR="00733385" w:rsidRPr="00A50E4A" w:rsidRDefault="00733385" w:rsidP="00733385">
      <w:pPr>
        <w:spacing w:after="160" w:line="360" w:lineRule="auto"/>
        <w:ind w:firstLine="720"/>
        <w:rPr>
          <w:rFonts w:ascii="Arial" w:eastAsia="Calibri" w:hAnsi="Arial" w:cs="Arial"/>
          <w:sz w:val="22"/>
          <w:szCs w:val="22"/>
        </w:rPr>
      </w:pPr>
    </w:p>
    <w:p w14:paraId="629E538D" w14:textId="77777777" w:rsidR="00733385" w:rsidRPr="00A50E4A" w:rsidRDefault="00733385" w:rsidP="00733385">
      <w:pPr>
        <w:spacing w:after="160" w:line="360" w:lineRule="auto"/>
        <w:ind w:firstLine="720"/>
        <w:rPr>
          <w:rFonts w:ascii="Arial" w:hAnsi="Arial" w:cs="Arial"/>
          <w:sz w:val="22"/>
          <w:szCs w:val="22"/>
        </w:rPr>
      </w:pPr>
    </w:p>
    <w:p w14:paraId="51B5EF37" w14:textId="77777777" w:rsidR="00466F20" w:rsidRPr="00A50E4A" w:rsidRDefault="006A1C32" w:rsidP="00733385">
      <w:pPr>
        <w:pStyle w:val="Heading1"/>
        <w:spacing w:before="280" w:after="160" w:line="360" w:lineRule="auto"/>
        <w:jc w:val="center"/>
        <w:rPr>
          <w:rFonts w:ascii="Arial" w:hAnsi="Arial" w:cs="Arial"/>
          <w:b/>
          <w:bCs/>
          <w:color w:val="auto"/>
          <w:sz w:val="22"/>
          <w:szCs w:val="22"/>
        </w:rPr>
      </w:pPr>
      <w:r w:rsidRPr="00A50E4A">
        <w:rPr>
          <w:rFonts w:ascii="Arial" w:hAnsi="Arial" w:cs="Arial"/>
          <w:b/>
          <w:bCs/>
          <w:color w:val="auto"/>
          <w:sz w:val="22"/>
          <w:szCs w:val="22"/>
        </w:rPr>
        <w:t>References</w:t>
      </w:r>
    </w:p>
    <w:p w14:paraId="51B5EF38" w14:textId="77777777" w:rsidR="00466F20" w:rsidRPr="00A50E4A" w:rsidRDefault="006A1C32" w:rsidP="00615F2E">
      <w:pPr>
        <w:spacing w:after="160" w:line="360" w:lineRule="auto"/>
        <w:rPr>
          <w:rFonts w:ascii="Arial" w:hAnsi="Arial" w:cs="Arial"/>
          <w:sz w:val="22"/>
          <w:szCs w:val="22"/>
        </w:rPr>
      </w:pPr>
      <w:r w:rsidRPr="00A50E4A">
        <w:rPr>
          <w:rFonts w:ascii="Arial" w:eastAsia="Calibri" w:hAnsi="Arial" w:cs="Arial"/>
          <w:sz w:val="22"/>
          <w:szCs w:val="22"/>
        </w:rPr>
        <w:t xml:space="preserve">Albino, V., Berardi, U. and Dangelico, R.M. (2015) 'Smart cities: Definitions, dimensions, performance and initiatives', </w:t>
      </w:r>
      <w:r w:rsidRPr="00A50E4A">
        <w:rPr>
          <w:rFonts w:ascii="Arial" w:eastAsia="Calibri" w:hAnsi="Arial" w:cs="Arial"/>
          <w:i/>
          <w:iCs/>
          <w:sz w:val="22"/>
          <w:szCs w:val="22"/>
        </w:rPr>
        <w:t>Journal of Urban Technology</w:t>
      </w:r>
      <w:r w:rsidRPr="00A50E4A">
        <w:rPr>
          <w:rFonts w:ascii="Arial" w:eastAsia="Calibri" w:hAnsi="Arial" w:cs="Arial"/>
          <w:sz w:val="22"/>
          <w:szCs w:val="22"/>
        </w:rPr>
        <w:t>, 22(1), pp. 3–21.</w:t>
      </w:r>
    </w:p>
    <w:p w14:paraId="51B5EF39" w14:textId="77777777" w:rsidR="00466F20" w:rsidRPr="00A50E4A" w:rsidRDefault="006A1C32" w:rsidP="00615F2E">
      <w:pPr>
        <w:spacing w:after="160" w:line="360" w:lineRule="auto"/>
        <w:rPr>
          <w:rFonts w:ascii="Arial" w:hAnsi="Arial" w:cs="Arial"/>
          <w:sz w:val="22"/>
          <w:szCs w:val="22"/>
        </w:rPr>
      </w:pPr>
      <w:r w:rsidRPr="00A50E4A">
        <w:rPr>
          <w:rFonts w:ascii="Arial" w:eastAsia="Calibri" w:hAnsi="Arial" w:cs="Arial"/>
          <w:sz w:val="22"/>
          <w:szCs w:val="22"/>
        </w:rPr>
        <w:t xml:space="preserve">Ansoff, H.I. (1957) 'Strategies for diversification', </w:t>
      </w:r>
      <w:r w:rsidRPr="00A50E4A">
        <w:rPr>
          <w:rFonts w:ascii="Arial" w:eastAsia="Calibri" w:hAnsi="Arial" w:cs="Arial"/>
          <w:i/>
          <w:iCs/>
          <w:sz w:val="22"/>
          <w:szCs w:val="22"/>
        </w:rPr>
        <w:t>Harvard Business Review</w:t>
      </w:r>
      <w:r w:rsidRPr="00A50E4A">
        <w:rPr>
          <w:rFonts w:ascii="Arial" w:eastAsia="Calibri" w:hAnsi="Arial" w:cs="Arial"/>
          <w:sz w:val="22"/>
          <w:szCs w:val="22"/>
        </w:rPr>
        <w:t>, 35(5), pp. 113–124.</w:t>
      </w:r>
    </w:p>
    <w:p w14:paraId="51B5EF3A" w14:textId="77777777" w:rsidR="00466F20" w:rsidRPr="00A50E4A" w:rsidRDefault="006A1C32" w:rsidP="00615F2E">
      <w:pPr>
        <w:spacing w:after="160" w:line="360" w:lineRule="auto"/>
        <w:rPr>
          <w:rFonts w:ascii="Arial" w:hAnsi="Arial" w:cs="Arial"/>
          <w:sz w:val="22"/>
          <w:szCs w:val="22"/>
        </w:rPr>
      </w:pPr>
      <w:proofErr w:type="spellStart"/>
      <w:r w:rsidRPr="00A50E4A">
        <w:rPr>
          <w:rFonts w:ascii="Arial" w:eastAsia="Calibri" w:hAnsi="Arial" w:cs="Arial"/>
          <w:sz w:val="22"/>
          <w:szCs w:val="22"/>
        </w:rPr>
        <w:t>Bibri</w:t>
      </w:r>
      <w:proofErr w:type="spellEnd"/>
      <w:r w:rsidRPr="00A50E4A">
        <w:rPr>
          <w:rFonts w:ascii="Arial" w:eastAsia="Calibri" w:hAnsi="Arial" w:cs="Arial"/>
          <w:sz w:val="22"/>
          <w:szCs w:val="22"/>
        </w:rPr>
        <w:t xml:space="preserve">, S.E. and Krogstie, J. (2017) 'Smart sustainable cities of the future: An extensive interdisciplinary literature review', </w:t>
      </w:r>
      <w:r w:rsidRPr="00A50E4A">
        <w:rPr>
          <w:rFonts w:ascii="Arial" w:eastAsia="Calibri" w:hAnsi="Arial" w:cs="Arial"/>
          <w:i/>
          <w:iCs/>
          <w:sz w:val="22"/>
          <w:szCs w:val="22"/>
        </w:rPr>
        <w:t>Sustainable Cities and Society</w:t>
      </w:r>
      <w:r w:rsidRPr="00A50E4A">
        <w:rPr>
          <w:rFonts w:ascii="Arial" w:eastAsia="Calibri" w:hAnsi="Arial" w:cs="Arial"/>
          <w:sz w:val="22"/>
          <w:szCs w:val="22"/>
        </w:rPr>
        <w:t>, 31, pp. 183–212.</w:t>
      </w:r>
    </w:p>
    <w:p w14:paraId="51B5EF3B" w14:textId="77777777" w:rsidR="00466F20" w:rsidRPr="00A50E4A" w:rsidRDefault="006A1C32" w:rsidP="00615F2E">
      <w:pPr>
        <w:spacing w:after="160" w:line="360" w:lineRule="auto"/>
        <w:rPr>
          <w:rFonts w:ascii="Arial" w:hAnsi="Arial" w:cs="Arial"/>
          <w:sz w:val="22"/>
          <w:szCs w:val="22"/>
        </w:rPr>
      </w:pPr>
      <w:r w:rsidRPr="00A50E4A">
        <w:rPr>
          <w:rFonts w:ascii="Arial" w:eastAsia="Calibri" w:hAnsi="Arial" w:cs="Arial"/>
          <w:sz w:val="22"/>
          <w:szCs w:val="22"/>
        </w:rPr>
        <w:t xml:space="preserve">Department for Science, Innovation and Technology (2023) </w:t>
      </w:r>
      <w:r w:rsidRPr="00A50E4A">
        <w:rPr>
          <w:rFonts w:ascii="Arial" w:eastAsia="Calibri" w:hAnsi="Arial" w:cs="Arial"/>
          <w:i/>
          <w:iCs/>
          <w:sz w:val="22"/>
          <w:szCs w:val="22"/>
        </w:rPr>
        <w:t>UK wireless infrastructure strategy</w:t>
      </w:r>
      <w:r w:rsidRPr="00A50E4A">
        <w:rPr>
          <w:rFonts w:ascii="Arial" w:eastAsia="Calibri" w:hAnsi="Arial" w:cs="Arial"/>
          <w:sz w:val="22"/>
          <w:szCs w:val="22"/>
        </w:rPr>
        <w:t>. London: DSIT. Available at: https://www.gov.uk/government/publications/uk-wireless-infrastructure-strategy/uk-wireless-infrastructure-strategy (Accessed: 27 July 2026).</w:t>
      </w:r>
    </w:p>
    <w:p w14:paraId="51B5EF3C" w14:textId="77777777" w:rsidR="00466F20" w:rsidRPr="00A50E4A" w:rsidRDefault="006A1C32" w:rsidP="00615F2E">
      <w:pPr>
        <w:spacing w:after="160" w:line="360" w:lineRule="auto"/>
        <w:rPr>
          <w:rFonts w:ascii="Arial" w:hAnsi="Arial" w:cs="Arial"/>
          <w:sz w:val="22"/>
          <w:szCs w:val="22"/>
        </w:rPr>
      </w:pPr>
      <w:r w:rsidRPr="00A50E4A">
        <w:rPr>
          <w:rFonts w:ascii="Arial" w:eastAsia="Calibri" w:hAnsi="Arial" w:cs="Arial"/>
          <w:sz w:val="22"/>
          <w:szCs w:val="22"/>
        </w:rPr>
        <w:t xml:space="preserve">Freeman, R.E. (1984) </w:t>
      </w:r>
      <w:r w:rsidRPr="00A50E4A">
        <w:rPr>
          <w:rFonts w:ascii="Arial" w:eastAsia="Calibri" w:hAnsi="Arial" w:cs="Arial"/>
          <w:i/>
          <w:iCs/>
          <w:sz w:val="22"/>
          <w:szCs w:val="22"/>
        </w:rPr>
        <w:t>Strategic management: A stakeholder approach</w:t>
      </w:r>
      <w:r w:rsidRPr="00A50E4A">
        <w:rPr>
          <w:rFonts w:ascii="Arial" w:eastAsia="Calibri" w:hAnsi="Arial" w:cs="Arial"/>
          <w:sz w:val="22"/>
          <w:szCs w:val="22"/>
        </w:rPr>
        <w:t>. Boston: Pitman.</w:t>
      </w:r>
    </w:p>
    <w:p w14:paraId="51B5EF3D" w14:textId="77777777" w:rsidR="00466F20" w:rsidRPr="00A50E4A" w:rsidRDefault="006A1C32" w:rsidP="00615F2E">
      <w:pPr>
        <w:spacing w:after="160" w:line="360" w:lineRule="auto"/>
        <w:rPr>
          <w:rFonts w:ascii="Arial" w:hAnsi="Arial" w:cs="Arial"/>
          <w:sz w:val="22"/>
          <w:szCs w:val="22"/>
        </w:rPr>
      </w:pPr>
      <w:r w:rsidRPr="00A50E4A">
        <w:rPr>
          <w:rFonts w:ascii="Arial" w:eastAsia="Calibri" w:hAnsi="Arial" w:cs="Arial"/>
          <w:sz w:val="22"/>
          <w:szCs w:val="22"/>
        </w:rPr>
        <w:t xml:space="preserve">GSMA Intelligence (2026) </w:t>
      </w:r>
      <w:r w:rsidRPr="00A50E4A">
        <w:rPr>
          <w:rFonts w:ascii="Arial" w:eastAsia="Calibri" w:hAnsi="Arial" w:cs="Arial"/>
          <w:i/>
          <w:iCs/>
          <w:sz w:val="22"/>
          <w:szCs w:val="22"/>
        </w:rPr>
        <w:t>Operators beyond connectivity: tracking progress, leaders and services driving revenue growth</w:t>
      </w:r>
      <w:r w:rsidRPr="00A50E4A">
        <w:rPr>
          <w:rFonts w:ascii="Arial" w:eastAsia="Calibri" w:hAnsi="Arial" w:cs="Arial"/>
          <w:sz w:val="22"/>
          <w:szCs w:val="22"/>
        </w:rPr>
        <w:t>. London: GSMA. Available at: https://www.gsmaintelligence.com/research/operators-beyond-connectivity-tracking-progress-leaders-and-services-driving-revenue-growth (Accessed: 27 July 2026).</w:t>
      </w:r>
    </w:p>
    <w:p w14:paraId="51B5EF3E" w14:textId="77777777" w:rsidR="00466F20" w:rsidRPr="00A50E4A" w:rsidRDefault="006A1C32" w:rsidP="00615F2E">
      <w:pPr>
        <w:spacing w:after="160" w:line="360" w:lineRule="auto"/>
        <w:rPr>
          <w:rFonts w:ascii="Arial" w:hAnsi="Arial" w:cs="Arial"/>
          <w:sz w:val="22"/>
          <w:szCs w:val="22"/>
        </w:rPr>
      </w:pPr>
      <w:r w:rsidRPr="00A50E4A">
        <w:rPr>
          <w:rFonts w:ascii="Arial" w:eastAsia="Calibri" w:hAnsi="Arial" w:cs="Arial"/>
          <w:sz w:val="22"/>
          <w:szCs w:val="22"/>
        </w:rPr>
        <w:t xml:space="preserve">Kitchin, R. (2014) 'The real-time city? Big data and smart urbanism', </w:t>
      </w:r>
      <w:proofErr w:type="spellStart"/>
      <w:r w:rsidRPr="00A50E4A">
        <w:rPr>
          <w:rFonts w:ascii="Arial" w:eastAsia="Calibri" w:hAnsi="Arial" w:cs="Arial"/>
          <w:i/>
          <w:iCs/>
          <w:sz w:val="22"/>
          <w:szCs w:val="22"/>
        </w:rPr>
        <w:t>GeoJournal</w:t>
      </w:r>
      <w:proofErr w:type="spellEnd"/>
      <w:r w:rsidRPr="00A50E4A">
        <w:rPr>
          <w:rFonts w:ascii="Arial" w:eastAsia="Calibri" w:hAnsi="Arial" w:cs="Arial"/>
          <w:sz w:val="22"/>
          <w:szCs w:val="22"/>
        </w:rPr>
        <w:t>, 79(1), pp. 1–14.</w:t>
      </w:r>
    </w:p>
    <w:p w14:paraId="51B5EF3F" w14:textId="77777777" w:rsidR="00466F20" w:rsidRPr="00A50E4A" w:rsidRDefault="006A1C32" w:rsidP="00615F2E">
      <w:pPr>
        <w:spacing w:after="160" w:line="360" w:lineRule="auto"/>
        <w:rPr>
          <w:rFonts w:ascii="Arial" w:hAnsi="Arial" w:cs="Arial"/>
          <w:sz w:val="22"/>
          <w:szCs w:val="22"/>
        </w:rPr>
      </w:pPr>
      <w:r w:rsidRPr="00A50E4A">
        <w:rPr>
          <w:rFonts w:ascii="Arial" w:eastAsia="Calibri" w:hAnsi="Arial" w:cs="Arial"/>
          <w:sz w:val="22"/>
          <w:szCs w:val="22"/>
        </w:rPr>
        <w:t xml:space="preserve">Ofcom (2025) </w:t>
      </w:r>
      <w:r w:rsidRPr="00A50E4A">
        <w:rPr>
          <w:rFonts w:ascii="Arial" w:eastAsia="Calibri" w:hAnsi="Arial" w:cs="Arial"/>
          <w:i/>
          <w:iCs/>
          <w:sz w:val="22"/>
          <w:szCs w:val="22"/>
        </w:rPr>
        <w:t>Connected Nations 2025: UK report</w:t>
      </w:r>
      <w:r w:rsidRPr="00A50E4A">
        <w:rPr>
          <w:rFonts w:ascii="Arial" w:eastAsia="Calibri" w:hAnsi="Arial" w:cs="Arial"/>
          <w:sz w:val="22"/>
          <w:szCs w:val="22"/>
        </w:rPr>
        <w:t>. London: Ofcom. Published 19 November. Available at: https://www.ofcom.org.uk/siteassets/resources/documents/research-and-data/multi-sector/infrastructure-research/connected-nations-2025/connected-nations-uk-report-2025.pdf (Accessed: 27 July 2026).</w:t>
      </w:r>
    </w:p>
    <w:p w14:paraId="51B5EF40" w14:textId="77777777" w:rsidR="00466F20" w:rsidRPr="00A50E4A" w:rsidRDefault="006A1C32" w:rsidP="00615F2E">
      <w:pPr>
        <w:spacing w:after="160" w:line="360" w:lineRule="auto"/>
        <w:rPr>
          <w:rFonts w:ascii="Arial" w:hAnsi="Arial" w:cs="Arial"/>
          <w:sz w:val="22"/>
          <w:szCs w:val="22"/>
        </w:rPr>
      </w:pPr>
      <w:r w:rsidRPr="00A50E4A">
        <w:rPr>
          <w:rFonts w:ascii="Arial" w:eastAsia="Calibri" w:hAnsi="Arial" w:cs="Arial"/>
          <w:sz w:val="22"/>
          <w:szCs w:val="22"/>
        </w:rPr>
        <w:t xml:space="preserve">Porter, M.E. (1980) </w:t>
      </w:r>
      <w:r w:rsidRPr="00A50E4A">
        <w:rPr>
          <w:rFonts w:ascii="Arial" w:eastAsia="Calibri" w:hAnsi="Arial" w:cs="Arial"/>
          <w:i/>
          <w:iCs/>
          <w:sz w:val="22"/>
          <w:szCs w:val="22"/>
        </w:rPr>
        <w:t>Competitive strategy: Techniques for analysing industries and competitors</w:t>
      </w:r>
      <w:r w:rsidRPr="00A50E4A">
        <w:rPr>
          <w:rFonts w:ascii="Arial" w:eastAsia="Calibri" w:hAnsi="Arial" w:cs="Arial"/>
          <w:sz w:val="22"/>
          <w:szCs w:val="22"/>
        </w:rPr>
        <w:t>. New York: Free Press.</w:t>
      </w:r>
    </w:p>
    <w:p w14:paraId="51B5EF41" w14:textId="77777777" w:rsidR="00466F20" w:rsidRPr="00A50E4A" w:rsidRDefault="006A1C32" w:rsidP="00615F2E">
      <w:pPr>
        <w:spacing w:after="160" w:line="360" w:lineRule="auto"/>
        <w:rPr>
          <w:rFonts w:ascii="Arial" w:hAnsi="Arial" w:cs="Arial"/>
          <w:sz w:val="22"/>
          <w:szCs w:val="22"/>
        </w:rPr>
      </w:pPr>
      <w:r w:rsidRPr="00A50E4A">
        <w:rPr>
          <w:rFonts w:ascii="Arial" w:eastAsia="Calibri" w:hAnsi="Arial" w:cs="Arial"/>
          <w:sz w:val="22"/>
          <w:szCs w:val="22"/>
        </w:rPr>
        <w:t xml:space="preserve">Porter, M.E. (1985) </w:t>
      </w:r>
      <w:r w:rsidRPr="00A50E4A">
        <w:rPr>
          <w:rFonts w:ascii="Arial" w:eastAsia="Calibri" w:hAnsi="Arial" w:cs="Arial"/>
          <w:i/>
          <w:iCs/>
          <w:sz w:val="22"/>
          <w:szCs w:val="22"/>
        </w:rPr>
        <w:t>Competitive advantage: Creating and sustaining superior performance</w:t>
      </w:r>
      <w:r w:rsidRPr="00A50E4A">
        <w:rPr>
          <w:rFonts w:ascii="Arial" w:eastAsia="Calibri" w:hAnsi="Arial" w:cs="Arial"/>
          <w:sz w:val="22"/>
          <w:szCs w:val="22"/>
        </w:rPr>
        <w:t>. New York: Free Press.</w:t>
      </w:r>
    </w:p>
    <w:p w14:paraId="51B5EF42" w14:textId="77777777" w:rsidR="00466F20" w:rsidRPr="00A50E4A" w:rsidRDefault="006A1C32" w:rsidP="00615F2E">
      <w:pPr>
        <w:spacing w:after="160" w:line="360" w:lineRule="auto"/>
        <w:rPr>
          <w:rFonts w:ascii="Arial" w:hAnsi="Arial" w:cs="Arial"/>
          <w:sz w:val="22"/>
          <w:szCs w:val="22"/>
        </w:rPr>
      </w:pPr>
      <w:r w:rsidRPr="00A50E4A">
        <w:rPr>
          <w:rFonts w:ascii="Arial" w:eastAsia="Calibri" w:hAnsi="Arial" w:cs="Arial"/>
          <w:sz w:val="22"/>
          <w:szCs w:val="22"/>
        </w:rPr>
        <w:lastRenderedPageBreak/>
        <w:t xml:space="preserve">Porter, M.E. and Heppelmann, J.E. (2014) 'How smart, connected products are transforming competition', </w:t>
      </w:r>
      <w:r w:rsidRPr="00A50E4A">
        <w:rPr>
          <w:rFonts w:ascii="Arial" w:eastAsia="Calibri" w:hAnsi="Arial" w:cs="Arial"/>
          <w:i/>
          <w:iCs/>
          <w:sz w:val="22"/>
          <w:szCs w:val="22"/>
        </w:rPr>
        <w:t>Harvard Business Review</w:t>
      </w:r>
      <w:r w:rsidRPr="00A50E4A">
        <w:rPr>
          <w:rFonts w:ascii="Arial" w:eastAsia="Calibri" w:hAnsi="Arial" w:cs="Arial"/>
          <w:sz w:val="22"/>
          <w:szCs w:val="22"/>
        </w:rPr>
        <w:t>, 92(11), pp. 64–88.</w:t>
      </w:r>
    </w:p>
    <w:p w14:paraId="51B5EF43" w14:textId="77777777" w:rsidR="00466F20" w:rsidRPr="00A50E4A" w:rsidRDefault="006A1C32" w:rsidP="00615F2E">
      <w:pPr>
        <w:spacing w:after="160" w:line="360" w:lineRule="auto"/>
        <w:rPr>
          <w:rFonts w:ascii="Arial" w:hAnsi="Arial" w:cs="Arial"/>
          <w:sz w:val="22"/>
          <w:szCs w:val="22"/>
        </w:rPr>
      </w:pPr>
      <w:r w:rsidRPr="00A50E4A">
        <w:rPr>
          <w:rFonts w:ascii="Arial" w:eastAsia="Calibri" w:hAnsi="Arial" w:cs="Arial"/>
          <w:sz w:val="22"/>
          <w:szCs w:val="22"/>
        </w:rPr>
        <w:t xml:space="preserve">PwC (2026) </w:t>
      </w:r>
      <w:r w:rsidRPr="00A50E4A">
        <w:rPr>
          <w:rFonts w:ascii="Arial" w:eastAsia="Calibri" w:hAnsi="Arial" w:cs="Arial"/>
          <w:i/>
          <w:iCs/>
          <w:sz w:val="22"/>
          <w:szCs w:val="22"/>
        </w:rPr>
        <w:t>Global telecom outlook 2025–2029</w:t>
      </w:r>
      <w:r w:rsidRPr="00A50E4A">
        <w:rPr>
          <w:rFonts w:ascii="Arial" w:eastAsia="Calibri" w:hAnsi="Arial" w:cs="Arial"/>
          <w:sz w:val="22"/>
          <w:szCs w:val="22"/>
        </w:rPr>
        <w:t>, 13 February. Available at: https://www.pwc.com/gx/en/industries/tmt/telecom-outlook-perspectives.html (Accessed: 27 July 2026).</w:t>
      </w:r>
    </w:p>
    <w:p w14:paraId="51B5EF44" w14:textId="77777777" w:rsidR="00466F20" w:rsidRPr="00A50E4A" w:rsidRDefault="006A1C32" w:rsidP="00615F2E">
      <w:pPr>
        <w:spacing w:after="160" w:line="360" w:lineRule="auto"/>
        <w:rPr>
          <w:rFonts w:ascii="Arial" w:hAnsi="Arial" w:cs="Arial"/>
          <w:sz w:val="22"/>
          <w:szCs w:val="22"/>
        </w:rPr>
      </w:pPr>
      <w:r w:rsidRPr="00A50E4A">
        <w:rPr>
          <w:rFonts w:ascii="Arial" w:eastAsia="Calibri" w:hAnsi="Arial" w:cs="Arial"/>
          <w:sz w:val="22"/>
          <w:szCs w:val="22"/>
        </w:rPr>
        <w:t xml:space="preserve">Sharifi, A., Allam, Z., </w:t>
      </w:r>
      <w:proofErr w:type="spellStart"/>
      <w:r w:rsidRPr="00A50E4A">
        <w:rPr>
          <w:rFonts w:ascii="Arial" w:eastAsia="Calibri" w:hAnsi="Arial" w:cs="Arial"/>
          <w:sz w:val="22"/>
          <w:szCs w:val="22"/>
        </w:rPr>
        <w:t>Bibri</w:t>
      </w:r>
      <w:proofErr w:type="spellEnd"/>
      <w:r w:rsidRPr="00A50E4A">
        <w:rPr>
          <w:rFonts w:ascii="Arial" w:eastAsia="Calibri" w:hAnsi="Arial" w:cs="Arial"/>
          <w:sz w:val="22"/>
          <w:szCs w:val="22"/>
        </w:rPr>
        <w:t xml:space="preserve">, S.E. and </w:t>
      </w:r>
      <w:proofErr w:type="spellStart"/>
      <w:r w:rsidRPr="00A50E4A">
        <w:rPr>
          <w:rFonts w:ascii="Arial" w:eastAsia="Calibri" w:hAnsi="Arial" w:cs="Arial"/>
          <w:sz w:val="22"/>
          <w:szCs w:val="22"/>
        </w:rPr>
        <w:t>Khavarian-Garmsir</w:t>
      </w:r>
      <w:proofErr w:type="spellEnd"/>
      <w:r w:rsidRPr="00A50E4A">
        <w:rPr>
          <w:rFonts w:ascii="Arial" w:eastAsia="Calibri" w:hAnsi="Arial" w:cs="Arial"/>
          <w:sz w:val="22"/>
          <w:szCs w:val="22"/>
        </w:rPr>
        <w:t xml:space="preserve">, A.R. (2024) 'Smart cities and sustainable development goals (SDGs): a systematic literature review of co-benefits and trade-offs', </w:t>
      </w:r>
      <w:r w:rsidRPr="00A50E4A">
        <w:rPr>
          <w:rFonts w:ascii="Arial" w:eastAsia="Calibri" w:hAnsi="Arial" w:cs="Arial"/>
          <w:i/>
          <w:iCs/>
          <w:sz w:val="22"/>
          <w:szCs w:val="22"/>
        </w:rPr>
        <w:t>Cities</w:t>
      </w:r>
      <w:r w:rsidRPr="00A50E4A">
        <w:rPr>
          <w:rFonts w:ascii="Arial" w:eastAsia="Calibri" w:hAnsi="Arial" w:cs="Arial"/>
          <w:sz w:val="22"/>
          <w:szCs w:val="22"/>
        </w:rPr>
        <w:t>, 146, 104659.</w:t>
      </w:r>
    </w:p>
    <w:p w14:paraId="51B5EF45" w14:textId="77777777" w:rsidR="00466F20" w:rsidRPr="00A50E4A" w:rsidRDefault="006A1C32" w:rsidP="00615F2E">
      <w:pPr>
        <w:spacing w:after="160" w:line="360" w:lineRule="auto"/>
        <w:rPr>
          <w:rFonts w:ascii="Arial" w:hAnsi="Arial" w:cs="Arial"/>
          <w:sz w:val="22"/>
          <w:szCs w:val="22"/>
        </w:rPr>
      </w:pPr>
      <w:r w:rsidRPr="00A50E4A">
        <w:rPr>
          <w:rFonts w:ascii="Arial" w:eastAsia="Calibri" w:hAnsi="Arial" w:cs="Arial"/>
          <w:sz w:val="22"/>
          <w:szCs w:val="22"/>
        </w:rPr>
        <w:t xml:space="preserve">Vodafone Group Plc (2025a) </w:t>
      </w:r>
      <w:r w:rsidRPr="00A50E4A">
        <w:rPr>
          <w:rFonts w:ascii="Arial" w:eastAsia="Calibri" w:hAnsi="Arial" w:cs="Arial"/>
          <w:i/>
          <w:iCs/>
          <w:sz w:val="22"/>
          <w:szCs w:val="22"/>
        </w:rPr>
        <w:t>Annual Report 2025</w:t>
      </w:r>
      <w:r w:rsidRPr="00A50E4A">
        <w:rPr>
          <w:rFonts w:ascii="Arial" w:eastAsia="Calibri" w:hAnsi="Arial" w:cs="Arial"/>
          <w:sz w:val="22"/>
          <w:szCs w:val="22"/>
        </w:rPr>
        <w:t>. Newbury: Vodafone Group Plc. Available at: https://www.vodafone.com/investors/reports-information/annual-report (Accessed: 27 July 2026).</w:t>
      </w:r>
    </w:p>
    <w:p w14:paraId="51B5EF46" w14:textId="77777777" w:rsidR="00466F20" w:rsidRPr="00A50E4A" w:rsidRDefault="006A1C32" w:rsidP="00615F2E">
      <w:pPr>
        <w:spacing w:after="160" w:line="360" w:lineRule="auto"/>
        <w:rPr>
          <w:rFonts w:ascii="Arial" w:hAnsi="Arial" w:cs="Arial"/>
          <w:sz w:val="22"/>
          <w:szCs w:val="22"/>
        </w:rPr>
      </w:pPr>
      <w:r w:rsidRPr="00A50E4A">
        <w:rPr>
          <w:rFonts w:ascii="Arial" w:eastAsia="Calibri" w:hAnsi="Arial" w:cs="Arial"/>
          <w:sz w:val="22"/>
          <w:szCs w:val="22"/>
        </w:rPr>
        <w:t>Vodafone Group Plc (2025b) ‘</w:t>
      </w:r>
      <w:r w:rsidRPr="00A50E4A">
        <w:rPr>
          <w:rFonts w:ascii="Arial" w:eastAsia="Calibri" w:hAnsi="Arial" w:cs="Arial"/>
          <w:i/>
          <w:iCs/>
          <w:sz w:val="22"/>
          <w:szCs w:val="22"/>
        </w:rPr>
        <w:t>Completion of Vodafone and Three merger in the UK’, 2 June</w:t>
      </w:r>
      <w:r w:rsidRPr="00A50E4A">
        <w:rPr>
          <w:rFonts w:ascii="Arial" w:eastAsia="Calibri" w:hAnsi="Arial" w:cs="Arial"/>
          <w:sz w:val="22"/>
          <w:szCs w:val="22"/>
        </w:rPr>
        <w:t>. Available at: https://www.vodafone.com/news/newsroom/corporate-and-financial/completion-of-vodafone-and-three-merger-in-the-uk (Accessed: 27 July 2026).</w:t>
      </w:r>
    </w:p>
    <w:p w14:paraId="51B5EF47" w14:textId="77777777" w:rsidR="00466F20" w:rsidRPr="00A50E4A" w:rsidRDefault="006A1C32" w:rsidP="00615F2E">
      <w:pPr>
        <w:spacing w:after="160" w:line="360" w:lineRule="auto"/>
        <w:rPr>
          <w:rFonts w:ascii="Arial" w:hAnsi="Arial" w:cs="Arial"/>
          <w:sz w:val="22"/>
          <w:szCs w:val="22"/>
        </w:rPr>
      </w:pPr>
      <w:r w:rsidRPr="00A50E4A">
        <w:rPr>
          <w:rFonts w:ascii="Arial" w:eastAsia="Calibri" w:hAnsi="Arial" w:cs="Arial"/>
          <w:sz w:val="22"/>
          <w:szCs w:val="22"/>
        </w:rPr>
        <w:t xml:space="preserve">Whittington, R., </w:t>
      </w:r>
      <w:proofErr w:type="spellStart"/>
      <w:r w:rsidRPr="00A50E4A">
        <w:rPr>
          <w:rFonts w:ascii="Arial" w:eastAsia="Calibri" w:hAnsi="Arial" w:cs="Arial"/>
          <w:sz w:val="22"/>
          <w:szCs w:val="22"/>
        </w:rPr>
        <w:t>Regnér</w:t>
      </w:r>
      <w:proofErr w:type="spellEnd"/>
      <w:r w:rsidRPr="00A50E4A">
        <w:rPr>
          <w:rFonts w:ascii="Arial" w:eastAsia="Calibri" w:hAnsi="Arial" w:cs="Arial"/>
          <w:sz w:val="22"/>
          <w:szCs w:val="22"/>
        </w:rPr>
        <w:t xml:space="preserve">, P., Angwin, D., Johnson, G. and Scholes, K. (2020) </w:t>
      </w:r>
      <w:r w:rsidRPr="00A50E4A">
        <w:rPr>
          <w:rFonts w:ascii="Arial" w:eastAsia="Calibri" w:hAnsi="Arial" w:cs="Arial"/>
          <w:i/>
          <w:iCs/>
          <w:sz w:val="22"/>
          <w:szCs w:val="22"/>
        </w:rPr>
        <w:t>Exploring strategy: text and cases</w:t>
      </w:r>
      <w:r w:rsidRPr="00A50E4A">
        <w:rPr>
          <w:rFonts w:ascii="Arial" w:eastAsia="Calibri" w:hAnsi="Arial" w:cs="Arial"/>
          <w:sz w:val="22"/>
          <w:szCs w:val="22"/>
        </w:rPr>
        <w:t xml:space="preserve">. 12th </w:t>
      </w:r>
      <w:proofErr w:type="spellStart"/>
      <w:r w:rsidRPr="00A50E4A">
        <w:rPr>
          <w:rFonts w:ascii="Arial" w:eastAsia="Calibri" w:hAnsi="Arial" w:cs="Arial"/>
          <w:sz w:val="22"/>
          <w:szCs w:val="22"/>
        </w:rPr>
        <w:t>edn</w:t>
      </w:r>
      <w:proofErr w:type="spellEnd"/>
      <w:r w:rsidRPr="00A50E4A">
        <w:rPr>
          <w:rFonts w:ascii="Arial" w:eastAsia="Calibri" w:hAnsi="Arial" w:cs="Arial"/>
          <w:sz w:val="22"/>
          <w:szCs w:val="22"/>
        </w:rPr>
        <w:t>. Harlow: Pearson.</w:t>
      </w:r>
    </w:p>
    <w:p w14:paraId="51B5EF48" w14:textId="77777777" w:rsidR="00466F20" w:rsidRPr="00A50E4A" w:rsidRDefault="006A1C32" w:rsidP="00615F2E">
      <w:pPr>
        <w:spacing w:after="160" w:line="360" w:lineRule="auto"/>
        <w:rPr>
          <w:rFonts w:ascii="Arial" w:hAnsi="Arial" w:cs="Arial"/>
          <w:sz w:val="22"/>
          <w:szCs w:val="22"/>
        </w:rPr>
      </w:pPr>
      <w:r w:rsidRPr="00A50E4A">
        <w:rPr>
          <w:rFonts w:ascii="Arial" w:eastAsia="Calibri" w:hAnsi="Arial" w:cs="Arial"/>
          <w:sz w:val="22"/>
          <w:szCs w:val="22"/>
        </w:rPr>
        <w:t xml:space="preserve">Yin, Y., Zeng, Y., Chen, X. and Fan, Y. (2016) 'The Internet of Things in healthcare: An overview', </w:t>
      </w:r>
      <w:r w:rsidRPr="00A50E4A">
        <w:rPr>
          <w:rFonts w:ascii="Arial" w:eastAsia="Calibri" w:hAnsi="Arial" w:cs="Arial"/>
          <w:i/>
          <w:iCs/>
          <w:sz w:val="22"/>
          <w:szCs w:val="22"/>
        </w:rPr>
        <w:t>Journal of Industrial Information Integration</w:t>
      </w:r>
      <w:r w:rsidRPr="00A50E4A">
        <w:rPr>
          <w:rFonts w:ascii="Arial" w:eastAsia="Calibri" w:hAnsi="Arial" w:cs="Arial"/>
          <w:sz w:val="22"/>
          <w:szCs w:val="22"/>
        </w:rPr>
        <w:t>, 1, pp. 3–13.</w:t>
      </w:r>
    </w:p>
    <w:p w14:paraId="51B5EF49" w14:textId="77777777" w:rsidR="00466F20" w:rsidRPr="00A50E4A" w:rsidRDefault="006A1C32" w:rsidP="00615F2E">
      <w:pPr>
        <w:spacing w:after="160" w:line="360" w:lineRule="auto"/>
        <w:rPr>
          <w:rFonts w:ascii="Arial" w:hAnsi="Arial" w:cs="Arial"/>
          <w:sz w:val="22"/>
          <w:szCs w:val="22"/>
        </w:rPr>
      </w:pPr>
      <w:r w:rsidRPr="00A50E4A">
        <w:rPr>
          <w:rFonts w:ascii="Arial" w:eastAsia="Calibri" w:hAnsi="Arial" w:cs="Arial"/>
          <w:sz w:val="22"/>
          <w:szCs w:val="22"/>
        </w:rPr>
        <w:t xml:space="preserve">Ziosi, M., Hewitt, B., Juneja, P., Taddeo, M. and </w:t>
      </w:r>
      <w:proofErr w:type="spellStart"/>
      <w:r w:rsidRPr="00A50E4A">
        <w:rPr>
          <w:rFonts w:ascii="Arial" w:eastAsia="Calibri" w:hAnsi="Arial" w:cs="Arial"/>
          <w:sz w:val="22"/>
          <w:szCs w:val="22"/>
        </w:rPr>
        <w:t>Floridi</w:t>
      </w:r>
      <w:proofErr w:type="spellEnd"/>
      <w:r w:rsidRPr="00A50E4A">
        <w:rPr>
          <w:rFonts w:ascii="Arial" w:eastAsia="Calibri" w:hAnsi="Arial" w:cs="Arial"/>
          <w:sz w:val="22"/>
          <w:szCs w:val="22"/>
        </w:rPr>
        <w:t xml:space="preserve">, L. (2024) 'Smart cities: reviewing the debate about their ethical implications', </w:t>
      </w:r>
      <w:r w:rsidRPr="00A50E4A">
        <w:rPr>
          <w:rFonts w:ascii="Arial" w:eastAsia="Calibri" w:hAnsi="Arial" w:cs="Arial"/>
          <w:i/>
          <w:iCs/>
          <w:sz w:val="22"/>
          <w:szCs w:val="22"/>
        </w:rPr>
        <w:t>AI &amp; Society</w:t>
      </w:r>
      <w:r w:rsidRPr="00A50E4A">
        <w:rPr>
          <w:rFonts w:ascii="Arial" w:eastAsia="Calibri" w:hAnsi="Arial" w:cs="Arial"/>
          <w:sz w:val="22"/>
          <w:szCs w:val="22"/>
        </w:rPr>
        <w:t>, 39(3), pp. 1185–1200.</w:t>
      </w:r>
    </w:p>
    <w:sectPr w:rsidR="00466F20" w:rsidRPr="00A50E4A">
      <w:footerReference w:type="default" r:id="rId7"/>
      <w:footerReference w:type="first" r:id="rId8"/>
      <w:pgSz w:w="11906" w:h="16838"/>
      <w:pgMar w:top="1440" w:right="1440" w:bottom="1440" w:left="1440" w:header="708" w:footer="70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B5EF50" w14:textId="77777777" w:rsidR="006A1C32" w:rsidRDefault="006A1C32">
      <w:r>
        <w:separator/>
      </w:r>
    </w:p>
  </w:endnote>
  <w:endnote w:type="continuationSeparator" w:id="0">
    <w:p w14:paraId="51B5EF52" w14:textId="77777777" w:rsidR="006A1C32" w:rsidRDefault="006A1C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B5EF4A" w14:textId="77777777" w:rsidR="00466F20" w:rsidRDefault="006A1C32">
    <w:pPr>
      <w:jc w:val="center"/>
    </w:pPr>
    <w:r>
      <w:rPr>
        <w:rFonts w:ascii="Calibri" w:eastAsia="Calibri" w:hAnsi="Calibri" w:cs="Calibri"/>
      </w:rPr>
      <w:fldChar w:fldCharType="begin"/>
    </w:r>
    <w:r>
      <w:rPr>
        <w:rFonts w:ascii="Calibri" w:eastAsia="Calibri" w:hAnsi="Calibri" w:cs="Calibri"/>
      </w:rPr>
      <w:instrText xml:space="preserve"> PAGE </w:instrText>
    </w:r>
    <w:r>
      <w:rPr>
        <w:rFonts w:ascii="Calibri" w:eastAsia="Calibri" w:hAnsi="Calibri" w:cs="Calibri"/>
      </w:rPr>
      <w:fldChar w:fldCharType="separate"/>
    </w:r>
    <w:r>
      <w:rPr>
        <w:rFonts w:ascii="Calibri" w:eastAsia="Calibri" w:hAnsi="Calibri" w:cs="Calibri"/>
      </w:rPr>
      <w:t>1</w:t>
    </w:r>
    <w:r>
      <w:rPr>
        <w:rFonts w:ascii="Calibri" w:eastAsia="Calibri" w:hAnsi="Calibri" w:cs="Calibri"/>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B5EF4B" w14:textId="77777777" w:rsidR="00466F20" w:rsidRDefault="00466F20">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B5EF4C" w14:textId="77777777" w:rsidR="006A1C32" w:rsidRDefault="006A1C32">
      <w:r>
        <w:separator/>
      </w:r>
    </w:p>
  </w:footnote>
  <w:footnote w:type="continuationSeparator" w:id="0">
    <w:p w14:paraId="51B5EF4E" w14:textId="77777777" w:rsidR="006A1C32" w:rsidRDefault="006A1C3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BA1668"/>
    <w:multiLevelType w:val="hybridMultilevel"/>
    <w:tmpl w:val="9D3688F0"/>
    <w:lvl w:ilvl="0" w:tplc="C4406992">
      <w:start w:val="1"/>
      <w:numFmt w:val="bullet"/>
      <w:lvlText w:val="•"/>
      <w:lvlJc w:val="left"/>
      <w:pPr>
        <w:ind w:left="431" w:hanging="259"/>
      </w:pPr>
    </w:lvl>
    <w:lvl w:ilvl="1" w:tplc="5D8C6048">
      <w:numFmt w:val="decimal"/>
      <w:lvlText w:val=""/>
      <w:lvlJc w:val="left"/>
    </w:lvl>
    <w:lvl w:ilvl="2" w:tplc="1FF0AF2A">
      <w:numFmt w:val="decimal"/>
      <w:lvlText w:val=""/>
      <w:lvlJc w:val="left"/>
    </w:lvl>
    <w:lvl w:ilvl="3" w:tplc="7324CF22">
      <w:numFmt w:val="decimal"/>
      <w:lvlText w:val=""/>
      <w:lvlJc w:val="left"/>
    </w:lvl>
    <w:lvl w:ilvl="4" w:tplc="089A4C46">
      <w:numFmt w:val="decimal"/>
      <w:lvlText w:val=""/>
      <w:lvlJc w:val="left"/>
    </w:lvl>
    <w:lvl w:ilvl="5" w:tplc="A8203FB4">
      <w:numFmt w:val="decimal"/>
      <w:lvlText w:val=""/>
      <w:lvlJc w:val="left"/>
    </w:lvl>
    <w:lvl w:ilvl="6" w:tplc="37D438F4">
      <w:numFmt w:val="decimal"/>
      <w:lvlText w:val=""/>
      <w:lvlJc w:val="left"/>
    </w:lvl>
    <w:lvl w:ilvl="7" w:tplc="7B00504E">
      <w:numFmt w:val="decimal"/>
      <w:lvlText w:val=""/>
      <w:lvlJc w:val="left"/>
    </w:lvl>
    <w:lvl w:ilvl="8" w:tplc="59FA3CAE">
      <w:numFmt w:val="decimal"/>
      <w:lvlText w:val=""/>
      <w:lvlJc w:val="left"/>
    </w:lvl>
  </w:abstractNum>
  <w:abstractNum w:abstractNumId="1" w15:restartNumberingAfterBreak="0">
    <w:nsid w:val="4B705145"/>
    <w:multiLevelType w:val="hybridMultilevel"/>
    <w:tmpl w:val="73305220"/>
    <w:lvl w:ilvl="0" w:tplc="FD762AD2">
      <w:start w:val="1"/>
      <w:numFmt w:val="bullet"/>
      <w:lvlText w:val="●"/>
      <w:lvlJc w:val="left"/>
      <w:pPr>
        <w:ind w:left="720" w:hanging="360"/>
      </w:pPr>
    </w:lvl>
    <w:lvl w:ilvl="1" w:tplc="1D7EC8AE">
      <w:start w:val="1"/>
      <w:numFmt w:val="bullet"/>
      <w:lvlText w:val="○"/>
      <w:lvlJc w:val="left"/>
      <w:pPr>
        <w:ind w:left="1440" w:hanging="360"/>
      </w:pPr>
    </w:lvl>
    <w:lvl w:ilvl="2" w:tplc="41969938">
      <w:start w:val="1"/>
      <w:numFmt w:val="bullet"/>
      <w:lvlText w:val="■"/>
      <w:lvlJc w:val="left"/>
      <w:pPr>
        <w:ind w:left="2160" w:hanging="360"/>
      </w:pPr>
    </w:lvl>
    <w:lvl w:ilvl="3" w:tplc="A718D2EE">
      <w:start w:val="1"/>
      <w:numFmt w:val="bullet"/>
      <w:lvlText w:val="●"/>
      <w:lvlJc w:val="left"/>
      <w:pPr>
        <w:ind w:left="2880" w:hanging="360"/>
      </w:pPr>
    </w:lvl>
    <w:lvl w:ilvl="4" w:tplc="7682CEC0">
      <w:start w:val="1"/>
      <w:numFmt w:val="bullet"/>
      <w:lvlText w:val="○"/>
      <w:lvlJc w:val="left"/>
      <w:pPr>
        <w:ind w:left="3600" w:hanging="360"/>
      </w:pPr>
    </w:lvl>
    <w:lvl w:ilvl="5" w:tplc="47A8646E">
      <w:start w:val="1"/>
      <w:numFmt w:val="bullet"/>
      <w:lvlText w:val="■"/>
      <w:lvlJc w:val="left"/>
      <w:pPr>
        <w:ind w:left="4320" w:hanging="360"/>
      </w:pPr>
    </w:lvl>
    <w:lvl w:ilvl="6" w:tplc="34B461D4">
      <w:start w:val="1"/>
      <w:numFmt w:val="bullet"/>
      <w:lvlText w:val="●"/>
      <w:lvlJc w:val="left"/>
      <w:pPr>
        <w:ind w:left="5040" w:hanging="360"/>
      </w:pPr>
    </w:lvl>
    <w:lvl w:ilvl="7" w:tplc="7DD03360">
      <w:start w:val="1"/>
      <w:numFmt w:val="bullet"/>
      <w:lvlText w:val="●"/>
      <w:lvlJc w:val="left"/>
      <w:pPr>
        <w:ind w:left="5760" w:hanging="360"/>
      </w:pPr>
    </w:lvl>
    <w:lvl w:ilvl="8" w:tplc="52142D0E">
      <w:start w:val="1"/>
      <w:numFmt w:val="bullet"/>
      <w:lvlText w:val="●"/>
      <w:lvlJc w:val="left"/>
      <w:pPr>
        <w:ind w:left="6480" w:hanging="360"/>
      </w:pPr>
    </w:lvl>
  </w:abstractNum>
  <w:abstractNum w:abstractNumId="2" w15:restartNumberingAfterBreak="0">
    <w:nsid w:val="73E72608"/>
    <w:multiLevelType w:val="hybridMultilevel"/>
    <w:tmpl w:val="5DB4184E"/>
    <w:lvl w:ilvl="0" w:tplc="C5642BA8">
      <w:start w:val="1"/>
      <w:numFmt w:val="decimal"/>
      <w:lvlText w:val="%1."/>
      <w:lvlJc w:val="left"/>
      <w:pPr>
        <w:ind w:left="431" w:hanging="259"/>
      </w:pPr>
    </w:lvl>
    <w:lvl w:ilvl="1" w:tplc="2514EF1A">
      <w:numFmt w:val="decimal"/>
      <w:lvlText w:val=""/>
      <w:lvlJc w:val="left"/>
    </w:lvl>
    <w:lvl w:ilvl="2" w:tplc="5614A4A6">
      <w:numFmt w:val="decimal"/>
      <w:lvlText w:val=""/>
      <w:lvlJc w:val="left"/>
    </w:lvl>
    <w:lvl w:ilvl="3" w:tplc="FFE8F29C">
      <w:numFmt w:val="decimal"/>
      <w:lvlText w:val=""/>
      <w:lvlJc w:val="left"/>
    </w:lvl>
    <w:lvl w:ilvl="4" w:tplc="CF9E996A">
      <w:numFmt w:val="decimal"/>
      <w:lvlText w:val=""/>
      <w:lvlJc w:val="left"/>
    </w:lvl>
    <w:lvl w:ilvl="5" w:tplc="07A0FB3A">
      <w:numFmt w:val="decimal"/>
      <w:lvlText w:val=""/>
      <w:lvlJc w:val="left"/>
    </w:lvl>
    <w:lvl w:ilvl="6" w:tplc="93384A08">
      <w:numFmt w:val="decimal"/>
      <w:lvlText w:val=""/>
      <w:lvlJc w:val="left"/>
    </w:lvl>
    <w:lvl w:ilvl="7" w:tplc="8A42864C">
      <w:numFmt w:val="decimal"/>
      <w:lvlText w:val=""/>
      <w:lvlJc w:val="left"/>
    </w:lvl>
    <w:lvl w:ilvl="8" w:tplc="8D8810B2">
      <w:numFmt w:val="decimal"/>
      <w:lvlText w:val=""/>
      <w:lvlJc w:val="left"/>
    </w:lvl>
  </w:abstractNum>
  <w:num w:numId="1" w16cid:durableId="62070091">
    <w:abstractNumId w:val="1"/>
    <w:lvlOverride w:ilvl="0">
      <w:startOverride w:val="1"/>
    </w:lvlOverride>
  </w:num>
  <w:num w:numId="2" w16cid:durableId="2083136938">
    <w:abstractNumId w:val="0"/>
    <w:lvlOverride w:ilvl="0">
      <w:startOverride w:val="1"/>
    </w:lvlOverride>
  </w:num>
  <w:num w:numId="3" w16cid:durableId="1173840118">
    <w:abstractNumId w:val="2"/>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6F20"/>
    <w:rsid w:val="001A2670"/>
    <w:rsid w:val="00404869"/>
    <w:rsid w:val="00466F20"/>
    <w:rsid w:val="00615F2E"/>
    <w:rsid w:val="006A1C32"/>
    <w:rsid w:val="00733385"/>
    <w:rsid w:val="00785502"/>
    <w:rsid w:val="00A50E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5EDD0"/>
  <w15:docId w15:val="{9B8CA42B-E6BF-4950-B73F-40F3B3522D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21</Pages>
  <Words>4344</Words>
  <Characters>24766</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Ihor Vynnychuk</cp:lastModifiedBy>
  <cp:revision>3</cp:revision>
  <dcterms:created xsi:type="dcterms:W3CDTF">2026-07-27T10:08:00Z</dcterms:created>
  <dcterms:modified xsi:type="dcterms:W3CDTF">2026-07-30T09:23:00Z</dcterms:modified>
</cp:coreProperties>
</file>