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368A77" w14:textId="5AA2DE25" w:rsidR="00572D13" w:rsidRPr="00150494" w:rsidRDefault="00572D13" w:rsidP="00572D13">
      <w:pPr>
        <w:rPr>
          <w:rFonts w:ascii="Arial" w:eastAsia="Arial" w:hAnsi="Arial" w:cs="Arial"/>
          <w:b/>
          <w:bCs/>
          <w:sz w:val="32"/>
          <w:szCs w:val="32"/>
        </w:rPr>
      </w:pPr>
      <w:r w:rsidRPr="00150494">
        <w:rPr>
          <w:noProof/>
          <w:lang w:val="en-IN"/>
        </w:rPr>
        <w:drawing>
          <wp:inline distT="114300" distB="114300" distL="114300" distR="114300" wp14:anchorId="353121D6" wp14:editId="38EBD3E7">
            <wp:extent cx="1196340" cy="601980"/>
            <wp:effectExtent l="0" t="0" r="3810" b="762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8"/>
                    <a:srcRect/>
                    <a:stretch>
                      <a:fillRect/>
                    </a:stretch>
                  </pic:blipFill>
                  <pic:spPr>
                    <a:xfrm>
                      <a:off x="0" y="0"/>
                      <a:ext cx="1196853" cy="602238"/>
                    </a:xfrm>
                    <a:prstGeom prst="rect">
                      <a:avLst/>
                    </a:prstGeom>
                    <a:ln/>
                  </pic:spPr>
                </pic:pic>
              </a:graphicData>
            </a:graphic>
          </wp:inline>
        </w:drawing>
      </w:r>
    </w:p>
    <w:p w14:paraId="38E6A6DD" w14:textId="77777777" w:rsidR="00A937D3" w:rsidRPr="00150494" w:rsidRDefault="00A937D3" w:rsidP="00572D13">
      <w:pPr>
        <w:spacing w:after="0"/>
        <w:rPr>
          <w:rFonts w:ascii="Arial" w:eastAsia="Arial" w:hAnsi="Arial" w:cs="Arial"/>
          <w:b/>
          <w:bCs/>
          <w:sz w:val="32"/>
          <w:szCs w:val="32"/>
        </w:rPr>
      </w:pPr>
    </w:p>
    <w:p w14:paraId="6B71E7F0" w14:textId="0BDBD402" w:rsidR="00DD79DC" w:rsidRPr="00150494" w:rsidRDefault="00DD79DC">
      <w:pPr>
        <w:spacing w:after="0"/>
        <w:jc w:val="center"/>
        <w:rPr>
          <w:rFonts w:ascii="Arial"/>
          <w:b/>
          <w:spacing w:val="-2"/>
          <w:sz w:val="32"/>
          <w:szCs w:val="32"/>
        </w:rPr>
      </w:pPr>
      <w:r w:rsidRPr="00150494">
        <w:rPr>
          <w:rFonts w:ascii="Arial"/>
          <w:b/>
          <w:sz w:val="32"/>
          <w:szCs w:val="32"/>
        </w:rPr>
        <w:t>Master</w:t>
      </w:r>
      <w:r w:rsidRPr="00150494">
        <w:rPr>
          <w:rFonts w:ascii="Arial"/>
          <w:b/>
          <w:spacing w:val="-6"/>
          <w:sz w:val="32"/>
          <w:szCs w:val="32"/>
        </w:rPr>
        <w:t xml:space="preserve"> </w:t>
      </w:r>
      <w:r w:rsidRPr="00150494">
        <w:rPr>
          <w:rFonts w:ascii="Arial"/>
          <w:b/>
          <w:sz w:val="32"/>
          <w:szCs w:val="32"/>
        </w:rPr>
        <w:t>of</w:t>
      </w:r>
      <w:r w:rsidRPr="00150494">
        <w:rPr>
          <w:rFonts w:ascii="Arial"/>
          <w:b/>
          <w:spacing w:val="-4"/>
          <w:sz w:val="32"/>
          <w:szCs w:val="32"/>
        </w:rPr>
        <w:t xml:space="preserve"> </w:t>
      </w:r>
      <w:r w:rsidRPr="00150494">
        <w:rPr>
          <w:rFonts w:ascii="Arial"/>
          <w:b/>
          <w:sz w:val="32"/>
          <w:szCs w:val="32"/>
        </w:rPr>
        <w:t>Business</w:t>
      </w:r>
      <w:r w:rsidRPr="00150494">
        <w:rPr>
          <w:rFonts w:ascii="Arial"/>
          <w:b/>
          <w:spacing w:val="-8"/>
          <w:sz w:val="32"/>
          <w:szCs w:val="32"/>
        </w:rPr>
        <w:t xml:space="preserve"> </w:t>
      </w:r>
      <w:r w:rsidRPr="00150494">
        <w:rPr>
          <w:rFonts w:ascii="Arial"/>
          <w:b/>
          <w:spacing w:val="-2"/>
          <w:sz w:val="32"/>
          <w:szCs w:val="32"/>
        </w:rPr>
        <w:t>Administration</w:t>
      </w:r>
    </w:p>
    <w:p w14:paraId="04C2067E" w14:textId="77777777" w:rsidR="00DD79DC" w:rsidRPr="00150494" w:rsidRDefault="00DD79DC" w:rsidP="00DD79DC">
      <w:pPr>
        <w:spacing w:after="0"/>
        <w:jc w:val="center"/>
        <w:rPr>
          <w:rFonts w:ascii="Arial" w:eastAsia="Arial" w:hAnsi="Arial" w:cs="Arial"/>
          <w:b/>
          <w:bCs/>
          <w:sz w:val="32"/>
          <w:szCs w:val="32"/>
        </w:rPr>
      </w:pPr>
      <w:r w:rsidRPr="00150494">
        <w:rPr>
          <w:rFonts w:ascii="Arial"/>
          <w:b/>
          <w:spacing w:val="-2"/>
          <w:sz w:val="32"/>
          <w:szCs w:val="32"/>
        </w:rPr>
        <w:t>LCMB7024</w:t>
      </w:r>
      <w:r w:rsidRPr="00150494">
        <w:rPr>
          <w:rFonts w:ascii="Arial"/>
          <w:b/>
          <w:spacing w:val="-2"/>
          <w:sz w:val="32"/>
          <w:szCs w:val="32"/>
        </w:rPr>
        <w:t xml:space="preserve"> </w:t>
      </w:r>
      <w:r w:rsidRPr="00150494">
        <w:rPr>
          <w:rFonts w:ascii="Arial"/>
          <w:b/>
          <w:sz w:val="32"/>
          <w:szCs w:val="32"/>
        </w:rPr>
        <w:t>Marketing</w:t>
      </w:r>
      <w:r w:rsidRPr="00150494">
        <w:rPr>
          <w:rFonts w:ascii="Arial"/>
          <w:b/>
          <w:spacing w:val="-6"/>
          <w:sz w:val="32"/>
          <w:szCs w:val="32"/>
        </w:rPr>
        <w:t xml:space="preserve"> </w:t>
      </w:r>
      <w:r w:rsidRPr="00150494">
        <w:rPr>
          <w:rFonts w:ascii="Arial"/>
          <w:b/>
          <w:spacing w:val="-2"/>
          <w:sz w:val="32"/>
          <w:szCs w:val="32"/>
        </w:rPr>
        <w:t>Management</w:t>
      </w:r>
      <w:r w:rsidRPr="00150494">
        <w:rPr>
          <w:rFonts w:ascii="Arial" w:eastAsia="Arial" w:hAnsi="Arial" w:cs="Arial"/>
          <w:b/>
          <w:bCs/>
          <w:sz w:val="32"/>
          <w:szCs w:val="32"/>
        </w:rPr>
        <w:t xml:space="preserve"> </w:t>
      </w:r>
    </w:p>
    <w:p w14:paraId="1ACB5BEA" w14:textId="77777777" w:rsidR="00DD79DC" w:rsidRPr="00150494" w:rsidRDefault="00DD79DC" w:rsidP="00DD79DC">
      <w:pPr>
        <w:spacing w:after="0"/>
        <w:jc w:val="center"/>
        <w:rPr>
          <w:rFonts w:ascii="Arial" w:eastAsia="Arial" w:hAnsi="Arial" w:cs="Arial"/>
          <w:b/>
          <w:bCs/>
          <w:sz w:val="32"/>
          <w:szCs w:val="32"/>
        </w:rPr>
      </w:pPr>
    </w:p>
    <w:p w14:paraId="59782AFE" w14:textId="2733C223" w:rsidR="00DD79DC" w:rsidRPr="00150494" w:rsidRDefault="00DD79DC" w:rsidP="00DD79DC">
      <w:pPr>
        <w:spacing w:after="0"/>
        <w:jc w:val="center"/>
        <w:rPr>
          <w:rFonts w:ascii="Arial" w:eastAsia="Arial" w:hAnsi="Arial" w:cs="Arial"/>
          <w:b/>
          <w:bCs/>
          <w:sz w:val="32"/>
          <w:szCs w:val="32"/>
        </w:rPr>
      </w:pPr>
      <w:r w:rsidRPr="00150494">
        <w:rPr>
          <w:rFonts w:ascii="Arial" w:eastAsia="Arial" w:hAnsi="Arial" w:cs="Arial"/>
          <w:b/>
          <w:bCs/>
          <w:sz w:val="32"/>
          <w:szCs w:val="32"/>
        </w:rPr>
        <w:t xml:space="preserve">Name: Dimple </w:t>
      </w:r>
      <w:r w:rsidRPr="00150494">
        <w:rPr>
          <w:rFonts w:ascii="Arial" w:eastAsia="Arial" w:hAnsi="Arial" w:cs="Arial"/>
          <w:b/>
          <w:bCs/>
          <w:sz w:val="32"/>
          <w:szCs w:val="32"/>
        </w:rPr>
        <w:t>T</w:t>
      </w:r>
      <w:r w:rsidRPr="00150494">
        <w:rPr>
          <w:rFonts w:ascii="Arial" w:eastAsia="Arial" w:hAnsi="Arial" w:cs="Arial"/>
          <w:b/>
          <w:bCs/>
          <w:sz w:val="32"/>
          <w:szCs w:val="32"/>
        </w:rPr>
        <w:t xml:space="preserve">hakar </w:t>
      </w:r>
    </w:p>
    <w:p w14:paraId="72163C25" w14:textId="77777777" w:rsidR="00DD79DC" w:rsidRPr="00150494" w:rsidRDefault="00DD79DC" w:rsidP="00DD79DC">
      <w:pPr>
        <w:spacing w:after="0"/>
        <w:jc w:val="center"/>
        <w:rPr>
          <w:rFonts w:ascii="Arial" w:eastAsia="Arial" w:hAnsi="Arial" w:cs="Arial"/>
          <w:b/>
          <w:bCs/>
          <w:sz w:val="32"/>
          <w:szCs w:val="32"/>
        </w:rPr>
      </w:pPr>
      <w:r w:rsidRPr="00150494">
        <w:rPr>
          <w:rFonts w:ascii="Arial" w:eastAsia="Arial" w:hAnsi="Arial" w:cs="Arial"/>
          <w:b/>
          <w:bCs/>
          <w:sz w:val="32"/>
          <w:szCs w:val="32"/>
        </w:rPr>
        <w:t>Student ID: 2509581</w:t>
      </w:r>
    </w:p>
    <w:p w14:paraId="039C4395" w14:textId="5A0E4A88" w:rsidR="00DD79DC" w:rsidRPr="00150494" w:rsidRDefault="00DD79DC">
      <w:pPr>
        <w:spacing w:after="0"/>
        <w:jc w:val="center"/>
        <w:rPr>
          <w:rFonts w:ascii="Arial"/>
          <w:b/>
          <w:spacing w:val="-2"/>
          <w:sz w:val="32"/>
          <w:szCs w:val="32"/>
        </w:rPr>
      </w:pPr>
    </w:p>
    <w:p w14:paraId="4212C39C" w14:textId="77777777" w:rsidR="00DD79DC" w:rsidRPr="00150494" w:rsidRDefault="00DD79DC">
      <w:pPr>
        <w:rPr>
          <w:rFonts w:ascii="Arial"/>
          <w:b/>
          <w:spacing w:val="-2"/>
          <w:sz w:val="32"/>
          <w:szCs w:val="32"/>
        </w:rPr>
      </w:pPr>
      <w:r w:rsidRPr="00150494">
        <w:rPr>
          <w:rFonts w:ascii="Arial"/>
          <w:b/>
          <w:spacing w:val="-2"/>
          <w:sz w:val="32"/>
          <w:szCs w:val="32"/>
        </w:rPr>
        <w:br w:type="page"/>
      </w:r>
    </w:p>
    <w:p w14:paraId="2BD855AC" w14:textId="77777777" w:rsidR="00A937D3" w:rsidRPr="00150494" w:rsidRDefault="00A937D3">
      <w:pPr>
        <w:spacing w:after="0"/>
        <w:jc w:val="center"/>
        <w:rPr>
          <w:rFonts w:ascii="Arial" w:eastAsia="Arial" w:hAnsi="Arial" w:cs="Arial"/>
          <w:b/>
          <w:bCs/>
          <w:sz w:val="32"/>
          <w:szCs w:val="32"/>
        </w:rPr>
      </w:pPr>
    </w:p>
    <w:p w14:paraId="1CD94FB2" w14:textId="77777777" w:rsidR="00A937D3" w:rsidRPr="00150494" w:rsidRDefault="00A937D3">
      <w:pPr>
        <w:spacing w:after="0"/>
        <w:jc w:val="center"/>
        <w:rPr>
          <w:rFonts w:ascii="Arial" w:eastAsia="Arial" w:hAnsi="Arial" w:cs="Arial"/>
          <w:b/>
          <w:bCs/>
          <w:sz w:val="32"/>
          <w:szCs w:val="32"/>
        </w:rPr>
      </w:pPr>
    </w:p>
    <w:p w14:paraId="108B5AC5" w14:textId="77777777" w:rsidR="00A937D3" w:rsidRPr="00150494" w:rsidRDefault="00F676A6">
      <w:pPr>
        <w:jc w:val="center"/>
        <w:rPr>
          <w:rFonts w:ascii="Arial" w:eastAsia="Arial" w:hAnsi="Arial" w:cs="Arial"/>
          <w:b/>
          <w:bCs/>
          <w:sz w:val="28"/>
          <w:szCs w:val="28"/>
        </w:rPr>
      </w:pPr>
      <w:r w:rsidRPr="00150494">
        <w:rPr>
          <w:rFonts w:ascii="Arial" w:eastAsia="Arial" w:hAnsi="Arial" w:cs="Arial"/>
          <w:b/>
          <w:bCs/>
          <w:sz w:val="28"/>
          <w:szCs w:val="28"/>
        </w:rPr>
        <w:t>Table of Contents</w:t>
      </w:r>
    </w:p>
    <w:sdt>
      <w:sdtPr>
        <w:id w:val="-228621148"/>
        <w:docPartObj>
          <w:docPartGallery w:val="Table of Contents"/>
          <w:docPartUnique/>
        </w:docPartObj>
      </w:sdtPr>
      <w:sdtContent>
        <w:p w14:paraId="60392365" w14:textId="40D95FC0" w:rsidR="00982B98" w:rsidRPr="00150494" w:rsidRDefault="00F676A6">
          <w:pPr>
            <w:pStyle w:val="TOC1"/>
            <w:tabs>
              <w:tab w:val="right" w:pos="9350"/>
            </w:tabs>
            <w:rPr>
              <w:noProof/>
            </w:rPr>
          </w:pPr>
          <w:r w:rsidRPr="00150494">
            <w:fldChar w:fldCharType="begin"/>
          </w:r>
          <w:r w:rsidRPr="00150494">
            <w:instrText xml:space="preserve"> TOC \h \u \z \t "Heading 1,1,Heading 2,2,Heading 3,3,Heading 4,4,Heading 5,5,Heading 6,6,"</w:instrText>
          </w:r>
          <w:r w:rsidRPr="00150494">
            <w:fldChar w:fldCharType="separate"/>
          </w:r>
          <w:hyperlink w:anchor="_Toc234585304" w:history="1">
            <w:r w:rsidR="00982B98" w:rsidRPr="00150494">
              <w:rPr>
                <w:rStyle w:val="Hyperlink"/>
                <w:rFonts w:eastAsia="Arial MT"/>
                <w:noProof/>
                <w:color w:val="auto"/>
              </w:rPr>
              <w:t>Task 1: Marketing Environmental Analysis</w:t>
            </w:r>
            <w:r w:rsidR="00982B98" w:rsidRPr="00150494">
              <w:rPr>
                <w:noProof/>
                <w:webHidden/>
              </w:rPr>
              <w:tab/>
            </w:r>
            <w:r w:rsidR="00982B98" w:rsidRPr="00150494">
              <w:rPr>
                <w:noProof/>
                <w:webHidden/>
              </w:rPr>
              <w:fldChar w:fldCharType="begin"/>
            </w:r>
            <w:r w:rsidR="00982B98" w:rsidRPr="00150494">
              <w:rPr>
                <w:noProof/>
                <w:webHidden/>
              </w:rPr>
              <w:instrText xml:space="preserve"> PAGEREF _Toc234585304 \h </w:instrText>
            </w:r>
            <w:r w:rsidR="00982B98" w:rsidRPr="00150494">
              <w:rPr>
                <w:noProof/>
                <w:webHidden/>
              </w:rPr>
            </w:r>
            <w:r w:rsidR="00982B98" w:rsidRPr="00150494">
              <w:rPr>
                <w:noProof/>
                <w:webHidden/>
              </w:rPr>
              <w:fldChar w:fldCharType="separate"/>
            </w:r>
            <w:r w:rsidR="002B54DF">
              <w:rPr>
                <w:noProof/>
                <w:webHidden/>
              </w:rPr>
              <w:t>3</w:t>
            </w:r>
            <w:r w:rsidR="00982B98" w:rsidRPr="00150494">
              <w:rPr>
                <w:noProof/>
                <w:webHidden/>
              </w:rPr>
              <w:fldChar w:fldCharType="end"/>
            </w:r>
          </w:hyperlink>
        </w:p>
        <w:p w14:paraId="0B0FC01F" w14:textId="6B12CA66" w:rsidR="00982B98" w:rsidRPr="00150494" w:rsidRDefault="00982B98">
          <w:pPr>
            <w:pStyle w:val="TOC2"/>
            <w:tabs>
              <w:tab w:val="right" w:pos="9350"/>
            </w:tabs>
            <w:rPr>
              <w:noProof/>
            </w:rPr>
          </w:pPr>
          <w:hyperlink w:anchor="_Toc234585305" w:history="1">
            <w:r w:rsidRPr="00150494">
              <w:rPr>
                <w:rStyle w:val="Hyperlink"/>
                <w:rFonts w:eastAsia="Arial MT"/>
                <w:noProof/>
                <w:color w:val="auto"/>
              </w:rPr>
              <w:t>Factor 1 – Environmental perspectives</w:t>
            </w:r>
            <w:r w:rsidRPr="00150494">
              <w:rPr>
                <w:noProof/>
                <w:webHidden/>
              </w:rPr>
              <w:tab/>
            </w:r>
            <w:r w:rsidRPr="00150494">
              <w:rPr>
                <w:noProof/>
                <w:webHidden/>
              </w:rPr>
              <w:fldChar w:fldCharType="begin"/>
            </w:r>
            <w:r w:rsidRPr="00150494">
              <w:rPr>
                <w:noProof/>
                <w:webHidden/>
              </w:rPr>
              <w:instrText xml:space="preserve"> PAGEREF _Toc234585305 \h </w:instrText>
            </w:r>
            <w:r w:rsidRPr="00150494">
              <w:rPr>
                <w:noProof/>
                <w:webHidden/>
              </w:rPr>
            </w:r>
            <w:r w:rsidRPr="00150494">
              <w:rPr>
                <w:noProof/>
                <w:webHidden/>
              </w:rPr>
              <w:fldChar w:fldCharType="separate"/>
            </w:r>
            <w:r w:rsidR="002B54DF">
              <w:rPr>
                <w:noProof/>
                <w:webHidden/>
              </w:rPr>
              <w:t>3</w:t>
            </w:r>
            <w:r w:rsidRPr="00150494">
              <w:rPr>
                <w:noProof/>
                <w:webHidden/>
              </w:rPr>
              <w:fldChar w:fldCharType="end"/>
            </w:r>
          </w:hyperlink>
        </w:p>
        <w:p w14:paraId="764A2459" w14:textId="4CF661A8" w:rsidR="00982B98" w:rsidRPr="00150494" w:rsidRDefault="00982B98">
          <w:pPr>
            <w:pStyle w:val="TOC3"/>
            <w:tabs>
              <w:tab w:val="right" w:pos="9350"/>
            </w:tabs>
            <w:rPr>
              <w:noProof/>
            </w:rPr>
          </w:pPr>
          <w:hyperlink w:anchor="_Toc234585306" w:history="1">
            <w:r w:rsidRPr="00150494">
              <w:rPr>
                <w:rStyle w:val="Hyperlink"/>
                <w:rFonts w:eastAsia="Arial MT"/>
                <w:noProof/>
                <w:color w:val="auto"/>
              </w:rPr>
              <w:t>Initiatives of the Chinese government to curb GHG emissions</w:t>
            </w:r>
            <w:r w:rsidRPr="00150494">
              <w:rPr>
                <w:noProof/>
                <w:webHidden/>
              </w:rPr>
              <w:tab/>
            </w:r>
            <w:r w:rsidRPr="00150494">
              <w:rPr>
                <w:noProof/>
                <w:webHidden/>
              </w:rPr>
              <w:fldChar w:fldCharType="begin"/>
            </w:r>
            <w:r w:rsidRPr="00150494">
              <w:rPr>
                <w:noProof/>
                <w:webHidden/>
              </w:rPr>
              <w:instrText xml:space="preserve"> PAGEREF _Toc234585306 \h </w:instrText>
            </w:r>
            <w:r w:rsidRPr="00150494">
              <w:rPr>
                <w:noProof/>
                <w:webHidden/>
              </w:rPr>
            </w:r>
            <w:r w:rsidRPr="00150494">
              <w:rPr>
                <w:noProof/>
                <w:webHidden/>
              </w:rPr>
              <w:fldChar w:fldCharType="separate"/>
            </w:r>
            <w:r w:rsidR="002B54DF">
              <w:rPr>
                <w:noProof/>
                <w:webHidden/>
              </w:rPr>
              <w:t>3</w:t>
            </w:r>
            <w:r w:rsidRPr="00150494">
              <w:rPr>
                <w:noProof/>
                <w:webHidden/>
              </w:rPr>
              <w:fldChar w:fldCharType="end"/>
            </w:r>
          </w:hyperlink>
        </w:p>
        <w:p w14:paraId="1561684A" w14:textId="4E703981" w:rsidR="00982B98" w:rsidRPr="00150494" w:rsidRDefault="00982B98">
          <w:pPr>
            <w:pStyle w:val="TOC3"/>
            <w:tabs>
              <w:tab w:val="right" w:pos="9350"/>
            </w:tabs>
            <w:rPr>
              <w:noProof/>
            </w:rPr>
          </w:pPr>
          <w:hyperlink w:anchor="_Toc234585307" w:history="1">
            <w:r w:rsidRPr="00150494">
              <w:rPr>
                <w:rStyle w:val="Hyperlink"/>
                <w:rFonts w:eastAsia="Arial MT"/>
                <w:noProof/>
                <w:color w:val="auto"/>
              </w:rPr>
              <w:t>Initiatives of the Singapore government to curb GHG emissions</w:t>
            </w:r>
            <w:r w:rsidRPr="00150494">
              <w:rPr>
                <w:noProof/>
                <w:webHidden/>
              </w:rPr>
              <w:tab/>
            </w:r>
            <w:r w:rsidRPr="00150494">
              <w:rPr>
                <w:noProof/>
                <w:webHidden/>
              </w:rPr>
              <w:fldChar w:fldCharType="begin"/>
            </w:r>
            <w:r w:rsidRPr="00150494">
              <w:rPr>
                <w:noProof/>
                <w:webHidden/>
              </w:rPr>
              <w:instrText xml:space="preserve"> PAGEREF _Toc234585307 \h </w:instrText>
            </w:r>
            <w:r w:rsidRPr="00150494">
              <w:rPr>
                <w:noProof/>
                <w:webHidden/>
              </w:rPr>
            </w:r>
            <w:r w:rsidRPr="00150494">
              <w:rPr>
                <w:noProof/>
                <w:webHidden/>
              </w:rPr>
              <w:fldChar w:fldCharType="separate"/>
            </w:r>
            <w:r w:rsidR="002B54DF">
              <w:rPr>
                <w:noProof/>
                <w:webHidden/>
              </w:rPr>
              <w:t>4</w:t>
            </w:r>
            <w:r w:rsidRPr="00150494">
              <w:rPr>
                <w:noProof/>
                <w:webHidden/>
              </w:rPr>
              <w:fldChar w:fldCharType="end"/>
            </w:r>
          </w:hyperlink>
        </w:p>
        <w:p w14:paraId="54EA9F65" w14:textId="32D8ADD5" w:rsidR="00982B98" w:rsidRPr="00150494" w:rsidRDefault="00982B98">
          <w:pPr>
            <w:pStyle w:val="TOC3"/>
            <w:tabs>
              <w:tab w:val="right" w:pos="9350"/>
            </w:tabs>
            <w:rPr>
              <w:noProof/>
            </w:rPr>
          </w:pPr>
          <w:hyperlink w:anchor="_Toc234585308" w:history="1">
            <w:r w:rsidRPr="00150494">
              <w:rPr>
                <w:rStyle w:val="Hyperlink"/>
                <w:rFonts w:eastAsia="Arial MT"/>
                <w:noProof/>
                <w:color w:val="auto"/>
              </w:rPr>
              <w:t>Initiatives of the UK government to curb GHG emissions</w:t>
            </w:r>
            <w:r w:rsidRPr="00150494">
              <w:rPr>
                <w:noProof/>
                <w:webHidden/>
              </w:rPr>
              <w:tab/>
            </w:r>
            <w:r w:rsidRPr="00150494">
              <w:rPr>
                <w:noProof/>
                <w:webHidden/>
              </w:rPr>
              <w:fldChar w:fldCharType="begin"/>
            </w:r>
            <w:r w:rsidRPr="00150494">
              <w:rPr>
                <w:noProof/>
                <w:webHidden/>
              </w:rPr>
              <w:instrText xml:space="preserve"> PAGEREF _Toc234585308 \h </w:instrText>
            </w:r>
            <w:r w:rsidRPr="00150494">
              <w:rPr>
                <w:noProof/>
                <w:webHidden/>
              </w:rPr>
            </w:r>
            <w:r w:rsidRPr="00150494">
              <w:rPr>
                <w:noProof/>
                <w:webHidden/>
              </w:rPr>
              <w:fldChar w:fldCharType="separate"/>
            </w:r>
            <w:r w:rsidR="002B54DF">
              <w:rPr>
                <w:noProof/>
                <w:webHidden/>
              </w:rPr>
              <w:t>5</w:t>
            </w:r>
            <w:r w:rsidRPr="00150494">
              <w:rPr>
                <w:noProof/>
                <w:webHidden/>
              </w:rPr>
              <w:fldChar w:fldCharType="end"/>
            </w:r>
          </w:hyperlink>
        </w:p>
        <w:p w14:paraId="47F1CE97" w14:textId="1513CBAB" w:rsidR="00982B98" w:rsidRPr="00150494" w:rsidRDefault="00982B98">
          <w:pPr>
            <w:pStyle w:val="TOC2"/>
            <w:tabs>
              <w:tab w:val="right" w:pos="9350"/>
            </w:tabs>
            <w:rPr>
              <w:noProof/>
            </w:rPr>
          </w:pPr>
          <w:hyperlink w:anchor="_Toc234585309" w:history="1">
            <w:r w:rsidRPr="00150494">
              <w:rPr>
                <w:rStyle w:val="Hyperlink"/>
                <w:rFonts w:eastAsia="Arial MT"/>
                <w:noProof/>
                <w:color w:val="auto"/>
              </w:rPr>
              <w:t>Factor 2 – Social and economic perspectives</w:t>
            </w:r>
            <w:r w:rsidRPr="00150494">
              <w:rPr>
                <w:noProof/>
                <w:webHidden/>
              </w:rPr>
              <w:tab/>
            </w:r>
            <w:r w:rsidRPr="00150494">
              <w:rPr>
                <w:noProof/>
                <w:webHidden/>
              </w:rPr>
              <w:fldChar w:fldCharType="begin"/>
            </w:r>
            <w:r w:rsidRPr="00150494">
              <w:rPr>
                <w:noProof/>
                <w:webHidden/>
              </w:rPr>
              <w:instrText xml:space="preserve"> PAGEREF _Toc234585309 \h </w:instrText>
            </w:r>
            <w:r w:rsidRPr="00150494">
              <w:rPr>
                <w:noProof/>
                <w:webHidden/>
              </w:rPr>
            </w:r>
            <w:r w:rsidRPr="00150494">
              <w:rPr>
                <w:noProof/>
                <w:webHidden/>
              </w:rPr>
              <w:fldChar w:fldCharType="separate"/>
            </w:r>
            <w:r w:rsidR="002B54DF">
              <w:rPr>
                <w:noProof/>
                <w:webHidden/>
              </w:rPr>
              <w:t>7</w:t>
            </w:r>
            <w:r w:rsidRPr="00150494">
              <w:rPr>
                <w:noProof/>
                <w:webHidden/>
              </w:rPr>
              <w:fldChar w:fldCharType="end"/>
            </w:r>
          </w:hyperlink>
        </w:p>
        <w:p w14:paraId="228F5C16" w14:textId="46B72A29" w:rsidR="00982B98" w:rsidRPr="00150494" w:rsidRDefault="00982B98">
          <w:pPr>
            <w:pStyle w:val="TOC2"/>
            <w:tabs>
              <w:tab w:val="right" w:pos="9350"/>
            </w:tabs>
            <w:rPr>
              <w:noProof/>
            </w:rPr>
          </w:pPr>
          <w:hyperlink w:anchor="_Toc234585310" w:history="1">
            <w:r w:rsidRPr="00150494">
              <w:rPr>
                <w:rStyle w:val="Hyperlink"/>
                <w:rFonts w:eastAsia="Arial MT"/>
                <w:noProof/>
                <w:color w:val="auto"/>
              </w:rPr>
              <w:t>Marketing Information System</w:t>
            </w:r>
            <w:r w:rsidRPr="00150494">
              <w:rPr>
                <w:noProof/>
                <w:webHidden/>
              </w:rPr>
              <w:tab/>
            </w:r>
            <w:r w:rsidRPr="00150494">
              <w:rPr>
                <w:noProof/>
                <w:webHidden/>
              </w:rPr>
              <w:fldChar w:fldCharType="begin"/>
            </w:r>
            <w:r w:rsidRPr="00150494">
              <w:rPr>
                <w:noProof/>
                <w:webHidden/>
              </w:rPr>
              <w:instrText xml:space="preserve"> PAGEREF _Toc234585310 \h </w:instrText>
            </w:r>
            <w:r w:rsidRPr="00150494">
              <w:rPr>
                <w:noProof/>
                <w:webHidden/>
              </w:rPr>
            </w:r>
            <w:r w:rsidRPr="00150494">
              <w:rPr>
                <w:noProof/>
                <w:webHidden/>
              </w:rPr>
              <w:fldChar w:fldCharType="separate"/>
            </w:r>
            <w:r w:rsidR="002B54DF">
              <w:rPr>
                <w:noProof/>
                <w:webHidden/>
              </w:rPr>
              <w:t>8</w:t>
            </w:r>
            <w:r w:rsidRPr="00150494">
              <w:rPr>
                <w:noProof/>
                <w:webHidden/>
              </w:rPr>
              <w:fldChar w:fldCharType="end"/>
            </w:r>
          </w:hyperlink>
        </w:p>
        <w:p w14:paraId="70CC7AAD" w14:textId="5716EF2B" w:rsidR="00982B98" w:rsidRPr="00150494" w:rsidRDefault="00982B98">
          <w:pPr>
            <w:pStyle w:val="TOC1"/>
            <w:tabs>
              <w:tab w:val="right" w:pos="9350"/>
            </w:tabs>
            <w:rPr>
              <w:noProof/>
            </w:rPr>
          </w:pPr>
          <w:hyperlink w:anchor="_Toc234585311" w:history="1">
            <w:r w:rsidRPr="00150494">
              <w:rPr>
                <w:rStyle w:val="Hyperlink"/>
                <w:rFonts w:eastAsia="Arial MT"/>
                <w:noProof/>
                <w:color w:val="auto"/>
              </w:rPr>
              <w:t>Task 2: Strategic Growth and Competitive Positioning</w:t>
            </w:r>
            <w:r w:rsidRPr="00150494">
              <w:rPr>
                <w:noProof/>
                <w:webHidden/>
              </w:rPr>
              <w:tab/>
            </w:r>
            <w:r w:rsidRPr="00150494">
              <w:rPr>
                <w:noProof/>
                <w:webHidden/>
              </w:rPr>
              <w:fldChar w:fldCharType="begin"/>
            </w:r>
            <w:r w:rsidRPr="00150494">
              <w:rPr>
                <w:noProof/>
                <w:webHidden/>
              </w:rPr>
              <w:instrText xml:space="preserve"> PAGEREF _Toc234585311 \h </w:instrText>
            </w:r>
            <w:r w:rsidRPr="00150494">
              <w:rPr>
                <w:noProof/>
                <w:webHidden/>
              </w:rPr>
            </w:r>
            <w:r w:rsidRPr="00150494">
              <w:rPr>
                <w:noProof/>
                <w:webHidden/>
              </w:rPr>
              <w:fldChar w:fldCharType="separate"/>
            </w:r>
            <w:r w:rsidR="002B54DF">
              <w:rPr>
                <w:noProof/>
                <w:webHidden/>
              </w:rPr>
              <w:t>10</w:t>
            </w:r>
            <w:r w:rsidRPr="00150494">
              <w:rPr>
                <w:noProof/>
                <w:webHidden/>
              </w:rPr>
              <w:fldChar w:fldCharType="end"/>
            </w:r>
          </w:hyperlink>
        </w:p>
        <w:p w14:paraId="6F8B3203" w14:textId="704F942C" w:rsidR="00982B98" w:rsidRPr="00150494" w:rsidRDefault="00982B98">
          <w:pPr>
            <w:pStyle w:val="TOC2"/>
            <w:tabs>
              <w:tab w:val="right" w:pos="9350"/>
            </w:tabs>
            <w:rPr>
              <w:noProof/>
            </w:rPr>
          </w:pPr>
          <w:hyperlink w:anchor="_Toc234585312" w:history="1">
            <w:r w:rsidRPr="00150494">
              <w:rPr>
                <w:rStyle w:val="Hyperlink"/>
                <w:rFonts w:eastAsia="Arial MT"/>
                <w:noProof/>
                <w:color w:val="auto"/>
              </w:rPr>
              <w:t>Strategic growth approach (Ansoff Matrix)</w:t>
            </w:r>
            <w:r w:rsidRPr="00150494">
              <w:rPr>
                <w:noProof/>
                <w:webHidden/>
              </w:rPr>
              <w:tab/>
            </w:r>
            <w:r w:rsidRPr="00150494">
              <w:rPr>
                <w:noProof/>
                <w:webHidden/>
              </w:rPr>
              <w:fldChar w:fldCharType="begin"/>
            </w:r>
            <w:r w:rsidRPr="00150494">
              <w:rPr>
                <w:noProof/>
                <w:webHidden/>
              </w:rPr>
              <w:instrText xml:space="preserve"> PAGEREF _Toc234585312 \h </w:instrText>
            </w:r>
            <w:r w:rsidRPr="00150494">
              <w:rPr>
                <w:noProof/>
                <w:webHidden/>
              </w:rPr>
            </w:r>
            <w:r w:rsidRPr="00150494">
              <w:rPr>
                <w:noProof/>
                <w:webHidden/>
              </w:rPr>
              <w:fldChar w:fldCharType="separate"/>
            </w:r>
            <w:r w:rsidR="002B54DF">
              <w:rPr>
                <w:noProof/>
                <w:webHidden/>
              </w:rPr>
              <w:t>10</w:t>
            </w:r>
            <w:r w:rsidRPr="00150494">
              <w:rPr>
                <w:noProof/>
                <w:webHidden/>
              </w:rPr>
              <w:fldChar w:fldCharType="end"/>
            </w:r>
          </w:hyperlink>
        </w:p>
        <w:p w14:paraId="4A0A7DF9" w14:textId="32FA80C6" w:rsidR="00982B98" w:rsidRPr="00150494" w:rsidRDefault="00982B98">
          <w:pPr>
            <w:pStyle w:val="TOC2"/>
            <w:tabs>
              <w:tab w:val="right" w:pos="9350"/>
            </w:tabs>
            <w:rPr>
              <w:noProof/>
            </w:rPr>
          </w:pPr>
          <w:hyperlink w:anchor="_Toc234585313" w:history="1">
            <w:r w:rsidRPr="00150494">
              <w:rPr>
                <w:rStyle w:val="Hyperlink"/>
                <w:rFonts w:eastAsia="Arial MT"/>
                <w:noProof/>
                <w:color w:val="auto"/>
              </w:rPr>
              <w:t>Achieving competitive positioning (Porter’s Generic Strategies and Positioning)</w:t>
            </w:r>
            <w:r w:rsidRPr="00150494">
              <w:rPr>
                <w:noProof/>
                <w:webHidden/>
              </w:rPr>
              <w:tab/>
            </w:r>
            <w:r w:rsidRPr="00150494">
              <w:rPr>
                <w:noProof/>
                <w:webHidden/>
              </w:rPr>
              <w:fldChar w:fldCharType="begin"/>
            </w:r>
            <w:r w:rsidRPr="00150494">
              <w:rPr>
                <w:noProof/>
                <w:webHidden/>
              </w:rPr>
              <w:instrText xml:space="preserve"> PAGEREF _Toc234585313 \h </w:instrText>
            </w:r>
            <w:r w:rsidRPr="00150494">
              <w:rPr>
                <w:noProof/>
                <w:webHidden/>
              </w:rPr>
            </w:r>
            <w:r w:rsidRPr="00150494">
              <w:rPr>
                <w:noProof/>
                <w:webHidden/>
              </w:rPr>
              <w:fldChar w:fldCharType="separate"/>
            </w:r>
            <w:r w:rsidR="002B54DF">
              <w:rPr>
                <w:noProof/>
                <w:webHidden/>
              </w:rPr>
              <w:t>11</w:t>
            </w:r>
            <w:r w:rsidRPr="00150494">
              <w:rPr>
                <w:noProof/>
                <w:webHidden/>
              </w:rPr>
              <w:fldChar w:fldCharType="end"/>
            </w:r>
          </w:hyperlink>
        </w:p>
        <w:p w14:paraId="0F8F8E0E" w14:textId="3F4456DA" w:rsidR="00982B98" w:rsidRPr="00150494" w:rsidRDefault="00982B98">
          <w:pPr>
            <w:pStyle w:val="TOC2"/>
            <w:tabs>
              <w:tab w:val="right" w:pos="9350"/>
            </w:tabs>
            <w:rPr>
              <w:noProof/>
            </w:rPr>
          </w:pPr>
          <w:hyperlink w:anchor="_Toc234585314" w:history="1">
            <w:r w:rsidRPr="00150494">
              <w:rPr>
                <w:rStyle w:val="Hyperlink"/>
                <w:rFonts w:eastAsia="Arial MT"/>
                <w:noProof/>
                <w:color w:val="auto"/>
              </w:rPr>
              <w:t>Benefits of lower-carbon business model in achieving competitive advantage</w:t>
            </w:r>
            <w:r w:rsidRPr="00150494">
              <w:rPr>
                <w:noProof/>
                <w:webHidden/>
              </w:rPr>
              <w:tab/>
            </w:r>
            <w:r w:rsidRPr="00150494">
              <w:rPr>
                <w:noProof/>
                <w:webHidden/>
              </w:rPr>
              <w:fldChar w:fldCharType="begin"/>
            </w:r>
            <w:r w:rsidRPr="00150494">
              <w:rPr>
                <w:noProof/>
                <w:webHidden/>
              </w:rPr>
              <w:instrText xml:space="preserve"> PAGEREF _Toc234585314 \h </w:instrText>
            </w:r>
            <w:r w:rsidRPr="00150494">
              <w:rPr>
                <w:noProof/>
                <w:webHidden/>
              </w:rPr>
            </w:r>
            <w:r w:rsidRPr="00150494">
              <w:rPr>
                <w:noProof/>
                <w:webHidden/>
              </w:rPr>
              <w:fldChar w:fldCharType="separate"/>
            </w:r>
            <w:r w:rsidR="002B54DF">
              <w:rPr>
                <w:noProof/>
                <w:webHidden/>
              </w:rPr>
              <w:t>12</w:t>
            </w:r>
            <w:r w:rsidRPr="00150494">
              <w:rPr>
                <w:noProof/>
                <w:webHidden/>
              </w:rPr>
              <w:fldChar w:fldCharType="end"/>
            </w:r>
          </w:hyperlink>
        </w:p>
        <w:p w14:paraId="11496556" w14:textId="0735D98A" w:rsidR="00982B98" w:rsidRPr="00150494" w:rsidRDefault="00982B98">
          <w:pPr>
            <w:pStyle w:val="TOC2"/>
            <w:tabs>
              <w:tab w:val="right" w:pos="9350"/>
            </w:tabs>
            <w:rPr>
              <w:noProof/>
            </w:rPr>
          </w:pPr>
          <w:hyperlink w:anchor="_Toc234585315" w:history="1">
            <w:r w:rsidRPr="00150494">
              <w:rPr>
                <w:rStyle w:val="Hyperlink"/>
                <w:rFonts w:eastAsia="Arial MT"/>
                <w:noProof/>
                <w:color w:val="auto"/>
              </w:rPr>
              <w:t>SERVQUAL model</w:t>
            </w:r>
            <w:r w:rsidRPr="00150494">
              <w:rPr>
                <w:noProof/>
                <w:webHidden/>
              </w:rPr>
              <w:tab/>
            </w:r>
            <w:r w:rsidRPr="00150494">
              <w:rPr>
                <w:noProof/>
                <w:webHidden/>
              </w:rPr>
              <w:fldChar w:fldCharType="begin"/>
            </w:r>
            <w:r w:rsidRPr="00150494">
              <w:rPr>
                <w:noProof/>
                <w:webHidden/>
              </w:rPr>
              <w:instrText xml:space="preserve"> PAGEREF _Toc234585315 \h </w:instrText>
            </w:r>
            <w:r w:rsidRPr="00150494">
              <w:rPr>
                <w:noProof/>
                <w:webHidden/>
              </w:rPr>
            </w:r>
            <w:r w:rsidRPr="00150494">
              <w:rPr>
                <w:noProof/>
                <w:webHidden/>
              </w:rPr>
              <w:fldChar w:fldCharType="separate"/>
            </w:r>
            <w:r w:rsidR="002B54DF">
              <w:rPr>
                <w:noProof/>
                <w:webHidden/>
              </w:rPr>
              <w:t>13</w:t>
            </w:r>
            <w:r w:rsidRPr="00150494">
              <w:rPr>
                <w:noProof/>
                <w:webHidden/>
              </w:rPr>
              <w:fldChar w:fldCharType="end"/>
            </w:r>
          </w:hyperlink>
        </w:p>
        <w:p w14:paraId="47C15B33" w14:textId="3C2F6FF5" w:rsidR="00982B98" w:rsidRPr="00150494" w:rsidRDefault="00982B98">
          <w:pPr>
            <w:pStyle w:val="TOC1"/>
            <w:tabs>
              <w:tab w:val="right" w:pos="9350"/>
            </w:tabs>
            <w:rPr>
              <w:noProof/>
            </w:rPr>
          </w:pPr>
          <w:hyperlink w:anchor="_Toc234585316" w:history="1">
            <w:r w:rsidRPr="00150494">
              <w:rPr>
                <w:rStyle w:val="Hyperlink"/>
                <w:rFonts w:eastAsia="Arial MT"/>
                <w:noProof/>
                <w:color w:val="auto"/>
              </w:rPr>
              <w:t>Task 3: Critical Reflection on AI Usage</w:t>
            </w:r>
            <w:r w:rsidRPr="00150494">
              <w:rPr>
                <w:noProof/>
                <w:webHidden/>
              </w:rPr>
              <w:tab/>
            </w:r>
            <w:r w:rsidRPr="00150494">
              <w:rPr>
                <w:noProof/>
                <w:webHidden/>
              </w:rPr>
              <w:fldChar w:fldCharType="begin"/>
            </w:r>
            <w:r w:rsidRPr="00150494">
              <w:rPr>
                <w:noProof/>
                <w:webHidden/>
              </w:rPr>
              <w:instrText xml:space="preserve"> PAGEREF _Toc234585316 \h </w:instrText>
            </w:r>
            <w:r w:rsidRPr="00150494">
              <w:rPr>
                <w:noProof/>
                <w:webHidden/>
              </w:rPr>
            </w:r>
            <w:r w:rsidRPr="00150494">
              <w:rPr>
                <w:noProof/>
                <w:webHidden/>
              </w:rPr>
              <w:fldChar w:fldCharType="separate"/>
            </w:r>
            <w:r w:rsidR="002B54DF">
              <w:rPr>
                <w:noProof/>
                <w:webHidden/>
              </w:rPr>
              <w:t>15</w:t>
            </w:r>
            <w:r w:rsidRPr="00150494">
              <w:rPr>
                <w:noProof/>
                <w:webHidden/>
              </w:rPr>
              <w:fldChar w:fldCharType="end"/>
            </w:r>
          </w:hyperlink>
        </w:p>
        <w:p w14:paraId="5FD48DE4" w14:textId="6CD41D41" w:rsidR="00982B98" w:rsidRPr="00150494" w:rsidRDefault="00982B98">
          <w:pPr>
            <w:pStyle w:val="TOC2"/>
            <w:tabs>
              <w:tab w:val="right" w:pos="9350"/>
            </w:tabs>
            <w:rPr>
              <w:noProof/>
            </w:rPr>
          </w:pPr>
          <w:hyperlink w:anchor="_Toc234585317" w:history="1">
            <w:r w:rsidRPr="00150494">
              <w:rPr>
                <w:rStyle w:val="Hyperlink"/>
                <w:rFonts w:eastAsia="Arial MT"/>
                <w:noProof/>
                <w:color w:val="auto"/>
              </w:rPr>
              <w:t>Tool disclosure</w:t>
            </w:r>
            <w:r w:rsidRPr="00150494">
              <w:rPr>
                <w:noProof/>
                <w:webHidden/>
              </w:rPr>
              <w:tab/>
            </w:r>
            <w:r w:rsidRPr="00150494">
              <w:rPr>
                <w:noProof/>
                <w:webHidden/>
              </w:rPr>
              <w:fldChar w:fldCharType="begin"/>
            </w:r>
            <w:r w:rsidRPr="00150494">
              <w:rPr>
                <w:noProof/>
                <w:webHidden/>
              </w:rPr>
              <w:instrText xml:space="preserve"> PAGEREF _Toc234585317 \h </w:instrText>
            </w:r>
            <w:r w:rsidRPr="00150494">
              <w:rPr>
                <w:noProof/>
                <w:webHidden/>
              </w:rPr>
            </w:r>
            <w:r w:rsidRPr="00150494">
              <w:rPr>
                <w:noProof/>
                <w:webHidden/>
              </w:rPr>
              <w:fldChar w:fldCharType="separate"/>
            </w:r>
            <w:r w:rsidR="002B54DF">
              <w:rPr>
                <w:noProof/>
                <w:webHidden/>
              </w:rPr>
              <w:t>15</w:t>
            </w:r>
            <w:r w:rsidRPr="00150494">
              <w:rPr>
                <w:noProof/>
                <w:webHidden/>
              </w:rPr>
              <w:fldChar w:fldCharType="end"/>
            </w:r>
          </w:hyperlink>
        </w:p>
        <w:p w14:paraId="78543FE9" w14:textId="7DBEF338" w:rsidR="00982B98" w:rsidRPr="00150494" w:rsidRDefault="00982B98">
          <w:pPr>
            <w:pStyle w:val="TOC2"/>
            <w:tabs>
              <w:tab w:val="right" w:pos="9350"/>
            </w:tabs>
            <w:rPr>
              <w:noProof/>
            </w:rPr>
          </w:pPr>
          <w:hyperlink w:anchor="_Toc234585318" w:history="1">
            <w:r w:rsidRPr="00150494">
              <w:rPr>
                <w:rStyle w:val="Hyperlink"/>
                <w:rFonts w:eastAsia="Arial MT"/>
                <w:noProof/>
                <w:color w:val="auto"/>
              </w:rPr>
              <w:t>Critical evaluation of AI output</w:t>
            </w:r>
            <w:r w:rsidRPr="00150494">
              <w:rPr>
                <w:noProof/>
                <w:webHidden/>
              </w:rPr>
              <w:tab/>
            </w:r>
            <w:r w:rsidRPr="00150494">
              <w:rPr>
                <w:noProof/>
                <w:webHidden/>
              </w:rPr>
              <w:fldChar w:fldCharType="begin"/>
            </w:r>
            <w:r w:rsidRPr="00150494">
              <w:rPr>
                <w:noProof/>
                <w:webHidden/>
              </w:rPr>
              <w:instrText xml:space="preserve"> PAGEREF _Toc234585318 \h </w:instrText>
            </w:r>
            <w:r w:rsidRPr="00150494">
              <w:rPr>
                <w:noProof/>
                <w:webHidden/>
              </w:rPr>
            </w:r>
            <w:r w:rsidRPr="00150494">
              <w:rPr>
                <w:noProof/>
                <w:webHidden/>
              </w:rPr>
              <w:fldChar w:fldCharType="separate"/>
            </w:r>
            <w:r w:rsidR="002B54DF">
              <w:rPr>
                <w:noProof/>
                <w:webHidden/>
              </w:rPr>
              <w:t>15</w:t>
            </w:r>
            <w:r w:rsidRPr="00150494">
              <w:rPr>
                <w:noProof/>
                <w:webHidden/>
              </w:rPr>
              <w:fldChar w:fldCharType="end"/>
            </w:r>
          </w:hyperlink>
        </w:p>
        <w:p w14:paraId="5324D6EA" w14:textId="21A8394C" w:rsidR="00982B98" w:rsidRPr="00150494" w:rsidRDefault="00982B98">
          <w:pPr>
            <w:pStyle w:val="TOC2"/>
            <w:tabs>
              <w:tab w:val="right" w:pos="9350"/>
            </w:tabs>
            <w:rPr>
              <w:noProof/>
            </w:rPr>
          </w:pPr>
          <w:hyperlink w:anchor="_Toc234585319" w:history="1">
            <w:r w:rsidRPr="00150494">
              <w:rPr>
                <w:rStyle w:val="Hyperlink"/>
                <w:rFonts w:eastAsia="Arial MT"/>
                <w:noProof/>
                <w:color w:val="auto"/>
              </w:rPr>
              <w:t>Contribution analysis</w:t>
            </w:r>
            <w:r w:rsidRPr="00150494">
              <w:rPr>
                <w:noProof/>
                <w:webHidden/>
              </w:rPr>
              <w:tab/>
            </w:r>
            <w:r w:rsidRPr="00150494">
              <w:rPr>
                <w:noProof/>
                <w:webHidden/>
              </w:rPr>
              <w:fldChar w:fldCharType="begin"/>
            </w:r>
            <w:r w:rsidRPr="00150494">
              <w:rPr>
                <w:noProof/>
                <w:webHidden/>
              </w:rPr>
              <w:instrText xml:space="preserve"> PAGEREF _Toc234585319 \h </w:instrText>
            </w:r>
            <w:r w:rsidRPr="00150494">
              <w:rPr>
                <w:noProof/>
                <w:webHidden/>
              </w:rPr>
            </w:r>
            <w:r w:rsidRPr="00150494">
              <w:rPr>
                <w:noProof/>
                <w:webHidden/>
              </w:rPr>
              <w:fldChar w:fldCharType="separate"/>
            </w:r>
            <w:r w:rsidR="002B54DF">
              <w:rPr>
                <w:noProof/>
                <w:webHidden/>
              </w:rPr>
              <w:t>17</w:t>
            </w:r>
            <w:r w:rsidRPr="00150494">
              <w:rPr>
                <w:noProof/>
                <w:webHidden/>
              </w:rPr>
              <w:fldChar w:fldCharType="end"/>
            </w:r>
          </w:hyperlink>
        </w:p>
        <w:p w14:paraId="47559FDB" w14:textId="313B21ED" w:rsidR="00982B98" w:rsidRPr="00150494" w:rsidRDefault="00982B98">
          <w:pPr>
            <w:pStyle w:val="TOC2"/>
            <w:tabs>
              <w:tab w:val="right" w:pos="9350"/>
            </w:tabs>
            <w:rPr>
              <w:noProof/>
            </w:rPr>
          </w:pPr>
          <w:hyperlink w:anchor="_Toc234585320" w:history="1">
            <w:r w:rsidRPr="00150494">
              <w:rPr>
                <w:rStyle w:val="Hyperlink"/>
                <w:rFonts w:eastAsia="Arial MT"/>
                <w:noProof/>
                <w:color w:val="auto"/>
              </w:rPr>
              <w:t>Ethical and professional reflection</w:t>
            </w:r>
            <w:r w:rsidRPr="00150494">
              <w:rPr>
                <w:noProof/>
                <w:webHidden/>
              </w:rPr>
              <w:tab/>
            </w:r>
            <w:r w:rsidRPr="00150494">
              <w:rPr>
                <w:noProof/>
                <w:webHidden/>
              </w:rPr>
              <w:fldChar w:fldCharType="begin"/>
            </w:r>
            <w:r w:rsidRPr="00150494">
              <w:rPr>
                <w:noProof/>
                <w:webHidden/>
              </w:rPr>
              <w:instrText xml:space="preserve"> PAGEREF _Toc234585320 \h </w:instrText>
            </w:r>
            <w:r w:rsidRPr="00150494">
              <w:rPr>
                <w:noProof/>
                <w:webHidden/>
              </w:rPr>
            </w:r>
            <w:r w:rsidRPr="00150494">
              <w:rPr>
                <w:noProof/>
                <w:webHidden/>
              </w:rPr>
              <w:fldChar w:fldCharType="separate"/>
            </w:r>
            <w:r w:rsidR="002B54DF">
              <w:rPr>
                <w:noProof/>
                <w:webHidden/>
              </w:rPr>
              <w:t>18</w:t>
            </w:r>
            <w:r w:rsidRPr="00150494">
              <w:rPr>
                <w:noProof/>
                <w:webHidden/>
              </w:rPr>
              <w:fldChar w:fldCharType="end"/>
            </w:r>
          </w:hyperlink>
        </w:p>
        <w:p w14:paraId="3AE26E06" w14:textId="15916F6D" w:rsidR="00982B98" w:rsidRPr="00150494" w:rsidRDefault="00982B98">
          <w:pPr>
            <w:pStyle w:val="TOC1"/>
            <w:tabs>
              <w:tab w:val="right" w:pos="9350"/>
            </w:tabs>
            <w:rPr>
              <w:noProof/>
            </w:rPr>
          </w:pPr>
          <w:hyperlink w:anchor="_Toc234585321" w:history="1">
            <w:r w:rsidRPr="00150494">
              <w:rPr>
                <w:rStyle w:val="Hyperlink"/>
                <w:rFonts w:eastAsia="Arial MT"/>
                <w:noProof/>
                <w:color w:val="auto"/>
              </w:rPr>
              <w:t>Reference list</w:t>
            </w:r>
            <w:r w:rsidRPr="00150494">
              <w:rPr>
                <w:noProof/>
                <w:webHidden/>
              </w:rPr>
              <w:tab/>
            </w:r>
            <w:r w:rsidRPr="00150494">
              <w:rPr>
                <w:noProof/>
                <w:webHidden/>
              </w:rPr>
              <w:fldChar w:fldCharType="begin"/>
            </w:r>
            <w:r w:rsidRPr="00150494">
              <w:rPr>
                <w:noProof/>
                <w:webHidden/>
              </w:rPr>
              <w:instrText xml:space="preserve"> PAGEREF _Toc234585321 \h </w:instrText>
            </w:r>
            <w:r w:rsidRPr="00150494">
              <w:rPr>
                <w:noProof/>
                <w:webHidden/>
              </w:rPr>
            </w:r>
            <w:r w:rsidRPr="00150494">
              <w:rPr>
                <w:noProof/>
                <w:webHidden/>
              </w:rPr>
              <w:fldChar w:fldCharType="separate"/>
            </w:r>
            <w:r w:rsidR="002B54DF">
              <w:rPr>
                <w:noProof/>
                <w:webHidden/>
              </w:rPr>
              <w:t>19</w:t>
            </w:r>
            <w:r w:rsidRPr="00150494">
              <w:rPr>
                <w:noProof/>
                <w:webHidden/>
              </w:rPr>
              <w:fldChar w:fldCharType="end"/>
            </w:r>
          </w:hyperlink>
        </w:p>
        <w:p w14:paraId="5DF149FE" w14:textId="2B11AD7B" w:rsidR="00A937D3" w:rsidRPr="00150494" w:rsidRDefault="00F676A6">
          <w:pPr>
            <w:widowControl w:val="0"/>
            <w:tabs>
              <w:tab w:val="right" w:pos="9360"/>
            </w:tabs>
            <w:spacing w:before="60" w:after="0"/>
            <w:rPr>
              <w:rFonts w:ascii="Arial" w:eastAsia="Arial" w:hAnsi="Arial" w:cs="Arial"/>
            </w:rPr>
          </w:pPr>
          <w:r w:rsidRPr="00150494">
            <w:fldChar w:fldCharType="end"/>
          </w:r>
        </w:p>
      </w:sdtContent>
    </w:sdt>
    <w:p w14:paraId="0CB07183" w14:textId="77777777" w:rsidR="00A937D3" w:rsidRPr="00150494" w:rsidRDefault="00F676A6">
      <w:pPr>
        <w:rPr>
          <w:rFonts w:ascii="Arial" w:eastAsia="Arial" w:hAnsi="Arial" w:cs="Arial"/>
          <w:b/>
          <w:bCs/>
        </w:rPr>
      </w:pPr>
      <w:r w:rsidRPr="00150494">
        <w:br w:type="page"/>
      </w:r>
    </w:p>
    <w:p w14:paraId="67FF7911" w14:textId="77777777" w:rsidR="00A937D3" w:rsidRPr="00150494" w:rsidRDefault="00F676A6">
      <w:pPr>
        <w:pStyle w:val="Heading1"/>
      </w:pPr>
      <w:bookmarkStart w:id="0" w:name="_6kpb2cno322m" w:colFirst="0" w:colLast="0"/>
      <w:bookmarkStart w:id="1" w:name="_Toc234585304"/>
      <w:bookmarkEnd w:id="0"/>
      <w:r w:rsidRPr="00150494">
        <w:lastRenderedPageBreak/>
        <w:t>Task 1: Marketing Environmental Analysis</w:t>
      </w:r>
      <w:bookmarkEnd w:id="1"/>
    </w:p>
    <w:p w14:paraId="4ED47025" w14:textId="77777777" w:rsidR="00A937D3" w:rsidRPr="00150494" w:rsidRDefault="00F676A6">
      <w:pPr>
        <w:pStyle w:val="Heading2"/>
      </w:pPr>
      <w:bookmarkStart w:id="2" w:name="_jbdgqgupg9ug" w:colFirst="0" w:colLast="0"/>
      <w:bookmarkStart w:id="3" w:name="_Toc234585305"/>
      <w:bookmarkEnd w:id="2"/>
      <w:r w:rsidRPr="00150494">
        <w:t>Factor 1 – Environmental perspectives</w:t>
      </w:r>
      <w:bookmarkEnd w:id="3"/>
    </w:p>
    <w:p w14:paraId="46DF15A8" w14:textId="77777777" w:rsidR="00A937D3" w:rsidRPr="00150494" w:rsidRDefault="00F676A6">
      <w:pPr>
        <w:pStyle w:val="Heading3"/>
        <w:rPr>
          <w:color w:val="auto"/>
        </w:rPr>
      </w:pPr>
      <w:bookmarkStart w:id="4" w:name="_pg6m3jlp082c" w:colFirst="0" w:colLast="0"/>
      <w:bookmarkStart w:id="5" w:name="_Toc234585306"/>
      <w:bookmarkEnd w:id="4"/>
      <w:r w:rsidRPr="00150494">
        <w:rPr>
          <w:color w:val="auto"/>
        </w:rPr>
        <w:t>Initiatives of the Chinese government to curb GHG emissions</w:t>
      </w:r>
      <w:bookmarkEnd w:id="5"/>
    </w:p>
    <w:p w14:paraId="774E9C2E" w14:textId="77777777" w:rsidR="00A937D3" w:rsidRPr="00150494" w:rsidRDefault="00F676A6">
      <w:pPr>
        <w:rPr>
          <w:rFonts w:ascii="Arial" w:eastAsia="Arial" w:hAnsi="Arial" w:cs="Arial"/>
        </w:rPr>
      </w:pPr>
      <w:r w:rsidRPr="00150494">
        <w:rPr>
          <w:rFonts w:ascii="Arial" w:eastAsia="Arial" w:hAnsi="Arial" w:cs="Arial"/>
        </w:rPr>
        <w:t>The overall rating of the sustainability initiatives by the Chinese government has been remarked as highly insufficient as the target of becoming net zero is set to 2060 (Climate Action Tracker, 2026). On the other hand, Howe (2026) has found that China is all set to cut its carbon intensity by 17% in its present five-year plan as a result of missing the previous five-year target of 18% by cutting only around 12%. According to CREA research, there is a need for China to cut 23% of its carbon intensity in the next five years in order to comply with the Paris Climate Agreement.</w:t>
      </w:r>
    </w:p>
    <w:p w14:paraId="1DCA7BDC" w14:textId="77777777" w:rsidR="00A937D3" w:rsidRPr="00150494" w:rsidRDefault="00F676A6">
      <w:pPr>
        <w:jc w:val="center"/>
        <w:rPr>
          <w:rFonts w:ascii="Arial" w:eastAsia="Arial" w:hAnsi="Arial" w:cs="Arial"/>
        </w:rPr>
      </w:pPr>
      <w:r w:rsidRPr="00150494">
        <w:rPr>
          <w:rFonts w:ascii="Arial" w:eastAsia="Arial" w:hAnsi="Arial" w:cs="Arial"/>
          <w:noProof/>
          <w:lang w:val="en-IN"/>
        </w:rPr>
        <w:drawing>
          <wp:inline distT="114300" distB="114300" distL="114300" distR="114300" wp14:anchorId="02C0C5DB" wp14:editId="387314FC">
            <wp:extent cx="5731200" cy="34036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14:paraId="7BFE772B" w14:textId="77777777" w:rsidR="00A937D3" w:rsidRPr="00150494" w:rsidRDefault="00F676A6">
      <w:pPr>
        <w:jc w:val="center"/>
        <w:rPr>
          <w:rFonts w:ascii="Arial" w:eastAsia="Arial" w:hAnsi="Arial" w:cs="Arial"/>
          <w:b/>
          <w:bCs/>
        </w:rPr>
      </w:pPr>
      <w:r w:rsidRPr="00150494">
        <w:rPr>
          <w:rFonts w:ascii="Arial" w:eastAsia="Arial" w:hAnsi="Arial" w:cs="Arial"/>
          <w:b/>
          <w:bCs/>
        </w:rPr>
        <w:t>Figure 1: Overall rating of Chinese sustainability policies</w:t>
      </w:r>
    </w:p>
    <w:p w14:paraId="6C2E9B10" w14:textId="77777777" w:rsidR="00A937D3" w:rsidRPr="00150494" w:rsidRDefault="00F676A6">
      <w:pPr>
        <w:jc w:val="center"/>
        <w:rPr>
          <w:rFonts w:ascii="Arial" w:eastAsia="Arial" w:hAnsi="Arial" w:cs="Arial"/>
        </w:rPr>
      </w:pPr>
      <w:r w:rsidRPr="00150494">
        <w:rPr>
          <w:rFonts w:ascii="Arial" w:eastAsia="Arial" w:hAnsi="Arial" w:cs="Arial"/>
        </w:rPr>
        <w:t>(Source: Climate Action Tracker, 2026)</w:t>
      </w:r>
    </w:p>
    <w:p w14:paraId="52FFAB20" w14:textId="77777777" w:rsidR="00A937D3" w:rsidRPr="00150494" w:rsidRDefault="00F676A6">
      <w:pPr>
        <w:rPr>
          <w:rFonts w:ascii="Arial" w:eastAsia="Arial" w:hAnsi="Arial" w:cs="Arial"/>
        </w:rPr>
      </w:pPr>
      <w:r w:rsidRPr="00150494">
        <w:rPr>
          <w:rFonts w:ascii="Arial" w:eastAsia="Arial" w:hAnsi="Arial" w:cs="Arial"/>
        </w:rPr>
        <w:t xml:space="preserve">Apart from the above statistics, it is also evident that the Chinese government has committed itself in reducing greenhouse gases (GHG) emissions by 7-10% before 2035, increasing use of non-fossil fuels by 30% and expanding its solar and wind energy capacities to 3,600 gigawatts (Mazzocco and Seligsohn, 2025). It is also declared by Xi </w:t>
      </w:r>
      <w:r w:rsidRPr="00150494">
        <w:rPr>
          <w:rFonts w:ascii="Arial" w:eastAsia="Arial" w:hAnsi="Arial" w:cs="Arial"/>
        </w:rPr>
        <w:lastRenderedPageBreak/>
        <w:t>Jinping at the UNGA that the livestock volume will be expanded to 24 billion cubic meters considering its highest annual carbon emissions of 11.9 billion tons in 2023 compared to 4.9 billion tons and 3.1 billion tons of the United States and India respectively.</w:t>
      </w:r>
    </w:p>
    <w:p w14:paraId="3554BD46" w14:textId="77777777" w:rsidR="00A937D3" w:rsidRPr="00150494" w:rsidRDefault="00F676A6">
      <w:pPr>
        <w:jc w:val="center"/>
        <w:rPr>
          <w:rFonts w:ascii="Arial" w:eastAsia="Arial" w:hAnsi="Arial" w:cs="Arial"/>
        </w:rPr>
      </w:pPr>
      <w:r w:rsidRPr="00150494">
        <w:rPr>
          <w:rFonts w:ascii="Arial" w:eastAsia="Arial" w:hAnsi="Arial" w:cs="Arial"/>
          <w:noProof/>
          <w:lang w:val="en-IN"/>
        </w:rPr>
        <w:drawing>
          <wp:inline distT="114300" distB="114300" distL="114300" distR="114300" wp14:anchorId="31F8EAC1" wp14:editId="3552CB7A">
            <wp:extent cx="5731200" cy="32131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213100"/>
                    </a:xfrm>
                    <a:prstGeom prst="rect">
                      <a:avLst/>
                    </a:prstGeom>
                    <a:ln w="12700">
                      <a:solidFill>
                        <a:srgbClr val="000000"/>
                      </a:solidFill>
                      <a:prstDash val="solid"/>
                    </a:ln>
                  </pic:spPr>
                </pic:pic>
              </a:graphicData>
            </a:graphic>
          </wp:inline>
        </w:drawing>
      </w:r>
    </w:p>
    <w:p w14:paraId="0EEDE752" w14:textId="77777777" w:rsidR="00A937D3" w:rsidRPr="00150494" w:rsidRDefault="00F676A6">
      <w:pPr>
        <w:jc w:val="center"/>
        <w:rPr>
          <w:rFonts w:ascii="Arial" w:eastAsia="Arial" w:hAnsi="Arial" w:cs="Arial"/>
          <w:b/>
          <w:bCs/>
        </w:rPr>
      </w:pPr>
      <w:r w:rsidRPr="00150494">
        <w:rPr>
          <w:rFonts w:ascii="Arial" w:eastAsia="Arial" w:hAnsi="Arial" w:cs="Arial"/>
          <w:b/>
          <w:bCs/>
        </w:rPr>
        <w:t>Figure 2: Annual carbon emissions of China</w:t>
      </w:r>
    </w:p>
    <w:p w14:paraId="57CFF3CD" w14:textId="77777777" w:rsidR="00A937D3" w:rsidRPr="00150494" w:rsidRDefault="00F676A6">
      <w:pPr>
        <w:jc w:val="center"/>
        <w:rPr>
          <w:rFonts w:ascii="Arial" w:eastAsia="Arial" w:hAnsi="Arial" w:cs="Arial"/>
        </w:rPr>
      </w:pPr>
      <w:r w:rsidRPr="00150494">
        <w:rPr>
          <w:rFonts w:ascii="Arial" w:eastAsia="Arial" w:hAnsi="Arial" w:cs="Arial"/>
        </w:rPr>
        <w:t>(Source: Mazzocco and Seligsohn, 2025)</w:t>
      </w:r>
    </w:p>
    <w:p w14:paraId="5FC8F675" w14:textId="77777777" w:rsidR="00A937D3" w:rsidRPr="00150494" w:rsidRDefault="00F676A6">
      <w:pPr>
        <w:pStyle w:val="Heading3"/>
        <w:rPr>
          <w:color w:val="auto"/>
        </w:rPr>
      </w:pPr>
      <w:bookmarkStart w:id="6" w:name="_xdyht021mdvs" w:colFirst="0" w:colLast="0"/>
      <w:bookmarkStart w:id="7" w:name="_Toc234585307"/>
      <w:bookmarkEnd w:id="6"/>
      <w:r w:rsidRPr="00150494">
        <w:rPr>
          <w:color w:val="auto"/>
        </w:rPr>
        <w:t>Initiatives of the Singapore government to curb GHG emissions</w:t>
      </w:r>
      <w:bookmarkEnd w:id="7"/>
    </w:p>
    <w:p w14:paraId="3BA3D16D" w14:textId="77777777" w:rsidR="00A937D3" w:rsidRPr="00150494" w:rsidRDefault="00F676A6">
      <w:pPr>
        <w:rPr>
          <w:rFonts w:ascii="Arial" w:eastAsia="Arial" w:hAnsi="Arial" w:cs="Arial"/>
        </w:rPr>
      </w:pPr>
      <w:r w:rsidRPr="00150494">
        <w:rPr>
          <w:rFonts w:ascii="Arial" w:eastAsia="Arial" w:hAnsi="Arial" w:cs="Arial"/>
        </w:rPr>
        <w:t>As far as the initiatives of the Singapore government are concerned, it is observed that the net zero target is set to 2050 (Green Plan, 2026; Climate Action Tracker, 2024). It is observed that Singapore contributes only 0.1% of the global GHG emissions and has committed itself to reduce emissions by 60 MtCO2e by the end of 2030 which anyway are not complying with the Paris Climate Agreement (Green Plan, 2026).</w:t>
      </w:r>
    </w:p>
    <w:p w14:paraId="16A62428" w14:textId="77777777" w:rsidR="00A937D3" w:rsidRPr="00150494" w:rsidRDefault="00F676A6">
      <w:pPr>
        <w:jc w:val="center"/>
        <w:rPr>
          <w:rFonts w:ascii="Arial" w:eastAsia="Arial" w:hAnsi="Arial" w:cs="Arial"/>
        </w:rPr>
      </w:pPr>
      <w:r w:rsidRPr="00150494">
        <w:rPr>
          <w:rFonts w:ascii="Arial" w:eastAsia="Arial" w:hAnsi="Arial" w:cs="Arial"/>
          <w:noProof/>
          <w:lang w:val="en-IN"/>
        </w:rPr>
        <w:lastRenderedPageBreak/>
        <w:drawing>
          <wp:inline distT="114300" distB="114300" distL="114300" distR="114300" wp14:anchorId="4454C73C" wp14:editId="036C2051">
            <wp:extent cx="5214938" cy="436599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14938" cy="4365994"/>
                    </a:xfrm>
                    <a:prstGeom prst="rect">
                      <a:avLst/>
                    </a:prstGeom>
                    <a:ln/>
                  </pic:spPr>
                </pic:pic>
              </a:graphicData>
            </a:graphic>
          </wp:inline>
        </w:drawing>
      </w:r>
    </w:p>
    <w:p w14:paraId="7EC5D909" w14:textId="77777777" w:rsidR="00A937D3" w:rsidRPr="00150494" w:rsidRDefault="00F676A6">
      <w:pPr>
        <w:jc w:val="center"/>
        <w:rPr>
          <w:rFonts w:ascii="Arial" w:eastAsia="Arial" w:hAnsi="Arial" w:cs="Arial"/>
          <w:b/>
          <w:bCs/>
        </w:rPr>
      </w:pPr>
      <w:r w:rsidRPr="00150494">
        <w:rPr>
          <w:rFonts w:ascii="Arial" w:eastAsia="Arial" w:hAnsi="Arial" w:cs="Arial"/>
          <w:b/>
          <w:bCs/>
        </w:rPr>
        <w:t>Figure 3: Overall sustainability performance of Singapore</w:t>
      </w:r>
    </w:p>
    <w:p w14:paraId="07242B8E" w14:textId="77777777" w:rsidR="00A937D3" w:rsidRPr="00150494" w:rsidRDefault="00F676A6">
      <w:pPr>
        <w:jc w:val="center"/>
        <w:rPr>
          <w:rFonts w:ascii="Arial" w:eastAsia="Arial" w:hAnsi="Arial" w:cs="Arial"/>
        </w:rPr>
      </w:pPr>
      <w:r w:rsidRPr="00150494">
        <w:rPr>
          <w:rFonts w:ascii="Arial" w:eastAsia="Arial" w:hAnsi="Arial" w:cs="Arial"/>
        </w:rPr>
        <w:t>(Source: Climate Action Tracker, 2024)</w:t>
      </w:r>
    </w:p>
    <w:p w14:paraId="11A78EAD" w14:textId="77777777" w:rsidR="00A937D3" w:rsidRPr="00150494" w:rsidRDefault="00F676A6">
      <w:pPr>
        <w:pStyle w:val="Heading3"/>
        <w:rPr>
          <w:color w:val="auto"/>
        </w:rPr>
      </w:pPr>
      <w:bookmarkStart w:id="8" w:name="_8ty5ohslzi37" w:colFirst="0" w:colLast="0"/>
      <w:bookmarkStart w:id="9" w:name="_Toc234585308"/>
      <w:bookmarkEnd w:id="8"/>
      <w:r w:rsidRPr="00150494">
        <w:rPr>
          <w:color w:val="auto"/>
        </w:rPr>
        <w:t>Initiatives of the UK government to curb GHG emissions</w:t>
      </w:r>
      <w:bookmarkEnd w:id="9"/>
    </w:p>
    <w:p w14:paraId="64193D24" w14:textId="77777777" w:rsidR="00A937D3" w:rsidRPr="00150494" w:rsidRDefault="00F676A6">
      <w:pPr>
        <w:rPr>
          <w:rFonts w:ascii="Arial" w:eastAsia="Arial" w:hAnsi="Arial" w:cs="Arial"/>
        </w:rPr>
      </w:pPr>
      <w:r w:rsidRPr="00150494">
        <w:rPr>
          <w:rFonts w:ascii="Arial" w:eastAsia="Arial" w:hAnsi="Arial" w:cs="Arial"/>
        </w:rPr>
        <w:t>Considering the sustainability policies of the United Kingdom, it is observed that the country has targeted to become net zero by the end of 2050 (Gov.UK, 2026). As per the reports of Climate Action Tracker (2024), the overall rating of the United Kingdom is rated insufficient compared to highly insufficient of both China and Singapore. The UK government has also made it mandatory for the companies in the steel sector to reduce their emissions by 95% by the end of 2050 for complying with the UK standards (UK Steel, 2022).</w:t>
      </w:r>
    </w:p>
    <w:p w14:paraId="374B740E" w14:textId="77777777" w:rsidR="00A937D3" w:rsidRPr="00150494" w:rsidRDefault="00F676A6">
      <w:pPr>
        <w:jc w:val="center"/>
        <w:rPr>
          <w:rFonts w:ascii="Arial" w:eastAsia="Arial" w:hAnsi="Arial" w:cs="Arial"/>
        </w:rPr>
      </w:pPr>
      <w:r w:rsidRPr="00150494">
        <w:rPr>
          <w:rFonts w:ascii="Arial" w:eastAsia="Arial" w:hAnsi="Arial" w:cs="Arial"/>
          <w:noProof/>
          <w:lang w:val="en-IN"/>
        </w:rPr>
        <w:lastRenderedPageBreak/>
        <w:drawing>
          <wp:inline distT="114300" distB="114300" distL="114300" distR="114300" wp14:anchorId="66207CE5" wp14:editId="0764433F">
            <wp:extent cx="5731200" cy="3403600"/>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31200" cy="3403600"/>
                    </a:xfrm>
                    <a:prstGeom prst="rect">
                      <a:avLst/>
                    </a:prstGeom>
                    <a:ln w="12700">
                      <a:solidFill>
                        <a:srgbClr val="000000"/>
                      </a:solidFill>
                      <a:prstDash val="solid"/>
                    </a:ln>
                  </pic:spPr>
                </pic:pic>
              </a:graphicData>
            </a:graphic>
          </wp:inline>
        </w:drawing>
      </w:r>
    </w:p>
    <w:p w14:paraId="64B01F17" w14:textId="77777777" w:rsidR="00A937D3" w:rsidRPr="00150494" w:rsidRDefault="00F676A6">
      <w:pPr>
        <w:jc w:val="center"/>
        <w:rPr>
          <w:rFonts w:ascii="Arial" w:eastAsia="Arial" w:hAnsi="Arial" w:cs="Arial"/>
          <w:b/>
          <w:bCs/>
        </w:rPr>
      </w:pPr>
      <w:r w:rsidRPr="00150494">
        <w:rPr>
          <w:rFonts w:ascii="Arial" w:eastAsia="Arial" w:hAnsi="Arial" w:cs="Arial"/>
          <w:b/>
          <w:bCs/>
        </w:rPr>
        <w:t>Figure 4: Sustainability performance by the United Kingdom</w:t>
      </w:r>
    </w:p>
    <w:p w14:paraId="53A5A5AC" w14:textId="77777777" w:rsidR="00A937D3" w:rsidRPr="00150494" w:rsidRDefault="00F676A6">
      <w:pPr>
        <w:jc w:val="center"/>
        <w:rPr>
          <w:rFonts w:ascii="Arial" w:eastAsia="Arial" w:hAnsi="Arial" w:cs="Arial"/>
        </w:rPr>
      </w:pPr>
      <w:r w:rsidRPr="00150494">
        <w:rPr>
          <w:rFonts w:ascii="Arial" w:eastAsia="Arial" w:hAnsi="Arial" w:cs="Arial"/>
        </w:rPr>
        <w:t>(Source: Climate Action Tracker, 2024)</w:t>
      </w:r>
    </w:p>
    <w:p w14:paraId="14D19C0B" w14:textId="77777777" w:rsidR="00A937D3" w:rsidRPr="00150494" w:rsidRDefault="00F676A6">
      <w:pPr>
        <w:rPr>
          <w:rFonts w:ascii="Arial" w:eastAsia="Arial" w:hAnsi="Arial" w:cs="Arial"/>
        </w:rPr>
      </w:pPr>
      <w:r w:rsidRPr="00150494">
        <w:rPr>
          <w:rFonts w:ascii="Arial" w:eastAsia="Arial" w:hAnsi="Arial" w:cs="Arial"/>
        </w:rPr>
        <w:t xml:space="preserve">Considering the above facts, there is a need for Codelco to focus on taking active steps towards a sustainable future for complying with the standards of all these three countries. According to Codelco (2025), its carbon footprints was 7.352 ktCO2e as of 2024. Further, Codelco has committed itself to reduce its GHG emissions by 70% by 2030 which will result in failure to adhere with the deadline of the Paris Climate Agreement (Codelco, 2026). Therefore, </w:t>
      </w:r>
      <w:proofErr w:type="spellStart"/>
      <w:r w:rsidRPr="00150494">
        <w:rPr>
          <w:rFonts w:ascii="Arial" w:eastAsia="Arial" w:hAnsi="Arial" w:cs="Arial"/>
        </w:rPr>
        <w:t>Cocelco</w:t>
      </w:r>
      <w:proofErr w:type="spellEnd"/>
      <w:r w:rsidRPr="00150494">
        <w:rPr>
          <w:rFonts w:ascii="Arial" w:eastAsia="Arial" w:hAnsi="Arial" w:cs="Arial"/>
        </w:rPr>
        <w:t xml:space="preserve"> will have to change its approach towards sustainability for ensuring compliance with the standards of China, Singapore and the United Kingdom.</w:t>
      </w:r>
    </w:p>
    <w:p w14:paraId="485BFC55" w14:textId="77777777" w:rsidR="00A937D3" w:rsidRPr="00150494" w:rsidRDefault="00F676A6">
      <w:pPr>
        <w:jc w:val="center"/>
        <w:rPr>
          <w:rFonts w:ascii="Arial" w:eastAsia="Arial" w:hAnsi="Arial" w:cs="Arial"/>
        </w:rPr>
      </w:pPr>
      <w:r w:rsidRPr="00150494">
        <w:rPr>
          <w:rFonts w:ascii="Arial" w:eastAsia="Arial" w:hAnsi="Arial" w:cs="Arial"/>
          <w:noProof/>
          <w:lang w:val="en-IN"/>
        </w:rPr>
        <w:lastRenderedPageBreak/>
        <w:drawing>
          <wp:inline distT="114300" distB="114300" distL="114300" distR="114300" wp14:anchorId="2C748A80" wp14:editId="0DF21656">
            <wp:extent cx="5731200" cy="3429000"/>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5731200" cy="3429000"/>
                    </a:xfrm>
                    <a:prstGeom prst="rect">
                      <a:avLst/>
                    </a:prstGeom>
                    <a:ln w="12700">
                      <a:solidFill>
                        <a:srgbClr val="000000"/>
                      </a:solidFill>
                      <a:prstDash val="solid"/>
                    </a:ln>
                  </pic:spPr>
                </pic:pic>
              </a:graphicData>
            </a:graphic>
          </wp:inline>
        </w:drawing>
      </w:r>
    </w:p>
    <w:p w14:paraId="0BEC1469" w14:textId="77777777" w:rsidR="00A937D3" w:rsidRPr="00150494" w:rsidRDefault="00F676A6">
      <w:pPr>
        <w:jc w:val="center"/>
        <w:rPr>
          <w:rFonts w:ascii="Arial" w:eastAsia="Arial" w:hAnsi="Arial" w:cs="Arial"/>
          <w:b/>
          <w:bCs/>
        </w:rPr>
      </w:pPr>
      <w:r w:rsidRPr="00150494">
        <w:rPr>
          <w:rFonts w:ascii="Arial" w:eastAsia="Arial" w:hAnsi="Arial" w:cs="Arial"/>
          <w:b/>
          <w:bCs/>
        </w:rPr>
        <w:t>Figure 5: Carbon footprint of Codelco</w:t>
      </w:r>
    </w:p>
    <w:p w14:paraId="7AD7B737" w14:textId="77777777" w:rsidR="00A937D3" w:rsidRPr="00150494" w:rsidRDefault="00F676A6">
      <w:pPr>
        <w:jc w:val="center"/>
        <w:rPr>
          <w:rFonts w:ascii="Arial" w:eastAsia="Arial" w:hAnsi="Arial" w:cs="Arial"/>
        </w:rPr>
      </w:pPr>
      <w:r w:rsidRPr="00150494">
        <w:rPr>
          <w:rFonts w:ascii="Arial" w:eastAsia="Arial" w:hAnsi="Arial" w:cs="Arial"/>
        </w:rPr>
        <w:t>(Source: Codelco, 2025)</w:t>
      </w:r>
    </w:p>
    <w:p w14:paraId="409CA63A" w14:textId="77777777" w:rsidR="00A937D3" w:rsidRPr="00150494" w:rsidRDefault="00F676A6">
      <w:pPr>
        <w:pStyle w:val="Heading2"/>
      </w:pPr>
      <w:bookmarkStart w:id="10" w:name="_e3290kja0coz" w:colFirst="0" w:colLast="0"/>
      <w:bookmarkStart w:id="11" w:name="_Toc234585309"/>
      <w:bookmarkEnd w:id="10"/>
      <w:r w:rsidRPr="00150494">
        <w:t>Factor 2 – Social and economic perspectives</w:t>
      </w:r>
      <w:bookmarkEnd w:id="11"/>
    </w:p>
    <w:p w14:paraId="54A1D29D" w14:textId="77777777" w:rsidR="00A937D3" w:rsidRPr="00150494" w:rsidRDefault="00F676A6">
      <w:pPr>
        <w:numPr>
          <w:ilvl w:val="0"/>
          <w:numId w:val="1"/>
        </w:numPr>
        <w:spacing w:after="0"/>
        <w:rPr>
          <w:rFonts w:ascii="Arial" w:eastAsia="Arial" w:hAnsi="Arial" w:cs="Arial"/>
        </w:rPr>
      </w:pPr>
      <w:r w:rsidRPr="00150494">
        <w:rPr>
          <w:rFonts w:ascii="Arial" w:eastAsia="Arial" w:hAnsi="Arial" w:cs="Arial"/>
        </w:rPr>
        <w:t xml:space="preserve">According to Schneider Electric (2022); AB Magazine (2022), one out of two people in Singapore have the confidence that organisations will meet the climate goals whereas there has been an increase from 47% to 77% in the number of people willing to live and work in green buildings. </w:t>
      </w:r>
    </w:p>
    <w:p w14:paraId="5F19BF2E" w14:textId="77777777" w:rsidR="00A937D3" w:rsidRPr="00150494" w:rsidRDefault="00F676A6">
      <w:pPr>
        <w:numPr>
          <w:ilvl w:val="0"/>
          <w:numId w:val="1"/>
        </w:numPr>
        <w:spacing w:after="0"/>
        <w:rPr>
          <w:rFonts w:ascii="Arial" w:eastAsia="Arial" w:hAnsi="Arial" w:cs="Arial"/>
        </w:rPr>
      </w:pPr>
      <w:r w:rsidRPr="00150494">
        <w:rPr>
          <w:rFonts w:ascii="Arial" w:eastAsia="Arial" w:hAnsi="Arial" w:cs="Arial"/>
        </w:rPr>
        <w:t>On the other hand, considering the United Kingdom, around 60% of the adults in the country are influenced by the reputation of a brand while 17% consider the packaging in terms of sustainability. Moreover, it is also observed that the CO</w:t>
      </w:r>
      <w:r w:rsidRPr="00150494">
        <w:rPr>
          <w:rFonts w:ascii="Arial" w:eastAsia="Arial" w:hAnsi="Arial" w:cs="Arial"/>
          <w:vertAlign w:val="subscript"/>
        </w:rPr>
        <w:t>2</w:t>
      </w:r>
      <w:r w:rsidRPr="00150494">
        <w:rPr>
          <w:rFonts w:ascii="Arial" w:eastAsia="Arial" w:hAnsi="Arial" w:cs="Arial"/>
        </w:rPr>
        <w:t xml:space="preserve"> emissions in the United Kingdom will be reduced by 54% in the year 2024 (Office for National Statistics, 2025). Therefore, it is evident that the United Kingdom is also stepping towards a sustainable future quite actively. </w:t>
      </w:r>
    </w:p>
    <w:p w14:paraId="79C821FF" w14:textId="77777777" w:rsidR="00A937D3" w:rsidRPr="00150494" w:rsidRDefault="00F676A6">
      <w:pPr>
        <w:numPr>
          <w:ilvl w:val="0"/>
          <w:numId w:val="1"/>
        </w:numPr>
        <w:spacing w:after="0"/>
        <w:rPr>
          <w:rFonts w:ascii="Arial" w:eastAsia="Arial" w:hAnsi="Arial" w:cs="Arial"/>
        </w:rPr>
      </w:pPr>
      <w:r w:rsidRPr="00150494">
        <w:rPr>
          <w:rFonts w:ascii="Arial" w:eastAsia="Arial" w:hAnsi="Arial" w:cs="Arial"/>
        </w:rPr>
        <w:t xml:space="preserve">In this case, </w:t>
      </w:r>
      <w:proofErr w:type="spellStart"/>
      <w:r w:rsidRPr="00150494">
        <w:rPr>
          <w:rFonts w:ascii="Arial" w:eastAsia="Arial" w:hAnsi="Arial" w:cs="Arial"/>
        </w:rPr>
        <w:t>Coldelco</w:t>
      </w:r>
      <w:proofErr w:type="spellEnd"/>
      <w:r w:rsidRPr="00150494">
        <w:rPr>
          <w:rFonts w:ascii="Arial" w:eastAsia="Arial" w:hAnsi="Arial" w:cs="Arial"/>
        </w:rPr>
        <w:t xml:space="preserve"> will have to be quite active in taking appropriate steps for reducing its carbon footprints so that its brand reputation can be maintained in the concerned markets. In this context, the findings by Khalid </w:t>
      </w:r>
      <w:r w:rsidRPr="00150494">
        <w:rPr>
          <w:rFonts w:ascii="Arial" w:eastAsia="Arial" w:hAnsi="Arial" w:cs="Arial"/>
          <w:i/>
          <w:iCs/>
        </w:rPr>
        <w:t xml:space="preserve">et al. </w:t>
      </w:r>
      <w:r w:rsidRPr="00150494">
        <w:rPr>
          <w:rFonts w:ascii="Arial" w:eastAsia="Arial" w:hAnsi="Arial" w:cs="Arial"/>
        </w:rPr>
        <w:t xml:space="preserve">(2024) have stated </w:t>
      </w:r>
      <w:r w:rsidRPr="00150494">
        <w:rPr>
          <w:rFonts w:ascii="Arial" w:eastAsia="Arial" w:hAnsi="Arial" w:cs="Arial"/>
        </w:rPr>
        <w:lastRenderedPageBreak/>
        <w:t xml:space="preserve">that reducing carbon footprints can be quite effective in terms of enhancing the brand reputation of an organisation in the market. </w:t>
      </w:r>
    </w:p>
    <w:p w14:paraId="0DCD2F1F" w14:textId="77777777" w:rsidR="00A937D3" w:rsidRPr="00150494" w:rsidRDefault="00F676A6">
      <w:pPr>
        <w:numPr>
          <w:ilvl w:val="0"/>
          <w:numId w:val="1"/>
        </w:numPr>
        <w:rPr>
          <w:rFonts w:ascii="Arial" w:eastAsia="Arial" w:hAnsi="Arial" w:cs="Arial"/>
        </w:rPr>
      </w:pPr>
      <w:r w:rsidRPr="00150494">
        <w:rPr>
          <w:rFonts w:ascii="Arial" w:eastAsia="Arial" w:hAnsi="Arial" w:cs="Arial"/>
        </w:rPr>
        <w:t>This factor will further become effective for Codelco in terms of earning the trust and loyalty of its stakeholders in all the above-mentioned markets and increase its sales and profit at the same time.</w:t>
      </w:r>
    </w:p>
    <w:p w14:paraId="139578EE" w14:textId="77777777" w:rsidR="00A937D3" w:rsidRPr="00150494" w:rsidRDefault="00F676A6">
      <w:pPr>
        <w:spacing w:after="200"/>
        <w:jc w:val="center"/>
        <w:rPr>
          <w:rFonts w:ascii="Arial" w:eastAsia="Arial" w:hAnsi="Arial" w:cs="Arial"/>
        </w:rPr>
      </w:pPr>
      <w:r w:rsidRPr="00150494">
        <w:rPr>
          <w:rFonts w:ascii="Arial" w:eastAsia="Arial" w:hAnsi="Arial" w:cs="Arial"/>
          <w:noProof/>
          <w:lang w:val="en-IN"/>
        </w:rPr>
        <w:drawing>
          <wp:inline distT="114300" distB="114300" distL="114300" distR="114300" wp14:anchorId="1B4F9FCF" wp14:editId="58B29560">
            <wp:extent cx="5731200" cy="1841500"/>
            <wp:effectExtent l="12700" t="12700" r="12700" b="1270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31200" cy="1841500"/>
                    </a:xfrm>
                    <a:prstGeom prst="rect">
                      <a:avLst/>
                    </a:prstGeom>
                    <a:ln w="12700">
                      <a:solidFill>
                        <a:srgbClr val="000000"/>
                      </a:solidFill>
                      <a:prstDash val="solid"/>
                    </a:ln>
                  </pic:spPr>
                </pic:pic>
              </a:graphicData>
            </a:graphic>
          </wp:inline>
        </w:drawing>
      </w:r>
    </w:p>
    <w:p w14:paraId="684CEC92" w14:textId="77777777" w:rsidR="00A937D3" w:rsidRPr="00150494" w:rsidRDefault="00F676A6">
      <w:pPr>
        <w:spacing w:after="200"/>
        <w:jc w:val="center"/>
        <w:rPr>
          <w:rFonts w:ascii="Arial" w:eastAsia="Arial" w:hAnsi="Arial" w:cs="Arial"/>
          <w:b/>
          <w:bCs/>
        </w:rPr>
      </w:pPr>
      <w:r w:rsidRPr="00150494">
        <w:rPr>
          <w:rFonts w:ascii="Arial" w:eastAsia="Arial" w:hAnsi="Arial" w:cs="Arial"/>
          <w:b/>
          <w:bCs/>
        </w:rPr>
        <w:t>Figure 6: Factors influencing the purchasing decisions of UK adults</w:t>
      </w:r>
    </w:p>
    <w:p w14:paraId="6A1C7A06" w14:textId="77777777" w:rsidR="00A937D3" w:rsidRPr="00150494" w:rsidRDefault="00F676A6">
      <w:pPr>
        <w:spacing w:after="200"/>
        <w:jc w:val="center"/>
        <w:rPr>
          <w:rFonts w:ascii="Arial" w:eastAsia="Arial" w:hAnsi="Arial" w:cs="Arial"/>
        </w:rPr>
      </w:pPr>
      <w:r w:rsidRPr="00150494">
        <w:rPr>
          <w:rFonts w:ascii="Arial" w:eastAsia="Arial" w:hAnsi="Arial" w:cs="Arial"/>
        </w:rPr>
        <w:t>(Source: YouGov, 2025)</w:t>
      </w:r>
    </w:p>
    <w:p w14:paraId="618221FA" w14:textId="77777777" w:rsidR="00A937D3" w:rsidRPr="00150494" w:rsidRDefault="00F676A6">
      <w:pPr>
        <w:pStyle w:val="Heading2"/>
      </w:pPr>
      <w:bookmarkStart w:id="12" w:name="_hjrqhw1dcj65" w:colFirst="0" w:colLast="0"/>
      <w:bookmarkStart w:id="13" w:name="_Toc234585310"/>
      <w:bookmarkEnd w:id="12"/>
      <w:r w:rsidRPr="00150494">
        <w:t>Marketing Information System</w:t>
      </w:r>
      <w:bookmarkEnd w:id="13"/>
    </w:p>
    <w:p w14:paraId="585E5FF1" w14:textId="77777777" w:rsidR="00A937D3" w:rsidRPr="00150494" w:rsidRDefault="00F676A6">
      <w:pPr>
        <w:rPr>
          <w:rFonts w:ascii="Arial" w:eastAsia="Arial" w:hAnsi="Arial" w:cs="Arial"/>
          <w:b/>
          <w:bCs/>
        </w:rPr>
      </w:pPr>
      <w:r w:rsidRPr="00150494">
        <w:rPr>
          <w:rFonts w:ascii="Arial" w:eastAsia="Arial" w:hAnsi="Arial" w:cs="Arial"/>
          <w:b/>
          <w:bCs/>
        </w:rPr>
        <w:t>Internal data</w:t>
      </w:r>
    </w:p>
    <w:p w14:paraId="37937E83" w14:textId="77777777" w:rsidR="00A937D3" w:rsidRPr="00150494" w:rsidRDefault="00F676A6">
      <w:pPr>
        <w:rPr>
          <w:rFonts w:ascii="Arial" w:eastAsia="Arial" w:hAnsi="Arial" w:cs="Arial"/>
        </w:rPr>
      </w:pPr>
      <w:r w:rsidRPr="00150494">
        <w:rPr>
          <w:rFonts w:ascii="Arial" w:eastAsia="Arial" w:hAnsi="Arial" w:cs="Arial"/>
        </w:rPr>
        <w:t>Internal metrics such as increasing C1 production costs, operational revenue generations, and customer demand curves can assist Codelco in understanding the current performance baseline. These can be beneficial for managing long-term financial risks as well as tracking the carbon footprint of 7,352 ktCO</w:t>
      </w:r>
      <w:r w:rsidRPr="00150494">
        <w:rPr>
          <w:rFonts w:ascii="Arial" w:eastAsia="Arial" w:hAnsi="Arial" w:cs="Arial"/>
          <w:vertAlign w:val="subscript"/>
        </w:rPr>
        <w:t>2</w:t>
      </w:r>
      <w:r w:rsidRPr="00150494">
        <w:rPr>
          <w:rFonts w:ascii="Arial" w:eastAsia="Arial" w:hAnsi="Arial" w:cs="Arial"/>
        </w:rPr>
        <w:t xml:space="preserve">e (Codelco, 2025).  </w:t>
      </w:r>
    </w:p>
    <w:p w14:paraId="306938E3" w14:textId="77777777" w:rsidR="00A937D3" w:rsidRPr="00150494" w:rsidRDefault="00F676A6">
      <w:pPr>
        <w:rPr>
          <w:rFonts w:ascii="Arial" w:eastAsia="Arial" w:hAnsi="Arial" w:cs="Arial"/>
          <w:b/>
          <w:bCs/>
        </w:rPr>
      </w:pPr>
      <w:r w:rsidRPr="00150494">
        <w:rPr>
          <w:rFonts w:ascii="Arial" w:eastAsia="Arial" w:hAnsi="Arial" w:cs="Arial"/>
          <w:b/>
          <w:bCs/>
        </w:rPr>
        <w:t>Market research</w:t>
      </w:r>
    </w:p>
    <w:p w14:paraId="4FB83960" w14:textId="77777777" w:rsidR="00A937D3" w:rsidRPr="00150494" w:rsidRDefault="00F676A6">
      <w:pPr>
        <w:rPr>
          <w:rFonts w:ascii="Arial" w:eastAsia="Arial" w:hAnsi="Arial" w:cs="Arial"/>
        </w:rPr>
      </w:pPr>
      <w:r w:rsidRPr="00150494">
        <w:rPr>
          <w:rFonts w:ascii="Arial" w:eastAsia="Arial" w:hAnsi="Arial" w:cs="Arial"/>
        </w:rPr>
        <w:t>Conducting targeted market research can assist the organisation in analysing the consumer trends with the UK, Singapore, and China. Tracking of specific preferences, such as the 77% green building preferences in Singapore and that 60% of UK adults are influenced by corporate brand reputation, can assist the firm in making data-driven decisions (Schneider Electric, 2022; AB Magazine, 2022).</w:t>
      </w:r>
    </w:p>
    <w:p w14:paraId="697DFAB4" w14:textId="77777777" w:rsidR="00A937D3" w:rsidRPr="00150494" w:rsidRDefault="00F676A6">
      <w:pPr>
        <w:rPr>
          <w:rFonts w:ascii="Arial" w:eastAsia="Arial" w:hAnsi="Arial" w:cs="Arial"/>
          <w:b/>
          <w:bCs/>
        </w:rPr>
      </w:pPr>
      <w:r w:rsidRPr="00150494">
        <w:rPr>
          <w:rFonts w:ascii="Arial" w:eastAsia="Arial" w:hAnsi="Arial" w:cs="Arial"/>
          <w:b/>
          <w:bCs/>
        </w:rPr>
        <w:t>Commitments by the governments</w:t>
      </w:r>
    </w:p>
    <w:p w14:paraId="2107BBA3" w14:textId="77777777" w:rsidR="00A937D3" w:rsidRPr="00150494" w:rsidRDefault="00F676A6">
      <w:pPr>
        <w:rPr>
          <w:rFonts w:ascii="Arial" w:eastAsia="Arial" w:hAnsi="Arial" w:cs="Arial"/>
        </w:rPr>
      </w:pPr>
      <w:r w:rsidRPr="00150494">
        <w:rPr>
          <w:rFonts w:ascii="Arial" w:eastAsia="Arial" w:hAnsi="Arial" w:cs="Arial"/>
        </w:rPr>
        <w:lastRenderedPageBreak/>
        <w:t>Codelco can align its corporate strategy with the international expectations through the evaluation of the climate commitments of destination marketplaces. It can assist the company in ensuring legal compliance with the net-zero goals of China by 2060, the 2050 timeline of Singapore, and the strict 95% manufacturing emission reduction targets in the UK (Climate Action Tracker, 2026; Plan, 2026; Climate Action Tracker, 2024; UK Steel, 2022).</w:t>
      </w:r>
    </w:p>
    <w:p w14:paraId="40B61370" w14:textId="77777777" w:rsidR="00A937D3" w:rsidRPr="00150494" w:rsidRDefault="00F676A6">
      <w:pPr>
        <w:rPr>
          <w:rFonts w:ascii="Arial" w:eastAsia="Arial" w:hAnsi="Arial" w:cs="Arial"/>
          <w:b/>
          <w:bCs/>
        </w:rPr>
      </w:pPr>
      <w:r w:rsidRPr="00150494">
        <w:rPr>
          <w:rFonts w:ascii="Arial" w:eastAsia="Arial" w:hAnsi="Arial" w:cs="Arial"/>
          <w:b/>
          <w:bCs/>
        </w:rPr>
        <w:t>Competitor analysis</w:t>
      </w:r>
    </w:p>
    <w:p w14:paraId="24148482" w14:textId="77777777" w:rsidR="00A937D3" w:rsidRPr="00150494" w:rsidRDefault="00F676A6">
      <w:pPr>
        <w:rPr>
          <w:rFonts w:ascii="Arial" w:eastAsia="Arial" w:hAnsi="Arial" w:cs="Arial"/>
        </w:rPr>
      </w:pPr>
      <w:r w:rsidRPr="00150494">
        <w:rPr>
          <w:rFonts w:ascii="Arial" w:eastAsia="Arial" w:hAnsi="Arial" w:cs="Arial"/>
        </w:rPr>
        <w:t>It is also crucial for Codelco to analyse and study its competitors such as BHP, Freeport-McMoRan, and Glencore. This can assist in mapping out the competing decarbonisation strategies and upgrade its 70% emission reduction plan to attain a competitive edge in the international markets (Codelco, 2026).</w:t>
      </w:r>
    </w:p>
    <w:p w14:paraId="422C3A61" w14:textId="77777777" w:rsidR="00A937D3" w:rsidRPr="00150494" w:rsidRDefault="00F676A6">
      <w:pPr>
        <w:rPr>
          <w:rFonts w:ascii="Arial" w:eastAsia="Arial" w:hAnsi="Arial" w:cs="Arial"/>
        </w:rPr>
      </w:pPr>
      <w:r w:rsidRPr="00150494">
        <w:rPr>
          <w:rFonts w:ascii="Arial" w:eastAsia="Arial" w:hAnsi="Arial" w:cs="Arial"/>
          <w:noProof/>
          <w:lang w:val="en-IN"/>
        </w:rPr>
        <w:drawing>
          <wp:inline distT="114300" distB="114300" distL="114300" distR="114300" wp14:anchorId="56196129" wp14:editId="26B14135">
            <wp:extent cx="5731200" cy="33528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731200" cy="3352800"/>
                    </a:xfrm>
                    <a:prstGeom prst="rect">
                      <a:avLst/>
                    </a:prstGeom>
                    <a:ln/>
                  </pic:spPr>
                </pic:pic>
              </a:graphicData>
            </a:graphic>
          </wp:inline>
        </w:drawing>
      </w:r>
    </w:p>
    <w:p w14:paraId="35C87C32" w14:textId="77777777" w:rsidR="00A937D3" w:rsidRPr="00150494" w:rsidRDefault="00F676A6">
      <w:pPr>
        <w:spacing w:after="200"/>
        <w:jc w:val="center"/>
        <w:rPr>
          <w:rFonts w:ascii="Arial" w:eastAsia="Arial" w:hAnsi="Arial" w:cs="Arial"/>
          <w:b/>
          <w:bCs/>
        </w:rPr>
      </w:pPr>
      <w:r w:rsidRPr="00150494">
        <w:rPr>
          <w:rFonts w:ascii="Arial" w:eastAsia="Arial" w:hAnsi="Arial" w:cs="Arial"/>
          <w:b/>
          <w:bCs/>
        </w:rPr>
        <w:t>Figure 7: Marketing Information System</w:t>
      </w:r>
    </w:p>
    <w:p w14:paraId="675165A6" w14:textId="77777777" w:rsidR="00A937D3" w:rsidRPr="00150494" w:rsidRDefault="00F676A6">
      <w:pPr>
        <w:spacing w:after="200"/>
        <w:jc w:val="center"/>
        <w:rPr>
          <w:rFonts w:ascii="Arial" w:eastAsia="Arial" w:hAnsi="Arial" w:cs="Arial"/>
        </w:rPr>
      </w:pPr>
      <w:r w:rsidRPr="00150494">
        <w:rPr>
          <w:rFonts w:ascii="Arial" w:eastAsia="Arial" w:hAnsi="Arial" w:cs="Arial"/>
        </w:rPr>
        <w:t>(Source: Inspired from class material lecture 3; Slide 17)</w:t>
      </w:r>
    </w:p>
    <w:p w14:paraId="38B58931" w14:textId="77777777" w:rsidR="00A937D3" w:rsidRPr="00150494" w:rsidRDefault="00A937D3">
      <w:pPr>
        <w:rPr>
          <w:rFonts w:ascii="Arial" w:eastAsia="Arial" w:hAnsi="Arial" w:cs="Arial"/>
        </w:rPr>
      </w:pPr>
    </w:p>
    <w:p w14:paraId="275CE841" w14:textId="77777777" w:rsidR="00A937D3" w:rsidRPr="00150494" w:rsidRDefault="00F676A6">
      <w:pPr>
        <w:rPr>
          <w:rFonts w:ascii="Arial" w:eastAsia="Arial" w:hAnsi="Arial" w:cs="Arial"/>
          <w:b/>
          <w:bCs/>
          <w:sz w:val="28"/>
          <w:szCs w:val="28"/>
        </w:rPr>
      </w:pPr>
      <w:bookmarkStart w:id="14" w:name="_o5zeq2o12oik" w:colFirst="0" w:colLast="0"/>
      <w:bookmarkEnd w:id="14"/>
      <w:r w:rsidRPr="00150494">
        <w:br w:type="page"/>
      </w:r>
    </w:p>
    <w:p w14:paraId="3246DC15" w14:textId="77777777" w:rsidR="00A937D3" w:rsidRPr="00150494" w:rsidRDefault="00F676A6">
      <w:pPr>
        <w:pStyle w:val="Heading1"/>
      </w:pPr>
      <w:bookmarkStart w:id="15" w:name="_Toc234585311"/>
      <w:r w:rsidRPr="00150494">
        <w:lastRenderedPageBreak/>
        <w:t>Task 2: Strategic Growth and Competitive Positioning</w:t>
      </w:r>
      <w:bookmarkEnd w:id="15"/>
      <w:r w:rsidRPr="00150494">
        <w:t xml:space="preserve"> </w:t>
      </w:r>
      <w:r w:rsidRPr="00150494">
        <w:tab/>
      </w:r>
    </w:p>
    <w:p w14:paraId="6375DCA1" w14:textId="77777777" w:rsidR="00A937D3" w:rsidRPr="00150494" w:rsidRDefault="00F676A6">
      <w:pPr>
        <w:pStyle w:val="Heading2"/>
      </w:pPr>
      <w:bookmarkStart w:id="16" w:name="_Toc234585312"/>
      <w:r w:rsidRPr="00150494">
        <w:t>Strategic growth approach (Ansoff Matrix)</w:t>
      </w:r>
      <w:bookmarkEnd w:id="16"/>
    </w:p>
    <w:p w14:paraId="3B9E05DF" w14:textId="77777777" w:rsidR="00A937D3" w:rsidRPr="00150494" w:rsidRDefault="00F676A6">
      <w:pPr>
        <w:rPr>
          <w:rFonts w:ascii="Arial" w:eastAsia="Arial" w:hAnsi="Arial" w:cs="Arial"/>
          <w:b/>
          <w:bCs/>
        </w:rPr>
      </w:pPr>
      <w:r w:rsidRPr="00150494">
        <w:rPr>
          <w:rFonts w:ascii="Arial" w:eastAsia="Arial" w:hAnsi="Arial" w:cs="Arial"/>
        </w:rPr>
        <w:t xml:space="preserve">With the current condition of rising decarbonizing demands and declining ore grades, Codelco can adopt a </w:t>
      </w:r>
      <w:r w:rsidRPr="00150494">
        <w:rPr>
          <w:rFonts w:ascii="Arial" w:eastAsia="Arial" w:hAnsi="Arial" w:cs="Arial"/>
          <w:b/>
          <w:i/>
        </w:rPr>
        <w:t>product development strategy</w:t>
      </w:r>
      <w:r w:rsidRPr="00150494">
        <w:rPr>
          <w:rFonts w:ascii="Arial" w:eastAsia="Arial" w:hAnsi="Arial" w:cs="Arial"/>
        </w:rPr>
        <w:t xml:space="preserve"> for enhancing its position as the leading copper producer in the world. The product development strategy focuses on the innovation of new products that are appropriate for existing markets. According to Qomaro, </w:t>
      </w:r>
      <w:proofErr w:type="spellStart"/>
      <w:r w:rsidRPr="00150494">
        <w:rPr>
          <w:rFonts w:ascii="Arial" w:eastAsia="Arial" w:hAnsi="Arial" w:cs="Arial"/>
        </w:rPr>
        <w:t>Nasrulloh</w:t>
      </w:r>
      <w:proofErr w:type="spellEnd"/>
      <w:r w:rsidRPr="00150494">
        <w:rPr>
          <w:rFonts w:ascii="Arial" w:eastAsia="Arial" w:hAnsi="Arial" w:cs="Arial"/>
        </w:rPr>
        <w:t>, and Salleh (2024), this strategy is appropriate for sectors that experience changes as per consumers’ needs and requirements for differentiation. This strategy is effective for reducing the risk of entering a new market through innovative products. Codelco can utilize this strategy to introduce a new highly sustainable product such as certified green copper into its existing B2B markets. It is noted that the operations of the firm creates about 25% of greenhouse gas emissions from copper mining in Chile and about 3% of the total emission of the nation (Codelco, 2025).</w:t>
      </w:r>
    </w:p>
    <w:p w14:paraId="38541FBE" w14:textId="24A8BA3E" w:rsidR="00A937D3" w:rsidRPr="00150494" w:rsidRDefault="00D11B44">
      <w:pPr>
        <w:jc w:val="center"/>
        <w:rPr>
          <w:rFonts w:ascii="Arial" w:eastAsia="Arial" w:hAnsi="Arial" w:cs="Arial"/>
        </w:rPr>
      </w:pPr>
      <w:r w:rsidRPr="00150494">
        <w:rPr>
          <w:noProof/>
          <w:lang w:val="en-IN"/>
        </w:rPr>
        <w:drawing>
          <wp:inline distT="0" distB="0" distL="0" distR="0" wp14:anchorId="77FD9098" wp14:editId="5A97A35B">
            <wp:extent cx="3896139" cy="2858417"/>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06745" cy="2866198"/>
                    </a:xfrm>
                    <a:prstGeom prst="rect">
                      <a:avLst/>
                    </a:prstGeom>
                  </pic:spPr>
                </pic:pic>
              </a:graphicData>
            </a:graphic>
          </wp:inline>
        </w:drawing>
      </w:r>
    </w:p>
    <w:p w14:paraId="0E528CCD" w14:textId="77777777" w:rsidR="00A937D3" w:rsidRPr="00150494" w:rsidRDefault="00F676A6">
      <w:pPr>
        <w:jc w:val="center"/>
        <w:rPr>
          <w:rFonts w:ascii="Arial" w:eastAsia="Arial" w:hAnsi="Arial" w:cs="Arial"/>
          <w:b/>
          <w:bCs/>
        </w:rPr>
      </w:pPr>
      <w:r w:rsidRPr="00150494">
        <w:rPr>
          <w:rFonts w:ascii="Arial" w:eastAsia="Arial" w:hAnsi="Arial" w:cs="Arial"/>
          <w:b/>
          <w:bCs/>
        </w:rPr>
        <w:t>Figure 8: Ansoff matrix</w:t>
      </w:r>
    </w:p>
    <w:p w14:paraId="0FF0409C" w14:textId="02243CE3" w:rsidR="00A937D3" w:rsidRPr="00150494" w:rsidRDefault="00F676A6">
      <w:pPr>
        <w:jc w:val="center"/>
        <w:rPr>
          <w:rFonts w:ascii="Arial" w:eastAsia="Arial" w:hAnsi="Arial" w:cs="Arial"/>
          <w:b/>
          <w:bCs/>
        </w:rPr>
      </w:pPr>
      <w:r w:rsidRPr="00150494">
        <w:rPr>
          <w:rFonts w:ascii="Arial" w:eastAsia="Arial" w:hAnsi="Arial" w:cs="Arial"/>
        </w:rPr>
        <w:t xml:space="preserve">(Source: </w:t>
      </w:r>
      <w:r w:rsidR="000E5F8F" w:rsidRPr="00150494">
        <w:rPr>
          <w:rFonts w:ascii="Arial" w:eastAsia="Arial" w:hAnsi="Arial" w:cs="Arial"/>
        </w:rPr>
        <w:t>Inspired</w:t>
      </w:r>
      <w:r w:rsidRPr="00150494">
        <w:rPr>
          <w:rFonts w:ascii="Arial" w:eastAsia="Arial" w:hAnsi="Arial" w:cs="Arial"/>
        </w:rPr>
        <w:t xml:space="preserve"> from class material lecture 2, slide 11)</w:t>
      </w:r>
    </w:p>
    <w:p w14:paraId="0EEB53A0" w14:textId="77777777" w:rsidR="00A937D3" w:rsidRPr="00150494" w:rsidRDefault="00F676A6">
      <w:pPr>
        <w:rPr>
          <w:rFonts w:ascii="Arial" w:eastAsia="Arial" w:hAnsi="Arial" w:cs="Arial"/>
          <w:b/>
          <w:bCs/>
        </w:rPr>
      </w:pPr>
      <w:r w:rsidRPr="00150494">
        <w:rPr>
          <w:rFonts w:ascii="Arial" w:eastAsia="Arial" w:hAnsi="Arial" w:cs="Arial"/>
        </w:rPr>
        <w:t xml:space="preserve">Codelco is executing an investment roadmap that is backed by about $600 million of climate financing facilities secured with HSBC and Banco Santander (Codelco, 2025). It drives the shift of Codelco’s production procedure as the firm is aiming at sourcing over 85% of its electricity from renewable energy assets. This can be a beneficial factor for the </w:t>
      </w:r>
      <w:r w:rsidRPr="00150494">
        <w:rPr>
          <w:rFonts w:ascii="Arial" w:eastAsia="Arial" w:hAnsi="Arial" w:cs="Arial"/>
        </w:rPr>
        <w:lastRenderedPageBreak/>
        <w:t xml:space="preserve">product development strategy by reducing carbon emission during copper extraction. The firm is also modifying its production line through the integration of the 2026 circular economy roadmap that aims at reclaiming about 70% of non-hazardous waste by 2030 (Codelco, 2026). With the modification of the core refined copper product with about 70% reduction in Scope 1 and 2 emissions, the firm introduced a distinct asset to its industrial grid and automotive clients (Codelco, 2025). These factors will allow Codelco to secure market share and capture high-value supply contracts as well as reduce its Scope 3 emissions and introduce the new product. </w:t>
      </w:r>
    </w:p>
    <w:p w14:paraId="74F3E861" w14:textId="77777777" w:rsidR="00A937D3" w:rsidRPr="00150494" w:rsidRDefault="00F676A6">
      <w:pPr>
        <w:jc w:val="center"/>
        <w:rPr>
          <w:rFonts w:ascii="Arial" w:eastAsia="Arial" w:hAnsi="Arial" w:cs="Arial"/>
        </w:rPr>
      </w:pPr>
      <w:r w:rsidRPr="00150494">
        <w:rPr>
          <w:rFonts w:ascii="Arial" w:eastAsia="Arial" w:hAnsi="Arial" w:cs="Arial"/>
          <w:noProof/>
          <w:lang w:val="en-IN"/>
        </w:rPr>
        <w:drawing>
          <wp:inline distT="114300" distB="114300" distL="114300" distR="114300" wp14:anchorId="0B05253A" wp14:editId="5F71E0DC">
            <wp:extent cx="5731200" cy="27178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731200" cy="2717800"/>
                    </a:xfrm>
                    <a:prstGeom prst="rect">
                      <a:avLst/>
                    </a:prstGeom>
                    <a:ln/>
                  </pic:spPr>
                </pic:pic>
              </a:graphicData>
            </a:graphic>
          </wp:inline>
        </w:drawing>
      </w:r>
    </w:p>
    <w:p w14:paraId="4C26C77A" w14:textId="77777777" w:rsidR="00A937D3" w:rsidRPr="00150494" w:rsidRDefault="00F676A6">
      <w:pPr>
        <w:jc w:val="center"/>
        <w:rPr>
          <w:rFonts w:ascii="Arial" w:eastAsia="Arial" w:hAnsi="Arial" w:cs="Arial"/>
          <w:b/>
          <w:bCs/>
        </w:rPr>
      </w:pPr>
      <w:r w:rsidRPr="00150494">
        <w:rPr>
          <w:rFonts w:ascii="Arial" w:eastAsia="Arial" w:hAnsi="Arial" w:cs="Arial"/>
          <w:b/>
          <w:bCs/>
        </w:rPr>
        <w:t>Figure 9: 2024 footprint of Codelco</w:t>
      </w:r>
    </w:p>
    <w:p w14:paraId="06BF5F14" w14:textId="77777777" w:rsidR="00A937D3" w:rsidRPr="00150494" w:rsidRDefault="00F676A6">
      <w:pPr>
        <w:jc w:val="center"/>
        <w:rPr>
          <w:rFonts w:ascii="Arial" w:eastAsia="Arial" w:hAnsi="Arial" w:cs="Arial"/>
          <w:b/>
          <w:bCs/>
        </w:rPr>
      </w:pPr>
      <w:r w:rsidRPr="00150494">
        <w:rPr>
          <w:rFonts w:ascii="Arial" w:eastAsia="Arial" w:hAnsi="Arial" w:cs="Arial"/>
        </w:rPr>
        <w:t>(Source: Codelco, 2025)</w:t>
      </w:r>
    </w:p>
    <w:p w14:paraId="76AF27E0" w14:textId="77777777" w:rsidR="00A937D3" w:rsidRPr="00150494" w:rsidRDefault="00F676A6">
      <w:pPr>
        <w:pStyle w:val="Heading2"/>
      </w:pPr>
      <w:bookmarkStart w:id="17" w:name="_Toc234585313"/>
      <w:r w:rsidRPr="00150494">
        <w:t>Achieving competitive positioning (Porter’s Generic Strategies and Positioning)</w:t>
      </w:r>
      <w:bookmarkEnd w:id="17"/>
    </w:p>
    <w:p w14:paraId="3899C39F" w14:textId="77777777" w:rsidR="00A937D3" w:rsidRPr="00150494" w:rsidRDefault="00F676A6">
      <w:pPr>
        <w:rPr>
          <w:rFonts w:ascii="Arial" w:eastAsia="Arial" w:hAnsi="Arial" w:cs="Arial"/>
          <w:b/>
          <w:bCs/>
        </w:rPr>
      </w:pPr>
      <w:r w:rsidRPr="00150494">
        <w:rPr>
          <w:rFonts w:ascii="Arial" w:eastAsia="Arial" w:hAnsi="Arial" w:cs="Arial"/>
        </w:rPr>
        <w:t xml:space="preserve">Codelco can adopt focused differentiation strategy as relying on low costs solely is resulting in hiked unsustainability due to natural aging of century-old deposits and declining in ore grade. This resulted in driving Codelco’s C1 crash costs up during 2023 to 2025 production valley (Cambero and Solomon, 2025; IM, 2025). Hence, the firm should focus on high-value market segments such as global manufacturers and green technology OEMs facing strict regulatory penalties due to carbon-border taxes and are willing to pay a premium for certified sustainable inputs. Codelco is utilizing advanced </w:t>
      </w:r>
      <w:r w:rsidRPr="00150494">
        <w:rPr>
          <w:rFonts w:ascii="Arial" w:eastAsia="Arial" w:hAnsi="Arial" w:cs="Arial"/>
        </w:rPr>
        <w:lastRenderedPageBreak/>
        <w:t>technology for establishing a defensible USP and to differentiate its products. It is noted that the company has utilized digital twin models as well as AI analytics across its operations (Codelco, 2026). This is effective in tracking carbon footprints and resources in real-time, allowing the organisation to offer a low-emission and distinct product that is certified under global frameworks such as the Copper Mark. The differentiation focus strategy is supported by the huge capital expenditure program of Codelco that reached about $5.054 billion in 2024 (Codelco, 2026).</w:t>
      </w:r>
    </w:p>
    <w:p w14:paraId="7DF27F5A" w14:textId="77777777" w:rsidR="00A937D3" w:rsidRPr="00150494" w:rsidRDefault="00F676A6">
      <w:pPr>
        <w:jc w:val="center"/>
        <w:rPr>
          <w:rFonts w:ascii="Arial" w:eastAsia="Arial" w:hAnsi="Arial" w:cs="Arial"/>
        </w:rPr>
      </w:pPr>
      <w:r w:rsidRPr="00150494">
        <w:rPr>
          <w:rFonts w:ascii="Arial" w:eastAsia="Arial" w:hAnsi="Arial" w:cs="Arial"/>
          <w:noProof/>
          <w:lang w:val="en-IN"/>
        </w:rPr>
        <w:drawing>
          <wp:inline distT="114300" distB="114300" distL="114300" distR="114300" wp14:anchorId="2ECC3A01" wp14:editId="6BDA0949">
            <wp:extent cx="5359400" cy="30099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8"/>
                    <a:srcRect/>
                    <a:stretch>
                      <a:fillRect/>
                    </a:stretch>
                  </pic:blipFill>
                  <pic:spPr>
                    <a:xfrm>
                      <a:off x="0" y="0"/>
                      <a:ext cx="5359400" cy="3009900"/>
                    </a:xfrm>
                    <a:prstGeom prst="rect">
                      <a:avLst/>
                    </a:prstGeom>
                    <a:ln/>
                  </pic:spPr>
                </pic:pic>
              </a:graphicData>
            </a:graphic>
          </wp:inline>
        </w:drawing>
      </w:r>
    </w:p>
    <w:p w14:paraId="5B0CA2AB" w14:textId="77777777" w:rsidR="00A937D3" w:rsidRPr="00150494" w:rsidRDefault="00F676A6">
      <w:pPr>
        <w:jc w:val="center"/>
        <w:rPr>
          <w:rFonts w:ascii="Arial" w:eastAsia="Arial" w:hAnsi="Arial" w:cs="Arial"/>
          <w:b/>
          <w:bCs/>
        </w:rPr>
      </w:pPr>
      <w:r w:rsidRPr="00150494">
        <w:rPr>
          <w:rFonts w:ascii="Arial" w:eastAsia="Arial" w:hAnsi="Arial" w:cs="Arial"/>
          <w:b/>
          <w:bCs/>
        </w:rPr>
        <w:t>Figure 10: Porter’s generic strategies</w:t>
      </w:r>
    </w:p>
    <w:p w14:paraId="0EC96772" w14:textId="77777777" w:rsidR="00A937D3" w:rsidRPr="00150494" w:rsidRDefault="00F676A6">
      <w:pPr>
        <w:jc w:val="center"/>
        <w:rPr>
          <w:rFonts w:ascii="Arial" w:eastAsia="Arial" w:hAnsi="Arial" w:cs="Arial"/>
          <w:b/>
          <w:bCs/>
        </w:rPr>
      </w:pPr>
      <w:r w:rsidRPr="00150494">
        <w:rPr>
          <w:rFonts w:ascii="Arial" w:eastAsia="Arial" w:hAnsi="Arial" w:cs="Arial"/>
        </w:rPr>
        <w:t>(Source: Taken from class material lecture 11, slide 15)</w:t>
      </w:r>
    </w:p>
    <w:p w14:paraId="5F92346A" w14:textId="77777777" w:rsidR="00A937D3" w:rsidRPr="00150494" w:rsidRDefault="00F676A6">
      <w:pPr>
        <w:rPr>
          <w:rFonts w:ascii="Arial" w:eastAsia="Arial" w:hAnsi="Arial" w:cs="Arial"/>
          <w:b/>
          <w:bCs/>
        </w:rPr>
      </w:pPr>
      <w:r w:rsidRPr="00150494">
        <w:rPr>
          <w:rFonts w:ascii="Arial" w:eastAsia="Arial" w:hAnsi="Arial" w:cs="Arial"/>
        </w:rPr>
        <w:t>For improving positioning, Codelco can leverage its $5.054 billion of capital expenditure and a new $600 million climate facility to attain fully renewable operations by 2030 (Codelco, 2025). The firm can expand traceable copper supply partnerships such as its BMW collaborations (Kumar, 2025). This can allow the company to capture premium price market segments.</w:t>
      </w:r>
    </w:p>
    <w:p w14:paraId="06F1A299" w14:textId="77777777" w:rsidR="00A937D3" w:rsidRPr="00150494" w:rsidRDefault="00F676A6">
      <w:pPr>
        <w:pStyle w:val="Heading2"/>
      </w:pPr>
      <w:bookmarkStart w:id="18" w:name="_Toc234585314"/>
      <w:r w:rsidRPr="00150494">
        <w:t>Benefits of lower-carbon business model in achieving competitive advantage</w:t>
      </w:r>
      <w:bookmarkEnd w:id="18"/>
    </w:p>
    <w:p w14:paraId="7EF7841F" w14:textId="77777777" w:rsidR="00A937D3" w:rsidRPr="00150494" w:rsidRDefault="00F676A6">
      <w:pPr>
        <w:rPr>
          <w:rFonts w:ascii="Arial" w:eastAsia="Arial" w:hAnsi="Arial" w:cs="Arial"/>
          <w:b/>
          <w:bCs/>
        </w:rPr>
      </w:pPr>
      <w:bookmarkStart w:id="19" w:name="_693c0j314dwc" w:colFirst="0" w:colLast="0"/>
      <w:bookmarkEnd w:id="19"/>
      <w:r w:rsidRPr="00150494">
        <w:rPr>
          <w:rFonts w:ascii="Arial" w:eastAsia="Arial" w:hAnsi="Arial" w:cs="Arial"/>
        </w:rPr>
        <w:t xml:space="preserve">The utilisation of a lower-carbon business model can provide Codelco a strong competitive edge by enhancing sustainability, lowering costs, and mitigating regulatory </w:t>
      </w:r>
      <w:r w:rsidRPr="00150494">
        <w:rPr>
          <w:rFonts w:ascii="Arial" w:eastAsia="Arial" w:hAnsi="Arial" w:cs="Arial"/>
        </w:rPr>
        <w:lastRenderedPageBreak/>
        <w:t>challenges. Lowering emissions by about 70% by 2030 can assist the firm in overcoming issues related to climate policies and carbon tariffs (Codelco, 2026). The adoption of over 85% of renewable energy in operations can assist in reducing power expenses by about 20%. For instance, BHP is aiming at running its Escondida mine on 100% renewable electricity through the usage of 100% desalinated water for concentrators (IM, 2026). This will assist BHP in overcoming the problems regarding sustainability and price volatility of coal and diesel. According to Drakul (2025), the usage of lower-carbon business models such as circular economy and maintaining sustainability is effective in gaining competitive advantages in markets and strengthening economic factors.</w:t>
      </w:r>
    </w:p>
    <w:p w14:paraId="78949078" w14:textId="77777777" w:rsidR="00A937D3" w:rsidRPr="00150494" w:rsidRDefault="00F676A6">
      <w:pPr>
        <w:pStyle w:val="Heading2"/>
      </w:pPr>
      <w:bookmarkStart w:id="20" w:name="_Toc234585315"/>
      <w:r w:rsidRPr="00150494">
        <w:t>SERVQUAL model</w:t>
      </w:r>
      <w:bookmarkEnd w:id="20"/>
      <w:r w:rsidRPr="00150494">
        <w:t xml:space="preserve"> </w:t>
      </w:r>
    </w:p>
    <w:p w14:paraId="76774B7E" w14:textId="6A4D7171" w:rsidR="00A937D3" w:rsidRPr="00150494" w:rsidRDefault="00B17254">
      <w:pPr>
        <w:rPr>
          <w:rFonts w:ascii="Arial" w:eastAsia="Arial" w:hAnsi="Arial" w:cs="Arial"/>
        </w:rPr>
      </w:pPr>
      <w:r w:rsidRPr="00150494">
        <w:rPr>
          <w:rFonts w:ascii="Arial" w:eastAsia="Arial" w:hAnsi="Arial" w:cs="Arial"/>
        </w:rPr>
        <w:t>The SERVQUAL model is a market research tool that consists of 5 dimensions that are assists in measuring service quality by analysing and evaluating the gap between consumer’s expectations and actual perceptions</w:t>
      </w:r>
      <w:r w:rsidR="00D4244E" w:rsidRPr="00150494">
        <w:rPr>
          <w:rFonts w:ascii="Arial" w:eastAsia="Arial" w:hAnsi="Arial" w:cs="Arial"/>
        </w:rPr>
        <w:t xml:space="preserve"> (</w:t>
      </w:r>
      <w:r w:rsidR="00821C2F" w:rsidRPr="00150494">
        <w:rPr>
          <w:rFonts w:ascii="Arial" w:eastAsia="Arial" w:hAnsi="Arial" w:cs="Arial"/>
        </w:rPr>
        <w:t>C</w:t>
      </w:r>
      <w:r w:rsidR="00D4244E" w:rsidRPr="00150494">
        <w:rPr>
          <w:rFonts w:ascii="Arial" w:eastAsia="Arial" w:hAnsi="Arial" w:cs="Arial"/>
        </w:rPr>
        <w:t>lass material lecture 10; Slide 13)</w:t>
      </w:r>
      <w:r w:rsidRPr="00150494">
        <w:rPr>
          <w:rFonts w:ascii="Arial" w:eastAsia="Arial" w:hAnsi="Arial" w:cs="Arial"/>
        </w:rPr>
        <w:t xml:space="preserve">. </w:t>
      </w:r>
      <w:r w:rsidR="00F676A6" w:rsidRPr="00150494">
        <w:rPr>
          <w:rFonts w:ascii="Arial" w:eastAsia="Arial" w:hAnsi="Arial" w:cs="Arial"/>
        </w:rPr>
        <w:t xml:space="preserve">An organisation's performance and service quality can be determined by evaluating the aspects of service reliability, operational responsiveness, and tangibles. These factors are well integrated into the SEVQUAL model, which highlights the performance analysis to obtain sustainable value. Codelco has integrated the transition into a digital platform application to ensure value services to its industrial customers, regulators, investors and communities. </w:t>
      </w:r>
    </w:p>
    <w:tbl>
      <w:tblPr>
        <w:tblStyle w:val="a"/>
        <w:tblW w:w="9346"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3660"/>
        <w:gridCol w:w="4111"/>
      </w:tblGrid>
      <w:tr w:rsidR="00A937D3" w:rsidRPr="00150494" w14:paraId="2DC7A0DD" w14:textId="77777777" w:rsidTr="00175950">
        <w:tc>
          <w:tcPr>
            <w:tcW w:w="1575" w:type="dxa"/>
            <w:tcMar>
              <w:top w:w="100" w:type="dxa"/>
              <w:left w:w="100" w:type="dxa"/>
              <w:bottom w:w="100" w:type="dxa"/>
              <w:right w:w="100" w:type="dxa"/>
            </w:tcMar>
          </w:tcPr>
          <w:p w14:paraId="5998235F"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b/>
                <w:bCs/>
              </w:rPr>
            </w:pPr>
            <w:r w:rsidRPr="00150494">
              <w:rPr>
                <w:rFonts w:ascii="Arial" w:eastAsia="Arial" w:hAnsi="Arial" w:cs="Arial"/>
                <w:b/>
                <w:bCs/>
              </w:rPr>
              <w:t xml:space="preserve">SERVQUAL Dimension </w:t>
            </w:r>
          </w:p>
        </w:tc>
        <w:tc>
          <w:tcPr>
            <w:tcW w:w="3660" w:type="dxa"/>
            <w:tcMar>
              <w:top w:w="100" w:type="dxa"/>
              <w:left w:w="100" w:type="dxa"/>
              <w:bottom w:w="100" w:type="dxa"/>
              <w:right w:w="100" w:type="dxa"/>
            </w:tcMar>
          </w:tcPr>
          <w:p w14:paraId="3C91E46E"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b/>
                <w:bCs/>
              </w:rPr>
            </w:pPr>
            <w:r w:rsidRPr="00150494">
              <w:rPr>
                <w:rFonts w:ascii="Arial" w:eastAsia="Arial" w:hAnsi="Arial" w:cs="Arial"/>
                <w:b/>
                <w:bCs/>
              </w:rPr>
              <w:t xml:space="preserve">Description and application </w:t>
            </w:r>
          </w:p>
        </w:tc>
        <w:tc>
          <w:tcPr>
            <w:tcW w:w="4111" w:type="dxa"/>
            <w:tcMar>
              <w:top w:w="100" w:type="dxa"/>
              <w:left w:w="100" w:type="dxa"/>
              <w:bottom w:w="100" w:type="dxa"/>
              <w:right w:w="100" w:type="dxa"/>
            </w:tcMar>
          </w:tcPr>
          <w:p w14:paraId="43F51F89"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b/>
                <w:bCs/>
              </w:rPr>
            </w:pPr>
            <w:r w:rsidRPr="00150494">
              <w:rPr>
                <w:rFonts w:ascii="Arial" w:eastAsia="Arial" w:hAnsi="Arial" w:cs="Arial"/>
                <w:b/>
                <w:bCs/>
              </w:rPr>
              <w:t xml:space="preserve">Performance outcome </w:t>
            </w:r>
          </w:p>
        </w:tc>
      </w:tr>
      <w:tr w:rsidR="00A937D3" w:rsidRPr="00150494" w14:paraId="09A265C3" w14:textId="77777777" w:rsidTr="00175950">
        <w:tc>
          <w:tcPr>
            <w:tcW w:w="1575" w:type="dxa"/>
            <w:tcMar>
              <w:top w:w="100" w:type="dxa"/>
              <w:left w:w="100" w:type="dxa"/>
              <w:bottom w:w="100" w:type="dxa"/>
              <w:right w:w="100" w:type="dxa"/>
            </w:tcMar>
          </w:tcPr>
          <w:p w14:paraId="5E730CCF"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b/>
              </w:rPr>
            </w:pPr>
            <w:r w:rsidRPr="00150494">
              <w:rPr>
                <w:rFonts w:ascii="Arial" w:eastAsia="Arial" w:hAnsi="Arial" w:cs="Arial"/>
                <w:b/>
              </w:rPr>
              <w:t>Reliability</w:t>
            </w:r>
          </w:p>
        </w:tc>
        <w:tc>
          <w:tcPr>
            <w:tcW w:w="3660" w:type="dxa"/>
            <w:tcMar>
              <w:top w:w="100" w:type="dxa"/>
              <w:left w:w="100" w:type="dxa"/>
              <w:bottom w:w="100" w:type="dxa"/>
              <w:right w:w="100" w:type="dxa"/>
            </w:tcMar>
          </w:tcPr>
          <w:p w14:paraId="7EBF48D2"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rPr>
            </w:pPr>
            <w:r w:rsidRPr="00150494">
              <w:rPr>
                <w:rFonts w:ascii="Arial" w:eastAsia="Arial" w:hAnsi="Arial" w:cs="Arial"/>
              </w:rPr>
              <w:t xml:space="preserve">Consistency in the copper supply with efficient mining and delivery operations despite operational disruptions in logistics </w:t>
            </w:r>
          </w:p>
        </w:tc>
        <w:tc>
          <w:tcPr>
            <w:tcW w:w="4111" w:type="dxa"/>
            <w:tcMar>
              <w:top w:w="100" w:type="dxa"/>
              <w:left w:w="100" w:type="dxa"/>
              <w:bottom w:w="100" w:type="dxa"/>
              <w:right w:w="100" w:type="dxa"/>
            </w:tcMar>
          </w:tcPr>
          <w:p w14:paraId="0B59A883"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rPr>
            </w:pPr>
            <w:r w:rsidRPr="00150494">
              <w:rPr>
                <w:rFonts w:ascii="Arial" w:eastAsia="Arial" w:hAnsi="Arial" w:cs="Arial"/>
              </w:rPr>
              <w:t>1.44 million tonnes of copper production in 2025, depicting market stability (Codelco, 2026).</w:t>
            </w:r>
          </w:p>
        </w:tc>
      </w:tr>
      <w:tr w:rsidR="00A937D3" w:rsidRPr="00150494" w14:paraId="14D5B762" w14:textId="77777777" w:rsidTr="00175950">
        <w:tc>
          <w:tcPr>
            <w:tcW w:w="1575" w:type="dxa"/>
            <w:tcMar>
              <w:top w:w="100" w:type="dxa"/>
              <w:left w:w="100" w:type="dxa"/>
              <w:bottom w:w="100" w:type="dxa"/>
              <w:right w:w="100" w:type="dxa"/>
            </w:tcMar>
          </w:tcPr>
          <w:p w14:paraId="362697D9"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b/>
              </w:rPr>
            </w:pPr>
            <w:r w:rsidRPr="00150494">
              <w:rPr>
                <w:rFonts w:ascii="Arial" w:eastAsia="Arial" w:hAnsi="Arial" w:cs="Arial"/>
                <w:b/>
              </w:rPr>
              <w:t xml:space="preserve">Responsiveness </w:t>
            </w:r>
          </w:p>
        </w:tc>
        <w:tc>
          <w:tcPr>
            <w:tcW w:w="3660" w:type="dxa"/>
            <w:tcMar>
              <w:top w:w="100" w:type="dxa"/>
              <w:left w:w="100" w:type="dxa"/>
              <w:bottom w:w="100" w:type="dxa"/>
              <w:right w:w="100" w:type="dxa"/>
            </w:tcMar>
          </w:tcPr>
          <w:p w14:paraId="019C278B"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rPr>
            </w:pPr>
            <w:r w:rsidRPr="00150494">
              <w:rPr>
                <w:rFonts w:ascii="Arial" w:eastAsia="Arial" w:hAnsi="Arial" w:cs="Arial"/>
              </w:rPr>
              <w:t>Stakeholder discussions and concerns for sustainable operations and continuity with environmental safety</w:t>
            </w:r>
          </w:p>
        </w:tc>
        <w:tc>
          <w:tcPr>
            <w:tcW w:w="4111" w:type="dxa"/>
            <w:tcMar>
              <w:top w:w="100" w:type="dxa"/>
              <w:left w:w="100" w:type="dxa"/>
              <w:bottom w:w="100" w:type="dxa"/>
              <w:right w:w="100" w:type="dxa"/>
            </w:tcMar>
          </w:tcPr>
          <w:p w14:paraId="5EA5AC74"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rPr>
            </w:pPr>
            <w:r w:rsidRPr="00150494">
              <w:rPr>
                <w:rFonts w:ascii="Arial" w:eastAsia="Arial" w:hAnsi="Arial" w:cs="Arial"/>
              </w:rPr>
              <w:t xml:space="preserve">Operational discipline is strengthened after El Teniente disruptions with the integration of sustainability initiatives and 2030 Sustainability Commitments </w:t>
            </w:r>
          </w:p>
        </w:tc>
      </w:tr>
      <w:tr w:rsidR="00A937D3" w:rsidRPr="00150494" w14:paraId="684AB3AF" w14:textId="77777777" w:rsidTr="00175950">
        <w:tc>
          <w:tcPr>
            <w:tcW w:w="1575" w:type="dxa"/>
            <w:tcMar>
              <w:top w:w="100" w:type="dxa"/>
              <w:left w:w="100" w:type="dxa"/>
              <w:bottom w:w="100" w:type="dxa"/>
              <w:right w:w="100" w:type="dxa"/>
            </w:tcMar>
          </w:tcPr>
          <w:p w14:paraId="65E8F65A"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b/>
              </w:rPr>
            </w:pPr>
            <w:r w:rsidRPr="00150494">
              <w:rPr>
                <w:rFonts w:ascii="Arial" w:eastAsia="Arial" w:hAnsi="Arial" w:cs="Arial"/>
                <w:b/>
              </w:rPr>
              <w:t xml:space="preserve">Assurance </w:t>
            </w:r>
          </w:p>
        </w:tc>
        <w:tc>
          <w:tcPr>
            <w:tcW w:w="3660" w:type="dxa"/>
            <w:tcMar>
              <w:top w:w="100" w:type="dxa"/>
              <w:left w:w="100" w:type="dxa"/>
              <w:bottom w:w="100" w:type="dxa"/>
              <w:right w:w="100" w:type="dxa"/>
            </w:tcMar>
          </w:tcPr>
          <w:p w14:paraId="353FCD09"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rPr>
            </w:pPr>
            <w:r w:rsidRPr="00150494">
              <w:rPr>
                <w:rFonts w:ascii="Arial" w:eastAsia="Arial" w:hAnsi="Arial" w:cs="Arial"/>
              </w:rPr>
              <w:t xml:space="preserve">Transparent governance system, communicative ESG disclosure and financial </w:t>
            </w:r>
            <w:r w:rsidRPr="00150494">
              <w:rPr>
                <w:rFonts w:ascii="Arial" w:eastAsia="Arial" w:hAnsi="Arial" w:cs="Arial"/>
              </w:rPr>
              <w:lastRenderedPageBreak/>
              <w:t xml:space="preserve">resilience stabilised stakeholder engagement </w:t>
            </w:r>
          </w:p>
        </w:tc>
        <w:tc>
          <w:tcPr>
            <w:tcW w:w="4111" w:type="dxa"/>
            <w:tcMar>
              <w:top w:w="100" w:type="dxa"/>
              <w:left w:w="100" w:type="dxa"/>
              <w:bottom w:w="100" w:type="dxa"/>
              <w:right w:w="100" w:type="dxa"/>
            </w:tcMar>
          </w:tcPr>
          <w:p w14:paraId="6BA9B326"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rPr>
            </w:pPr>
            <w:r w:rsidRPr="00150494">
              <w:rPr>
                <w:rFonts w:ascii="Arial" w:eastAsia="Arial" w:hAnsi="Arial" w:cs="Arial"/>
              </w:rPr>
              <w:lastRenderedPageBreak/>
              <w:t xml:space="preserve">Net profit of US$2.42 billion and adjusted EBITDA of US$6.67 billion in 2025 presented stable operational </w:t>
            </w:r>
            <w:r w:rsidRPr="00150494">
              <w:rPr>
                <w:rFonts w:ascii="Arial" w:eastAsia="Arial" w:hAnsi="Arial" w:cs="Arial"/>
              </w:rPr>
              <w:lastRenderedPageBreak/>
              <w:t>capability (</w:t>
            </w:r>
            <w:proofErr w:type="spellStart"/>
            <w:r w:rsidRPr="00150494">
              <w:rPr>
                <w:rFonts w:ascii="Arial" w:eastAsia="Arial" w:hAnsi="Arial" w:cs="Arial"/>
              </w:rPr>
              <w:t>Richani</w:t>
            </w:r>
            <w:proofErr w:type="spellEnd"/>
            <w:r w:rsidRPr="00150494">
              <w:rPr>
                <w:rFonts w:ascii="Arial" w:eastAsia="Arial" w:hAnsi="Arial" w:cs="Arial"/>
              </w:rPr>
              <w:t>, 2026; Rivera, 2026)</w:t>
            </w:r>
          </w:p>
        </w:tc>
      </w:tr>
      <w:tr w:rsidR="00A937D3" w:rsidRPr="00150494" w14:paraId="50696C22" w14:textId="77777777" w:rsidTr="00175950">
        <w:tc>
          <w:tcPr>
            <w:tcW w:w="1575" w:type="dxa"/>
            <w:tcMar>
              <w:top w:w="100" w:type="dxa"/>
              <w:left w:w="100" w:type="dxa"/>
              <w:bottom w:w="100" w:type="dxa"/>
              <w:right w:w="100" w:type="dxa"/>
            </w:tcMar>
          </w:tcPr>
          <w:p w14:paraId="14DC3C95"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b/>
              </w:rPr>
            </w:pPr>
            <w:r w:rsidRPr="00150494">
              <w:rPr>
                <w:rFonts w:ascii="Arial" w:eastAsia="Arial" w:hAnsi="Arial" w:cs="Arial"/>
                <w:b/>
              </w:rPr>
              <w:lastRenderedPageBreak/>
              <w:t xml:space="preserve">Empathy </w:t>
            </w:r>
          </w:p>
        </w:tc>
        <w:tc>
          <w:tcPr>
            <w:tcW w:w="3660" w:type="dxa"/>
            <w:tcMar>
              <w:top w:w="100" w:type="dxa"/>
              <w:left w:w="100" w:type="dxa"/>
              <w:bottom w:w="100" w:type="dxa"/>
              <w:right w:w="100" w:type="dxa"/>
            </w:tcMar>
          </w:tcPr>
          <w:p w14:paraId="600CEB35"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rPr>
            </w:pPr>
            <w:r w:rsidRPr="00150494">
              <w:rPr>
                <w:rFonts w:ascii="Arial" w:eastAsia="Arial" w:hAnsi="Arial" w:cs="Arial"/>
              </w:rPr>
              <w:t>Strong stakeholder relationships including community, industry partners, government and investors</w:t>
            </w:r>
          </w:p>
        </w:tc>
        <w:tc>
          <w:tcPr>
            <w:tcW w:w="4111" w:type="dxa"/>
            <w:tcMar>
              <w:top w:w="100" w:type="dxa"/>
              <w:left w:w="100" w:type="dxa"/>
              <w:bottom w:w="100" w:type="dxa"/>
              <w:right w:w="100" w:type="dxa"/>
            </w:tcMar>
          </w:tcPr>
          <w:p w14:paraId="6AA82A3E"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rPr>
            </w:pPr>
            <w:r w:rsidRPr="00150494">
              <w:rPr>
                <w:rFonts w:ascii="Arial" w:eastAsia="Arial" w:hAnsi="Arial" w:cs="Arial"/>
              </w:rPr>
              <w:t>Socioeconomic value creation obtained with Chilean treasury contribution of US$1.78 billion in 2025 (</w:t>
            </w:r>
            <w:proofErr w:type="spellStart"/>
            <w:r w:rsidRPr="00150494">
              <w:rPr>
                <w:rFonts w:ascii="Arial" w:eastAsia="Arial" w:hAnsi="Arial" w:cs="Arial"/>
              </w:rPr>
              <w:t>Bnamericas</w:t>
            </w:r>
            <w:proofErr w:type="spellEnd"/>
            <w:r w:rsidRPr="00150494">
              <w:rPr>
                <w:rFonts w:ascii="Arial" w:eastAsia="Arial" w:hAnsi="Arial" w:cs="Arial"/>
              </w:rPr>
              <w:t>, 2026)</w:t>
            </w:r>
          </w:p>
        </w:tc>
      </w:tr>
      <w:tr w:rsidR="00A937D3" w:rsidRPr="00150494" w14:paraId="5F16D2C7" w14:textId="77777777" w:rsidTr="00175950">
        <w:tc>
          <w:tcPr>
            <w:tcW w:w="1575" w:type="dxa"/>
            <w:tcMar>
              <w:top w:w="100" w:type="dxa"/>
              <w:left w:w="100" w:type="dxa"/>
              <w:bottom w:w="100" w:type="dxa"/>
              <w:right w:w="100" w:type="dxa"/>
            </w:tcMar>
          </w:tcPr>
          <w:p w14:paraId="7766257F"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b/>
              </w:rPr>
            </w:pPr>
            <w:r w:rsidRPr="00150494">
              <w:rPr>
                <w:rFonts w:ascii="Arial" w:eastAsia="Arial" w:hAnsi="Arial" w:cs="Arial"/>
                <w:b/>
              </w:rPr>
              <w:t xml:space="preserve">Tangibles </w:t>
            </w:r>
          </w:p>
        </w:tc>
        <w:tc>
          <w:tcPr>
            <w:tcW w:w="3660" w:type="dxa"/>
            <w:tcMar>
              <w:top w:w="100" w:type="dxa"/>
              <w:left w:w="100" w:type="dxa"/>
              <w:bottom w:w="100" w:type="dxa"/>
              <w:right w:w="100" w:type="dxa"/>
            </w:tcMar>
          </w:tcPr>
          <w:p w14:paraId="24B96E7A" w14:textId="77777777" w:rsidR="00A937D3" w:rsidRPr="00150494" w:rsidRDefault="00F676A6">
            <w:pPr>
              <w:widowControl w:val="0"/>
              <w:pBdr>
                <w:top w:val="nil"/>
                <w:left w:val="nil"/>
                <w:bottom w:val="nil"/>
                <w:right w:val="nil"/>
                <w:between w:val="nil"/>
              </w:pBdr>
              <w:spacing w:after="0" w:line="240" w:lineRule="auto"/>
              <w:rPr>
                <w:rFonts w:ascii="Arial" w:eastAsia="Arial" w:hAnsi="Arial" w:cs="Arial"/>
              </w:rPr>
            </w:pPr>
            <w:r w:rsidRPr="00150494">
              <w:rPr>
                <w:rFonts w:ascii="Arial" w:eastAsia="Arial" w:hAnsi="Arial" w:cs="Arial"/>
              </w:rPr>
              <w:t>Spontaneous investments in digitalisation, decarbonisation projects, and sustainable infrastructure</w:t>
            </w:r>
          </w:p>
        </w:tc>
        <w:tc>
          <w:tcPr>
            <w:tcW w:w="4111" w:type="dxa"/>
            <w:tcMar>
              <w:top w:w="100" w:type="dxa"/>
              <w:left w:w="100" w:type="dxa"/>
              <w:bottom w:w="100" w:type="dxa"/>
              <w:right w:w="100" w:type="dxa"/>
            </w:tcMar>
          </w:tcPr>
          <w:p w14:paraId="78D0032D" w14:textId="30FCBFE9" w:rsidR="00A937D3" w:rsidRPr="00150494" w:rsidRDefault="00F676A6">
            <w:pPr>
              <w:widowControl w:val="0"/>
              <w:pBdr>
                <w:top w:val="nil"/>
                <w:left w:val="nil"/>
                <w:bottom w:val="nil"/>
                <w:right w:val="nil"/>
                <w:between w:val="nil"/>
              </w:pBdr>
              <w:spacing w:after="0" w:line="240" w:lineRule="auto"/>
              <w:rPr>
                <w:rFonts w:ascii="Arial" w:eastAsia="Arial" w:hAnsi="Arial" w:cs="Arial"/>
              </w:rPr>
            </w:pPr>
            <w:r w:rsidRPr="00150494">
              <w:rPr>
                <w:rFonts w:ascii="Arial" w:eastAsia="Arial" w:hAnsi="Arial" w:cs="Arial"/>
              </w:rPr>
              <w:t>A revenue of US$19.6 billion stabilised investment in low-carbon mining technologies</w:t>
            </w:r>
            <w:r w:rsidR="007270DC" w:rsidRPr="00150494">
              <w:rPr>
                <w:rFonts w:ascii="Arial" w:eastAsia="Arial" w:hAnsi="Arial" w:cs="Arial"/>
              </w:rPr>
              <w:t xml:space="preserve"> </w:t>
            </w:r>
            <w:r w:rsidRPr="00150494">
              <w:rPr>
                <w:rFonts w:ascii="Arial" w:eastAsia="Arial" w:hAnsi="Arial" w:cs="Arial"/>
              </w:rPr>
              <w:t xml:space="preserve">(Codelco, 2026). </w:t>
            </w:r>
          </w:p>
        </w:tc>
      </w:tr>
    </w:tbl>
    <w:p w14:paraId="09A0F8D5" w14:textId="77777777" w:rsidR="00A937D3" w:rsidRPr="00150494" w:rsidRDefault="00F676A6">
      <w:pPr>
        <w:jc w:val="center"/>
        <w:rPr>
          <w:rFonts w:ascii="Arial" w:eastAsia="Arial" w:hAnsi="Arial" w:cs="Arial"/>
          <w:b/>
          <w:bCs/>
        </w:rPr>
      </w:pPr>
      <w:r w:rsidRPr="00150494">
        <w:rPr>
          <w:rFonts w:ascii="Arial" w:eastAsia="Arial" w:hAnsi="Arial" w:cs="Arial"/>
          <w:b/>
          <w:bCs/>
        </w:rPr>
        <w:t xml:space="preserve">Table 1: Applying the SERVQUAL model to Codelco performance </w:t>
      </w:r>
    </w:p>
    <w:p w14:paraId="7F76C35D" w14:textId="77777777" w:rsidR="00A937D3" w:rsidRPr="00150494" w:rsidRDefault="00F676A6">
      <w:pPr>
        <w:jc w:val="center"/>
        <w:rPr>
          <w:rFonts w:ascii="Arial" w:eastAsia="Arial" w:hAnsi="Arial" w:cs="Arial"/>
        </w:rPr>
      </w:pPr>
      <w:r w:rsidRPr="00150494">
        <w:rPr>
          <w:rFonts w:ascii="Arial" w:eastAsia="Arial" w:hAnsi="Arial" w:cs="Arial"/>
        </w:rPr>
        <w:t xml:space="preserve">(Source: Influenced by Wider </w:t>
      </w:r>
      <w:r w:rsidRPr="00150494">
        <w:rPr>
          <w:rFonts w:ascii="Arial" w:eastAsia="Arial" w:hAnsi="Arial" w:cs="Arial"/>
          <w:i/>
          <w:iCs/>
        </w:rPr>
        <w:t xml:space="preserve">et al., </w:t>
      </w:r>
      <w:r w:rsidRPr="00150494">
        <w:rPr>
          <w:rFonts w:ascii="Arial" w:eastAsia="Arial" w:hAnsi="Arial" w:cs="Arial"/>
        </w:rPr>
        <w:t>2024)</w:t>
      </w:r>
    </w:p>
    <w:p w14:paraId="0A31CBA3" w14:textId="77777777" w:rsidR="00A937D3" w:rsidRPr="00150494" w:rsidRDefault="00F676A6">
      <w:pPr>
        <w:rPr>
          <w:rFonts w:ascii="Arial" w:eastAsia="Arial" w:hAnsi="Arial" w:cs="Arial"/>
        </w:rPr>
      </w:pPr>
      <w:r w:rsidRPr="00150494">
        <w:rPr>
          <w:rFonts w:ascii="Arial" w:eastAsia="Arial" w:hAnsi="Arial" w:cs="Arial"/>
        </w:rPr>
        <w:t xml:space="preserve">From the details in the above table addressing the domains of the SERVQUAL model, it is evident that the competitive positioning of Codelco is multidimensional and it encompasses both resource ownership as well as the value delivery for superior stakeholders. As suggested by </w:t>
      </w:r>
      <w:proofErr w:type="spellStart"/>
      <w:r w:rsidRPr="00150494">
        <w:rPr>
          <w:rFonts w:ascii="Arial" w:eastAsia="Arial" w:hAnsi="Arial" w:cs="Arial"/>
        </w:rPr>
        <w:t>Efunniyi</w:t>
      </w:r>
      <w:proofErr w:type="spellEnd"/>
      <w:r w:rsidRPr="00150494">
        <w:rPr>
          <w:rFonts w:ascii="Arial" w:eastAsia="Arial" w:hAnsi="Arial" w:cs="Arial"/>
        </w:rPr>
        <w:t xml:space="preserve"> </w:t>
      </w:r>
      <w:r w:rsidRPr="00150494">
        <w:rPr>
          <w:rFonts w:ascii="Arial" w:eastAsia="Arial" w:hAnsi="Arial" w:cs="Arial"/>
          <w:i/>
          <w:iCs/>
        </w:rPr>
        <w:t xml:space="preserve">et al. </w:t>
      </w:r>
      <w:r w:rsidRPr="00150494">
        <w:rPr>
          <w:rFonts w:ascii="Arial" w:eastAsia="Arial" w:hAnsi="Arial" w:cs="Arial"/>
        </w:rPr>
        <w:t xml:space="preserve">(2024), sustainability commitments are effective when combined with operational reliability and transparent governance. Therefore, the strategic indulgence of Codelco can achieve performance stability with responsible supplier support and enhanced corporate reputation in the global energy transition economy. </w:t>
      </w:r>
      <w:r w:rsidRPr="00150494">
        <w:br w:type="page"/>
      </w:r>
    </w:p>
    <w:p w14:paraId="335DE1A4" w14:textId="77777777" w:rsidR="00A937D3" w:rsidRPr="00150494" w:rsidRDefault="00F676A6">
      <w:pPr>
        <w:pStyle w:val="Heading1"/>
      </w:pPr>
      <w:bookmarkStart w:id="21" w:name="_Toc234585316"/>
      <w:r w:rsidRPr="00150494">
        <w:lastRenderedPageBreak/>
        <w:t>Task 3: Critical Reflection on AI Usage</w:t>
      </w:r>
      <w:bookmarkEnd w:id="21"/>
      <w:r w:rsidRPr="00150494">
        <w:t xml:space="preserve"> </w:t>
      </w:r>
    </w:p>
    <w:p w14:paraId="33A6179C" w14:textId="77777777" w:rsidR="00A937D3" w:rsidRPr="00150494" w:rsidRDefault="00F676A6">
      <w:pPr>
        <w:pStyle w:val="Heading2"/>
      </w:pPr>
      <w:bookmarkStart w:id="22" w:name="_Toc234585317"/>
      <w:r w:rsidRPr="00150494">
        <w:t>Tool disclosure</w:t>
      </w:r>
      <w:bookmarkEnd w:id="22"/>
      <w:r w:rsidRPr="00150494">
        <w:t xml:space="preserve"> </w:t>
      </w:r>
    </w:p>
    <w:p w14:paraId="05E49D02" w14:textId="77777777" w:rsidR="00A937D3" w:rsidRPr="00150494" w:rsidRDefault="00F676A6">
      <w:pPr>
        <w:rPr>
          <w:rFonts w:ascii="Arial" w:eastAsia="Arial" w:hAnsi="Arial" w:cs="Arial"/>
        </w:rPr>
      </w:pPr>
      <w:r w:rsidRPr="00150494">
        <w:rPr>
          <w:rFonts w:ascii="Arial" w:eastAsia="Arial" w:hAnsi="Arial" w:cs="Arial"/>
        </w:rPr>
        <w:t xml:space="preserve">In this study, Gemini is used as an auxiliary generative AI tool for framework identification, idea generation and data exploration to enhance coherence throughout the assignment. The tool is used to locate relevant sustainability concepts and marketing theories, along with collaborating with recent corporate information on Codelco as part of data triangulation (Garg </w:t>
      </w:r>
      <w:r w:rsidRPr="00150494">
        <w:rPr>
          <w:rFonts w:ascii="Arial" w:eastAsia="Arial" w:hAnsi="Arial" w:cs="Arial"/>
          <w:i/>
          <w:iCs/>
        </w:rPr>
        <w:t xml:space="preserve">et al., </w:t>
      </w:r>
      <w:r w:rsidRPr="00150494">
        <w:rPr>
          <w:rFonts w:ascii="Arial" w:eastAsia="Arial" w:hAnsi="Arial" w:cs="Arial"/>
        </w:rPr>
        <w:t xml:space="preserve">2025). The evaluation after data interpretation and academic writing was the sole responsibility of the author. </w:t>
      </w:r>
    </w:p>
    <w:p w14:paraId="2E680755" w14:textId="77777777" w:rsidR="00A937D3" w:rsidRPr="00150494" w:rsidRDefault="00F676A6">
      <w:pPr>
        <w:pStyle w:val="Heading2"/>
      </w:pPr>
      <w:bookmarkStart w:id="23" w:name="_Toc234585318"/>
      <w:r w:rsidRPr="00150494">
        <w:t>Critical evaluation of AI output</w:t>
      </w:r>
      <w:bookmarkEnd w:id="23"/>
      <w:r w:rsidRPr="00150494">
        <w:t xml:space="preserve"> </w:t>
      </w:r>
    </w:p>
    <w:p w14:paraId="67EE04CB" w14:textId="77777777" w:rsidR="00A937D3" w:rsidRPr="00150494" w:rsidRDefault="00F676A6">
      <w:pPr>
        <w:rPr>
          <w:rFonts w:ascii="Arial" w:eastAsia="Arial" w:hAnsi="Arial" w:cs="Arial"/>
        </w:rPr>
      </w:pPr>
      <w:r w:rsidRPr="00150494">
        <w:rPr>
          <w:rFonts w:ascii="Arial" w:eastAsia="Arial" w:hAnsi="Arial" w:cs="Arial"/>
        </w:rPr>
        <w:t xml:space="preserve">The AI output from Gemini was useful to obtain preliminary insights about the strategic growth framework, competitive positioning and environmental sustainability considering the mining industry. The generated responses helped integrate frameworks such as Ansoff Matrix, </w:t>
      </w:r>
      <w:proofErr w:type="spellStart"/>
      <w:r w:rsidRPr="00150494">
        <w:rPr>
          <w:rFonts w:ascii="Arial" w:eastAsia="Arial" w:hAnsi="Arial" w:cs="Arial"/>
        </w:rPr>
        <w:t>Servqual</w:t>
      </w:r>
      <w:proofErr w:type="spellEnd"/>
      <w:r w:rsidRPr="00150494">
        <w:rPr>
          <w:rFonts w:ascii="Arial" w:eastAsia="Arial" w:hAnsi="Arial" w:cs="Arial"/>
        </w:rPr>
        <w:t xml:space="preserve"> model, Porter’s Generic strategies and ESG-related practices. The following section includes a few pieces of evidence related to it.</w:t>
      </w:r>
    </w:p>
    <w:p w14:paraId="313AD370" w14:textId="77777777" w:rsidR="00A937D3" w:rsidRPr="00150494" w:rsidRDefault="00F676A6">
      <w:pPr>
        <w:jc w:val="center"/>
        <w:rPr>
          <w:rFonts w:ascii="Arial" w:eastAsia="Arial" w:hAnsi="Arial" w:cs="Arial"/>
          <w:b/>
          <w:bCs/>
        </w:rPr>
      </w:pPr>
      <w:r w:rsidRPr="00150494">
        <w:rPr>
          <w:rFonts w:ascii="Arial" w:eastAsia="Arial" w:hAnsi="Arial" w:cs="Arial"/>
          <w:b/>
          <w:bCs/>
          <w:noProof/>
          <w:lang w:val="en-IN"/>
        </w:rPr>
        <w:lastRenderedPageBreak/>
        <w:drawing>
          <wp:inline distT="114300" distB="114300" distL="114300" distR="114300" wp14:anchorId="26A315F4" wp14:editId="598E02C9">
            <wp:extent cx="4938713" cy="4202654"/>
            <wp:effectExtent l="12700" t="12700" r="12700" b="1270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4938713" cy="4202654"/>
                    </a:xfrm>
                    <a:prstGeom prst="rect">
                      <a:avLst/>
                    </a:prstGeom>
                    <a:ln w="12700">
                      <a:solidFill>
                        <a:srgbClr val="000000"/>
                      </a:solidFill>
                      <a:prstDash val="solid"/>
                    </a:ln>
                  </pic:spPr>
                </pic:pic>
              </a:graphicData>
            </a:graphic>
          </wp:inline>
        </w:drawing>
      </w:r>
    </w:p>
    <w:p w14:paraId="38CE348C" w14:textId="77777777" w:rsidR="00A937D3" w:rsidRPr="00150494" w:rsidRDefault="00F676A6">
      <w:pPr>
        <w:jc w:val="center"/>
        <w:rPr>
          <w:rFonts w:ascii="Arial" w:eastAsia="Arial" w:hAnsi="Arial" w:cs="Arial"/>
          <w:b/>
          <w:bCs/>
        </w:rPr>
      </w:pPr>
      <w:r w:rsidRPr="00150494">
        <w:rPr>
          <w:rFonts w:ascii="Arial" w:eastAsia="Arial" w:hAnsi="Arial" w:cs="Arial"/>
          <w:b/>
          <w:bCs/>
        </w:rPr>
        <w:t>Figure 11: Evidence 1 of research using Gemini</w:t>
      </w:r>
    </w:p>
    <w:p w14:paraId="59C2B5ED" w14:textId="77777777" w:rsidR="00A937D3" w:rsidRPr="00150494" w:rsidRDefault="00F676A6">
      <w:pPr>
        <w:jc w:val="center"/>
        <w:rPr>
          <w:rFonts w:ascii="Arial" w:eastAsia="Arial" w:hAnsi="Arial" w:cs="Arial"/>
        </w:rPr>
      </w:pPr>
      <w:r w:rsidRPr="00150494">
        <w:rPr>
          <w:rFonts w:ascii="Arial" w:eastAsia="Arial" w:hAnsi="Arial" w:cs="Arial"/>
        </w:rPr>
        <w:t>(Source: Self-developed)</w:t>
      </w:r>
    </w:p>
    <w:p w14:paraId="1DCA217D" w14:textId="77777777" w:rsidR="00A937D3" w:rsidRPr="00150494" w:rsidRDefault="00F676A6">
      <w:pPr>
        <w:rPr>
          <w:rFonts w:ascii="Arial" w:eastAsia="Arial" w:hAnsi="Arial" w:cs="Arial"/>
        </w:rPr>
      </w:pPr>
      <w:r w:rsidRPr="00150494">
        <w:rPr>
          <w:rFonts w:ascii="Arial" w:eastAsia="Arial" w:hAnsi="Arial" w:cs="Arial"/>
        </w:rPr>
        <w:t xml:space="preserve">The prompt helped in identifying the macroenvironmental factors linked to Codelco and its agenda. Nonetheless, the data is combined with company-specific research data and recent evidence from Codelco to enhance the academic rigour and analytical depth. </w:t>
      </w:r>
    </w:p>
    <w:p w14:paraId="6E736A76" w14:textId="77777777" w:rsidR="00A937D3" w:rsidRPr="00150494" w:rsidRDefault="00F676A6">
      <w:pPr>
        <w:jc w:val="center"/>
        <w:rPr>
          <w:rFonts w:ascii="Arial" w:eastAsia="Arial" w:hAnsi="Arial" w:cs="Arial"/>
        </w:rPr>
      </w:pPr>
      <w:r w:rsidRPr="00150494">
        <w:rPr>
          <w:rFonts w:ascii="Arial" w:eastAsia="Arial" w:hAnsi="Arial" w:cs="Arial"/>
          <w:noProof/>
          <w:lang w:val="en-IN"/>
        </w:rPr>
        <w:lastRenderedPageBreak/>
        <w:drawing>
          <wp:inline distT="114300" distB="114300" distL="114300" distR="114300" wp14:anchorId="380DCE5C" wp14:editId="04B26423">
            <wp:extent cx="5072063" cy="3698379"/>
            <wp:effectExtent l="12700" t="12700" r="12700" b="1270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5072063" cy="3698379"/>
                    </a:xfrm>
                    <a:prstGeom prst="rect">
                      <a:avLst/>
                    </a:prstGeom>
                    <a:ln w="12700">
                      <a:solidFill>
                        <a:srgbClr val="000000"/>
                      </a:solidFill>
                      <a:prstDash val="solid"/>
                    </a:ln>
                  </pic:spPr>
                </pic:pic>
              </a:graphicData>
            </a:graphic>
          </wp:inline>
        </w:drawing>
      </w:r>
    </w:p>
    <w:p w14:paraId="5CC81798" w14:textId="77777777" w:rsidR="00A937D3" w:rsidRPr="00150494" w:rsidRDefault="00F676A6">
      <w:pPr>
        <w:jc w:val="center"/>
        <w:rPr>
          <w:rFonts w:ascii="Arial" w:eastAsia="Arial" w:hAnsi="Arial" w:cs="Arial"/>
          <w:b/>
          <w:bCs/>
        </w:rPr>
      </w:pPr>
      <w:r w:rsidRPr="00150494">
        <w:rPr>
          <w:rFonts w:ascii="Arial" w:eastAsia="Arial" w:hAnsi="Arial" w:cs="Arial"/>
          <w:b/>
          <w:bCs/>
        </w:rPr>
        <w:t>Figure 12: Evidence 2 of research using Gemini</w:t>
      </w:r>
    </w:p>
    <w:p w14:paraId="033DFD43" w14:textId="77777777" w:rsidR="00A937D3" w:rsidRPr="00150494" w:rsidRDefault="00F676A6">
      <w:pPr>
        <w:jc w:val="center"/>
        <w:rPr>
          <w:rFonts w:ascii="Arial" w:eastAsia="Arial" w:hAnsi="Arial" w:cs="Arial"/>
        </w:rPr>
      </w:pPr>
      <w:r w:rsidRPr="00150494">
        <w:rPr>
          <w:rFonts w:ascii="Arial" w:eastAsia="Arial" w:hAnsi="Arial" w:cs="Arial"/>
        </w:rPr>
        <w:t>(Source: Self-developed)</w:t>
      </w:r>
    </w:p>
    <w:p w14:paraId="7C299B0C" w14:textId="77777777" w:rsidR="00A937D3" w:rsidRPr="00150494" w:rsidRDefault="00F676A6">
      <w:pPr>
        <w:rPr>
          <w:rFonts w:ascii="Arial" w:eastAsia="Arial" w:hAnsi="Arial" w:cs="Arial"/>
        </w:rPr>
      </w:pPr>
      <w:r w:rsidRPr="00150494">
        <w:rPr>
          <w:rFonts w:ascii="Arial" w:eastAsia="Arial" w:hAnsi="Arial" w:cs="Arial"/>
        </w:rPr>
        <w:t xml:space="preserve">This evidence indicated the usefulness of Gemini in idea generation whether corporate branding theory can be integrated into factor 2 analysis. The proposed model is in link with lecture materials and the generated output was conceptual. It required application of company perspectives through sustainability disclosures and annual reports to ensure in-depth analysis and standard interpretation. </w:t>
      </w:r>
    </w:p>
    <w:p w14:paraId="632E25E7" w14:textId="77777777" w:rsidR="00A937D3" w:rsidRPr="00150494" w:rsidRDefault="00F676A6">
      <w:pPr>
        <w:pStyle w:val="Heading2"/>
      </w:pPr>
      <w:bookmarkStart w:id="24" w:name="_Toc234585319"/>
      <w:r w:rsidRPr="00150494">
        <w:t>Contribution analysis</w:t>
      </w:r>
      <w:bookmarkEnd w:id="24"/>
      <w:r w:rsidRPr="00150494">
        <w:t xml:space="preserve"> </w:t>
      </w:r>
    </w:p>
    <w:p w14:paraId="7C70FA23" w14:textId="77777777" w:rsidR="00A937D3" w:rsidRPr="00150494" w:rsidRDefault="00F676A6">
      <w:pPr>
        <w:rPr>
          <w:rFonts w:ascii="Arial" w:eastAsia="Arial" w:hAnsi="Arial" w:cs="Arial"/>
        </w:rPr>
      </w:pPr>
      <w:r w:rsidRPr="00150494">
        <w:rPr>
          <w:rFonts w:ascii="Arial" w:eastAsia="Arial" w:hAnsi="Arial" w:cs="Arial"/>
        </w:rPr>
        <w:t xml:space="preserve">The final assignment has demonstrated my personal skills of analysis where Gemini is only used for generating ideas and obtaining guidance in sections of the assignment. I worked on the operational data of Codelco as the focus organisation to identify its strengths and challenges. Additionally, I scoured all lecture materials to identify relevant concepts while obtaining support from Gemini prompts, specifically from lectures 3, 4, 5, 9 and 12. The assessment context is aligned with the theories used in this work, with recent statistical evidence of Codelco from annual and sustainability reports that helped in the identification of strategic growth opportunities and analysis of environmental </w:t>
      </w:r>
      <w:r w:rsidRPr="00150494">
        <w:rPr>
          <w:rFonts w:ascii="Arial" w:eastAsia="Arial" w:hAnsi="Arial" w:cs="Arial"/>
        </w:rPr>
        <w:lastRenderedPageBreak/>
        <w:t xml:space="preserve">factors. On the other hand, other lectures were not involved here as they typically addressed communication and consumer behaviour concepts, which are less aligned with sustainability-oriented B2B mining organisations. The AI tool-based research only aided personal reflection and understanding while improving the assignment's readability (Kong </w:t>
      </w:r>
      <w:r w:rsidRPr="00150494">
        <w:rPr>
          <w:rFonts w:ascii="Arial" w:eastAsia="Arial" w:hAnsi="Arial" w:cs="Arial"/>
          <w:i/>
          <w:iCs/>
        </w:rPr>
        <w:t xml:space="preserve">et al., </w:t>
      </w:r>
      <w:r w:rsidRPr="00150494">
        <w:rPr>
          <w:rFonts w:ascii="Arial" w:eastAsia="Arial" w:hAnsi="Arial" w:cs="Arial"/>
        </w:rPr>
        <w:t xml:space="preserve">2026). </w:t>
      </w:r>
    </w:p>
    <w:p w14:paraId="15390E26" w14:textId="77777777" w:rsidR="00A937D3" w:rsidRPr="00150494" w:rsidRDefault="00F676A6">
      <w:pPr>
        <w:pStyle w:val="Heading2"/>
      </w:pPr>
      <w:bookmarkStart w:id="25" w:name="_Toc234585320"/>
      <w:r w:rsidRPr="00150494">
        <w:t>Ethical and professional reflection</w:t>
      </w:r>
      <w:bookmarkEnd w:id="25"/>
      <w:r w:rsidRPr="00150494">
        <w:t xml:space="preserve"> </w:t>
      </w:r>
    </w:p>
    <w:p w14:paraId="48E07DFA" w14:textId="77777777" w:rsidR="00A937D3" w:rsidRPr="00150494" w:rsidRDefault="00F676A6">
      <w:pPr>
        <w:rPr>
          <w:rFonts w:ascii="Arial" w:eastAsia="Arial" w:hAnsi="Arial" w:cs="Arial"/>
        </w:rPr>
      </w:pPr>
      <w:r w:rsidRPr="00150494">
        <w:rPr>
          <w:rFonts w:ascii="Arial" w:eastAsia="Arial" w:hAnsi="Arial" w:cs="Arial"/>
        </w:rPr>
        <w:t xml:space="preserve">AI is effective in organising data and refining writing content, while primary research is limited here with generalised concepts and information. Therefore, excessive AI dependence can reduce critical analytical aspects of an assignment and increase the risk of incorporating inaccurate data, as unverified data sources are not filtered in such tools. Nonetheless, responsible and limited use of AI has helped in supplementing this assignment while maintaining independent analysis and judgement here. </w:t>
      </w:r>
      <w:r w:rsidRPr="00150494">
        <w:br w:type="page"/>
      </w:r>
    </w:p>
    <w:p w14:paraId="674DC62C" w14:textId="77777777" w:rsidR="00A937D3" w:rsidRPr="00150494" w:rsidRDefault="00F676A6">
      <w:pPr>
        <w:pStyle w:val="Heading1"/>
      </w:pPr>
      <w:bookmarkStart w:id="26" w:name="_Toc234585321"/>
      <w:r w:rsidRPr="00150494">
        <w:lastRenderedPageBreak/>
        <w:t>Reference list</w:t>
      </w:r>
      <w:bookmarkEnd w:id="26"/>
    </w:p>
    <w:p w14:paraId="2DB86478" w14:textId="77777777" w:rsidR="00A937D3" w:rsidRPr="00150494" w:rsidRDefault="00F676A6">
      <w:pPr>
        <w:spacing w:after="200"/>
        <w:rPr>
          <w:rFonts w:ascii="Arial" w:eastAsia="Arial" w:hAnsi="Arial" w:cs="Arial"/>
        </w:rPr>
      </w:pPr>
      <w:r w:rsidRPr="00150494">
        <w:rPr>
          <w:rFonts w:ascii="Arial" w:eastAsia="Arial" w:hAnsi="Arial" w:cs="Arial"/>
        </w:rPr>
        <w:t xml:space="preserve">AB Magazine (2022). </w:t>
      </w:r>
      <w:r w:rsidRPr="00150494">
        <w:rPr>
          <w:rFonts w:ascii="Arial" w:eastAsia="Arial" w:hAnsi="Arial" w:cs="Arial"/>
          <w:i/>
          <w:iCs/>
        </w:rPr>
        <w:t xml:space="preserve">Green Pride. </w:t>
      </w:r>
      <w:r w:rsidRPr="00150494">
        <w:rPr>
          <w:rFonts w:ascii="Arial" w:eastAsia="Arial" w:hAnsi="Arial" w:cs="Arial"/>
        </w:rPr>
        <w:t xml:space="preserve">[Online]. Available at: </w:t>
      </w:r>
      <w:hyperlink r:id="rId21">
        <w:r w:rsidRPr="00150494">
          <w:rPr>
            <w:rFonts w:ascii="Arial" w:eastAsia="Arial" w:hAnsi="Arial" w:cs="Arial"/>
            <w:u w:val="single"/>
          </w:rPr>
          <w:t>https://abmagazine.accaglobal.com/global/articles/2022/nov/comment/green-pride.html</w:t>
        </w:r>
      </w:hyperlink>
      <w:r w:rsidRPr="00150494">
        <w:rPr>
          <w:rFonts w:ascii="Arial" w:eastAsia="Arial" w:hAnsi="Arial" w:cs="Arial"/>
        </w:rPr>
        <w:t xml:space="preserve"> [Accessed on: 03 July 2026]</w:t>
      </w:r>
    </w:p>
    <w:p w14:paraId="15F32B4F" w14:textId="77777777" w:rsidR="00A937D3" w:rsidRPr="00150494" w:rsidRDefault="00F676A6">
      <w:pPr>
        <w:spacing w:after="160"/>
        <w:rPr>
          <w:rFonts w:ascii="Arial" w:eastAsia="Arial" w:hAnsi="Arial" w:cs="Arial"/>
        </w:rPr>
      </w:pPr>
      <w:proofErr w:type="spellStart"/>
      <w:r w:rsidRPr="00150494">
        <w:rPr>
          <w:rFonts w:ascii="Arial" w:eastAsia="Arial" w:hAnsi="Arial" w:cs="Arial"/>
        </w:rPr>
        <w:t>Bnamericas</w:t>
      </w:r>
      <w:proofErr w:type="spellEnd"/>
      <w:r w:rsidRPr="00150494">
        <w:rPr>
          <w:rFonts w:ascii="Arial" w:eastAsia="Arial" w:hAnsi="Arial" w:cs="Arial"/>
        </w:rPr>
        <w:t xml:space="preserve"> (2026). </w:t>
      </w:r>
      <w:r w:rsidRPr="00150494">
        <w:rPr>
          <w:rFonts w:ascii="Arial" w:eastAsia="Arial" w:hAnsi="Arial" w:cs="Arial"/>
          <w:i/>
          <w:iCs/>
        </w:rPr>
        <w:t>Codelco defends US$25bn debt amid debate over partial privatization in Chile</w:t>
      </w:r>
      <w:r w:rsidRPr="00150494">
        <w:rPr>
          <w:rFonts w:ascii="Arial" w:eastAsia="Arial" w:hAnsi="Arial" w:cs="Arial"/>
        </w:rPr>
        <w:t>. Available at:</w:t>
      </w:r>
      <w:hyperlink r:id="rId22">
        <w:r w:rsidRPr="00150494">
          <w:rPr>
            <w:rFonts w:ascii="Arial" w:eastAsia="Arial" w:hAnsi="Arial" w:cs="Arial"/>
          </w:rPr>
          <w:t xml:space="preserve"> </w:t>
        </w:r>
      </w:hyperlink>
      <w:hyperlink r:id="rId23">
        <w:r w:rsidRPr="00150494">
          <w:rPr>
            <w:rFonts w:ascii="Arial" w:eastAsia="Arial" w:hAnsi="Arial" w:cs="Arial"/>
            <w:u w:val="single"/>
          </w:rPr>
          <w:t>https://www.bnamericas.com/en/analysis/codelco-defends-us24658bn-debt-amid-debate-over-partial-privatization-in-chile</w:t>
        </w:r>
      </w:hyperlink>
      <w:r w:rsidRPr="00150494">
        <w:rPr>
          <w:rFonts w:ascii="Arial" w:eastAsia="Arial" w:hAnsi="Arial" w:cs="Arial"/>
        </w:rPr>
        <w:t xml:space="preserve"> (Accessed: 24 June 2026)</w:t>
      </w:r>
    </w:p>
    <w:p w14:paraId="2CD135C4" w14:textId="77777777" w:rsidR="00A937D3" w:rsidRPr="00150494" w:rsidRDefault="00F676A6">
      <w:pPr>
        <w:rPr>
          <w:rFonts w:ascii="Arial" w:eastAsia="Arial" w:hAnsi="Arial" w:cs="Arial"/>
        </w:rPr>
      </w:pPr>
      <w:r w:rsidRPr="00150494">
        <w:rPr>
          <w:rFonts w:ascii="Arial" w:eastAsia="Arial" w:hAnsi="Arial" w:cs="Arial"/>
        </w:rPr>
        <w:t xml:space="preserve">Cambero, F. and Solomon, D.B. (2025). </w:t>
      </w:r>
      <w:r w:rsidRPr="00150494">
        <w:rPr>
          <w:rFonts w:ascii="Arial" w:eastAsia="Arial" w:hAnsi="Arial" w:cs="Arial"/>
          <w:i/>
          <w:iCs/>
        </w:rPr>
        <w:t xml:space="preserve">Chile's Codelco cuts 2025 copper forecast after El Teniente mine collapse. </w:t>
      </w:r>
      <w:r w:rsidRPr="00150494">
        <w:rPr>
          <w:rFonts w:ascii="Arial" w:eastAsia="Arial" w:hAnsi="Arial" w:cs="Arial"/>
        </w:rPr>
        <w:t>[Online]. Available at:</w:t>
      </w:r>
      <w:hyperlink r:id="rId24">
        <w:r w:rsidRPr="00150494">
          <w:rPr>
            <w:rFonts w:ascii="Arial" w:eastAsia="Arial" w:hAnsi="Arial" w:cs="Arial"/>
          </w:rPr>
          <w:t xml:space="preserve"> </w:t>
        </w:r>
      </w:hyperlink>
      <w:hyperlink r:id="rId25">
        <w:r w:rsidRPr="00150494">
          <w:rPr>
            <w:rFonts w:ascii="Arial" w:eastAsia="Arial" w:hAnsi="Arial" w:cs="Arial"/>
            <w:u w:val="single"/>
          </w:rPr>
          <w:t>https://www.reuters.com/world/americas/chiles-codelco-cuts-2025-copper-forecast-after-el-teniente-mine-collapse-2025-08-22/</w:t>
        </w:r>
      </w:hyperlink>
      <w:r w:rsidRPr="00150494">
        <w:rPr>
          <w:rFonts w:ascii="Arial" w:eastAsia="Arial" w:hAnsi="Arial" w:cs="Arial"/>
        </w:rPr>
        <w:t xml:space="preserve"> [Accessed on: 03 July 2026]</w:t>
      </w:r>
    </w:p>
    <w:p w14:paraId="71085F4A" w14:textId="77777777" w:rsidR="00A937D3" w:rsidRPr="00150494" w:rsidRDefault="00F676A6">
      <w:pPr>
        <w:spacing w:after="200"/>
        <w:rPr>
          <w:rFonts w:ascii="Arial" w:eastAsia="Arial" w:hAnsi="Arial" w:cs="Arial"/>
        </w:rPr>
      </w:pPr>
      <w:r w:rsidRPr="00150494">
        <w:rPr>
          <w:rFonts w:ascii="Arial" w:eastAsia="Arial" w:hAnsi="Arial" w:cs="Arial"/>
        </w:rPr>
        <w:t xml:space="preserve">Climate Action Tracker (2024). </w:t>
      </w:r>
      <w:r w:rsidRPr="00150494">
        <w:rPr>
          <w:rFonts w:ascii="Arial" w:eastAsia="Arial" w:hAnsi="Arial" w:cs="Arial"/>
          <w:i/>
          <w:iCs/>
        </w:rPr>
        <w:t xml:space="preserve">Singapore. </w:t>
      </w:r>
      <w:r w:rsidRPr="00150494">
        <w:rPr>
          <w:rFonts w:ascii="Arial" w:eastAsia="Arial" w:hAnsi="Arial" w:cs="Arial"/>
        </w:rPr>
        <w:t xml:space="preserve">[Online]. Available at: </w:t>
      </w:r>
      <w:hyperlink r:id="rId26">
        <w:r w:rsidRPr="00150494">
          <w:rPr>
            <w:rFonts w:ascii="Arial" w:eastAsia="Arial" w:hAnsi="Arial" w:cs="Arial"/>
            <w:u w:val="single"/>
          </w:rPr>
          <w:t>https://climateactiontracker.org/countries/singapore/assumptions/</w:t>
        </w:r>
      </w:hyperlink>
      <w:r w:rsidRPr="00150494">
        <w:rPr>
          <w:rFonts w:ascii="Arial" w:eastAsia="Arial" w:hAnsi="Arial" w:cs="Arial"/>
        </w:rPr>
        <w:t xml:space="preserve"> [Accessed on: 02 July 2026]</w:t>
      </w:r>
    </w:p>
    <w:p w14:paraId="693C97D6" w14:textId="77777777" w:rsidR="00A937D3" w:rsidRPr="00150494" w:rsidRDefault="00F676A6">
      <w:pPr>
        <w:spacing w:after="200"/>
        <w:rPr>
          <w:rFonts w:ascii="Arial" w:eastAsia="Arial" w:hAnsi="Arial" w:cs="Arial"/>
        </w:rPr>
      </w:pPr>
      <w:r w:rsidRPr="00150494">
        <w:rPr>
          <w:rFonts w:ascii="Arial" w:eastAsia="Arial" w:hAnsi="Arial" w:cs="Arial"/>
        </w:rPr>
        <w:t xml:space="preserve">Climate Action Tracker (2024). </w:t>
      </w:r>
      <w:r w:rsidRPr="00150494">
        <w:rPr>
          <w:rFonts w:ascii="Arial" w:eastAsia="Arial" w:hAnsi="Arial" w:cs="Arial"/>
          <w:i/>
          <w:iCs/>
        </w:rPr>
        <w:t xml:space="preserve">United Kingdom. </w:t>
      </w:r>
      <w:r w:rsidRPr="00150494">
        <w:rPr>
          <w:rFonts w:ascii="Arial" w:eastAsia="Arial" w:hAnsi="Arial" w:cs="Arial"/>
        </w:rPr>
        <w:t xml:space="preserve">[Online]. Available at: </w:t>
      </w:r>
      <w:hyperlink r:id="rId27">
        <w:r w:rsidRPr="00150494">
          <w:rPr>
            <w:rFonts w:ascii="Arial" w:eastAsia="Arial" w:hAnsi="Arial" w:cs="Arial"/>
            <w:u w:val="single"/>
          </w:rPr>
          <w:t>https://climateactiontracker.org/countries/uk/</w:t>
        </w:r>
      </w:hyperlink>
      <w:r w:rsidRPr="00150494">
        <w:rPr>
          <w:rFonts w:ascii="Arial" w:eastAsia="Arial" w:hAnsi="Arial" w:cs="Arial"/>
        </w:rPr>
        <w:t xml:space="preserve"> [Accessed on: 02 July 2026]</w:t>
      </w:r>
    </w:p>
    <w:p w14:paraId="5499D39E" w14:textId="77777777" w:rsidR="00A937D3" w:rsidRPr="00150494" w:rsidRDefault="00F676A6">
      <w:pPr>
        <w:rPr>
          <w:rFonts w:ascii="Arial" w:eastAsia="Arial" w:hAnsi="Arial" w:cs="Arial"/>
        </w:rPr>
      </w:pPr>
      <w:r w:rsidRPr="00150494">
        <w:rPr>
          <w:rFonts w:ascii="Arial" w:eastAsia="Arial" w:hAnsi="Arial" w:cs="Arial"/>
        </w:rPr>
        <w:t xml:space="preserve">Climate Action Tracker (2026). </w:t>
      </w:r>
      <w:r w:rsidRPr="00150494">
        <w:rPr>
          <w:rFonts w:ascii="Arial" w:eastAsia="Arial" w:hAnsi="Arial" w:cs="Arial"/>
          <w:i/>
          <w:iCs/>
        </w:rPr>
        <w:t xml:space="preserve">China. </w:t>
      </w:r>
      <w:r w:rsidRPr="00150494">
        <w:rPr>
          <w:rFonts w:ascii="Arial" w:eastAsia="Arial" w:hAnsi="Arial" w:cs="Arial"/>
        </w:rPr>
        <w:t xml:space="preserve">[Online]. Available at: </w:t>
      </w:r>
      <w:hyperlink r:id="rId28">
        <w:r w:rsidRPr="00150494">
          <w:rPr>
            <w:rFonts w:ascii="Arial" w:eastAsia="Arial" w:hAnsi="Arial" w:cs="Arial"/>
            <w:u w:val="single"/>
          </w:rPr>
          <w:t>https://climateactiontracker.org/countries/china/</w:t>
        </w:r>
      </w:hyperlink>
      <w:r w:rsidRPr="00150494">
        <w:rPr>
          <w:rFonts w:ascii="Arial" w:eastAsia="Arial" w:hAnsi="Arial" w:cs="Arial"/>
        </w:rPr>
        <w:t xml:space="preserve"> [Accessed on: 01 July 2026]</w:t>
      </w:r>
    </w:p>
    <w:p w14:paraId="2C583D4D" w14:textId="77777777" w:rsidR="00A937D3" w:rsidRPr="00150494" w:rsidRDefault="00F676A6">
      <w:pPr>
        <w:spacing w:after="200"/>
        <w:rPr>
          <w:rFonts w:ascii="Arial" w:eastAsia="Arial" w:hAnsi="Arial" w:cs="Arial"/>
        </w:rPr>
      </w:pPr>
      <w:r w:rsidRPr="00150494">
        <w:rPr>
          <w:rFonts w:ascii="Arial" w:eastAsia="Arial" w:hAnsi="Arial" w:cs="Arial"/>
        </w:rPr>
        <w:t xml:space="preserve">Codelco (2025). </w:t>
      </w:r>
      <w:r w:rsidRPr="00150494">
        <w:rPr>
          <w:rFonts w:ascii="Arial" w:eastAsia="Arial" w:hAnsi="Arial" w:cs="Arial"/>
          <w:i/>
          <w:iCs/>
        </w:rPr>
        <w:t xml:space="preserve">Climate Change Report 2025. </w:t>
      </w:r>
      <w:r w:rsidRPr="00150494">
        <w:rPr>
          <w:rFonts w:ascii="Arial" w:eastAsia="Arial" w:hAnsi="Arial" w:cs="Arial"/>
        </w:rPr>
        <w:t xml:space="preserve">[Online]. Available at: </w:t>
      </w:r>
      <w:hyperlink r:id="rId29">
        <w:r w:rsidRPr="00150494">
          <w:rPr>
            <w:rFonts w:ascii="Arial" w:eastAsia="Arial" w:hAnsi="Arial" w:cs="Arial"/>
            <w:u w:val="single"/>
          </w:rPr>
          <w:t>https://www.codelco.com/prontus_codelco/site/docs/20251002/20251002120038/climate_change_report.pdf</w:t>
        </w:r>
      </w:hyperlink>
      <w:r w:rsidRPr="00150494">
        <w:rPr>
          <w:rFonts w:ascii="Arial" w:eastAsia="Arial" w:hAnsi="Arial" w:cs="Arial"/>
        </w:rPr>
        <w:t xml:space="preserve"> [Accessed on: 02 July 2026]</w:t>
      </w:r>
    </w:p>
    <w:p w14:paraId="503471D6" w14:textId="77777777" w:rsidR="00A937D3" w:rsidRPr="00150494" w:rsidRDefault="00F676A6">
      <w:pPr>
        <w:rPr>
          <w:rFonts w:ascii="Arial" w:eastAsia="Arial" w:hAnsi="Arial" w:cs="Arial"/>
        </w:rPr>
      </w:pPr>
      <w:r w:rsidRPr="00150494">
        <w:rPr>
          <w:rFonts w:ascii="Arial" w:eastAsia="Arial" w:hAnsi="Arial" w:cs="Arial"/>
        </w:rPr>
        <w:t xml:space="preserve">Codelco (2025). </w:t>
      </w:r>
      <w:r w:rsidRPr="00150494">
        <w:rPr>
          <w:rFonts w:ascii="Arial" w:eastAsia="Arial" w:hAnsi="Arial" w:cs="Arial"/>
          <w:i/>
          <w:iCs/>
        </w:rPr>
        <w:t xml:space="preserve">Codelco completes its climate financing program, securing new credit for US$600 million. </w:t>
      </w:r>
      <w:r w:rsidRPr="00150494">
        <w:rPr>
          <w:rFonts w:ascii="Arial" w:eastAsia="Arial" w:hAnsi="Arial" w:cs="Arial"/>
        </w:rPr>
        <w:t>[Online]. Available at:</w:t>
      </w:r>
      <w:hyperlink r:id="rId30">
        <w:r w:rsidRPr="00150494">
          <w:rPr>
            <w:rFonts w:ascii="Arial" w:eastAsia="Arial" w:hAnsi="Arial" w:cs="Arial"/>
          </w:rPr>
          <w:t xml:space="preserve"> </w:t>
        </w:r>
      </w:hyperlink>
      <w:hyperlink r:id="rId31">
        <w:r w:rsidRPr="00150494">
          <w:rPr>
            <w:rFonts w:ascii="Arial" w:eastAsia="Arial" w:hAnsi="Arial" w:cs="Arial"/>
            <w:u w:val="single"/>
          </w:rPr>
          <w:t>https://www.codelco.com/en/codelco-completa-su-programa-de-financiamiento-climatico-asegurando</w:t>
        </w:r>
      </w:hyperlink>
      <w:r w:rsidRPr="00150494">
        <w:rPr>
          <w:rFonts w:ascii="Arial" w:eastAsia="Arial" w:hAnsi="Arial" w:cs="Arial"/>
        </w:rPr>
        <w:t xml:space="preserve"> [Accessed on: 01 July 2026]</w:t>
      </w:r>
    </w:p>
    <w:p w14:paraId="070007CC" w14:textId="77777777" w:rsidR="00A937D3" w:rsidRPr="00150494" w:rsidRDefault="00F676A6">
      <w:pPr>
        <w:spacing w:after="200"/>
        <w:rPr>
          <w:rFonts w:ascii="Arial" w:eastAsia="Arial" w:hAnsi="Arial" w:cs="Arial"/>
        </w:rPr>
      </w:pPr>
      <w:r w:rsidRPr="00150494">
        <w:rPr>
          <w:rFonts w:ascii="Arial" w:eastAsia="Arial" w:hAnsi="Arial" w:cs="Arial"/>
        </w:rPr>
        <w:t xml:space="preserve">Codelco (2026). </w:t>
      </w:r>
      <w:r w:rsidRPr="00150494">
        <w:rPr>
          <w:rFonts w:ascii="Arial" w:eastAsia="Arial" w:hAnsi="Arial" w:cs="Arial"/>
          <w:i/>
          <w:iCs/>
        </w:rPr>
        <w:t xml:space="preserve">Advancing our 2030 targets in Sustainable Development Commitments. </w:t>
      </w:r>
      <w:r w:rsidRPr="00150494">
        <w:rPr>
          <w:rFonts w:ascii="Arial" w:eastAsia="Arial" w:hAnsi="Arial" w:cs="Arial"/>
        </w:rPr>
        <w:t xml:space="preserve">[Online]. Available at: </w:t>
      </w:r>
      <w:hyperlink r:id="rId32">
        <w:r w:rsidRPr="00150494">
          <w:rPr>
            <w:rFonts w:ascii="Arial" w:eastAsia="Arial" w:hAnsi="Arial" w:cs="Arial"/>
            <w:u w:val="single"/>
          </w:rPr>
          <w:t>https://www.codelco.com/sites/site/edic/base/port/avances_sustentabilidad_ingles.html</w:t>
        </w:r>
      </w:hyperlink>
      <w:r w:rsidRPr="00150494">
        <w:rPr>
          <w:rFonts w:ascii="Arial" w:eastAsia="Arial" w:hAnsi="Arial" w:cs="Arial"/>
        </w:rPr>
        <w:t xml:space="preserve"> [Accessed on: 01 July 2026]</w:t>
      </w:r>
    </w:p>
    <w:p w14:paraId="2737C38D" w14:textId="77777777" w:rsidR="00A937D3" w:rsidRPr="00150494" w:rsidRDefault="00F676A6">
      <w:pPr>
        <w:rPr>
          <w:rFonts w:ascii="Arial" w:eastAsia="Arial" w:hAnsi="Arial" w:cs="Arial"/>
        </w:rPr>
      </w:pPr>
      <w:r w:rsidRPr="00150494">
        <w:rPr>
          <w:rFonts w:ascii="Arial" w:eastAsia="Arial" w:hAnsi="Arial" w:cs="Arial"/>
        </w:rPr>
        <w:t xml:space="preserve">Codelco (2026). </w:t>
      </w:r>
      <w:r w:rsidRPr="00150494">
        <w:rPr>
          <w:rFonts w:ascii="Arial" w:eastAsia="Arial" w:hAnsi="Arial" w:cs="Arial"/>
          <w:i/>
          <w:iCs/>
        </w:rPr>
        <w:t xml:space="preserve">Bernardo Fontaine participates in the opening of </w:t>
      </w:r>
      <w:proofErr w:type="spellStart"/>
      <w:r w:rsidRPr="00150494">
        <w:rPr>
          <w:rFonts w:ascii="Arial" w:eastAsia="Arial" w:hAnsi="Arial" w:cs="Arial"/>
          <w:i/>
          <w:iCs/>
        </w:rPr>
        <w:t>Exponor</w:t>
      </w:r>
      <w:proofErr w:type="spellEnd"/>
      <w:r w:rsidRPr="00150494">
        <w:rPr>
          <w:rFonts w:ascii="Arial" w:eastAsia="Arial" w:hAnsi="Arial" w:cs="Arial"/>
          <w:i/>
          <w:iCs/>
        </w:rPr>
        <w:t xml:space="preserve"> 2026, an event where Codelco showcases technological advancements </w:t>
      </w:r>
      <w:r w:rsidRPr="00150494">
        <w:rPr>
          <w:rFonts w:ascii="Arial" w:eastAsia="Arial" w:hAnsi="Arial" w:cs="Arial"/>
        </w:rPr>
        <w:t>[Online]. Available at:</w:t>
      </w:r>
      <w:hyperlink r:id="rId33">
        <w:r w:rsidRPr="00150494">
          <w:rPr>
            <w:rFonts w:ascii="Arial" w:eastAsia="Arial" w:hAnsi="Arial" w:cs="Arial"/>
          </w:rPr>
          <w:t xml:space="preserve"> </w:t>
        </w:r>
      </w:hyperlink>
      <w:hyperlink r:id="rId34">
        <w:r w:rsidRPr="00150494">
          <w:rPr>
            <w:rFonts w:ascii="Arial" w:eastAsia="Arial" w:hAnsi="Arial" w:cs="Arial"/>
            <w:u w:val="single"/>
          </w:rPr>
          <w:t>https://www.codelco.com/en/bernardo-fontaine-participa-en-inauguracion-de-exponor-2026-instancia</w:t>
        </w:r>
      </w:hyperlink>
      <w:r w:rsidRPr="00150494">
        <w:rPr>
          <w:rFonts w:ascii="Arial" w:eastAsia="Arial" w:hAnsi="Arial" w:cs="Arial"/>
        </w:rPr>
        <w:t xml:space="preserve"> [Accessed on: 03 July 2026]</w:t>
      </w:r>
    </w:p>
    <w:p w14:paraId="2155B2AB" w14:textId="77777777" w:rsidR="00A937D3" w:rsidRPr="00150494" w:rsidRDefault="00F676A6">
      <w:pPr>
        <w:rPr>
          <w:rFonts w:ascii="Arial" w:eastAsia="Arial" w:hAnsi="Arial" w:cs="Arial"/>
        </w:rPr>
      </w:pPr>
      <w:r w:rsidRPr="00150494">
        <w:rPr>
          <w:rFonts w:ascii="Arial" w:eastAsia="Arial" w:hAnsi="Arial" w:cs="Arial"/>
        </w:rPr>
        <w:t xml:space="preserve">Codelco (2026). </w:t>
      </w:r>
      <w:r w:rsidRPr="00150494">
        <w:rPr>
          <w:rFonts w:ascii="Arial" w:eastAsia="Arial" w:hAnsi="Arial" w:cs="Arial"/>
          <w:i/>
          <w:iCs/>
        </w:rPr>
        <w:t xml:space="preserve">Codelco launches circular economy roadmap with the goal of recovering 70% of its non-hazardous waste by 2030. </w:t>
      </w:r>
      <w:r w:rsidRPr="00150494">
        <w:rPr>
          <w:rFonts w:ascii="Arial" w:eastAsia="Arial" w:hAnsi="Arial" w:cs="Arial"/>
        </w:rPr>
        <w:t>[Online]. Available at:</w:t>
      </w:r>
      <w:hyperlink r:id="rId35">
        <w:r w:rsidRPr="00150494">
          <w:rPr>
            <w:rFonts w:ascii="Arial" w:eastAsia="Arial" w:hAnsi="Arial" w:cs="Arial"/>
          </w:rPr>
          <w:t xml:space="preserve"> </w:t>
        </w:r>
      </w:hyperlink>
      <w:hyperlink r:id="rId36">
        <w:r w:rsidRPr="00150494">
          <w:rPr>
            <w:rFonts w:ascii="Arial" w:eastAsia="Arial" w:hAnsi="Arial" w:cs="Arial"/>
            <w:u w:val="single"/>
          </w:rPr>
          <w:t>https://www.codelco.com/en/prensa/2026/codelco-lanza-hoja-de-ruta-de-economia-circular-con-meta-de-valorizar-el</w:t>
        </w:r>
      </w:hyperlink>
      <w:r w:rsidRPr="00150494">
        <w:rPr>
          <w:rFonts w:ascii="Arial" w:eastAsia="Arial" w:hAnsi="Arial" w:cs="Arial"/>
        </w:rPr>
        <w:t xml:space="preserve"> [Accessed on: 27 June 2026]</w:t>
      </w:r>
    </w:p>
    <w:p w14:paraId="6FB417AB" w14:textId="77777777" w:rsidR="00A937D3" w:rsidRPr="00150494" w:rsidRDefault="00F676A6">
      <w:pPr>
        <w:spacing w:after="160"/>
        <w:rPr>
          <w:rFonts w:ascii="Arial" w:eastAsia="Arial" w:hAnsi="Arial" w:cs="Arial"/>
        </w:rPr>
      </w:pPr>
      <w:r w:rsidRPr="00150494">
        <w:rPr>
          <w:rFonts w:ascii="Arial" w:eastAsia="Arial" w:hAnsi="Arial" w:cs="Arial"/>
        </w:rPr>
        <w:t xml:space="preserve">Codelco (2026). </w:t>
      </w:r>
      <w:r w:rsidRPr="00150494">
        <w:rPr>
          <w:rFonts w:ascii="Arial" w:eastAsia="Arial" w:hAnsi="Arial" w:cs="Arial"/>
          <w:i/>
          <w:iCs/>
        </w:rPr>
        <w:t>Codelco reaffirms operational strength and strategic role for the development of Chile.</w:t>
      </w:r>
      <w:r w:rsidRPr="00150494">
        <w:rPr>
          <w:rFonts w:ascii="Arial" w:eastAsia="Arial" w:hAnsi="Arial" w:cs="Arial"/>
        </w:rPr>
        <w:t xml:space="preserve"> Available at:</w:t>
      </w:r>
      <w:hyperlink r:id="rId37">
        <w:r w:rsidRPr="00150494">
          <w:rPr>
            <w:rFonts w:ascii="Arial" w:eastAsia="Arial" w:hAnsi="Arial" w:cs="Arial"/>
          </w:rPr>
          <w:t xml:space="preserve"> </w:t>
        </w:r>
      </w:hyperlink>
      <w:hyperlink r:id="rId38">
        <w:r w:rsidRPr="00150494">
          <w:rPr>
            <w:rFonts w:ascii="Arial" w:eastAsia="Arial" w:hAnsi="Arial" w:cs="Arial"/>
            <w:u w:val="single"/>
          </w:rPr>
          <w:t>https://www.codelco.com/en/prensa/2026/codelco-reafirma-solidez-operativa-y-rol-estrategico-para-el-desarrollo</w:t>
        </w:r>
      </w:hyperlink>
      <w:r w:rsidRPr="00150494">
        <w:rPr>
          <w:rFonts w:ascii="Arial" w:eastAsia="Arial" w:hAnsi="Arial" w:cs="Arial"/>
        </w:rPr>
        <w:t xml:space="preserve"> (Accessed: 26 June 2026)</w:t>
      </w:r>
    </w:p>
    <w:p w14:paraId="6AFCFB3F" w14:textId="77777777" w:rsidR="00A937D3" w:rsidRPr="00150494" w:rsidRDefault="00F676A6">
      <w:pPr>
        <w:rPr>
          <w:rFonts w:ascii="Arial" w:eastAsia="Arial" w:hAnsi="Arial" w:cs="Arial"/>
        </w:rPr>
      </w:pPr>
      <w:r w:rsidRPr="00150494">
        <w:rPr>
          <w:rFonts w:ascii="Arial" w:eastAsia="Arial" w:hAnsi="Arial" w:cs="Arial"/>
        </w:rPr>
        <w:t xml:space="preserve">Codelco (2026). </w:t>
      </w:r>
      <w:r w:rsidRPr="00150494">
        <w:rPr>
          <w:rFonts w:ascii="Arial" w:eastAsia="Arial" w:hAnsi="Arial" w:cs="Arial"/>
          <w:i/>
          <w:iCs/>
        </w:rPr>
        <w:t xml:space="preserve">Codelco reaffirms operational strength and strategic role for the development of Chile. </w:t>
      </w:r>
      <w:r w:rsidRPr="00150494">
        <w:rPr>
          <w:rFonts w:ascii="Arial" w:eastAsia="Arial" w:hAnsi="Arial" w:cs="Arial"/>
        </w:rPr>
        <w:t>[Online]. Available at:</w:t>
      </w:r>
      <w:hyperlink r:id="rId39">
        <w:r w:rsidRPr="00150494">
          <w:rPr>
            <w:rFonts w:ascii="Arial" w:eastAsia="Arial" w:hAnsi="Arial" w:cs="Arial"/>
          </w:rPr>
          <w:t xml:space="preserve"> </w:t>
        </w:r>
      </w:hyperlink>
      <w:hyperlink r:id="rId40">
        <w:r w:rsidRPr="00150494">
          <w:rPr>
            <w:rFonts w:ascii="Arial" w:eastAsia="Arial" w:hAnsi="Arial" w:cs="Arial"/>
            <w:u w:val="single"/>
          </w:rPr>
          <w:t>https://www.codelco.com/en/prensa/2026/codelco-reafirma-solidez-operativa-y-rol-estrategico-para-el-desarrollo</w:t>
        </w:r>
      </w:hyperlink>
      <w:r w:rsidRPr="00150494">
        <w:rPr>
          <w:rFonts w:ascii="Arial" w:eastAsia="Arial" w:hAnsi="Arial" w:cs="Arial"/>
        </w:rPr>
        <w:t xml:space="preserve"> [Accessed on: 03 July 2026]</w:t>
      </w:r>
    </w:p>
    <w:p w14:paraId="063F911B" w14:textId="77777777" w:rsidR="00A937D3" w:rsidRPr="00150494" w:rsidRDefault="00F676A6">
      <w:pPr>
        <w:spacing w:after="160"/>
        <w:rPr>
          <w:rFonts w:ascii="Arial" w:eastAsia="Arial" w:hAnsi="Arial" w:cs="Arial"/>
        </w:rPr>
      </w:pPr>
      <w:r w:rsidRPr="00150494">
        <w:rPr>
          <w:rFonts w:ascii="Arial" w:eastAsia="Arial" w:hAnsi="Arial" w:cs="Arial"/>
        </w:rPr>
        <w:t xml:space="preserve">Codelco (2026). </w:t>
      </w:r>
      <w:r w:rsidRPr="00150494">
        <w:rPr>
          <w:rFonts w:ascii="Arial" w:eastAsia="Arial" w:hAnsi="Arial" w:cs="Arial"/>
          <w:i/>
          <w:iCs/>
        </w:rPr>
        <w:t>Financial Reports &amp; Operational Data.</w:t>
      </w:r>
      <w:r w:rsidRPr="00150494">
        <w:rPr>
          <w:rFonts w:ascii="Arial" w:eastAsia="Arial" w:hAnsi="Arial" w:cs="Arial"/>
        </w:rPr>
        <w:t xml:space="preserve"> Available at:</w:t>
      </w:r>
      <w:hyperlink r:id="rId41">
        <w:r w:rsidRPr="00150494">
          <w:rPr>
            <w:rFonts w:ascii="Arial" w:eastAsia="Arial" w:hAnsi="Arial" w:cs="Arial"/>
          </w:rPr>
          <w:t xml:space="preserve"> </w:t>
        </w:r>
      </w:hyperlink>
      <w:hyperlink r:id="rId42">
        <w:r w:rsidRPr="00150494">
          <w:rPr>
            <w:rFonts w:ascii="Arial" w:eastAsia="Arial" w:hAnsi="Arial" w:cs="Arial"/>
            <w:u w:val="single"/>
          </w:rPr>
          <w:t>https://www.codelco.com/financial-reports-operational-data</w:t>
        </w:r>
      </w:hyperlink>
      <w:r w:rsidRPr="00150494">
        <w:rPr>
          <w:rFonts w:ascii="Arial" w:eastAsia="Arial" w:hAnsi="Arial" w:cs="Arial"/>
        </w:rPr>
        <w:t xml:space="preserve"> (Accessed: 28 June 2026)</w:t>
      </w:r>
    </w:p>
    <w:p w14:paraId="4FAE7DF7" w14:textId="77777777" w:rsidR="00A937D3" w:rsidRPr="00150494" w:rsidRDefault="00F676A6">
      <w:pPr>
        <w:rPr>
          <w:rFonts w:ascii="Arial" w:eastAsia="Arial" w:hAnsi="Arial" w:cs="Arial"/>
        </w:rPr>
      </w:pPr>
      <w:r w:rsidRPr="00150494">
        <w:rPr>
          <w:rFonts w:ascii="Arial" w:eastAsia="Arial" w:hAnsi="Arial" w:cs="Arial"/>
        </w:rPr>
        <w:t xml:space="preserve">Drakul, S. (2025). Green Innovations and Their Application in Modern Business. </w:t>
      </w:r>
      <w:r w:rsidRPr="00150494">
        <w:rPr>
          <w:rFonts w:ascii="Arial" w:eastAsia="Arial" w:hAnsi="Arial" w:cs="Arial"/>
          <w:i/>
          <w:iCs/>
        </w:rPr>
        <w:t>Collection of papers new economy</w:t>
      </w:r>
      <w:r w:rsidRPr="00150494">
        <w:rPr>
          <w:rFonts w:ascii="Arial" w:eastAsia="Arial" w:hAnsi="Arial" w:cs="Arial"/>
        </w:rPr>
        <w:t xml:space="preserve">, </w:t>
      </w:r>
      <w:r w:rsidRPr="00150494">
        <w:rPr>
          <w:rFonts w:ascii="Arial" w:eastAsia="Arial" w:hAnsi="Arial" w:cs="Arial"/>
          <w:i/>
          <w:iCs/>
        </w:rPr>
        <w:t>3</w:t>
      </w:r>
      <w:r w:rsidRPr="00150494">
        <w:rPr>
          <w:rFonts w:ascii="Arial" w:eastAsia="Arial" w:hAnsi="Arial" w:cs="Arial"/>
        </w:rPr>
        <w:t>(1), pp.117-132.</w:t>
      </w:r>
    </w:p>
    <w:p w14:paraId="74235FAB" w14:textId="77777777" w:rsidR="00A937D3" w:rsidRPr="00150494" w:rsidRDefault="00F676A6">
      <w:pPr>
        <w:spacing w:after="160"/>
        <w:rPr>
          <w:rFonts w:ascii="Arial" w:eastAsia="Arial" w:hAnsi="Arial" w:cs="Arial"/>
        </w:rPr>
      </w:pPr>
      <w:proofErr w:type="spellStart"/>
      <w:r w:rsidRPr="00150494">
        <w:rPr>
          <w:rFonts w:ascii="Arial" w:eastAsia="Arial" w:hAnsi="Arial" w:cs="Arial"/>
        </w:rPr>
        <w:t>Efunniyi</w:t>
      </w:r>
      <w:proofErr w:type="spellEnd"/>
      <w:r w:rsidRPr="00150494">
        <w:rPr>
          <w:rFonts w:ascii="Arial" w:eastAsia="Arial" w:hAnsi="Arial" w:cs="Arial"/>
        </w:rPr>
        <w:t xml:space="preserve">, C.P., </w:t>
      </w:r>
      <w:proofErr w:type="spellStart"/>
      <w:r w:rsidRPr="00150494">
        <w:rPr>
          <w:rFonts w:ascii="Arial" w:eastAsia="Arial" w:hAnsi="Arial" w:cs="Arial"/>
        </w:rPr>
        <w:t>Abhulimen</w:t>
      </w:r>
      <w:proofErr w:type="spellEnd"/>
      <w:r w:rsidRPr="00150494">
        <w:rPr>
          <w:rFonts w:ascii="Arial" w:eastAsia="Arial" w:hAnsi="Arial" w:cs="Arial"/>
        </w:rPr>
        <w:t xml:space="preserve">, A.O., </w:t>
      </w:r>
      <w:proofErr w:type="spellStart"/>
      <w:r w:rsidRPr="00150494">
        <w:rPr>
          <w:rFonts w:ascii="Arial" w:eastAsia="Arial" w:hAnsi="Arial" w:cs="Arial"/>
        </w:rPr>
        <w:t>Obiki-Osafiele</w:t>
      </w:r>
      <w:proofErr w:type="spellEnd"/>
      <w:r w:rsidRPr="00150494">
        <w:rPr>
          <w:rFonts w:ascii="Arial" w:eastAsia="Arial" w:hAnsi="Arial" w:cs="Arial"/>
        </w:rPr>
        <w:t xml:space="preserve">, A.N., </w:t>
      </w:r>
      <w:proofErr w:type="spellStart"/>
      <w:r w:rsidRPr="00150494">
        <w:rPr>
          <w:rFonts w:ascii="Arial" w:eastAsia="Arial" w:hAnsi="Arial" w:cs="Arial"/>
        </w:rPr>
        <w:t>Osundare</w:t>
      </w:r>
      <w:proofErr w:type="spellEnd"/>
      <w:r w:rsidRPr="00150494">
        <w:rPr>
          <w:rFonts w:ascii="Arial" w:eastAsia="Arial" w:hAnsi="Arial" w:cs="Arial"/>
        </w:rPr>
        <w:t xml:space="preserve">, O.S., Agu, E.E. and Adeniran, I.A., (2024). Strengthening corporate governance and financial compliance: Enhancing accountability and transparency. </w:t>
      </w:r>
      <w:r w:rsidRPr="00150494">
        <w:rPr>
          <w:rFonts w:ascii="Arial" w:eastAsia="Arial" w:hAnsi="Arial" w:cs="Arial"/>
          <w:i/>
          <w:iCs/>
        </w:rPr>
        <w:t>Finance &amp; Accounting Research Journal</w:t>
      </w:r>
      <w:r w:rsidRPr="00150494">
        <w:rPr>
          <w:rFonts w:ascii="Arial" w:eastAsia="Arial" w:hAnsi="Arial" w:cs="Arial"/>
        </w:rPr>
        <w:t xml:space="preserve">, </w:t>
      </w:r>
      <w:r w:rsidRPr="00150494">
        <w:rPr>
          <w:rFonts w:ascii="Arial" w:eastAsia="Arial" w:hAnsi="Arial" w:cs="Arial"/>
          <w:i/>
          <w:iCs/>
        </w:rPr>
        <w:t>6</w:t>
      </w:r>
      <w:r w:rsidRPr="00150494">
        <w:rPr>
          <w:rFonts w:ascii="Arial" w:eastAsia="Arial" w:hAnsi="Arial" w:cs="Arial"/>
        </w:rPr>
        <w:t>(8), pp.1597-1616. DOI: 10.51594/farj.v6i8.1509</w:t>
      </w:r>
    </w:p>
    <w:p w14:paraId="0C1A1564" w14:textId="77777777" w:rsidR="00A937D3" w:rsidRPr="00150494" w:rsidRDefault="00F676A6">
      <w:pPr>
        <w:spacing w:after="160"/>
        <w:rPr>
          <w:rFonts w:ascii="Arial" w:eastAsia="Arial" w:hAnsi="Arial" w:cs="Arial"/>
          <w:u w:val="single"/>
        </w:rPr>
      </w:pPr>
      <w:r w:rsidRPr="00150494">
        <w:rPr>
          <w:rFonts w:ascii="Arial" w:eastAsia="Arial" w:hAnsi="Arial" w:cs="Arial"/>
        </w:rPr>
        <w:t xml:space="preserve">Garg, V., Bohara, S. and Srivastav, A., (2025). AI-driven sustainability marketing transforming consumers’ perception toward eco-friendly brands. </w:t>
      </w:r>
      <w:r w:rsidRPr="00150494">
        <w:rPr>
          <w:rFonts w:ascii="Arial" w:eastAsia="Arial" w:hAnsi="Arial" w:cs="Arial"/>
          <w:i/>
          <w:iCs/>
        </w:rPr>
        <w:t>Discover Sustainability</w:t>
      </w:r>
      <w:r w:rsidRPr="00150494">
        <w:rPr>
          <w:rFonts w:ascii="Arial" w:eastAsia="Arial" w:hAnsi="Arial" w:cs="Arial"/>
        </w:rPr>
        <w:t xml:space="preserve">, </w:t>
      </w:r>
      <w:r w:rsidRPr="00150494">
        <w:rPr>
          <w:rFonts w:ascii="Arial" w:eastAsia="Arial" w:hAnsi="Arial" w:cs="Arial"/>
          <w:i/>
          <w:iCs/>
        </w:rPr>
        <w:t>6</w:t>
      </w:r>
      <w:r w:rsidRPr="00150494">
        <w:rPr>
          <w:rFonts w:ascii="Arial" w:eastAsia="Arial" w:hAnsi="Arial" w:cs="Arial"/>
        </w:rPr>
        <w:t>(1), p.984.</w:t>
      </w:r>
      <w:hyperlink r:id="rId43">
        <w:r w:rsidRPr="00150494">
          <w:rPr>
            <w:rFonts w:ascii="Arial" w:eastAsia="Arial" w:hAnsi="Arial" w:cs="Arial"/>
          </w:rPr>
          <w:t xml:space="preserve"> </w:t>
        </w:r>
      </w:hyperlink>
      <w:hyperlink r:id="rId44">
        <w:r w:rsidRPr="00150494">
          <w:rPr>
            <w:rFonts w:ascii="Arial" w:eastAsia="Arial" w:hAnsi="Arial" w:cs="Arial"/>
            <w:u w:val="single"/>
          </w:rPr>
          <w:t>https://doi.org/10.1007/s43621-025-01934-y</w:t>
        </w:r>
      </w:hyperlink>
    </w:p>
    <w:p w14:paraId="5FB350F4" w14:textId="77777777" w:rsidR="00A937D3" w:rsidRPr="00150494" w:rsidRDefault="00F676A6">
      <w:pPr>
        <w:spacing w:after="200"/>
        <w:rPr>
          <w:rFonts w:ascii="Arial" w:eastAsia="Arial" w:hAnsi="Arial" w:cs="Arial"/>
        </w:rPr>
      </w:pPr>
      <w:r w:rsidRPr="00150494">
        <w:rPr>
          <w:rFonts w:ascii="Arial" w:eastAsia="Arial" w:hAnsi="Arial" w:cs="Arial"/>
        </w:rPr>
        <w:lastRenderedPageBreak/>
        <w:t xml:space="preserve">Gov.UK (2026). </w:t>
      </w:r>
      <w:r w:rsidRPr="00150494">
        <w:rPr>
          <w:rFonts w:ascii="Arial" w:eastAsia="Arial" w:hAnsi="Arial" w:cs="Arial"/>
          <w:i/>
          <w:iCs/>
        </w:rPr>
        <w:t xml:space="preserve">DESNZ Public Attitudes Tracker: Net Zero and climate change, Winter 2025, UK. </w:t>
      </w:r>
      <w:r w:rsidRPr="00150494">
        <w:rPr>
          <w:rFonts w:ascii="Arial" w:eastAsia="Arial" w:hAnsi="Arial" w:cs="Arial"/>
        </w:rPr>
        <w:t xml:space="preserve">[Online]. Available at: </w:t>
      </w:r>
      <w:hyperlink r:id="rId45">
        <w:r w:rsidRPr="00150494">
          <w:rPr>
            <w:rFonts w:ascii="Arial" w:eastAsia="Arial" w:hAnsi="Arial" w:cs="Arial"/>
            <w:u w:val="single"/>
          </w:rPr>
          <w:t>https://www.gov.uk/government/statistics/desnz-public-attitudes-tracker-winter-2025/desnz-public-attitudes-tracker-net-zero-and-climate-change-winter-2025-uk</w:t>
        </w:r>
      </w:hyperlink>
      <w:r w:rsidRPr="00150494">
        <w:rPr>
          <w:rFonts w:ascii="Arial" w:eastAsia="Arial" w:hAnsi="Arial" w:cs="Arial"/>
        </w:rPr>
        <w:t xml:space="preserve"> [Accessed on: 02 July 2026]</w:t>
      </w:r>
    </w:p>
    <w:p w14:paraId="7D35803F" w14:textId="77777777" w:rsidR="00A937D3" w:rsidRPr="00150494" w:rsidRDefault="00F676A6">
      <w:pPr>
        <w:spacing w:after="200"/>
        <w:rPr>
          <w:rFonts w:ascii="Arial" w:eastAsia="Arial" w:hAnsi="Arial" w:cs="Arial"/>
        </w:rPr>
      </w:pPr>
      <w:r w:rsidRPr="00150494">
        <w:rPr>
          <w:rFonts w:ascii="Arial" w:eastAsia="Arial" w:hAnsi="Arial" w:cs="Arial"/>
        </w:rPr>
        <w:t xml:space="preserve">Green Plan (2026). </w:t>
      </w:r>
      <w:r w:rsidRPr="00150494">
        <w:rPr>
          <w:rFonts w:ascii="Arial" w:eastAsia="Arial" w:hAnsi="Arial" w:cs="Arial"/>
          <w:i/>
          <w:iCs/>
        </w:rPr>
        <w:t xml:space="preserve">Our Global Commitment. </w:t>
      </w:r>
      <w:r w:rsidRPr="00150494">
        <w:rPr>
          <w:rFonts w:ascii="Arial" w:eastAsia="Arial" w:hAnsi="Arial" w:cs="Arial"/>
        </w:rPr>
        <w:t xml:space="preserve">[Online]. Available at: </w:t>
      </w:r>
      <w:hyperlink r:id="rId46">
        <w:r w:rsidRPr="00150494">
          <w:rPr>
            <w:rFonts w:ascii="Arial" w:eastAsia="Arial" w:hAnsi="Arial" w:cs="Arial"/>
            <w:u w:val="single"/>
          </w:rPr>
          <w:t>https://www.greenplan.gov.sg/globalcommitment/</w:t>
        </w:r>
      </w:hyperlink>
      <w:r w:rsidRPr="00150494">
        <w:rPr>
          <w:rFonts w:ascii="Arial" w:eastAsia="Arial" w:hAnsi="Arial" w:cs="Arial"/>
        </w:rPr>
        <w:t xml:space="preserve"> [Accessed on: 02 July 2026]</w:t>
      </w:r>
    </w:p>
    <w:p w14:paraId="0885E867" w14:textId="77777777" w:rsidR="00A937D3" w:rsidRPr="00150494" w:rsidRDefault="00F676A6">
      <w:pPr>
        <w:spacing w:after="200"/>
        <w:rPr>
          <w:rFonts w:ascii="Arial" w:eastAsia="Arial" w:hAnsi="Arial" w:cs="Arial"/>
        </w:rPr>
      </w:pPr>
      <w:r w:rsidRPr="00150494">
        <w:rPr>
          <w:rFonts w:ascii="Arial" w:eastAsia="Arial" w:hAnsi="Arial" w:cs="Arial"/>
        </w:rPr>
        <w:t xml:space="preserve">Howe, C. (2026). </w:t>
      </w:r>
      <w:r w:rsidRPr="00150494">
        <w:rPr>
          <w:rFonts w:ascii="Arial" w:eastAsia="Arial" w:hAnsi="Arial" w:cs="Arial"/>
          <w:i/>
          <w:iCs/>
        </w:rPr>
        <w:t xml:space="preserve">China's decarbonisation plan takes cautious steps as world backtracks on climate. </w:t>
      </w:r>
      <w:r w:rsidRPr="00150494">
        <w:rPr>
          <w:rFonts w:ascii="Arial" w:eastAsia="Arial" w:hAnsi="Arial" w:cs="Arial"/>
        </w:rPr>
        <w:t xml:space="preserve">[Online]. Available at: </w:t>
      </w:r>
      <w:hyperlink r:id="rId47">
        <w:r w:rsidRPr="00150494">
          <w:rPr>
            <w:rFonts w:ascii="Arial" w:eastAsia="Arial" w:hAnsi="Arial" w:cs="Arial"/>
            <w:u w:val="single"/>
          </w:rPr>
          <w:t>https://www.reuters.com/sustainability/climate-energy/china-plans-cut-carbon-dioxide-emissions-per-unit-gdp-by-around-38-2026-2026-03-05/</w:t>
        </w:r>
      </w:hyperlink>
      <w:r w:rsidRPr="00150494">
        <w:rPr>
          <w:rFonts w:ascii="Arial" w:eastAsia="Arial" w:hAnsi="Arial" w:cs="Arial"/>
        </w:rPr>
        <w:t xml:space="preserve"> [Accessed on: 01 July 2026]</w:t>
      </w:r>
    </w:p>
    <w:p w14:paraId="1431601B" w14:textId="77777777" w:rsidR="00A937D3" w:rsidRPr="00150494" w:rsidRDefault="00F676A6">
      <w:pPr>
        <w:rPr>
          <w:rFonts w:ascii="Arial" w:eastAsia="Arial" w:hAnsi="Arial" w:cs="Arial"/>
        </w:rPr>
      </w:pPr>
      <w:r w:rsidRPr="00150494">
        <w:rPr>
          <w:rFonts w:ascii="Arial" w:eastAsia="Arial" w:hAnsi="Arial" w:cs="Arial"/>
        </w:rPr>
        <w:t xml:space="preserve">IM (2025). </w:t>
      </w:r>
      <w:r w:rsidRPr="00150494">
        <w:rPr>
          <w:rFonts w:ascii="Arial" w:eastAsia="Arial" w:hAnsi="Arial" w:cs="Arial"/>
          <w:i/>
          <w:iCs/>
        </w:rPr>
        <w:t xml:space="preserve">Codelco overcomes bottlenecks to boost copper production in 2024. </w:t>
      </w:r>
      <w:r w:rsidRPr="00150494">
        <w:rPr>
          <w:rFonts w:ascii="Arial" w:eastAsia="Arial" w:hAnsi="Arial" w:cs="Arial"/>
        </w:rPr>
        <w:t>[Online]. Available at:</w:t>
      </w:r>
      <w:hyperlink r:id="rId48">
        <w:r w:rsidRPr="00150494">
          <w:rPr>
            <w:rFonts w:ascii="Arial" w:eastAsia="Arial" w:hAnsi="Arial" w:cs="Arial"/>
          </w:rPr>
          <w:t xml:space="preserve"> </w:t>
        </w:r>
      </w:hyperlink>
      <w:hyperlink r:id="rId49">
        <w:r w:rsidRPr="00150494">
          <w:rPr>
            <w:rFonts w:ascii="Arial" w:eastAsia="Arial" w:hAnsi="Arial" w:cs="Arial"/>
            <w:u w:val="single"/>
          </w:rPr>
          <w:t>https://im-mining.com/2025/03/28/codelco-overcomes-bottlenecks-to-boost-copper-production-in-2024/</w:t>
        </w:r>
      </w:hyperlink>
      <w:r w:rsidRPr="00150494">
        <w:rPr>
          <w:rFonts w:ascii="Arial" w:eastAsia="Arial" w:hAnsi="Arial" w:cs="Arial"/>
        </w:rPr>
        <w:t xml:space="preserve"> [Accessed on: 03 July 2026]</w:t>
      </w:r>
    </w:p>
    <w:p w14:paraId="4540B77C" w14:textId="77777777" w:rsidR="00A937D3" w:rsidRPr="00150494" w:rsidRDefault="00F676A6">
      <w:pPr>
        <w:rPr>
          <w:rFonts w:ascii="Arial" w:eastAsia="Arial" w:hAnsi="Arial" w:cs="Arial"/>
        </w:rPr>
      </w:pPr>
      <w:r w:rsidRPr="00150494">
        <w:rPr>
          <w:rFonts w:ascii="Arial" w:eastAsia="Arial" w:hAnsi="Arial" w:cs="Arial"/>
        </w:rPr>
        <w:t xml:space="preserve">IM (2026). </w:t>
      </w:r>
      <w:r w:rsidRPr="00150494">
        <w:rPr>
          <w:rFonts w:ascii="Arial" w:eastAsia="Arial" w:hAnsi="Arial" w:cs="Arial"/>
          <w:i/>
          <w:iCs/>
        </w:rPr>
        <w:t xml:space="preserve">BHP advances renewable power supply and storage at Escondida &amp; Spence. </w:t>
      </w:r>
      <w:r w:rsidRPr="00150494">
        <w:rPr>
          <w:rFonts w:ascii="Arial" w:eastAsia="Arial" w:hAnsi="Arial" w:cs="Arial"/>
        </w:rPr>
        <w:t>[Online]. Available at:</w:t>
      </w:r>
      <w:hyperlink r:id="rId50">
        <w:r w:rsidRPr="00150494">
          <w:rPr>
            <w:rFonts w:ascii="Arial" w:eastAsia="Arial" w:hAnsi="Arial" w:cs="Arial"/>
          </w:rPr>
          <w:t xml:space="preserve"> </w:t>
        </w:r>
      </w:hyperlink>
      <w:hyperlink r:id="rId51">
        <w:r w:rsidRPr="00150494">
          <w:rPr>
            <w:rFonts w:ascii="Arial" w:eastAsia="Arial" w:hAnsi="Arial" w:cs="Arial"/>
            <w:u w:val="single"/>
          </w:rPr>
          <w:t>https://im-mining.com/2026/06/01/bhp-advances-renewable-power-supply-and-storage-at-escondida-spence/</w:t>
        </w:r>
      </w:hyperlink>
      <w:r w:rsidRPr="00150494">
        <w:rPr>
          <w:rFonts w:ascii="Arial" w:eastAsia="Arial" w:hAnsi="Arial" w:cs="Arial"/>
        </w:rPr>
        <w:t xml:space="preserve"> [Accessed on: 03 July 2026]</w:t>
      </w:r>
    </w:p>
    <w:p w14:paraId="5ECBFB6B" w14:textId="77777777" w:rsidR="00A937D3" w:rsidRPr="00150494" w:rsidRDefault="00F676A6">
      <w:pPr>
        <w:spacing w:after="200"/>
        <w:rPr>
          <w:rFonts w:ascii="Arial" w:eastAsia="Arial" w:hAnsi="Arial" w:cs="Arial"/>
        </w:rPr>
      </w:pPr>
      <w:r w:rsidRPr="00150494">
        <w:rPr>
          <w:rFonts w:ascii="Arial" w:eastAsia="Arial" w:hAnsi="Arial" w:cs="Arial"/>
        </w:rPr>
        <w:t xml:space="preserve">Khalid, F., Sun, J., Guo, J. and Srivastava, M. (2024). Green corporate image: Assessing the effects of climate change management practices on corporate reputation. </w:t>
      </w:r>
      <w:r w:rsidRPr="00150494">
        <w:rPr>
          <w:rFonts w:ascii="Arial" w:eastAsia="Arial" w:hAnsi="Arial" w:cs="Arial"/>
          <w:i/>
          <w:iCs/>
        </w:rPr>
        <w:t>Corporate Social Responsibility and Environmental Management, 31</w:t>
      </w:r>
      <w:r w:rsidRPr="00150494">
        <w:rPr>
          <w:rFonts w:ascii="Arial" w:eastAsia="Arial" w:hAnsi="Arial" w:cs="Arial"/>
        </w:rPr>
        <w:t>(3), pp.1786-1801.</w:t>
      </w:r>
    </w:p>
    <w:p w14:paraId="52791CE0" w14:textId="77777777" w:rsidR="00A937D3" w:rsidRPr="00150494" w:rsidRDefault="00F676A6">
      <w:pPr>
        <w:spacing w:after="160"/>
        <w:rPr>
          <w:rFonts w:ascii="Arial" w:eastAsia="Arial" w:hAnsi="Arial" w:cs="Arial"/>
        </w:rPr>
      </w:pPr>
      <w:r w:rsidRPr="00150494">
        <w:rPr>
          <w:rFonts w:ascii="Arial" w:eastAsia="Arial" w:hAnsi="Arial" w:cs="Arial"/>
        </w:rPr>
        <w:t xml:space="preserve">Kong, L., Sun, X., Chow, W., Li, L., Lin, K.Q., Zhang, X.B., Wang, S., Li, R., Wu, Q., Gao, W. and Wang, Y., (2026). AI for auto-research: Roadmap &amp; user guide. </w:t>
      </w:r>
      <w:proofErr w:type="spellStart"/>
      <w:r w:rsidRPr="00150494">
        <w:rPr>
          <w:rFonts w:ascii="Arial" w:eastAsia="Arial" w:hAnsi="Arial" w:cs="Arial"/>
          <w:i/>
          <w:iCs/>
        </w:rPr>
        <w:t>arXiv</w:t>
      </w:r>
      <w:proofErr w:type="spellEnd"/>
      <w:r w:rsidRPr="00150494">
        <w:rPr>
          <w:rFonts w:ascii="Arial" w:eastAsia="Arial" w:hAnsi="Arial" w:cs="Arial"/>
          <w:i/>
          <w:iCs/>
        </w:rPr>
        <w:t xml:space="preserve"> preprint arXiv:2605.18661</w:t>
      </w:r>
      <w:r w:rsidRPr="00150494">
        <w:rPr>
          <w:rFonts w:ascii="Arial" w:eastAsia="Arial" w:hAnsi="Arial" w:cs="Arial"/>
        </w:rPr>
        <w:t>.</w:t>
      </w:r>
      <w:hyperlink r:id="rId52">
        <w:r w:rsidRPr="00150494">
          <w:rPr>
            <w:rFonts w:ascii="Arial" w:eastAsia="Arial" w:hAnsi="Arial" w:cs="Arial"/>
          </w:rPr>
          <w:t xml:space="preserve"> </w:t>
        </w:r>
      </w:hyperlink>
      <w:hyperlink r:id="rId53">
        <w:r w:rsidRPr="00150494">
          <w:rPr>
            <w:rFonts w:ascii="Arial" w:eastAsia="Arial" w:hAnsi="Arial" w:cs="Arial"/>
            <w:u w:val="single"/>
          </w:rPr>
          <w:t>https://doi.org/10.48550/arXiv.2605.18661</w:t>
        </w:r>
      </w:hyperlink>
    </w:p>
    <w:p w14:paraId="0B559186" w14:textId="77777777" w:rsidR="00A937D3" w:rsidRPr="00150494" w:rsidRDefault="00F676A6">
      <w:pPr>
        <w:rPr>
          <w:rFonts w:ascii="Arial" w:eastAsia="Arial" w:hAnsi="Arial" w:cs="Arial"/>
        </w:rPr>
      </w:pPr>
      <w:r w:rsidRPr="00150494">
        <w:rPr>
          <w:rFonts w:ascii="Arial" w:eastAsia="Arial" w:hAnsi="Arial" w:cs="Arial"/>
        </w:rPr>
        <w:t>Kumar, C. (2025). Building sustainable critical raw materials supply chains.</w:t>
      </w:r>
    </w:p>
    <w:p w14:paraId="6CBC747B" w14:textId="77777777" w:rsidR="00A937D3" w:rsidRPr="00150494" w:rsidRDefault="00F676A6">
      <w:pPr>
        <w:spacing w:after="200"/>
        <w:rPr>
          <w:rFonts w:ascii="Arial" w:eastAsia="Arial" w:hAnsi="Arial" w:cs="Arial"/>
        </w:rPr>
      </w:pPr>
      <w:r w:rsidRPr="00150494">
        <w:rPr>
          <w:rFonts w:ascii="Arial" w:eastAsia="Arial" w:hAnsi="Arial" w:cs="Arial"/>
        </w:rPr>
        <w:t xml:space="preserve">Mazzocco, I. and Seligsohn, D. (2025). </w:t>
      </w:r>
      <w:r w:rsidRPr="00150494">
        <w:rPr>
          <w:rFonts w:ascii="Arial" w:eastAsia="Arial" w:hAnsi="Arial" w:cs="Arial"/>
          <w:i/>
          <w:iCs/>
        </w:rPr>
        <w:t xml:space="preserve">Assessing China’s New Climate Commitments. </w:t>
      </w:r>
      <w:r w:rsidRPr="00150494">
        <w:rPr>
          <w:rFonts w:ascii="Arial" w:eastAsia="Arial" w:hAnsi="Arial" w:cs="Arial"/>
        </w:rPr>
        <w:t xml:space="preserve">[Online]. Available at: </w:t>
      </w:r>
      <w:hyperlink r:id="rId54">
        <w:r w:rsidRPr="00150494">
          <w:rPr>
            <w:rFonts w:ascii="Arial" w:eastAsia="Arial" w:hAnsi="Arial" w:cs="Arial"/>
            <w:u w:val="single"/>
          </w:rPr>
          <w:t>https://www.csis.org/analysis/assessing-chinas-new-climate-commitments</w:t>
        </w:r>
      </w:hyperlink>
      <w:r w:rsidRPr="00150494">
        <w:rPr>
          <w:rFonts w:ascii="Arial" w:eastAsia="Arial" w:hAnsi="Arial" w:cs="Arial"/>
        </w:rPr>
        <w:t xml:space="preserve"> [Accessed on: 01 July 2026]</w:t>
      </w:r>
    </w:p>
    <w:p w14:paraId="14CD725F" w14:textId="77777777" w:rsidR="00A937D3" w:rsidRPr="00150494" w:rsidRDefault="00F676A6">
      <w:pPr>
        <w:spacing w:after="200"/>
        <w:rPr>
          <w:rFonts w:ascii="Arial" w:eastAsia="Arial" w:hAnsi="Arial" w:cs="Arial"/>
        </w:rPr>
      </w:pPr>
      <w:r w:rsidRPr="00150494">
        <w:rPr>
          <w:rFonts w:ascii="Arial" w:eastAsia="Arial" w:hAnsi="Arial" w:cs="Arial"/>
        </w:rPr>
        <w:t xml:space="preserve">Office for National Statistics (2025). </w:t>
      </w:r>
      <w:r w:rsidRPr="00150494">
        <w:rPr>
          <w:rFonts w:ascii="Arial" w:eastAsia="Arial" w:hAnsi="Arial" w:cs="Arial"/>
          <w:i/>
          <w:iCs/>
        </w:rPr>
        <w:t xml:space="preserve">Measuring UK greenhouse gas emissions. </w:t>
      </w:r>
      <w:r w:rsidRPr="00150494">
        <w:rPr>
          <w:rFonts w:ascii="Arial" w:eastAsia="Arial" w:hAnsi="Arial" w:cs="Arial"/>
        </w:rPr>
        <w:t xml:space="preserve">[Online]. Available at: </w:t>
      </w:r>
      <w:hyperlink r:id="rId55">
        <w:r w:rsidRPr="00150494">
          <w:rPr>
            <w:rFonts w:ascii="Arial" w:eastAsia="Arial" w:hAnsi="Arial" w:cs="Arial"/>
            <w:u w:val="single"/>
          </w:rPr>
          <w:t>https://www.ons.gov.uk/economy/environmentalaccounts/methodologies/measuringukgreenhousegasemissions</w:t>
        </w:r>
      </w:hyperlink>
      <w:r w:rsidRPr="00150494">
        <w:rPr>
          <w:rFonts w:ascii="Arial" w:eastAsia="Arial" w:hAnsi="Arial" w:cs="Arial"/>
        </w:rPr>
        <w:t xml:space="preserve"> [Accessed on: 03 July 2026]</w:t>
      </w:r>
    </w:p>
    <w:p w14:paraId="28A95857" w14:textId="77777777" w:rsidR="00A937D3" w:rsidRPr="00150494" w:rsidRDefault="00F676A6">
      <w:pPr>
        <w:rPr>
          <w:rFonts w:ascii="Arial" w:eastAsia="Arial" w:hAnsi="Arial" w:cs="Arial"/>
        </w:rPr>
      </w:pPr>
      <w:r w:rsidRPr="00150494">
        <w:rPr>
          <w:rFonts w:ascii="Arial" w:eastAsia="Arial" w:hAnsi="Arial" w:cs="Arial"/>
        </w:rPr>
        <w:t xml:space="preserve">Qomaro, G.W., </w:t>
      </w:r>
      <w:proofErr w:type="spellStart"/>
      <w:r w:rsidRPr="00150494">
        <w:rPr>
          <w:rFonts w:ascii="Arial" w:eastAsia="Arial" w:hAnsi="Arial" w:cs="Arial"/>
        </w:rPr>
        <w:t>Nasrulloh</w:t>
      </w:r>
      <w:proofErr w:type="spellEnd"/>
      <w:r w:rsidRPr="00150494">
        <w:rPr>
          <w:rFonts w:ascii="Arial" w:eastAsia="Arial" w:hAnsi="Arial" w:cs="Arial"/>
        </w:rPr>
        <w:t xml:space="preserve">, N. and Salleh, A.Z. (2024). Leveraging The Ansoff Matrix for Strategic Growth in Packaged Food Micro-Enterprises. </w:t>
      </w:r>
      <w:r w:rsidRPr="00150494">
        <w:rPr>
          <w:rFonts w:ascii="Arial" w:eastAsia="Arial" w:hAnsi="Arial" w:cs="Arial"/>
          <w:i/>
          <w:iCs/>
        </w:rPr>
        <w:t xml:space="preserve">Dinar: </w:t>
      </w:r>
      <w:proofErr w:type="spellStart"/>
      <w:r w:rsidRPr="00150494">
        <w:rPr>
          <w:rFonts w:ascii="Arial" w:eastAsia="Arial" w:hAnsi="Arial" w:cs="Arial"/>
          <w:i/>
          <w:iCs/>
        </w:rPr>
        <w:t>Jurnal</w:t>
      </w:r>
      <w:proofErr w:type="spellEnd"/>
      <w:r w:rsidRPr="00150494">
        <w:rPr>
          <w:rFonts w:ascii="Arial" w:eastAsia="Arial" w:hAnsi="Arial" w:cs="Arial"/>
          <w:i/>
          <w:iCs/>
        </w:rPr>
        <w:t xml:space="preserve"> Ekonomi dan </w:t>
      </w:r>
      <w:proofErr w:type="spellStart"/>
      <w:r w:rsidRPr="00150494">
        <w:rPr>
          <w:rFonts w:ascii="Arial" w:eastAsia="Arial" w:hAnsi="Arial" w:cs="Arial"/>
          <w:i/>
          <w:iCs/>
        </w:rPr>
        <w:t>Keuangan</w:t>
      </w:r>
      <w:proofErr w:type="spellEnd"/>
      <w:r w:rsidRPr="00150494">
        <w:rPr>
          <w:rFonts w:ascii="Arial" w:eastAsia="Arial" w:hAnsi="Arial" w:cs="Arial"/>
          <w:i/>
          <w:iCs/>
        </w:rPr>
        <w:t xml:space="preserve"> Islam</w:t>
      </w:r>
      <w:r w:rsidRPr="00150494">
        <w:rPr>
          <w:rFonts w:ascii="Arial" w:eastAsia="Arial" w:hAnsi="Arial" w:cs="Arial"/>
        </w:rPr>
        <w:t xml:space="preserve">, </w:t>
      </w:r>
      <w:r w:rsidRPr="00150494">
        <w:rPr>
          <w:rFonts w:ascii="Arial" w:eastAsia="Arial" w:hAnsi="Arial" w:cs="Arial"/>
          <w:i/>
          <w:iCs/>
        </w:rPr>
        <w:t>11</w:t>
      </w:r>
      <w:r w:rsidRPr="00150494">
        <w:rPr>
          <w:rFonts w:ascii="Arial" w:eastAsia="Arial" w:hAnsi="Arial" w:cs="Arial"/>
        </w:rPr>
        <w:t>(1), pp.51-66.</w:t>
      </w:r>
    </w:p>
    <w:p w14:paraId="03AED36E" w14:textId="77777777" w:rsidR="00A937D3" w:rsidRPr="00150494" w:rsidRDefault="00F676A6">
      <w:pPr>
        <w:spacing w:after="160"/>
        <w:rPr>
          <w:rFonts w:ascii="Arial" w:eastAsia="Arial" w:hAnsi="Arial" w:cs="Arial"/>
        </w:rPr>
      </w:pPr>
      <w:r w:rsidRPr="00150494">
        <w:rPr>
          <w:rFonts w:ascii="Arial" w:eastAsia="Arial" w:hAnsi="Arial" w:cs="Arial"/>
        </w:rPr>
        <w:t xml:space="preserve">Richani, A. (2026). </w:t>
      </w:r>
      <w:r w:rsidRPr="00150494">
        <w:rPr>
          <w:rFonts w:ascii="Arial" w:eastAsia="Arial" w:hAnsi="Arial" w:cs="Arial"/>
          <w:i/>
          <w:iCs/>
        </w:rPr>
        <w:t>Codelco Records Profits of US$2.42 Billion</w:t>
      </w:r>
      <w:r w:rsidRPr="00150494">
        <w:rPr>
          <w:rFonts w:ascii="Arial" w:eastAsia="Arial" w:hAnsi="Arial" w:cs="Arial"/>
        </w:rPr>
        <w:t>. Available at:</w:t>
      </w:r>
      <w:hyperlink r:id="rId56">
        <w:r w:rsidRPr="00150494">
          <w:rPr>
            <w:rFonts w:ascii="Arial" w:eastAsia="Arial" w:hAnsi="Arial" w:cs="Arial"/>
          </w:rPr>
          <w:t xml:space="preserve"> </w:t>
        </w:r>
      </w:hyperlink>
      <w:hyperlink r:id="rId57">
        <w:r w:rsidRPr="00150494">
          <w:rPr>
            <w:rFonts w:ascii="Arial" w:eastAsia="Arial" w:hAnsi="Arial" w:cs="Arial"/>
            <w:u w:val="single"/>
          </w:rPr>
          <w:t>https://www.industrialinfo.com/news/article/codelco-records-profits-of-us242-billion--355597</w:t>
        </w:r>
      </w:hyperlink>
      <w:r w:rsidRPr="00150494">
        <w:rPr>
          <w:rFonts w:ascii="Arial" w:eastAsia="Arial" w:hAnsi="Arial" w:cs="Arial"/>
        </w:rPr>
        <w:t xml:space="preserve"> (Accessed: 27 June 2026)</w:t>
      </w:r>
    </w:p>
    <w:p w14:paraId="64F1E3EC" w14:textId="77777777" w:rsidR="00A937D3" w:rsidRPr="00150494" w:rsidRDefault="00F676A6">
      <w:pPr>
        <w:spacing w:after="160"/>
        <w:rPr>
          <w:rFonts w:ascii="Arial" w:eastAsia="Arial" w:hAnsi="Arial" w:cs="Arial"/>
        </w:rPr>
      </w:pPr>
      <w:r w:rsidRPr="00150494">
        <w:rPr>
          <w:rFonts w:ascii="Arial" w:eastAsia="Arial" w:hAnsi="Arial" w:cs="Arial"/>
        </w:rPr>
        <w:t xml:space="preserve">Rivera, M. (2026). </w:t>
      </w:r>
      <w:r w:rsidRPr="00150494">
        <w:rPr>
          <w:rFonts w:ascii="Arial" w:eastAsia="Arial" w:hAnsi="Arial" w:cs="Arial"/>
          <w:i/>
          <w:iCs/>
        </w:rPr>
        <w:t>Codelco: A State Operator Under Pressure in the Age of Geopolitical Mining</w:t>
      </w:r>
      <w:r w:rsidRPr="00150494">
        <w:rPr>
          <w:rFonts w:ascii="Arial" w:eastAsia="Arial" w:hAnsi="Arial" w:cs="Arial"/>
        </w:rPr>
        <w:t>. Available at:</w:t>
      </w:r>
      <w:hyperlink r:id="rId58">
        <w:r w:rsidRPr="00150494">
          <w:rPr>
            <w:rFonts w:ascii="Arial" w:eastAsia="Arial" w:hAnsi="Arial" w:cs="Arial"/>
          </w:rPr>
          <w:t xml:space="preserve"> </w:t>
        </w:r>
      </w:hyperlink>
      <w:hyperlink r:id="rId59">
        <w:r w:rsidRPr="00150494">
          <w:rPr>
            <w:rFonts w:ascii="Arial" w:eastAsia="Arial" w:hAnsi="Arial" w:cs="Arial"/>
            <w:u w:val="single"/>
          </w:rPr>
          <w:t>https://geopoliticalmining.com/codelco-chile-a-state-operator-under-pressure-in-the-age-of-geopolitical-mining/</w:t>
        </w:r>
      </w:hyperlink>
      <w:r w:rsidRPr="00150494">
        <w:rPr>
          <w:rFonts w:ascii="Arial" w:eastAsia="Arial" w:hAnsi="Arial" w:cs="Arial"/>
        </w:rPr>
        <w:t xml:space="preserve"> (Accessed: 28 June 2026)</w:t>
      </w:r>
    </w:p>
    <w:p w14:paraId="2EC1C115" w14:textId="77777777" w:rsidR="00A937D3" w:rsidRPr="00150494" w:rsidRDefault="00F676A6">
      <w:pPr>
        <w:spacing w:after="200"/>
        <w:rPr>
          <w:rFonts w:ascii="Arial" w:eastAsia="Arial" w:hAnsi="Arial" w:cs="Arial"/>
        </w:rPr>
      </w:pPr>
      <w:r w:rsidRPr="00150494">
        <w:rPr>
          <w:rFonts w:ascii="Arial" w:eastAsia="Arial" w:hAnsi="Arial" w:cs="Arial"/>
        </w:rPr>
        <w:t xml:space="preserve">Schneider Electric (2022). </w:t>
      </w:r>
      <w:r w:rsidRPr="00150494">
        <w:rPr>
          <w:rFonts w:ascii="Arial" w:eastAsia="Arial" w:hAnsi="Arial" w:cs="Arial"/>
          <w:i/>
          <w:iCs/>
        </w:rPr>
        <w:t xml:space="preserve">Only 1 in 2 Singaporeans confident organisations will meet climate goals: Schneider Electric survey. </w:t>
      </w:r>
      <w:r w:rsidRPr="00150494">
        <w:rPr>
          <w:rFonts w:ascii="Arial" w:eastAsia="Arial" w:hAnsi="Arial" w:cs="Arial"/>
        </w:rPr>
        <w:t xml:space="preserve">[Online]. Available at: </w:t>
      </w:r>
      <w:hyperlink r:id="rId60">
        <w:r w:rsidRPr="00150494">
          <w:rPr>
            <w:rFonts w:ascii="Arial" w:eastAsia="Arial" w:hAnsi="Arial" w:cs="Arial"/>
            <w:u w:val="single"/>
          </w:rPr>
          <w:t>https://www.eco-business.com/press-releases/only-1-in-2-singaporeans-confident-organisations-will-meet-climate-goals-schneider-electric-survey/</w:t>
        </w:r>
      </w:hyperlink>
      <w:r w:rsidRPr="00150494">
        <w:rPr>
          <w:rFonts w:ascii="Arial" w:eastAsia="Arial" w:hAnsi="Arial" w:cs="Arial"/>
        </w:rPr>
        <w:t xml:space="preserve"> [Accessed on: 03 July 2026]</w:t>
      </w:r>
    </w:p>
    <w:p w14:paraId="5A190F21" w14:textId="77777777" w:rsidR="00A937D3" w:rsidRPr="00150494" w:rsidRDefault="00F676A6">
      <w:pPr>
        <w:spacing w:after="200"/>
        <w:rPr>
          <w:rFonts w:ascii="Arial" w:eastAsia="Arial" w:hAnsi="Arial" w:cs="Arial"/>
        </w:rPr>
      </w:pPr>
      <w:r w:rsidRPr="00150494">
        <w:rPr>
          <w:rFonts w:ascii="Arial" w:eastAsia="Arial" w:hAnsi="Arial" w:cs="Arial"/>
        </w:rPr>
        <w:t xml:space="preserve">UK Steel (2022). </w:t>
      </w:r>
      <w:r w:rsidRPr="00150494">
        <w:rPr>
          <w:rFonts w:ascii="Arial" w:eastAsia="Arial" w:hAnsi="Arial" w:cs="Arial"/>
          <w:i/>
          <w:iCs/>
        </w:rPr>
        <w:t xml:space="preserve">UK steel industry sets out vision for Net Zero transition, securing green jobs and investment. </w:t>
      </w:r>
      <w:r w:rsidRPr="00150494">
        <w:rPr>
          <w:rFonts w:ascii="Arial" w:eastAsia="Arial" w:hAnsi="Arial" w:cs="Arial"/>
        </w:rPr>
        <w:t xml:space="preserve">[Online]. Available at: </w:t>
      </w:r>
      <w:hyperlink r:id="rId61">
        <w:r w:rsidRPr="00150494">
          <w:rPr>
            <w:rFonts w:ascii="Arial" w:eastAsia="Arial" w:hAnsi="Arial" w:cs="Arial"/>
            <w:u w:val="single"/>
          </w:rPr>
          <w:t>https://www.uksteel.org/steel-news-2022/net-zero-steel</w:t>
        </w:r>
      </w:hyperlink>
      <w:r w:rsidRPr="00150494">
        <w:rPr>
          <w:rFonts w:ascii="Arial" w:eastAsia="Arial" w:hAnsi="Arial" w:cs="Arial"/>
        </w:rPr>
        <w:t xml:space="preserve"> [Accessed on: 02 July 2026]</w:t>
      </w:r>
    </w:p>
    <w:p w14:paraId="0E66504A" w14:textId="77777777" w:rsidR="00A937D3" w:rsidRPr="00150494" w:rsidRDefault="00F676A6">
      <w:pPr>
        <w:spacing w:after="160"/>
        <w:rPr>
          <w:rFonts w:ascii="Arial" w:eastAsia="Arial" w:hAnsi="Arial" w:cs="Arial"/>
          <w:u w:val="single"/>
        </w:rPr>
      </w:pPr>
      <w:r w:rsidRPr="00150494">
        <w:rPr>
          <w:rFonts w:ascii="Arial" w:eastAsia="Arial" w:hAnsi="Arial" w:cs="Arial"/>
        </w:rPr>
        <w:t xml:space="preserve">Wider, W., Tan, F.P., Tan, Y.P., Lin, J., Fauzi, M.A., Wong, L.S., </w:t>
      </w:r>
      <w:proofErr w:type="spellStart"/>
      <w:r w:rsidRPr="00150494">
        <w:rPr>
          <w:rFonts w:ascii="Arial" w:eastAsia="Arial" w:hAnsi="Arial" w:cs="Arial"/>
        </w:rPr>
        <w:t>Tanucan</w:t>
      </w:r>
      <w:proofErr w:type="spellEnd"/>
      <w:r w:rsidRPr="00150494">
        <w:rPr>
          <w:rFonts w:ascii="Arial" w:eastAsia="Arial" w:hAnsi="Arial" w:cs="Arial"/>
        </w:rPr>
        <w:t xml:space="preserve">, J.C.M. and Hossain, S.F.A., (2024). Service quality (SERVQUAL) model in private higher education institutions: A bibliometric analysis of past, present, and future prospects. </w:t>
      </w:r>
      <w:r w:rsidRPr="00150494">
        <w:rPr>
          <w:rFonts w:ascii="Arial" w:eastAsia="Arial" w:hAnsi="Arial" w:cs="Arial"/>
          <w:i/>
          <w:iCs/>
        </w:rPr>
        <w:t>Social Sciences &amp; Humanities Open</w:t>
      </w:r>
      <w:r w:rsidRPr="00150494">
        <w:rPr>
          <w:rFonts w:ascii="Arial" w:eastAsia="Arial" w:hAnsi="Arial" w:cs="Arial"/>
        </w:rPr>
        <w:t xml:space="preserve">, </w:t>
      </w:r>
      <w:r w:rsidRPr="00150494">
        <w:rPr>
          <w:rFonts w:ascii="Arial" w:eastAsia="Arial" w:hAnsi="Arial" w:cs="Arial"/>
          <w:i/>
          <w:iCs/>
        </w:rPr>
        <w:t>9</w:t>
      </w:r>
      <w:r w:rsidRPr="00150494">
        <w:rPr>
          <w:rFonts w:ascii="Arial" w:eastAsia="Arial" w:hAnsi="Arial" w:cs="Arial"/>
        </w:rPr>
        <w:t>, p.100805.</w:t>
      </w:r>
      <w:hyperlink r:id="rId62">
        <w:r w:rsidRPr="00150494">
          <w:rPr>
            <w:rFonts w:ascii="Arial" w:eastAsia="Arial" w:hAnsi="Arial" w:cs="Arial"/>
          </w:rPr>
          <w:t xml:space="preserve"> </w:t>
        </w:r>
      </w:hyperlink>
      <w:hyperlink r:id="rId63">
        <w:r w:rsidRPr="00150494">
          <w:rPr>
            <w:rFonts w:ascii="Arial" w:eastAsia="Arial" w:hAnsi="Arial" w:cs="Arial"/>
            <w:u w:val="single"/>
          </w:rPr>
          <w:t>https://doi.org/10.1016/j.ssaho.2024.100805</w:t>
        </w:r>
      </w:hyperlink>
    </w:p>
    <w:p w14:paraId="0622DE8F" w14:textId="77777777" w:rsidR="00A937D3" w:rsidRPr="00150494" w:rsidRDefault="00F676A6">
      <w:pPr>
        <w:spacing w:after="200"/>
        <w:rPr>
          <w:rFonts w:ascii="Arial" w:eastAsia="Arial" w:hAnsi="Arial" w:cs="Arial"/>
        </w:rPr>
      </w:pPr>
      <w:r w:rsidRPr="00150494">
        <w:rPr>
          <w:rFonts w:ascii="Arial" w:eastAsia="Arial" w:hAnsi="Arial" w:cs="Arial"/>
        </w:rPr>
        <w:t xml:space="preserve">YouGov (2025). </w:t>
      </w:r>
      <w:r w:rsidRPr="00150494">
        <w:rPr>
          <w:rFonts w:ascii="Arial" w:eastAsia="Arial" w:hAnsi="Arial" w:cs="Arial"/>
          <w:i/>
          <w:iCs/>
        </w:rPr>
        <w:t xml:space="preserve">What drives British shoppers: quality, brand reputation, or sustainable packaging? </w:t>
      </w:r>
      <w:r w:rsidRPr="00150494">
        <w:rPr>
          <w:rFonts w:ascii="Arial" w:eastAsia="Arial" w:hAnsi="Arial" w:cs="Arial"/>
        </w:rPr>
        <w:t xml:space="preserve">[Online]. Available at: </w:t>
      </w:r>
      <w:hyperlink r:id="rId64">
        <w:r w:rsidRPr="00150494">
          <w:rPr>
            <w:rFonts w:ascii="Arial" w:eastAsia="Arial" w:hAnsi="Arial" w:cs="Arial"/>
            <w:u w:val="single"/>
          </w:rPr>
          <w:t>https://yougov.com/en-gb/articles/53417-what-drives-british-shoppers-quality-brand-reputation-or-sustainable-packaging</w:t>
        </w:r>
      </w:hyperlink>
      <w:r w:rsidRPr="00150494">
        <w:rPr>
          <w:rFonts w:ascii="Arial" w:eastAsia="Arial" w:hAnsi="Arial" w:cs="Arial"/>
        </w:rPr>
        <w:t xml:space="preserve"> [Accessed on: 03 July 2026]</w:t>
      </w:r>
    </w:p>
    <w:sectPr w:rsidR="00A937D3" w:rsidRPr="00150494">
      <w:footerReference w:type="default" r:id="rId65"/>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7CE14B" w14:textId="77777777" w:rsidR="00C720B8" w:rsidRDefault="00C720B8">
      <w:pPr>
        <w:spacing w:after="0" w:line="240" w:lineRule="auto"/>
      </w:pPr>
      <w:r>
        <w:separator/>
      </w:r>
    </w:p>
  </w:endnote>
  <w:endnote w:type="continuationSeparator" w:id="0">
    <w:p w14:paraId="01B6FB63" w14:textId="77777777" w:rsidR="00C720B8" w:rsidRDefault="00C720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embedRegular r:id="rId1" w:fontKey="{DB5E5625-FAC2-41EB-8D59-EB4E39CC7435}"/>
  </w:font>
  <w:font w:name="Shruti">
    <w:panose1 w:val="02000500000000000000"/>
    <w:charset w:val="00"/>
    <w:family w:val="swiss"/>
    <w:pitch w:val="variable"/>
    <w:sig w:usb0="00040003" w:usb1="00000000" w:usb2="00000000" w:usb3="00000000" w:csb0="00000001" w:csb1="00000000"/>
    <w:embedRegular r:id="rId2" w:fontKey="{131754D1-9CA0-4915-B2A8-5215FBB83F64}"/>
  </w:font>
  <w:font w:name="Cambria">
    <w:panose1 w:val="02040503050406030204"/>
    <w:charset w:val="00"/>
    <w:family w:val="roman"/>
    <w:pitch w:val="variable"/>
    <w:sig w:usb0="E00006FF" w:usb1="420024FF" w:usb2="02000000" w:usb3="00000000" w:csb0="0000019F" w:csb1="00000000"/>
    <w:embedRegular r:id="rId3" w:fontKey="{F1A3AD6C-EB51-4D0B-AF55-0FCCA8E87A6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591FE7" w14:textId="64D02AB3" w:rsidR="00A937D3" w:rsidRDefault="00F676A6">
    <w:pPr>
      <w:jc w:val="right"/>
      <w:rPr>
        <w:rFonts w:ascii="Arial" w:eastAsia="Arial" w:hAnsi="Arial" w:cs="Arial"/>
        <w:sz w:val="20"/>
        <w:szCs w:val="20"/>
      </w:rPr>
    </w:pPr>
    <w:r>
      <w:rPr>
        <w:rFonts w:ascii="Arial" w:eastAsia="Arial" w:hAnsi="Arial" w:cs="Arial"/>
        <w:sz w:val="20"/>
        <w:szCs w:val="20"/>
      </w:rPr>
      <w:fldChar w:fldCharType="begin"/>
    </w:r>
    <w:r>
      <w:rPr>
        <w:rFonts w:ascii="Arial" w:eastAsia="Arial" w:hAnsi="Arial" w:cs="Arial"/>
        <w:sz w:val="20"/>
        <w:szCs w:val="20"/>
      </w:rPr>
      <w:instrText>PAGE</w:instrText>
    </w:r>
    <w:r>
      <w:rPr>
        <w:rFonts w:ascii="Arial" w:eastAsia="Arial" w:hAnsi="Arial" w:cs="Arial"/>
        <w:sz w:val="20"/>
        <w:szCs w:val="20"/>
      </w:rPr>
      <w:fldChar w:fldCharType="separate"/>
    </w:r>
    <w:r w:rsidR="000E5F8F">
      <w:rPr>
        <w:rFonts w:ascii="Arial" w:eastAsia="Arial" w:hAnsi="Arial" w:cs="Arial"/>
        <w:noProof/>
        <w:sz w:val="20"/>
        <w:szCs w:val="20"/>
      </w:rPr>
      <w:t>11</w:t>
    </w:r>
    <w:r>
      <w:rPr>
        <w:rFonts w:ascii="Arial" w:eastAsia="Arial" w:hAnsi="Arial" w:cs="Arial"/>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44678" w14:textId="77777777" w:rsidR="00C720B8" w:rsidRDefault="00C720B8">
      <w:pPr>
        <w:spacing w:after="0" w:line="240" w:lineRule="auto"/>
      </w:pPr>
      <w:r>
        <w:separator/>
      </w:r>
    </w:p>
  </w:footnote>
  <w:footnote w:type="continuationSeparator" w:id="0">
    <w:p w14:paraId="03A2C1E0" w14:textId="77777777" w:rsidR="00C720B8" w:rsidRDefault="00C720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D16BD9"/>
    <w:multiLevelType w:val="multilevel"/>
    <w:tmpl w:val="014862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001940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7D3"/>
    <w:rsid w:val="000E5F8F"/>
    <w:rsid w:val="00150494"/>
    <w:rsid w:val="00175950"/>
    <w:rsid w:val="001F11E6"/>
    <w:rsid w:val="002B0968"/>
    <w:rsid w:val="002B54DF"/>
    <w:rsid w:val="002D7DFE"/>
    <w:rsid w:val="002E59B4"/>
    <w:rsid w:val="00304EEB"/>
    <w:rsid w:val="003812E6"/>
    <w:rsid w:val="00572D13"/>
    <w:rsid w:val="007270DC"/>
    <w:rsid w:val="00821C2F"/>
    <w:rsid w:val="00847631"/>
    <w:rsid w:val="0085573B"/>
    <w:rsid w:val="00982B98"/>
    <w:rsid w:val="00A85038"/>
    <w:rsid w:val="00A937D3"/>
    <w:rsid w:val="00B17254"/>
    <w:rsid w:val="00C720B8"/>
    <w:rsid w:val="00D11B44"/>
    <w:rsid w:val="00D4244E"/>
    <w:rsid w:val="00DD79DC"/>
    <w:rsid w:val="00DF34C4"/>
    <w:rsid w:val="00F676A6"/>
    <w:rsid w:val="00F9419F"/>
    <w:rsid w:val="00FA01E4"/>
    <w:rsid w:val="00FF2087"/>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9261E"/>
  <w15:docId w15:val="{F41A8442-2FE5-417F-B1B2-796975B45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Arial" w:eastAsia="Arial" w:hAnsi="Arial" w:cs="Arial"/>
      <w:b/>
      <w:bCs/>
      <w:sz w:val="28"/>
      <w:szCs w:val="28"/>
    </w:rPr>
  </w:style>
  <w:style w:type="paragraph" w:styleId="Heading2">
    <w:name w:val="heading 2"/>
    <w:basedOn w:val="Normal"/>
    <w:next w:val="Normal"/>
    <w:uiPriority w:val="9"/>
    <w:unhideWhenUsed/>
    <w:qFormat/>
    <w:pPr>
      <w:keepNext/>
      <w:keepLines/>
      <w:outlineLvl w:val="1"/>
    </w:pPr>
    <w:rPr>
      <w:rFonts w:ascii="Arial" w:eastAsia="Arial" w:hAnsi="Arial" w:cs="Arial"/>
      <w:b/>
      <w:bCs/>
      <w:sz w:val="26"/>
      <w:szCs w:val="26"/>
    </w:rPr>
  </w:style>
  <w:style w:type="paragraph" w:styleId="Heading3">
    <w:name w:val="heading 3"/>
    <w:basedOn w:val="Normal"/>
    <w:next w:val="Normal"/>
    <w:uiPriority w:val="9"/>
    <w:unhideWhenUsed/>
    <w:qFormat/>
    <w:pPr>
      <w:keepNext/>
      <w:keepLines/>
      <w:outlineLvl w:val="2"/>
    </w:pPr>
    <w:rPr>
      <w:rFonts w:ascii="Arial" w:eastAsia="Arial" w:hAnsi="Arial" w:cs="Arial"/>
      <w:b/>
      <w:bCs/>
      <w:color w:val="434343"/>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572D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2D13"/>
  </w:style>
  <w:style w:type="paragraph" w:styleId="Footer">
    <w:name w:val="footer"/>
    <w:basedOn w:val="Normal"/>
    <w:link w:val="FooterChar"/>
    <w:uiPriority w:val="99"/>
    <w:unhideWhenUsed/>
    <w:rsid w:val="00572D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2D13"/>
  </w:style>
  <w:style w:type="paragraph" w:styleId="BodyText">
    <w:name w:val="Body Text"/>
    <w:basedOn w:val="Normal"/>
    <w:link w:val="BodyTextChar"/>
    <w:uiPriority w:val="1"/>
    <w:qFormat/>
    <w:rsid w:val="00572D13"/>
    <w:pPr>
      <w:widowControl w:val="0"/>
      <w:autoSpaceDE w:val="0"/>
      <w:autoSpaceDN w:val="0"/>
      <w:spacing w:after="0" w:line="240" w:lineRule="auto"/>
      <w:jc w:val="left"/>
    </w:pPr>
    <w:rPr>
      <w:rFonts w:ascii="Arial MT" w:eastAsia="Arial MT" w:hAnsi="Arial MT" w:cs="Arial MT"/>
      <w:sz w:val="22"/>
      <w:szCs w:val="22"/>
      <w:lang w:val="en-US" w:eastAsia="en-US"/>
    </w:rPr>
  </w:style>
  <w:style w:type="character" w:customStyle="1" w:styleId="BodyTextChar">
    <w:name w:val="Body Text Char"/>
    <w:basedOn w:val="DefaultParagraphFont"/>
    <w:link w:val="BodyText"/>
    <w:uiPriority w:val="1"/>
    <w:rsid w:val="00572D13"/>
    <w:rPr>
      <w:rFonts w:ascii="Arial MT" w:eastAsia="Arial MT" w:hAnsi="Arial MT" w:cs="Arial MT"/>
      <w:sz w:val="22"/>
      <w:szCs w:val="22"/>
      <w:lang w:val="en-US" w:eastAsia="en-US"/>
    </w:rPr>
  </w:style>
  <w:style w:type="paragraph" w:customStyle="1" w:styleId="TableParagraph">
    <w:name w:val="Table Paragraph"/>
    <w:basedOn w:val="Normal"/>
    <w:uiPriority w:val="1"/>
    <w:qFormat/>
    <w:rsid w:val="00572D13"/>
    <w:pPr>
      <w:widowControl w:val="0"/>
      <w:autoSpaceDE w:val="0"/>
      <w:autoSpaceDN w:val="0"/>
      <w:spacing w:after="0" w:line="240" w:lineRule="auto"/>
      <w:ind w:left="107"/>
      <w:jc w:val="left"/>
    </w:pPr>
    <w:rPr>
      <w:rFonts w:ascii="Arial MT" w:eastAsia="Arial MT" w:hAnsi="Arial MT" w:cs="Arial MT"/>
      <w:sz w:val="22"/>
      <w:szCs w:val="22"/>
      <w:lang w:val="en-US" w:eastAsia="en-US"/>
    </w:rPr>
  </w:style>
  <w:style w:type="paragraph" w:styleId="TOC1">
    <w:name w:val="toc 1"/>
    <w:basedOn w:val="Normal"/>
    <w:next w:val="Normal"/>
    <w:autoRedefine/>
    <w:uiPriority w:val="39"/>
    <w:unhideWhenUsed/>
    <w:rsid w:val="00982B98"/>
    <w:pPr>
      <w:spacing w:after="100"/>
    </w:pPr>
  </w:style>
  <w:style w:type="paragraph" w:styleId="TOC2">
    <w:name w:val="toc 2"/>
    <w:basedOn w:val="Normal"/>
    <w:next w:val="Normal"/>
    <w:autoRedefine/>
    <w:uiPriority w:val="39"/>
    <w:unhideWhenUsed/>
    <w:rsid w:val="00982B98"/>
    <w:pPr>
      <w:spacing w:after="100"/>
      <w:ind w:left="240"/>
    </w:pPr>
  </w:style>
  <w:style w:type="paragraph" w:styleId="TOC3">
    <w:name w:val="toc 3"/>
    <w:basedOn w:val="Normal"/>
    <w:next w:val="Normal"/>
    <w:autoRedefine/>
    <w:uiPriority w:val="39"/>
    <w:unhideWhenUsed/>
    <w:rsid w:val="00982B98"/>
    <w:pPr>
      <w:spacing w:after="100"/>
      <w:ind w:left="480"/>
    </w:pPr>
  </w:style>
  <w:style w:type="character" w:styleId="Hyperlink">
    <w:name w:val="Hyperlink"/>
    <w:basedOn w:val="DefaultParagraphFont"/>
    <w:uiPriority w:val="99"/>
    <w:unhideWhenUsed/>
    <w:rsid w:val="00982B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climateactiontracker.org/countries/singapore/assumptions/" TargetMode="External"/><Relationship Id="rId21" Type="http://schemas.openxmlformats.org/officeDocument/2006/relationships/hyperlink" Target="https://abmagazine.accaglobal.com/global/articles/2022/nov/comment/green-pride.html" TargetMode="External"/><Relationship Id="rId34" Type="http://schemas.openxmlformats.org/officeDocument/2006/relationships/hyperlink" Target="https://www.codelco.com/en/bernardo-fontaine-participa-en-inauguracion-de-exponor-2026-instancia" TargetMode="External"/><Relationship Id="rId42" Type="http://schemas.openxmlformats.org/officeDocument/2006/relationships/hyperlink" Target="https://www.codelco.com/financial-reports-operational-data" TargetMode="External"/><Relationship Id="rId47" Type="http://schemas.openxmlformats.org/officeDocument/2006/relationships/hyperlink" Target="https://www.reuters.com/sustainability/climate-energy/china-plans-cut-carbon-dioxide-emissions-per-unit-gdp-by-around-38-2026-2026-03-05/" TargetMode="External"/><Relationship Id="rId50" Type="http://schemas.openxmlformats.org/officeDocument/2006/relationships/hyperlink" Target="https://im-mining.com/2026/06/01/bhp-advances-renewable-power-supply-and-storage-at-escondida-spence/" TargetMode="External"/><Relationship Id="rId55" Type="http://schemas.openxmlformats.org/officeDocument/2006/relationships/hyperlink" Target="https://www.ons.gov.uk/economy/environmentalaccounts/methodologies/measuringukgreenhousegasemissions" TargetMode="External"/><Relationship Id="rId63" Type="http://schemas.openxmlformats.org/officeDocument/2006/relationships/hyperlink" Target="https://doi.org/10.1016/j.ssaho.2024.100805"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codelco.com/prontus_codelco/site/docs/20251002/20251002120038/climate_change_report.pdf" TargetMode="External"/><Relationship Id="rId11" Type="http://schemas.openxmlformats.org/officeDocument/2006/relationships/image" Target="media/image4.png"/><Relationship Id="rId24" Type="http://schemas.openxmlformats.org/officeDocument/2006/relationships/hyperlink" Target="https://www.reuters.com/world/americas/chiles-codelco-cuts-2025-copper-forecast-after-el-teniente-mine-collapse-2025-08-22/" TargetMode="External"/><Relationship Id="rId32" Type="http://schemas.openxmlformats.org/officeDocument/2006/relationships/hyperlink" Target="https://www.codelco.com/sites/site/edic/base/port/avances_sustentabilidad_ingles.html" TargetMode="External"/><Relationship Id="rId37" Type="http://schemas.openxmlformats.org/officeDocument/2006/relationships/hyperlink" Target="https://www.codelco.com/en/prensa/2026/codelco-reafirma-solidez-operativa-y-rol-estrategico-para-el-desarrollo" TargetMode="External"/><Relationship Id="rId40" Type="http://schemas.openxmlformats.org/officeDocument/2006/relationships/hyperlink" Target="https://www.codelco.com/en/prensa/2026/codelco-reafirma-solidez-operativa-y-rol-estrategico-para-el-desarrollo" TargetMode="External"/><Relationship Id="rId45" Type="http://schemas.openxmlformats.org/officeDocument/2006/relationships/hyperlink" Target="https://www.gov.uk/government/statistics/desnz-public-attitudes-tracker-winter-2025/desnz-public-attitudes-tracker-net-zero-and-climate-change-winter-2025-uk" TargetMode="External"/><Relationship Id="rId53" Type="http://schemas.openxmlformats.org/officeDocument/2006/relationships/hyperlink" Target="https://doi.org/10.48550/arXiv.2605.18661" TargetMode="External"/><Relationship Id="rId58" Type="http://schemas.openxmlformats.org/officeDocument/2006/relationships/hyperlink" Target="https://geopoliticalmining.com/codelco-chile-a-state-operator-under-pressure-in-the-age-of-geopolitical-mining/"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uksteel.org/steel-news-2022/net-zero-steel"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hyperlink" Target="https://www.bnamericas.com/en/analysis/codelco-defends-us24658bn-debt-amid-debate-over-partial-privatization-in-chile" TargetMode="External"/><Relationship Id="rId27" Type="http://schemas.openxmlformats.org/officeDocument/2006/relationships/hyperlink" Target="https://climateactiontracker.org/countries/uk/" TargetMode="External"/><Relationship Id="rId30" Type="http://schemas.openxmlformats.org/officeDocument/2006/relationships/hyperlink" Target="https://www.codelco.com/en/codelco-completa-su-programa-de-financiamiento-climatico-asegurando" TargetMode="External"/><Relationship Id="rId35" Type="http://schemas.openxmlformats.org/officeDocument/2006/relationships/hyperlink" Target="https://www.codelco.com/en/prensa/2026/codelco-lanza-hoja-de-ruta-de-economia-circular-con-meta-de-valorizar-el" TargetMode="External"/><Relationship Id="rId43" Type="http://schemas.openxmlformats.org/officeDocument/2006/relationships/hyperlink" Target="https://doi.org/10.1007/s43621-025-01934-y" TargetMode="External"/><Relationship Id="rId48" Type="http://schemas.openxmlformats.org/officeDocument/2006/relationships/hyperlink" Target="https://im-mining.com/2025/03/28/codelco-overcomes-bottlenecks-to-boost-copper-production-in-2024/" TargetMode="External"/><Relationship Id="rId56" Type="http://schemas.openxmlformats.org/officeDocument/2006/relationships/hyperlink" Target="https://www.industrialinfo.com/news/article/codelco-records-profits-of-us242-billion--355597" TargetMode="External"/><Relationship Id="rId64" Type="http://schemas.openxmlformats.org/officeDocument/2006/relationships/hyperlink" Target="https://yougov.com/en-gb/articles/53417-what-drives-british-shoppers-quality-brand-reputation-or-sustainable-packaging" TargetMode="External"/><Relationship Id="rId8" Type="http://schemas.openxmlformats.org/officeDocument/2006/relationships/image" Target="media/image1.png"/><Relationship Id="rId51" Type="http://schemas.openxmlformats.org/officeDocument/2006/relationships/hyperlink" Target="https://im-mining.com/2026/06/01/bhp-advances-renewable-power-supply-and-storage-at-escondida-spence/"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reuters.com/world/americas/chiles-codelco-cuts-2025-copper-forecast-after-el-teniente-mine-collapse-2025-08-22/" TargetMode="External"/><Relationship Id="rId33" Type="http://schemas.openxmlformats.org/officeDocument/2006/relationships/hyperlink" Target="https://www.codelco.com/en/bernardo-fontaine-participa-en-inauguracion-de-exponor-2026-instancia" TargetMode="External"/><Relationship Id="rId38" Type="http://schemas.openxmlformats.org/officeDocument/2006/relationships/hyperlink" Target="https://www.codelco.com/en/prensa/2026/codelco-reafirma-solidez-operativa-y-rol-estrategico-para-el-desarrollo" TargetMode="External"/><Relationship Id="rId46" Type="http://schemas.openxmlformats.org/officeDocument/2006/relationships/hyperlink" Target="https://www.greenplan.gov.sg/globalcommitment/" TargetMode="External"/><Relationship Id="rId59" Type="http://schemas.openxmlformats.org/officeDocument/2006/relationships/hyperlink" Target="https://geopoliticalmining.com/codelco-chile-a-state-operator-under-pressure-in-the-age-of-geopolitical-mining/" TargetMode="External"/><Relationship Id="rId6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hyperlink" Target="https://www.codelco.com/financial-reports-operational-data" TargetMode="External"/><Relationship Id="rId54" Type="http://schemas.openxmlformats.org/officeDocument/2006/relationships/hyperlink" Target="https://www.csis.org/analysis/assessing-chinas-new-climate-commitments" TargetMode="External"/><Relationship Id="rId62" Type="http://schemas.openxmlformats.org/officeDocument/2006/relationships/hyperlink" Target="https://doi.org/10.1016/j.ssaho.2024.10080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bnamericas.com/en/analysis/codelco-defends-us24658bn-debt-amid-debate-over-partial-privatization-in-chile" TargetMode="External"/><Relationship Id="rId28" Type="http://schemas.openxmlformats.org/officeDocument/2006/relationships/hyperlink" Target="https://climateactiontracker.org/countries/china/" TargetMode="External"/><Relationship Id="rId36" Type="http://schemas.openxmlformats.org/officeDocument/2006/relationships/hyperlink" Target="https://www.codelco.com/en/prensa/2026/codelco-lanza-hoja-de-ruta-de-economia-circular-con-meta-de-valorizar-el" TargetMode="External"/><Relationship Id="rId49" Type="http://schemas.openxmlformats.org/officeDocument/2006/relationships/hyperlink" Target="https://im-mining.com/2025/03/28/codelco-overcomes-bottlenecks-to-boost-copper-production-in-2024/" TargetMode="External"/><Relationship Id="rId57" Type="http://schemas.openxmlformats.org/officeDocument/2006/relationships/hyperlink" Target="https://www.industrialinfo.com/news/article/codelco-records-profits-of-us242-billion--355597" TargetMode="External"/><Relationship Id="rId10" Type="http://schemas.openxmlformats.org/officeDocument/2006/relationships/image" Target="media/image3.png"/><Relationship Id="rId31" Type="http://schemas.openxmlformats.org/officeDocument/2006/relationships/hyperlink" Target="https://www.codelco.com/en/codelco-completa-su-programa-de-financiamiento-climatico-asegurando" TargetMode="External"/><Relationship Id="rId44" Type="http://schemas.openxmlformats.org/officeDocument/2006/relationships/hyperlink" Target="https://doi.org/10.1007/s43621-025-01934-y" TargetMode="External"/><Relationship Id="rId52" Type="http://schemas.openxmlformats.org/officeDocument/2006/relationships/hyperlink" Target="https://doi.org/10.48550/arXiv.2605.18661" TargetMode="External"/><Relationship Id="rId60" Type="http://schemas.openxmlformats.org/officeDocument/2006/relationships/hyperlink" Target="https://www.eco-business.com/press-releases/only-1-in-2-singaporeans-confident-organisations-will-meet-climate-goals-schneider-electric-survey/"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codelco.com/en/prensa/2026/codelco-reafirma-solidez-operativa-y-rol-estrategico-para-el-desarrollo"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1E17F5-D74E-4B23-966F-E0745DD8DF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22</Pages>
  <Words>4825</Words>
  <Characters>27503</Characters>
  <Application>Microsoft Office Word</Application>
  <DocSecurity>0</DocSecurity>
  <Lines>229</Lines>
  <Paragraphs>64</Paragraphs>
  <ScaleCrop>false</ScaleCrop>
  <Company/>
  <LinksUpToDate>false</LinksUpToDate>
  <CharactersWithSpaces>32264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Bending Moments</cp:lastModifiedBy>
  <cp:revision>13</cp:revision>
  <dcterms:created xsi:type="dcterms:W3CDTF">2026-07-07T17:12:00Z</dcterms:created>
  <dcterms:modified xsi:type="dcterms:W3CDTF">2026-07-11T21:46:00Z</dcterms:modified>
</cp:coreProperties>
</file>