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FF758" w14:textId="1763FDAC" w:rsidR="00FC21DB" w:rsidRDefault="006C4584" w:rsidP="00FC21DB">
      <w:pPr>
        <w:spacing w:line="360" w:lineRule="auto"/>
        <w:ind w:left="1440" w:firstLine="720"/>
        <w:rPr>
          <w:rFonts w:ascii="Arial" w:hAnsi="Arial" w:cs="Arial"/>
          <w:b/>
          <w:bCs/>
        </w:rPr>
      </w:pPr>
      <w:r>
        <w:rPr>
          <w:noProof/>
        </w:rPr>
        <w:drawing>
          <wp:anchor distT="0" distB="0" distL="114300" distR="114300" simplePos="0" relativeHeight="251659264" behindDoc="1" locked="0" layoutInCell="1" allowOverlap="1" wp14:anchorId="72077683" wp14:editId="3DECF7A2">
            <wp:simplePos x="0" y="0"/>
            <wp:positionH relativeFrom="column">
              <wp:posOffset>-518160</wp:posOffset>
            </wp:positionH>
            <wp:positionV relativeFrom="paragraph">
              <wp:posOffset>0</wp:posOffset>
            </wp:positionV>
            <wp:extent cx="2745740" cy="1219200"/>
            <wp:effectExtent l="0" t="0" r="0" b="0"/>
            <wp:wrapTight wrapText="bothSides">
              <wp:wrapPolygon edited="0">
                <wp:start x="0" y="0"/>
                <wp:lineTo x="0" y="21263"/>
                <wp:lineTo x="21430" y="21263"/>
                <wp:lineTo x="21430"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5740" cy="1219200"/>
                    </a:xfrm>
                    <a:prstGeom prst="rect">
                      <a:avLst/>
                    </a:prstGeom>
                    <a:noFill/>
                    <a:ln>
                      <a:noFill/>
                    </a:ln>
                  </pic:spPr>
                </pic:pic>
              </a:graphicData>
            </a:graphic>
          </wp:anchor>
        </w:drawing>
      </w:r>
    </w:p>
    <w:p w14:paraId="090C399F" w14:textId="77777777" w:rsidR="00FC21DB" w:rsidRDefault="00FC21DB" w:rsidP="00FC21DB">
      <w:pPr>
        <w:spacing w:line="360" w:lineRule="auto"/>
        <w:ind w:left="1440" w:firstLine="720"/>
        <w:rPr>
          <w:rFonts w:ascii="Arial" w:hAnsi="Arial" w:cs="Arial"/>
          <w:b/>
          <w:bCs/>
        </w:rPr>
      </w:pPr>
    </w:p>
    <w:p w14:paraId="53939511" w14:textId="77777777" w:rsidR="006C4584" w:rsidRDefault="00FC21DB" w:rsidP="00FC21DB">
      <w:pPr>
        <w:spacing w:line="360" w:lineRule="auto"/>
        <w:ind w:left="1440" w:firstLine="720"/>
        <w:rPr>
          <w:rFonts w:ascii="Arial" w:hAnsi="Arial" w:cs="Arial"/>
          <w:b/>
          <w:bCs/>
        </w:rPr>
      </w:pPr>
      <w:r>
        <w:rPr>
          <w:rFonts w:ascii="Arial" w:hAnsi="Arial" w:cs="Arial"/>
          <w:b/>
          <w:bCs/>
        </w:rPr>
        <w:tab/>
      </w:r>
    </w:p>
    <w:p w14:paraId="7BACA7F4" w14:textId="77777777" w:rsidR="006C4584" w:rsidRDefault="006C4584" w:rsidP="00FC21DB">
      <w:pPr>
        <w:spacing w:line="360" w:lineRule="auto"/>
        <w:ind w:left="1440" w:firstLine="720"/>
        <w:rPr>
          <w:rFonts w:ascii="Arial" w:hAnsi="Arial" w:cs="Arial"/>
          <w:b/>
          <w:bCs/>
        </w:rPr>
      </w:pPr>
    </w:p>
    <w:p w14:paraId="2D74097A" w14:textId="29B42DFC" w:rsidR="00FC21DB" w:rsidRPr="00E42BAE" w:rsidRDefault="00FC21DB" w:rsidP="006C4584">
      <w:pPr>
        <w:spacing w:line="360" w:lineRule="auto"/>
        <w:ind w:left="1440" w:firstLine="720"/>
        <w:jc w:val="center"/>
        <w:rPr>
          <w:rFonts w:ascii="Arial" w:hAnsi="Arial" w:cs="Arial"/>
          <w:b/>
          <w:bCs/>
          <w:sz w:val="24"/>
          <w:szCs w:val="24"/>
        </w:rPr>
      </w:pPr>
      <w:r w:rsidRPr="00E42BAE">
        <w:rPr>
          <w:rFonts w:ascii="Arial" w:hAnsi="Arial" w:cs="Arial"/>
          <w:b/>
          <w:bCs/>
          <w:sz w:val="24"/>
          <w:szCs w:val="24"/>
        </w:rPr>
        <w:t>Assignment 1</w:t>
      </w:r>
    </w:p>
    <w:p w14:paraId="579C4810" w14:textId="77777777" w:rsidR="00FC21DB" w:rsidRPr="00493B55" w:rsidRDefault="00FC21DB" w:rsidP="00FC21DB">
      <w:pPr>
        <w:spacing w:line="360" w:lineRule="auto"/>
        <w:rPr>
          <w:rFonts w:ascii="Arial" w:hAnsi="Arial" w:cs="Arial"/>
        </w:rPr>
      </w:pPr>
    </w:p>
    <w:p w14:paraId="2185773D" w14:textId="77777777" w:rsidR="00FC21DB" w:rsidRPr="00493B55" w:rsidRDefault="00FC21DB" w:rsidP="00FC21DB">
      <w:pPr>
        <w:spacing w:line="360" w:lineRule="auto"/>
        <w:rPr>
          <w:rFonts w:ascii="Arial" w:hAnsi="Arial" w:cs="Arial"/>
        </w:rPr>
      </w:pPr>
    </w:p>
    <w:p w14:paraId="183C2871" w14:textId="77777777" w:rsidR="00FC21DB" w:rsidRPr="005456E3" w:rsidRDefault="00FC21DB" w:rsidP="00FC21DB">
      <w:pPr>
        <w:spacing w:line="360" w:lineRule="auto"/>
        <w:rPr>
          <w:rFonts w:ascii="Arial" w:hAnsi="Arial" w:cs="Arial"/>
          <w:sz w:val="28"/>
          <w:szCs w:val="28"/>
        </w:rPr>
      </w:pPr>
    </w:p>
    <w:p w14:paraId="56E84340" w14:textId="77777777" w:rsidR="00FC21DB" w:rsidRPr="005456E3" w:rsidRDefault="00FC21DB" w:rsidP="00FC21DB">
      <w:pPr>
        <w:spacing w:line="360" w:lineRule="auto"/>
        <w:rPr>
          <w:rFonts w:ascii="Arial" w:hAnsi="Arial" w:cs="Arial"/>
          <w:sz w:val="28"/>
          <w:szCs w:val="28"/>
        </w:rPr>
      </w:pPr>
      <w:r>
        <w:rPr>
          <w:rFonts w:ascii="Arial" w:hAnsi="Arial" w:cs="Arial"/>
          <w:sz w:val="28"/>
          <w:szCs w:val="28"/>
        </w:rPr>
        <w:t xml:space="preserve">Name: Sanya Suneja </w:t>
      </w:r>
    </w:p>
    <w:p w14:paraId="2768E40A" w14:textId="77777777" w:rsidR="00FC21DB" w:rsidRPr="005456E3" w:rsidRDefault="00FC21DB" w:rsidP="00FC21DB">
      <w:pPr>
        <w:spacing w:line="360" w:lineRule="auto"/>
        <w:rPr>
          <w:rFonts w:ascii="Arial" w:hAnsi="Arial" w:cs="Arial"/>
          <w:sz w:val="28"/>
          <w:szCs w:val="28"/>
        </w:rPr>
      </w:pPr>
      <w:r>
        <w:rPr>
          <w:rFonts w:ascii="Arial" w:hAnsi="Arial" w:cs="Arial"/>
          <w:sz w:val="28"/>
          <w:szCs w:val="28"/>
        </w:rPr>
        <w:t>Student ID: 2234449</w:t>
      </w:r>
    </w:p>
    <w:p w14:paraId="7E011BC9" w14:textId="4BC070A6" w:rsidR="00FC21DB" w:rsidRPr="005456E3" w:rsidRDefault="00FC21DB" w:rsidP="00FC21DB">
      <w:pPr>
        <w:spacing w:line="360" w:lineRule="auto"/>
        <w:jc w:val="both"/>
        <w:rPr>
          <w:rFonts w:ascii="Arial" w:hAnsi="Arial" w:cs="Arial"/>
          <w:sz w:val="28"/>
          <w:szCs w:val="28"/>
        </w:rPr>
      </w:pPr>
      <w:r>
        <w:rPr>
          <w:rFonts w:ascii="Arial" w:hAnsi="Arial" w:cs="Arial"/>
          <w:sz w:val="28"/>
          <w:szCs w:val="28"/>
        </w:rPr>
        <w:t>Module Code: LCBB400</w:t>
      </w:r>
      <w:r w:rsidR="005516DB">
        <w:rPr>
          <w:rFonts w:ascii="Arial" w:hAnsi="Arial" w:cs="Arial"/>
          <w:sz w:val="28"/>
          <w:szCs w:val="28"/>
        </w:rPr>
        <w:t>1</w:t>
      </w:r>
    </w:p>
    <w:p w14:paraId="0B93EB27" w14:textId="13910A5E" w:rsidR="00FC21DB" w:rsidRPr="005456E3" w:rsidRDefault="00FC21DB" w:rsidP="00FC21DB">
      <w:pPr>
        <w:spacing w:line="360" w:lineRule="auto"/>
        <w:rPr>
          <w:rFonts w:ascii="Arial" w:hAnsi="Arial" w:cs="Arial"/>
          <w:sz w:val="28"/>
          <w:szCs w:val="28"/>
        </w:rPr>
      </w:pPr>
      <w:r>
        <w:rPr>
          <w:rFonts w:ascii="Arial" w:hAnsi="Arial" w:cs="Arial"/>
          <w:sz w:val="28"/>
          <w:szCs w:val="28"/>
        </w:rPr>
        <w:t xml:space="preserve">Module Name: Accounting </w:t>
      </w:r>
      <w:r w:rsidR="00A93A84">
        <w:rPr>
          <w:rFonts w:ascii="Arial" w:hAnsi="Arial" w:cs="Arial"/>
          <w:sz w:val="28"/>
          <w:szCs w:val="28"/>
        </w:rPr>
        <w:t>Fundamentals</w:t>
      </w:r>
    </w:p>
    <w:p w14:paraId="44B0F7D5" w14:textId="7D13D4E1" w:rsidR="00FC21DB" w:rsidRDefault="00FC21DB" w:rsidP="00FC21DB">
      <w:pPr>
        <w:spacing w:line="360" w:lineRule="auto"/>
        <w:rPr>
          <w:rFonts w:ascii="Arial" w:hAnsi="Arial" w:cs="Arial"/>
          <w:sz w:val="28"/>
          <w:szCs w:val="28"/>
        </w:rPr>
      </w:pPr>
      <w:r>
        <w:rPr>
          <w:rFonts w:ascii="Arial" w:hAnsi="Arial" w:cs="Arial"/>
          <w:sz w:val="28"/>
          <w:szCs w:val="28"/>
        </w:rPr>
        <w:t xml:space="preserve">Lecturer: </w:t>
      </w:r>
      <w:r w:rsidR="00A93A84">
        <w:rPr>
          <w:rFonts w:ascii="Arial" w:hAnsi="Arial" w:cs="Arial"/>
          <w:sz w:val="28"/>
          <w:szCs w:val="28"/>
        </w:rPr>
        <w:t>Konstantina Mari</w:t>
      </w:r>
    </w:p>
    <w:p w14:paraId="6B947EE3" w14:textId="418BE5D4" w:rsidR="00A93A84" w:rsidRPr="005456E3" w:rsidRDefault="00A93A84" w:rsidP="00FC21DB">
      <w:pPr>
        <w:spacing w:line="360" w:lineRule="auto"/>
        <w:rPr>
          <w:rFonts w:ascii="Arial" w:hAnsi="Arial" w:cs="Arial"/>
          <w:sz w:val="28"/>
          <w:szCs w:val="28"/>
        </w:rPr>
      </w:pPr>
      <w:r>
        <w:rPr>
          <w:rFonts w:ascii="Arial" w:hAnsi="Arial" w:cs="Arial"/>
          <w:sz w:val="28"/>
          <w:szCs w:val="28"/>
        </w:rPr>
        <w:t>Word Count: 2337</w:t>
      </w:r>
    </w:p>
    <w:p w14:paraId="09C830B5" w14:textId="542076DA" w:rsidR="00FC21DB" w:rsidRDefault="00FC21DB" w:rsidP="00FC21DB">
      <w:pPr>
        <w:tabs>
          <w:tab w:val="left" w:pos="3480"/>
        </w:tabs>
        <w:spacing w:line="360" w:lineRule="auto"/>
        <w:ind w:left="1440" w:firstLine="720"/>
        <w:rPr>
          <w:rFonts w:ascii="Arial" w:hAnsi="Arial" w:cs="Arial"/>
          <w:b/>
          <w:bCs/>
        </w:rPr>
      </w:pPr>
    </w:p>
    <w:p w14:paraId="45BA1C39" w14:textId="758BE8E0" w:rsidR="00FC21DB" w:rsidRPr="005456E3" w:rsidRDefault="00805F15" w:rsidP="00FC21DB">
      <w:pPr>
        <w:spacing w:line="360" w:lineRule="auto"/>
        <w:ind w:left="1440" w:firstLine="720"/>
        <w:rPr>
          <w:rFonts w:ascii="Arial" w:hAnsi="Arial" w:cs="Arial"/>
          <w:sz w:val="28"/>
          <w:szCs w:val="28"/>
        </w:rPr>
      </w:pPr>
      <w:r w:rsidRPr="00FC21DB">
        <w:rPr>
          <w:rFonts w:ascii="Arial" w:hAnsi="Arial" w:cs="Arial"/>
        </w:rPr>
        <w:br w:type="page"/>
      </w:r>
    </w:p>
    <w:p w14:paraId="314FDE1F" w14:textId="0FD9A095" w:rsidR="00805F15" w:rsidRPr="00805F15" w:rsidRDefault="00805F15">
      <w:pPr>
        <w:rPr>
          <w:rFonts w:ascii="Arial" w:hAnsi="Arial" w:cs="Arial"/>
        </w:rPr>
      </w:pPr>
    </w:p>
    <w:p w14:paraId="5B1F1634" w14:textId="5F0DD922" w:rsidR="00E30FBF" w:rsidRDefault="00E30FBF">
      <w:pPr>
        <w:rPr>
          <w:rFonts w:ascii="Arial" w:hAnsi="Arial" w:cs="Arial"/>
          <w:b/>
          <w:bCs/>
        </w:rPr>
      </w:pPr>
      <w:r>
        <w:rPr>
          <w:rFonts w:ascii="Arial" w:hAnsi="Arial" w:cs="Arial"/>
          <w:b/>
          <w:bCs/>
        </w:rPr>
        <w:t>Table of Contents:</w:t>
      </w:r>
    </w:p>
    <w:p w14:paraId="6E5B46ED" w14:textId="77777777" w:rsidR="00E30FBF" w:rsidRDefault="00E30FBF">
      <w:pPr>
        <w:rPr>
          <w:rFonts w:ascii="Arial" w:hAnsi="Arial" w:cs="Arial"/>
          <w:b/>
          <w:bCs/>
        </w:rPr>
      </w:pPr>
    </w:p>
    <w:p w14:paraId="7380C361" w14:textId="3DF50429" w:rsidR="00E30FBF" w:rsidRDefault="00E30FBF" w:rsidP="00E30FBF">
      <w:pPr>
        <w:pStyle w:val="ListParagraph"/>
        <w:numPr>
          <w:ilvl w:val="0"/>
          <w:numId w:val="6"/>
        </w:numPr>
        <w:rPr>
          <w:rFonts w:ascii="Arial" w:hAnsi="Arial" w:cs="Arial"/>
          <w:b/>
          <w:bCs/>
        </w:rPr>
      </w:pPr>
      <w:r>
        <w:rPr>
          <w:rFonts w:ascii="Arial" w:hAnsi="Arial" w:cs="Arial"/>
          <w:b/>
          <w:bCs/>
        </w:rPr>
        <w:t>Introduction…………………………………………………….</w:t>
      </w:r>
      <w:r w:rsidR="00435390">
        <w:rPr>
          <w:rFonts w:ascii="Arial" w:hAnsi="Arial" w:cs="Arial"/>
          <w:b/>
          <w:bCs/>
        </w:rPr>
        <w:t xml:space="preserve"> 3</w:t>
      </w:r>
    </w:p>
    <w:p w14:paraId="2660981F" w14:textId="790952BC" w:rsidR="003A3DE8" w:rsidRDefault="003A3DE8" w:rsidP="00E30FBF">
      <w:pPr>
        <w:pStyle w:val="ListParagraph"/>
        <w:numPr>
          <w:ilvl w:val="0"/>
          <w:numId w:val="6"/>
        </w:numPr>
        <w:rPr>
          <w:rFonts w:ascii="Arial" w:hAnsi="Arial" w:cs="Arial"/>
          <w:b/>
          <w:bCs/>
        </w:rPr>
      </w:pPr>
      <w:r>
        <w:rPr>
          <w:rFonts w:ascii="Arial" w:hAnsi="Arial" w:cs="Arial"/>
          <w:b/>
          <w:bCs/>
        </w:rPr>
        <w:t>Question1. …………………………………………………</w:t>
      </w:r>
      <w:r w:rsidR="00805F15">
        <w:rPr>
          <w:rFonts w:ascii="Arial" w:hAnsi="Arial" w:cs="Arial"/>
          <w:b/>
          <w:bCs/>
        </w:rPr>
        <w:t>….</w:t>
      </w:r>
      <w:r w:rsidR="00435390">
        <w:rPr>
          <w:rFonts w:ascii="Arial" w:hAnsi="Arial" w:cs="Arial"/>
          <w:b/>
          <w:bCs/>
        </w:rPr>
        <w:t xml:space="preserve">3 </w:t>
      </w:r>
    </w:p>
    <w:p w14:paraId="5003868D" w14:textId="0A593A42" w:rsidR="003A3DE8" w:rsidRDefault="003A3DE8" w:rsidP="00E30FBF">
      <w:pPr>
        <w:pStyle w:val="ListParagraph"/>
        <w:numPr>
          <w:ilvl w:val="0"/>
          <w:numId w:val="6"/>
        </w:numPr>
        <w:rPr>
          <w:rFonts w:ascii="Arial" w:hAnsi="Arial" w:cs="Arial"/>
          <w:b/>
          <w:bCs/>
        </w:rPr>
      </w:pPr>
      <w:r>
        <w:rPr>
          <w:rFonts w:ascii="Arial" w:hAnsi="Arial" w:cs="Arial"/>
          <w:b/>
          <w:bCs/>
        </w:rPr>
        <w:t>Question2. ……………………………………………………</w:t>
      </w:r>
      <w:r w:rsidR="00435390">
        <w:rPr>
          <w:rFonts w:ascii="Arial" w:hAnsi="Arial" w:cs="Arial"/>
          <w:b/>
          <w:bCs/>
        </w:rPr>
        <w:t>5</w:t>
      </w:r>
    </w:p>
    <w:p w14:paraId="1CEC178F" w14:textId="7585BAC9" w:rsidR="00435390" w:rsidRDefault="003A3DE8" w:rsidP="00E30FBF">
      <w:pPr>
        <w:pStyle w:val="ListParagraph"/>
        <w:numPr>
          <w:ilvl w:val="0"/>
          <w:numId w:val="6"/>
        </w:numPr>
        <w:rPr>
          <w:rFonts w:ascii="Arial" w:hAnsi="Arial" w:cs="Arial"/>
          <w:b/>
          <w:bCs/>
        </w:rPr>
      </w:pPr>
      <w:r>
        <w:rPr>
          <w:rFonts w:ascii="Arial" w:hAnsi="Arial" w:cs="Arial"/>
          <w:b/>
          <w:bCs/>
        </w:rPr>
        <w:t xml:space="preserve"> </w:t>
      </w:r>
      <w:r w:rsidR="00435390">
        <w:rPr>
          <w:rFonts w:ascii="Arial" w:hAnsi="Arial" w:cs="Arial"/>
          <w:b/>
          <w:bCs/>
        </w:rPr>
        <w:t>Question3. ………………………………………………….</w:t>
      </w:r>
      <w:r w:rsidR="00805F15">
        <w:rPr>
          <w:rFonts w:ascii="Arial" w:hAnsi="Arial" w:cs="Arial"/>
          <w:b/>
          <w:bCs/>
        </w:rPr>
        <w:t>7</w:t>
      </w:r>
    </w:p>
    <w:p w14:paraId="6CDEB4A4" w14:textId="2440A530" w:rsidR="00435390" w:rsidRDefault="00435390" w:rsidP="00E30FBF">
      <w:pPr>
        <w:pStyle w:val="ListParagraph"/>
        <w:numPr>
          <w:ilvl w:val="0"/>
          <w:numId w:val="6"/>
        </w:numPr>
        <w:rPr>
          <w:rFonts w:ascii="Arial" w:hAnsi="Arial" w:cs="Arial"/>
          <w:b/>
          <w:bCs/>
        </w:rPr>
      </w:pPr>
      <w:r>
        <w:rPr>
          <w:rFonts w:ascii="Arial" w:hAnsi="Arial" w:cs="Arial"/>
          <w:b/>
          <w:bCs/>
        </w:rPr>
        <w:t xml:space="preserve"> Conclusion………………………………………………….</w:t>
      </w:r>
      <w:r w:rsidR="00805F15">
        <w:rPr>
          <w:rFonts w:ascii="Arial" w:hAnsi="Arial" w:cs="Arial"/>
          <w:b/>
          <w:bCs/>
        </w:rPr>
        <w:t>10</w:t>
      </w:r>
    </w:p>
    <w:p w14:paraId="1D955266" w14:textId="5640B1E3" w:rsidR="00E30FBF" w:rsidRPr="00E30FBF" w:rsidRDefault="00435390" w:rsidP="00E30FBF">
      <w:pPr>
        <w:pStyle w:val="ListParagraph"/>
        <w:numPr>
          <w:ilvl w:val="0"/>
          <w:numId w:val="6"/>
        </w:numPr>
        <w:rPr>
          <w:rFonts w:ascii="Arial" w:hAnsi="Arial" w:cs="Arial"/>
          <w:b/>
          <w:bCs/>
        </w:rPr>
      </w:pPr>
      <w:r>
        <w:rPr>
          <w:rFonts w:ascii="Arial" w:hAnsi="Arial" w:cs="Arial"/>
          <w:b/>
          <w:bCs/>
        </w:rPr>
        <w:t xml:space="preserve"> References………………………………………………………</w:t>
      </w:r>
      <w:r w:rsidR="00805F15">
        <w:rPr>
          <w:rFonts w:ascii="Arial" w:hAnsi="Arial" w:cs="Arial"/>
          <w:b/>
          <w:bCs/>
        </w:rPr>
        <w:t>11</w:t>
      </w:r>
      <w:r w:rsidR="00E30FBF" w:rsidRPr="00E30FBF">
        <w:rPr>
          <w:rFonts w:ascii="Arial" w:hAnsi="Arial" w:cs="Arial"/>
          <w:b/>
          <w:bCs/>
        </w:rPr>
        <w:br w:type="page"/>
      </w:r>
    </w:p>
    <w:p w14:paraId="17FA63AA" w14:textId="01B87CB8" w:rsidR="00052DD8" w:rsidRPr="00052DD8" w:rsidRDefault="00052DD8" w:rsidP="00733B59">
      <w:pPr>
        <w:spacing w:line="360" w:lineRule="auto"/>
        <w:rPr>
          <w:rFonts w:ascii="Arial" w:hAnsi="Arial" w:cs="Arial"/>
        </w:rPr>
      </w:pPr>
      <w:r w:rsidRPr="00052DD8">
        <w:rPr>
          <w:rFonts w:ascii="Arial" w:hAnsi="Arial" w:cs="Arial"/>
          <w:b/>
          <w:bCs/>
        </w:rPr>
        <w:t>Introduction: Navigating the Financial Landscape</w:t>
      </w:r>
    </w:p>
    <w:p w14:paraId="7BCE1F36" w14:textId="501D4579" w:rsidR="00052DD8" w:rsidRPr="00052DD8" w:rsidRDefault="00052DD8" w:rsidP="00733B59">
      <w:pPr>
        <w:spacing w:line="360" w:lineRule="auto"/>
        <w:rPr>
          <w:rFonts w:ascii="Arial" w:hAnsi="Arial" w:cs="Arial"/>
        </w:rPr>
      </w:pPr>
      <w:r w:rsidRPr="00052DD8">
        <w:rPr>
          <w:rFonts w:ascii="Arial" w:hAnsi="Arial" w:cs="Arial"/>
        </w:rPr>
        <w:t>In the intricate realm of finance, understanding key concepts and dispelling misconceptions is crucial for stakeholders seeking a clear view of a company's financial health. This exploration delves into common misunderstandings surrounding financial statements, ethical considerations in reporting, the role of regulations, and the importance of accurate adjustments. We embark on a journey through the financial landscapes of diverse companies, examining the nuances of financial ratios, adjustments in financial statements, and the broader context of financial literacy. As we navigate these complexities, the goal is to shed light on the intricacies of financial understanding, emphasizing the significance of transparency, accuracy, and continuous learning in the ever-evolving world of finance</w:t>
      </w:r>
      <w:r w:rsidR="00145C38" w:rsidRPr="00145C38">
        <w:rPr>
          <w:rFonts w:ascii="Times New Roman" w:eastAsia="Times New Roman" w:hAnsi="Times New Roman" w:cs="Times New Roman"/>
          <w:color w:val="000000" w:themeColor="text1"/>
          <w:sz w:val="24"/>
          <w:szCs w:val="24"/>
        </w:rPr>
        <w:t xml:space="preserve"> </w:t>
      </w:r>
      <w:r w:rsidR="00145C38">
        <w:rPr>
          <w:rFonts w:ascii="Times New Roman" w:eastAsia="Times New Roman" w:hAnsi="Times New Roman" w:cs="Times New Roman"/>
          <w:color w:val="000000" w:themeColor="text1"/>
          <w:sz w:val="24"/>
          <w:szCs w:val="24"/>
        </w:rPr>
        <w:t>(</w:t>
      </w:r>
      <w:r w:rsidR="00145C38">
        <w:rPr>
          <w:rFonts w:ascii="Times New Roman" w:eastAsia="Times New Roman" w:hAnsi="Times New Roman" w:cs="Times New Roman"/>
          <w:color w:val="000000" w:themeColor="text1"/>
          <w:sz w:val="24"/>
          <w:szCs w:val="24"/>
          <w:highlight w:val="white"/>
        </w:rPr>
        <w:t xml:space="preserve">Warren, </w:t>
      </w:r>
      <w:r w:rsidR="00145C38">
        <w:rPr>
          <w:rFonts w:ascii="Times New Roman" w:eastAsia="Times New Roman" w:hAnsi="Times New Roman" w:cs="Times New Roman"/>
          <w:i/>
          <w:color w:val="000000" w:themeColor="text1"/>
          <w:sz w:val="24"/>
          <w:szCs w:val="24"/>
          <w:highlight w:val="white"/>
        </w:rPr>
        <w:t xml:space="preserve">et al., </w:t>
      </w:r>
      <w:r w:rsidR="00145C38">
        <w:rPr>
          <w:rFonts w:ascii="Times New Roman" w:eastAsia="Times New Roman" w:hAnsi="Times New Roman" w:cs="Times New Roman"/>
          <w:color w:val="000000" w:themeColor="text1"/>
          <w:sz w:val="24"/>
          <w:szCs w:val="24"/>
          <w:highlight w:val="white"/>
        </w:rPr>
        <w:t>2020</w:t>
      </w:r>
      <w:r w:rsidR="00145C38">
        <w:rPr>
          <w:rFonts w:ascii="Times New Roman" w:eastAsia="Times New Roman" w:hAnsi="Times New Roman" w:cs="Times New Roman"/>
          <w:color w:val="000000" w:themeColor="text1"/>
          <w:sz w:val="24"/>
          <w:szCs w:val="24"/>
        </w:rPr>
        <w:t>)</w:t>
      </w:r>
      <w:r w:rsidRPr="00052DD8">
        <w:rPr>
          <w:rFonts w:ascii="Arial" w:hAnsi="Arial" w:cs="Arial"/>
        </w:rPr>
        <w:t>.</w:t>
      </w:r>
    </w:p>
    <w:p w14:paraId="6666E841" w14:textId="77777777" w:rsidR="005C1B75" w:rsidRPr="00733B59" w:rsidRDefault="005C1B75" w:rsidP="00733B59">
      <w:pPr>
        <w:spacing w:line="360" w:lineRule="auto"/>
        <w:rPr>
          <w:rFonts w:ascii="Arial" w:hAnsi="Arial" w:cs="Arial"/>
        </w:rPr>
      </w:pPr>
      <w:r w:rsidRPr="00733B59">
        <w:rPr>
          <w:rFonts w:ascii="Arial" w:hAnsi="Arial" w:cs="Arial"/>
        </w:rPr>
        <w:t xml:space="preserve">Question 1. </w:t>
      </w:r>
    </w:p>
    <w:p w14:paraId="28085B1E" w14:textId="19DA4A73" w:rsidR="00614D0C" w:rsidRPr="00733B59" w:rsidRDefault="00614D0C" w:rsidP="00733B59">
      <w:pPr>
        <w:spacing w:line="360" w:lineRule="auto"/>
        <w:rPr>
          <w:rFonts w:ascii="Arial" w:hAnsi="Arial" w:cs="Arial"/>
        </w:rPr>
      </w:pPr>
      <w:r w:rsidRPr="00733B59">
        <w:rPr>
          <w:rFonts w:ascii="Arial" w:hAnsi="Arial" w:cs="Arial"/>
        </w:rPr>
        <w:t xml:space="preserve">You have been talking to someone who had read a few chapters of an accounting text some years ago. During your conversation the person made the following statements: </w:t>
      </w:r>
    </w:p>
    <w:p w14:paraId="16418874" w14:textId="42C1A282" w:rsidR="00D050C7" w:rsidRPr="00733B59" w:rsidRDefault="00614D0C" w:rsidP="00733B59">
      <w:pPr>
        <w:pStyle w:val="ListParagraph"/>
        <w:numPr>
          <w:ilvl w:val="0"/>
          <w:numId w:val="1"/>
        </w:numPr>
        <w:spacing w:line="360" w:lineRule="auto"/>
        <w:rPr>
          <w:rFonts w:ascii="Arial" w:hAnsi="Arial" w:cs="Arial"/>
        </w:rPr>
      </w:pPr>
      <w:r w:rsidRPr="00733B59">
        <w:rPr>
          <w:rFonts w:ascii="Arial" w:hAnsi="Arial" w:cs="Arial"/>
        </w:rPr>
        <w:t>The statement of financial position shows how much cash has come into and left the business during the accounting period and the resulting balance at the end of the period.</w:t>
      </w:r>
    </w:p>
    <w:p w14:paraId="4B3D6B27" w14:textId="0D2D5E72" w:rsidR="00614D0C" w:rsidRPr="00733B59" w:rsidRDefault="00614D0C" w:rsidP="00733B59">
      <w:pPr>
        <w:spacing w:line="360" w:lineRule="auto"/>
        <w:rPr>
          <w:rFonts w:ascii="Arial" w:hAnsi="Arial" w:cs="Arial"/>
        </w:rPr>
      </w:pPr>
      <w:r w:rsidRPr="00733B59">
        <w:rPr>
          <w:rFonts w:ascii="Arial" w:hAnsi="Arial" w:cs="Arial"/>
        </w:rPr>
        <w:t xml:space="preserve">The statement of financial position, also known as </w:t>
      </w:r>
      <w:r w:rsidR="00293CE9" w:rsidRPr="00733B59">
        <w:rPr>
          <w:rFonts w:ascii="Arial" w:hAnsi="Arial" w:cs="Arial"/>
        </w:rPr>
        <w:t>the balance</w:t>
      </w:r>
      <w:r w:rsidRPr="00733B59">
        <w:rPr>
          <w:rFonts w:ascii="Arial" w:hAnsi="Arial" w:cs="Arial"/>
        </w:rPr>
        <w:t xml:space="preserve"> </w:t>
      </w:r>
      <w:r w:rsidR="00293CE9" w:rsidRPr="00733B59">
        <w:rPr>
          <w:rFonts w:ascii="Arial" w:hAnsi="Arial" w:cs="Arial"/>
        </w:rPr>
        <w:t>sheet,</w:t>
      </w:r>
      <w:r w:rsidRPr="00733B59">
        <w:rPr>
          <w:rFonts w:ascii="Arial" w:hAnsi="Arial" w:cs="Arial"/>
        </w:rPr>
        <w:t xml:space="preserve"> offers a momentary overview of a company’s financial position. It encompasses assets liabilities</w:t>
      </w:r>
      <w:r w:rsidR="00293CE9" w:rsidRPr="00733B59">
        <w:rPr>
          <w:rFonts w:ascii="Arial" w:hAnsi="Arial" w:cs="Arial"/>
        </w:rPr>
        <w:t xml:space="preserve">, and equity, yet it does not delve into the specifics of cash flows throughout the accounting period. To gain a comprehensive understanding of cash movements, individuals typically turn to the statement of cash flows. This financial document delineates the inflow and outflow of cash within the business, providing a detailed account of how cash has been generated and utilized over a specific </w:t>
      </w:r>
      <w:r w:rsidR="00EE511D" w:rsidRPr="00733B59">
        <w:rPr>
          <w:rFonts w:ascii="Arial" w:hAnsi="Arial" w:cs="Arial"/>
        </w:rPr>
        <w:t xml:space="preserve">timeframe. Thus, this statement is incorrect. </w:t>
      </w:r>
    </w:p>
    <w:p w14:paraId="668911C0" w14:textId="19F930F2" w:rsidR="009F36A0" w:rsidRPr="00733B59" w:rsidRDefault="009F36A0" w:rsidP="00733B59">
      <w:pPr>
        <w:pStyle w:val="ListParagraph"/>
        <w:numPr>
          <w:ilvl w:val="0"/>
          <w:numId w:val="1"/>
        </w:numPr>
        <w:spacing w:line="360" w:lineRule="auto"/>
        <w:rPr>
          <w:rFonts w:ascii="Arial" w:hAnsi="Arial" w:cs="Arial"/>
        </w:rPr>
      </w:pPr>
      <w:r w:rsidRPr="00733B59">
        <w:rPr>
          <w:rFonts w:ascii="Arial" w:hAnsi="Arial" w:cs="Arial"/>
          <w:color w:val="0F0F0F"/>
        </w:rPr>
        <w:t>Non-current assets are things that cannot be moved.</w:t>
      </w:r>
    </w:p>
    <w:p w14:paraId="0B08D394" w14:textId="2C9F4584" w:rsidR="009F36A0" w:rsidRPr="00733B59" w:rsidRDefault="009F36A0" w:rsidP="00733B59">
      <w:pPr>
        <w:spacing w:line="360" w:lineRule="auto"/>
        <w:rPr>
          <w:rFonts w:ascii="Arial" w:hAnsi="Arial" w:cs="Arial"/>
        </w:rPr>
      </w:pPr>
      <w:r w:rsidRPr="00733B59">
        <w:rPr>
          <w:rFonts w:ascii="Arial" w:hAnsi="Arial" w:cs="Arial"/>
        </w:rPr>
        <w:t>Non-current assets, such as property, plant, and equipment, encompasses items with a prolonged useful life. The classification is not contingent on mobility; hence, assets like machinery or vehicles, though movable, fall under this category. The term “non-current” emphasizes the long- term utility of these assets rather than their physical mobility. This statement is inaccurate</w:t>
      </w:r>
      <w:r w:rsidR="00743F40" w:rsidRPr="00743F40">
        <w:rPr>
          <w:rFonts w:ascii="Times New Roman" w:eastAsia="Times New Roman" w:hAnsi="Times New Roman" w:cs="Times New Roman"/>
          <w:color w:val="000000" w:themeColor="text1"/>
          <w:sz w:val="24"/>
          <w:szCs w:val="24"/>
          <w:highlight w:val="white"/>
        </w:rPr>
        <w:t xml:space="preserve"> </w:t>
      </w:r>
      <w:r w:rsidR="00743F40">
        <w:rPr>
          <w:rFonts w:ascii="Times New Roman" w:eastAsia="Times New Roman" w:hAnsi="Times New Roman" w:cs="Times New Roman"/>
          <w:color w:val="000000" w:themeColor="text1"/>
          <w:sz w:val="24"/>
          <w:szCs w:val="24"/>
          <w:highlight w:val="white"/>
        </w:rPr>
        <w:t>(</w:t>
      </w:r>
      <w:proofErr w:type="spellStart"/>
      <w:r w:rsidR="00743F40">
        <w:rPr>
          <w:rFonts w:ascii="Times New Roman" w:eastAsia="Times New Roman" w:hAnsi="Times New Roman" w:cs="Times New Roman"/>
          <w:color w:val="000000" w:themeColor="text1"/>
          <w:sz w:val="24"/>
          <w:szCs w:val="24"/>
          <w:highlight w:val="white"/>
        </w:rPr>
        <w:t>Marmul</w:t>
      </w:r>
      <w:proofErr w:type="spellEnd"/>
      <w:r w:rsidR="00743F40">
        <w:rPr>
          <w:rFonts w:ascii="Times New Roman" w:eastAsia="Times New Roman" w:hAnsi="Times New Roman" w:cs="Times New Roman"/>
          <w:color w:val="000000" w:themeColor="text1"/>
          <w:sz w:val="24"/>
          <w:szCs w:val="24"/>
          <w:highlight w:val="white"/>
        </w:rPr>
        <w:t xml:space="preserve"> &amp; Kucherenko, 2021</w:t>
      </w:r>
      <w:r w:rsidR="00743F40">
        <w:rPr>
          <w:rFonts w:ascii="Times New Roman" w:eastAsia="Times New Roman" w:hAnsi="Times New Roman" w:cs="Times New Roman"/>
          <w:color w:val="000000" w:themeColor="text1"/>
          <w:sz w:val="24"/>
          <w:szCs w:val="24"/>
        </w:rPr>
        <w:t>)</w:t>
      </w:r>
      <w:r w:rsidRPr="00733B59">
        <w:rPr>
          <w:rFonts w:ascii="Arial" w:hAnsi="Arial" w:cs="Arial"/>
        </w:rPr>
        <w:t xml:space="preserve">. </w:t>
      </w:r>
    </w:p>
    <w:p w14:paraId="51B65A78" w14:textId="69C95623" w:rsidR="00B75B89" w:rsidRPr="00733B59" w:rsidRDefault="0086085D" w:rsidP="00733B59">
      <w:pPr>
        <w:pStyle w:val="ListParagraph"/>
        <w:numPr>
          <w:ilvl w:val="0"/>
          <w:numId w:val="1"/>
        </w:numPr>
        <w:spacing w:line="360" w:lineRule="auto"/>
        <w:rPr>
          <w:rFonts w:ascii="Arial" w:hAnsi="Arial" w:cs="Arial"/>
        </w:rPr>
      </w:pPr>
      <w:r w:rsidRPr="00733B59">
        <w:rPr>
          <w:rFonts w:ascii="Arial" w:hAnsi="Arial" w:cs="Arial"/>
        </w:rPr>
        <w:t xml:space="preserve">Managers should only supply financial information to the current shareholders of </w:t>
      </w:r>
      <w:r w:rsidR="00A837BE" w:rsidRPr="00733B59">
        <w:rPr>
          <w:rFonts w:ascii="Arial" w:hAnsi="Arial" w:cs="Arial"/>
        </w:rPr>
        <w:t>the company</w:t>
      </w:r>
      <w:r w:rsidRPr="00733B59">
        <w:rPr>
          <w:rFonts w:ascii="Arial" w:hAnsi="Arial" w:cs="Arial"/>
        </w:rPr>
        <w:t xml:space="preserve">. </w:t>
      </w:r>
    </w:p>
    <w:p w14:paraId="0E31AEB5" w14:textId="0E9E48D6" w:rsidR="00045A6F" w:rsidRPr="00733B59" w:rsidRDefault="00045A6F" w:rsidP="00733B59">
      <w:pPr>
        <w:spacing w:line="360" w:lineRule="auto"/>
        <w:ind w:left="360"/>
        <w:rPr>
          <w:rFonts w:ascii="Arial" w:hAnsi="Arial" w:cs="Arial"/>
        </w:rPr>
      </w:pPr>
      <w:r w:rsidRPr="00733B59">
        <w:rPr>
          <w:rFonts w:ascii="Arial" w:hAnsi="Arial" w:cs="Arial"/>
        </w:rPr>
        <w:t xml:space="preserve">It is an ethical obligation for managers to furnish financial information to every </w:t>
      </w:r>
      <w:r w:rsidR="00A837BE" w:rsidRPr="00733B59">
        <w:rPr>
          <w:rFonts w:ascii="Arial" w:hAnsi="Arial" w:cs="Arial"/>
        </w:rPr>
        <w:t>shareholder, guaranteeing</w:t>
      </w:r>
      <w:r w:rsidRPr="00733B59">
        <w:rPr>
          <w:rFonts w:ascii="Arial" w:hAnsi="Arial" w:cs="Arial"/>
        </w:rPr>
        <w:t xml:space="preserve"> transparency and facilitating well- informed decision making. This duty is not confined to existing </w:t>
      </w:r>
      <w:r w:rsidR="00A837BE" w:rsidRPr="00733B59">
        <w:rPr>
          <w:rFonts w:ascii="Arial" w:hAnsi="Arial" w:cs="Arial"/>
        </w:rPr>
        <w:t>shareholders</w:t>
      </w:r>
      <w:r w:rsidR="008B3128" w:rsidRPr="00733B59">
        <w:rPr>
          <w:rFonts w:ascii="Arial" w:hAnsi="Arial" w:cs="Arial"/>
        </w:rPr>
        <w:t xml:space="preserve"> but encompasses prospective ones as well. Accurate financial </w:t>
      </w:r>
      <w:r w:rsidR="00A837BE" w:rsidRPr="00733B59">
        <w:rPr>
          <w:rFonts w:ascii="Arial" w:hAnsi="Arial" w:cs="Arial"/>
        </w:rPr>
        <w:t>reporting</w:t>
      </w:r>
      <w:r w:rsidR="008B3128" w:rsidRPr="00733B59">
        <w:rPr>
          <w:rFonts w:ascii="Arial" w:hAnsi="Arial" w:cs="Arial"/>
        </w:rPr>
        <w:t xml:space="preserve"> is pivotal in upholding </w:t>
      </w:r>
      <w:r w:rsidR="00A837BE" w:rsidRPr="00733B59">
        <w:rPr>
          <w:rFonts w:ascii="Arial" w:hAnsi="Arial" w:cs="Arial"/>
        </w:rPr>
        <w:t>investors’</w:t>
      </w:r>
      <w:r w:rsidR="008B3128" w:rsidRPr="00733B59">
        <w:rPr>
          <w:rFonts w:ascii="Arial" w:hAnsi="Arial" w:cs="Arial"/>
        </w:rPr>
        <w:t xml:space="preserve"> </w:t>
      </w:r>
      <w:r w:rsidR="00FF2CF2" w:rsidRPr="00733B59">
        <w:rPr>
          <w:rFonts w:ascii="Arial" w:hAnsi="Arial" w:cs="Arial"/>
        </w:rPr>
        <w:t>trust and providing the equitable assessment of a company’s share value. In essence</w:t>
      </w:r>
      <w:r w:rsidR="0066188F" w:rsidRPr="00733B59">
        <w:rPr>
          <w:rFonts w:ascii="Arial" w:hAnsi="Arial" w:cs="Arial"/>
        </w:rPr>
        <w:t xml:space="preserve">, managers are entrusted with the possibility to provide </w:t>
      </w:r>
      <w:r w:rsidR="00A837BE" w:rsidRPr="00733B59">
        <w:rPr>
          <w:rFonts w:ascii="Arial" w:hAnsi="Arial" w:cs="Arial"/>
        </w:rPr>
        <w:t>comprehensive</w:t>
      </w:r>
      <w:r w:rsidR="0066188F" w:rsidRPr="00733B59">
        <w:rPr>
          <w:rFonts w:ascii="Arial" w:hAnsi="Arial" w:cs="Arial"/>
        </w:rPr>
        <w:t xml:space="preserve"> financial data, ensuring that both curren</w:t>
      </w:r>
      <w:r w:rsidR="00737CEB" w:rsidRPr="00733B59">
        <w:rPr>
          <w:rFonts w:ascii="Arial" w:hAnsi="Arial" w:cs="Arial"/>
        </w:rPr>
        <w:t xml:space="preserve">t and potential shareholders have access to </w:t>
      </w:r>
      <w:r w:rsidR="00A837BE" w:rsidRPr="00733B59">
        <w:rPr>
          <w:rFonts w:ascii="Arial" w:hAnsi="Arial" w:cs="Arial"/>
        </w:rPr>
        <w:t xml:space="preserve">the information necessary for making informed decisions and evaluating the company’s worth fairly. </w:t>
      </w:r>
      <w:r w:rsidR="00F36958" w:rsidRPr="00733B59">
        <w:rPr>
          <w:rFonts w:ascii="Arial" w:hAnsi="Arial" w:cs="Arial"/>
        </w:rPr>
        <w:t xml:space="preserve">Therefore, the </w:t>
      </w:r>
      <w:r w:rsidR="006A2A50" w:rsidRPr="00733B59">
        <w:rPr>
          <w:rFonts w:ascii="Arial" w:hAnsi="Arial" w:cs="Arial"/>
        </w:rPr>
        <w:t>statement</w:t>
      </w:r>
      <w:r w:rsidR="00F36958" w:rsidRPr="00733B59">
        <w:rPr>
          <w:rFonts w:ascii="Arial" w:hAnsi="Arial" w:cs="Arial"/>
        </w:rPr>
        <w:t xml:space="preserve"> is incor</w:t>
      </w:r>
      <w:r w:rsidR="006A2A50" w:rsidRPr="00733B59">
        <w:rPr>
          <w:rFonts w:ascii="Arial" w:hAnsi="Arial" w:cs="Arial"/>
        </w:rPr>
        <w:t xml:space="preserve">rect. </w:t>
      </w:r>
    </w:p>
    <w:p w14:paraId="2EC2DAF9" w14:textId="77777777" w:rsidR="006A2A50" w:rsidRPr="00733B59" w:rsidRDefault="006A2A50" w:rsidP="00733B59">
      <w:pPr>
        <w:spacing w:line="360" w:lineRule="auto"/>
        <w:ind w:left="360"/>
        <w:rPr>
          <w:rFonts w:ascii="Arial" w:hAnsi="Arial" w:cs="Arial"/>
        </w:rPr>
      </w:pPr>
    </w:p>
    <w:p w14:paraId="22AE2D20" w14:textId="4A70880E" w:rsidR="006A2A50" w:rsidRPr="00733B59" w:rsidRDefault="006A2A50" w:rsidP="00733B59">
      <w:pPr>
        <w:pStyle w:val="ListParagraph"/>
        <w:numPr>
          <w:ilvl w:val="0"/>
          <w:numId w:val="1"/>
        </w:numPr>
        <w:spacing w:line="360" w:lineRule="auto"/>
        <w:rPr>
          <w:rFonts w:ascii="Arial" w:hAnsi="Arial" w:cs="Arial"/>
        </w:rPr>
      </w:pPr>
      <w:r w:rsidRPr="00733B59">
        <w:rPr>
          <w:rFonts w:ascii="Arial" w:hAnsi="Arial" w:cs="Arial"/>
        </w:rPr>
        <w:t xml:space="preserve">No need to include prepayments and accruals </w:t>
      </w:r>
      <w:r w:rsidR="00560D05" w:rsidRPr="00733B59">
        <w:rPr>
          <w:rFonts w:ascii="Arial" w:hAnsi="Arial" w:cs="Arial"/>
        </w:rPr>
        <w:t>in</w:t>
      </w:r>
      <w:r w:rsidRPr="00733B59">
        <w:rPr>
          <w:rFonts w:ascii="Arial" w:hAnsi="Arial" w:cs="Arial"/>
        </w:rPr>
        <w:t xml:space="preserve"> the statement of financial position. </w:t>
      </w:r>
    </w:p>
    <w:p w14:paraId="2704FF7F" w14:textId="38C6E8BA" w:rsidR="00560D05" w:rsidRPr="00733B59" w:rsidRDefault="00560D05" w:rsidP="00733B59">
      <w:pPr>
        <w:spacing w:line="360" w:lineRule="auto"/>
        <w:rPr>
          <w:rFonts w:ascii="Arial" w:hAnsi="Arial" w:cs="Arial"/>
        </w:rPr>
      </w:pPr>
      <w:r w:rsidRPr="00733B59">
        <w:rPr>
          <w:rFonts w:ascii="Arial" w:hAnsi="Arial" w:cs="Arial"/>
        </w:rPr>
        <w:t xml:space="preserve">Adjustments involving prepayments and </w:t>
      </w:r>
      <w:r w:rsidR="00E665CD" w:rsidRPr="00733B59">
        <w:rPr>
          <w:rFonts w:ascii="Arial" w:hAnsi="Arial" w:cs="Arial"/>
        </w:rPr>
        <w:t xml:space="preserve">accruals play a vital role in guaranteeing the precision of financial reporting. In </w:t>
      </w:r>
      <w:r w:rsidR="00B73DAC" w:rsidRPr="00733B59">
        <w:rPr>
          <w:rFonts w:ascii="Arial" w:hAnsi="Arial" w:cs="Arial"/>
        </w:rPr>
        <w:t xml:space="preserve">contrast to the given statement, these modifications </w:t>
      </w:r>
      <w:r w:rsidR="00FF5DA3" w:rsidRPr="00733B59">
        <w:rPr>
          <w:rFonts w:ascii="Arial" w:hAnsi="Arial" w:cs="Arial"/>
        </w:rPr>
        <w:t>are</w:t>
      </w:r>
      <w:r w:rsidR="00B73DAC" w:rsidRPr="00733B59">
        <w:rPr>
          <w:rFonts w:ascii="Arial" w:hAnsi="Arial" w:cs="Arial"/>
        </w:rPr>
        <w:t xml:space="preserve"> integral elements within the statement of financial position</w:t>
      </w:r>
      <w:r w:rsidR="00C14B9D" w:rsidRPr="00733B59">
        <w:rPr>
          <w:rFonts w:ascii="Arial" w:hAnsi="Arial" w:cs="Arial"/>
        </w:rPr>
        <w:t xml:space="preserve">. Prepayments denote payments made in advance for forthcoming expenses, while </w:t>
      </w:r>
      <w:r w:rsidR="00FF5DA3" w:rsidRPr="00733B59">
        <w:rPr>
          <w:rFonts w:ascii="Arial" w:hAnsi="Arial" w:cs="Arial"/>
        </w:rPr>
        <w:t>accruals</w:t>
      </w:r>
      <w:r w:rsidR="004A33E3" w:rsidRPr="00733B59">
        <w:rPr>
          <w:rFonts w:ascii="Arial" w:hAnsi="Arial" w:cs="Arial"/>
        </w:rPr>
        <w:t xml:space="preserve"> recognize </w:t>
      </w:r>
      <w:r w:rsidR="001D616D" w:rsidRPr="00733B59">
        <w:rPr>
          <w:rFonts w:ascii="Arial" w:hAnsi="Arial" w:cs="Arial"/>
        </w:rPr>
        <w:t xml:space="preserve">expenses </w:t>
      </w:r>
      <w:r w:rsidR="00BF15FF" w:rsidRPr="00733B59">
        <w:rPr>
          <w:rFonts w:ascii="Arial" w:hAnsi="Arial" w:cs="Arial"/>
        </w:rPr>
        <w:t xml:space="preserve">that have been incurred but remain unpaid. Both these adjustments </w:t>
      </w:r>
      <w:r w:rsidR="00026282" w:rsidRPr="00733B59">
        <w:rPr>
          <w:rFonts w:ascii="Arial" w:hAnsi="Arial" w:cs="Arial"/>
        </w:rPr>
        <w:t xml:space="preserve">are pivotal in reflecting a company’s </w:t>
      </w:r>
      <w:r w:rsidR="00410D64" w:rsidRPr="00733B59">
        <w:rPr>
          <w:rFonts w:ascii="Arial" w:hAnsi="Arial" w:cs="Arial"/>
        </w:rPr>
        <w:t>actual financial standing. Prepayments</w:t>
      </w:r>
      <w:r w:rsidR="00172002" w:rsidRPr="00733B59">
        <w:rPr>
          <w:rFonts w:ascii="Arial" w:hAnsi="Arial" w:cs="Arial"/>
        </w:rPr>
        <w:t xml:space="preserve"> showcase the </w:t>
      </w:r>
      <w:r w:rsidR="00FF5DA3" w:rsidRPr="00733B59">
        <w:rPr>
          <w:rFonts w:ascii="Arial" w:hAnsi="Arial" w:cs="Arial"/>
        </w:rPr>
        <w:t>commitment</w:t>
      </w:r>
      <w:r w:rsidR="00172002" w:rsidRPr="00733B59">
        <w:rPr>
          <w:rFonts w:ascii="Arial" w:hAnsi="Arial" w:cs="Arial"/>
        </w:rPr>
        <w:t xml:space="preserve"> of resources for future obligations, and accruals acknowledge financial responsibilities</w:t>
      </w:r>
      <w:r w:rsidR="00DB2643" w:rsidRPr="00733B59">
        <w:rPr>
          <w:rFonts w:ascii="Arial" w:hAnsi="Arial" w:cs="Arial"/>
        </w:rPr>
        <w:t xml:space="preserve"> that have been </w:t>
      </w:r>
      <w:r w:rsidR="00FF5DA3" w:rsidRPr="00733B59">
        <w:rPr>
          <w:rFonts w:ascii="Arial" w:hAnsi="Arial" w:cs="Arial"/>
        </w:rPr>
        <w:t>accrued</w:t>
      </w:r>
      <w:r w:rsidR="00DB2643" w:rsidRPr="00733B59">
        <w:rPr>
          <w:rFonts w:ascii="Arial" w:hAnsi="Arial" w:cs="Arial"/>
        </w:rPr>
        <w:t xml:space="preserve"> but not yet settled. Thus, these accounting adjustments are essential </w:t>
      </w:r>
      <w:r w:rsidR="007474C7" w:rsidRPr="00733B59">
        <w:rPr>
          <w:rFonts w:ascii="Arial" w:hAnsi="Arial" w:cs="Arial"/>
        </w:rPr>
        <w:t>for presenting an accurate and comprehensive portrayal of a company</w:t>
      </w:r>
      <w:r w:rsidR="00FF5DA3" w:rsidRPr="00733B59">
        <w:rPr>
          <w:rFonts w:ascii="Arial" w:hAnsi="Arial" w:cs="Arial"/>
        </w:rPr>
        <w:t xml:space="preserve">’s financial health within the statement of financial position. </w:t>
      </w:r>
    </w:p>
    <w:p w14:paraId="0B72B811" w14:textId="77777777" w:rsidR="00FF5DA3" w:rsidRPr="00733B59" w:rsidRDefault="00FF5DA3" w:rsidP="00733B59">
      <w:pPr>
        <w:spacing w:line="360" w:lineRule="auto"/>
        <w:rPr>
          <w:rFonts w:ascii="Arial" w:hAnsi="Arial" w:cs="Arial"/>
        </w:rPr>
      </w:pPr>
    </w:p>
    <w:p w14:paraId="2C52B80E" w14:textId="192DF658" w:rsidR="00FF5DA3" w:rsidRPr="00733B59" w:rsidRDefault="001446B8" w:rsidP="00733B59">
      <w:pPr>
        <w:pStyle w:val="ListParagraph"/>
        <w:numPr>
          <w:ilvl w:val="0"/>
          <w:numId w:val="1"/>
        </w:numPr>
        <w:spacing w:line="360" w:lineRule="auto"/>
        <w:rPr>
          <w:rFonts w:ascii="Arial" w:hAnsi="Arial" w:cs="Arial"/>
        </w:rPr>
      </w:pPr>
      <w:r w:rsidRPr="00733B59">
        <w:rPr>
          <w:rFonts w:ascii="Arial" w:hAnsi="Arial" w:cs="Arial"/>
        </w:rPr>
        <w:t xml:space="preserve">No need for regulation over financial </w:t>
      </w:r>
      <w:r w:rsidR="00F921EC" w:rsidRPr="00733B59">
        <w:rPr>
          <w:rFonts w:ascii="Arial" w:hAnsi="Arial" w:cs="Arial"/>
        </w:rPr>
        <w:t xml:space="preserve">accounts. </w:t>
      </w:r>
    </w:p>
    <w:p w14:paraId="5D79501C" w14:textId="3A27DBA3" w:rsidR="005465E5" w:rsidRPr="00733B59" w:rsidRDefault="005465E5" w:rsidP="00733B59">
      <w:pPr>
        <w:spacing w:line="360" w:lineRule="auto"/>
        <w:rPr>
          <w:rFonts w:ascii="Arial" w:hAnsi="Arial" w:cs="Arial"/>
        </w:rPr>
      </w:pPr>
      <w:r w:rsidRPr="00733B59">
        <w:rPr>
          <w:rFonts w:ascii="Arial" w:hAnsi="Arial" w:cs="Arial"/>
        </w:rPr>
        <w:t xml:space="preserve">Ensuring the integrity of financial reporting is paramount, and regulatory oversight is essential </w:t>
      </w:r>
      <w:r w:rsidR="000F588D" w:rsidRPr="00733B59">
        <w:rPr>
          <w:rFonts w:ascii="Arial" w:hAnsi="Arial" w:cs="Arial"/>
        </w:rPr>
        <w:t xml:space="preserve">in achieving this goal. Established </w:t>
      </w:r>
      <w:r w:rsidR="00AA5380" w:rsidRPr="00733B59">
        <w:rPr>
          <w:rFonts w:ascii="Arial" w:hAnsi="Arial" w:cs="Arial"/>
        </w:rPr>
        <w:t xml:space="preserve">standards such as Generally Accepted </w:t>
      </w:r>
      <w:r w:rsidR="00F4279D" w:rsidRPr="00733B59">
        <w:rPr>
          <w:rFonts w:ascii="Arial" w:hAnsi="Arial" w:cs="Arial"/>
        </w:rPr>
        <w:t>Accounting</w:t>
      </w:r>
      <w:r w:rsidR="00AA5380" w:rsidRPr="00733B59">
        <w:rPr>
          <w:rFonts w:ascii="Arial" w:hAnsi="Arial" w:cs="Arial"/>
        </w:rPr>
        <w:t xml:space="preserve"> Principles (GAAP) or International Fi</w:t>
      </w:r>
      <w:r w:rsidR="008918DA" w:rsidRPr="00733B59">
        <w:rPr>
          <w:rFonts w:ascii="Arial" w:hAnsi="Arial" w:cs="Arial"/>
        </w:rPr>
        <w:t xml:space="preserve">nancial Reporting Standards (IFRS) serve as a structured foundation for </w:t>
      </w:r>
      <w:r w:rsidR="00F4279D" w:rsidRPr="00733B59">
        <w:rPr>
          <w:rFonts w:ascii="Arial" w:hAnsi="Arial" w:cs="Arial"/>
        </w:rPr>
        <w:t>maintaining</w:t>
      </w:r>
      <w:r w:rsidR="003410FD" w:rsidRPr="00733B59">
        <w:rPr>
          <w:rFonts w:ascii="Arial" w:hAnsi="Arial" w:cs="Arial"/>
        </w:rPr>
        <w:t xml:space="preserve"> consistency and transparency in financial reporting across entities. Regulatory measures </w:t>
      </w:r>
      <w:r w:rsidR="007F34AF" w:rsidRPr="00733B59">
        <w:rPr>
          <w:rFonts w:ascii="Arial" w:hAnsi="Arial" w:cs="Arial"/>
        </w:rPr>
        <w:t xml:space="preserve">are indispensable in bolstering investor confidence, as they instill a sense of reliability </w:t>
      </w:r>
      <w:r w:rsidR="00B84468" w:rsidRPr="00733B59">
        <w:rPr>
          <w:rFonts w:ascii="Arial" w:hAnsi="Arial" w:cs="Arial"/>
        </w:rPr>
        <w:t xml:space="preserve">and trust in financial information. Additionally, </w:t>
      </w:r>
      <w:r w:rsidR="00F4279D" w:rsidRPr="00733B59">
        <w:rPr>
          <w:rFonts w:ascii="Arial" w:hAnsi="Arial" w:cs="Arial"/>
        </w:rPr>
        <w:t>these standards</w:t>
      </w:r>
      <w:r w:rsidR="00B84468" w:rsidRPr="00733B59">
        <w:rPr>
          <w:rFonts w:ascii="Arial" w:hAnsi="Arial" w:cs="Arial"/>
        </w:rPr>
        <w:t xml:space="preserve"> </w:t>
      </w:r>
      <w:r w:rsidR="00AC1519" w:rsidRPr="00733B59">
        <w:rPr>
          <w:rFonts w:ascii="Arial" w:hAnsi="Arial" w:cs="Arial"/>
        </w:rPr>
        <w:t xml:space="preserve">facilitate </w:t>
      </w:r>
      <w:r w:rsidR="00F4279D" w:rsidRPr="00733B59">
        <w:rPr>
          <w:rFonts w:ascii="Arial" w:hAnsi="Arial" w:cs="Arial"/>
        </w:rPr>
        <w:t>equitable</w:t>
      </w:r>
      <w:r w:rsidR="00AC1519" w:rsidRPr="00733B59">
        <w:rPr>
          <w:rFonts w:ascii="Arial" w:hAnsi="Arial" w:cs="Arial"/>
        </w:rPr>
        <w:t xml:space="preserve"> </w:t>
      </w:r>
      <w:r w:rsidR="00F4279D" w:rsidRPr="00733B59">
        <w:rPr>
          <w:rFonts w:ascii="Arial" w:hAnsi="Arial" w:cs="Arial"/>
        </w:rPr>
        <w:t>comparisons</w:t>
      </w:r>
      <w:r w:rsidR="00AC1519" w:rsidRPr="00733B59">
        <w:rPr>
          <w:rFonts w:ascii="Arial" w:hAnsi="Arial" w:cs="Arial"/>
        </w:rPr>
        <w:t xml:space="preserve"> between companies, fostering </w:t>
      </w:r>
      <w:r w:rsidR="00F21635" w:rsidRPr="00733B59">
        <w:rPr>
          <w:rFonts w:ascii="Arial" w:hAnsi="Arial" w:cs="Arial"/>
        </w:rPr>
        <w:t xml:space="preserve">a level playing field. Moreover, regulatory </w:t>
      </w:r>
      <w:r w:rsidR="00F4279D" w:rsidRPr="00733B59">
        <w:rPr>
          <w:rFonts w:ascii="Arial" w:hAnsi="Arial" w:cs="Arial"/>
        </w:rPr>
        <w:t>mechanisms</w:t>
      </w:r>
      <w:r w:rsidR="00F21635" w:rsidRPr="00733B59">
        <w:rPr>
          <w:rFonts w:ascii="Arial" w:hAnsi="Arial" w:cs="Arial"/>
        </w:rPr>
        <w:t xml:space="preserve"> </w:t>
      </w:r>
      <w:r w:rsidR="00EB7240" w:rsidRPr="00733B59">
        <w:rPr>
          <w:rFonts w:ascii="Arial" w:hAnsi="Arial" w:cs="Arial"/>
        </w:rPr>
        <w:t xml:space="preserve">are </w:t>
      </w:r>
      <w:r w:rsidR="00F4279D" w:rsidRPr="00733B59">
        <w:rPr>
          <w:rFonts w:ascii="Arial" w:hAnsi="Arial" w:cs="Arial"/>
        </w:rPr>
        <w:t>instrumental</w:t>
      </w:r>
      <w:r w:rsidR="00EB7240" w:rsidRPr="00733B59">
        <w:rPr>
          <w:rFonts w:ascii="Arial" w:hAnsi="Arial" w:cs="Arial"/>
        </w:rPr>
        <w:t xml:space="preserve"> in preventing fraudulent practices, </w:t>
      </w:r>
      <w:r w:rsidR="00500ACC" w:rsidRPr="00733B59">
        <w:rPr>
          <w:rFonts w:ascii="Arial" w:hAnsi="Arial" w:cs="Arial"/>
        </w:rPr>
        <w:t>underscoring the critical role of financial regulations in safeguarding the accuracy and r</w:t>
      </w:r>
      <w:r w:rsidR="00F4279D" w:rsidRPr="00733B59">
        <w:rPr>
          <w:rFonts w:ascii="Arial" w:hAnsi="Arial" w:cs="Arial"/>
        </w:rPr>
        <w:t xml:space="preserve">eliability of financial accounts. </w:t>
      </w:r>
    </w:p>
    <w:p w14:paraId="07C1147E" w14:textId="6ABC2189" w:rsidR="003320DE" w:rsidRPr="00733B59" w:rsidRDefault="003320DE" w:rsidP="00733B59">
      <w:pPr>
        <w:pStyle w:val="ListParagraph"/>
        <w:numPr>
          <w:ilvl w:val="0"/>
          <w:numId w:val="1"/>
        </w:numPr>
        <w:spacing w:line="360" w:lineRule="auto"/>
        <w:rPr>
          <w:rFonts w:ascii="Arial" w:hAnsi="Arial" w:cs="Arial"/>
        </w:rPr>
      </w:pPr>
      <w:r w:rsidRPr="00733B59">
        <w:rPr>
          <w:rFonts w:ascii="Arial" w:hAnsi="Arial" w:cs="Arial"/>
        </w:rPr>
        <w:t>It is important to balance ledger (T) accounts and trial balance before preparing financial statements</w:t>
      </w:r>
      <w:r w:rsidR="00E94D2C" w:rsidRPr="00733B59">
        <w:rPr>
          <w:rFonts w:ascii="Arial" w:hAnsi="Arial" w:cs="Arial"/>
        </w:rPr>
        <w:t xml:space="preserve">. </w:t>
      </w:r>
    </w:p>
    <w:p w14:paraId="033C03C0" w14:textId="0FAEFA24" w:rsidR="00D36FDA" w:rsidRPr="00733B59" w:rsidRDefault="00D36FDA" w:rsidP="00733B59">
      <w:pPr>
        <w:spacing w:line="360" w:lineRule="auto"/>
        <w:rPr>
          <w:rFonts w:ascii="Arial" w:hAnsi="Arial" w:cs="Arial"/>
        </w:rPr>
      </w:pPr>
      <w:r w:rsidRPr="00733B59">
        <w:rPr>
          <w:rFonts w:ascii="Arial" w:hAnsi="Arial" w:cs="Arial"/>
        </w:rPr>
        <w:t xml:space="preserve">Balancing ledger accounts and </w:t>
      </w:r>
      <w:r w:rsidR="0046177B" w:rsidRPr="00733B59">
        <w:rPr>
          <w:rFonts w:ascii="Arial" w:hAnsi="Arial" w:cs="Arial"/>
        </w:rPr>
        <w:t>constructing</w:t>
      </w:r>
      <w:r w:rsidRPr="00733B59">
        <w:rPr>
          <w:rFonts w:ascii="Arial" w:hAnsi="Arial" w:cs="Arial"/>
        </w:rPr>
        <w:t xml:space="preserve"> a trial balance are indispensable steps </w:t>
      </w:r>
      <w:r w:rsidR="007A5F87" w:rsidRPr="00733B59">
        <w:rPr>
          <w:rFonts w:ascii="Arial" w:hAnsi="Arial" w:cs="Arial"/>
        </w:rPr>
        <w:t xml:space="preserve">in the accounting process, ensuring accuracy and reliability in financial reporting. </w:t>
      </w:r>
      <w:r w:rsidR="00CD6A15" w:rsidRPr="00733B59">
        <w:rPr>
          <w:rFonts w:ascii="Arial" w:hAnsi="Arial" w:cs="Arial"/>
        </w:rPr>
        <w:t>Balancing</w:t>
      </w:r>
      <w:r w:rsidR="00B712D5" w:rsidRPr="00733B59">
        <w:rPr>
          <w:rFonts w:ascii="Arial" w:hAnsi="Arial" w:cs="Arial"/>
        </w:rPr>
        <w:t xml:space="preserve"> individual accounts confirms that </w:t>
      </w:r>
      <w:r w:rsidR="00CD6A15" w:rsidRPr="00733B59">
        <w:rPr>
          <w:rFonts w:ascii="Arial" w:hAnsi="Arial" w:cs="Arial"/>
        </w:rPr>
        <w:t>debits</w:t>
      </w:r>
      <w:r w:rsidR="00B712D5" w:rsidRPr="00733B59">
        <w:rPr>
          <w:rFonts w:ascii="Arial" w:hAnsi="Arial" w:cs="Arial"/>
        </w:rPr>
        <w:t xml:space="preserve"> align with credit</w:t>
      </w:r>
      <w:r w:rsidR="00B23128" w:rsidRPr="00733B59">
        <w:rPr>
          <w:rFonts w:ascii="Arial" w:hAnsi="Arial" w:cs="Arial"/>
        </w:rPr>
        <w:t xml:space="preserve">s across all accounts before the </w:t>
      </w:r>
      <w:r w:rsidR="00CD6A15" w:rsidRPr="00733B59">
        <w:rPr>
          <w:rFonts w:ascii="Arial" w:hAnsi="Arial" w:cs="Arial"/>
        </w:rPr>
        <w:t>preparation of</w:t>
      </w:r>
      <w:r w:rsidR="00B23128" w:rsidRPr="00733B59">
        <w:rPr>
          <w:rFonts w:ascii="Arial" w:hAnsi="Arial" w:cs="Arial"/>
        </w:rPr>
        <w:t xml:space="preserve"> financial </w:t>
      </w:r>
      <w:r w:rsidR="00AA0011" w:rsidRPr="00733B59">
        <w:rPr>
          <w:rFonts w:ascii="Arial" w:hAnsi="Arial" w:cs="Arial"/>
        </w:rPr>
        <w:t xml:space="preserve">statements. This meticulous process forms the bedrock for accurate financial </w:t>
      </w:r>
      <w:r w:rsidR="00CD6A15" w:rsidRPr="00733B59">
        <w:rPr>
          <w:rFonts w:ascii="Arial" w:hAnsi="Arial" w:cs="Arial"/>
        </w:rPr>
        <w:t>reporting</w:t>
      </w:r>
      <w:r w:rsidR="00AA0011" w:rsidRPr="00733B59">
        <w:rPr>
          <w:rFonts w:ascii="Arial" w:hAnsi="Arial" w:cs="Arial"/>
        </w:rPr>
        <w:t xml:space="preserve">, minimizing the likelihood of errors and </w:t>
      </w:r>
      <w:r w:rsidR="000B38D9" w:rsidRPr="00733B59">
        <w:rPr>
          <w:rFonts w:ascii="Arial" w:hAnsi="Arial" w:cs="Arial"/>
        </w:rPr>
        <w:t>discrepancies in final statements</w:t>
      </w:r>
      <w:r w:rsidR="00930EB4" w:rsidRPr="00733B59">
        <w:rPr>
          <w:rFonts w:ascii="Arial" w:hAnsi="Arial" w:cs="Arial"/>
        </w:rPr>
        <w:t>, thereby enhancing the overall credibility of the company’s financial reporting</w:t>
      </w:r>
      <w:r w:rsidR="00CD6A15" w:rsidRPr="00733B59">
        <w:rPr>
          <w:rFonts w:ascii="Arial" w:hAnsi="Arial" w:cs="Arial"/>
        </w:rPr>
        <w:t xml:space="preserve"> practices</w:t>
      </w:r>
      <w:r w:rsidR="00123A07" w:rsidRPr="00123A07">
        <w:rPr>
          <w:rFonts w:ascii="Times New Roman" w:eastAsia="Times New Roman" w:hAnsi="Times New Roman" w:cs="Times New Roman"/>
          <w:color w:val="000000" w:themeColor="text1"/>
          <w:sz w:val="24"/>
          <w:szCs w:val="24"/>
        </w:rPr>
        <w:t xml:space="preserve"> </w:t>
      </w:r>
      <w:r w:rsidR="00123A07">
        <w:rPr>
          <w:rFonts w:ascii="Times New Roman" w:eastAsia="Times New Roman" w:hAnsi="Times New Roman" w:cs="Times New Roman"/>
          <w:color w:val="000000" w:themeColor="text1"/>
          <w:sz w:val="24"/>
          <w:szCs w:val="24"/>
        </w:rPr>
        <w:t>(</w:t>
      </w:r>
      <w:r w:rsidR="00123A07">
        <w:rPr>
          <w:rFonts w:ascii="Times New Roman" w:eastAsia="Times New Roman" w:hAnsi="Times New Roman" w:cs="Times New Roman"/>
          <w:color w:val="000000" w:themeColor="text1"/>
          <w:sz w:val="24"/>
          <w:szCs w:val="24"/>
          <w:highlight w:val="white"/>
        </w:rPr>
        <w:t>Schmitz &amp; Leoni, 2019)</w:t>
      </w:r>
      <w:r w:rsidR="00CD6A15" w:rsidRPr="00733B59">
        <w:rPr>
          <w:rFonts w:ascii="Arial" w:hAnsi="Arial" w:cs="Arial"/>
        </w:rPr>
        <w:t xml:space="preserve">. </w:t>
      </w:r>
      <w:r w:rsidR="00F50DB5" w:rsidRPr="00733B59">
        <w:rPr>
          <w:rFonts w:ascii="Arial" w:hAnsi="Arial" w:cs="Arial"/>
        </w:rPr>
        <w:t xml:space="preserve">Ergo, this statement is correct. </w:t>
      </w:r>
    </w:p>
    <w:p w14:paraId="51EA47DA" w14:textId="4ADA2A3B" w:rsidR="00F50DB5" w:rsidRPr="00733B59" w:rsidRDefault="00F50DB5" w:rsidP="00733B59">
      <w:pPr>
        <w:spacing w:line="360" w:lineRule="auto"/>
        <w:rPr>
          <w:rFonts w:ascii="Arial" w:hAnsi="Arial" w:cs="Arial"/>
        </w:rPr>
      </w:pPr>
    </w:p>
    <w:p w14:paraId="203057C4" w14:textId="3E5801BB" w:rsidR="00FF0DF8" w:rsidRPr="00733B59" w:rsidRDefault="00FF0DF8" w:rsidP="00733B59">
      <w:pPr>
        <w:spacing w:line="360" w:lineRule="auto"/>
        <w:rPr>
          <w:rFonts w:ascii="Arial" w:hAnsi="Arial" w:cs="Arial"/>
        </w:rPr>
      </w:pPr>
      <w:r w:rsidRPr="00733B59">
        <w:rPr>
          <w:rFonts w:ascii="Arial" w:hAnsi="Arial" w:cs="Arial"/>
        </w:rPr>
        <w:t>Questi</w:t>
      </w:r>
      <w:r w:rsidR="0015469C" w:rsidRPr="00733B59">
        <w:rPr>
          <w:rFonts w:ascii="Arial" w:hAnsi="Arial" w:cs="Arial"/>
        </w:rPr>
        <w:t xml:space="preserve">on2. </w:t>
      </w:r>
    </w:p>
    <w:p w14:paraId="0AEC3E6C" w14:textId="7BF52B1D" w:rsidR="0015469C" w:rsidRPr="0015469C" w:rsidRDefault="002F1627" w:rsidP="00733B59">
      <w:pPr>
        <w:spacing w:line="360" w:lineRule="auto"/>
        <w:rPr>
          <w:rFonts w:ascii="Arial" w:hAnsi="Arial" w:cs="Arial"/>
        </w:rPr>
      </w:pPr>
      <w:r w:rsidRPr="002F1627">
        <w:rPr>
          <w:rFonts w:ascii="Arial" w:hAnsi="Arial" w:cs="Arial"/>
        </w:rPr>
        <w:t>An income statement contains the transactions related to financial expenses and gains that occurred within a certain period by a business entity (</w:t>
      </w:r>
      <w:proofErr w:type="spellStart"/>
      <w:r w:rsidRPr="002F1627">
        <w:rPr>
          <w:rFonts w:ascii="Arial" w:hAnsi="Arial" w:cs="Arial"/>
        </w:rPr>
        <w:t>Atukalp</w:t>
      </w:r>
      <w:proofErr w:type="spellEnd"/>
      <w:r w:rsidRPr="002F1627">
        <w:rPr>
          <w:rFonts w:ascii="Arial" w:hAnsi="Arial" w:cs="Arial"/>
        </w:rPr>
        <w:t xml:space="preserve">, 2023). </w:t>
      </w:r>
      <w:r w:rsidR="0015469C" w:rsidRPr="0015469C">
        <w:rPr>
          <w:rFonts w:ascii="Arial" w:hAnsi="Arial" w:cs="Arial"/>
        </w:rPr>
        <w:t>Adjusting financial statements is a crucial step in ensuring accuracy and transparency in reflecting a company's financial position. In the context of Wales plc for the year ending December 31, 2022, several adjustments are necessary to align the reported figures with the economic realities.</w:t>
      </w:r>
    </w:p>
    <w:p w14:paraId="24235EAC" w14:textId="77777777" w:rsidR="0015469C" w:rsidRPr="0015469C" w:rsidRDefault="0015469C" w:rsidP="00733B59">
      <w:pPr>
        <w:spacing w:line="360" w:lineRule="auto"/>
        <w:rPr>
          <w:rFonts w:ascii="Arial" w:hAnsi="Arial" w:cs="Arial"/>
        </w:rPr>
      </w:pPr>
      <w:r w:rsidRPr="0015469C">
        <w:rPr>
          <w:rFonts w:ascii="Arial" w:hAnsi="Arial" w:cs="Arial"/>
        </w:rPr>
        <w:t>Firstly, the Depreciation Adjustment entails recognizing the depreciation on equipment for the year 2022. Employing the straight-line method with a 10% annual rate, this results in £65,000 of depreciation (10% of £650,000). This adjustment is imperative to accurately represent the wear and tear on the equipment over the accounting period.</w:t>
      </w:r>
    </w:p>
    <w:p w14:paraId="7BF3B11E" w14:textId="77777777" w:rsidR="0015469C" w:rsidRPr="0015469C" w:rsidRDefault="0015469C" w:rsidP="00733B59">
      <w:pPr>
        <w:spacing w:line="360" w:lineRule="auto"/>
        <w:rPr>
          <w:rFonts w:ascii="Arial" w:hAnsi="Arial" w:cs="Arial"/>
        </w:rPr>
      </w:pPr>
      <w:r w:rsidRPr="0015469C">
        <w:rPr>
          <w:rFonts w:ascii="Arial" w:hAnsi="Arial" w:cs="Arial"/>
        </w:rPr>
        <w:t>Moving on to the Accrued Salaries Adjustment, it involves recognizing £10,000 of accrued December 2022 salaries that were paid on January 3, 2023. This adjustment is crucial in reflecting the actual liability incurred by the company for services rendered but not yet paid at the end of the reporting period. The impact of this adjustment is seen in the administrative expenses.</w:t>
      </w:r>
    </w:p>
    <w:p w14:paraId="4EDEB46C" w14:textId="77777777" w:rsidR="0015469C" w:rsidRPr="0015469C" w:rsidRDefault="0015469C" w:rsidP="00733B59">
      <w:pPr>
        <w:spacing w:line="360" w:lineRule="auto"/>
        <w:rPr>
          <w:rFonts w:ascii="Arial" w:hAnsi="Arial" w:cs="Arial"/>
        </w:rPr>
      </w:pPr>
      <w:r w:rsidRPr="0015469C">
        <w:rPr>
          <w:rFonts w:ascii="Arial" w:hAnsi="Arial" w:cs="Arial"/>
        </w:rPr>
        <w:t>The third adjustment, the Estimated Corporation Tax Adjustment, necessitates recognizing the estimated corporation tax expense for the year at £15,000. This adjustment acknowledges the tax liability accrued during the year, enhancing the accuracy of financial reporting by accounting for the anticipated tax obligation.</w:t>
      </w:r>
    </w:p>
    <w:p w14:paraId="50BC7C0F" w14:textId="77777777" w:rsidR="0015469C" w:rsidRPr="0015469C" w:rsidRDefault="0015469C" w:rsidP="00733B59">
      <w:pPr>
        <w:spacing w:line="360" w:lineRule="auto"/>
        <w:rPr>
          <w:rFonts w:ascii="Arial" w:hAnsi="Arial" w:cs="Arial"/>
        </w:rPr>
      </w:pPr>
      <w:r w:rsidRPr="0015469C">
        <w:rPr>
          <w:rFonts w:ascii="Arial" w:hAnsi="Arial" w:cs="Arial"/>
        </w:rPr>
        <w:t>The Commission Payable Adjustment addresses the commission owed to salesmen, amounting to £2,000, related to December sales. Recognizing this commission payable is essential for accurately portraying the distribution costs associated with the sales generated during the reporting period.</w:t>
      </w:r>
    </w:p>
    <w:p w14:paraId="69F029B5" w14:textId="77777777" w:rsidR="0015469C" w:rsidRPr="0015469C" w:rsidRDefault="0015469C" w:rsidP="00733B59">
      <w:pPr>
        <w:spacing w:line="360" w:lineRule="auto"/>
        <w:rPr>
          <w:rFonts w:ascii="Arial" w:hAnsi="Arial" w:cs="Arial"/>
        </w:rPr>
      </w:pPr>
      <w:r w:rsidRPr="0015469C">
        <w:rPr>
          <w:rFonts w:ascii="Arial" w:hAnsi="Arial" w:cs="Arial"/>
        </w:rPr>
        <w:t>Finally, the Unearned Revenue Adjustment involves recognizing goods sent to customers on December 31, 2022, valued at £1,000, as unearned revenue. Since payment is due on February 28, 2023, this adjustment impacts both the sales figure and accounts receivable. It aligns the revenue recognition with the timing of cash inflows, providing a more accurate representation of the company's financial position.</w:t>
      </w:r>
    </w:p>
    <w:p w14:paraId="3D7CF1ED" w14:textId="77777777" w:rsidR="0015469C" w:rsidRPr="00733B59" w:rsidRDefault="0015469C" w:rsidP="00733B59">
      <w:pPr>
        <w:spacing w:line="360" w:lineRule="auto"/>
        <w:rPr>
          <w:rFonts w:ascii="Arial" w:hAnsi="Arial" w:cs="Arial"/>
        </w:rPr>
      </w:pPr>
      <w:r w:rsidRPr="0015469C">
        <w:rPr>
          <w:rFonts w:ascii="Arial" w:hAnsi="Arial" w:cs="Arial"/>
        </w:rPr>
        <w:t>In essence, these adjustments refine the financial statements by accounting for unrecorded transactions, ensuring that reported figures better represent the economic activities of Wales plc during the specified period. These adjustments enhance the reliability of the financial statements and support stakeholders in making informed decisions based on a more accurate portrayal of the company's financial health.</w:t>
      </w:r>
    </w:p>
    <w:p w14:paraId="15FD6864" w14:textId="77777777" w:rsidR="0015469C" w:rsidRPr="00733B59" w:rsidRDefault="0015469C" w:rsidP="00733B59">
      <w:pPr>
        <w:spacing w:line="360" w:lineRule="auto"/>
        <w:rPr>
          <w:rFonts w:ascii="Arial" w:hAnsi="Arial" w:cs="Arial"/>
        </w:rPr>
      </w:pPr>
    </w:p>
    <w:tbl>
      <w:tblPr>
        <w:tblStyle w:val="TableGrid"/>
        <w:tblW w:w="0" w:type="auto"/>
        <w:tblLook w:val="04A0" w:firstRow="1" w:lastRow="0" w:firstColumn="1" w:lastColumn="0" w:noHBand="0" w:noVBand="1"/>
      </w:tblPr>
      <w:tblGrid>
        <w:gridCol w:w="3192"/>
        <w:gridCol w:w="3192"/>
        <w:gridCol w:w="3192"/>
      </w:tblGrid>
      <w:tr w:rsidR="004C084D" w:rsidRPr="00733B59" w14:paraId="6B2D050B" w14:textId="77777777" w:rsidTr="004C084D">
        <w:tc>
          <w:tcPr>
            <w:tcW w:w="3192" w:type="dxa"/>
          </w:tcPr>
          <w:p w14:paraId="094F5B1C" w14:textId="078BABF9" w:rsidR="004C084D" w:rsidRPr="00733B59" w:rsidRDefault="00244A23" w:rsidP="00733B59">
            <w:pPr>
              <w:spacing w:line="360" w:lineRule="auto"/>
              <w:rPr>
                <w:rFonts w:ascii="Arial" w:hAnsi="Arial" w:cs="Arial"/>
              </w:rPr>
            </w:pPr>
            <w:r w:rsidRPr="00733B59">
              <w:rPr>
                <w:rFonts w:ascii="Arial" w:hAnsi="Arial" w:cs="Arial"/>
              </w:rPr>
              <w:t xml:space="preserve">Particulars </w:t>
            </w:r>
          </w:p>
        </w:tc>
        <w:tc>
          <w:tcPr>
            <w:tcW w:w="3192" w:type="dxa"/>
          </w:tcPr>
          <w:p w14:paraId="4466E450" w14:textId="6F946FB8" w:rsidR="004C084D" w:rsidRPr="00733B59" w:rsidRDefault="00F01837" w:rsidP="00733B59">
            <w:pPr>
              <w:spacing w:line="360" w:lineRule="auto"/>
              <w:rPr>
                <w:rFonts w:ascii="Arial" w:hAnsi="Arial" w:cs="Arial"/>
              </w:rPr>
            </w:pPr>
            <w:r w:rsidRPr="00733B59">
              <w:rPr>
                <w:rFonts w:ascii="Arial" w:hAnsi="Arial" w:cs="Arial"/>
              </w:rPr>
              <w:t>Amount (£)</w:t>
            </w:r>
          </w:p>
        </w:tc>
        <w:tc>
          <w:tcPr>
            <w:tcW w:w="3192" w:type="dxa"/>
          </w:tcPr>
          <w:p w14:paraId="3A51B22C" w14:textId="1CD0EC23" w:rsidR="004C084D" w:rsidRPr="00733B59" w:rsidRDefault="00F01837" w:rsidP="00733B59">
            <w:pPr>
              <w:spacing w:line="360" w:lineRule="auto"/>
              <w:rPr>
                <w:rFonts w:ascii="Arial" w:hAnsi="Arial" w:cs="Arial"/>
              </w:rPr>
            </w:pPr>
            <w:r w:rsidRPr="00733B59">
              <w:rPr>
                <w:rFonts w:ascii="Arial" w:hAnsi="Arial" w:cs="Arial"/>
              </w:rPr>
              <w:t>Amount (£)</w:t>
            </w:r>
          </w:p>
        </w:tc>
      </w:tr>
      <w:tr w:rsidR="004C084D" w:rsidRPr="00733B59" w14:paraId="6FC6FE90" w14:textId="77777777" w:rsidTr="004C084D">
        <w:tc>
          <w:tcPr>
            <w:tcW w:w="3192" w:type="dxa"/>
          </w:tcPr>
          <w:p w14:paraId="392766A4" w14:textId="67D455CC" w:rsidR="004C084D" w:rsidRPr="00733B59" w:rsidRDefault="00244A23" w:rsidP="00733B59">
            <w:pPr>
              <w:spacing w:line="360" w:lineRule="auto"/>
              <w:rPr>
                <w:rFonts w:ascii="Arial" w:hAnsi="Arial" w:cs="Arial"/>
              </w:rPr>
            </w:pPr>
            <w:r w:rsidRPr="00733B59">
              <w:rPr>
                <w:rFonts w:ascii="Arial" w:hAnsi="Arial" w:cs="Arial"/>
              </w:rPr>
              <w:t>Sales Revenue</w:t>
            </w:r>
          </w:p>
        </w:tc>
        <w:tc>
          <w:tcPr>
            <w:tcW w:w="3192" w:type="dxa"/>
          </w:tcPr>
          <w:p w14:paraId="37996DEE" w14:textId="4F3F3D9D" w:rsidR="004C084D" w:rsidRPr="00733B59" w:rsidRDefault="00F21C30" w:rsidP="00733B59">
            <w:pPr>
              <w:spacing w:line="360" w:lineRule="auto"/>
              <w:rPr>
                <w:rFonts w:ascii="Arial" w:hAnsi="Arial" w:cs="Arial"/>
              </w:rPr>
            </w:pPr>
            <w:r w:rsidRPr="00733B59">
              <w:rPr>
                <w:rFonts w:ascii="Arial" w:hAnsi="Arial" w:cs="Arial"/>
              </w:rPr>
              <w:t>900000</w:t>
            </w:r>
          </w:p>
        </w:tc>
        <w:tc>
          <w:tcPr>
            <w:tcW w:w="3192" w:type="dxa"/>
          </w:tcPr>
          <w:p w14:paraId="141B20D3" w14:textId="77777777" w:rsidR="004C084D" w:rsidRPr="00733B59" w:rsidRDefault="004C084D" w:rsidP="00733B59">
            <w:pPr>
              <w:spacing w:line="360" w:lineRule="auto"/>
              <w:rPr>
                <w:rFonts w:ascii="Arial" w:hAnsi="Arial" w:cs="Arial"/>
              </w:rPr>
            </w:pPr>
          </w:p>
        </w:tc>
      </w:tr>
      <w:tr w:rsidR="004C084D" w:rsidRPr="00733B59" w14:paraId="2616E9E5" w14:textId="77777777" w:rsidTr="004C084D">
        <w:tc>
          <w:tcPr>
            <w:tcW w:w="3192" w:type="dxa"/>
          </w:tcPr>
          <w:p w14:paraId="4020D831" w14:textId="6E86CE58" w:rsidR="004C084D" w:rsidRPr="00733B59" w:rsidRDefault="00267511" w:rsidP="00733B59">
            <w:pPr>
              <w:spacing w:line="360" w:lineRule="auto"/>
              <w:rPr>
                <w:rFonts w:ascii="Arial" w:hAnsi="Arial" w:cs="Arial"/>
              </w:rPr>
            </w:pPr>
            <w:r w:rsidRPr="00733B59">
              <w:rPr>
                <w:rFonts w:ascii="Arial" w:hAnsi="Arial" w:cs="Arial"/>
              </w:rPr>
              <w:t>- (</w:t>
            </w:r>
            <w:r w:rsidR="00244A23" w:rsidRPr="00733B59">
              <w:rPr>
                <w:rFonts w:ascii="Arial" w:hAnsi="Arial" w:cs="Arial"/>
              </w:rPr>
              <w:t>Cost Of Sales)</w:t>
            </w:r>
          </w:p>
        </w:tc>
        <w:tc>
          <w:tcPr>
            <w:tcW w:w="3192" w:type="dxa"/>
          </w:tcPr>
          <w:p w14:paraId="4712AFA2" w14:textId="6D786771" w:rsidR="004C084D" w:rsidRPr="00733B59" w:rsidRDefault="00F21C30" w:rsidP="00733B59">
            <w:pPr>
              <w:spacing w:line="360" w:lineRule="auto"/>
              <w:rPr>
                <w:rFonts w:ascii="Arial" w:hAnsi="Arial" w:cs="Arial"/>
              </w:rPr>
            </w:pPr>
            <w:r w:rsidRPr="00733B59">
              <w:rPr>
                <w:rFonts w:ascii="Arial" w:hAnsi="Arial" w:cs="Arial"/>
              </w:rPr>
              <w:t>578650</w:t>
            </w:r>
          </w:p>
        </w:tc>
        <w:tc>
          <w:tcPr>
            <w:tcW w:w="3192" w:type="dxa"/>
          </w:tcPr>
          <w:p w14:paraId="32E8BFE8" w14:textId="6474B7E5" w:rsidR="004C084D" w:rsidRPr="00733B59" w:rsidRDefault="002B57B2" w:rsidP="00733B59">
            <w:pPr>
              <w:spacing w:line="360" w:lineRule="auto"/>
              <w:rPr>
                <w:rFonts w:ascii="Arial" w:hAnsi="Arial" w:cs="Arial"/>
              </w:rPr>
            </w:pPr>
            <w:r w:rsidRPr="00733B59">
              <w:rPr>
                <w:rFonts w:ascii="Arial" w:hAnsi="Arial" w:cs="Arial"/>
              </w:rPr>
              <w:t>321350</w:t>
            </w:r>
          </w:p>
        </w:tc>
      </w:tr>
      <w:tr w:rsidR="004C084D" w:rsidRPr="00733B59" w14:paraId="0F2AE59F" w14:textId="77777777" w:rsidTr="004C084D">
        <w:tc>
          <w:tcPr>
            <w:tcW w:w="3192" w:type="dxa"/>
          </w:tcPr>
          <w:p w14:paraId="5817BC06" w14:textId="619BB46A" w:rsidR="004C084D" w:rsidRPr="00733B59" w:rsidRDefault="00244A23" w:rsidP="00733B59">
            <w:pPr>
              <w:spacing w:line="360" w:lineRule="auto"/>
              <w:rPr>
                <w:rFonts w:ascii="Arial" w:hAnsi="Arial" w:cs="Arial"/>
              </w:rPr>
            </w:pPr>
            <w:r w:rsidRPr="00733B59">
              <w:rPr>
                <w:rFonts w:ascii="Arial" w:hAnsi="Arial" w:cs="Arial"/>
              </w:rPr>
              <w:t>Gross Profit</w:t>
            </w:r>
          </w:p>
        </w:tc>
        <w:tc>
          <w:tcPr>
            <w:tcW w:w="3192" w:type="dxa"/>
          </w:tcPr>
          <w:p w14:paraId="2195171C" w14:textId="77777777" w:rsidR="004C084D" w:rsidRPr="00733B59" w:rsidRDefault="004C084D" w:rsidP="00733B59">
            <w:pPr>
              <w:spacing w:line="360" w:lineRule="auto"/>
              <w:rPr>
                <w:rFonts w:ascii="Arial" w:hAnsi="Arial" w:cs="Arial"/>
              </w:rPr>
            </w:pPr>
          </w:p>
        </w:tc>
        <w:tc>
          <w:tcPr>
            <w:tcW w:w="3192" w:type="dxa"/>
          </w:tcPr>
          <w:p w14:paraId="6FA45A58" w14:textId="77777777" w:rsidR="004C084D" w:rsidRPr="00733B59" w:rsidRDefault="004C084D" w:rsidP="00733B59">
            <w:pPr>
              <w:spacing w:line="360" w:lineRule="auto"/>
              <w:rPr>
                <w:rFonts w:ascii="Arial" w:hAnsi="Arial" w:cs="Arial"/>
              </w:rPr>
            </w:pPr>
          </w:p>
        </w:tc>
      </w:tr>
      <w:tr w:rsidR="004C084D" w:rsidRPr="00733B59" w14:paraId="7309ABCB" w14:textId="77777777" w:rsidTr="004C084D">
        <w:tc>
          <w:tcPr>
            <w:tcW w:w="3192" w:type="dxa"/>
          </w:tcPr>
          <w:p w14:paraId="7BB7BDC7" w14:textId="77777777" w:rsidR="004C084D" w:rsidRPr="00733B59" w:rsidRDefault="004C084D" w:rsidP="00733B59">
            <w:pPr>
              <w:spacing w:line="360" w:lineRule="auto"/>
              <w:rPr>
                <w:rFonts w:ascii="Arial" w:hAnsi="Arial" w:cs="Arial"/>
              </w:rPr>
            </w:pPr>
          </w:p>
        </w:tc>
        <w:tc>
          <w:tcPr>
            <w:tcW w:w="3192" w:type="dxa"/>
          </w:tcPr>
          <w:p w14:paraId="52F88443" w14:textId="77777777" w:rsidR="004C084D" w:rsidRPr="00733B59" w:rsidRDefault="004C084D" w:rsidP="00733B59">
            <w:pPr>
              <w:spacing w:line="360" w:lineRule="auto"/>
              <w:rPr>
                <w:rFonts w:ascii="Arial" w:hAnsi="Arial" w:cs="Arial"/>
              </w:rPr>
            </w:pPr>
          </w:p>
        </w:tc>
        <w:tc>
          <w:tcPr>
            <w:tcW w:w="3192" w:type="dxa"/>
          </w:tcPr>
          <w:p w14:paraId="22F6D9AE" w14:textId="77777777" w:rsidR="004C084D" w:rsidRPr="00733B59" w:rsidRDefault="004C084D" w:rsidP="00733B59">
            <w:pPr>
              <w:spacing w:line="360" w:lineRule="auto"/>
              <w:rPr>
                <w:rFonts w:ascii="Arial" w:hAnsi="Arial" w:cs="Arial"/>
              </w:rPr>
            </w:pPr>
          </w:p>
        </w:tc>
      </w:tr>
      <w:tr w:rsidR="004C084D" w:rsidRPr="00733B59" w14:paraId="362B839C" w14:textId="77777777" w:rsidTr="004C084D">
        <w:tc>
          <w:tcPr>
            <w:tcW w:w="3192" w:type="dxa"/>
          </w:tcPr>
          <w:p w14:paraId="551084CE" w14:textId="4DE1AE48" w:rsidR="004C084D" w:rsidRPr="00733B59" w:rsidRDefault="00751E05" w:rsidP="00733B59">
            <w:pPr>
              <w:pStyle w:val="ListParagraph"/>
              <w:numPr>
                <w:ilvl w:val="0"/>
                <w:numId w:val="2"/>
              </w:numPr>
              <w:spacing w:line="360" w:lineRule="auto"/>
              <w:rPr>
                <w:rFonts w:ascii="Arial" w:hAnsi="Arial" w:cs="Arial"/>
              </w:rPr>
            </w:pPr>
            <w:r w:rsidRPr="00733B59">
              <w:rPr>
                <w:rFonts w:ascii="Arial" w:hAnsi="Arial" w:cs="Arial"/>
              </w:rPr>
              <w:t>(Operating Expenses)</w:t>
            </w:r>
          </w:p>
        </w:tc>
        <w:tc>
          <w:tcPr>
            <w:tcW w:w="3192" w:type="dxa"/>
          </w:tcPr>
          <w:p w14:paraId="75C3A8A0" w14:textId="77777777" w:rsidR="004C084D" w:rsidRPr="00733B59" w:rsidRDefault="004C084D" w:rsidP="00733B59">
            <w:pPr>
              <w:spacing w:line="360" w:lineRule="auto"/>
              <w:rPr>
                <w:rFonts w:ascii="Arial" w:hAnsi="Arial" w:cs="Arial"/>
              </w:rPr>
            </w:pPr>
          </w:p>
        </w:tc>
        <w:tc>
          <w:tcPr>
            <w:tcW w:w="3192" w:type="dxa"/>
          </w:tcPr>
          <w:p w14:paraId="6E290180" w14:textId="77777777" w:rsidR="004C084D" w:rsidRPr="00733B59" w:rsidRDefault="004C084D" w:rsidP="00733B59">
            <w:pPr>
              <w:spacing w:line="360" w:lineRule="auto"/>
              <w:rPr>
                <w:rFonts w:ascii="Arial" w:hAnsi="Arial" w:cs="Arial"/>
              </w:rPr>
            </w:pPr>
          </w:p>
        </w:tc>
      </w:tr>
      <w:tr w:rsidR="004C084D" w:rsidRPr="00733B59" w14:paraId="47083D01" w14:textId="77777777" w:rsidTr="004C084D">
        <w:tc>
          <w:tcPr>
            <w:tcW w:w="3192" w:type="dxa"/>
          </w:tcPr>
          <w:p w14:paraId="3E64D81B" w14:textId="4E375AB8" w:rsidR="004C084D" w:rsidRPr="00733B59" w:rsidRDefault="00693F20" w:rsidP="00733B59">
            <w:pPr>
              <w:spacing w:line="360" w:lineRule="auto"/>
              <w:rPr>
                <w:rFonts w:ascii="Arial" w:hAnsi="Arial" w:cs="Arial"/>
              </w:rPr>
            </w:pPr>
            <w:r w:rsidRPr="00733B59">
              <w:rPr>
                <w:rFonts w:ascii="Arial" w:hAnsi="Arial" w:cs="Arial"/>
              </w:rPr>
              <w:t xml:space="preserve">Depreciation of equipment cost at 10% charged </w:t>
            </w:r>
            <w:r w:rsidR="009A3506" w:rsidRPr="00733B59">
              <w:rPr>
                <w:rFonts w:ascii="Arial" w:hAnsi="Arial" w:cs="Arial"/>
              </w:rPr>
              <w:t>annually</w:t>
            </w:r>
            <w:r w:rsidRPr="00733B59">
              <w:rPr>
                <w:rFonts w:ascii="Arial" w:hAnsi="Arial" w:cs="Arial"/>
              </w:rPr>
              <w:t xml:space="preserve"> </w:t>
            </w:r>
            <w:r w:rsidR="009A3506" w:rsidRPr="00733B59">
              <w:rPr>
                <w:rFonts w:ascii="Arial" w:hAnsi="Arial" w:cs="Arial"/>
              </w:rPr>
              <w:t xml:space="preserve">for 10 years. </w:t>
            </w:r>
          </w:p>
        </w:tc>
        <w:tc>
          <w:tcPr>
            <w:tcW w:w="3192" w:type="dxa"/>
          </w:tcPr>
          <w:p w14:paraId="3DC354E2" w14:textId="47191ECF" w:rsidR="004C084D" w:rsidRPr="00733B59" w:rsidRDefault="002B57B2" w:rsidP="00733B59">
            <w:pPr>
              <w:spacing w:line="360" w:lineRule="auto"/>
              <w:rPr>
                <w:rFonts w:ascii="Arial" w:hAnsi="Arial" w:cs="Arial"/>
              </w:rPr>
            </w:pPr>
            <w:r w:rsidRPr="00733B59">
              <w:rPr>
                <w:rFonts w:ascii="Arial" w:hAnsi="Arial" w:cs="Arial"/>
              </w:rPr>
              <w:t>6500</w:t>
            </w:r>
          </w:p>
        </w:tc>
        <w:tc>
          <w:tcPr>
            <w:tcW w:w="3192" w:type="dxa"/>
          </w:tcPr>
          <w:p w14:paraId="099C2A1C" w14:textId="77777777" w:rsidR="004C084D" w:rsidRPr="00733B59" w:rsidRDefault="004C084D" w:rsidP="00733B59">
            <w:pPr>
              <w:spacing w:line="360" w:lineRule="auto"/>
              <w:rPr>
                <w:rFonts w:ascii="Arial" w:hAnsi="Arial" w:cs="Arial"/>
              </w:rPr>
            </w:pPr>
          </w:p>
        </w:tc>
      </w:tr>
      <w:tr w:rsidR="004C084D" w:rsidRPr="00733B59" w14:paraId="1EC03B63" w14:textId="77777777" w:rsidTr="004C084D">
        <w:tc>
          <w:tcPr>
            <w:tcW w:w="3192" w:type="dxa"/>
          </w:tcPr>
          <w:p w14:paraId="2219181F" w14:textId="69E3CC95" w:rsidR="004C084D" w:rsidRPr="00733B59" w:rsidRDefault="009A3506" w:rsidP="00733B59">
            <w:pPr>
              <w:spacing w:line="360" w:lineRule="auto"/>
              <w:rPr>
                <w:rFonts w:ascii="Arial" w:hAnsi="Arial" w:cs="Arial"/>
              </w:rPr>
            </w:pPr>
            <w:r w:rsidRPr="00733B59">
              <w:rPr>
                <w:rFonts w:ascii="Arial" w:hAnsi="Arial" w:cs="Arial"/>
              </w:rPr>
              <w:t xml:space="preserve">Administrative expenses (outstanding salaries </w:t>
            </w:r>
            <w:r w:rsidR="00706EC3" w:rsidRPr="00733B59">
              <w:rPr>
                <w:rFonts w:ascii="Arial" w:hAnsi="Arial" w:cs="Arial"/>
              </w:rPr>
              <w:t>for December paid in next year)</w:t>
            </w:r>
          </w:p>
        </w:tc>
        <w:tc>
          <w:tcPr>
            <w:tcW w:w="3192" w:type="dxa"/>
          </w:tcPr>
          <w:p w14:paraId="37BF1F0D" w14:textId="54DA2F5C" w:rsidR="004C084D" w:rsidRPr="00733B59" w:rsidRDefault="002B57B2" w:rsidP="00733B59">
            <w:pPr>
              <w:spacing w:line="360" w:lineRule="auto"/>
              <w:rPr>
                <w:rFonts w:ascii="Arial" w:hAnsi="Arial" w:cs="Arial"/>
              </w:rPr>
            </w:pPr>
            <w:r w:rsidRPr="00733B59">
              <w:rPr>
                <w:rFonts w:ascii="Arial" w:hAnsi="Arial" w:cs="Arial"/>
              </w:rPr>
              <w:t>150000</w:t>
            </w:r>
          </w:p>
        </w:tc>
        <w:tc>
          <w:tcPr>
            <w:tcW w:w="3192" w:type="dxa"/>
          </w:tcPr>
          <w:p w14:paraId="3A16FBA2" w14:textId="77777777" w:rsidR="004C084D" w:rsidRPr="00733B59" w:rsidRDefault="004C084D" w:rsidP="00733B59">
            <w:pPr>
              <w:spacing w:line="360" w:lineRule="auto"/>
              <w:rPr>
                <w:rFonts w:ascii="Arial" w:hAnsi="Arial" w:cs="Arial"/>
              </w:rPr>
            </w:pPr>
          </w:p>
        </w:tc>
      </w:tr>
      <w:tr w:rsidR="004C084D" w:rsidRPr="00733B59" w14:paraId="7DC19833" w14:textId="77777777" w:rsidTr="004C084D">
        <w:tc>
          <w:tcPr>
            <w:tcW w:w="3192" w:type="dxa"/>
          </w:tcPr>
          <w:p w14:paraId="4FB30E05" w14:textId="1F29C9DD" w:rsidR="004C084D" w:rsidRPr="00733B59" w:rsidRDefault="00706EC3" w:rsidP="00733B59">
            <w:pPr>
              <w:spacing w:line="360" w:lineRule="auto"/>
              <w:rPr>
                <w:rFonts w:ascii="Arial" w:hAnsi="Arial" w:cs="Arial"/>
              </w:rPr>
            </w:pPr>
            <w:r w:rsidRPr="00733B59">
              <w:rPr>
                <w:rFonts w:ascii="Arial" w:hAnsi="Arial" w:cs="Arial"/>
              </w:rPr>
              <w:t>Salesman commission (Prepaid)</w:t>
            </w:r>
          </w:p>
        </w:tc>
        <w:tc>
          <w:tcPr>
            <w:tcW w:w="3192" w:type="dxa"/>
          </w:tcPr>
          <w:p w14:paraId="232DB37B" w14:textId="5B001402" w:rsidR="004C084D" w:rsidRPr="00733B59" w:rsidRDefault="002B57B2" w:rsidP="00733B59">
            <w:pPr>
              <w:spacing w:line="360" w:lineRule="auto"/>
              <w:rPr>
                <w:rFonts w:ascii="Arial" w:hAnsi="Arial" w:cs="Arial"/>
              </w:rPr>
            </w:pPr>
            <w:r w:rsidRPr="00733B59">
              <w:rPr>
                <w:rFonts w:ascii="Arial" w:hAnsi="Arial" w:cs="Arial"/>
              </w:rPr>
              <w:t>200</w:t>
            </w:r>
            <w:r w:rsidR="00DA64D4" w:rsidRPr="00733B59">
              <w:rPr>
                <w:rFonts w:ascii="Arial" w:hAnsi="Arial" w:cs="Arial"/>
              </w:rPr>
              <w:t>0</w:t>
            </w:r>
          </w:p>
        </w:tc>
        <w:tc>
          <w:tcPr>
            <w:tcW w:w="3192" w:type="dxa"/>
          </w:tcPr>
          <w:p w14:paraId="2B4B2B1C" w14:textId="77777777" w:rsidR="004C084D" w:rsidRPr="00733B59" w:rsidRDefault="004C084D" w:rsidP="00733B59">
            <w:pPr>
              <w:spacing w:line="360" w:lineRule="auto"/>
              <w:rPr>
                <w:rFonts w:ascii="Arial" w:hAnsi="Arial" w:cs="Arial"/>
              </w:rPr>
            </w:pPr>
          </w:p>
        </w:tc>
      </w:tr>
      <w:tr w:rsidR="004C084D" w:rsidRPr="00733B59" w14:paraId="4FB2616B" w14:textId="77777777" w:rsidTr="004C084D">
        <w:tc>
          <w:tcPr>
            <w:tcW w:w="3192" w:type="dxa"/>
          </w:tcPr>
          <w:p w14:paraId="06F8E43A" w14:textId="543C4B42" w:rsidR="004C084D" w:rsidRPr="00733B59" w:rsidRDefault="00267511" w:rsidP="00733B59">
            <w:pPr>
              <w:spacing w:line="360" w:lineRule="auto"/>
              <w:rPr>
                <w:rFonts w:ascii="Arial" w:hAnsi="Arial" w:cs="Arial"/>
              </w:rPr>
            </w:pPr>
            <w:r w:rsidRPr="00733B59">
              <w:rPr>
                <w:rFonts w:ascii="Arial" w:hAnsi="Arial" w:cs="Arial"/>
              </w:rPr>
              <w:t>Directors’</w:t>
            </w:r>
            <w:r w:rsidR="00E13248" w:rsidRPr="00733B59">
              <w:rPr>
                <w:rFonts w:ascii="Arial" w:hAnsi="Arial" w:cs="Arial"/>
              </w:rPr>
              <w:t xml:space="preserve"> remuneration</w:t>
            </w:r>
          </w:p>
        </w:tc>
        <w:tc>
          <w:tcPr>
            <w:tcW w:w="3192" w:type="dxa"/>
          </w:tcPr>
          <w:p w14:paraId="155836C0" w14:textId="78DAB675" w:rsidR="004C084D" w:rsidRPr="00733B59" w:rsidRDefault="00DA64D4" w:rsidP="00733B59">
            <w:pPr>
              <w:spacing w:line="360" w:lineRule="auto"/>
              <w:rPr>
                <w:rFonts w:ascii="Arial" w:hAnsi="Arial" w:cs="Arial"/>
              </w:rPr>
            </w:pPr>
            <w:r w:rsidRPr="00733B59">
              <w:rPr>
                <w:rFonts w:ascii="Arial" w:hAnsi="Arial" w:cs="Arial"/>
              </w:rPr>
              <w:t>5000</w:t>
            </w:r>
          </w:p>
        </w:tc>
        <w:tc>
          <w:tcPr>
            <w:tcW w:w="3192" w:type="dxa"/>
          </w:tcPr>
          <w:p w14:paraId="743927A2" w14:textId="77777777" w:rsidR="004C084D" w:rsidRPr="00733B59" w:rsidRDefault="004C084D" w:rsidP="00733B59">
            <w:pPr>
              <w:spacing w:line="360" w:lineRule="auto"/>
              <w:rPr>
                <w:rFonts w:ascii="Arial" w:hAnsi="Arial" w:cs="Arial"/>
              </w:rPr>
            </w:pPr>
          </w:p>
        </w:tc>
      </w:tr>
      <w:tr w:rsidR="004C084D" w:rsidRPr="00733B59" w14:paraId="59789A69" w14:textId="77777777" w:rsidTr="004C084D">
        <w:tc>
          <w:tcPr>
            <w:tcW w:w="3192" w:type="dxa"/>
          </w:tcPr>
          <w:p w14:paraId="0950318C" w14:textId="0FB200E3" w:rsidR="004C084D" w:rsidRPr="00733B59" w:rsidRDefault="00E13248" w:rsidP="00733B59">
            <w:pPr>
              <w:spacing w:line="360" w:lineRule="auto"/>
              <w:rPr>
                <w:rFonts w:ascii="Arial" w:hAnsi="Arial" w:cs="Arial"/>
              </w:rPr>
            </w:pPr>
            <w:r w:rsidRPr="00733B59">
              <w:rPr>
                <w:rFonts w:ascii="Arial" w:hAnsi="Arial" w:cs="Arial"/>
              </w:rPr>
              <w:t>Distribution cost</w:t>
            </w:r>
          </w:p>
        </w:tc>
        <w:tc>
          <w:tcPr>
            <w:tcW w:w="3192" w:type="dxa"/>
          </w:tcPr>
          <w:p w14:paraId="64897C02" w14:textId="6AC0772F" w:rsidR="004C084D" w:rsidRPr="00733B59" w:rsidRDefault="00DA64D4" w:rsidP="00733B59">
            <w:pPr>
              <w:spacing w:line="360" w:lineRule="auto"/>
              <w:rPr>
                <w:rFonts w:ascii="Arial" w:hAnsi="Arial" w:cs="Arial"/>
              </w:rPr>
            </w:pPr>
            <w:r w:rsidRPr="00733B59">
              <w:rPr>
                <w:rFonts w:ascii="Arial" w:hAnsi="Arial" w:cs="Arial"/>
              </w:rPr>
              <w:t>28000</w:t>
            </w:r>
          </w:p>
        </w:tc>
        <w:tc>
          <w:tcPr>
            <w:tcW w:w="3192" w:type="dxa"/>
          </w:tcPr>
          <w:p w14:paraId="096742C1" w14:textId="77777777" w:rsidR="004C084D" w:rsidRPr="00733B59" w:rsidRDefault="004C084D" w:rsidP="00733B59">
            <w:pPr>
              <w:spacing w:line="360" w:lineRule="auto"/>
              <w:rPr>
                <w:rFonts w:ascii="Arial" w:hAnsi="Arial" w:cs="Arial"/>
              </w:rPr>
            </w:pPr>
          </w:p>
        </w:tc>
      </w:tr>
      <w:tr w:rsidR="004C084D" w:rsidRPr="00733B59" w14:paraId="20DECC0A" w14:textId="77777777" w:rsidTr="004C084D">
        <w:tc>
          <w:tcPr>
            <w:tcW w:w="3192" w:type="dxa"/>
          </w:tcPr>
          <w:p w14:paraId="02C8A61C" w14:textId="50E7FDE1" w:rsidR="004C084D" w:rsidRPr="00733B59" w:rsidRDefault="00E13248" w:rsidP="00733B59">
            <w:pPr>
              <w:spacing w:line="360" w:lineRule="auto"/>
              <w:rPr>
                <w:rFonts w:ascii="Arial" w:hAnsi="Arial" w:cs="Arial"/>
              </w:rPr>
            </w:pPr>
            <w:r w:rsidRPr="00733B59">
              <w:rPr>
                <w:rFonts w:ascii="Arial" w:hAnsi="Arial" w:cs="Arial"/>
              </w:rPr>
              <w:t xml:space="preserve">Accrued Expenses </w:t>
            </w:r>
          </w:p>
        </w:tc>
        <w:tc>
          <w:tcPr>
            <w:tcW w:w="3192" w:type="dxa"/>
          </w:tcPr>
          <w:p w14:paraId="66992C3A" w14:textId="42C9463B" w:rsidR="004C084D" w:rsidRPr="00733B59" w:rsidRDefault="00DA64D4" w:rsidP="00733B59">
            <w:pPr>
              <w:spacing w:line="360" w:lineRule="auto"/>
              <w:rPr>
                <w:rFonts w:ascii="Arial" w:hAnsi="Arial" w:cs="Arial"/>
              </w:rPr>
            </w:pPr>
            <w:r w:rsidRPr="00733B59">
              <w:rPr>
                <w:rFonts w:ascii="Arial" w:hAnsi="Arial" w:cs="Arial"/>
              </w:rPr>
              <w:t>1000</w:t>
            </w:r>
          </w:p>
        </w:tc>
        <w:tc>
          <w:tcPr>
            <w:tcW w:w="3192" w:type="dxa"/>
          </w:tcPr>
          <w:p w14:paraId="1D42A5C9" w14:textId="77777777" w:rsidR="004C084D" w:rsidRPr="00733B59" w:rsidRDefault="004C084D" w:rsidP="00733B59">
            <w:pPr>
              <w:spacing w:line="360" w:lineRule="auto"/>
              <w:rPr>
                <w:rFonts w:ascii="Arial" w:hAnsi="Arial" w:cs="Arial"/>
              </w:rPr>
            </w:pPr>
          </w:p>
        </w:tc>
      </w:tr>
      <w:tr w:rsidR="004C084D" w:rsidRPr="00733B59" w14:paraId="21D9EA73" w14:textId="77777777" w:rsidTr="004C084D">
        <w:tc>
          <w:tcPr>
            <w:tcW w:w="3192" w:type="dxa"/>
          </w:tcPr>
          <w:p w14:paraId="1E466211" w14:textId="791C2AB9" w:rsidR="004C084D" w:rsidRPr="00733B59" w:rsidRDefault="00144D54" w:rsidP="00733B59">
            <w:pPr>
              <w:spacing w:line="360" w:lineRule="auto"/>
              <w:rPr>
                <w:rFonts w:ascii="Arial" w:hAnsi="Arial" w:cs="Arial"/>
              </w:rPr>
            </w:pPr>
            <w:r w:rsidRPr="00733B59">
              <w:rPr>
                <w:rFonts w:ascii="Arial" w:hAnsi="Arial" w:cs="Arial"/>
              </w:rPr>
              <w:t xml:space="preserve">Operating cost before tax </w:t>
            </w:r>
          </w:p>
        </w:tc>
        <w:tc>
          <w:tcPr>
            <w:tcW w:w="3192" w:type="dxa"/>
          </w:tcPr>
          <w:p w14:paraId="0D2CF621" w14:textId="77777777" w:rsidR="004C084D" w:rsidRPr="00733B59" w:rsidRDefault="004C084D" w:rsidP="00733B59">
            <w:pPr>
              <w:spacing w:line="360" w:lineRule="auto"/>
              <w:rPr>
                <w:rFonts w:ascii="Arial" w:hAnsi="Arial" w:cs="Arial"/>
              </w:rPr>
            </w:pPr>
          </w:p>
        </w:tc>
        <w:tc>
          <w:tcPr>
            <w:tcW w:w="3192" w:type="dxa"/>
          </w:tcPr>
          <w:p w14:paraId="10EAFC33" w14:textId="2B24ADEC" w:rsidR="004C084D" w:rsidRPr="00733B59" w:rsidRDefault="00DA64D4" w:rsidP="00733B59">
            <w:pPr>
              <w:spacing w:line="360" w:lineRule="auto"/>
              <w:rPr>
                <w:rFonts w:ascii="Arial" w:hAnsi="Arial" w:cs="Arial"/>
              </w:rPr>
            </w:pPr>
            <w:r w:rsidRPr="00733B59">
              <w:rPr>
                <w:rFonts w:ascii="Arial" w:hAnsi="Arial" w:cs="Arial"/>
              </w:rPr>
              <w:t>192500</w:t>
            </w:r>
          </w:p>
        </w:tc>
      </w:tr>
      <w:tr w:rsidR="004C084D" w:rsidRPr="00733B59" w14:paraId="409C3466" w14:textId="77777777" w:rsidTr="004C084D">
        <w:tc>
          <w:tcPr>
            <w:tcW w:w="3192" w:type="dxa"/>
          </w:tcPr>
          <w:p w14:paraId="400400EA" w14:textId="215F2C6C" w:rsidR="004C084D" w:rsidRPr="00733B59" w:rsidRDefault="00267511" w:rsidP="00733B59">
            <w:pPr>
              <w:spacing w:line="360" w:lineRule="auto"/>
              <w:rPr>
                <w:rFonts w:ascii="Arial" w:hAnsi="Arial" w:cs="Arial"/>
              </w:rPr>
            </w:pPr>
            <w:r w:rsidRPr="00733B59">
              <w:rPr>
                <w:rFonts w:ascii="Arial" w:hAnsi="Arial" w:cs="Arial"/>
              </w:rPr>
              <w:t>Interest</w:t>
            </w:r>
            <w:r w:rsidR="00144D54" w:rsidRPr="00733B59">
              <w:rPr>
                <w:rFonts w:ascii="Arial" w:hAnsi="Arial" w:cs="Arial"/>
              </w:rPr>
              <w:t xml:space="preserve"> paid </w:t>
            </w:r>
          </w:p>
        </w:tc>
        <w:tc>
          <w:tcPr>
            <w:tcW w:w="3192" w:type="dxa"/>
          </w:tcPr>
          <w:p w14:paraId="74A3E141" w14:textId="6A371AD9" w:rsidR="004C084D" w:rsidRPr="00733B59" w:rsidRDefault="00375621" w:rsidP="00733B59">
            <w:pPr>
              <w:spacing w:line="360" w:lineRule="auto"/>
              <w:rPr>
                <w:rFonts w:ascii="Arial" w:hAnsi="Arial" w:cs="Arial"/>
              </w:rPr>
            </w:pPr>
            <w:r w:rsidRPr="00733B59">
              <w:rPr>
                <w:rFonts w:ascii="Arial" w:hAnsi="Arial" w:cs="Arial"/>
              </w:rPr>
              <w:t>2000</w:t>
            </w:r>
          </w:p>
        </w:tc>
        <w:tc>
          <w:tcPr>
            <w:tcW w:w="3192" w:type="dxa"/>
          </w:tcPr>
          <w:p w14:paraId="4E05690F" w14:textId="77777777" w:rsidR="004C084D" w:rsidRPr="00733B59" w:rsidRDefault="004C084D" w:rsidP="00733B59">
            <w:pPr>
              <w:spacing w:line="360" w:lineRule="auto"/>
              <w:rPr>
                <w:rFonts w:ascii="Arial" w:hAnsi="Arial" w:cs="Arial"/>
              </w:rPr>
            </w:pPr>
          </w:p>
        </w:tc>
      </w:tr>
      <w:tr w:rsidR="004C084D" w:rsidRPr="00733B59" w14:paraId="3043E268" w14:textId="77777777" w:rsidTr="004C084D">
        <w:tc>
          <w:tcPr>
            <w:tcW w:w="3192" w:type="dxa"/>
          </w:tcPr>
          <w:p w14:paraId="4392FFA0" w14:textId="447901CB" w:rsidR="004C084D" w:rsidRPr="00733B59" w:rsidRDefault="00144D54" w:rsidP="00733B59">
            <w:pPr>
              <w:spacing w:line="360" w:lineRule="auto"/>
              <w:rPr>
                <w:rFonts w:ascii="Arial" w:hAnsi="Arial" w:cs="Arial"/>
              </w:rPr>
            </w:pPr>
            <w:r w:rsidRPr="00733B59">
              <w:rPr>
                <w:rFonts w:ascii="Arial" w:hAnsi="Arial" w:cs="Arial"/>
              </w:rPr>
              <w:t xml:space="preserve">Corporate tax </w:t>
            </w:r>
          </w:p>
        </w:tc>
        <w:tc>
          <w:tcPr>
            <w:tcW w:w="3192" w:type="dxa"/>
          </w:tcPr>
          <w:p w14:paraId="79657D68" w14:textId="06685D80" w:rsidR="004C084D" w:rsidRPr="00733B59" w:rsidRDefault="00375621" w:rsidP="00733B59">
            <w:pPr>
              <w:spacing w:line="360" w:lineRule="auto"/>
              <w:rPr>
                <w:rFonts w:ascii="Arial" w:hAnsi="Arial" w:cs="Arial"/>
              </w:rPr>
            </w:pPr>
            <w:r w:rsidRPr="00733B59">
              <w:rPr>
                <w:rFonts w:ascii="Arial" w:hAnsi="Arial" w:cs="Arial"/>
              </w:rPr>
              <w:t>15000</w:t>
            </w:r>
          </w:p>
        </w:tc>
        <w:tc>
          <w:tcPr>
            <w:tcW w:w="3192" w:type="dxa"/>
          </w:tcPr>
          <w:p w14:paraId="4588E848" w14:textId="77777777" w:rsidR="004C084D" w:rsidRPr="00733B59" w:rsidRDefault="004C084D" w:rsidP="00733B59">
            <w:pPr>
              <w:spacing w:line="360" w:lineRule="auto"/>
              <w:rPr>
                <w:rFonts w:ascii="Arial" w:hAnsi="Arial" w:cs="Arial"/>
              </w:rPr>
            </w:pPr>
          </w:p>
        </w:tc>
      </w:tr>
      <w:tr w:rsidR="004C084D" w:rsidRPr="00733B59" w14:paraId="72AFE3A6" w14:textId="77777777" w:rsidTr="004C084D">
        <w:tc>
          <w:tcPr>
            <w:tcW w:w="3192" w:type="dxa"/>
          </w:tcPr>
          <w:p w14:paraId="375177DD" w14:textId="69193A4E" w:rsidR="004C084D" w:rsidRPr="00733B59" w:rsidRDefault="00267511" w:rsidP="00733B59">
            <w:pPr>
              <w:spacing w:line="360" w:lineRule="auto"/>
              <w:rPr>
                <w:rFonts w:ascii="Arial" w:hAnsi="Arial" w:cs="Arial"/>
              </w:rPr>
            </w:pPr>
            <w:r w:rsidRPr="00733B59">
              <w:rPr>
                <w:rFonts w:ascii="Arial" w:hAnsi="Arial" w:cs="Arial"/>
              </w:rPr>
              <w:t xml:space="preserve">Operating cost after tax </w:t>
            </w:r>
          </w:p>
        </w:tc>
        <w:tc>
          <w:tcPr>
            <w:tcW w:w="3192" w:type="dxa"/>
          </w:tcPr>
          <w:p w14:paraId="4B702915" w14:textId="77777777" w:rsidR="004C084D" w:rsidRPr="00733B59" w:rsidRDefault="004C084D" w:rsidP="00733B59">
            <w:pPr>
              <w:spacing w:line="360" w:lineRule="auto"/>
              <w:rPr>
                <w:rFonts w:ascii="Arial" w:hAnsi="Arial" w:cs="Arial"/>
              </w:rPr>
            </w:pPr>
          </w:p>
        </w:tc>
        <w:tc>
          <w:tcPr>
            <w:tcW w:w="3192" w:type="dxa"/>
          </w:tcPr>
          <w:p w14:paraId="28E4F5A1" w14:textId="40A99E3A" w:rsidR="004C084D" w:rsidRPr="00733B59" w:rsidRDefault="00375621" w:rsidP="00733B59">
            <w:pPr>
              <w:spacing w:line="360" w:lineRule="auto"/>
              <w:rPr>
                <w:rFonts w:ascii="Arial" w:hAnsi="Arial" w:cs="Arial"/>
              </w:rPr>
            </w:pPr>
            <w:r w:rsidRPr="00733B59">
              <w:rPr>
                <w:rFonts w:ascii="Arial" w:hAnsi="Arial" w:cs="Arial"/>
              </w:rPr>
              <w:t>175500</w:t>
            </w:r>
          </w:p>
        </w:tc>
      </w:tr>
      <w:tr w:rsidR="004C084D" w:rsidRPr="00733B59" w14:paraId="32A24575" w14:textId="77777777" w:rsidTr="004C084D">
        <w:tc>
          <w:tcPr>
            <w:tcW w:w="3192" w:type="dxa"/>
          </w:tcPr>
          <w:p w14:paraId="60BD400E" w14:textId="77777777" w:rsidR="004C084D" w:rsidRPr="00733B59" w:rsidRDefault="004C084D" w:rsidP="00733B59">
            <w:pPr>
              <w:spacing w:line="360" w:lineRule="auto"/>
              <w:rPr>
                <w:rFonts w:ascii="Arial" w:hAnsi="Arial" w:cs="Arial"/>
              </w:rPr>
            </w:pPr>
          </w:p>
        </w:tc>
        <w:tc>
          <w:tcPr>
            <w:tcW w:w="3192" w:type="dxa"/>
          </w:tcPr>
          <w:p w14:paraId="574F3087" w14:textId="77777777" w:rsidR="004C084D" w:rsidRPr="00733B59" w:rsidRDefault="004C084D" w:rsidP="00733B59">
            <w:pPr>
              <w:spacing w:line="360" w:lineRule="auto"/>
              <w:rPr>
                <w:rFonts w:ascii="Arial" w:hAnsi="Arial" w:cs="Arial"/>
              </w:rPr>
            </w:pPr>
          </w:p>
        </w:tc>
        <w:tc>
          <w:tcPr>
            <w:tcW w:w="3192" w:type="dxa"/>
          </w:tcPr>
          <w:p w14:paraId="140583E9" w14:textId="77777777" w:rsidR="004C084D" w:rsidRPr="00733B59" w:rsidRDefault="004C084D" w:rsidP="00733B59">
            <w:pPr>
              <w:spacing w:line="360" w:lineRule="auto"/>
              <w:rPr>
                <w:rFonts w:ascii="Arial" w:hAnsi="Arial" w:cs="Arial"/>
              </w:rPr>
            </w:pPr>
          </w:p>
        </w:tc>
      </w:tr>
      <w:tr w:rsidR="004C084D" w:rsidRPr="00733B59" w14:paraId="7A788C98" w14:textId="77777777" w:rsidTr="004C084D">
        <w:tc>
          <w:tcPr>
            <w:tcW w:w="3192" w:type="dxa"/>
          </w:tcPr>
          <w:p w14:paraId="164F5BBE" w14:textId="6F9C070A" w:rsidR="004C084D" w:rsidRPr="00733B59" w:rsidRDefault="00267511" w:rsidP="00733B59">
            <w:pPr>
              <w:spacing w:line="360" w:lineRule="auto"/>
              <w:rPr>
                <w:rFonts w:ascii="Arial" w:hAnsi="Arial" w:cs="Arial"/>
              </w:rPr>
            </w:pPr>
            <w:r w:rsidRPr="00733B59">
              <w:rPr>
                <w:rFonts w:ascii="Arial" w:hAnsi="Arial" w:cs="Arial"/>
              </w:rPr>
              <w:t xml:space="preserve">Net Profit </w:t>
            </w:r>
          </w:p>
        </w:tc>
        <w:tc>
          <w:tcPr>
            <w:tcW w:w="3192" w:type="dxa"/>
          </w:tcPr>
          <w:p w14:paraId="7D7F5160" w14:textId="77777777" w:rsidR="004C084D" w:rsidRPr="00733B59" w:rsidRDefault="004C084D" w:rsidP="00733B59">
            <w:pPr>
              <w:spacing w:line="360" w:lineRule="auto"/>
              <w:rPr>
                <w:rFonts w:ascii="Arial" w:hAnsi="Arial" w:cs="Arial"/>
              </w:rPr>
            </w:pPr>
          </w:p>
        </w:tc>
        <w:tc>
          <w:tcPr>
            <w:tcW w:w="3192" w:type="dxa"/>
          </w:tcPr>
          <w:p w14:paraId="1861C969" w14:textId="1F5AB948" w:rsidR="004C084D" w:rsidRPr="00733B59" w:rsidRDefault="00396C34" w:rsidP="00733B59">
            <w:pPr>
              <w:spacing w:line="360" w:lineRule="auto"/>
              <w:rPr>
                <w:rFonts w:ascii="Arial" w:hAnsi="Arial" w:cs="Arial"/>
              </w:rPr>
            </w:pPr>
            <w:r w:rsidRPr="00733B59">
              <w:rPr>
                <w:rFonts w:ascii="Arial" w:hAnsi="Arial" w:cs="Arial"/>
              </w:rPr>
              <w:t>145850</w:t>
            </w:r>
          </w:p>
        </w:tc>
      </w:tr>
    </w:tbl>
    <w:p w14:paraId="0157B27F" w14:textId="77777777" w:rsidR="0015469C" w:rsidRPr="00733B59" w:rsidRDefault="0015469C" w:rsidP="00733B59">
      <w:pPr>
        <w:spacing w:line="360" w:lineRule="auto"/>
        <w:rPr>
          <w:rFonts w:ascii="Arial" w:hAnsi="Arial" w:cs="Arial"/>
        </w:rPr>
      </w:pPr>
    </w:p>
    <w:p w14:paraId="3ACF64EE" w14:textId="0A4EFCA2" w:rsidR="00F01837" w:rsidRPr="0015469C" w:rsidRDefault="007F67E2" w:rsidP="00733B59">
      <w:pPr>
        <w:spacing w:line="360" w:lineRule="auto"/>
        <w:rPr>
          <w:rFonts w:ascii="Arial" w:hAnsi="Arial" w:cs="Arial"/>
        </w:rPr>
      </w:pPr>
      <w:r w:rsidRPr="00733B59">
        <w:rPr>
          <w:rFonts w:ascii="Arial" w:hAnsi="Arial" w:cs="Arial"/>
        </w:rPr>
        <w:t xml:space="preserve">                          Income statement for the year ended 31st December 2022 for Wales plc.</w:t>
      </w:r>
    </w:p>
    <w:p w14:paraId="6965D2E3" w14:textId="590E5072" w:rsidR="002539AA" w:rsidRPr="00733B59" w:rsidRDefault="002539AA" w:rsidP="00733B59">
      <w:pPr>
        <w:spacing w:line="360" w:lineRule="auto"/>
        <w:rPr>
          <w:rFonts w:ascii="Arial" w:hAnsi="Arial" w:cs="Arial"/>
        </w:rPr>
      </w:pPr>
      <w:r w:rsidRPr="002539AA">
        <w:rPr>
          <w:rFonts w:ascii="Arial" w:hAnsi="Arial" w:cs="Arial"/>
        </w:rPr>
        <w:t>This income statement reflects the adjusted figures for the expenses, including accrued salaries, estimated corporation tax, and the accrual for salesmen's commission. It provides a more accurate representation of the company's financial performance for the year 2022.</w:t>
      </w:r>
      <w:r w:rsidR="00A7186A" w:rsidRPr="00733B59">
        <w:rPr>
          <w:rFonts w:ascii="Arial" w:hAnsi="Arial" w:cs="Arial"/>
        </w:rPr>
        <w:t xml:space="preserve"> It can be confirmed </w:t>
      </w:r>
      <w:r w:rsidR="000A300C" w:rsidRPr="00733B59">
        <w:rPr>
          <w:rFonts w:ascii="Arial" w:hAnsi="Arial" w:cs="Arial"/>
        </w:rPr>
        <w:t xml:space="preserve">that the company </w:t>
      </w:r>
      <w:r w:rsidR="007F67E2" w:rsidRPr="00733B59">
        <w:rPr>
          <w:rFonts w:ascii="Arial" w:hAnsi="Arial" w:cs="Arial"/>
        </w:rPr>
        <w:t>attained</w:t>
      </w:r>
      <w:r w:rsidR="00A04508" w:rsidRPr="00733B59">
        <w:rPr>
          <w:rFonts w:ascii="Arial" w:hAnsi="Arial" w:cs="Arial"/>
        </w:rPr>
        <w:t xml:space="preserve"> profit of </w:t>
      </w:r>
      <w:r w:rsidR="00F01837" w:rsidRPr="00733B59">
        <w:rPr>
          <w:rFonts w:ascii="Arial" w:hAnsi="Arial" w:cs="Arial"/>
        </w:rPr>
        <w:t>£</w:t>
      </w:r>
      <w:r w:rsidR="00A04508" w:rsidRPr="00733B59">
        <w:rPr>
          <w:rFonts w:ascii="Arial" w:hAnsi="Arial" w:cs="Arial"/>
        </w:rPr>
        <w:t>145850</w:t>
      </w:r>
      <w:r w:rsidR="00154D90" w:rsidRPr="00733B59">
        <w:rPr>
          <w:rFonts w:ascii="Arial" w:hAnsi="Arial" w:cs="Arial"/>
        </w:rPr>
        <w:t xml:space="preserve">, which </w:t>
      </w:r>
      <w:r w:rsidR="00F01837" w:rsidRPr="00733B59">
        <w:rPr>
          <w:rFonts w:ascii="Arial" w:hAnsi="Arial" w:cs="Arial"/>
        </w:rPr>
        <w:t>indicates</w:t>
      </w:r>
      <w:r w:rsidR="00154D90" w:rsidRPr="00733B59">
        <w:rPr>
          <w:rFonts w:ascii="Arial" w:hAnsi="Arial" w:cs="Arial"/>
        </w:rPr>
        <w:t xml:space="preserve"> the </w:t>
      </w:r>
      <w:r w:rsidR="0075326C" w:rsidRPr="00733B59">
        <w:rPr>
          <w:rFonts w:ascii="Arial" w:hAnsi="Arial" w:cs="Arial"/>
        </w:rPr>
        <w:t>strength</w:t>
      </w:r>
      <w:r w:rsidR="00154D90" w:rsidRPr="00733B59">
        <w:rPr>
          <w:rFonts w:ascii="Arial" w:hAnsi="Arial" w:cs="Arial"/>
        </w:rPr>
        <w:t xml:space="preserve"> of the company </w:t>
      </w:r>
      <w:r w:rsidR="00330A5B" w:rsidRPr="00733B59">
        <w:rPr>
          <w:rFonts w:ascii="Arial" w:hAnsi="Arial" w:cs="Arial"/>
        </w:rPr>
        <w:t xml:space="preserve">in managing </w:t>
      </w:r>
      <w:r w:rsidR="00304251" w:rsidRPr="00733B59">
        <w:rPr>
          <w:rFonts w:ascii="Arial" w:hAnsi="Arial" w:cs="Arial"/>
        </w:rPr>
        <w:t>profits</w:t>
      </w:r>
      <w:r w:rsidR="00330A5B" w:rsidRPr="00733B59">
        <w:rPr>
          <w:rFonts w:ascii="Arial" w:hAnsi="Arial" w:cs="Arial"/>
        </w:rPr>
        <w:t xml:space="preserve"> </w:t>
      </w:r>
      <w:r w:rsidR="006E5EF9" w:rsidRPr="00733B59">
        <w:rPr>
          <w:rFonts w:ascii="Arial" w:hAnsi="Arial" w:cs="Arial"/>
        </w:rPr>
        <w:t>made</w:t>
      </w:r>
      <w:r w:rsidR="00F01837" w:rsidRPr="00733B59">
        <w:rPr>
          <w:rFonts w:ascii="Arial" w:hAnsi="Arial" w:cs="Arial"/>
        </w:rPr>
        <w:t xml:space="preserve"> </w:t>
      </w:r>
      <w:r w:rsidR="0075326C" w:rsidRPr="00733B59">
        <w:rPr>
          <w:rFonts w:ascii="Arial" w:hAnsi="Arial" w:cs="Arial"/>
        </w:rPr>
        <w:t>excluding</w:t>
      </w:r>
      <w:r w:rsidR="00330A5B" w:rsidRPr="00733B59">
        <w:rPr>
          <w:rFonts w:ascii="Arial" w:hAnsi="Arial" w:cs="Arial"/>
        </w:rPr>
        <w:t xml:space="preserve"> the cost of sales and </w:t>
      </w:r>
      <w:r w:rsidR="0075326C" w:rsidRPr="00733B59">
        <w:rPr>
          <w:rFonts w:ascii="Arial" w:hAnsi="Arial" w:cs="Arial"/>
        </w:rPr>
        <w:t>utilizing</w:t>
      </w:r>
      <w:r w:rsidR="00330A5B" w:rsidRPr="00733B59">
        <w:rPr>
          <w:rFonts w:ascii="Arial" w:hAnsi="Arial" w:cs="Arial"/>
        </w:rPr>
        <w:t xml:space="preserve"> </w:t>
      </w:r>
      <w:r w:rsidR="0075326C" w:rsidRPr="00733B59">
        <w:rPr>
          <w:rFonts w:ascii="Arial" w:hAnsi="Arial" w:cs="Arial"/>
        </w:rPr>
        <w:t xml:space="preserve">the </w:t>
      </w:r>
      <w:proofErr w:type="gramStart"/>
      <w:r w:rsidR="0075326C" w:rsidRPr="00733B59">
        <w:rPr>
          <w:rFonts w:ascii="Arial" w:hAnsi="Arial" w:cs="Arial"/>
        </w:rPr>
        <w:t>fund</w:t>
      </w:r>
      <w:proofErr w:type="gramEnd"/>
      <w:r w:rsidR="0075326C" w:rsidRPr="00733B59">
        <w:rPr>
          <w:rFonts w:ascii="Arial" w:hAnsi="Arial" w:cs="Arial"/>
        </w:rPr>
        <w:t xml:space="preserve"> in meeting the operational expenses. </w:t>
      </w:r>
    </w:p>
    <w:p w14:paraId="3D9E0E38" w14:textId="177FCD60" w:rsidR="002539AA" w:rsidRPr="00733B59" w:rsidRDefault="002539AA" w:rsidP="00733B59">
      <w:pPr>
        <w:spacing w:line="360" w:lineRule="auto"/>
        <w:rPr>
          <w:rFonts w:ascii="Arial" w:hAnsi="Arial" w:cs="Arial"/>
        </w:rPr>
      </w:pPr>
      <w:r w:rsidRPr="00733B59">
        <w:rPr>
          <w:rFonts w:ascii="Arial" w:hAnsi="Arial" w:cs="Arial"/>
        </w:rPr>
        <w:t xml:space="preserve">Question 3. </w:t>
      </w:r>
    </w:p>
    <w:p w14:paraId="79C57869" w14:textId="53FD8551" w:rsidR="00AB0594" w:rsidRPr="00733B59" w:rsidRDefault="00AB0594" w:rsidP="00733B59">
      <w:pPr>
        <w:pStyle w:val="ListParagraph"/>
        <w:numPr>
          <w:ilvl w:val="0"/>
          <w:numId w:val="5"/>
        </w:numPr>
        <w:spacing w:line="360" w:lineRule="auto"/>
        <w:rPr>
          <w:rFonts w:ascii="Arial" w:hAnsi="Arial" w:cs="Arial"/>
        </w:rPr>
      </w:pPr>
      <w:r w:rsidRPr="00733B59">
        <w:rPr>
          <w:rFonts w:ascii="Arial" w:hAnsi="Arial" w:cs="Arial"/>
        </w:rPr>
        <w:t xml:space="preserve">Ratios in financial </w:t>
      </w:r>
      <w:r w:rsidR="0050751C" w:rsidRPr="00733B59">
        <w:rPr>
          <w:rFonts w:ascii="Arial" w:hAnsi="Arial" w:cs="Arial"/>
        </w:rPr>
        <w:t>analysis</w:t>
      </w:r>
      <w:r w:rsidR="004639EB" w:rsidRPr="00733B59">
        <w:rPr>
          <w:rFonts w:ascii="Arial" w:hAnsi="Arial" w:cs="Arial"/>
        </w:rPr>
        <w:t xml:space="preserve"> are </w:t>
      </w:r>
      <w:r w:rsidR="0050751C" w:rsidRPr="00733B59">
        <w:rPr>
          <w:rFonts w:ascii="Arial" w:hAnsi="Arial" w:cs="Arial"/>
        </w:rPr>
        <w:t>quantitative</w:t>
      </w:r>
      <w:r w:rsidR="004639EB" w:rsidRPr="00733B59">
        <w:rPr>
          <w:rFonts w:ascii="Arial" w:hAnsi="Arial" w:cs="Arial"/>
        </w:rPr>
        <w:t xml:space="preserve"> measures that express the relationship between</w:t>
      </w:r>
      <w:r w:rsidR="005F6F11" w:rsidRPr="00733B59">
        <w:rPr>
          <w:rFonts w:ascii="Arial" w:hAnsi="Arial" w:cs="Arial"/>
        </w:rPr>
        <w:t xml:space="preserve"> different financial </w:t>
      </w:r>
      <w:r w:rsidR="0050751C" w:rsidRPr="00733B59">
        <w:rPr>
          <w:rFonts w:ascii="Arial" w:hAnsi="Arial" w:cs="Arial"/>
        </w:rPr>
        <w:t>variables,</w:t>
      </w:r>
      <w:r w:rsidR="005F6F11" w:rsidRPr="00733B59">
        <w:rPr>
          <w:rFonts w:ascii="Arial" w:hAnsi="Arial" w:cs="Arial"/>
        </w:rPr>
        <w:t xml:space="preserve"> providing insights into a company’s performance and financial health. In </w:t>
      </w:r>
      <w:r w:rsidR="005C1B75" w:rsidRPr="00733B59">
        <w:rPr>
          <w:rFonts w:ascii="Arial" w:hAnsi="Arial" w:cs="Arial"/>
        </w:rPr>
        <w:t>the case</w:t>
      </w:r>
      <w:r w:rsidR="005F6F11" w:rsidRPr="00733B59">
        <w:rPr>
          <w:rFonts w:ascii="Arial" w:hAnsi="Arial" w:cs="Arial"/>
        </w:rPr>
        <w:t xml:space="preserve"> of </w:t>
      </w:r>
      <w:proofErr w:type="gramStart"/>
      <w:r w:rsidR="0050751C" w:rsidRPr="00733B59">
        <w:rPr>
          <w:rFonts w:ascii="Arial" w:hAnsi="Arial" w:cs="Arial"/>
        </w:rPr>
        <w:t>Sweet</w:t>
      </w:r>
      <w:proofErr w:type="gramEnd"/>
      <w:r w:rsidR="0050751C" w:rsidRPr="00733B59">
        <w:rPr>
          <w:rFonts w:ascii="Arial" w:hAnsi="Arial" w:cs="Arial"/>
        </w:rPr>
        <w:t xml:space="preserve"> </w:t>
      </w:r>
      <w:r w:rsidR="009F0A4D" w:rsidRPr="00733B59">
        <w:rPr>
          <w:rFonts w:ascii="Arial" w:hAnsi="Arial" w:cs="Arial"/>
        </w:rPr>
        <w:t>plc,</w:t>
      </w:r>
      <w:r w:rsidR="0050751C" w:rsidRPr="00733B59">
        <w:rPr>
          <w:rFonts w:ascii="Arial" w:hAnsi="Arial" w:cs="Arial"/>
        </w:rPr>
        <w:t xml:space="preserve"> ratios play a crucial role</w:t>
      </w:r>
      <w:r w:rsidR="00CD4967" w:rsidRPr="00733B59">
        <w:rPr>
          <w:rFonts w:ascii="Arial" w:hAnsi="Arial" w:cs="Arial"/>
        </w:rPr>
        <w:t xml:space="preserve"> in evaluating operational efficiency, profitability, and risk. Key ratios </w:t>
      </w:r>
      <w:r w:rsidR="00C24549" w:rsidRPr="00733B59">
        <w:rPr>
          <w:rFonts w:ascii="Arial" w:hAnsi="Arial" w:cs="Arial"/>
        </w:rPr>
        <w:t>such as return on capital employed</w:t>
      </w:r>
      <w:r w:rsidR="0050751C" w:rsidRPr="00733B59">
        <w:rPr>
          <w:rFonts w:ascii="Arial" w:hAnsi="Arial" w:cs="Arial"/>
        </w:rPr>
        <w:t xml:space="preserve"> </w:t>
      </w:r>
      <w:r w:rsidR="00C24549" w:rsidRPr="00733B59">
        <w:rPr>
          <w:rFonts w:ascii="Arial" w:hAnsi="Arial" w:cs="Arial"/>
        </w:rPr>
        <w:t>(ROCE), Net Profit Margin, and Current Ratio</w:t>
      </w:r>
      <w:r w:rsidR="003A18E6" w:rsidRPr="00733B59">
        <w:rPr>
          <w:rFonts w:ascii="Arial" w:hAnsi="Arial" w:cs="Arial"/>
        </w:rPr>
        <w:t xml:space="preserve"> offer valuable information about the company’s </w:t>
      </w:r>
      <w:r w:rsidR="004B3036" w:rsidRPr="00733B59">
        <w:rPr>
          <w:rFonts w:ascii="Arial" w:hAnsi="Arial" w:cs="Arial"/>
        </w:rPr>
        <w:t>ability to generate returns, convert sales into profit, and mee short term</w:t>
      </w:r>
      <w:r w:rsidR="00810863" w:rsidRPr="00733B59">
        <w:rPr>
          <w:rFonts w:ascii="Arial" w:hAnsi="Arial" w:cs="Arial"/>
        </w:rPr>
        <w:t xml:space="preserve"> obligations. Investors use ratios like earnings per </w:t>
      </w:r>
      <w:r w:rsidR="00144FB8" w:rsidRPr="00733B59">
        <w:rPr>
          <w:rFonts w:ascii="Arial" w:hAnsi="Arial" w:cs="Arial"/>
        </w:rPr>
        <w:t xml:space="preserve">Share (EPS) and Price to Earning (P/E) </w:t>
      </w:r>
      <w:r w:rsidR="00EC0E9D" w:rsidRPr="00733B59">
        <w:rPr>
          <w:rFonts w:ascii="Arial" w:hAnsi="Arial" w:cs="Arial"/>
        </w:rPr>
        <w:t xml:space="preserve">ratio for decision making. Ratios also contribute </w:t>
      </w:r>
      <w:r w:rsidR="00291C5F" w:rsidRPr="00733B59">
        <w:rPr>
          <w:rFonts w:ascii="Arial" w:hAnsi="Arial" w:cs="Arial"/>
        </w:rPr>
        <w:t xml:space="preserve">to assessing operational efficiency through metrics like inventory turnover. Overall, ratios serve as essential tools for stakeholders, </w:t>
      </w:r>
      <w:r w:rsidR="00715C4A" w:rsidRPr="00733B59">
        <w:rPr>
          <w:rFonts w:ascii="Arial" w:hAnsi="Arial" w:cs="Arial"/>
        </w:rPr>
        <w:t xml:space="preserve">offering a </w:t>
      </w:r>
      <w:r w:rsidR="00E4507D" w:rsidRPr="00733B59">
        <w:rPr>
          <w:rFonts w:ascii="Arial" w:hAnsi="Arial" w:cs="Arial"/>
        </w:rPr>
        <w:t>quantitative</w:t>
      </w:r>
      <w:r w:rsidR="00715C4A" w:rsidRPr="00733B59">
        <w:rPr>
          <w:rFonts w:ascii="Arial" w:hAnsi="Arial" w:cs="Arial"/>
        </w:rPr>
        <w:t xml:space="preserve"> framework for a comprehensive understanding of Sweets Plc’s </w:t>
      </w:r>
      <w:r w:rsidR="00E4507D" w:rsidRPr="00733B59">
        <w:rPr>
          <w:rFonts w:ascii="Arial" w:hAnsi="Arial" w:cs="Arial"/>
        </w:rPr>
        <w:t>landscape</w:t>
      </w:r>
      <w:r w:rsidR="00BC1E38" w:rsidRPr="00BC1E38">
        <w:rPr>
          <w:rFonts w:ascii="Times New Roman" w:eastAsia="Times New Roman" w:hAnsi="Times New Roman" w:cs="Times New Roman"/>
          <w:color w:val="000000" w:themeColor="text1"/>
          <w:sz w:val="24"/>
          <w:szCs w:val="24"/>
        </w:rPr>
        <w:t xml:space="preserve"> </w:t>
      </w:r>
      <w:r w:rsidR="00BC1E38">
        <w:rPr>
          <w:rFonts w:ascii="Times New Roman" w:eastAsia="Times New Roman" w:hAnsi="Times New Roman" w:cs="Times New Roman"/>
          <w:color w:val="000000" w:themeColor="text1"/>
          <w:sz w:val="24"/>
          <w:szCs w:val="24"/>
        </w:rPr>
        <w:t>(</w:t>
      </w:r>
      <w:r w:rsidR="00BC1E38">
        <w:rPr>
          <w:rFonts w:ascii="Times New Roman" w:eastAsia="Times New Roman" w:hAnsi="Times New Roman" w:cs="Times New Roman"/>
          <w:color w:val="000000" w:themeColor="text1"/>
          <w:sz w:val="24"/>
          <w:szCs w:val="24"/>
          <w:highlight w:val="white"/>
        </w:rPr>
        <w:t>Manullang,</w:t>
      </w:r>
      <w:r w:rsidR="00BC1E38">
        <w:rPr>
          <w:rFonts w:ascii="Times New Roman" w:eastAsia="Times New Roman" w:hAnsi="Times New Roman" w:cs="Times New Roman"/>
          <w:i/>
          <w:color w:val="000000" w:themeColor="text1"/>
          <w:sz w:val="24"/>
          <w:szCs w:val="24"/>
          <w:highlight w:val="white"/>
        </w:rPr>
        <w:t xml:space="preserve"> et al., </w:t>
      </w:r>
      <w:r w:rsidR="00BC1E38">
        <w:rPr>
          <w:rFonts w:ascii="Times New Roman" w:eastAsia="Times New Roman" w:hAnsi="Times New Roman" w:cs="Times New Roman"/>
          <w:color w:val="000000" w:themeColor="text1"/>
          <w:sz w:val="24"/>
          <w:szCs w:val="24"/>
          <w:highlight w:val="white"/>
        </w:rPr>
        <w:t>2020)</w:t>
      </w:r>
      <w:r w:rsidR="00E4507D" w:rsidRPr="00733B59">
        <w:rPr>
          <w:rFonts w:ascii="Arial" w:hAnsi="Arial" w:cs="Arial"/>
        </w:rPr>
        <w:t>.</w:t>
      </w:r>
    </w:p>
    <w:p w14:paraId="13EA5BD4" w14:textId="77777777" w:rsidR="00E4507D" w:rsidRPr="00733B59" w:rsidRDefault="00E4507D" w:rsidP="00733B59">
      <w:pPr>
        <w:spacing w:line="360" w:lineRule="auto"/>
        <w:rPr>
          <w:rFonts w:ascii="Arial" w:hAnsi="Arial" w:cs="Arial"/>
        </w:rPr>
      </w:pPr>
    </w:p>
    <w:tbl>
      <w:tblPr>
        <w:tblStyle w:val="TableGrid"/>
        <w:tblW w:w="0" w:type="auto"/>
        <w:tblLook w:val="04A0" w:firstRow="1" w:lastRow="0" w:firstColumn="1" w:lastColumn="0" w:noHBand="0" w:noVBand="1"/>
      </w:tblPr>
      <w:tblGrid>
        <w:gridCol w:w="2394"/>
        <w:gridCol w:w="2394"/>
        <w:gridCol w:w="2394"/>
        <w:gridCol w:w="2394"/>
      </w:tblGrid>
      <w:tr w:rsidR="00670205" w:rsidRPr="00733B59" w14:paraId="4C78E120" w14:textId="77777777" w:rsidTr="00670205">
        <w:tc>
          <w:tcPr>
            <w:tcW w:w="2394" w:type="dxa"/>
          </w:tcPr>
          <w:p w14:paraId="0D9F9122" w14:textId="7168FBF4" w:rsidR="00670205" w:rsidRPr="00733B59" w:rsidRDefault="00670205" w:rsidP="00733B59">
            <w:pPr>
              <w:spacing w:line="360" w:lineRule="auto"/>
              <w:rPr>
                <w:rFonts w:ascii="Arial" w:hAnsi="Arial" w:cs="Arial"/>
              </w:rPr>
            </w:pPr>
            <w:r w:rsidRPr="00733B59">
              <w:rPr>
                <w:rFonts w:ascii="Arial" w:hAnsi="Arial" w:cs="Arial"/>
              </w:rPr>
              <w:t xml:space="preserve">Particulars </w:t>
            </w:r>
          </w:p>
        </w:tc>
        <w:tc>
          <w:tcPr>
            <w:tcW w:w="2394" w:type="dxa"/>
          </w:tcPr>
          <w:p w14:paraId="3D8F8E08" w14:textId="34451F59" w:rsidR="00670205" w:rsidRPr="00733B59" w:rsidRDefault="00304251" w:rsidP="00733B59">
            <w:pPr>
              <w:spacing w:line="360" w:lineRule="auto"/>
              <w:rPr>
                <w:rFonts w:ascii="Arial" w:hAnsi="Arial" w:cs="Arial"/>
              </w:rPr>
            </w:pPr>
            <w:r w:rsidRPr="00733B59">
              <w:rPr>
                <w:rFonts w:ascii="Arial" w:hAnsi="Arial" w:cs="Arial"/>
              </w:rPr>
              <w:t>Formulas used</w:t>
            </w:r>
          </w:p>
        </w:tc>
        <w:tc>
          <w:tcPr>
            <w:tcW w:w="2394" w:type="dxa"/>
          </w:tcPr>
          <w:p w14:paraId="4748AA17" w14:textId="01688DA7" w:rsidR="00670205" w:rsidRPr="00733B59" w:rsidRDefault="00304251" w:rsidP="00733B59">
            <w:pPr>
              <w:spacing w:line="360" w:lineRule="auto"/>
              <w:rPr>
                <w:rFonts w:ascii="Arial" w:hAnsi="Arial" w:cs="Arial"/>
              </w:rPr>
            </w:pPr>
            <w:r w:rsidRPr="00733B59">
              <w:rPr>
                <w:rFonts w:ascii="Arial" w:hAnsi="Arial" w:cs="Arial"/>
              </w:rPr>
              <w:t>Year 2022</w:t>
            </w:r>
          </w:p>
        </w:tc>
        <w:tc>
          <w:tcPr>
            <w:tcW w:w="2394" w:type="dxa"/>
          </w:tcPr>
          <w:p w14:paraId="49B1FE62" w14:textId="41BECB74" w:rsidR="00670205" w:rsidRPr="00733B59" w:rsidRDefault="00304251" w:rsidP="00733B59">
            <w:pPr>
              <w:spacing w:line="360" w:lineRule="auto"/>
              <w:rPr>
                <w:rFonts w:ascii="Arial" w:hAnsi="Arial" w:cs="Arial"/>
              </w:rPr>
            </w:pPr>
            <w:r w:rsidRPr="00733B59">
              <w:rPr>
                <w:rFonts w:ascii="Arial" w:hAnsi="Arial" w:cs="Arial"/>
              </w:rPr>
              <w:t>Year 2023</w:t>
            </w:r>
          </w:p>
        </w:tc>
      </w:tr>
      <w:tr w:rsidR="00670205" w:rsidRPr="00733B59" w14:paraId="4F9EAA8A" w14:textId="77777777" w:rsidTr="00670205">
        <w:tc>
          <w:tcPr>
            <w:tcW w:w="2394" w:type="dxa"/>
          </w:tcPr>
          <w:p w14:paraId="54615533" w14:textId="66932CF6" w:rsidR="00670205" w:rsidRPr="00733B59" w:rsidRDefault="00E25B8B" w:rsidP="00733B59">
            <w:pPr>
              <w:spacing w:line="360" w:lineRule="auto"/>
              <w:rPr>
                <w:rFonts w:ascii="Arial" w:hAnsi="Arial" w:cs="Arial"/>
              </w:rPr>
            </w:pPr>
            <w:r w:rsidRPr="00733B59">
              <w:rPr>
                <w:rFonts w:ascii="Arial" w:hAnsi="Arial" w:cs="Arial"/>
              </w:rPr>
              <w:t xml:space="preserve">Return on capital employed </w:t>
            </w:r>
          </w:p>
        </w:tc>
        <w:tc>
          <w:tcPr>
            <w:tcW w:w="2394" w:type="dxa"/>
          </w:tcPr>
          <w:p w14:paraId="350E77CB" w14:textId="546C52DB" w:rsidR="00670205" w:rsidRPr="00733B59" w:rsidRDefault="00357C67" w:rsidP="00733B59">
            <w:pPr>
              <w:spacing w:line="360" w:lineRule="auto"/>
              <w:rPr>
                <w:rFonts w:ascii="Arial" w:hAnsi="Arial" w:cs="Arial"/>
              </w:rPr>
            </w:pPr>
            <w:r w:rsidRPr="00733B59">
              <w:rPr>
                <w:rFonts w:ascii="Arial" w:hAnsi="Arial" w:cs="Arial"/>
              </w:rPr>
              <w:t>Operating Profit/</w:t>
            </w:r>
            <w:r w:rsidR="00427CF4" w:rsidRPr="00733B59">
              <w:rPr>
                <w:rFonts w:ascii="Arial" w:hAnsi="Arial" w:cs="Arial"/>
              </w:rPr>
              <w:t xml:space="preserve"> Capital employed that is total </w:t>
            </w:r>
            <w:r w:rsidR="008057F9" w:rsidRPr="00733B59">
              <w:rPr>
                <w:rFonts w:ascii="Arial" w:hAnsi="Arial" w:cs="Arial"/>
              </w:rPr>
              <w:t>assets</w:t>
            </w:r>
            <w:r w:rsidR="00427CF4" w:rsidRPr="00733B59">
              <w:rPr>
                <w:rFonts w:ascii="Arial" w:hAnsi="Arial" w:cs="Arial"/>
              </w:rPr>
              <w:t xml:space="preserve">- total current </w:t>
            </w:r>
            <w:r w:rsidR="008057F9" w:rsidRPr="00733B59">
              <w:rPr>
                <w:rFonts w:ascii="Arial" w:hAnsi="Arial" w:cs="Arial"/>
              </w:rPr>
              <w:t xml:space="preserve">liabilities </w:t>
            </w:r>
          </w:p>
        </w:tc>
        <w:tc>
          <w:tcPr>
            <w:tcW w:w="2394" w:type="dxa"/>
          </w:tcPr>
          <w:p w14:paraId="071680AA" w14:textId="118F6FA0" w:rsidR="00670205" w:rsidRPr="00733B59" w:rsidRDefault="00F829E9" w:rsidP="00733B59">
            <w:pPr>
              <w:spacing w:line="360" w:lineRule="auto"/>
              <w:rPr>
                <w:rFonts w:ascii="Arial" w:hAnsi="Arial" w:cs="Arial"/>
              </w:rPr>
            </w:pPr>
            <w:r w:rsidRPr="00733B59">
              <w:rPr>
                <w:rFonts w:ascii="Arial" w:hAnsi="Arial" w:cs="Arial"/>
              </w:rPr>
              <w:t>0.11</w:t>
            </w:r>
          </w:p>
        </w:tc>
        <w:tc>
          <w:tcPr>
            <w:tcW w:w="2394" w:type="dxa"/>
          </w:tcPr>
          <w:p w14:paraId="0552AC0A" w14:textId="12E8FF4B" w:rsidR="00670205" w:rsidRPr="00733B59" w:rsidRDefault="00304251" w:rsidP="00733B59">
            <w:pPr>
              <w:spacing w:line="360" w:lineRule="auto"/>
              <w:rPr>
                <w:rFonts w:ascii="Arial" w:hAnsi="Arial" w:cs="Arial"/>
              </w:rPr>
            </w:pPr>
            <w:r w:rsidRPr="00733B59">
              <w:rPr>
                <w:rFonts w:ascii="Arial" w:hAnsi="Arial" w:cs="Arial"/>
              </w:rPr>
              <w:t>0.10</w:t>
            </w:r>
          </w:p>
        </w:tc>
      </w:tr>
      <w:tr w:rsidR="00670205" w:rsidRPr="00733B59" w14:paraId="7C899080" w14:textId="77777777" w:rsidTr="00670205">
        <w:tc>
          <w:tcPr>
            <w:tcW w:w="2394" w:type="dxa"/>
          </w:tcPr>
          <w:p w14:paraId="15013EBC" w14:textId="0BF7F857" w:rsidR="00670205" w:rsidRPr="00733B59" w:rsidRDefault="00E25B8B" w:rsidP="00733B59">
            <w:pPr>
              <w:spacing w:line="360" w:lineRule="auto"/>
              <w:rPr>
                <w:rFonts w:ascii="Arial" w:hAnsi="Arial" w:cs="Arial"/>
              </w:rPr>
            </w:pPr>
            <w:r w:rsidRPr="00733B59">
              <w:rPr>
                <w:rFonts w:ascii="Arial" w:hAnsi="Arial" w:cs="Arial"/>
              </w:rPr>
              <w:t xml:space="preserve">Return on </w:t>
            </w:r>
            <w:r w:rsidR="00FB3736" w:rsidRPr="00733B59">
              <w:rPr>
                <w:rFonts w:ascii="Arial" w:hAnsi="Arial" w:cs="Arial"/>
              </w:rPr>
              <w:t xml:space="preserve">equity </w:t>
            </w:r>
          </w:p>
        </w:tc>
        <w:tc>
          <w:tcPr>
            <w:tcW w:w="2394" w:type="dxa"/>
          </w:tcPr>
          <w:p w14:paraId="6BD07A87" w14:textId="77944C6C" w:rsidR="00670205" w:rsidRPr="00733B59" w:rsidRDefault="008057F9" w:rsidP="00733B59">
            <w:pPr>
              <w:spacing w:line="360" w:lineRule="auto"/>
              <w:rPr>
                <w:rFonts w:ascii="Arial" w:hAnsi="Arial" w:cs="Arial"/>
              </w:rPr>
            </w:pPr>
            <w:r w:rsidRPr="00733B59">
              <w:rPr>
                <w:rFonts w:ascii="Arial" w:hAnsi="Arial" w:cs="Arial"/>
              </w:rPr>
              <w:t xml:space="preserve">Net income/ </w:t>
            </w:r>
            <w:r w:rsidR="00837561" w:rsidRPr="00733B59">
              <w:rPr>
                <w:rFonts w:ascii="Arial" w:hAnsi="Arial" w:cs="Arial"/>
              </w:rPr>
              <w:t xml:space="preserve">Shareholders equity </w:t>
            </w:r>
          </w:p>
        </w:tc>
        <w:tc>
          <w:tcPr>
            <w:tcW w:w="2394" w:type="dxa"/>
          </w:tcPr>
          <w:p w14:paraId="37F96AC7" w14:textId="74355777" w:rsidR="00670205" w:rsidRPr="00733B59" w:rsidRDefault="00F829E9" w:rsidP="00733B59">
            <w:pPr>
              <w:spacing w:line="360" w:lineRule="auto"/>
              <w:rPr>
                <w:rFonts w:ascii="Arial" w:hAnsi="Arial" w:cs="Arial"/>
              </w:rPr>
            </w:pPr>
            <w:r w:rsidRPr="00733B59">
              <w:rPr>
                <w:rFonts w:ascii="Arial" w:hAnsi="Arial" w:cs="Arial"/>
              </w:rPr>
              <w:t>0.21</w:t>
            </w:r>
          </w:p>
        </w:tc>
        <w:tc>
          <w:tcPr>
            <w:tcW w:w="2394" w:type="dxa"/>
          </w:tcPr>
          <w:p w14:paraId="7682371F" w14:textId="3DA62702" w:rsidR="00670205" w:rsidRPr="00733B59" w:rsidRDefault="00304251" w:rsidP="00733B59">
            <w:pPr>
              <w:spacing w:line="360" w:lineRule="auto"/>
              <w:rPr>
                <w:rFonts w:ascii="Arial" w:hAnsi="Arial" w:cs="Arial"/>
              </w:rPr>
            </w:pPr>
            <w:r w:rsidRPr="00733B59">
              <w:rPr>
                <w:rFonts w:ascii="Arial" w:hAnsi="Arial" w:cs="Arial"/>
              </w:rPr>
              <w:t>0.13</w:t>
            </w:r>
          </w:p>
        </w:tc>
      </w:tr>
      <w:tr w:rsidR="00670205" w:rsidRPr="00733B59" w14:paraId="55F73B0A" w14:textId="77777777" w:rsidTr="00670205">
        <w:tc>
          <w:tcPr>
            <w:tcW w:w="2394" w:type="dxa"/>
          </w:tcPr>
          <w:p w14:paraId="44798299" w14:textId="0ABF2C1C" w:rsidR="00670205" w:rsidRPr="00733B59" w:rsidRDefault="00FB3736" w:rsidP="00733B59">
            <w:pPr>
              <w:spacing w:line="360" w:lineRule="auto"/>
              <w:rPr>
                <w:rFonts w:ascii="Arial" w:hAnsi="Arial" w:cs="Arial"/>
              </w:rPr>
            </w:pPr>
            <w:r w:rsidRPr="00733B59">
              <w:rPr>
                <w:rFonts w:ascii="Arial" w:hAnsi="Arial" w:cs="Arial"/>
              </w:rPr>
              <w:t xml:space="preserve">Earnings per share </w:t>
            </w:r>
          </w:p>
        </w:tc>
        <w:tc>
          <w:tcPr>
            <w:tcW w:w="2394" w:type="dxa"/>
          </w:tcPr>
          <w:p w14:paraId="04940A6B" w14:textId="1AB5F54E" w:rsidR="00670205" w:rsidRPr="00733B59" w:rsidRDefault="00837561" w:rsidP="00733B59">
            <w:pPr>
              <w:spacing w:line="360" w:lineRule="auto"/>
              <w:rPr>
                <w:rFonts w:ascii="Arial" w:hAnsi="Arial" w:cs="Arial"/>
              </w:rPr>
            </w:pPr>
            <w:r w:rsidRPr="00733B59">
              <w:rPr>
                <w:rFonts w:ascii="Arial" w:hAnsi="Arial" w:cs="Arial"/>
              </w:rPr>
              <w:t xml:space="preserve">Net income </w:t>
            </w:r>
            <w:r w:rsidR="00F774C1" w:rsidRPr="00733B59">
              <w:rPr>
                <w:rFonts w:ascii="Arial" w:hAnsi="Arial" w:cs="Arial"/>
              </w:rPr>
              <w:t>/ Shareholders</w:t>
            </w:r>
            <w:r w:rsidR="00C95F1C" w:rsidRPr="00733B59">
              <w:rPr>
                <w:rFonts w:ascii="Arial" w:hAnsi="Arial" w:cs="Arial"/>
              </w:rPr>
              <w:t xml:space="preserve"> equity</w:t>
            </w:r>
          </w:p>
        </w:tc>
        <w:tc>
          <w:tcPr>
            <w:tcW w:w="2394" w:type="dxa"/>
          </w:tcPr>
          <w:p w14:paraId="3E604E63" w14:textId="0F4737F3" w:rsidR="00670205" w:rsidRPr="00733B59" w:rsidRDefault="00F829E9" w:rsidP="00733B59">
            <w:pPr>
              <w:spacing w:line="360" w:lineRule="auto"/>
              <w:rPr>
                <w:rFonts w:ascii="Arial" w:hAnsi="Arial" w:cs="Arial"/>
              </w:rPr>
            </w:pPr>
            <w:r w:rsidRPr="00733B59">
              <w:rPr>
                <w:rFonts w:ascii="Arial" w:hAnsi="Arial" w:cs="Arial"/>
              </w:rPr>
              <w:t>1.44</w:t>
            </w:r>
          </w:p>
        </w:tc>
        <w:tc>
          <w:tcPr>
            <w:tcW w:w="2394" w:type="dxa"/>
          </w:tcPr>
          <w:p w14:paraId="0FAC098E" w14:textId="18C8B95A" w:rsidR="00670205" w:rsidRPr="00733B59" w:rsidRDefault="00304251" w:rsidP="00733B59">
            <w:pPr>
              <w:spacing w:line="360" w:lineRule="auto"/>
              <w:rPr>
                <w:rFonts w:ascii="Arial" w:hAnsi="Arial" w:cs="Arial"/>
              </w:rPr>
            </w:pPr>
            <w:r w:rsidRPr="00733B59">
              <w:rPr>
                <w:rFonts w:ascii="Arial" w:hAnsi="Arial" w:cs="Arial"/>
              </w:rPr>
              <w:t>1.22</w:t>
            </w:r>
          </w:p>
        </w:tc>
      </w:tr>
      <w:tr w:rsidR="00670205" w:rsidRPr="00733B59" w14:paraId="2E6A8116" w14:textId="77777777" w:rsidTr="00670205">
        <w:tc>
          <w:tcPr>
            <w:tcW w:w="2394" w:type="dxa"/>
          </w:tcPr>
          <w:p w14:paraId="08A0E027" w14:textId="0639677E" w:rsidR="00670205" w:rsidRPr="00733B59" w:rsidRDefault="001E1FD6" w:rsidP="00733B59">
            <w:pPr>
              <w:spacing w:line="360" w:lineRule="auto"/>
              <w:rPr>
                <w:rFonts w:ascii="Arial" w:hAnsi="Arial" w:cs="Arial"/>
              </w:rPr>
            </w:pPr>
            <w:r w:rsidRPr="00733B59">
              <w:rPr>
                <w:rFonts w:ascii="Arial" w:hAnsi="Arial" w:cs="Arial"/>
              </w:rPr>
              <w:t xml:space="preserve">Net profit margin </w:t>
            </w:r>
          </w:p>
        </w:tc>
        <w:tc>
          <w:tcPr>
            <w:tcW w:w="2394" w:type="dxa"/>
          </w:tcPr>
          <w:p w14:paraId="1EC3F2C4" w14:textId="43EAA4E8" w:rsidR="00670205" w:rsidRPr="00733B59" w:rsidRDefault="00F774C1" w:rsidP="00733B59">
            <w:pPr>
              <w:spacing w:line="360" w:lineRule="auto"/>
              <w:rPr>
                <w:rFonts w:ascii="Arial" w:hAnsi="Arial" w:cs="Arial"/>
              </w:rPr>
            </w:pPr>
            <w:r w:rsidRPr="00733B59">
              <w:rPr>
                <w:rFonts w:ascii="Arial" w:hAnsi="Arial" w:cs="Arial"/>
              </w:rPr>
              <w:t>Revenue cost</w:t>
            </w:r>
            <w:r w:rsidR="002D2DD7" w:rsidRPr="00733B59">
              <w:rPr>
                <w:rFonts w:ascii="Arial" w:hAnsi="Arial" w:cs="Arial"/>
              </w:rPr>
              <w:t>/ Revenue</w:t>
            </w:r>
          </w:p>
        </w:tc>
        <w:tc>
          <w:tcPr>
            <w:tcW w:w="2394" w:type="dxa"/>
          </w:tcPr>
          <w:p w14:paraId="5E44FE53" w14:textId="334B1D5D" w:rsidR="00670205" w:rsidRPr="00733B59" w:rsidRDefault="00F829E9" w:rsidP="00733B59">
            <w:pPr>
              <w:spacing w:line="360" w:lineRule="auto"/>
              <w:rPr>
                <w:rFonts w:ascii="Arial" w:hAnsi="Arial" w:cs="Arial"/>
              </w:rPr>
            </w:pPr>
            <w:r w:rsidRPr="00733B59">
              <w:rPr>
                <w:rFonts w:ascii="Arial" w:hAnsi="Arial" w:cs="Arial"/>
              </w:rPr>
              <w:t>0.52</w:t>
            </w:r>
          </w:p>
        </w:tc>
        <w:tc>
          <w:tcPr>
            <w:tcW w:w="2394" w:type="dxa"/>
          </w:tcPr>
          <w:p w14:paraId="17DDAE0A" w14:textId="1F83F70D" w:rsidR="00670205" w:rsidRPr="00733B59" w:rsidRDefault="00304251" w:rsidP="00733B59">
            <w:pPr>
              <w:spacing w:line="360" w:lineRule="auto"/>
              <w:rPr>
                <w:rFonts w:ascii="Arial" w:hAnsi="Arial" w:cs="Arial"/>
              </w:rPr>
            </w:pPr>
            <w:r w:rsidRPr="00733B59">
              <w:rPr>
                <w:rFonts w:ascii="Arial" w:hAnsi="Arial" w:cs="Arial"/>
              </w:rPr>
              <w:t>0.52</w:t>
            </w:r>
          </w:p>
        </w:tc>
      </w:tr>
      <w:tr w:rsidR="00670205" w:rsidRPr="00733B59" w14:paraId="07EB7611" w14:textId="77777777" w:rsidTr="00670205">
        <w:tc>
          <w:tcPr>
            <w:tcW w:w="2394" w:type="dxa"/>
          </w:tcPr>
          <w:p w14:paraId="46E6FF76" w14:textId="4ECC077C" w:rsidR="00670205" w:rsidRPr="00733B59" w:rsidRDefault="00E231CE" w:rsidP="00733B59">
            <w:pPr>
              <w:spacing w:line="360" w:lineRule="auto"/>
              <w:rPr>
                <w:rFonts w:ascii="Arial" w:hAnsi="Arial" w:cs="Arial"/>
              </w:rPr>
            </w:pPr>
            <w:r w:rsidRPr="00733B59">
              <w:rPr>
                <w:rFonts w:ascii="Arial" w:hAnsi="Arial" w:cs="Arial"/>
              </w:rPr>
              <w:t xml:space="preserve">Asset turnover </w:t>
            </w:r>
          </w:p>
        </w:tc>
        <w:tc>
          <w:tcPr>
            <w:tcW w:w="2394" w:type="dxa"/>
          </w:tcPr>
          <w:p w14:paraId="26E31CDF" w14:textId="36834068" w:rsidR="00670205" w:rsidRPr="00733B59" w:rsidRDefault="002D2DD7" w:rsidP="00733B59">
            <w:pPr>
              <w:spacing w:line="360" w:lineRule="auto"/>
              <w:rPr>
                <w:rFonts w:ascii="Arial" w:hAnsi="Arial" w:cs="Arial"/>
              </w:rPr>
            </w:pPr>
            <w:r w:rsidRPr="00733B59">
              <w:rPr>
                <w:rFonts w:ascii="Arial" w:hAnsi="Arial" w:cs="Arial"/>
              </w:rPr>
              <w:t>Net Sales/</w:t>
            </w:r>
            <w:r w:rsidR="00E274C1" w:rsidRPr="00733B59">
              <w:rPr>
                <w:rFonts w:ascii="Arial" w:hAnsi="Arial" w:cs="Arial"/>
              </w:rPr>
              <w:t>Average total assets</w:t>
            </w:r>
          </w:p>
        </w:tc>
        <w:tc>
          <w:tcPr>
            <w:tcW w:w="2394" w:type="dxa"/>
          </w:tcPr>
          <w:p w14:paraId="71D76A08" w14:textId="3270141A" w:rsidR="00670205" w:rsidRPr="00733B59" w:rsidRDefault="00C06310" w:rsidP="00733B59">
            <w:pPr>
              <w:spacing w:line="360" w:lineRule="auto"/>
              <w:rPr>
                <w:rFonts w:ascii="Arial" w:hAnsi="Arial" w:cs="Arial"/>
              </w:rPr>
            </w:pPr>
            <w:r w:rsidRPr="00733B59">
              <w:rPr>
                <w:rFonts w:ascii="Arial" w:hAnsi="Arial" w:cs="Arial"/>
              </w:rPr>
              <w:t>1.38</w:t>
            </w:r>
          </w:p>
        </w:tc>
        <w:tc>
          <w:tcPr>
            <w:tcW w:w="2394" w:type="dxa"/>
          </w:tcPr>
          <w:p w14:paraId="700B98A2" w14:textId="7D2141CC" w:rsidR="00670205" w:rsidRPr="00733B59" w:rsidRDefault="00304251" w:rsidP="00733B59">
            <w:pPr>
              <w:spacing w:line="360" w:lineRule="auto"/>
              <w:rPr>
                <w:rFonts w:ascii="Arial" w:hAnsi="Arial" w:cs="Arial"/>
              </w:rPr>
            </w:pPr>
            <w:r w:rsidRPr="00733B59">
              <w:rPr>
                <w:rFonts w:ascii="Arial" w:hAnsi="Arial" w:cs="Arial"/>
              </w:rPr>
              <w:t>1.28</w:t>
            </w:r>
          </w:p>
        </w:tc>
      </w:tr>
      <w:tr w:rsidR="00670205" w:rsidRPr="00733B59" w14:paraId="00712B59" w14:textId="77777777" w:rsidTr="00670205">
        <w:tc>
          <w:tcPr>
            <w:tcW w:w="2394" w:type="dxa"/>
          </w:tcPr>
          <w:p w14:paraId="6F1D1D59" w14:textId="1713329C" w:rsidR="00670205" w:rsidRPr="00733B59" w:rsidRDefault="00E231CE" w:rsidP="00733B59">
            <w:pPr>
              <w:spacing w:line="360" w:lineRule="auto"/>
              <w:rPr>
                <w:rFonts w:ascii="Arial" w:hAnsi="Arial" w:cs="Arial"/>
              </w:rPr>
            </w:pPr>
            <w:r w:rsidRPr="00733B59">
              <w:rPr>
                <w:rFonts w:ascii="Arial" w:hAnsi="Arial" w:cs="Arial"/>
              </w:rPr>
              <w:t xml:space="preserve">Stock holding </w:t>
            </w:r>
            <w:r w:rsidR="003E11BB" w:rsidRPr="00733B59">
              <w:rPr>
                <w:rFonts w:ascii="Arial" w:hAnsi="Arial" w:cs="Arial"/>
              </w:rPr>
              <w:t>days</w:t>
            </w:r>
          </w:p>
        </w:tc>
        <w:tc>
          <w:tcPr>
            <w:tcW w:w="2394" w:type="dxa"/>
          </w:tcPr>
          <w:p w14:paraId="4AFBE1DB" w14:textId="12192292" w:rsidR="00670205" w:rsidRPr="00733B59" w:rsidRDefault="00E274C1" w:rsidP="00733B59">
            <w:pPr>
              <w:spacing w:line="360" w:lineRule="auto"/>
              <w:rPr>
                <w:rFonts w:ascii="Arial" w:hAnsi="Arial" w:cs="Arial"/>
              </w:rPr>
            </w:pPr>
            <w:r w:rsidRPr="00733B59">
              <w:rPr>
                <w:rFonts w:ascii="Arial" w:hAnsi="Arial" w:cs="Arial"/>
              </w:rPr>
              <w:t>Average inventory/ COGS</w:t>
            </w:r>
            <w:r w:rsidR="000E65EF" w:rsidRPr="00733B59">
              <w:rPr>
                <w:rFonts w:ascii="Arial" w:hAnsi="Arial" w:cs="Arial"/>
              </w:rPr>
              <w:t xml:space="preserve"> * 365</w:t>
            </w:r>
          </w:p>
        </w:tc>
        <w:tc>
          <w:tcPr>
            <w:tcW w:w="2394" w:type="dxa"/>
          </w:tcPr>
          <w:p w14:paraId="3C147895" w14:textId="2CDE4C26" w:rsidR="00670205" w:rsidRPr="00733B59" w:rsidRDefault="00C06310" w:rsidP="00733B59">
            <w:pPr>
              <w:spacing w:line="360" w:lineRule="auto"/>
              <w:rPr>
                <w:rFonts w:ascii="Arial" w:hAnsi="Arial" w:cs="Arial"/>
              </w:rPr>
            </w:pPr>
            <w:r w:rsidRPr="00733B59">
              <w:rPr>
                <w:rFonts w:ascii="Arial" w:hAnsi="Arial" w:cs="Arial"/>
              </w:rPr>
              <w:t>80</w:t>
            </w:r>
          </w:p>
        </w:tc>
        <w:tc>
          <w:tcPr>
            <w:tcW w:w="2394" w:type="dxa"/>
          </w:tcPr>
          <w:p w14:paraId="7862C6CA" w14:textId="3AFA15AC" w:rsidR="00670205" w:rsidRPr="00733B59" w:rsidRDefault="00304251" w:rsidP="00733B59">
            <w:pPr>
              <w:spacing w:line="360" w:lineRule="auto"/>
              <w:rPr>
                <w:rFonts w:ascii="Arial" w:hAnsi="Arial" w:cs="Arial"/>
              </w:rPr>
            </w:pPr>
            <w:r w:rsidRPr="00733B59">
              <w:rPr>
                <w:rFonts w:ascii="Arial" w:hAnsi="Arial" w:cs="Arial"/>
              </w:rPr>
              <w:t>78</w:t>
            </w:r>
          </w:p>
        </w:tc>
      </w:tr>
      <w:tr w:rsidR="00670205" w:rsidRPr="00733B59" w14:paraId="17E8E4B0" w14:textId="77777777" w:rsidTr="00670205">
        <w:tc>
          <w:tcPr>
            <w:tcW w:w="2394" w:type="dxa"/>
          </w:tcPr>
          <w:p w14:paraId="1098A178" w14:textId="69931612" w:rsidR="00670205" w:rsidRPr="00733B59" w:rsidRDefault="00947D36" w:rsidP="00733B59">
            <w:pPr>
              <w:spacing w:line="360" w:lineRule="auto"/>
              <w:rPr>
                <w:rFonts w:ascii="Arial" w:hAnsi="Arial" w:cs="Arial"/>
              </w:rPr>
            </w:pPr>
            <w:r w:rsidRPr="00733B59">
              <w:rPr>
                <w:rFonts w:ascii="Arial" w:hAnsi="Arial" w:cs="Arial"/>
              </w:rPr>
              <w:t xml:space="preserve">Debtors Collection period </w:t>
            </w:r>
          </w:p>
        </w:tc>
        <w:tc>
          <w:tcPr>
            <w:tcW w:w="2394" w:type="dxa"/>
          </w:tcPr>
          <w:p w14:paraId="4A772B8C" w14:textId="4B265EF9" w:rsidR="00670205" w:rsidRPr="00733B59" w:rsidRDefault="000E65EF" w:rsidP="00733B59">
            <w:pPr>
              <w:spacing w:line="360" w:lineRule="auto"/>
              <w:rPr>
                <w:rFonts w:ascii="Arial" w:hAnsi="Arial" w:cs="Arial"/>
              </w:rPr>
            </w:pPr>
            <w:r w:rsidRPr="00733B59">
              <w:rPr>
                <w:rFonts w:ascii="Arial" w:hAnsi="Arial" w:cs="Arial"/>
              </w:rPr>
              <w:t xml:space="preserve">Accounts </w:t>
            </w:r>
            <w:r w:rsidR="00134A34" w:rsidRPr="00733B59">
              <w:rPr>
                <w:rFonts w:ascii="Arial" w:hAnsi="Arial" w:cs="Arial"/>
              </w:rPr>
              <w:t>receivable/ net credit sales *365</w:t>
            </w:r>
          </w:p>
        </w:tc>
        <w:tc>
          <w:tcPr>
            <w:tcW w:w="2394" w:type="dxa"/>
          </w:tcPr>
          <w:p w14:paraId="58CE6C9E" w14:textId="407DE4E9" w:rsidR="00670205" w:rsidRPr="00733B59" w:rsidRDefault="00C06310" w:rsidP="00733B59">
            <w:pPr>
              <w:spacing w:line="360" w:lineRule="auto"/>
              <w:rPr>
                <w:rFonts w:ascii="Arial" w:hAnsi="Arial" w:cs="Arial"/>
              </w:rPr>
            </w:pPr>
            <w:r w:rsidRPr="00733B59">
              <w:rPr>
                <w:rFonts w:ascii="Arial" w:hAnsi="Arial" w:cs="Arial"/>
              </w:rPr>
              <w:t>236</w:t>
            </w:r>
          </w:p>
        </w:tc>
        <w:tc>
          <w:tcPr>
            <w:tcW w:w="2394" w:type="dxa"/>
          </w:tcPr>
          <w:p w14:paraId="0229C7F6" w14:textId="390871DA" w:rsidR="00670205" w:rsidRPr="00733B59" w:rsidRDefault="00304251" w:rsidP="00733B59">
            <w:pPr>
              <w:spacing w:line="360" w:lineRule="auto"/>
              <w:rPr>
                <w:rFonts w:ascii="Arial" w:hAnsi="Arial" w:cs="Arial"/>
              </w:rPr>
            </w:pPr>
            <w:r w:rsidRPr="00733B59">
              <w:rPr>
                <w:rFonts w:ascii="Arial" w:hAnsi="Arial" w:cs="Arial"/>
              </w:rPr>
              <w:t>196</w:t>
            </w:r>
          </w:p>
        </w:tc>
      </w:tr>
      <w:tr w:rsidR="00670205" w:rsidRPr="00733B59" w14:paraId="19D9212F" w14:textId="77777777" w:rsidTr="00670205">
        <w:tc>
          <w:tcPr>
            <w:tcW w:w="2394" w:type="dxa"/>
          </w:tcPr>
          <w:p w14:paraId="5C99EFE2" w14:textId="23EB3E8F" w:rsidR="00670205" w:rsidRPr="00733B59" w:rsidRDefault="00947D36" w:rsidP="00733B59">
            <w:pPr>
              <w:spacing w:line="360" w:lineRule="auto"/>
              <w:rPr>
                <w:rFonts w:ascii="Arial" w:hAnsi="Arial" w:cs="Arial"/>
              </w:rPr>
            </w:pPr>
            <w:r w:rsidRPr="00733B59">
              <w:rPr>
                <w:rFonts w:ascii="Arial" w:hAnsi="Arial" w:cs="Arial"/>
              </w:rPr>
              <w:t>Current Ratio</w:t>
            </w:r>
          </w:p>
        </w:tc>
        <w:tc>
          <w:tcPr>
            <w:tcW w:w="2394" w:type="dxa"/>
          </w:tcPr>
          <w:p w14:paraId="18948792" w14:textId="59A0B337" w:rsidR="00670205" w:rsidRPr="00733B59" w:rsidRDefault="005F2762" w:rsidP="00733B59">
            <w:pPr>
              <w:spacing w:line="360" w:lineRule="auto"/>
              <w:rPr>
                <w:rFonts w:ascii="Arial" w:hAnsi="Arial" w:cs="Arial"/>
              </w:rPr>
            </w:pPr>
            <w:r w:rsidRPr="00733B59">
              <w:rPr>
                <w:rFonts w:ascii="Arial" w:hAnsi="Arial" w:cs="Arial"/>
              </w:rPr>
              <w:t xml:space="preserve">Current assets/ current liabilities </w:t>
            </w:r>
          </w:p>
        </w:tc>
        <w:tc>
          <w:tcPr>
            <w:tcW w:w="2394" w:type="dxa"/>
          </w:tcPr>
          <w:p w14:paraId="1521B70C" w14:textId="75F9C0FD" w:rsidR="00670205" w:rsidRPr="00733B59" w:rsidRDefault="00C06310" w:rsidP="00733B59">
            <w:pPr>
              <w:spacing w:line="360" w:lineRule="auto"/>
              <w:rPr>
                <w:rFonts w:ascii="Arial" w:hAnsi="Arial" w:cs="Arial"/>
              </w:rPr>
            </w:pPr>
            <w:r w:rsidRPr="00733B59">
              <w:rPr>
                <w:rFonts w:ascii="Arial" w:hAnsi="Arial" w:cs="Arial"/>
              </w:rPr>
              <w:t>0.92</w:t>
            </w:r>
          </w:p>
        </w:tc>
        <w:tc>
          <w:tcPr>
            <w:tcW w:w="2394" w:type="dxa"/>
          </w:tcPr>
          <w:p w14:paraId="4977F404" w14:textId="3A38C8AC" w:rsidR="00670205" w:rsidRPr="00733B59" w:rsidRDefault="00304251" w:rsidP="00733B59">
            <w:pPr>
              <w:spacing w:line="360" w:lineRule="auto"/>
              <w:rPr>
                <w:rFonts w:ascii="Arial" w:hAnsi="Arial" w:cs="Arial"/>
              </w:rPr>
            </w:pPr>
            <w:r w:rsidRPr="00733B59">
              <w:rPr>
                <w:rFonts w:ascii="Arial" w:hAnsi="Arial" w:cs="Arial"/>
              </w:rPr>
              <w:t>0.77</w:t>
            </w:r>
          </w:p>
        </w:tc>
      </w:tr>
      <w:tr w:rsidR="00670205" w:rsidRPr="00733B59" w14:paraId="6D261916" w14:textId="77777777" w:rsidTr="00670205">
        <w:tc>
          <w:tcPr>
            <w:tcW w:w="2394" w:type="dxa"/>
          </w:tcPr>
          <w:p w14:paraId="39DAD8D9" w14:textId="276C9E82" w:rsidR="00670205" w:rsidRPr="00733B59" w:rsidRDefault="006F70CA" w:rsidP="00733B59">
            <w:pPr>
              <w:spacing w:line="360" w:lineRule="auto"/>
              <w:rPr>
                <w:rFonts w:ascii="Arial" w:hAnsi="Arial" w:cs="Arial"/>
              </w:rPr>
            </w:pPr>
            <w:r w:rsidRPr="00733B59">
              <w:rPr>
                <w:rFonts w:ascii="Arial" w:hAnsi="Arial" w:cs="Arial"/>
              </w:rPr>
              <w:t>Gearing Ratio</w:t>
            </w:r>
          </w:p>
        </w:tc>
        <w:tc>
          <w:tcPr>
            <w:tcW w:w="2394" w:type="dxa"/>
          </w:tcPr>
          <w:p w14:paraId="1BBDCF55" w14:textId="20E82239" w:rsidR="00670205" w:rsidRPr="00733B59" w:rsidRDefault="00771272" w:rsidP="00733B59">
            <w:pPr>
              <w:spacing w:line="360" w:lineRule="auto"/>
              <w:rPr>
                <w:rFonts w:ascii="Arial" w:hAnsi="Arial" w:cs="Arial"/>
              </w:rPr>
            </w:pPr>
            <w:r w:rsidRPr="00733B59">
              <w:rPr>
                <w:rFonts w:ascii="Arial" w:hAnsi="Arial" w:cs="Arial"/>
              </w:rPr>
              <w:t>Total debt/ total equity</w:t>
            </w:r>
          </w:p>
        </w:tc>
        <w:tc>
          <w:tcPr>
            <w:tcW w:w="2394" w:type="dxa"/>
          </w:tcPr>
          <w:p w14:paraId="5BC7A2D4" w14:textId="772ECA59" w:rsidR="00670205" w:rsidRPr="00733B59" w:rsidRDefault="00C06310" w:rsidP="00733B59">
            <w:pPr>
              <w:spacing w:line="360" w:lineRule="auto"/>
              <w:rPr>
                <w:rFonts w:ascii="Arial" w:hAnsi="Arial" w:cs="Arial"/>
              </w:rPr>
            </w:pPr>
            <w:r w:rsidRPr="00733B59">
              <w:rPr>
                <w:rFonts w:ascii="Arial" w:hAnsi="Arial" w:cs="Arial"/>
              </w:rPr>
              <w:t>1.34</w:t>
            </w:r>
          </w:p>
        </w:tc>
        <w:tc>
          <w:tcPr>
            <w:tcW w:w="2394" w:type="dxa"/>
          </w:tcPr>
          <w:p w14:paraId="14BE8CA4" w14:textId="34AC5238" w:rsidR="00670205" w:rsidRPr="00733B59" w:rsidRDefault="00304251" w:rsidP="00733B59">
            <w:pPr>
              <w:spacing w:line="360" w:lineRule="auto"/>
              <w:rPr>
                <w:rFonts w:ascii="Arial" w:hAnsi="Arial" w:cs="Arial"/>
              </w:rPr>
            </w:pPr>
            <w:r w:rsidRPr="00733B59">
              <w:rPr>
                <w:rFonts w:ascii="Arial" w:hAnsi="Arial" w:cs="Arial"/>
              </w:rPr>
              <w:t>1.42</w:t>
            </w:r>
          </w:p>
        </w:tc>
      </w:tr>
      <w:tr w:rsidR="00670205" w:rsidRPr="00733B59" w14:paraId="33183E9D" w14:textId="77777777" w:rsidTr="00670205">
        <w:tc>
          <w:tcPr>
            <w:tcW w:w="2394" w:type="dxa"/>
          </w:tcPr>
          <w:p w14:paraId="699D52F5" w14:textId="7A95EE15" w:rsidR="00670205" w:rsidRPr="00733B59" w:rsidRDefault="006F70CA" w:rsidP="00733B59">
            <w:pPr>
              <w:spacing w:line="360" w:lineRule="auto"/>
              <w:rPr>
                <w:rFonts w:ascii="Arial" w:hAnsi="Arial" w:cs="Arial"/>
              </w:rPr>
            </w:pPr>
            <w:r w:rsidRPr="00733B59">
              <w:rPr>
                <w:rFonts w:ascii="Arial" w:hAnsi="Arial" w:cs="Arial"/>
              </w:rPr>
              <w:t xml:space="preserve">Interest Cover </w:t>
            </w:r>
          </w:p>
        </w:tc>
        <w:tc>
          <w:tcPr>
            <w:tcW w:w="2394" w:type="dxa"/>
          </w:tcPr>
          <w:p w14:paraId="5384657B" w14:textId="4DBF459A" w:rsidR="00670205" w:rsidRPr="00733B59" w:rsidRDefault="00771272" w:rsidP="00733B59">
            <w:pPr>
              <w:spacing w:line="360" w:lineRule="auto"/>
              <w:rPr>
                <w:rFonts w:ascii="Arial" w:hAnsi="Arial" w:cs="Arial"/>
              </w:rPr>
            </w:pPr>
            <w:r w:rsidRPr="00733B59">
              <w:rPr>
                <w:rFonts w:ascii="Arial" w:hAnsi="Arial" w:cs="Arial"/>
              </w:rPr>
              <w:t xml:space="preserve">Earnings before interest </w:t>
            </w:r>
            <w:r w:rsidR="00304251" w:rsidRPr="00733B59">
              <w:rPr>
                <w:rFonts w:ascii="Arial" w:hAnsi="Arial" w:cs="Arial"/>
              </w:rPr>
              <w:t>and</w:t>
            </w:r>
            <w:r w:rsidRPr="00733B59">
              <w:rPr>
                <w:rFonts w:ascii="Arial" w:hAnsi="Arial" w:cs="Arial"/>
              </w:rPr>
              <w:t xml:space="preserve"> tax/ interest expense </w:t>
            </w:r>
          </w:p>
        </w:tc>
        <w:tc>
          <w:tcPr>
            <w:tcW w:w="2394" w:type="dxa"/>
          </w:tcPr>
          <w:p w14:paraId="19360FC7" w14:textId="2BDDD079" w:rsidR="00670205" w:rsidRPr="00733B59" w:rsidRDefault="00C06310" w:rsidP="00733B59">
            <w:pPr>
              <w:spacing w:line="360" w:lineRule="auto"/>
              <w:rPr>
                <w:rFonts w:ascii="Arial" w:hAnsi="Arial" w:cs="Arial"/>
              </w:rPr>
            </w:pPr>
            <w:r w:rsidRPr="00733B59">
              <w:rPr>
                <w:rFonts w:ascii="Arial" w:hAnsi="Arial" w:cs="Arial"/>
              </w:rPr>
              <w:t>2.74</w:t>
            </w:r>
          </w:p>
        </w:tc>
        <w:tc>
          <w:tcPr>
            <w:tcW w:w="2394" w:type="dxa"/>
          </w:tcPr>
          <w:p w14:paraId="4A0814F1" w14:textId="40457EDC" w:rsidR="00670205" w:rsidRPr="00733B59" w:rsidRDefault="00304251" w:rsidP="00733B59">
            <w:pPr>
              <w:spacing w:line="360" w:lineRule="auto"/>
              <w:rPr>
                <w:rFonts w:ascii="Arial" w:hAnsi="Arial" w:cs="Arial"/>
              </w:rPr>
            </w:pPr>
            <w:r w:rsidRPr="00733B59">
              <w:rPr>
                <w:rFonts w:ascii="Arial" w:hAnsi="Arial" w:cs="Arial"/>
              </w:rPr>
              <w:t>2.98</w:t>
            </w:r>
          </w:p>
        </w:tc>
      </w:tr>
    </w:tbl>
    <w:p w14:paraId="11467EEB" w14:textId="2F9F5CC8" w:rsidR="003F033A" w:rsidRPr="00733B59" w:rsidRDefault="003F033A" w:rsidP="00733B59">
      <w:pPr>
        <w:spacing w:line="360" w:lineRule="auto"/>
        <w:rPr>
          <w:rFonts w:ascii="Arial" w:hAnsi="Arial" w:cs="Arial"/>
        </w:rPr>
      </w:pPr>
    </w:p>
    <w:p w14:paraId="18498E56" w14:textId="5D0D2165" w:rsidR="00E4507D" w:rsidRPr="00733B59" w:rsidRDefault="00E74FBA" w:rsidP="00733B59">
      <w:pPr>
        <w:spacing w:line="360" w:lineRule="auto"/>
        <w:rPr>
          <w:rFonts w:ascii="Arial" w:hAnsi="Arial" w:cs="Arial"/>
        </w:rPr>
      </w:pPr>
      <w:r w:rsidRPr="00733B59">
        <w:rPr>
          <w:rFonts w:ascii="Arial" w:hAnsi="Arial" w:cs="Arial"/>
        </w:rPr>
        <w:t xml:space="preserve">         </w:t>
      </w:r>
      <w:r w:rsidRPr="00733B59">
        <w:rPr>
          <w:rFonts w:ascii="Arial" w:hAnsi="Arial" w:cs="Arial"/>
        </w:rPr>
        <w:tab/>
      </w:r>
      <w:r w:rsidRPr="00733B59">
        <w:rPr>
          <w:rFonts w:ascii="Arial" w:hAnsi="Arial" w:cs="Arial"/>
        </w:rPr>
        <w:tab/>
      </w:r>
      <w:r w:rsidRPr="00733B59">
        <w:rPr>
          <w:rFonts w:ascii="Arial" w:hAnsi="Arial" w:cs="Arial"/>
        </w:rPr>
        <w:tab/>
        <w:t>Computation of financial ratios for Sweet Plc. For 2021 and 2022</w:t>
      </w:r>
    </w:p>
    <w:p w14:paraId="7C026338" w14:textId="77777777" w:rsidR="00426EFA" w:rsidRPr="00733B59" w:rsidRDefault="003B26BD" w:rsidP="00733B59">
      <w:pPr>
        <w:pStyle w:val="ListParagraph"/>
        <w:numPr>
          <w:ilvl w:val="0"/>
          <w:numId w:val="5"/>
        </w:numPr>
        <w:spacing w:line="360" w:lineRule="auto"/>
        <w:rPr>
          <w:rFonts w:ascii="Arial" w:hAnsi="Arial" w:cs="Arial"/>
          <w:color w:val="374151"/>
        </w:rPr>
      </w:pPr>
      <w:r w:rsidRPr="003B26BD">
        <w:rPr>
          <w:rFonts w:ascii="Arial" w:hAnsi="Arial" w:cs="Arial"/>
          <w:color w:val="374151"/>
        </w:rPr>
        <w:t>Sweets plc's financial statements and calculated ratios provide valuable insights into the company's overall performance and position. A critical examination reveals strengths, areas of concern, and strategic considerations for stakeholders.</w:t>
      </w:r>
    </w:p>
    <w:p w14:paraId="2E7AC28A" w14:textId="1C54CB27" w:rsidR="003B26BD" w:rsidRPr="00733B59" w:rsidRDefault="003B26BD" w:rsidP="00733B59">
      <w:pPr>
        <w:spacing w:line="360" w:lineRule="auto"/>
        <w:rPr>
          <w:rFonts w:ascii="Arial" w:hAnsi="Arial" w:cs="Arial"/>
          <w:color w:val="374151"/>
        </w:rPr>
      </w:pPr>
      <w:r w:rsidRPr="00733B59">
        <w:rPr>
          <w:rFonts w:ascii="Arial" w:hAnsi="Arial" w:cs="Arial"/>
          <w:b/>
          <w:bCs/>
          <w:color w:val="374151"/>
        </w:rPr>
        <w:t>Profitability:</w:t>
      </w:r>
      <w:r w:rsidRPr="00733B59">
        <w:rPr>
          <w:rFonts w:ascii="Arial" w:hAnsi="Arial" w:cs="Arial"/>
          <w:color w:val="374151"/>
        </w:rPr>
        <w:t xml:space="preserve"> Sweets plc exhibits commendable profitability, as evidenced by a robust Net Profit Margin. Return on Equity (ROE) has increased from the previous year. This uptrend suggests improved returns for shareholders, reflecting effective capital utilization. Sweets plc's ability to generate profits and enhance shareholder value is a positive indicator of its financial health.</w:t>
      </w:r>
    </w:p>
    <w:p w14:paraId="3685E4D3" w14:textId="2085FC88" w:rsidR="003B26BD" w:rsidRPr="00733B59" w:rsidRDefault="003B26BD" w:rsidP="00733B59">
      <w:pPr>
        <w:spacing w:line="360" w:lineRule="auto"/>
        <w:rPr>
          <w:rFonts w:ascii="Arial" w:hAnsi="Arial" w:cs="Arial"/>
          <w:color w:val="374151"/>
        </w:rPr>
      </w:pPr>
      <w:r w:rsidRPr="00733B59">
        <w:rPr>
          <w:rFonts w:ascii="Arial" w:hAnsi="Arial" w:cs="Arial"/>
          <w:b/>
          <w:bCs/>
          <w:color w:val="374151"/>
        </w:rPr>
        <w:t>Operational Efficiency:</w:t>
      </w:r>
      <w:r w:rsidRPr="00733B59">
        <w:rPr>
          <w:rFonts w:ascii="Arial" w:hAnsi="Arial" w:cs="Arial"/>
          <w:color w:val="374151"/>
        </w:rPr>
        <w:t xml:space="preserve"> Operational efficiency is a crucial aspect of sweets plc's performance. A higher ratio implies that </w:t>
      </w:r>
      <w:proofErr w:type="gramStart"/>
      <w:r w:rsidRPr="00733B59">
        <w:rPr>
          <w:rFonts w:ascii="Arial" w:hAnsi="Arial" w:cs="Arial"/>
          <w:color w:val="374151"/>
        </w:rPr>
        <w:t>Sweets</w:t>
      </w:r>
      <w:proofErr w:type="gramEnd"/>
      <w:r w:rsidRPr="00733B59">
        <w:rPr>
          <w:rFonts w:ascii="Arial" w:hAnsi="Arial" w:cs="Arial"/>
          <w:color w:val="374151"/>
        </w:rPr>
        <w:t xml:space="preserve"> plc is selling and replacing inventory effectively, minimizing holding costs. Furthermore, the Debtors Collection Period, indicating the average time taken to collect cash from credit sales, is relatively short. This efficiency in debt collection contributes to improved cash flow and liquidity.</w:t>
      </w:r>
    </w:p>
    <w:p w14:paraId="49A85170" w14:textId="153AAB67" w:rsidR="003B26BD" w:rsidRPr="00733B59" w:rsidRDefault="003B26BD" w:rsidP="00733B59">
      <w:pPr>
        <w:spacing w:line="360" w:lineRule="auto"/>
        <w:rPr>
          <w:rFonts w:ascii="Arial" w:hAnsi="Arial" w:cs="Arial"/>
          <w:color w:val="374151"/>
        </w:rPr>
      </w:pPr>
      <w:r w:rsidRPr="00733B59">
        <w:rPr>
          <w:rFonts w:ascii="Arial" w:hAnsi="Arial" w:cs="Arial"/>
          <w:b/>
          <w:bCs/>
          <w:color w:val="374151"/>
        </w:rPr>
        <w:t>Liquidity and Solvency:</w:t>
      </w:r>
      <w:r w:rsidRPr="00733B59">
        <w:rPr>
          <w:rFonts w:ascii="Arial" w:hAnsi="Arial" w:cs="Arial"/>
          <w:color w:val="374151"/>
        </w:rPr>
        <w:t xml:space="preserve"> Th</w:t>
      </w:r>
      <w:r w:rsidR="00426EFA" w:rsidRPr="00733B59">
        <w:rPr>
          <w:rFonts w:ascii="Arial" w:hAnsi="Arial" w:cs="Arial"/>
          <w:color w:val="374151"/>
        </w:rPr>
        <w:t>e current ratio</w:t>
      </w:r>
      <w:r w:rsidRPr="00733B59">
        <w:rPr>
          <w:rFonts w:ascii="Arial" w:hAnsi="Arial" w:cs="Arial"/>
          <w:color w:val="374151"/>
        </w:rPr>
        <w:t xml:space="preserve"> indicates that </w:t>
      </w:r>
      <w:proofErr w:type="gramStart"/>
      <w:r w:rsidRPr="00733B59">
        <w:rPr>
          <w:rFonts w:ascii="Arial" w:hAnsi="Arial" w:cs="Arial"/>
          <w:color w:val="374151"/>
        </w:rPr>
        <w:t>Sweets</w:t>
      </w:r>
      <w:proofErr w:type="gramEnd"/>
      <w:r w:rsidRPr="00733B59">
        <w:rPr>
          <w:rFonts w:ascii="Arial" w:hAnsi="Arial" w:cs="Arial"/>
          <w:color w:val="374151"/>
        </w:rPr>
        <w:t xml:space="preserve"> plc can cover its short-term obligations with its available assets. However, the declining trend raises concerns about the company's short-term liquidity. Continuous monitoring is crucial to ensure that </w:t>
      </w:r>
      <w:proofErr w:type="gramStart"/>
      <w:r w:rsidRPr="00733B59">
        <w:rPr>
          <w:rFonts w:ascii="Arial" w:hAnsi="Arial" w:cs="Arial"/>
          <w:color w:val="374151"/>
        </w:rPr>
        <w:t>Sweets</w:t>
      </w:r>
      <w:proofErr w:type="gramEnd"/>
      <w:r w:rsidRPr="00733B59">
        <w:rPr>
          <w:rFonts w:ascii="Arial" w:hAnsi="Arial" w:cs="Arial"/>
          <w:color w:val="374151"/>
        </w:rPr>
        <w:t xml:space="preserve"> plc maintains a healthy liquidity position. Additionally, the Gearing Ratio, which assesses the proportion of debt in the company's capital structure, indicates an increased reliance on debt. While debt can be a strategic tool for financing, careful management is essential to mitigate financial risks associated with higher leverage.</w:t>
      </w:r>
    </w:p>
    <w:p w14:paraId="594906E9" w14:textId="12ADE2A0" w:rsidR="003B26BD" w:rsidRPr="00733B59" w:rsidRDefault="003B26BD" w:rsidP="00733B59">
      <w:pPr>
        <w:spacing w:line="360" w:lineRule="auto"/>
        <w:rPr>
          <w:rFonts w:ascii="Arial" w:hAnsi="Arial" w:cs="Arial"/>
          <w:color w:val="374151"/>
        </w:rPr>
      </w:pPr>
      <w:r w:rsidRPr="00733B59">
        <w:rPr>
          <w:rFonts w:ascii="Arial" w:hAnsi="Arial" w:cs="Arial"/>
          <w:b/>
          <w:bCs/>
          <w:color w:val="374151"/>
        </w:rPr>
        <w:t>Investor Considerations:</w:t>
      </w:r>
      <w:r w:rsidRPr="00733B59">
        <w:rPr>
          <w:rFonts w:ascii="Arial" w:hAnsi="Arial" w:cs="Arial"/>
          <w:color w:val="374151"/>
        </w:rPr>
        <w:t xml:space="preserve"> For investors, </w:t>
      </w:r>
      <w:proofErr w:type="gramStart"/>
      <w:r w:rsidRPr="00733B59">
        <w:rPr>
          <w:rFonts w:ascii="Arial" w:hAnsi="Arial" w:cs="Arial"/>
          <w:color w:val="374151"/>
        </w:rPr>
        <w:t>Sweets</w:t>
      </w:r>
      <w:proofErr w:type="gramEnd"/>
      <w:r w:rsidRPr="00733B59">
        <w:rPr>
          <w:rFonts w:ascii="Arial" w:hAnsi="Arial" w:cs="Arial"/>
          <w:color w:val="374151"/>
        </w:rPr>
        <w:t xml:space="preserve"> plc presents attractive features. The Dividend Payout Ratio</w:t>
      </w:r>
      <w:r w:rsidR="00426EFA" w:rsidRPr="00733B59">
        <w:rPr>
          <w:rFonts w:ascii="Arial" w:hAnsi="Arial" w:cs="Arial"/>
          <w:color w:val="374151"/>
        </w:rPr>
        <w:t xml:space="preserve"> </w:t>
      </w:r>
      <w:r w:rsidRPr="00733B59">
        <w:rPr>
          <w:rFonts w:ascii="Arial" w:hAnsi="Arial" w:cs="Arial"/>
          <w:color w:val="374151"/>
        </w:rPr>
        <w:t xml:space="preserve">has increased, indicating a higher proportion of profits distributed as dividends. This is complemented by a heightened Dividend Yield, which measures the annual dividend income relative to the market price per share. These factors suggest that </w:t>
      </w:r>
      <w:proofErr w:type="gramStart"/>
      <w:r w:rsidRPr="00733B59">
        <w:rPr>
          <w:rFonts w:ascii="Arial" w:hAnsi="Arial" w:cs="Arial"/>
          <w:color w:val="374151"/>
        </w:rPr>
        <w:t>Sweets</w:t>
      </w:r>
      <w:proofErr w:type="gramEnd"/>
      <w:r w:rsidRPr="00733B59">
        <w:rPr>
          <w:rFonts w:ascii="Arial" w:hAnsi="Arial" w:cs="Arial"/>
          <w:color w:val="374151"/>
        </w:rPr>
        <w:t xml:space="preserve"> plc is committed to returning value to its shareholders. However, investors should carefully assess the sustainability of this dividend growth and consider the potential impact of higher debt levels on future payouts.</w:t>
      </w:r>
    </w:p>
    <w:p w14:paraId="619AEE96" w14:textId="33DBCD39" w:rsidR="003B26BD" w:rsidRPr="00733B59" w:rsidRDefault="003B26BD" w:rsidP="00733B59">
      <w:pPr>
        <w:spacing w:line="360" w:lineRule="auto"/>
        <w:rPr>
          <w:rFonts w:ascii="Arial" w:hAnsi="Arial" w:cs="Arial"/>
          <w:color w:val="374151"/>
        </w:rPr>
      </w:pPr>
      <w:r w:rsidRPr="00733B59">
        <w:rPr>
          <w:rFonts w:ascii="Arial" w:hAnsi="Arial" w:cs="Arial"/>
          <w:b/>
          <w:bCs/>
          <w:color w:val="374151"/>
        </w:rPr>
        <w:t>Market Perception:</w:t>
      </w:r>
      <w:r w:rsidRPr="00733B59">
        <w:rPr>
          <w:rFonts w:ascii="Arial" w:hAnsi="Arial" w:cs="Arial"/>
          <w:color w:val="374151"/>
        </w:rPr>
        <w:t xml:space="preserve"> ​. A higher P/E ratio suggests favorable market sentiment and expectations for future earnings growth. Investors may interpret this positively, considering </w:t>
      </w:r>
      <w:proofErr w:type="gramStart"/>
      <w:r w:rsidRPr="00733B59">
        <w:rPr>
          <w:rFonts w:ascii="Arial" w:hAnsi="Arial" w:cs="Arial"/>
          <w:color w:val="374151"/>
        </w:rPr>
        <w:t>Sweets</w:t>
      </w:r>
      <w:proofErr w:type="gramEnd"/>
      <w:r w:rsidRPr="00733B59">
        <w:rPr>
          <w:rFonts w:ascii="Arial" w:hAnsi="Arial" w:cs="Arial"/>
          <w:color w:val="374151"/>
        </w:rPr>
        <w:t xml:space="preserve"> plc as an attractive investment option. However, caution is advised to ensure that the market's expectations align with the company's actual performance potential. Market dynamics, industry trends, and competitive forces should be considered in the evaluation of the P/E ratio.</w:t>
      </w:r>
    </w:p>
    <w:p w14:paraId="0FBFD772" w14:textId="77777777" w:rsidR="003B26BD" w:rsidRPr="00733B59" w:rsidRDefault="003B26BD" w:rsidP="00733B59">
      <w:pPr>
        <w:spacing w:line="360" w:lineRule="auto"/>
        <w:rPr>
          <w:rFonts w:ascii="Arial" w:hAnsi="Arial" w:cs="Arial"/>
          <w:color w:val="374151"/>
        </w:rPr>
      </w:pPr>
      <w:r w:rsidRPr="00733B59">
        <w:rPr>
          <w:rFonts w:ascii="Arial" w:hAnsi="Arial" w:cs="Arial"/>
          <w:b/>
          <w:bCs/>
          <w:color w:val="374151"/>
        </w:rPr>
        <w:t>Overall Financial Health:</w:t>
      </w:r>
      <w:r w:rsidRPr="00733B59">
        <w:rPr>
          <w:rFonts w:ascii="Arial" w:hAnsi="Arial" w:cs="Arial"/>
          <w:color w:val="374151"/>
        </w:rPr>
        <w:t xml:space="preserve"> Sweets plc's overall financial health is supported by significant non-current assets, including intangible assets and property, plant, and equipment. However, a decrease in total assets raises questions about the company's ability to optimize returns on its investments. The declining average share price may be attributed to various factors, including market conditions and investor sentiment. Understanding these dynamics is crucial for management to make informed decisions about capital structure, investment strategies, and investor relations.</w:t>
      </w:r>
    </w:p>
    <w:p w14:paraId="4DB8F9EB" w14:textId="50F5AE8F" w:rsidR="003B26BD" w:rsidRPr="00733B59" w:rsidRDefault="003B26BD" w:rsidP="00733B59">
      <w:pPr>
        <w:spacing w:line="360" w:lineRule="auto"/>
        <w:rPr>
          <w:rFonts w:ascii="Arial" w:hAnsi="Arial" w:cs="Arial"/>
          <w:color w:val="374151"/>
        </w:rPr>
      </w:pPr>
      <w:r w:rsidRPr="00733B59">
        <w:rPr>
          <w:rFonts w:ascii="Arial" w:hAnsi="Arial" w:cs="Arial"/>
          <w:color w:val="374151"/>
        </w:rPr>
        <w:t xml:space="preserve">In conclusion, while </w:t>
      </w:r>
      <w:proofErr w:type="gramStart"/>
      <w:r w:rsidRPr="00733B59">
        <w:rPr>
          <w:rFonts w:ascii="Arial" w:hAnsi="Arial" w:cs="Arial"/>
          <w:color w:val="374151"/>
        </w:rPr>
        <w:t>Sweets</w:t>
      </w:r>
      <w:proofErr w:type="gramEnd"/>
      <w:r w:rsidRPr="00733B59">
        <w:rPr>
          <w:rFonts w:ascii="Arial" w:hAnsi="Arial" w:cs="Arial"/>
          <w:color w:val="374151"/>
        </w:rPr>
        <w:t xml:space="preserve"> plc showcases strengths in profitability and operational efficiency, attention is needed to manage short-term liquidity, debt levels, and market perceptions. The company's commitment to returning value to shareholders is commendable, but sustainability and potential impacts on financial ratios should be carefully assessed. Ongoing monitoring and strategic adjustments will be essential for </w:t>
      </w:r>
      <w:proofErr w:type="gramStart"/>
      <w:r w:rsidRPr="00733B59">
        <w:rPr>
          <w:rFonts w:ascii="Arial" w:hAnsi="Arial" w:cs="Arial"/>
          <w:color w:val="374151"/>
        </w:rPr>
        <w:t>Sweets</w:t>
      </w:r>
      <w:proofErr w:type="gramEnd"/>
      <w:r w:rsidRPr="00733B59">
        <w:rPr>
          <w:rFonts w:ascii="Arial" w:hAnsi="Arial" w:cs="Arial"/>
          <w:color w:val="374151"/>
        </w:rPr>
        <w:t xml:space="preserve"> plc to navigate potential challenges and capitalize on opportunities for sustained financial success. Stakeholders, including investors, creditors, and management, should collaborate to ensure a comprehensive and strategic approach to the company's financial performance and position</w:t>
      </w:r>
      <w:r w:rsidR="00B153FB" w:rsidRPr="00B153FB">
        <w:rPr>
          <w:rFonts w:ascii="Times New Roman" w:eastAsia="Times New Roman" w:hAnsi="Times New Roman" w:cs="Times New Roman"/>
          <w:color w:val="000000" w:themeColor="text1"/>
          <w:sz w:val="24"/>
          <w:szCs w:val="24"/>
          <w:highlight w:val="white"/>
        </w:rPr>
        <w:t xml:space="preserve"> </w:t>
      </w:r>
      <w:r w:rsidR="00B153FB">
        <w:rPr>
          <w:rFonts w:ascii="Times New Roman" w:eastAsia="Times New Roman" w:hAnsi="Times New Roman" w:cs="Times New Roman"/>
          <w:color w:val="000000" w:themeColor="text1"/>
          <w:sz w:val="24"/>
          <w:szCs w:val="24"/>
          <w:highlight w:val="white"/>
        </w:rPr>
        <w:t>(</w:t>
      </w:r>
      <w:proofErr w:type="spellStart"/>
      <w:r w:rsidR="00B153FB">
        <w:rPr>
          <w:rFonts w:ascii="Times New Roman" w:eastAsia="Times New Roman" w:hAnsi="Times New Roman" w:cs="Times New Roman"/>
          <w:color w:val="000000" w:themeColor="text1"/>
          <w:sz w:val="24"/>
          <w:szCs w:val="24"/>
          <w:highlight w:val="white"/>
        </w:rPr>
        <w:t>Nariswari</w:t>
      </w:r>
      <w:proofErr w:type="spellEnd"/>
      <w:r w:rsidR="00B153FB">
        <w:rPr>
          <w:rFonts w:ascii="Times New Roman" w:eastAsia="Times New Roman" w:hAnsi="Times New Roman" w:cs="Times New Roman"/>
          <w:color w:val="000000" w:themeColor="text1"/>
          <w:sz w:val="24"/>
          <w:szCs w:val="24"/>
          <w:highlight w:val="white"/>
        </w:rPr>
        <w:t xml:space="preserve"> &amp; </w:t>
      </w:r>
      <w:proofErr w:type="spellStart"/>
      <w:r w:rsidR="00B153FB">
        <w:rPr>
          <w:rFonts w:ascii="Times New Roman" w:eastAsia="Times New Roman" w:hAnsi="Times New Roman" w:cs="Times New Roman"/>
          <w:color w:val="000000" w:themeColor="text1"/>
          <w:sz w:val="24"/>
          <w:szCs w:val="24"/>
          <w:highlight w:val="white"/>
        </w:rPr>
        <w:t>Nugraha</w:t>
      </w:r>
      <w:proofErr w:type="spellEnd"/>
      <w:r w:rsidR="00B153FB">
        <w:rPr>
          <w:rFonts w:ascii="Times New Roman" w:eastAsia="Times New Roman" w:hAnsi="Times New Roman" w:cs="Times New Roman"/>
          <w:color w:val="000000" w:themeColor="text1"/>
          <w:sz w:val="24"/>
          <w:szCs w:val="24"/>
          <w:highlight w:val="white"/>
        </w:rPr>
        <w:t>, 2020</w:t>
      </w:r>
      <w:r w:rsidR="00B153FB">
        <w:rPr>
          <w:rFonts w:ascii="Times New Roman" w:eastAsia="Times New Roman" w:hAnsi="Times New Roman" w:cs="Times New Roman"/>
          <w:color w:val="000000" w:themeColor="text1"/>
          <w:sz w:val="24"/>
          <w:szCs w:val="24"/>
        </w:rPr>
        <w:t>)</w:t>
      </w:r>
      <w:r w:rsidRPr="00733B59">
        <w:rPr>
          <w:rFonts w:ascii="Arial" w:hAnsi="Arial" w:cs="Arial"/>
          <w:color w:val="374151"/>
        </w:rPr>
        <w:t>.</w:t>
      </w:r>
    </w:p>
    <w:p w14:paraId="68E62278" w14:textId="4555BC2C" w:rsidR="00426EFA" w:rsidRPr="00733B59" w:rsidRDefault="00426EFA" w:rsidP="00733B59">
      <w:pPr>
        <w:spacing w:line="360" w:lineRule="auto"/>
        <w:rPr>
          <w:rFonts w:ascii="Arial" w:hAnsi="Arial" w:cs="Arial"/>
          <w:color w:val="374151"/>
        </w:rPr>
      </w:pPr>
      <w:r w:rsidRPr="00733B59">
        <w:rPr>
          <w:rFonts w:ascii="Arial" w:hAnsi="Arial" w:cs="Arial"/>
          <w:color w:val="374151"/>
        </w:rPr>
        <w:t>Conclusion:</w:t>
      </w:r>
      <w:r w:rsidR="0042053E" w:rsidRPr="00733B59">
        <w:rPr>
          <w:rFonts w:ascii="Arial" w:hAnsi="Arial" w:cs="Arial"/>
          <w:color w:val="374151"/>
        </w:rPr>
        <w:t xml:space="preserve"> Navigating the financial landscape </w:t>
      </w:r>
    </w:p>
    <w:p w14:paraId="287B1EBA" w14:textId="77777777" w:rsidR="000B37D5" w:rsidRPr="000B37D5" w:rsidRDefault="000B37D5" w:rsidP="00733B59">
      <w:pPr>
        <w:spacing w:line="360" w:lineRule="auto"/>
        <w:rPr>
          <w:rFonts w:ascii="Arial" w:hAnsi="Arial" w:cs="Arial"/>
          <w:color w:val="374151"/>
        </w:rPr>
      </w:pPr>
      <w:r w:rsidRPr="000B37D5">
        <w:rPr>
          <w:rFonts w:ascii="Arial" w:hAnsi="Arial" w:cs="Arial"/>
          <w:color w:val="374151"/>
        </w:rPr>
        <w:t>In debunking misconceptions about financial statements, we clarified the static nature of the balance sheet and the true definition of non-current assets. Emphasizing the ethical obligation of transparency to all stakeholders, we countered the belief that financial information should be limited to current shareholders.</w:t>
      </w:r>
    </w:p>
    <w:p w14:paraId="16568E2E" w14:textId="77777777" w:rsidR="000B37D5" w:rsidRPr="000B37D5" w:rsidRDefault="000B37D5" w:rsidP="00733B59">
      <w:pPr>
        <w:spacing w:line="360" w:lineRule="auto"/>
        <w:rPr>
          <w:rFonts w:ascii="Arial" w:hAnsi="Arial" w:cs="Arial"/>
          <w:color w:val="374151"/>
        </w:rPr>
      </w:pPr>
      <w:r w:rsidRPr="000B37D5">
        <w:rPr>
          <w:rFonts w:ascii="Arial" w:hAnsi="Arial" w:cs="Arial"/>
          <w:color w:val="374151"/>
        </w:rPr>
        <w:t>The importance of prepayments and accruals in the financial reporting process was highlighted, contradicting the notion that they have no place in the statement of financial position. Regulatory oversight, represented by standards like GAAP and IFRS, emerged as a crucial guardian of financial integrity.</w:t>
      </w:r>
    </w:p>
    <w:p w14:paraId="11992E91" w14:textId="77777777" w:rsidR="000B37D5" w:rsidRPr="000B37D5" w:rsidRDefault="000B37D5" w:rsidP="00733B59">
      <w:pPr>
        <w:spacing w:line="360" w:lineRule="auto"/>
        <w:rPr>
          <w:rFonts w:ascii="Arial" w:hAnsi="Arial" w:cs="Arial"/>
          <w:color w:val="374151"/>
        </w:rPr>
      </w:pPr>
      <w:r w:rsidRPr="000B37D5">
        <w:rPr>
          <w:rFonts w:ascii="Arial" w:hAnsi="Arial" w:cs="Arial"/>
          <w:color w:val="374151"/>
        </w:rPr>
        <w:t>In adjusting Wales plc's financial statements, we recognized the significance of aligning reported figures with economic realities through adjustments like depreciation, accrued salaries, estimated corporation tax, commission payable, and unearned revenue.</w:t>
      </w:r>
    </w:p>
    <w:p w14:paraId="3C9C1877" w14:textId="77777777" w:rsidR="000B37D5" w:rsidRPr="000B37D5" w:rsidRDefault="000B37D5" w:rsidP="00733B59">
      <w:pPr>
        <w:spacing w:line="360" w:lineRule="auto"/>
        <w:rPr>
          <w:rFonts w:ascii="Arial" w:hAnsi="Arial" w:cs="Arial"/>
          <w:color w:val="374151"/>
        </w:rPr>
      </w:pPr>
      <w:r w:rsidRPr="000B37D5">
        <w:rPr>
          <w:rFonts w:ascii="Arial" w:hAnsi="Arial" w:cs="Arial"/>
          <w:color w:val="374151"/>
        </w:rPr>
        <w:t xml:space="preserve">Exploring financial ratios in </w:t>
      </w:r>
      <w:proofErr w:type="gramStart"/>
      <w:r w:rsidRPr="000B37D5">
        <w:rPr>
          <w:rFonts w:ascii="Arial" w:hAnsi="Arial" w:cs="Arial"/>
          <w:color w:val="374151"/>
        </w:rPr>
        <w:t>Sweets</w:t>
      </w:r>
      <w:proofErr w:type="gramEnd"/>
      <w:r w:rsidRPr="000B37D5">
        <w:rPr>
          <w:rFonts w:ascii="Arial" w:hAnsi="Arial" w:cs="Arial"/>
          <w:color w:val="374151"/>
        </w:rPr>
        <w:t xml:space="preserve"> plc provided a comprehensive view of its performance. From profitability and operational efficiency to liquidity and investor considerations, ratios offered valuable insights. The conclusion underscored the need for ongoing monitoring and strategic adjustments to navigate challenges and capitalize on opportunities.</w:t>
      </w:r>
    </w:p>
    <w:p w14:paraId="4B635204" w14:textId="3A07A675" w:rsidR="000B37D5" w:rsidRDefault="000B37D5" w:rsidP="00733B59">
      <w:pPr>
        <w:spacing w:line="360" w:lineRule="auto"/>
        <w:rPr>
          <w:rFonts w:ascii="Arial" w:hAnsi="Arial" w:cs="Arial"/>
          <w:color w:val="374151"/>
        </w:rPr>
      </w:pPr>
      <w:r w:rsidRPr="000B37D5">
        <w:rPr>
          <w:rFonts w:ascii="Arial" w:hAnsi="Arial" w:cs="Arial"/>
          <w:color w:val="374151"/>
        </w:rPr>
        <w:t>In essence, this journey highlighted the intricate interplay between ethics, regulations, and precision in financial reporting. Financial literacy stands out as a tool for informed decision-making, contributing to the integrity and transparency of the financial landscape. As we conclude, continuous learning and adaptability emerge as key components in navigating the dynamic world of finance.</w:t>
      </w:r>
    </w:p>
    <w:p w14:paraId="5F70EDBF" w14:textId="0A5D9767" w:rsidR="00733B59" w:rsidRDefault="00733B59">
      <w:pPr>
        <w:rPr>
          <w:rFonts w:ascii="Arial" w:hAnsi="Arial" w:cs="Arial"/>
          <w:color w:val="374151"/>
        </w:rPr>
      </w:pPr>
      <w:r>
        <w:rPr>
          <w:rFonts w:ascii="Arial" w:hAnsi="Arial" w:cs="Arial"/>
          <w:color w:val="374151"/>
        </w:rPr>
        <w:br w:type="page"/>
      </w:r>
    </w:p>
    <w:p w14:paraId="4385FAD2" w14:textId="7C9AEF4D" w:rsidR="00733B59" w:rsidRPr="00E30FBF" w:rsidRDefault="00733B59" w:rsidP="00E30FBF">
      <w:pPr>
        <w:spacing w:line="360" w:lineRule="auto"/>
        <w:rPr>
          <w:rFonts w:ascii="Arial" w:hAnsi="Arial" w:cs="Arial"/>
          <w:b/>
          <w:bCs/>
          <w:color w:val="374151"/>
          <w:sz w:val="28"/>
          <w:szCs w:val="28"/>
        </w:rPr>
      </w:pPr>
      <w:r w:rsidRPr="00E30FBF">
        <w:rPr>
          <w:rFonts w:ascii="Arial" w:hAnsi="Arial" w:cs="Arial"/>
          <w:b/>
          <w:bCs/>
          <w:color w:val="374151"/>
          <w:sz w:val="28"/>
          <w:szCs w:val="28"/>
        </w:rPr>
        <w:t>References:</w:t>
      </w:r>
    </w:p>
    <w:p w14:paraId="0899E0ED" w14:textId="77777777" w:rsidR="00E30FBF" w:rsidRPr="00E30FBF" w:rsidRDefault="00E30FBF" w:rsidP="00E30FBF">
      <w:pPr>
        <w:spacing w:before="240" w:after="240" w:line="360" w:lineRule="auto"/>
        <w:jc w:val="both"/>
        <w:rPr>
          <w:rFonts w:ascii="Arial" w:eastAsia="Times New Roman" w:hAnsi="Arial" w:cs="Arial"/>
          <w:color w:val="000000" w:themeColor="text1"/>
          <w:highlight w:val="white"/>
        </w:rPr>
      </w:pPr>
    </w:p>
    <w:p w14:paraId="125690E8" w14:textId="77777777" w:rsidR="00E30FBF" w:rsidRPr="00E30FBF" w:rsidRDefault="00E30FBF" w:rsidP="00E30FBF">
      <w:pPr>
        <w:spacing w:before="240" w:after="240" w:line="360" w:lineRule="auto"/>
        <w:jc w:val="both"/>
        <w:rPr>
          <w:rFonts w:ascii="Arial" w:eastAsia="Times New Roman" w:hAnsi="Arial" w:cs="Arial"/>
          <w:color w:val="000000" w:themeColor="text1"/>
          <w:highlight w:val="white"/>
        </w:rPr>
      </w:pPr>
      <w:proofErr w:type="spellStart"/>
      <w:r w:rsidRPr="00E30FBF">
        <w:rPr>
          <w:rFonts w:ascii="Arial" w:eastAsia="Times New Roman" w:hAnsi="Arial" w:cs="Arial"/>
          <w:color w:val="000000" w:themeColor="text1"/>
          <w:highlight w:val="white"/>
        </w:rPr>
        <w:t>Atukalp</w:t>
      </w:r>
      <w:proofErr w:type="spellEnd"/>
      <w:r w:rsidRPr="00E30FBF">
        <w:rPr>
          <w:rFonts w:ascii="Arial" w:eastAsia="Times New Roman" w:hAnsi="Arial" w:cs="Arial"/>
          <w:color w:val="000000" w:themeColor="text1"/>
          <w:highlight w:val="white"/>
        </w:rPr>
        <w:t xml:space="preserve">, M.E., 2023. The effect of financial statements on financial review results. Statement of financial position or income </w:t>
      </w:r>
      <w:proofErr w:type="gramStart"/>
      <w:r w:rsidRPr="00E30FBF">
        <w:rPr>
          <w:rFonts w:ascii="Arial" w:eastAsia="Times New Roman" w:hAnsi="Arial" w:cs="Arial"/>
          <w:color w:val="000000" w:themeColor="text1"/>
          <w:highlight w:val="white"/>
        </w:rPr>
        <w:t>statement?.</w:t>
      </w:r>
      <w:proofErr w:type="gramEnd"/>
      <w:r w:rsidRPr="00E30FBF">
        <w:rPr>
          <w:rFonts w:ascii="Arial" w:eastAsia="Times New Roman" w:hAnsi="Arial" w:cs="Arial"/>
          <w:color w:val="000000" w:themeColor="text1"/>
          <w:highlight w:val="white"/>
        </w:rPr>
        <w:t xml:space="preserve"> </w:t>
      </w:r>
      <w:r w:rsidRPr="00E30FBF">
        <w:rPr>
          <w:rFonts w:ascii="Arial" w:eastAsia="Times New Roman" w:hAnsi="Arial" w:cs="Arial"/>
          <w:i/>
          <w:color w:val="000000" w:themeColor="text1"/>
          <w:highlight w:val="white"/>
        </w:rPr>
        <w:t xml:space="preserve">Gazi </w:t>
      </w:r>
      <w:proofErr w:type="spellStart"/>
      <w:r w:rsidRPr="00E30FBF">
        <w:rPr>
          <w:rFonts w:ascii="Arial" w:eastAsia="Times New Roman" w:hAnsi="Arial" w:cs="Arial"/>
          <w:i/>
          <w:color w:val="000000" w:themeColor="text1"/>
          <w:highlight w:val="white"/>
        </w:rPr>
        <w:t>İktisat</w:t>
      </w:r>
      <w:proofErr w:type="spellEnd"/>
      <w:r w:rsidRPr="00E30FBF">
        <w:rPr>
          <w:rFonts w:ascii="Arial" w:eastAsia="Times New Roman" w:hAnsi="Arial" w:cs="Arial"/>
          <w:i/>
          <w:color w:val="000000" w:themeColor="text1"/>
          <w:highlight w:val="white"/>
        </w:rPr>
        <w:t xml:space="preserve"> </w:t>
      </w:r>
      <w:proofErr w:type="spellStart"/>
      <w:r w:rsidRPr="00E30FBF">
        <w:rPr>
          <w:rFonts w:ascii="Arial" w:eastAsia="Times New Roman" w:hAnsi="Arial" w:cs="Arial"/>
          <w:i/>
          <w:color w:val="000000" w:themeColor="text1"/>
          <w:highlight w:val="white"/>
        </w:rPr>
        <w:t>ve</w:t>
      </w:r>
      <w:proofErr w:type="spellEnd"/>
      <w:r w:rsidRPr="00E30FBF">
        <w:rPr>
          <w:rFonts w:ascii="Arial" w:eastAsia="Times New Roman" w:hAnsi="Arial" w:cs="Arial"/>
          <w:i/>
          <w:color w:val="000000" w:themeColor="text1"/>
          <w:highlight w:val="white"/>
        </w:rPr>
        <w:t xml:space="preserve"> </w:t>
      </w:r>
      <w:proofErr w:type="spellStart"/>
      <w:r w:rsidRPr="00E30FBF">
        <w:rPr>
          <w:rFonts w:ascii="Arial" w:eastAsia="Times New Roman" w:hAnsi="Arial" w:cs="Arial"/>
          <w:i/>
          <w:color w:val="000000" w:themeColor="text1"/>
          <w:highlight w:val="white"/>
        </w:rPr>
        <w:t>İşletme</w:t>
      </w:r>
      <w:proofErr w:type="spellEnd"/>
      <w:r w:rsidRPr="00E30FBF">
        <w:rPr>
          <w:rFonts w:ascii="Arial" w:eastAsia="Times New Roman" w:hAnsi="Arial" w:cs="Arial"/>
          <w:i/>
          <w:color w:val="000000" w:themeColor="text1"/>
          <w:highlight w:val="white"/>
        </w:rPr>
        <w:t xml:space="preserve"> </w:t>
      </w:r>
      <w:proofErr w:type="spellStart"/>
      <w:r w:rsidRPr="00E30FBF">
        <w:rPr>
          <w:rFonts w:ascii="Arial" w:eastAsia="Times New Roman" w:hAnsi="Arial" w:cs="Arial"/>
          <w:i/>
          <w:color w:val="000000" w:themeColor="text1"/>
          <w:highlight w:val="white"/>
        </w:rPr>
        <w:t>Dergisi</w:t>
      </w:r>
      <w:proofErr w:type="spellEnd"/>
      <w:r w:rsidRPr="00E30FBF">
        <w:rPr>
          <w:rFonts w:ascii="Arial" w:eastAsia="Times New Roman" w:hAnsi="Arial" w:cs="Arial"/>
          <w:color w:val="000000" w:themeColor="text1"/>
          <w:highlight w:val="white"/>
        </w:rPr>
        <w:t xml:space="preserve">, </w:t>
      </w:r>
      <w:r w:rsidRPr="00E30FBF">
        <w:rPr>
          <w:rFonts w:ascii="Arial" w:eastAsia="Times New Roman" w:hAnsi="Arial" w:cs="Arial"/>
          <w:i/>
          <w:color w:val="000000" w:themeColor="text1"/>
          <w:highlight w:val="white"/>
        </w:rPr>
        <w:t>9</w:t>
      </w:r>
      <w:r w:rsidRPr="00E30FBF">
        <w:rPr>
          <w:rFonts w:ascii="Arial" w:eastAsia="Times New Roman" w:hAnsi="Arial" w:cs="Arial"/>
          <w:color w:val="000000" w:themeColor="text1"/>
          <w:highlight w:val="white"/>
        </w:rPr>
        <w:t xml:space="preserve">(1), pp.80-96. </w:t>
      </w:r>
      <w:hyperlink r:id="rId6" w:history="1">
        <w:r w:rsidRPr="00E30FBF">
          <w:rPr>
            <w:rStyle w:val="Hyperlink"/>
            <w:rFonts w:ascii="Arial" w:eastAsia="Times New Roman" w:hAnsi="Arial" w:cs="Arial"/>
            <w:color w:val="000000" w:themeColor="text1"/>
            <w:highlight w:val="white"/>
          </w:rPr>
          <w:t>https://dergipark.org.tr/en/pub/gjeb/issue/75965/1183375</w:t>
        </w:r>
      </w:hyperlink>
      <w:r w:rsidRPr="00E30FBF">
        <w:rPr>
          <w:rFonts w:ascii="Arial" w:eastAsia="Times New Roman" w:hAnsi="Arial" w:cs="Arial"/>
          <w:color w:val="000000" w:themeColor="text1"/>
          <w:highlight w:val="white"/>
        </w:rPr>
        <w:t xml:space="preserve"> </w:t>
      </w:r>
    </w:p>
    <w:p w14:paraId="1E01DF96" w14:textId="77777777" w:rsidR="00E30FBF" w:rsidRPr="00E30FBF" w:rsidRDefault="00E30FBF" w:rsidP="00E30FBF">
      <w:pPr>
        <w:spacing w:before="240" w:after="240" w:line="360" w:lineRule="auto"/>
        <w:jc w:val="both"/>
        <w:rPr>
          <w:rFonts w:ascii="Arial" w:eastAsia="Times New Roman" w:hAnsi="Arial" w:cs="Arial"/>
          <w:color w:val="000000" w:themeColor="text1"/>
          <w:highlight w:val="white"/>
        </w:rPr>
      </w:pPr>
      <w:r w:rsidRPr="00E30FBF">
        <w:rPr>
          <w:rFonts w:ascii="Arial" w:eastAsia="Times New Roman" w:hAnsi="Arial" w:cs="Arial"/>
          <w:color w:val="000000" w:themeColor="text1"/>
          <w:highlight w:val="white"/>
        </w:rPr>
        <w:t xml:space="preserve">Manullang, A.E.A., </w:t>
      </w:r>
      <w:proofErr w:type="spellStart"/>
      <w:r w:rsidRPr="00E30FBF">
        <w:rPr>
          <w:rFonts w:ascii="Arial" w:eastAsia="Times New Roman" w:hAnsi="Arial" w:cs="Arial"/>
          <w:color w:val="000000" w:themeColor="text1"/>
          <w:highlight w:val="white"/>
        </w:rPr>
        <w:t>Togatorop</w:t>
      </w:r>
      <w:proofErr w:type="spellEnd"/>
      <w:r w:rsidRPr="00E30FBF">
        <w:rPr>
          <w:rFonts w:ascii="Arial" w:eastAsia="Times New Roman" w:hAnsi="Arial" w:cs="Arial"/>
          <w:color w:val="000000" w:themeColor="text1"/>
          <w:highlight w:val="white"/>
        </w:rPr>
        <w:t xml:space="preserve">, D., </w:t>
      </w:r>
      <w:proofErr w:type="spellStart"/>
      <w:r w:rsidRPr="00E30FBF">
        <w:rPr>
          <w:rFonts w:ascii="Arial" w:eastAsia="Times New Roman" w:hAnsi="Arial" w:cs="Arial"/>
          <w:color w:val="000000" w:themeColor="text1"/>
          <w:highlight w:val="white"/>
        </w:rPr>
        <w:t>Purba</w:t>
      </w:r>
      <w:proofErr w:type="spellEnd"/>
      <w:r w:rsidRPr="00E30FBF">
        <w:rPr>
          <w:rFonts w:ascii="Arial" w:eastAsia="Times New Roman" w:hAnsi="Arial" w:cs="Arial"/>
          <w:color w:val="000000" w:themeColor="text1"/>
          <w:highlight w:val="white"/>
        </w:rPr>
        <w:t xml:space="preserve">, P.R.D., Manik, E.A.Y., </w:t>
      </w:r>
      <w:proofErr w:type="spellStart"/>
      <w:r w:rsidRPr="00E30FBF">
        <w:rPr>
          <w:rFonts w:ascii="Arial" w:eastAsia="Times New Roman" w:hAnsi="Arial" w:cs="Arial"/>
          <w:color w:val="000000" w:themeColor="text1"/>
          <w:highlight w:val="white"/>
        </w:rPr>
        <w:t>Simorangkir</w:t>
      </w:r>
      <w:proofErr w:type="spellEnd"/>
      <w:r w:rsidRPr="00E30FBF">
        <w:rPr>
          <w:rFonts w:ascii="Arial" w:eastAsia="Times New Roman" w:hAnsi="Arial" w:cs="Arial"/>
          <w:color w:val="000000" w:themeColor="text1"/>
          <w:highlight w:val="white"/>
        </w:rPr>
        <w:t xml:space="preserve">, E.N. and Lase, R.K., 2020. The significance of accounts receivable turnover, debt to equity ratio, current ratio to the probability of manufacturing companies. </w:t>
      </w:r>
      <w:r w:rsidRPr="00E30FBF">
        <w:rPr>
          <w:rFonts w:ascii="Arial" w:eastAsia="Times New Roman" w:hAnsi="Arial" w:cs="Arial"/>
          <w:i/>
          <w:color w:val="000000" w:themeColor="text1"/>
          <w:highlight w:val="white"/>
        </w:rPr>
        <w:t>International Journal of Social Science and Business</w:t>
      </w:r>
      <w:r w:rsidRPr="00E30FBF">
        <w:rPr>
          <w:rFonts w:ascii="Arial" w:eastAsia="Times New Roman" w:hAnsi="Arial" w:cs="Arial"/>
          <w:color w:val="000000" w:themeColor="text1"/>
          <w:highlight w:val="white"/>
        </w:rPr>
        <w:t xml:space="preserve">, </w:t>
      </w:r>
      <w:r w:rsidRPr="00E30FBF">
        <w:rPr>
          <w:rFonts w:ascii="Arial" w:eastAsia="Times New Roman" w:hAnsi="Arial" w:cs="Arial"/>
          <w:i/>
          <w:color w:val="000000" w:themeColor="text1"/>
          <w:highlight w:val="white"/>
        </w:rPr>
        <w:t>4</w:t>
      </w:r>
      <w:r w:rsidRPr="00E30FBF">
        <w:rPr>
          <w:rFonts w:ascii="Arial" w:eastAsia="Times New Roman" w:hAnsi="Arial" w:cs="Arial"/>
          <w:color w:val="000000" w:themeColor="text1"/>
          <w:highlight w:val="white"/>
        </w:rPr>
        <w:t>(3)</w:t>
      </w:r>
    </w:p>
    <w:p w14:paraId="48EB4606" w14:textId="77777777" w:rsidR="00E30FBF" w:rsidRPr="00E30FBF" w:rsidRDefault="00E30FBF" w:rsidP="00E30FBF">
      <w:pPr>
        <w:spacing w:before="240" w:after="240" w:line="360" w:lineRule="auto"/>
        <w:jc w:val="both"/>
        <w:rPr>
          <w:rFonts w:ascii="Arial" w:eastAsia="Times New Roman" w:hAnsi="Arial" w:cs="Arial"/>
          <w:color w:val="000000" w:themeColor="text1"/>
          <w:highlight w:val="white"/>
        </w:rPr>
      </w:pPr>
      <w:proofErr w:type="spellStart"/>
      <w:r w:rsidRPr="00E30FBF">
        <w:rPr>
          <w:rFonts w:ascii="Arial" w:eastAsia="Times New Roman" w:hAnsi="Arial" w:cs="Arial"/>
          <w:color w:val="000000" w:themeColor="text1"/>
          <w:highlight w:val="white"/>
        </w:rPr>
        <w:t>Marmul</w:t>
      </w:r>
      <w:proofErr w:type="spellEnd"/>
      <w:r w:rsidRPr="00E30FBF">
        <w:rPr>
          <w:rFonts w:ascii="Arial" w:eastAsia="Times New Roman" w:hAnsi="Arial" w:cs="Arial"/>
          <w:color w:val="000000" w:themeColor="text1"/>
          <w:highlight w:val="white"/>
        </w:rPr>
        <w:t xml:space="preserve">, L. and Kucherenko, M., 2021. Current issues of accounting of non-current assets depreciation. </w:t>
      </w:r>
      <w:r w:rsidRPr="00E30FBF">
        <w:rPr>
          <w:rFonts w:ascii="Arial" w:eastAsia="Times New Roman" w:hAnsi="Arial" w:cs="Arial"/>
          <w:i/>
          <w:color w:val="000000" w:themeColor="text1"/>
          <w:highlight w:val="white"/>
        </w:rPr>
        <w:t>University Economic Bulletin</w:t>
      </w:r>
      <w:r w:rsidRPr="00E30FBF">
        <w:rPr>
          <w:rFonts w:ascii="Arial" w:eastAsia="Times New Roman" w:hAnsi="Arial" w:cs="Arial"/>
          <w:color w:val="000000" w:themeColor="text1"/>
          <w:highlight w:val="white"/>
        </w:rPr>
        <w:t>, (49)</w:t>
      </w:r>
    </w:p>
    <w:p w14:paraId="04EA276E" w14:textId="77777777" w:rsidR="00E30FBF" w:rsidRPr="00E30FBF" w:rsidRDefault="00E30FBF" w:rsidP="00E30FBF">
      <w:pPr>
        <w:spacing w:before="240" w:after="240" w:line="360" w:lineRule="auto"/>
        <w:jc w:val="both"/>
        <w:rPr>
          <w:rFonts w:ascii="Arial" w:hAnsi="Arial" w:cs="Arial"/>
        </w:rPr>
      </w:pPr>
      <w:proofErr w:type="spellStart"/>
      <w:r w:rsidRPr="00E30FBF">
        <w:rPr>
          <w:rFonts w:ascii="Arial" w:eastAsia="Times New Roman" w:hAnsi="Arial" w:cs="Arial"/>
          <w:color w:val="000000" w:themeColor="text1"/>
          <w:highlight w:val="white"/>
        </w:rPr>
        <w:t>Nariswari</w:t>
      </w:r>
      <w:proofErr w:type="spellEnd"/>
      <w:r w:rsidRPr="00E30FBF">
        <w:rPr>
          <w:rFonts w:ascii="Arial" w:eastAsia="Times New Roman" w:hAnsi="Arial" w:cs="Arial"/>
          <w:color w:val="000000" w:themeColor="text1"/>
          <w:highlight w:val="white"/>
        </w:rPr>
        <w:t xml:space="preserve">, T.N. and </w:t>
      </w:r>
      <w:proofErr w:type="spellStart"/>
      <w:r w:rsidRPr="00E30FBF">
        <w:rPr>
          <w:rFonts w:ascii="Arial" w:eastAsia="Times New Roman" w:hAnsi="Arial" w:cs="Arial"/>
          <w:color w:val="000000" w:themeColor="text1"/>
          <w:highlight w:val="white"/>
        </w:rPr>
        <w:t>Nugraha</w:t>
      </w:r>
      <w:proofErr w:type="spellEnd"/>
      <w:r w:rsidRPr="00E30FBF">
        <w:rPr>
          <w:rFonts w:ascii="Arial" w:eastAsia="Times New Roman" w:hAnsi="Arial" w:cs="Arial"/>
          <w:color w:val="000000" w:themeColor="text1"/>
          <w:highlight w:val="white"/>
        </w:rPr>
        <w:t xml:space="preserve">, N.M., 2020. Profit growth: impact </w:t>
      </w:r>
      <w:proofErr w:type="gramStart"/>
      <w:r w:rsidRPr="00E30FBF">
        <w:rPr>
          <w:rFonts w:ascii="Arial" w:eastAsia="Times New Roman" w:hAnsi="Arial" w:cs="Arial"/>
          <w:color w:val="000000" w:themeColor="text1"/>
          <w:highlight w:val="white"/>
        </w:rPr>
        <w:t>of</w:t>
      </w:r>
      <w:proofErr w:type="gramEnd"/>
      <w:r w:rsidRPr="00E30FBF">
        <w:rPr>
          <w:rFonts w:ascii="Arial" w:eastAsia="Times New Roman" w:hAnsi="Arial" w:cs="Arial"/>
          <w:color w:val="000000" w:themeColor="text1"/>
          <w:highlight w:val="white"/>
        </w:rPr>
        <w:t xml:space="preserve"> net profit margin, gross profit margin and total </w:t>
      </w:r>
      <w:proofErr w:type="spellStart"/>
      <w:r w:rsidRPr="00E30FBF">
        <w:rPr>
          <w:rFonts w:ascii="Arial" w:eastAsia="Times New Roman" w:hAnsi="Arial" w:cs="Arial"/>
          <w:color w:val="000000" w:themeColor="text1"/>
          <w:highlight w:val="white"/>
        </w:rPr>
        <w:t>assests</w:t>
      </w:r>
      <w:proofErr w:type="spellEnd"/>
      <w:r w:rsidRPr="00E30FBF">
        <w:rPr>
          <w:rFonts w:ascii="Arial" w:eastAsia="Times New Roman" w:hAnsi="Arial" w:cs="Arial"/>
          <w:color w:val="000000" w:themeColor="text1"/>
          <w:highlight w:val="white"/>
        </w:rPr>
        <w:t xml:space="preserve"> turnover. </w:t>
      </w:r>
      <w:r w:rsidRPr="00E30FBF">
        <w:rPr>
          <w:rFonts w:ascii="Arial" w:eastAsia="Times New Roman" w:hAnsi="Arial" w:cs="Arial"/>
          <w:i/>
          <w:color w:val="000000" w:themeColor="text1"/>
          <w:highlight w:val="white"/>
        </w:rPr>
        <w:t>International Journal of Finance &amp; Banking Studies (2147-4486)</w:t>
      </w:r>
      <w:r w:rsidRPr="00E30FBF">
        <w:rPr>
          <w:rFonts w:ascii="Arial" w:eastAsia="Times New Roman" w:hAnsi="Arial" w:cs="Arial"/>
          <w:color w:val="000000" w:themeColor="text1"/>
          <w:highlight w:val="white"/>
        </w:rPr>
        <w:t xml:space="preserve">, </w:t>
      </w:r>
      <w:r w:rsidRPr="00E30FBF">
        <w:rPr>
          <w:rFonts w:ascii="Arial" w:eastAsia="Times New Roman" w:hAnsi="Arial" w:cs="Arial"/>
          <w:i/>
          <w:color w:val="000000" w:themeColor="text1"/>
          <w:highlight w:val="white"/>
        </w:rPr>
        <w:t>9</w:t>
      </w:r>
      <w:r w:rsidRPr="00E30FBF">
        <w:rPr>
          <w:rFonts w:ascii="Arial" w:eastAsia="Times New Roman" w:hAnsi="Arial" w:cs="Arial"/>
          <w:color w:val="000000" w:themeColor="text1"/>
          <w:highlight w:val="white"/>
        </w:rPr>
        <w:t xml:space="preserve">(4), pp.87-96. </w:t>
      </w:r>
      <w:hyperlink r:id="rId7" w:history="1">
        <w:r w:rsidRPr="00E30FBF">
          <w:rPr>
            <w:rStyle w:val="Hyperlink"/>
            <w:rFonts w:ascii="Arial" w:eastAsia="Times New Roman" w:hAnsi="Arial" w:cs="Arial"/>
            <w:color w:val="000000" w:themeColor="text1"/>
            <w:highlight w:val="white"/>
          </w:rPr>
          <w:t>https://www.ssbfnet.com/ojs/index.php/ijfbs/article/view/937</w:t>
        </w:r>
      </w:hyperlink>
    </w:p>
    <w:p w14:paraId="25F752DF" w14:textId="77777777" w:rsidR="00E30FBF" w:rsidRPr="00E30FBF" w:rsidRDefault="00E30FBF" w:rsidP="00E30FBF">
      <w:pPr>
        <w:spacing w:line="360" w:lineRule="auto"/>
        <w:rPr>
          <w:rFonts w:ascii="Arial" w:eastAsia="Times New Roman" w:hAnsi="Arial" w:cs="Arial"/>
          <w:color w:val="000000" w:themeColor="text1"/>
        </w:rPr>
      </w:pPr>
      <w:r w:rsidRPr="00E30FBF">
        <w:rPr>
          <w:rFonts w:ascii="Arial" w:eastAsia="Times New Roman" w:hAnsi="Arial" w:cs="Arial"/>
          <w:color w:val="000000" w:themeColor="text1"/>
          <w:highlight w:val="white"/>
        </w:rPr>
        <w:t xml:space="preserve">Schmitz, J. and Leoni, G., 2019. Accounting and auditing at the time of blockchain technology: a research agenda. </w:t>
      </w:r>
      <w:r w:rsidRPr="00E30FBF">
        <w:rPr>
          <w:rFonts w:ascii="Arial" w:eastAsia="Times New Roman" w:hAnsi="Arial" w:cs="Arial"/>
          <w:i/>
          <w:color w:val="000000" w:themeColor="text1"/>
          <w:highlight w:val="white"/>
        </w:rPr>
        <w:t>Australian Accounting Review</w:t>
      </w:r>
      <w:r w:rsidRPr="00E30FBF">
        <w:rPr>
          <w:rFonts w:ascii="Arial" w:eastAsia="Times New Roman" w:hAnsi="Arial" w:cs="Arial"/>
          <w:color w:val="000000" w:themeColor="text1"/>
          <w:highlight w:val="white"/>
        </w:rPr>
        <w:t xml:space="preserve">, </w:t>
      </w:r>
      <w:r w:rsidRPr="00E30FBF">
        <w:rPr>
          <w:rFonts w:ascii="Arial" w:eastAsia="Times New Roman" w:hAnsi="Arial" w:cs="Arial"/>
          <w:i/>
          <w:color w:val="000000" w:themeColor="text1"/>
          <w:highlight w:val="white"/>
        </w:rPr>
        <w:t>29</w:t>
      </w:r>
      <w:r w:rsidRPr="00E30FBF">
        <w:rPr>
          <w:rFonts w:ascii="Arial" w:eastAsia="Times New Roman" w:hAnsi="Arial" w:cs="Arial"/>
          <w:color w:val="000000" w:themeColor="text1"/>
          <w:highlight w:val="white"/>
        </w:rPr>
        <w:t>(2)</w:t>
      </w:r>
    </w:p>
    <w:p w14:paraId="1C32F96C" w14:textId="77777777" w:rsidR="00E30FBF" w:rsidRPr="00E30FBF" w:rsidRDefault="00E30FBF" w:rsidP="00E30FBF">
      <w:pPr>
        <w:spacing w:before="240" w:after="240" w:line="360" w:lineRule="auto"/>
        <w:jc w:val="both"/>
        <w:rPr>
          <w:rFonts w:ascii="Arial" w:eastAsia="Times New Roman" w:hAnsi="Arial" w:cs="Arial"/>
          <w:color w:val="000000" w:themeColor="text1"/>
          <w:highlight w:val="white"/>
        </w:rPr>
      </w:pPr>
      <w:r w:rsidRPr="00E30FBF">
        <w:rPr>
          <w:rFonts w:ascii="Arial" w:eastAsia="Times New Roman" w:hAnsi="Arial" w:cs="Arial"/>
          <w:color w:val="000000" w:themeColor="text1"/>
          <w:highlight w:val="white"/>
        </w:rPr>
        <w:t xml:space="preserve">Warren, C.S., Jones, </w:t>
      </w:r>
      <w:proofErr w:type="gramStart"/>
      <w:r w:rsidRPr="00E30FBF">
        <w:rPr>
          <w:rFonts w:ascii="Arial" w:eastAsia="Times New Roman" w:hAnsi="Arial" w:cs="Arial"/>
          <w:color w:val="000000" w:themeColor="text1"/>
          <w:highlight w:val="white"/>
        </w:rPr>
        <w:t>J.P.</w:t>
      </w:r>
      <w:proofErr w:type="gramEnd"/>
      <w:r w:rsidRPr="00E30FBF">
        <w:rPr>
          <w:rFonts w:ascii="Arial" w:eastAsia="Times New Roman" w:hAnsi="Arial" w:cs="Arial"/>
          <w:color w:val="000000" w:themeColor="text1"/>
          <w:highlight w:val="white"/>
        </w:rPr>
        <w:t xml:space="preserve"> and Tayler, W.B., 2020. </w:t>
      </w:r>
      <w:r w:rsidRPr="00E30FBF">
        <w:rPr>
          <w:rFonts w:ascii="Arial" w:eastAsia="Times New Roman" w:hAnsi="Arial" w:cs="Arial"/>
          <w:i/>
          <w:color w:val="000000" w:themeColor="text1"/>
          <w:highlight w:val="white"/>
        </w:rPr>
        <w:t>Financial and managerial accounting</w:t>
      </w:r>
      <w:r w:rsidRPr="00E30FBF">
        <w:rPr>
          <w:rFonts w:ascii="Arial" w:eastAsia="Times New Roman" w:hAnsi="Arial" w:cs="Arial"/>
          <w:color w:val="000000" w:themeColor="text1"/>
          <w:highlight w:val="white"/>
        </w:rPr>
        <w:t xml:space="preserve">. Cengage Learning, </w:t>
      </w:r>
      <w:proofErr w:type="gramStart"/>
      <w:r w:rsidRPr="00E30FBF">
        <w:rPr>
          <w:rFonts w:ascii="Arial" w:eastAsia="Times New Roman" w:hAnsi="Arial" w:cs="Arial"/>
          <w:color w:val="000000" w:themeColor="text1"/>
          <w:highlight w:val="white"/>
        </w:rPr>
        <w:t>Inc..</w:t>
      </w:r>
      <w:proofErr w:type="gramEnd"/>
    </w:p>
    <w:p w14:paraId="4C47F873" w14:textId="77777777" w:rsidR="002E110C" w:rsidRDefault="002E110C" w:rsidP="002E110C">
      <w:pPr>
        <w:spacing w:before="240" w:after="240" w:line="360" w:lineRule="auto"/>
        <w:jc w:val="both"/>
        <w:rPr>
          <w:rFonts w:ascii="Times New Roman" w:eastAsia="Times New Roman" w:hAnsi="Times New Roman" w:cs="Times New Roman"/>
          <w:color w:val="000000" w:themeColor="text1"/>
          <w:sz w:val="24"/>
          <w:szCs w:val="24"/>
          <w:highlight w:val="white"/>
        </w:rPr>
      </w:pPr>
    </w:p>
    <w:p w14:paraId="23D3EC96" w14:textId="77777777" w:rsidR="00C6494C" w:rsidRDefault="00C6494C" w:rsidP="00733B59">
      <w:pPr>
        <w:spacing w:line="360" w:lineRule="auto"/>
        <w:rPr>
          <w:rFonts w:ascii="Arial" w:hAnsi="Arial" w:cs="Arial"/>
          <w:color w:val="374151"/>
        </w:rPr>
      </w:pPr>
    </w:p>
    <w:p w14:paraId="2269C3E3" w14:textId="77777777" w:rsidR="00733B59" w:rsidRPr="00733B59" w:rsidRDefault="00733B59" w:rsidP="00733B59">
      <w:pPr>
        <w:spacing w:line="360" w:lineRule="auto"/>
        <w:rPr>
          <w:rFonts w:ascii="Arial" w:hAnsi="Arial" w:cs="Arial"/>
          <w:color w:val="374151"/>
        </w:rPr>
      </w:pPr>
    </w:p>
    <w:p w14:paraId="0841A601" w14:textId="77777777" w:rsidR="005C1B75" w:rsidRPr="000B37D5" w:rsidRDefault="005C1B75" w:rsidP="00733B59">
      <w:pPr>
        <w:spacing w:line="360" w:lineRule="auto"/>
        <w:rPr>
          <w:rFonts w:ascii="Arial" w:hAnsi="Arial" w:cs="Arial"/>
          <w:color w:val="374151"/>
        </w:rPr>
      </w:pPr>
    </w:p>
    <w:p w14:paraId="21052198" w14:textId="31F69E6B" w:rsidR="00614D0C" w:rsidRPr="00733B59" w:rsidRDefault="00614D0C" w:rsidP="00733B59">
      <w:pPr>
        <w:spacing w:line="360" w:lineRule="auto"/>
        <w:rPr>
          <w:rFonts w:ascii="Arial" w:hAnsi="Arial" w:cs="Arial"/>
        </w:rPr>
      </w:pPr>
    </w:p>
    <w:sectPr w:rsidR="00614D0C" w:rsidRPr="00733B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945EC"/>
    <w:multiLevelType w:val="hybridMultilevel"/>
    <w:tmpl w:val="70B2D9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EE244A"/>
    <w:multiLevelType w:val="hybridMultilevel"/>
    <w:tmpl w:val="2C38C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3A34B6"/>
    <w:multiLevelType w:val="hybridMultilevel"/>
    <w:tmpl w:val="FC6EB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087922"/>
    <w:multiLevelType w:val="hybridMultilevel"/>
    <w:tmpl w:val="1F0463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11050A"/>
    <w:multiLevelType w:val="hybridMultilevel"/>
    <w:tmpl w:val="996893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DCF3052"/>
    <w:multiLevelType w:val="hybridMultilevel"/>
    <w:tmpl w:val="80E2C25C"/>
    <w:lvl w:ilvl="0" w:tplc="1FB00E86">
      <w:start w:val="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1849231">
    <w:abstractNumId w:val="1"/>
  </w:num>
  <w:num w:numId="2" w16cid:durableId="720443663">
    <w:abstractNumId w:val="5"/>
  </w:num>
  <w:num w:numId="3" w16cid:durableId="1592200267">
    <w:abstractNumId w:val="4"/>
  </w:num>
  <w:num w:numId="4" w16cid:durableId="1414081639">
    <w:abstractNumId w:val="0"/>
  </w:num>
  <w:num w:numId="5" w16cid:durableId="55200776">
    <w:abstractNumId w:val="3"/>
  </w:num>
  <w:num w:numId="6" w16cid:durableId="11412682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614D0C"/>
    <w:rsid w:val="00026282"/>
    <w:rsid w:val="00040868"/>
    <w:rsid w:val="00045A6F"/>
    <w:rsid w:val="00052DD8"/>
    <w:rsid w:val="000A300C"/>
    <w:rsid w:val="000B37D5"/>
    <w:rsid w:val="000B38D9"/>
    <w:rsid w:val="000E65EF"/>
    <w:rsid w:val="000F588D"/>
    <w:rsid w:val="00123A07"/>
    <w:rsid w:val="00134A34"/>
    <w:rsid w:val="001446B8"/>
    <w:rsid w:val="00144D54"/>
    <w:rsid w:val="00144FB8"/>
    <w:rsid w:val="00145C38"/>
    <w:rsid w:val="0015469C"/>
    <w:rsid w:val="00154D90"/>
    <w:rsid w:val="00172002"/>
    <w:rsid w:val="001D616D"/>
    <w:rsid w:val="001E1FD6"/>
    <w:rsid w:val="00242D79"/>
    <w:rsid w:val="00244A23"/>
    <w:rsid w:val="002539AA"/>
    <w:rsid w:val="00267511"/>
    <w:rsid w:val="00291C5F"/>
    <w:rsid w:val="00293CE9"/>
    <w:rsid w:val="002B57B2"/>
    <w:rsid w:val="002D2DD7"/>
    <w:rsid w:val="002E110C"/>
    <w:rsid w:val="002F1627"/>
    <w:rsid w:val="00304251"/>
    <w:rsid w:val="00327EB1"/>
    <w:rsid w:val="00330A5B"/>
    <w:rsid w:val="003320DE"/>
    <w:rsid w:val="003410FD"/>
    <w:rsid w:val="003456ED"/>
    <w:rsid w:val="00357C67"/>
    <w:rsid w:val="00375621"/>
    <w:rsid w:val="00391331"/>
    <w:rsid w:val="00396C34"/>
    <w:rsid w:val="003A18E6"/>
    <w:rsid w:val="003A3DE8"/>
    <w:rsid w:val="003B26BD"/>
    <w:rsid w:val="003E11BB"/>
    <w:rsid w:val="003F033A"/>
    <w:rsid w:val="00410D64"/>
    <w:rsid w:val="0042053E"/>
    <w:rsid w:val="00426EFA"/>
    <w:rsid w:val="00427CF4"/>
    <w:rsid w:val="00435390"/>
    <w:rsid w:val="0046177B"/>
    <w:rsid w:val="004639EB"/>
    <w:rsid w:val="004666C6"/>
    <w:rsid w:val="004A33E3"/>
    <w:rsid w:val="004B3036"/>
    <w:rsid w:val="004C084D"/>
    <w:rsid w:val="00500ACC"/>
    <w:rsid w:val="0050751C"/>
    <w:rsid w:val="00521ED3"/>
    <w:rsid w:val="005465E5"/>
    <w:rsid w:val="005516DB"/>
    <w:rsid w:val="00560D05"/>
    <w:rsid w:val="005C1B75"/>
    <w:rsid w:val="005D2FE2"/>
    <w:rsid w:val="005F2762"/>
    <w:rsid w:val="005F6F11"/>
    <w:rsid w:val="00614D0C"/>
    <w:rsid w:val="0066188F"/>
    <w:rsid w:val="00670205"/>
    <w:rsid w:val="00693F20"/>
    <w:rsid w:val="006A2A50"/>
    <w:rsid w:val="006C4584"/>
    <w:rsid w:val="006E5EF9"/>
    <w:rsid w:val="006F70CA"/>
    <w:rsid w:val="00706EC3"/>
    <w:rsid w:val="00715C4A"/>
    <w:rsid w:val="00733B59"/>
    <w:rsid w:val="00737CEB"/>
    <w:rsid w:val="00743F40"/>
    <w:rsid w:val="00744A59"/>
    <w:rsid w:val="007474C7"/>
    <w:rsid w:val="00751E05"/>
    <w:rsid w:val="0075326C"/>
    <w:rsid w:val="00771272"/>
    <w:rsid w:val="007A5F87"/>
    <w:rsid w:val="007A6629"/>
    <w:rsid w:val="007E00B1"/>
    <w:rsid w:val="007F34AF"/>
    <w:rsid w:val="007F67E2"/>
    <w:rsid w:val="008057F9"/>
    <w:rsid w:val="00805F15"/>
    <w:rsid w:val="00810863"/>
    <w:rsid w:val="00837561"/>
    <w:rsid w:val="0086085D"/>
    <w:rsid w:val="008918DA"/>
    <w:rsid w:val="008A230A"/>
    <w:rsid w:val="008B3128"/>
    <w:rsid w:val="008F12D7"/>
    <w:rsid w:val="00930EB4"/>
    <w:rsid w:val="00944BA8"/>
    <w:rsid w:val="00947D36"/>
    <w:rsid w:val="009A3506"/>
    <w:rsid w:val="009C5EF4"/>
    <w:rsid w:val="009F0A4D"/>
    <w:rsid w:val="009F36A0"/>
    <w:rsid w:val="00A04508"/>
    <w:rsid w:val="00A7186A"/>
    <w:rsid w:val="00A837BE"/>
    <w:rsid w:val="00A93A84"/>
    <w:rsid w:val="00A950FA"/>
    <w:rsid w:val="00AA0011"/>
    <w:rsid w:val="00AA5380"/>
    <w:rsid w:val="00AB0594"/>
    <w:rsid w:val="00AC1519"/>
    <w:rsid w:val="00B153FB"/>
    <w:rsid w:val="00B23128"/>
    <w:rsid w:val="00B712D5"/>
    <w:rsid w:val="00B73DAC"/>
    <w:rsid w:val="00B75B89"/>
    <w:rsid w:val="00B84468"/>
    <w:rsid w:val="00BC1E38"/>
    <w:rsid w:val="00BF15FF"/>
    <w:rsid w:val="00C06310"/>
    <w:rsid w:val="00C14B9D"/>
    <w:rsid w:val="00C24549"/>
    <w:rsid w:val="00C26ED2"/>
    <w:rsid w:val="00C6494C"/>
    <w:rsid w:val="00C80157"/>
    <w:rsid w:val="00C95F1C"/>
    <w:rsid w:val="00CD4967"/>
    <w:rsid w:val="00CD6A15"/>
    <w:rsid w:val="00D050C7"/>
    <w:rsid w:val="00D36FDA"/>
    <w:rsid w:val="00DA64D4"/>
    <w:rsid w:val="00DB2643"/>
    <w:rsid w:val="00E13248"/>
    <w:rsid w:val="00E231CE"/>
    <w:rsid w:val="00E25B8B"/>
    <w:rsid w:val="00E274C1"/>
    <w:rsid w:val="00E30FBF"/>
    <w:rsid w:val="00E4507D"/>
    <w:rsid w:val="00E665CD"/>
    <w:rsid w:val="00E74FBA"/>
    <w:rsid w:val="00E94D2C"/>
    <w:rsid w:val="00EB7240"/>
    <w:rsid w:val="00EC0E9D"/>
    <w:rsid w:val="00EE511D"/>
    <w:rsid w:val="00F01837"/>
    <w:rsid w:val="00F21635"/>
    <w:rsid w:val="00F21C30"/>
    <w:rsid w:val="00F2763F"/>
    <w:rsid w:val="00F27EBD"/>
    <w:rsid w:val="00F36958"/>
    <w:rsid w:val="00F4279D"/>
    <w:rsid w:val="00F50DB5"/>
    <w:rsid w:val="00F774C1"/>
    <w:rsid w:val="00F829E9"/>
    <w:rsid w:val="00F921EC"/>
    <w:rsid w:val="00FB3736"/>
    <w:rsid w:val="00FC21DB"/>
    <w:rsid w:val="00FF0DF8"/>
    <w:rsid w:val="00FF2CF2"/>
    <w:rsid w:val="00FF5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B51A7"/>
  <w15:docId w15:val="{486AEC6F-7044-4DF5-B5D7-D1C8C571C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4D0C"/>
    <w:pPr>
      <w:ind w:left="720"/>
      <w:contextualSpacing/>
    </w:pPr>
  </w:style>
  <w:style w:type="paragraph" w:styleId="NormalWeb">
    <w:name w:val="Normal (Web)"/>
    <w:basedOn w:val="Normal"/>
    <w:uiPriority w:val="99"/>
    <w:semiHidden/>
    <w:unhideWhenUsed/>
    <w:rsid w:val="00045A6F"/>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z-TopofForm">
    <w:name w:val="HTML Top of Form"/>
    <w:basedOn w:val="Normal"/>
    <w:next w:val="Normal"/>
    <w:link w:val="z-TopofFormChar"/>
    <w:hidden/>
    <w:uiPriority w:val="99"/>
    <w:semiHidden/>
    <w:unhideWhenUsed/>
    <w:rsid w:val="00045A6F"/>
    <w:pPr>
      <w:pBdr>
        <w:bottom w:val="single" w:sz="6" w:space="1" w:color="auto"/>
      </w:pBdr>
      <w:spacing w:after="0" w:line="240" w:lineRule="auto"/>
      <w:jc w:val="center"/>
    </w:pPr>
    <w:rPr>
      <w:rFonts w:ascii="Arial" w:eastAsia="Times New Roman" w:hAnsi="Arial" w:cs="Arial"/>
      <w:vanish/>
      <w:kern w:val="0"/>
      <w:sz w:val="16"/>
      <w:szCs w:val="16"/>
    </w:rPr>
  </w:style>
  <w:style w:type="character" w:customStyle="1" w:styleId="z-TopofFormChar">
    <w:name w:val="z-Top of Form Char"/>
    <w:basedOn w:val="DefaultParagraphFont"/>
    <w:link w:val="z-TopofForm"/>
    <w:uiPriority w:val="99"/>
    <w:semiHidden/>
    <w:rsid w:val="00045A6F"/>
    <w:rPr>
      <w:rFonts w:ascii="Arial" w:eastAsia="Times New Roman" w:hAnsi="Arial" w:cs="Arial"/>
      <w:vanish/>
      <w:kern w:val="0"/>
      <w:sz w:val="16"/>
      <w:szCs w:val="16"/>
    </w:rPr>
  </w:style>
  <w:style w:type="character" w:styleId="Strong">
    <w:name w:val="Strong"/>
    <w:basedOn w:val="DefaultParagraphFont"/>
    <w:uiPriority w:val="22"/>
    <w:qFormat/>
    <w:rsid w:val="00F36958"/>
    <w:rPr>
      <w:b/>
      <w:bCs/>
    </w:rPr>
  </w:style>
  <w:style w:type="table" w:styleId="TableGrid">
    <w:name w:val="Table Grid"/>
    <w:basedOn w:val="TableNormal"/>
    <w:uiPriority w:val="39"/>
    <w:rsid w:val="004C08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0408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19864">
      <w:bodyDiv w:val="1"/>
      <w:marLeft w:val="0"/>
      <w:marRight w:val="0"/>
      <w:marTop w:val="0"/>
      <w:marBottom w:val="0"/>
      <w:divBdr>
        <w:top w:val="none" w:sz="0" w:space="0" w:color="auto"/>
        <w:left w:val="none" w:sz="0" w:space="0" w:color="auto"/>
        <w:bottom w:val="none" w:sz="0" w:space="0" w:color="auto"/>
        <w:right w:val="none" w:sz="0" w:space="0" w:color="auto"/>
      </w:divBdr>
      <w:divsChild>
        <w:div w:id="2027049305">
          <w:marLeft w:val="0"/>
          <w:marRight w:val="0"/>
          <w:marTop w:val="0"/>
          <w:marBottom w:val="0"/>
          <w:divBdr>
            <w:top w:val="single" w:sz="2" w:space="0" w:color="D9D9E3"/>
            <w:left w:val="single" w:sz="2" w:space="0" w:color="D9D9E3"/>
            <w:bottom w:val="single" w:sz="2" w:space="0" w:color="D9D9E3"/>
            <w:right w:val="single" w:sz="2" w:space="0" w:color="D9D9E3"/>
          </w:divBdr>
          <w:divsChild>
            <w:div w:id="1348288433">
              <w:marLeft w:val="0"/>
              <w:marRight w:val="0"/>
              <w:marTop w:val="0"/>
              <w:marBottom w:val="0"/>
              <w:divBdr>
                <w:top w:val="single" w:sz="2" w:space="0" w:color="D9D9E3"/>
                <w:left w:val="single" w:sz="2" w:space="0" w:color="D9D9E3"/>
                <w:bottom w:val="single" w:sz="2" w:space="0" w:color="D9D9E3"/>
                <w:right w:val="single" w:sz="2" w:space="0" w:color="D9D9E3"/>
              </w:divBdr>
              <w:divsChild>
                <w:div w:id="2079135501">
                  <w:marLeft w:val="0"/>
                  <w:marRight w:val="0"/>
                  <w:marTop w:val="0"/>
                  <w:marBottom w:val="0"/>
                  <w:divBdr>
                    <w:top w:val="single" w:sz="2" w:space="0" w:color="D9D9E3"/>
                    <w:left w:val="single" w:sz="2" w:space="0" w:color="D9D9E3"/>
                    <w:bottom w:val="single" w:sz="2" w:space="0" w:color="D9D9E3"/>
                    <w:right w:val="single" w:sz="2" w:space="0" w:color="D9D9E3"/>
                  </w:divBdr>
                  <w:divsChild>
                    <w:div w:id="1377310935">
                      <w:marLeft w:val="0"/>
                      <w:marRight w:val="0"/>
                      <w:marTop w:val="0"/>
                      <w:marBottom w:val="0"/>
                      <w:divBdr>
                        <w:top w:val="single" w:sz="2" w:space="0" w:color="D9D9E3"/>
                        <w:left w:val="single" w:sz="2" w:space="0" w:color="D9D9E3"/>
                        <w:bottom w:val="single" w:sz="2" w:space="0" w:color="D9D9E3"/>
                        <w:right w:val="single" w:sz="2" w:space="0" w:color="D9D9E3"/>
                      </w:divBdr>
                      <w:divsChild>
                        <w:div w:id="1597134339">
                          <w:marLeft w:val="0"/>
                          <w:marRight w:val="0"/>
                          <w:marTop w:val="0"/>
                          <w:marBottom w:val="0"/>
                          <w:divBdr>
                            <w:top w:val="single" w:sz="2" w:space="0" w:color="D9D9E3"/>
                            <w:left w:val="single" w:sz="2" w:space="0" w:color="D9D9E3"/>
                            <w:bottom w:val="single" w:sz="2" w:space="0" w:color="D9D9E3"/>
                            <w:right w:val="single" w:sz="2" w:space="0" w:color="D9D9E3"/>
                          </w:divBdr>
                          <w:divsChild>
                            <w:div w:id="124128790">
                              <w:marLeft w:val="0"/>
                              <w:marRight w:val="0"/>
                              <w:marTop w:val="100"/>
                              <w:marBottom w:val="100"/>
                              <w:divBdr>
                                <w:top w:val="single" w:sz="2" w:space="0" w:color="D9D9E3"/>
                                <w:left w:val="single" w:sz="2" w:space="0" w:color="D9D9E3"/>
                                <w:bottom w:val="single" w:sz="2" w:space="0" w:color="D9D9E3"/>
                                <w:right w:val="single" w:sz="2" w:space="0" w:color="D9D9E3"/>
                              </w:divBdr>
                              <w:divsChild>
                                <w:div w:id="605618596">
                                  <w:marLeft w:val="0"/>
                                  <w:marRight w:val="0"/>
                                  <w:marTop w:val="0"/>
                                  <w:marBottom w:val="0"/>
                                  <w:divBdr>
                                    <w:top w:val="single" w:sz="2" w:space="0" w:color="D9D9E3"/>
                                    <w:left w:val="single" w:sz="2" w:space="0" w:color="D9D9E3"/>
                                    <w:bottom w:val="single" w:sz="2" w:space="0" w:color="D9D9E3"/>
                                    <w:right w:val="single" w:sz="2" w:space="0" w:color="D9D9E3"/>
                                  </w:divBdr>
                                  <w:divsChild>
                                    <w:div w:id="2100636769">
                                      <w:marLeft w:val="0"/>
                                      <w:marRight w:val="0"/>
                                      <w:marTop w:val="0"/>
                                      <w:marBottom w:val="0"/>
                                      <w:divBdr>
                                        <w:top w:val="single" w:sz="2" w:space="0" w:color="D9D9E3"/>
                                        <w:left w:val="single" w:sz="2" w:space="0" w:color="D9D9E3"/>
                                        <w:bottom w:val="single" w:sz="2" w:space="0" w:color="D9D9E3"/>
                                        <w:right w:val="single" w:sz="2" w:space="0" w:color="D9D9E3"/>
                                      </w:divBdr>
                                      <w:divsChild>
                                        <w:div w:id="894050313">
                                          <w:marLeft w:val="0"/>
                                          <w:marRight w:val="0"/>
                                          <w:marTop w:val="0"/>
                                          <w:marBottom w:val="0"/>
                                          <w:divBdr>
                                            <w:top w:val="single" w:sz="2" w:space="0" w:color="D9D9E3"/>
                                            <w:left w:val="single" w:sz="2" w:space="0" w:color="D9D9E3"/>
                                            <w:bottom w:val="single" w:sz="2" w:space="0" w:color="D9D9E3"/>
                                            <w:right w:val="single" w:sz="2" w:space="0" w:color="D9D9E3"/>
                                          </w:divBdr>
                                          <w:divsChild>
                                            <w:div w:id="829561669">
                                              <w:marLeft w:val="0"/>
                                              <w:marRight w:val="0"/>
                                              <w:marTop w:val="0"/>
                                              <w:marBottom w:val="0"/>
                                              <w:divBdr>
                                                <w:top w:val="single" w:sz="2" w:space="0" w:color="D9D9E3"/>
                                                <w:left w:val="single" w:sz="2" w:space="0" w:color="D9D9E3"/>
                                                <w:bottom w:val="single" w:sz="2" w:space="0" w:color="D9D9E3"/>
                                                <w:right w:val="single" w:sz="2" w:space="0" w:color="D9D9E3"/>
                                              </w:divBdr>
                                              <w:divsChild>
                                                <w:div w:id="330253598">
                                                  <w:marLeft w:val="0"/>
                                                  <w:marRight w:val="0"/>
                                                  <w:marTop w:val="0"/>
                                                  <w:marBottom w:val="0"/>
                                                  <w:divBdr>
                                                    <w:top w:val="single" w:sz="2" w:space="0" w:color="D9D9E3"/>
                                                    <w:left w:val="single" w:sz="2" w:space="0" w:color="D9D9E3"/>
                                                    <w:bottom w:val="single" w:sz="2" w:space="0" w:color="D9D9E3"/>
                                                    <w:right w:val="single" w:sz="2" w:space="0" w:color="D9D9E3"/>
                                                  </w:divBdr>
                                                  <w:divsChild>
                                                    <w:div w:id="17242094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79758412">
          <w:marLeft w:val="0"/>
          <w:marRight w:val="0"/>
          <w:marTop w:val="0"/>
          <w:marBottom w:val="0"/>
          <w:divBdr>
            <w:top w:val="none" w:sz="0" w:space="0" w:color="auto"/>
            <w:left w:val="none" w:sz="0" w:space="0" w:color="auto"/>
            <w:bottom w:val="none" w:sz="0" w:space="0" w:color="auto"/>
            <w:right w:val="none" w:sz="0" w:space="0" w:color="auto"/>
          </w:divBdr>
        </w:div>
      </w:divsChild>
    </w:div>
    <w:div w:id="141237751">
      <w:bodyDiv w:val="1"/>
      <w:marLeft w:val="0"/>
      <w:marRight w:val="0"/>
      <w:marTop w:val="0"/>
      <w:marBottom w:val="0"/>
      <w:divBdr>
        <w:top w:val="none" w:sz="0" w:space="0" w:color="auto"/>
        <w:left w:val="none" w:sz="0" w:space="0" w:color="auto"/>
        <w:bottom w:val="none" w:sz="0" w:space="0" w:color="auto"/>
        <w:right w:val="none" w:sz="0" w:space="0" w:color="auto"/>
      </w:divBdr>
    </w:div>
    <w:div w:id="255090348">
      <w:bodyDiv w:val="1"/>
      <w:marLeft w:val="0"/>
      <w:marRight w:val="0"/>
      <w:marTop w:val="0"/>
      <w:marBottom w:val="0"/>
      <w:divBdr>
        <w:top w:val="none" w:sz="0" w:space="0" w:color="auto"/>
        <w:left w:val="none" w:sz="0" w:space="0" w:color="auto"/>
        <w:bottom w:val="none" w:sz="0" w:space="0" w:color="auto"/>
        <w:right w:val="none" w:sz="0" w:space="0" w:color="auto"/>
      </w:divBdr>
      <w:divsChild>
        <w:div w:id="159935017">
          <w:marLeft w:val="0"/>
          <w:marRight w:val="0"/>
          <w:marTop w:val="0"/>
          <w:marBottom w:val="0"/>
          <w:divBdr>
            <w:top w:val="single" w:sz="2" w:space="0" w:color="D9D9E3"/>
            <w:left w:val="single" w:sz="2" w:space="0" w:color="D9D9E3"/>
            <w:bottom w:val="single" w:sz="2" w:space="0" w:color="D9D9E3"/>
            <w:right w:val="single" w:sz="2" w:space="0" w:color="D9D9E3"/>
          </w:divBdr>
          <w:divsChild>
            <w:div w:id="1757169863">
              <w:marLeft w:val="0"/>
              <w:marRight w:val="0"/>
              <w:marTop w:val="0"/>
              <w:marBottom w:val="0"/>
              <w:divBdr>
                <w:top w:val="single" w:sz="2" w:space="0" w:color="D9D9E3"/>
                <w:left w:val="single" w:sz="2" w:space="0" w:color="D9D9E3"/>
                <w:bottom w:val="single" w:sz="2" w:space="0" w:color="D9D9E3"/>
                <w:right w:val="single" w:sz="2" w:space="0" w:color="D9D9E3"/>
              </w:divBdr>
              <w:divsChild>
                <w:div w:id="940331497">
                  <w:marLeft w:val="0"/>
                  <w:marRight w:val="0"/>
                  <w:marTop w:val="0"/>
                  <w:marBottom w:val="0"/>
                  <w:divBdr>
                    <w:top w:val="single" w:sz="2" w:space="0" w:color="D9D9E3"/>
                    <w:left w:val="single" w:sz="2" w:space="0" w:color="D9D9E3"/>
                    <w:bottom w:val="single" w:sz="2" w:space="0" w:color="D9D9E3"/>
                    <w:right w:val="single" w:sz="2" w:space="0" w:color="D9D9E3"/>
                  </w:divBdr>
                  <w:divsChild>
                    <w:div w:id="1275403451">
                      <w:marLeft w:val="0"/>
                      <w:marRight w:val="0"/>
                      <w:marTop w:val="0"/>
                      <w:marBottom w:val="0"/>
                      <w:divBdr>
                        <w:top w:val="single" w:sz="2" w:space="0" w:color="D9D9E3"/>
                        <w:left w:val="single" w:sz="2" w:space="0" w:color="D9D9E3"/>
                        <w:bottom w:val="single" w:sz="2" w:space="0" w:color="D9D9E3"/>
                        <w:right w:val="single" w:sz="2" w:space="0" w:color="D9D9E3"/>
                      </w:divBdr>
                      <w:divsChild>
                        <w:div w:id="676805681">
                          <w:marLeft w:val="0"/>
                          <w:marRight w:val="0"/>
                          <w:marTop w:val="0"/>
                          <w:marBottom w:val="0"/>
                          <w:divBdr>
                            <w:top w:val="single" w:sz="2" w:space="0" w:color="D9D9E3"/>
                            <w:left w:val="single" w:sz="2" w:space="0" w:color="D9D9E3"/>
                            <w:bottom w:val="single" w:sz="2" w:space="0" w:color="D9D9E3"/>
                            <w:right w:val="single" w:sz="2" w:space="0" w:color="D9D9E3"/>
                          </w:divBdr>
                          <w:divsChild>
                            <w:div w:id="268052043">
                              <w:marLeft w:val="0"/>
                              <w:marRight w:val="0"/>
                              <w:marTop w:val="100"/>
                              <w:marBottom w:val="100"/>
                              <w:divBdr>
                                <w:top w:val="single" w:sz="2" w:space="0" w:color="D9D9E3"/>
                                <w:left w:val="single" w:sz="2" w:space="0" w:color="D9D9E3"/>
                                <w:bottom w:val="single" w:sz="2" w:space="0" w:color="D9D9E3"/>
                                <w:right w:val="single" w:sz="2" w:space="0" w:color="D9D9E3"/>
                              </w:divBdr>
                              <w:divsChild>
                                <w:div w:id="1203205532">
                                  <w:marLeft w:val="0"/>
                                  <w:marRight w:val="0"/>
                                  <w:marTop w:val="0"/>
                                  <w:marBottom w:val="0"/>
                                  <w:divBdr>
                                    <w:top w:val="single" w:sz="2" w:space="0" w:color="D9D9E3"/>
                                    <w:left w:val="single" w:sz="2" w:space="0" w:color="D9D9E3"/>
                                    <w:bottom w:val="single" w:sz="2" w:space="0" w:color="D9D9E3"/>
                                    <w:right w:val="single" w:sz="2" w:space="0" w:color="D9D9E3"/>
                                  </w:divBdr>
                                  <w:divsChild>
                                    <w:div w:id="247278173">
                                      <w:marLeft w:val="0"/>
                                      <w:marRight w:val="0"/>
                                      <w:marTop w:val="0"/>
                                      <w:marBottom w:val="0"/>
                                      <w:divBdr>
                                        <w:top w:val="single" w:sz="2" w:space="0" w:color="D9D9E3"/>
                                        <w:left w:val="single" w:sz="2" w:space="0" w:color="D9D9E3"/>
                                        <w:bottom w:val="single" w:sz="2" w:space="0" w:color="D9D9E3"/>
                                        <w:right w:val="single" w:sz="2" w:space="0" w:color="D9D9E3"/>
                                      </w:divBdr>
                                      <w:divsChild>
                                        <w:div w:id="1175388337">
                                          <w:marLeft w:val="0"/>
                                          <w:marRight w:val="0"/>
                                          <w:marTop w:val="0"/>
                                          <w:marBottom w:val="0"/>
                                          <w:divBdr>
                                            <w:top w:val="single" w:sz="2" w:space="0" w:color="D9D9E3"/>
                                            <w:left w:val="single" w:sz="2" w:space="0" w:color="D9D9E3"/>
                                            <w:bottom w:val="single" w:sz="2" w:space="0" w:color="D9D9E3"/>
                                            <w:right w:val="single" w:sz="2" w:space="0" w:color="D9D9E3"/>
                                          </w:divBdr>
                                          <w:divsChild>
                                            <w:div w:id="1382484274">
                                              <w:marLeft w:val="0"/>
                                              <w:marRight w:val="0"/>
                                              <w:marTop w:val="0"/>
                                              <w:marBottom w:val="0"/>
                                              <w:divBdr>
                                                <w:top w:val="single" w:sz="2" w:space="0" w:color="D9D9E3"/>
                                                <w:left w:val="single" w:sz="2" w:space="0" w:color="D9D9E3"/>
                                                <w:bottom w:val="single" w:sz="2" w:space="0" w:color="D9D9E3"/>
                                                <w:right w:val="single" w:sz="2" w:space="0" w:color="D9D9E3"/>
                                              </w:divBdr>
                                              <w:divsChild>
                                                <w:div w:id="301010904">
                                                  <w:marLeft w:val="0"/>
                                                  <w:marRight w:val="0"/>
                                                  <w:marTop w:val="0"/>
                                                  <w:marBottom w:val="0"/>
                                                  <w:divBdr>
                                                    <w:top w:val="single" w:sz="2" w:space="0" w:color="D9D9E3"/>
                                                    <w:left w:val="single" w:sz="2" w:space="0" w:color="D9D9E3"/>
                                                    <w:bottom w:val="single" w:sz="2" w:space="0" w:color="D9D9E3"/>
                                                    <w:right w:val="single" w:sz="2" w:space="0" w:color="D9D9E3"/>
                                                  </w:divBdr>
                                                  <w:divsChild>
                                                    <w:div w:id="7570196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10208694">
          <w:marLeft w:val="0"/>
          <w:marRight w:val="0"/>
          <w:marTop w:val="0"/>
          <w:marBottom w:val="0"/>
          <w:divBdr>
            <w:top w:val="none" w:sz="0" w:space="0" w:color="auto"/>
            <w:left w:val="none" w:sz="0" w:space="0" w:color="auto"/>
            <w:bottom w:val="none" w:sz="0" w:space="0" w:color="auto"/>
            <w:right w:val="none" w:sz="0" w:space="0" w:color="auto"/>
          </w:divBdr>
        </w:div>
      </w:divsChild>
    </w:div>
    <w:div w:id="269430803">
      <w:bodyDiv w:val="1"/>
      <w:marLeft w:val="0"/>
      <w:marRight w:val="0"/>
      <w:marTop w:val="0"/>
      <w:marBottom w:val="0"/>
      <w:divBdr>
        <w:top w:val="none" w:sz="0" w:space="0" w:color="auto"/>
        <w:left w:val="none" w:sz="0" w:space="0" w:color="auto"/>
        <w:bottom w:val="none" w:sz="0" w:space="0" w:color="auto"/>
        <w:right w:val="none" w:sz="0" w:space="0" w:color="auto"/>
      </w:divBdr>
      <w:divsChild>
        <w:div w:id="1647052679">
          <w:marLeft w:val="0"/>
          <w:marRight w:val="0"/>
          <w:marTop w:val="0"/>
          <w:marBottom w:val="0"/>
          <w:divBdr>
            <w:top w:val="single" w:sz="2" w:space="0" w:color="D9D9E3"/>
            <w:left w:val="single" w:sz="2" w:space="0" w:color="D9D9E3"/>
            <w:bottom w:val="single" w:sz="2" w:space="0" w:color="D9D9E3"/>
            <w:right w:val="single" w:sz="2" w:space="0" w:color="D9D9E3"/>
          </w:divBdr>
          <w:divsChild>
            <w:div w:id="642781838">
              <w:marLeft w:val="0"/>
              <w:marRight w:val="0"/>
              <w:marTop w:val="0"/>
              <w:marBottom w:val="0"/>
              <w:divBdr>
                <w:top w:val="single" w:sz="2" w:space="0" w:color="D9D9E3"/>
                <w:left w:val="single" w:sz="2" w:space="0" w:color="D9D9E3"/>
                <w:bottom w:val="single" w:sz="2" w:space="0" w:color="D9D9E3"/>
                <w:right w:val="single" w:sz="2" w:space="0" w:color="D9D9E3"/>
              </w:divBdr>
              <w:divsChild>
                <w:div w:id="393740729">
                  <w:marLeft w:val="0"/>
                  <w:marRight w:val="0"/>
                  <w:marTop w:val="0"/>
                  <w:marBottom w:val="0"/>
                  <w:divBdr>
                    <w:top w:val="single" w:sz="2" w:space="0" w:color="D9D9E3"/>
                    <w:left w:val="single" w:sz="2" w:space="0" w:color="D9D9E3"/>
                    <w:bottom w:val="single" w:sz="2" w:space="0" w:color="D9D9E3"/>
                    <w:right w:val="single" w:sz="2" w:space="0" w:color="D9D9E3"/>
                  </w:divBdr>
                  <w:divsChild>
                    <w:div w:id="1748185953">
                      <w:marLeft w:val="0"/>
                      <w:marRight w:val="0"/>
                      <w:marTop w:val="0"/>
                      <w:marBottom w:val="0"/>
                      <w:divBdr>
                        <w:top w:val="single" w:sz="2" w:space="0" w:color="D9D9E3"/>
                        <w:left w:val="single" w:sz="2" w:space="0" w:color="D9D9E3"/>
                        <w:bottom w:val="single" w:sz="2" w:space="0" w:color="D9D9E3"/>
                        <w:right w:val="single" w:sz="2" w:space="0" w:color="D9D9E3"/>
                      </w:divBdr>
                      <w:divsChild>
                        <w:div w:id="854612817">
                          <w:marLeft w:val="0"/>
                          <w:marRight w:val="0"/>
                          <w:marTop w:val="0"/>
                          <w:marBottom w:val="0"/>
                          <w:divBdr>
                            <w:top w:val="single" w:sz="2" w:space="0" w:color="D9D9E3"/>
                            <w:left w:val="single" w:sz="2" w:space="0" w:color="D9D9E3"/>
                            <w:bottom w:val="single" w:sz="2" w:space="0" w:color="D9D9E3"/>
                            <w:right w:val="single" w:sz="2" w:space="0" w:color="D9D9E3"/>
                          </w:divBdr>
                          <w:divsChild>
                            <w:div w:id="1332760796">
                              <w:marLeft w:val="0"/>
                              <w:marRight w:val="0"/>
                              <w:marTop w:val="100"/>
                              <w:marBottom w:val="100"/>
                              <w:divBdr>
                                <w:top w:val="single" w:sz="2" w:space="0" w:color="D9D9E3"/>
                                <w:left w:val="single" w:sz="2" w:space="0" w:color="D9D9E3"/>
                                <w:bottom w:val="single" w:sz="2" w:space="0" w:color="D9D9E3"/>
                                <w:right w:val="single" w:sz="2" w:space="0" w:color="D9D9E3"/>
                              </w:divBdr>
                              <w:divsChild>
                                <w:div w:id="907304268">
                                  <w:marLeft w:val="0"/>
                                  <w:marRight w:val="0"/>
                                  <w:marTop w:val="0"/>
                                  <w:marBottom w:val="0"/>
                                  <w:divBdr>
                                    <w:top w:val="single" w:sz="2" w:space="0" w:color="D9D9E3"/>
                                    <w:left w:val="single" w:sz="2" w:space="0" w:color="D9D9E3"/>
                                    <w:bottom w:val="single" w:sz="2" w:space="0" w:color="D9D9E3"/>
                                    <w:right w:val="single" w:sz="2" w:space="0" w:color="D9D9E3"/>
                                  </w:divBdr>
                                  <w:divsChild>
                                    <w:div w:id="533544182">
                                      <w:marLeft w:val="0"/>
                                      <w:marRight w:val="0"/>
                                      <w:marTop w:val="0"/>
                                      <w:marBottom w:val="0"/>
                                      <w:divBdr>
                                        <w:top w:val="single" w:sz="2" w:space="0" w:color="D9D9E3"/>
                                        <w:left w:val="single" w:sz="2" w:space="0" w:color="D9D9E3"/>
                                        <w:bottom w:val="single" w:sz="2" w:space="0" w:color="D9D9E3"/>
                                        <w:right w:val="single" w:sz="2" w:space="0" w:color="D9D9E3"/>
                                      </w:divBdr>
                                      <w:divsChild>
                                        <w:div w:id="339894840">
                                          <w:marLeft w:val="0"/>
                                          <w:marRight w:val="0"/>
                                          <w:marTop w:val="0"/>
                                          <w:marBottom w:val="0"/>
                                          <w:divBdr>
                                            <w:top w:val="single" w:sz="2" w:space="0" w:color="D9D9E3"/>
                                            <w:left w:val="single" w:sz="2" w:space="0" w:color="D9D9E3"/>
                                            <w:bottom w:val="single" w:sz="2" w:space="0" w:color="D9D9E3"/>
                                            <w:right w:val="single" w:sz="2" w:space="0" w:color="D9D9E3"/>
                                          </w:divBdr>
                                          <w:divsChild>
                                            <w:div w:id="1779525289">
                                              <w:marLeft w:val="0"/>
                                              <w:marRight w:val="0"/>
                                              <w:marTop w:val="0"/>
                                              <w:marBottom w:val="0"/>
                                              <w:divBdr>
                                                <w:top w:val="single" w:sz="2" w:space="0" w:color="D9D9E3"/>
                                                <w:left w:val="single" w:sz="2" w:space="0" w:color="D9D9E3"/>
                                                <w:bottom w:val="single" w:sz="2" w:space="0" w:color="D9D9E3"/>
                                                <w:right w:val="single" w:sz="2" w:space="0" w:color="D9D9E3"/>
                                              </w:divBdr>
                                              <w:divsChild>
                                                <w:div w:id="624434518">
                                                  <w:marLeft w:val="0"/>
                                                  <w:marRight w:val="0"/>
                                                  <w:marTop w:val="0"/>
                                                  <w:marBottom w:val="0"/>
                                                  <w:divBdr>
                                                    <w:top w:val="single" w:sz="2" w:space="0" w:color="D9D9E3"/>
                                                    <w:left w:val="single" w:sz="2" w:space="0" w:color="D9D9E3"/>
                                                    <w:bottom w:val="single" w:sz="2" w:space="0" w:color="D9D9E3"/>
                                                    <w:right w:val="single" w:sz="2" w:space="0" w:color="D9D9E3"/>
                                                  </w:divBdr>
                                                  <w:divsChild>
                                                    <w:div w:id="850295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6792977">
          <w:marLeft w:val="0"/>
          <w:marRight w:val="0"/>
          <w:marTop w:val="0"/>
          <w:marBottom w:val="0"/>
          <w:divBdr>
            <w:top w:val="none" w:sz="0" w:space="0" w:color="auto"/>
            <w:left w:val="none" w:sz="0" w:space="0" w:color="auto"/>
            <w:bottom w:val="none" w:sz="0" w:space="0" w:color="auto"/>
            <w:right w:val="none" w:sz="0" w:space="0" w:color="auto"/>
          </w:divBdr>
        </w:div>
      </w:divsChild>
    </w:div>
    <w:div w:id="540751501">
      <w:bodyDiv w:val="1"/>
      <w:marLeft w:val="0"/>
      <w:marRight w:val="0"/>
      <w:marTop w:val="0"/>
      <w:marBottom w:val="0"/>
      <w:divBdr>
        <w:top w:val="none" w:sz="0" w:space="0" w:color="auto"/>
        <w:left w:val="none" w:sz="0" w:space="0" w:color="auto"/>
        <w:bottom w:val="none" w:sz="0" w:space="0" w:color="auto"/>
        <w:right w:val="none" w:sz="0" w:space="0" w:color="auto"/>
      </w:divBdr>
      <w:divsChild>
        <w:div w:id="662776915">
          <w:marLeft w:val="0"/>
          <w:marRight w:val="0"/>
          <w:marTop w:val="0"/>
          <w:marBottom w:val="0"/>
          <w:divBdr>
            <w:top w:val="single" w:sz="2" w:space="0" w:color="D9D9E3"/>
            <w:left w:val="single" w:sz="2" w:space="0" w:color="D9D9E3"/>
            <w:bottom w:val="single" w:sz="2" w:space="0" w:color="D9D9E3"/>
            <w:right w:val="single" w:sz="2" w:space="0" w:color="D9D9E3"/>
          </w:divBdr>
          <w:divsChild>
            <w:div w:id="1802189879">
              <w:marLeft w:val="0"/>
              <w:marRight w:val="0"/>
              <w:marTop w:val="0"/>
              <w:marBottom w:val="0"/>
              <w:divBdr>
                <w:top w:val="single" w:sz="2" w:space="0" w:color="D9D9E3"/>
                <w:left w:val="single" w:sz="2" w:space="0" w:color="D9D9E3"/>
                <w:bottom w:val="single" w:sz="2" w:space="0" w:color="D9D9E3"/>
                <w:right w:val="single" w:sz="2" w:space="0" w:color="D9D9E3"/>
              </w:divBdr>
              <w:divsChild>
                <w:div w:id="554971269">
                  <w:marLeft w:val="0"/>
                  <w:marRight w:val="0"/>
                  <w:marTop w:val="0"/>
                  <w:marBottom w:val="0"/>
                  <w:divBdr>
                    <w:top w:val="single" w:sz="2" w:space="0" w:color="D9D9E3"/>
                    <w:left w:val="single" w:sz="2" w:space="0" w:color="D9D9E3"/>
                    <w:bottom w:val="single" w:sz="2" w:space="0" w:color="D9D9E3"/>
                    <w:right w:val="single" w:sz="2" w:space="0" w:color="D9D9E3"/>
                  </w:divBdr>
                  <w:divsChild>
                    <w:div w:id="368266266">
                      <w:marLeft w:val="0"/>
                      <w:marRight w:val="0"/>
                      <w:marTop w:val="0"/>
                      <w:marBottom w:val="0"/>
                      <w:divBdr>
                        <w:top w:val="single" w:sz="2" w:space="0" w:color="D9D9E3"/>
                        <w:left w:val="single" w:sz="2" w:space="0" w:color="D9D9E3"/>
                        <w:bottom w:val="single" w:sz="2" w:space="0" w:color="D9D9E3"/>
                        <w:right w:val="single" w:sz="2" w:space="0" w:color="D9D9E3"/>
                      </w:divBdr>
                      <w:divsChild>
                        <w:div w:id="2077507088">
                          <w:marLeft w:val="0"/>
                          <w:marRight w:val="0"/>
                          <w:marTop w:val="0"/>
                          <w:marBottom w:val="0"/>
                          <w:divBdr>
                            <w:top w:val="single" w:sz="2" w:space="0" w:color="D9D9E3"/>
                            <w:left w:val="single" w:sz="2" w:space="0" w:color="D9D9E3"/>
                            <w:bottom w:val="single" w:sz="2" w:space="0" w:color="D9D9E3"/>
                            <w:right w:val="single" w:sz="2" w:space="0" w:color="D9D9E3"/>
                          </w:divBdr>
                          <w:divsChild>
                            <w:div w:id="153186989">
                              <w:marLeft w:val="0"/>
                              <w:marRight w:val="0"/>
                              <w:marTop w:val="100"/>
                              <w:marBottom w:val="100"/>
                              <w:divBdr>
                                <w:top w:val="single" w:sz="2" w:space="0" w:color="D9D9E3"/>
                                <w:left w:val="single" w:sz="2" w:space="0" w:color="D9D9E3"/>
                                <w:bottom w:val="single" w:sz="2" w:space="0" w:color="D9D9E3"/>
                                <w:right w:val="single" w:sz="2" w:space="0" w:color="D9D9E3"/>
                              </w:divBdr>
                              <w:divsChild>
                                <w:div w:id="38676199">
                                  <w:marLeft w:val="0"/>
                                  <w:marRight w:val="0"/>
                                  <w:marTop w:val="0"/>
                                  <w:marBottom w:val="0"/>
                                  <w:divBdr>
                                    <w:top w:val="single" w:sz="2" w:space="0" w:color="D9D9E3"/>
                                    <w:left w:val="single" w:sz="2" w:space="0" w:color="D9D9E3"/>
                                    <w:bottom w:val="single" w:sz="2" w:space="0" w:color="D9D9E3"/>
                                    <w:right w:val="single" w:sz="2" w:space="0" w:color="D9D9E3"/>
                                  </w:divBdr>
                                  <w:divsChild>
                                    <w:div w:id="1047530176">
                                      <w:marLeft w:val="0"/>
                                      <w:marRight w:val="0"/>
                                      <w:marTop w:val="0"/>
                                      <w:marBottom w:val="0"/>
                                      <w:divBdr>
                                        <w:top w:val="single" w:sz="2" w:space="0" w:color="D9D9E3"/>
                                        <w:left w:val="single" w:sz="2" w:space="0" w:color="D9D9E3"/>
                                        <w:bottom w:val="single" w:sz="2" w:space="0" w:color="D9D9E3"/>
                                        <w:right w:val="single" w:sz="2" w:space="0" w:color="D9D9E3"/>
                                      </w:divBdr>
                                      <w:divsChild>
                                        <w:div w:id="1949123767">
                                          <w:marLeft w:val="0"/>
                                          <w:marRight w:val="0"/>
                                          <w:marTop w:val="0"/>
                                          <w:marBottom w:val="0"/>
                                          <w:divBdr>
                                            <w:top w:val="single" w:sz="2" w:space="0" w:color="D9D9E3"/>
                                            <w:left w:val="single" w:sz="2" w:space="0" w:color="D9D9E3"/>
                                            <w:bottom w:val="single" w:sz="2" w:space="0" w:color="D9D9E3"/>
                                            <w:right w:val="single" w:sz="2" w:space="0" w:color="D9D9E3"/>
                                          </w:divBdr>
                                          <w:divsChild>
                                            <w:div w:id="1139955951">
                                              <w:marLeft w:val="0"/>
                                              <w:marRight w:val="0"/>
                                              <w:marTop w:val="0"/>
                                              <w:marBottom w:val="0"/>
                                              <w:divBdr>
                                                <w:top w:val="single" w:sz="2" w:space="0" w:color="D9D9E3"/>
                                                <w:left w:val="single" w:sz="2" w:space="0" w:color="D9D9E3"/>
                                                <w:bottom w:val="single" w:sz="2" w:space="0" w:color="D9D9E3"/>
                                                <w:right w:val="single" w:sz="2" w:space="0" w:color="D9D9E3"/>
                                              </w:divBdr>
                                              <w:divsChild>
                                                <w:div w:id="339739463">
                                                  <w:marLeft w:val="0"/>
                                                  <w:marRight w:val="0"/>
                                                  <w:marTop w:val="0"/>
                                                  <w:marBottom w:val="0"/>
                                                  <w:divBdr>
                                                    <w:top w:val="single" w:sz="2" w:space="0" w:color="D9D9E3"/>
                                                    <w:left w:val="single" w:sz="2" w:space="0" w:color="D9D9E3"/>
                                                    <w:bottom w:val="single" w:sz="2" w:space="0" w:color="D9D9E3"/>
                                                    <w:right w:val="single" w:sz="2" w:space="0" w:color="D9D9E3"/>
                                                  </w:divBdr>
                                                  <w:divsChild>
                                                    <w:div w:id="20728044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29863531">
          <w:marLeft w:val="0"/>
          <w:marRight w:val="0"/>
          <w:marTop w:val="0"/>
          <w:marBottom w:val="0"/>
          <w:divBdr>
            <w:top w:val="none" w:sz="0" w:space="0" w:color="auto"/>
            <w:left w:val="none" w:sz="0" w:space="0" w:color="auto"/>
            <w:bottom w:val="none" w:sz="0" w:space="0" w:color="auto"/>
            <w:right w:val="none" w:sz="0" w:space="0" w:color="auto"/>
          </w:divBdr>
        </w:div>
      </w:divsChild>
    </w:div>
    <w:div w:id="551355533">
      <w:bodyDiv w:val="1"/>
      <w:marLeft w:val="0"/>
      <w:marRight w:val="0"/>
      <w:marTop w:val="0"/>
      <w:marBottom w:val="0"/>
      <w:divBdr>
        <w:top w:val="none" w:sz="0" w:space="0" w:color="auto"/>
        <w:left w:val="none" w:sz="0" w:space="0" w:color="auto"/>
        <w:bottom w:val="none" w:sz="0" w:space="0" w:color="auto"/>
        <w:right w:val="none" w:sz="0" w:space="0" w:color="auto"/>
      </w:divBdr>
    </w:div>
    <w:div w:id="765149422">
      <w:bodyDiv w:val="1"/>
      <w:marLeft w:val="0"/>
      <w:marRight w:val="0"/>
      <w:marTop w:val="0"/>
      <w:marBottom w:val="0"/>
      <w:divBdr>
        <w:top w:val="none" w:sz="0" w:space="0" w:color="auto"/>
        <w:left w:val="none" w:sz="0" w:space="0" w:color="auto"/>
        <w:bottom w:val="none" w:sz="0" w:space="0" w:color="auto"/>
        <w:right w:val="none" w:sz="0" w:space="0" w:color="auto"/>
      </w:divBdr>
    </w:div>
    <w:div w:id="975066427">
      <w:bodyDiv w:val="1"/>
      <w:marLeft w:val="0"/>
      <w:marRight w:val="0"/>
      <w:marTop w:val="0"/>
      <w:marBottom w:val="0"/>
      <w:divBdr>
        <w:top w:val="none" w:sz="0" w:space="0" w:color="auto"/>
        <w:left w:val="none" w:sz="0" w:space="0" w:color="auto"/>
        <w:bottom w:val="none" w:sz="0" w:space="0" w:color="auto"/>
        <w:right w:val="none" w:sz="0" w:space="0" w:color="auto"/>
      </w:divBdr>
    </w:div>
    <w:div w:id="1021400529">
      <w:bodyDiv w:val="1"/>
      <w:marLeft w:val="0"/>
      <w:marRight w:val="0"/>
      <w:marTop w:val="0"/>
      <w:marBottom w:val="0"/>
      <w:divBdr>
        <w:top w:val="none" w:sz="0" w:space="0" w:color="auto"/>
        <w:left w:val="none" w:sz="0" w:space="0" w:color="auto"/>
        <w:bottom w:val="none" w:sz="0" w:space="0" w:color="auto"/>
        <w:right w:val="none" w:sz="0" w:space="0" w:color="auto"/>
      </w:divBdr>
      <w:divsChild>
        <w:div w:id="458761863">
          <w:marLeft w:val="0"/>
          <w:marRight w:val="0"/>
          <w:marTop w:val="0"/>
          <w:marBottom w:val="0"/>
          <w:divBdr>
            <w:top w:val="single" w:sz="2" w:space="0" w:color="D9D9E3"/>
            <w:left w:val="single" w:sz="2" w:space="0" w:color="D9D9E3"/>
            <w:bottom w:val="single" w:sz="2" w:space="0" w:color="D9D9E3"/>
            <w:right w:val="single" w:sz="2" w:space="0" w:color="D9D9E3"/>
          </w:divBdr>
          <w:divsChild>
            <w:div w:id="285431765">
              <w:marLeft w:val="0"/>
              <w:marRight w:val="0"/>
              <w:marTop w:val="0"/>
              <w:marBottom w:val="0"/>
              <w:divBdr>
                <w:top w:val="single" w:sz="2" w:space="0" w:color="D9D9E3"/>
                <w:left w:val="single" w:sz="2" w:space="0" w:color="D9D9E3"/>
                <w:bottom w:val="single" w:sz="2" w:space="0" w:color="D9D9E3"/>
                <w:right w:val="single" w:sz="2" w:space="0" w:color="D9D9E3"/>
              </w:divBdr>
              <w:divsChild>
                <w:div w:id="739255993">
                  <w:marLeft w:val="0"/>
                  <w:marRight w:val="0"/>
                  <w:marTop w:val="0"/>
                  <w:marBottom w:val="0"/>
                  <w:divBdr>
                    <w:top w:val="single" w:sz="2" w:space="0" w:color="D9D9E3"/>
                    <w:left w:val="single" w:sz="2" w:space="0" w:color="D9D9E3"/>
                    <w:bottom w:val="single" w:sz="2" w:space="0" w:color="D9D9E3"/>
                    <w:right w:val="single" w:sz="2" w:space="0" w:color="D9D9E3"/>
                  </w:divBdr>
                  <w:divsChild>
                    <w:div w:id="1879708004">
                      <w:marLeft w:val="0"/>
                      <w:marRight w:val="0"/>
                      <w:marTop w:val="0"/>
                      <w:marBottom w:val="0"/>
                      <w:divBdr>
                        <w:top w:val="single" w:sz="2" w:space="0" w:color="D9D9E3"/>
                        <w:left w:val="single" w:sz="2" w:space="0" w:color="D9D9E3"/>
                        <w:bottom w:val="single" w:sz="2" w:space="0" w:color="D9D9E3"/>
                        <w:right w:val="single" w:sz="2" w:space="0" w:color="D9D9E3"/>
                      </w:divBdr>
                      <w:divsChild>
                        <w:div w:id="1347052587">
                          <w:marLeft w:val="0"/>
                          <w:marRight w:val="0"/>
                          <w:marTop w:val="0"/>
                          <w:marBottom w:val="0"/>
                          <w:divBdr>
                            <w:top w:val="single" w:sz="2" w:space="0" w:color="D9D9E3"/>
                            <w:left w:val="single" w:sz="2" w:space="0" w:color="D9D9E3"/>
                            <w:bottom w:val="single" w:sz="2" w:space="0" w:color="D9D9E3"/>
                            <w:right w:val="single" w:sz="2" w:space="0" w:color="D9D9E3"/>
                          </w:divBdr>
                          <w:divsChild>
                            <w:div w:id="1367605447">
                              <w:marLeft w:val="0"/>
                              <w:marRight w:val="0"/>
                              <w:marTop w:val="100"/>
                              <w:marBottom w:val="100"/>
                              <w:divBdr>
                                <w:top w:val="single" w:sz="2" w:space="0" w:color="D9D9E3"/>
                                <w:left w:val="single" w:sz="2" w:space="0" w:color="D9D9E3"/>
                                <w:bottom w:val="single" w:sz="2" w:space="0" w:color="D9D9E3"/>
                                <w:right w:val="single" w:sz="2" w:space="0" w:color="D9D9E3"/>
                              </w:divBdr>
                              <w:divsChild>
                                <w:div w:id="318658702">
                                  <w:marLeft w:val="0"/>
                                  <w:marRight w:val="0"/>
                                  <w:marTop w:val="0"/>
                                  <w:marBottom w:val="0"/>
                                  <w:divBdr>
                                    <w:top w:val="single" w:sz="2" w:space="0" w:color="D9D9E3"/>
                                    <w:left w:val="single" w:sz="2" w:space="0" w:color="D9D9E3"/>
                                    <w:bottom w:val="single" w:sz="2" w:space="0" w:color="D9D9E3"/>
                                    <w:right w:val="single" w:sz="2" w:space="0" w:color="D9D9E3"/>
                                  </w:divBdr>
                                  <w:divsChild>
                                    <w:div w:id="187570712">
                                      <w:marLeft w:val="0"/>
                                      <w:marRight w:val="0"/>
                                      <w:marTop w:val="0"/>
                                      <w:marBottom w:val="0"/>
                                      <w:divBdr>
                                        <w:top w:val="single" w:sz="2" w:space="0" w:color="D9D9E3"/>
                                        <w:left w:val="single" w:sz="2" w:space="0" w:color="D9D9E3"/>
                                        <w:bottom w:val="single" w:sz="2" w:space="0" w:color="D9D9E3"/>
                                        <w:right w:val="single" w:sz="2" w:space="0" w:color="D9D9E3"/>
                                      </w:divBdr>
                                      <w:divsChild>
                                        <w:div w:id="818814348">
                                          <w:marLeft w:val="0"/>
                                          <w:marRight w:val="0"/>
                                          <w:marTop w:val="0"/>
                                          <w:marBottom w:val="0"/>
                                          <w:divBdr>
                                            <w:top w:val="single" w:sz="2" w:space="0" w:color="D9D9E3"/>
                                            <w:left w:val="single" w:sz="2" w:space="0" w:color="D9D9E3"/>
                                            <w:bottom w:val="single" w:sz="2" w:space="0" w:color="D9D9E3"/>
                                            <w:right w:val="single" w:sz="2" w:space="0" w:color="D9D9E3"/>
                                          </w:divBdr>
                                          <w:divsChild>
                                            <w:div w:id="1946185443">
                                              <w:marLeft w:val="0"/>
                                              <w:marRight w:val="0"/>
                                              <w:marTop w:val="0"/>
                                              <w:marBottom w:val="0"/>
                                              <w:divBdr>
                                                <w:top w:val="single" w:sz="2" w:space="0" w:color="D9D9E3"/>
                                                <w:left w:val="single" w:sz="2" w:space="0" w:color="D9D9E3"/>
                                                <w:bottom w:val="single" w:sz="2" w:space="0" w:color="D9D9E3"/>
                                                <w:right w:val="single" w:sz="2" w:space="0" w:color="D9D9E3"/>
                                              </w:divBdr>
                                              <w:divsChild>
                                                <w:div w:id="634795321">
                                                  <w:marLeft w:val="0"/>
                                                  <w:marRight w:val="0"/>
                                                  <w:marTop w:val="0"/>
                                                  <w:marBottom w:val="0"/>
                                                  <w:divBdr>
                                                    <w:top w:val="single" w:sz="2" w:space="0" w:color="D9D9E3"/>
                                                    <w:left w:val="single" w:sz="2" w:space="0" w:color="D9D9E3"/>
                                                    <w:bottom w:val="single" w:sz="2" w:space="0" w:color="D9D9E3"/>
                                                    <w:right w:val="single" w:sz="2" w:space="0" w:color="D9D9E3"/>
                                                  </w:divBdr>
                                                  <w:divsChild>
                                                    <w:div w:id="2946049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21569129">
          <w:marLeft w:val="0"/>
          <w:marRight w:val="0"/>
          <w:marTop w:val="0"/>
          <w:marBottom w:val="0"/>
          <w:divBdr>
            <w:top w:val="none" w:sz="0" w:space="0" w:color="auto"/>
            <w:left w:val="none" w:sz="0" w:space="0" w:color="auto"/>
            <w:bottom w:val="none" w:sz="0" w:space="0" w:color="auto"/>
            <w:right w:val="none" w:sz="0" w:space="0" w:color="auto"/>
          </w:divBdr>
        </w:div>
      </w:divsChild>
    </w:div>
    <w:div w:id="1093552890">
      <w:bodyDiv w:val="1"/>
      <w:marLeft w:val="0"/>
      <w:marRight w:val="0"/>
      <w:marTop w:val="0"/>
      <w:marBottom w:val="0"/>
      <w:divBdr>
        <w:top w:val="none" w:sz="0" w:space="0" w:color="auto"/>
        <w:left w:val="none" w:sz="0" w:space="0" w:color="auto"/>
        <w:bottom w:val="none" w:sz="0" w:space="0" w:color="auto"/>
        <w:right w:val="none" w:sz="0" w:space="0" w:color="auto"/>
      </w:divBdr>
    </w:div>
    <w:div w:id="1146436572">
      <w:bodyDiv w:val="1"/>
      <w:marLeft w:val="0"/>
      <w:marRight w:val="0"/>
      <w:marTop w:val="0"/>
      <w:marBottom w:val="0"/>
      <w:divBdr>
        <w:top w:val="none" w:sz="0" w:space="0" w:color="auto"/>
        <w:left w:val="none" w:sz="0" w:space="0" w:color="auto"/>
        <w:bottom w:val="none" w:sz="0" w:space="0" w:color="auto"/>
        <w:right w:val="none" w:sz="0" w:space="0" w:color="auto"/>
      </w:divBdr>
      <w:divsChild>
        <w:div w:id="1715150940">
          <w:marLeft w:val="0"/>
          <w:marRight w:val="0"/>
          <w:marTop w:val="0"/>
          <w:marBottom w:val="0"/>
          <w:divBdr>
            <w:top w:val="single" w:sz="2" w:space="0" w:color="D9D9E3"/>
            <w:left w:val="single" w:sz="2" w:space="0" w:color="D9D9E3"/>
            <w:bottom w:val="single" w:sz="2" w:space="0" w:color="D9D9E3"/>
            <w:right w:val="single" w:sz="2" w:space="0" w:color="D9D9E3"/>
          </w:divBdr>
          <w:divsChild>
            <w:div w:id="570844800">
              <w:marLeft w:val="0"/>
              <w:marRight w:val="0"/>
              <w:marTop w:val="0"/>
              <w:marBottom w:val="0"/>
              <w:divBdr>
                <w:top w:val="single" w:sz="2" w:space="0" w:color="D9D9E3"/>
                <w:left w:val="single" w:sz="2" w:space="0" w:color="D9D9E3"/>
                <w:bottom w:val="single" w:sz="2" w:space="0" w:color="D9D9E3"/>
                <w:right w:val="single" w:sz="2" w:space="0" w:color="D9D9E3"/>
              </w:divBdr>
              <w:divsChild>
                <w:div w:id="1258830142">
                  <w:marLeft w:val="0"/>
                  <w:marRight w:val="0"/>
                  <w:marTop w:val="0"/>
                  <w:marBottom w:val="0"/>
                  <w:divBdr>
                    <w:top w:val="single" w:sz="2" w:space="0" w:color="D9D9E3"/>
                    <w:left w:val="single" w:sz="2" w:space="0" w:color="D9D9E3"/>
                    <w:bottom w:val="single" w:sz="2" w:space="0" w:color="D9D9E3"/>
                    <w:right w:val="single" w:sz="2" w:space="0" w:color="D9D9E3"/>
                  </w:divBdr>
                  <w:divsChild>
                    <w:div w:id="757798428">
                      <w:marLeft w:val="0"/>
                      <w:marRight w:val="0"/>
                      <w:marTop w:val="0"/>
                      <w:marBottom w:val="0"/>
                      <w:divBdr>
                        <w:top w:val="single" w:sz="2" w:space="0" w:color="D9D9E3"/>
                        <w:left w:val="single" w:sz="2" w:space="0" w:color="D9D9E3"/>
                        <w:bottom w:val="single" w:sz="2" w:space="0" w:color="D9D9E3"/>
                        <w:right w:val="single" w:sz="2" w:space="0" w:color="D9D9E3"/>
                      </w:divBdr>
                      <w:divsChild>
                        <w:div w:id="1854343677">
                          <w:marLeft w:val="0"/>
                          <w:marRight w:val="0"/>
                          <w:marTop w:val="0"/>
                          <w:marBottom w:val="0"/>
                          <w:divBdr>
                            <w:top w:val="single" w:sz="2" w:space="0" w:color="D9D9E3"/>
                            <w:left w:val="single" w:sz="2" w:space="0" w:color="D9D9E3"/>
                            <w:bottom w:val="single" w:sz="2" w:space="0" w:color="D9D9E3"/>
                            <w:right w:val="single" w:sz="2" w:space="0" w:color="D9D9E3"/>
                          </w:divBdr>
                          <w:divsChild>
                            <w:div w:id="773357089">
                              <w:marLeft w:val="0"/>
                              <w:marRight w:val="0"/>
                              <w:marTop w:val="100"/>
                              <w:marBottom w:val="100"/>
                              <w:divBdr>
                                <w:top w:val="single" w:sz="2" w:space="0" w:color="D9D9E3"/>
                                <w:left w:val="single" w:sz="2" w:space="0" w:color="D9D9E3"/>
                                <w:bottom w:val="single" w:sz="2" w:space="0" w:color="D9D9E3"/>
                                <w:right w:val="single" w:sz="2" w:space="0" w:color="D9D9E3"/>
                              </w:divBdr>
                              <w:divsChild>
                                <w:div w:id="545410275">
                                  <w:marLeft w:val="0"/>
                                  <w:marRight w:val="0"/>
                                  <w:marTop w:val="0"/>
                                  <w:marBottom w:val="0"/>
                                  <w:divBdr>
                                    <w:top w:val="single" w:sz="2" w:space="0" w:color="D9D9E3"/>
                                    <w:left w:val="single" w:sz="2" w:space="0" w:color="D9D9E3"/>
                                    <w:bottom w:val="single" w:sz="2" w:space="0" w:color="D9D9E3"/>
                                    <w:right w:val="single" w:sz="2" w:space="0" w:color="D9D9E3"/>
                                  </w:divBdr>
                                  <w:divsChild>
                                    <w:div w:id="591594410">
                                      <w:marLeft w:val="0"/>
                                      <w:marRight w:val="0"/>
                                      <w:marTop w:val="0"/>
                                      <w:marBottom w:val="0"/>
                                      <w:divBdr>
                                        <w:top w:val="single" w:sz="2" w:space="0" w:color="D9D9E3"/>
                                        <w:left w:val="single" w:sz="2" w:space="0" w:color="D9D9E3"/>
                                        <w:bottom w:val="single" w:sz="2" w:space="0" w:color="D9D9E3"/>
                                        <w:right w:val="single" w:sz="2" w:space="0" w:color="D9D9E3"/>
                                      </w:divBdr>
                                      <w:divsChild>
                                        <w:div w:id="2027054101">
                                          <w:marLeft w:val="0"/>
                                          <w:marRight w:val="0"/>
                                          <w:marTop w:val="0"/>
                                          <w:marBottom w:val="0"/>
                                          <w:divBdr>
                                            <w:top w:val="single" w:sz="2" w:space="0" w:color="D9D9E3"/>
                                            <w:left w:val="single" w:sz="2" w:space="0" w:color="D9D9E3"/>
                                            <w:bottom w:val="single" w:sz="2" w:space="0" w:color="D9D9E3"/>
                                            <w:right w:val="single" w:sz="2" w:space="0" w:color="D9D9E3"/>
                                          </w:divBdr>
                                          <w:divsChild>
                                            <w:div w:id="876237052">
                                              <w:marLeft w:val="0"/>
                                              <w:marRight w:val="0"/>
                                              <w:marTop w:val="0"/>
                                              <w:marBottom w:val="0"/>
                                              <w:divBdr>
                                                <w:top w:val="single" w:sz="2" w:space="0" w:color="D9D9E3"/>
                                                <w:left w:val="single" w:sz="2" w:space="0" w:color="D9D9E3"/>
                                                <w:bottom w:val="single" w:sz="2" w:space="0" w:color="D9D9E3"/>
                                                <w:right w:val="single" w:sz="2" w:space="0" w:color="D9D9E3"/>
                                              </w:divBdr>
                                              <w:divsChild>
                                                <w:div w:id="1941185266">
                                                  <w:marLeft w:val="0"/>
                                                  <w:marRight w:val="0"/>
                                                  <w:marTop w:val="0"/>
                                                  <w:marBottom w:val="0"/>
                                                  <w:divBdr>
                                                    <w:top w:val="single" w:sz="2" w:space="0" w:color="D9D9E3"/>
                                                    <w:left w:val="single" w:sz="2" w:space="0" w:color="D9D9E3"/>
                                                    <w:bottom w:val="single" w:sz="2" w:space="0" w:color="D9D9E3"/>
                                                    <w:right w:val="single" w:sz="2" w:space="0" w:color="D9D9E3"/>
                                                  </w:divBdr>
                                                  <w:divsChild>
                                                    <w:div w:id="2093240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09041180">
          <w:marLeft w:val="0"/>
          <w:marRight w:val="0"/>
          <w:marTop w:val="0"/>
          <w:marBottom w:val="0"/>
          <w:divBdr>
            <w:top w:val="none" w:sz="0" w:space="0" w:color="auto"/>
            <w:left w:val="none" w:sz="0" w:space="0" w:color="auto"/>
            <w:bottom w:val="none" w:sz="0" w:space="0" w:color="auto"/>
            <w:right w:val="none" w:sz="0" w:space="0" w:color="auto"/>
          </w:divBdr>
        </w:div>
      </w:divsChild>
    </w:div>
    <w:div w:id="1227297211">
      <w:bodyDiv w:val="1"/>
      <w:marLeft w:val="0"/>
      <w:marRight w:val="0"/>
      <w:marTop w:val="0"/>
      <w:marBottom w:val="0"/>
      <w:divBdr>
        <w:top w:val="none" w:sz="0" w:space="0" w:color="auto"/>
        <w:left w:val="none" w:sz="0" w:space="0" w:color="auto"/>
        <w:bottom w:val="none" w:sz="0" w:space="0" w:color="auto"/>
        <w:right w:val="none" w:sz="0" w:space="0" w:color="auto"/>
      </w:divBdr>
    </w:div>
    <w:div w:id="1266304087">
      <w:bodyDiv w:val="1"/>
      <w:marLeft w:val="0"/>
      <w:marRight w:val="0"/>
      <w:marTop w:val="0"/>
      <w:marBottom w:val="0"/>
      <w:divBdr>
        <w:top w:val="none" w:sz="0" w:space="0" w:color="auto"/>
        <w:left w:val="none" w:sz="0" w:space="0" w:color="auto"/>
        <w:bottom w:val="none" w:sz="0" w:space="0" w:color="auto"/>
        <w:right w:val="none" w:sz="0" w:space="0" w:color="auto"/>
      </w:divBdr>
      <w:divsChild>
        <w:div w:id="1406613081">
          <w:marLeft w:val="0"/>
          <w:marRight w:val="0"/>
          <w:marTop w:val="0"/>
          <w:marBottom w:val="0"/>
          <w:divBdr>
            <w:top w:val="single" w:sz="2" w:space="0" w:color="D9D9E3"/>
            <w:left w:val="single" w:sz="2" w:space="0" w:color="D9D9E3"/>
            <w:bottom w:val="single" w:sz="2" w:space="0" w:color="D9D9E3"/>
            <w:right w:val="single" w:sz="2" w:space="0" w:color="D9D9E3"/>
          </w:divBdr>
          <w:divsChild>
            <w:div w:id="448159379">
              <w:marLeft w:val="0"/>
              <w:marRight w:val="0"/>
              <w:marTop w:val="100"/>
              <w:marBottom w:val="100"/>
              <w:divBdr>
                <w:top w:val="single" w:sz="2" w:space="0" w:color="D9D9E3"/>
                <w:left w:val="single" w:sz="2" w:space="0" w:color="D9D9E3"/>
                <w:bottom w:val="single" w:sz="2" w:space="0" w:color="D9D9E3"/>
                <w:right w:val="single" w:sz="2" w:space="0" w:color="D9D9E3"/>
              </w:divBdr>
              <w:divsChild>
                <w:div w:id="17808817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024">
                      <w:marLeft w:val="0"/>
                      <w:marRight w:val="0"/>
                      <w:marTop w:val="0"/>
                      <w:marBottom w:val="0"/>
                      <w:divBdr>
                        <w:top w:val="single" w:sz="2" w:space="0" w:color="D9D9E3"/>
                        <w:left w:val="single" w:sz="2" w:space="0" w:color="D9D9E3"/>
                        <w:bottom w:val="single" w:sz="2" w:space="0" w:color="D9D9E3"/>
                        <w:right w:val="single" w:sz="2" w:space="0" w:color="D9D9E3"/>
                      </w:divBdr>
                      <w:divsChild>
                        <w:div w:id="1759984761">
                          <w:marLeft w:val="0"/>
                          <w:marRight w:val="0"/>
                          <w:marTop w:val="0"/>
                          <w:marBottom w:val="0"/>
                          <w:divBdr>
                            <w:top w:val="single" w:sz="2" w:space="0" w:color="D9D9E3"/>
                            <w:left w:val="single" w:sz="2" w:space="0" w:color="D9D9E3"/>
                            <w:bottom w:val="single" w:sz="2" w:space="0" w:color="D9D9E3"/>
                            <w:right w:val="single" w:sz="2" w:space="0" w:color="D9D9E3"/>
                          </w:divBdr>
                          <w:divsChild>
                            <w:div w:id="1908682464">
                              <w:marLeft w:val="0"/>
                              <w:marRight w:val="0"/>
                              <w:marTop w:val="0"/>
                              <w:marBottom w:val="0"/>
                              <w:divBdr>
                                <w:top w:val="single" w:sz="2" w:space="0" w:color="D9D9E3"/>
                                <w:left w:val="single" w:sz="2" w:space="0" w:color="D9D9E3"/>
                                <w:bottom w:val="single" w:sz="2" w:space="0" w:color="D9D9E3"/>
                                <w:right w:val="single" w:sz="2" w:space="0" w:color="D9D9E3"/>
                              </w:divBdr>
                              <w:divsChild>
                                <w:div w:id="1879471005">
                                  <w:marLeft w:val="0"/>
                                  <w:marRight w:val="0"/>
                                  <w:marTop w:val="0"/>
                                  <w:marBottom w:val="0"/>
                                  <w:divBdr>
                                    <w:top w:val="single" w:sz="2" w:space="0" w:color="D9D9E3"/>
                                    <w:left w:val="single" w:sz="2" w:space="0" w:color="D9D9E3"/>
                                    <w:bottom w:val="single" w:sz="2" w:space="0" w:color="D9D9E3"/>
                                    <w:right w:val="single" w:sz="2" w:space="0" w:color="D9D9E3"/>
                                  </w:divBdr>
                                  <w:divsChild>
                                    <w:div w:id="9167912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00377459">
      <w:bodyDiv w:val="1"/>
      <w:marLeft w:val="0"/>
      <w:marRight w:val="0"/>
      <w:marTop w:val="0"/>
      <w:marBottom w:val="0"/>
      <w:divBdr>
        <w:top w:val="none" w:sz="0" w:space="0" w:color="auto"/>
        <w:left w:val="none" w:sz="0" w:space="0" w:color="auto"/>
        <w:bottom w:val="none" w:sz="0" w:space="0" w:color="auto"/>
        <w:right w:val="none" w:sz="0" w:space="0" w:color="auto"/>
      </w:divBdr>
    </w:div>
    <w:div w:id="1434714745">
      <w:bodyDiv w:val="1"/>
      <w:marLeft w:val="0"/>
      <w:marRight w:val="0"/>
      <w:marTop w:val="0"/>
      <w:marBottom w:val="0"/>
      <w:divBdr>
        <w:top w:val="none" w:sz="0" w:space="0" w:color="auto"/>
        <w:left w:val="none" w:sz="0" w:space="0" w:color="auto"/>
        <w:bottom w:val="none" w:sz="0" w:space="0" w:color="auto"/>
        <w:right w:val="none" w:sz="0" w:space="0" w:color="auto"/>
      </w:divBdr>
    </w:div>
    <w:div w:id="1445230941">
      <w:bodyDiv w:val="1"/>
      <w:marLeft w:val="0"/>
      <w:marRight w:val="0"/>
      <w:marTop w:val="0"/>
      <w:marBottom w:val="0"/>
      <w:divBdr>
        <w:top w:val="none" w:sz="0" w:space="0" w:color="auto"/>
        <w:left w:val="none" w:sz="0" w:space="0" w:color="auto"/>
        <w:bottom w:val="none" w:sz="0" w:space="0" w:color="auto"/>
        <w:right w:val="none" w:sz="0" w:space="0" w:color="auto"/>
      </w:divBdr>
    </w:div>
    <w:div w:id="1880705044">
      <w:bodyDiv w:val="1"/>
      <w:marLeft w:val="0"/>
      <w:marRight w:val="0"/>
      <w:marTop w:val="0"/>
      <w:marBottom w:val="0"/>
      <w:divBdr>
        <w:top w:val="none" w:sz="0" w:space="0" w:color="auto"/>
        <w:left w:val="none" w:sz="0" w:space="0" w:color="auto"/>
        <w:bottom w:val="none" w:sz="0" w:space="0" w:color="auto"/>
        <w:right w:val="none" w:sz="0" w:space="0" w:color="auto"/>
      </w:divBdr>
      <w:divsChild>
        <w:div w:id="219051909">
          <w:marLeft w:val="0"/>
          <w:marRight w:val="0"/>
          <w:marTop w:val="0"/>
          <w:marBottom w:val="0"/>
          <w:divBdr>
            <w:top w:val="single" w:sz="2" w:space="0" w:color="D9D9E3"/>
            <w:left w:val="single" w:sz="2" w:space="0" w:color="D9D9E3"/>
            <w:bottom w:val="single" w:sz="2" w:space="0" w:color="D9D9E3"/>
            <w:right w:val="single" w:sz="2" w:space="0" w:color="D9D9E3"/>
          </w:divBdr>
          <w:divsChild>
            <w:div w:id="1229077021">
              <w:marLeft w:val="0"/>
              <w:marRight w:val="0"/>
              <w:marTop w:val="0"/>
              <w:marBottom w:val="0"/>
              <w:divBdr>
                <w:top w:val="single" w:sz="2" w:space="0" w:color="D9D9E3"/>
                <w:left w:val="single" w:sz="2" w:space="0" w:color="D9D9E3"/>
                <w:bottom w:val="single" w:sz="2" w:space="0" w:color="D9D9E3"/>
                <w:right w:val="single" w:sz="2" w:space="0" w:color="D9D9E3"/>
              </w:divBdr>
              <w:divsChild>
                <w:div w:id="2105804796">
                  <w:marLeft w:val="0"/>
                  <w:marRight w:val="0"/>
                  <w:marTop w:val="0"/>
                  <w:marBottom w:val="0"/>
                  <w:divBdr>
                    <w:top w:val="single" w:sz="2" w:space="0" w:color="D9D9E3"/>
                    <w:left w:val="single" w:sz="2" w:space="0" w:color="D9D9E3"/>
                    <w:bottom w:val="single" w:sz="2" w:space="0" w:color="D9D9E3"/>
                    <w:right w:val="single" w:sz="2" w:space="0" w:color="D9D9E3"/>
                  </w:divBdr>
                  <w:divsChild>
                    <w:div w:id="1417482988">
                      <w:marLeft w:val="0"/>
                      <w:marRight w:val="0"/>
                      <w:marTop w:val="0"/>
                      <w:marBottom w:val="0"/>
                      <w:divBdr>
                        <w:top w:val="single" w:sz="2" w:space="0" w:color="D9D9E3"/>
                        <w:left w:val="single" w:sz="2" w:space="0" w:color="D9D9E3"/>
                        <w:bottom w:val="single" w:sz="2" w:space="0" w:color="D9D9E3"/>
                        <w:right w:val="single" w:sz="2" w:space="0" w:color="D9D9E3"/>
                      </w:divBdr>
                      <w:divsChild>
                        <w:div w:id="111559163">
                          <w:marLeft w:val="0"/>
                          <w:marRight w:val="0"/>
                          <w:marTop w:val="0"/>
                          <w:marBottom w:val="0"/>
                          <w:divBdr>
                            <w:top w:val="single" w:sz="2" w:space="0" w:color="D9D9E3"/>
                            <w:left w:val="single" w:sz="2" w:space="0" w:color="D9D9E3"/>
                            <w:bottom w:val="single" w:sz="2" w:space="0" w:color="D9D9E3"/>
                            <w:right w:val="single" w:sz="2" w:space="0" w:color="D9D9E3"/>
                          </w:divBdr>
                          <w:divsChild>
                            <w:div w:id="1119956325">
                              <w:marLeft w:val="0"/>
                              <w:marRight w:val="0"/>
                              <w:marTop w:val="100"/>
                              <w:marBottom w:val="100"/>
                              <w:divBdr>
                                <w:top w:val="single" w:sz="2" w:space="0" w:color="D9D9E3"/>
                                <w:left w:val="single" w:sz="2" w:space="0" w:color="D9D9E3"/>
                                <w:bottom w:val="single" w:sz="2" w:space="0" w:color="D9D9E3"/>
                                <w:right w:val="single" w:sz="2" w:space="0" w:color="D9D9E3"/>
                              </w:divBdr>
                              <w:divsChild>
                                <w:div w:id="526069802">
                                  <w:marLeft w:val="0"/>
                                  <w:marRight w:val="0"/>
                                  <w:marTop w:val="0"/>
                                  <w:marBottom w:val="0"/>
                                  <w:divBdr>
                                    <w:top w:val="single" w:sz="2" w:space="0" w:color="D9D9E3"/>
                                    <w:left w:val="single" w:sz="2" w:space="0" w:color="D9D9E3"/>
                                    <w:bottom w:val="single" w:sz="2" w:space="0" w:color="D9D9E3"/>
                                    <w:right w:val="single" w:sz="2" w:space="0" w:color="D9D9E3"/>
                                  </w:divBdr>
                                  <w:divsChild>
                                    <w:div w:id="554464865">
                                      <w:marLeft w:val="0"/>
                                      <w:marRight w:val="0"/>
                                      <w:marTop w:val="0"/>
                                      <w:marBottom w:val="0"/>
                                      <w:divBdr>
                                        <w:top w:val="single" w:sz="2" w:space="0" w:color="D9D9E3"/>
                                        <w:left w:val="single" w:sz="2" w:space="0" w:color="D9D9E3"/>
                                        <w:bottom w:val="single" w:sz="2" w:space="0" w:color="D9D9E3"/>
                                        <w:right w:val="single" w:sz="2" w:space="0" w:color="D9D9E3"/>
                                      </w:divBdr>
                                      <w:divsChild>
                                        <w:div w:id="231815957">
                                          <w:marLeft w:val="0"/>
                                          <w:marRight w:val="0"/>
                                          <w:marTop w:val="0"/>
                                          <w:marBottom w:val="0"/>
                                          <w:divBdr>
                                            <w:top w:val="single" w:sz="2" w:space="0" w:color="D9D9E3"/>
                                            <w:left w:val="single" w:sz="2" w:space="0" w:color="D9D9E3"/>
                                            <w:bottom w:val="single" w:sz="2" w:space="0" w:color="D9D9E3"/>
                                            <w:right w:val="single" w:sz="2" w:space="0" w:color="D9D9E3"/>
                                          </w:divBdr>
                                          <w:divsChild>
                                            <w:div w:id="1240141989">
                                              <w:marLeft w:val="0"/>
                                              <w:marRight w:val="0"/>
                                              <w:marTop w:val="0"/>
                                              <w:marBottom w:val="0"/>
                                              <w:divBdr>
                                                <w:top w:val="single" w:sz="2" w:space="0" w:color="D9D9E3"/>
                                                <w:left w:val="single" w:sz="2" w:space="0" w:color="D9D9E3"/>
                                                <w:bottom w:val="single" w:sz="2" w:space="0" w:color="D9D9E3"/>
                                                <w:right w:val="single" w:sz="2" w:space="0" w:color="D9D9E3"/>
                                              </w:divBdr>
                                              <w:divsChild>
                                                <w:div w:id="1070692936">
                                                  <w:marLeft w:val="0"/>
                                                  <w:marRight w:val="0"/>
                                                  <w:marTop w:val="0"/>
                                                  <w:marBottom w:val="0"/>
                                                  <w:divBdr>
                                                    <w:top w:val="single" w:sz="2" w:space="0" w:color="D9D9E3"/>
                                                    <w:left w:val="single" w:sz="2" w:space="0" w:color="D9D9E3"/>
                                                    <w:bottom w:val="single" w:sz="2" w:space="0" w:color="D9D9E3"/>
                                                    <w:right w:val="single" w:sz="2" w:space="0" w:color="D9D9E3"/>
                                                  </w:divBdr>
                                                  <w:divsChild>
                                                    <w:div w:id="6502592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55457061">
          <w:marLeft w:val="0"/>
          <w:marRight w:val="0"/>
          <w:marTop w:val="0"/>
          <w:marBottom w:val="0"/>
          <w:divBdr>
            <w:top w:val="none" w:sz="0" w:space="0" w:color="auto"/>
            <w:left w:val="none" w:sz="0" w:space="0" w:color="auto"/>
            <w:bottom w:val="none" w:sz="0" w:space="0" w:color="auto"/>
            <w:right w:val="none" w:sz="0" w:space="0" w:color="auto"/>
          </w:divBdr>
        </w:div>
      </w:divsChild>
    </w:div>
    <w:div w:id="2084332961">
      <w:bodyDiv w:val="1"/>
      <w:marLeft w:val="0"/>
      <w:marRight w:val="0"/>
      <w:marTop w:val="0"/>
      <w:marBottom w:val="0"/>
      <w:divBdr>
        <w:top w:val="none" w:sz="0" w:space="0" w:color="auto"/>
        <w:left w:val="none" w:sz="0" w:space="0" w:color="auto"/>
        <w:bottom w:val="none" w:sz="0" w:space="0" w:color="auto"/>
        <w:right w:val="none" w:sz="0" w:space="0" w:color="auto"/>
      </w:divBdr>
      <w:divsChild>
        <w:div w:id="1679966640">
          <w:marLeft w:val="0"/>
          <w:marRight w:val="0"/>
          <w:marTop w:val="0"/>
          <w:marBottom w:val="0"/>
          <w:divBdr>
            <w:top w:val="single" w:sz="2" w:space="0" w:color="D9D9E3"/>
            <w:left w:val="single" w:sz="2" w:space="0" w:color="D9D9E3"/>
            <w:bottom w:val="single" w:sz="2" w:space="0" w:color="D9D9E3"/>
            <w:right w:val="single" w:sz="2" w:space="0" w:color="D9D9E3"/>
          </w:divBdr>
          <w:divsChild>
            <w:div w:id="483854603">
              <w:marLeft w:val="0"/>
              <w:marRight w:val="0"/>
              <w:marTop w:val="100"/>
              <w:marBottom w:val="100"/>
              <w:divBdr>
                <w:top w:val="single" w:sz="2" w:space="0" w:color="D9D9E3"/>
                <w:left w:val="single" w:sz="2" w:space="0" w:color="D9D9E3"/>
                <w:bottom w:val="single" w:sz="2" w:space="0" w:color="D9D9E3"/>
                <w:right w:val="single" w:sz="2" w:space="0" w:color="D9D9E3"/>
              </w:divBdr>
              <w:divsChild>
                <w:div w:id="1809391512">
                  <w:marLeft w:val="0"/>
                  <w:marRight w:val="0"/>
                  <w:marTop w:val="0"/>
                  <w:marBottom w:val="0"/>
                  <w:divBdr>
                    <w:top w:val="single" w:sz="2" w:space="0" w:color="D9D9E3"/>
                    <w:left w:val="single" w:sz="2" w:space="0" w:color="D9D9E3"/>
                    <w:bottom w:val="single" w:sz="2" w:space="0" w:color="D9D9E3"/>
                    <w:right w:val="single" w:sz="2" w:space="0" w:color="D9D9E3"/>
                  </w:divBdr>
                  <w:divsChild>
                    <w:div w:id="718287775">
                      <w:marLeft w:val="0"/>
                      <w:marRight w:val="0"/>
                      <w:marTop w:val="0"/>
                      <w:marBottom w:val="0"/>
                      <w:divBdr>
                        <w:top w:val="single" w:sz="2" w:space="0" w:color="D9D9E3"/>
                        <w:left w:val="single" w:sz="2" w:space="0" w:color="D9D9E3"/>
                        <w:bottom w:val="single" w:sz="2" w:space="0" w:color="D9D9E3"/>
                        <w:right w:val="single" w:sz="2" w:space="0" w:color="D9D9E3"/>
                      </w:divBdr>
                      <w:divsChild>
                        <w:div w:id="1324702474">
                          <w:marLeft w:val="0"/>
                          <w:marRight w:val="0"/>
                          <w:marTop w:val="0"/>
                          <w:marBottom w:val="0"/>
                          <w:divBdr>
                            <w:top w:val="single" w:sz="2" w:space="0" w:color="D9D9E3"/>
                            <w:left w:val="single" w:sz="2" w:space="0" w:color="D9D9E3"/>
                            <w:bottom w:val="single" w:sz="2" w:space="0" w:color="D9D9E3"/>
                            <w:right w:val="single" w:sz="2" w:space="0" w:color="D9D9E3"/>
                          </w:divBdr>
                          <w:divsChild>
                            <w:div w:id="135031274">
                              <w:marLeft w:val="0"/>
                              <w:marRight w:val="0"/>
                              <w:marTop w:val="0"/>
                              <w:marBottom w:val="0"/>
                              <w:divBdr>
                                <w:top w:val="single" w:sz="2" w:space="0" w:color="D9D9E3"/>
                                <w:left w:val="single" w:sz="2" w:space="0" w:color="D9D9E3"/>
                                <w:bottom w:val="single" w:sz="2" w:space="0" w:color="D9D9E3"/>
                                <w:right w:val="single" w:sz="2" w:space="0" w:color="D9D9E3"/>
                              </w:divBdr>
                              <w:divsChild>
                                <w:div w:id="671299131">
                                  <w:marLeft w:val="0"/>
                                  <w:marRight w:val="0"/>
                                  <w:marTop w:val="0"/>
                                  <w:marBottom w:val="0"/>
                                  <w:divBdr>
                                    <w:top w:val="single" w:sz="2" w:space="0" w:color="D9D9E3"/>
                                    <w:left w:val="single" w:sz="2" w:space="0" w:color="D9D9E3"/>
                                    <w:bottom w:val="single" w:sz="2" w:space="0" w:color="D9D9E3"/>
                                    <w:right w:val="single" w:sz="2" w:space="0" w:color="D9D9E3"/>
                                  </w:divBdr>
                                  <w:divsChild>
                                    <w:div w:id="15597100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sbfnet.com/ojs/index.php/ijfbs/article/view/93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ergipark.org.tr/en/pub/gjeb/issue/75965/1183375"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11</Pages>
  <Words>2775</Words>
  <Characters>15824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Sanya Suneja</dc:creator>
  <cp:keywords/>
  <dc:description/>
  <cp:lastModifiedBy>Sanya Suneja</cp:lastModifiedBy>
  <cp:revision>151</cp:revision>
  <dcterms:created xsi:type="dcterms:W3CDTF">2023-12-10T12:00:00Z</dcterms:created>
  <dcterms:modified xsi:type="dcterms:W3CDTF">2023-12-20T17:51:00Z</dcterms:modified>
</cp:coreProperties>
</file>