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FFF6E" w14:textId="77777777" w:rsidR="006561C4" w:rsidRDefault="001B3663" w:rsidP="006561C4">
      <w:pPr>
        <w:jc w:val="center"/>
        <w:rPr>
          <w:rFonts w:ascii="Arial" w:hAnsi="Arial" w:cs="Arial"/>
          <w:sz w:val="32"/>
          <w:szCs w:val="32"/>
          <w:lang w:val="en-GB"/>
        </w:rPr>
      </w:pPr>
      <w:r w:rsidRPr="001B3663">
        <w:rPr>
          <w:rFonts w:ascii="Arial" w:hAnsi="Arial" w:cs="Arial"/>
          <w:noProof/>
          <w:sz w:val="32"/>
          <w:szCs w:val="32"/>
        </w:rPr>
        <w:drawing>
          <wp:inline distT="0" distB="0" distL="0" distR="0" wp14:anchorId="7CCCF520" wp14:editId="5DE4D2BF">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06C70398" w14:textId="77777777" w:rsidR="001B3663" w:rsidRDefault="001B3663" w:rsidP="006561C4">
      <w:pPr>
        <w:jc w:val="center"/>
        <w:rPr>
          <w:rFonts w:ascii="Arial" w:hAnsi="Arial" w:cs="Arial"/>
          <w:sz w:val="32"/>
          <w:szCs w:val="32"/>
          <w:lang w:val="en-GB"/>
        </w:rPr>
      </w:pPr>
    </w:p>
    <w:p w14:paraId="1BE18F86" w14:textId="77777777" w:rsidR="001B3663" w:rsidRDefault="001B3663" w:rsidP="006561C4">
      <w:pPr>
        <w:jc w:val="center"/>
        <w:rPr>
          <w:rFonts w:ascii="Arial" w:hAnsi="Arial" w:cs="Arial"/>
          <w:sz w:val="32"/>
          <w:szCs w:val="32"/>
          <w:lang w:val="en-GB"/>
        </w:rPr>
      </w:pPr>
    </w:p>
    <w:p w14:paraId="374BCF16" w14:textId="77777777" w:rsidR="001B3663" w:rsidRPr="001B3663" w:rsidRDefault="001B3663" w:rsidP="006561C4">
      <w:pPr>
        <w:jc w:val="center"/>
        <w:rPr>
          <w:rFonts w:ascii="Arial" w:hAnsi="Arial" w:cs="Arial"/>
          <w:b/>
          <w:sz w:val="32"/>
          <w:szCs w:val="32"/>
          <w:lang w:val="en-GB"/>
        </w:rPr>
      </w:pPr>
      <w:r w:rsidRPr="001B3663">
        <w:rPr>
          <w:rFonts w:ascii="Arial" w:hAnsi="Arial" w:cs="Arial"/>
          <w:b/>
          <w:sz w:val="32"/>
          <w:szCs w:val="32"/>
          <w:lang w:val="en-GB"/>
        </w:rPr>
        <w:t>Assessment 1</w:t>
      </w:r>
    </w:p>
    <w:p w14:paraId="72545CCD" w14:textId="77777777" w:rsidR="001B3663" w:rsidRPr="001B3663" w:rsidRDefault="001B3663" w:rsidP="006561C4">
      <w:pPr>
        <w:jc w:val="center"/>
        <w:rPr>
          <w:rFonts w:ascii="Arial" w:hAnsi="Arial" w:cs="Arial"/>
          <w:b/>
          <w:sz w:val="32"/>
          <w:szCs w:val="32"/>
          <w:lang w:val="en-GB"/>
        </w:rPr>
      </w:pPr>
      <w:r>
        <w:rPr>
          <w:rFonts w:ascii="Arial" w:hAnsi="Arial" w:cs="Arial"/>
          <w:b/>
          <w:sz w:val="32"/>
          <w:szCs w:val="32"/>
          <w:lang w:val="en-GB"/>
        </w:rPr>
        <w:t xml:space="preserve">Name: </w:t>
      </w:r>
      <w:proofErr w:type="spellStart"/>
      <w:r>
        <w:rPr>
          <w:rFonts w:ascii="Arial" w:hAnsi="Arial" w:cs="Arial"/>
          <w:b/>
          <w:sz w:val="32"/>
          <w:szCs w:val="32"/>
          <w:lang w:val="en-GB"/>
        </w:rPr>
        <w:t>Aayushy</w:t>
      </w:r>
      <w:proofErr w:type="spellEnd"/>
      <w:r>
        <w:rPr>
          <w:rFonts w:ascii="Arial" w:hAnsi="Arial" w:cs="Arial"/>
          <w:b/>
          <w:sz w:val="32"/>
          <w:szCs w:val="32"/>
          <w:lang w:val="en-GB"/>
        </w:rPr>
        <w:t xml:space="preserve"> P</w:t>
      </w:r>
      <w:r w:rsidRPr="001B3663">
        <w:rPr>
          <w:rFonts w:ascii="Arial" w:hAnsi="Arial" w:cs="Arial"/>
          <w:b/>
          <w:sz w:val="32"/>
          <w:szCs w:val="32"/>
          <w:lang w:val="en-GB"/>
        </w:rPr>
        <w:t>atel</w:t>
      </w:r>
    </w:p>
    <w:p w14:paraId="29790E33" w14:textId="77777777" w:rsidR="006561C4" w:rsidRPr="001B3663" w:rsidRDefault="001B3663" w:rsidP="001B3663">
      <w:pPr>
        <w:jc w:val="center"/>
        <w:rPr>
          <w:rFonts w:ascii="Arial" w:hAnsi="Arial" w:cs="Arial"/>
          <w:b/>
          <w:sz w:val="32"/>
          <w:szCs w:val="32"/>
          <w:lang w:val="en-GB"/>
        </w:rPr>
      </w:pPr>
      <w:r w:rsidRPr="001B3663">
        <w:rPr>
          <w:rFonts w:ascii="Arial" w:hAnsi="Arial" w:cs="Arial"/>
          <w:b/>
          <w:sz w:val="32"/>
          <w:szCs w:val="32"/>
          <w:lang w:val="en-GB"/>
        </w:rPr>
        <w:t>Student id: 2503361</w:t>
      </w:r>
    </w:p>
    <w:p w14:paraId="24227965" w14:textId="77777777" w:rsidR="006561C4" w:rsidRPr="001B3663" w:rsidRDefault="00613D63" w:rsidP="001B3663">
      <w:pPr>
        <w:jc w:val="center"/>
        <w:rPr>
          <w:rFonts w:ascii="Arial" w:hAnsi="Arial" w:cs="Arial"/>
          <w:b/>
          <w:bCs/>
          <w:sz w:val="32"/>
          <w:szCs w:val="32"/>
          <w:lang w:val="en-GB"/>
        </w:rPr>
      </w:pPr>
      <w:r>
        <w:rPr>
          <w:rFonts w:ascii="Arial" w:hAnsi="Arial" w:cs="Arial"/>
          <w:b/>
          <w:bCs/>
          <w:sz w:val="32"/>
          <w:szCs w:val="32"/>
          <w:lang w:val="en-GB"/>
        </w:rPr>
        <w:t>Module name: Marketing M</w:t>
      </w:r>
      <w:r w:rsidR="001B3663" w:rsidRPr="001B3663">
        <w:rPr>
          <w:rFonts w:ascii="Arial" w:hAnsi="Arial" w:cs="Arial"/>
          <w:b/>
          <w:bCs/>
          <w:sz w:val="32"/>
          <w:szCs w:val="32"/>
          <w:lang w:val="en-GB"/>
        </w:rPr>
        <w:t>anagement</w:t>
      </w:r>
    </w:p>
    <w:p w14:paraId="5997DA60" w14:textId="77777777" w:rsidR="006561C4" w:rsidRPr="001B3663" w:rsidRDefault="001B3663" w:rsidP="001B3663">
      <w:pPr>
        <w:jc w:val="center"/>
        <w:rPr>
          <w:rFonts w:ascii="Arial" w:hAnsi="Arial" w:cs="Arial"/>
          <w:b/>
          <w:bCs/>
          <w:sz w:val="32"/>
          <w:szCs w:val="32"/>
          <w:lang w:val="en-GB"/>
        </w:rPr>
      </w:pPr>
      <w:r w:rsidRPr="001B3663">
        <w:rPr>
          <w:rFonts w:ascii="Arial" w:hAnsi="Arial" w:cs="Arial"/>
          <w:b/>
          <w:bCs/>
          <w:sz w:val="32"/>
          <w:szCs w:val="32"/>
          <w:lang w:val="en-GB"/>
        </w:rPr>
        <w:t xml:space="preserve">Module code: </w:t>
      </w:r>
      <w:r w:rsidR="00E15CE7" w:rsidRPr="001B3663">
        <w:rPr>
          <w:rFonts w:ascii="Arial" w:hAnsi="Arial" w:cs="Arial"/>
          <w:b/>
          <w:bCs/>
          <w:sz w:val="32"/>
          <w:szCs w:val="32"/>
          <w:lang w:val="en-GB"/>
        </w:rPr>
        <w:t>LCMB7024</w:t>
      </w:r>
    </w:p>
    <w:p w14:paraId="31A1880A" w14:textId="77777777" w:rsidR="00B16EB0" w:rsidRPr="001B3663" w:rsidRDefault="001B3663" w:rsidP="006561C4">
      <w:pPr>
        <w:jc w:val="center"/>
        <w:rPr>
          <w:rFonts w:ascii="Arial" w:hAnsi="Arial" w:cs="Arial"/>
          <w:b/>
          <w:bCs/>
          <w:sz w:val="32"/>
          <w:szCs w:val="32"/>
          <w:lang w:val="en-GB"/>
        </w:rPr>
      </w:pPr>
      <w:r w:rsidRPr="001B3663">
        <w:rPr>
          <w:rFonts w:ascii="Arial" w:hAnsi="Arial" w:cs="Arial"/>
          <w:b/>
          <w:bCs/>
          <w:sz w:val="32"/>
          <w:szCs w:val="32"/>
          <w:lang w:val="en-GB"/>
        </w:rPr>
        <w:t>Lecturer’s name:</w:t>
      </w:r>
      <w:r w:rsidR="00517910">
        <w:rPr>
          <w:rFonts w:ascii="Arial" w:hAnsi="Arial" w:cs="Arial"/>
          <w:b/>
          <w:bCs/>
          <w:sz w:val="32"/>
          <w:szCs w:val="32"/>
          <w:lang w:val="en-GB"/>
        </w:rPr>
        <w:t xml:space="preserve"> </w:t>
      </w:r>
      <w:r w:rsidR="00517910" w:rsidRPr="00517910">
        <w:rPr>
          <w:rFonts w:ascii="Arial" w:hAnsi="Arial" w:cs="Arial"/>
          <w:b/>
          <w:bCs/>
          <w:sz w:val="32"/>
          <w:szCs w:val="32"/>
          <w:lang w:val="en-GB"/>
        </w:rPr>
        <w:t xml:space="preserve">Dr </w:t>
      </w:r>
      <w:proofErr w:type="spellStart"/>
      <w:r w:rsidR="00517910" w:rsidRPr="00517910">
        <w:rPr>
          <w:rFonts w:ascii="Arial" w:hAnsi="Arial" w:cs="Arial"/>
          <w:b/>
          <w:bCs/>
          <w:sz w:val="32"/>
          <w:szCs w:val="32"/>
          <w:lang w:val="en-GB"/>
        </w:rPr>
        <w:t>jayalakhshmi</w:t>
      </w:r>
      <w:proofErr w:type="spellEnd"/>
    </w:p>
    <w:p w14:paraId="1CECC871" w14:textId="77777777" w:rsidR="001B3663" w:rsidRDefault="001B3663" w:rsidP="006561C4">
      <w:pPr>
        <w:jc w:val="center"/>
        <w:rPr>
          <w:rFonts w:ascii="Arial" w:hAnsi="Arial" w:cs="Arial"/>
          <w:b/>
          <w:bCs/>
          <w:sz w:val="32"/>
          <w:szCs w:val="32"/>
          <w:lang w:val="en-GB"/>
        </w:rPr>
      </w:pPr>
      <w:r w:rsidRPr="001B3663">
        <w:rPr>
          <w:rFonts w:ascii="Arial" w:hAnsi="Arial" w:cs="Arial"/>
          <w:b/>
          <w:bCs/>
          <w:sz w:val="32"/>
          <w:szCs w:val="32"/>
          <w:lang w:val="en-GB"/>
        </w:rPr>
        <w:t xml:space="preserve">Word count: </w:t>
      </w:r>
      <w:r w:rsidR="003E6F4D">
        <w:rPr>
          <w:rFonts w:ascii="Arial" w:hAnsi="Arial" w:cs="Arial"/>
          <w:b/>
          <w:bCs/>
          <w:sz w:val="32"/>
          <w:szCs w:val="32"/>
          <w:lang w:val="en-GB"/>
        </w:rPr>
        <w:t>2504</w:t>
      </w:r>
    </w:p>
    <w:p w14:paraId="42D2649A" w14:textId="77777777" w:rsidR="00944E87" w:rsidRPr="001B3663" w:rsidRDefault="00944E87" w:rsidP="006561C4">
      <w:pPr>
        <w:jc w:val="center"/>
        <w:rPr>
          <w:rFonts w:ascii="Arial" w:hAnsi="Arial" w:cs="Arial"/>
          <w:b/>
          <w:bCs/>
          <w:sz w:val="32"/>
          <w:szCs w:val="32"/>
          <w:lang w:val="en-GB"/>
        </w:rPr>
      </w:pPr>
      <w:r>
        <w:rPr>
          <w:rFonts w:ascii="Arial" w:hAnsi="Arial" w:cs="Arial"/>
          <w:b/>
          <w:bCs/>
          <w:sz w:val="32"/>
          <w:szCs w:val="32"/>
          <w:lang w:val="en-GB"/>
        </w:rPr>
        <w:t>Term 1</w:t>
      </w:r>
    </w:p>
    <w:p w14:paraId="1C6A41B6" w14:textId="77777777" w:rsidR="00B16EB0" w:rsidRDefault="00B16EB0">
      <w:pPr>
        <w:rPr>
          <w:rFonts w:ascii="Arial" w:hAnsi="Arial" w:cs="Arial"/>
          <w:b/>
          <w:bCs/>
          <w:sz w:val="32"/>
          <w:szCs w:val="32"/>
          <w:lang w:val="en-GB"/>
        </w:rPr>
      </w:pPr>
      <w:r>
        <w:rPr>
          <w:rFonts w:ascii="Arial" w:hAnsi="Arial" w:cs="Arial"/>
          <w:b/>
          <w:bCs/>
          <w:sz w:val="32"/>
          <w:szCs w:val="32"/>
          <w:lang w:val="en-GB"/>
        </w:rPr>
        <w:br w:type="page"/>
      </w:r>
    </w:p>
    <w:sdt>
      <w:sdtPr>
        <w:rPr>
          <w:rFonts w:ascii="Arial" w:eastAsiaTheme="minorHAnsi" w:hAnsi="Arial" w:cs="Arial"/>
          <w:b w:val="0"/>
          <w:bCs w:val="0"/>
          <w:color w:val="auto"/>
          <w:sz w:val="24"/>
          <w:szCs w:val="24"/>
        </w:rPr>
        <w:id w:val="22486047"/>
        <w:docPartObj>
          <w:docPartGallery w:val="Table of Contents"/>
          <w:docPartUnique/>
        </w:docPartObj>
      </w:sdtPr>
      <w:sdtEndPr>
        <w:rPr>
          <w:rFonts w:asciiTheme="minorHAnsi" w:hAnsiTheme="minorHAnsi" w:cstheme="minorBidi"/>
          <w:sz w:val="22"/>
          <w:szCs w:val="22"/>
        </w:rPr>
      </w:sdtEndPr>
      <w:sdtContent>
        <w:p w14:paraId="3367ADD2" w14:textId="77777777" w:rsidR="00B16EB0" w:rsidRPr="00E85DDC" w:rsidRDefault="00B16EB0" w:rsidP="00E85DDC">
          <w:pPr>
            <w:pStyle w:val="TOCHeading"/>
            <w:spacing w:line="360" w:lineRule="auto"/>
            <w:jc w:val="center"/>
            <w:rPr>
              <w:rFonts w:ascii="Arial" w:hAnsi="Arial" w:cs="Arial"/>
              <w:color w:val="auto"/>
              <w:sz w:val="24"/>
              <w:szCs w:val="24"/>
            </w:rPr>
          </w:pPr>
          <w:r w:rsidRPr="00E85DDC">
            <w:rPr>
              <w:rFonts w:ascii="Arial" w:hAnsi="Arial" w:cs="Arial"/>
              <w:color w:val="auto"/>
              <w:szCs w:val="24"/>
            </w:rPr>
            <w:t>Table of Contents</w:t>
          </w:r>
        </w:p>
        <w:p w14:paraId="2B842ECD" w14:textId="77777777" w:rsidR="00E85DDC" w:rsidRPr="00E85DDC" w:rsidRDefault="00547922" w:rsidP="00E85DDC">
          <w:pPr>
            <w:pStyle w:val="TOC1"/>
            <w:tabs>
              <w:tab w:val="right" w:leader="dot" w:pos="9350"/>
            </w:tabs>
            <w:spacing w:line="360" w:lineRule="auto"/>
            <w:jc w:val="both"/>
            <w:rPr>
              <w:rFonts w:ascii="Arial" w:eastAsiaTheme="minorEastAsia" w:hAnsi="Arial" w:cs="Arial"/>
              <w:noProof/>
              <w:sz w:val="24"/>
              <w:szCs w:val="24"/>
            </w:rPr>
          </w:pPr>
          <w:r w:rsidRPr="00E85DDC">
            <w:rPr>
              <w:rFonts w:ascii="Arial" w:hAnsi="Arial" w:cs="Arial"/>
              <w:sz w:val="24"/>
              <w:szCs w:val="24"/>
            </w:rPr>
            <w:fldChar w:fldCharType="begin"/>
          </w:r>
          <w:r w:rsidR="00B16EB0" w:rsidRPr="00E85DDC">
            <w:rPr>
              <w:rFonts w:ascii="Arial" w:hAnsi="Arial" w:cs="Arial"/>
              <w:sz w:val="24"/>
              <w:szCs w:val="24"/>
            </w:rPr>
            <w:instrText xml:space="preserve"> TOC \o "1-3" \h \z \u </w:instrText>
          </w:r>
          <w:r w:rsidRPr="00E85DDC">
            <w:rPr>
              <w:rFonts w:ascii="Arial" w:hAnsi="Arial" w:cs="Arial"/>
              <w:sz w:val="24"/>
              <w:szCs w:val="24"/>
            </w:rPr>
            <w:fldChar w:fldCharType="separate"/>
          </w:r>
          <w:hyperlink w:anchor="_Toc213946256" w:history="1">
            <w:r w:rsidR="00E85DDC" w:rsidRPr="00E85DDC">
              <w:rPr>
                <w:rStyle w:val="Hyperlink"/>
                <w:rFonts w:ascii="Arial" w:hAnsi="Arial" w:cs="Arial"/>
                <w:noProof/>
                <w:color w:val="auto"/>
                <w:sz w:val="24"/>
                <w:szCs w:val="24"/>
                <w:lang w:val="en-GB"/>
              </w:rPr>
              <w:t>1. Introduction</w:t>
            </w:r>
            <w:r w:rsidR="00E85DDC" w:rsidRPr="00E85DDC">
              <w:rPr>
                <w:rFonts w:ascii="Arial" w:hAnsi="Arial" w:cs="Arial"/>
                <w:noProof/>
                <w:webHidden/>
                <w:sz w:val="24"/>
                <w:szCs w:val="24"/>
              </w:rPr>
              <w:tab/>
            </w:r>
            <w:r w:rsidRPr="00E85DDC">
              <w:rPr>
                <w:rFonts w:ascii="Arial" w:hAnsi="Arial" w:cs="Arial"/>
                <w:noProof/>
                <w:webHidden/>
                <w:sz w:val="24"/>
                <w:szCs w:val="24"/>
              </w:rPr>
              <w:fldChar w:fldCharType="begin"/>
            </w:r>
            <w:r w:rsidR="00E85DDC" w:rsidRPr="00E85DDC">
              <w:rPr>
                <w:rFonts w:ascii="Arial" w:hAnsi="Arial" w:cs="Arial"/>
                <w:noProof/>
                <w:webHidden/>
                <w:sz w:val="24"/>
                <w:szCs w:val="24"/>
              </w:rPr>
              <w:instrText xml:space="preserve"> PAGEREF _Toc213946256 \h </w:instrText>
            </w:r>
            <w:r w:rsidRPr="00E85DDC">
              <w:rPr>
                <w:rFonts w:ascii="Arial" w:hAnsi="Arial" w:cs="Arial"/>
                <w:noProof/>
                <w:webHidden/>
                <w:sz w:val="24"/>
                <w:szCs w:val="24"/>
              </w:rPr>
            </w:r>
            <w:r w:rsidRPr="00E85DDC">
              <w:rPr>
                <w:rFonts w:ascii="Arial" w:hAnsi="Arial" w:cs="Arial"/>
                <w:noProof/>
                <w:webHidden/>
                <w:sz w:val="24"/>
                <w:szCs w:val="24"/>
              </w:rPr>
              <w:fldChar w:fldCharType="separate"/>
            </w:r>
            <w:r w:rsidR="00E85DDC" w:rsidRPr="00E85DDC">
              <w:rPr>
                <w:rFonts w:ascii="Arial" w:hAnsi="Arial" w:cs="Arial"/>
                <w:noProof/>
                <w:webHidden/>
                <w:sz w:val="24"/>
                <w:szCs w:val="24"/>
              </w:rPr>
              <w:t>3</w:t>
            </w:r>
            <w:r w:rsidRPr="00E85DDC">
              <w:rPr>
                <w:rFonts w:ascii="Arial" w:hAnsi="Arial" w:cs="Arial"/>
                <w:noProof/>
                <w:webHidden/>
                <w:sz w:val="24"/>
                <w:szCs w:val="24"/>
              </w:rPr>
              <w:fldChar w:fldCharType="end"/>
            </w:r>
          </w:hyperlink>
        </w:p>
        <w:p w14:paraId="09043C54" w14:textId="77777777" w:rsidR="00E85DDC" w:rsidRPr="00E85DDC" w:rsidRDefault="00E85DDC" w:rsidP="00E85DDC">
          <w:pPr>
            <w:pStyle w:val="TOC1"/>
            <w:tabs>
              <w:tab w:val="right" w:leader="dot" w:pos="9350"/>
            </w:tabs>
            <w:spacing w:line="360" w:lineRule="auto"/>
            <w:jc w:val="both"/>
            <w:rPr>
              <w:rFonts w:ascii="Arial" w:eastAsiaTheme="minorEastAsia" w:hAnsi="Arial" w:cs="Arial"/>
              <w:noProof/>
              <w:sz w:val="24"/>
              <w:szCs w:val="24"/>
            </w:rPr>
          </w:pPr>
          <w:hyperlink w:anchor="_Toc213946257" w:history="1">
            <w:r w:rsidRPr="00E85DDC">
              <w:rPr>
                <w:rStyle w:val="Hyperlink"/>
                <w:rFonts w:ascii="Arial" w:hAnsi="Arial" w:cs="Arial"/>
                <w:noProof/>
                <w:color w:val="auto"/>
                <w:sz w:val="24"/>
                <w:szCs w:val="24"/>
                <w:lang w:val="en-GB"/>
              </w:rPr>
              <w:t>2. Task 1: Critical analysis of the macro marketing environment</w:t>
            </w:r>
            <w:r w:rsidRPr="00E85DDC">
              <w:rPr>
                <w:rFonts w:ascii="Arial" w:hAnsi="Arial" w:cs="Arial"/>
                <w:noProof/>
                <w:webHidden/>
                <w:sz w:val="24"/>
                <w:szCs w:val="24"/>
              </w:rPr>
              <w:tab/>
            </w:r>
            <w:r w:rsidR="00547922" w:rsidRPr="00E85DDC">
              <w:rPr>
                <w:rFonts w:ascii="Arial" w:hAnsi="Arial" w:cs="Arial"/>
                <w:noProof/>
                <w:webHidden/>
                <w:sz w:val="24"/>
                <w:szCs w:val="24"/>
              </w:rPr>
              <w:fldChar w:fldCharType="begin"/>
            </w:r>
            <w:r w:rsidRPr="00E85DDC">
              <w:rPr>
                <w:rFonts w:ascii="Arial" w:hAnsi="Arial" w:cs="Arial"/>
                <w:noProof/>
                <w:webHidden/>
                <w:sz w:val="24"/>
                <w:szCs w:val="24"/>
              </w:rPr>
              <w:instrText xml:space="preserve"> PAGEREF _Toc213946257 \h </w:instrText>
            </w:r>
            <w:r w:rsidR="00547922" w:rsidRPr="00E85DDC">
              <w:rPr>
                <w:rFonts w:ascii="Arial" w:hAnsi="Arial" w:cs="Arial"/>
                <w:noProof/>
                <w:webHidden/>
                <w:sz w:val="24"/>
                <w:szCs w:val="24"/>
              </w:rPr>
            </w:r>
            <w:r w:rsidR="00547922" w:rsidRPr="00E85DDC">
              <w:rPr>
                <w:rFonts w:ascii="Arial" w:hAnsi="Arial" w:cs="Arial"/>
                <w:noProof/>
                <w:webHidden/>
                <w:sz w:val="24"/>
                <w:szCs w:val="24"/>
              </w:rPr>
              <w:fldChar w:fldCharType="separate"/>
            </w:r>
            <w:r w:rsidRPr="00E85DDC">
              <w:rPr>
                <w:rFonts w:ascii="Arial" w:hAnsi="Arial" w:cs="Arial"/>
                <w:noProof/>
                <w:webHidden/>
                <w:sz w:val="24"/>
                <w:szCs w:val="24"/>
              </w:rPr>
              <w:t>3</w:t>
            </w:r>
            <w:r w:rsidR="00547922" w:rsidRPr="00E85DDC">
              <w:rPr>
                <w:rFonts w:ascii="Arial" w:hAnsi="Arial" w:cs="Arial"/>
                <w:noProof/>
                <w:webHidden/>
                <w:sz w:val="24"/>
                <w:szCs w:val="24"/>
              </w:rPr>
              <w:fldChar w:fldCharType="end"/>
            </w:r>
          </w:hyperlink>
        </w:p>
        <w:p w14:paraId="028B0B6E" w14:textId="77777777" w:rsidR="00E85DDC" w:rsidRPr="00E85DDC" w:rsidRDefault="00E85DDC" w:rsidP="00E85DDC">
          <w:pPr>
            <w:pStyle w:val="TOC2"/>
            <w:tabs>
              <w:tab w:val="right" w:leader="dot" w:pos="9350"/>
            </w:tabs>
            <w:spacing w:line="360" w:lineRule="auto"/>
            <w:jc w:val="both"/>
            <w:rPr>
              <w:rFonts w:ascii="Arial" w:eastAsiaTheme="minorEastAsia" w:hAnsi="Arial" w:cs="Arial"/>
              <w:noProof/>
              <w:sz w:val="24"/>
              <w:szCs w:val="24"/>
            </w:rPr>
          </w:pPr>
          <w:hyperlink w:anchor="_Toc213946258" w:history="1">
            <w:r w:rsidRPr="00E85DDC">
              <w:rPr>
                <w:rStyle w:val="Hyperlink"/>
                <w:rFonts w:ascii="Arial" w:hAnsi="Arial" w:cs="Arial"/>
                <w:noProof/>
                <w:color w:val="auto"/>
                <w:sz w:val="24"/>
                <w:szCs w:val="24"/>
                <w:lang w:val="en-GB"/>
              </w:rPr>
              <w:t>2.1 Overview of the macro marketing environment</w:t>
            </w:r>
            <w:r w:rsidRPr="00E85DDC">
              <w:rPr>
                <w:rFonts w:ascii="Arial" w:hAnsi="Arial" w:cs="Arial"/>
                <w:noProof/>
                <w:webHidden/>
                <w:sz w:val="24"/>
                <w:szCs w:val="24"/>
              </w:rPr>
              <w:tab/>
            </w:r>
            <w:r w:rsidR="00547922" w:rsidRPr="00E85DDC">
              <w:rPr>
                <w:rFonts w:ascii="Arial" w:hAnsi="Arial" w:cs="Arial"/>
                <w:noProof/>
                <w:webHidden/>
                <w:sz w:val="24"/>
                <w:szCs w:val="24"/>
              </w:rPr>
              <w:fldChar w:fldCharType="begin"/>
            </w:r>
            <w:r w:rsidRPr="00E85DDC">
              <w:rPr>
                <w:rFonts w:ascii="Arial" w:hAnsi="Arial" w:cs="Arial"/>
                <w:noProof/>
                <w:webHidden/>
                <w:sz w:val="24"/>
                <w:szCs w:val="24"/>
              </w:rPr>
              <w:instrText xml:space="preserve"> PAGEREF _Toc213946258 \h </w:instrText>
            </w:r>
            <w:r w:rsidR="00547922" w:rsidRPr="00E85DDC">
              <w:rPr>
                <w:rFonts w:ascii="Arial" w:hAnsi="Arial" w:cs="Arial"/>
                <w:noProof/>
                <w:webHidden/>
                <w:sz w:val="24"/>
                <w:szCs w:val="24"/>
              </w:rPr>
            </w:r>
            <w:r w:rsidR="00547922" w:rsidRPr="00E85DDC">
              <w:rPr>
                <w:rFonts w:ascii="Arial" w:hAnsi="Arial" w:cs="Arial"/>
                <w:noProof/>
                <w:webHidden/>
                <w:sz w:val="24"/>
                <w:szCs w:val="24"/>
              </w:rPr>
              <w:fldChar w:fldCharType="separate"/>
            </w:r>
            <w:r w:rsidRPr="00E85DDC">
              <w:rPr>
                <w:rFonts w:ascii="Arial" w:hAnsi="Arial" w:cs="Arial"/>
                <w:noProof/>
                <w:webHidden/>
                <w:sz w:val="24"/>
                <w:szCs w:val="24"/>
              </w:rPr>
              <w:t>3</w:t>
            </w:r>
            <w:r w:rsidR="00547922" w:rsidRPr="00E85DDC">
              <w:rPr>
                <w:rFonts w:ascii="Arial" w:hAnsi="Arial" w:cs="Arial"/>
                <w:noProof/>
                <w:webHidden/>
                <w:sz w:val="24"/>
                <w:szCs w:val="24"/>
              </w:rPr>
              <w:fldChar w:fldCharType="end"/>
            </w:r>
          </w:hyperlink>
        </w:p>
        <w:p w14:paraId="2B42352F" w14:textId="77777777" w:rsidR="00E85DDC" w:rsidRPr="00E85DDC" w:rsidRDefault="00E85DDC" w:rsidP="00E85DDC">
          <w:pPr>
            <w:pStyle w:val="TOC2"/>
            <w:tabs>
              <w:tab w:val="right" w:leader="dot" w:pos="9350"/>
            </w:tabs>
            <w:spacing w:line="360" w:lineRule="auto"/>
            <w:jc w:val="both"/>
            <w:rPr>
              <w:rFonts w:ascii="Arial" w:eastAsiaTheme="minorEastAsia" w:hAnsi="Arial" w:cs="Arial"/>
              <w:noProof/>
              <w:sz w:val="24"/>
              <w:szCs w:val="24"/>
            </w:rPr>
          </w:pPr>
          <w:hyperlink w:anchor="_Toc213946259" w:history="1">
            <w:r w:rsidRPr="00E85DDC">
              <w:rPr>
                <w:rStyle w:val="Hyperlink"/>
                <w:rFonts w:ascii="Arial" w:hAnsi="Arial" w:cs="Arial"/>
                <w:noProof/>
                <w:color w:val="auto"/>
                <w:sz w:val="24"/>
                <w:szCs w:val="24"/>
                <w:lang w:val="en-GB"/>
              </w:rPr>
              <w:t>2.2 Selection of the two macro marketing actors</w:t>
            </w:r>
            <w:r w:rsidRPr="00E85DDC">
              <w:rPr>
                <w:rFonts w:ascii="Arial" w:hAnsi="Arial" w:cs="Arial"/>
                <w:noProof/>
                <w:webHidden/>
                <w:sz w:val="24"/>
                <w:szCs w:val="24"/>
              </w:rPr>
              <w:tab/>
            </w:r>
            <w:r w:rsidR="00547922" w:rsidRPr="00E85DDC">
              <w:rPr>
                <w:rFonts w:ascii="Arial" w:hAnsi="Arial" w:cs="Arial"/>
                <w:noProof/>
                <w:webHidden/>
                <w:sz w:val="24"/>
                <w:szCs w:val="24"/>
              </w:rPr>
              <w:fldChar w:fldCharType="begin"/>
            </w:r>
            <w:r w:rsidRPr="00E85DDC">
              <w:rPr>
                <w:rFonts w:ascii="Arial" w:hAnsi="Arial" w:cs="Arial"/>
                <w:noProof/>
                <w:webHidden/>
                <w:sz w:val="24"/>
                <w:szCs w:val="24"/>
              </w:rPr>
              <w:instrText xml:space="preserve"> PAGEREF _Toc213946259 \h </w:instrText>
            </w:r>
            <w:r w:rsidR="00547922" w:rsidRPr="00E85DDC">
              <w:rPr>
                <w:rFonts w:ascii="Arial" w:hAnsi="Arial" w:cs="Arial"/>
                <w:noProof/>
                <w:webHidden/>
                <w:sz w:val="24"/>
                <w:szCs w:val="24"/>
              </w:rPr>
            </w:r>
            <w:r w:rsidR="00547922" w:rsidRPr="00E85DDC">
              <w:rPr>
                <w:rFonts w:ascii="Arial" w:hAnsi="Arial" w:cs="Arial"/>
                <w:noProof/>
                <w:webHidden/>
                <w:sz w:val="24"/>
                <w:szCs w:val="24"/>
              </w:rPr>
              <w:fldChar w:fldCharType="separate"/>
            </w:r>
            <w:r w:rsidRPr="00E85DDC">
              <w:rPr>
                <w:rFonts w:ascii="Arial" w:hAnsi="Arial" w:cs="Arial"/>
                <w:noProof/>
                <w:webHidden/>
                <w:sz w:val="24"/>
                <w:szCs w:val="24"/>
              </w:rPr>
              <w:t>5</w:t>
            </w:r>
            <w:r w:rsidR="00547922" w:rsidRPr="00E85DDC">
              <w:rPr>
                <w:rFonts w:ascii="Arial" w:hAnsi="Arial" w:cs="Arial"/>
                <w:noProof/>
                <w:webHidden/>
                <w:sz w:val="24"/>
                <w:szCs w:val="24"/>
              </w:rPr>
              <w:fldChar w:fldCharType="end"/>
            </w:r>
          </w:hyperlink>
        </w:p>
        <w:p w14:paraId="25FF04B9" w14:textId="77777777" w:rsidR="00E85DDC" w:rsidRPr="00E85DDC" w:rsidRDefault="00E85DDC" w:rsidP="00E85DDC">
          <w:pPr>
            <w:pStyle w:val="TOC2"/>
            <w:tabs>
              <w:tab w:val="right" w:leader="dot" w:pos="9350"/>
            </w:tabs>
            <w:spacing w:line="360" w:lineRule="auto"/>
            <w:jc w:val="both"/>
            <w:rPr>
              <w:rFonts w:ascii="Arial" w:eastAsiaTheme="minorEastAsia" w:hAnsi="Arial" w:cs="Arial"/>
              <w:noProof/>
              <w:sz w:val="24"/>
              <w:szCs w:val="24"/>
            </w:rPr>
          </w:pPr>
          <w:hyperlink w:anchor="_Toc213946260" w:history="1">
            <w:r w:rsidRPr="00E85DDC">
              <w:rPr>
                <w:rStyle w:val="Hyperlink"/>
                <w:rFonts w:ascii="Arial" w:hAnsi="Arial" w:cs="Arial"/>
                <w:noProof/>
                <w:color w:val="auto"/>
                <w:sz w:val="24"/>
                <w:szCs w:val="24"/>
                <w:lang w:val="en-GB"/>
              </w:rPr>
              <w:t>2.3 Critical analysis of each actor</w:t>
            </w:r>
            <w:r w:rsidRPr="00E85DDC">
              <w:rPr>
                <w:rFonts w:ascii="Arial" w:hAnsi="Arial" w:cs="Arial"/>
                <w:noProof/>
                <w:webHidden/>
                <w:sz w:val="24"/>
                <w:szCs w:val="24"/>
              </w:rPr>
              <w:tab/>
            </w:r>
            <w:r w:rsidR="00547922" w:rsidRPr="00E85DDC">
              <w:rPr>
                <w:rFonts w:ascii="Arial" w:hAnsi="Arial" w:cs="Arial"/>
                <w:noProof/>
                <w:webHidden/>
                <w:sz w:val="24"/>
                <w:szCs w:val="24"/>
              </w:rPr>
              <w:fldChar w:fldCharType="begin"/>
            </w:r>
            <w:r w:rsidRPr="00E85DDC">
              <w:rPr>
                <w:rFonts w:ascii="Arial" w:hAnsi="Arial" w:cs="Arial"/>
                <w:noProof/>
                <w:webHidden/>
                <w:sz w:val="24"/>
                <w:szCs w:val="24"/>
              </w:rPr>
              <w:instrText xml:space="preserve"> PAGEREF _Toc213946260 \h </w:instrText>
            </w:r>
            <w:r w:rsidR="00547922" w:rsidRPr="00E85DDC">
              <w:rPr>
                <w:rFonts w:ascii="Arial" w:hAnsi="Arial" w:cs="Arial"/>
                <w:noProof/>
                <w:webHidden/>
                <w:sz w:val="24"/>
                <w:szCs w:val="24"/>
              </w:rPr>
            </w:r>
            <w:r w:rsidR="00547922" w:rsidRPr="00E85DDC">
              <w:rPr>
                <w:rFonts w:ascii="Arial" w:hAnsi="Arial" w:cs="Arial"/>
                <w:noProof/>
                <w:webHidden/>
                <w:sz w:val="24"/>
                <w:szCs w:val="24"/>
              </w:rPr>
              <w:fldChar w:fldCharType="separate"/>
            </w:r>
            <w:r w:rsidRPr="00E85DDC">
              <w:rPr>
                <w:rFonts w:ascii="Arial" w:hAnsi="Arial" w:cs="Arial"/>
                <w:noProof/>
                <w:webHidden/>
                <w:sz w:val="24"/>
                <w:szCs w:val="24"/>
              </w:rPr>
              <w:t>6</w:t>
            </w:r>
            <w:r w:rsidR="00547922" w:rsidRPr="00E85DDC">
              <w:rPr>
                <w:rFonts w:ascii="Arial" w:hAnsi="Arial" w:cs="Arial"/>
                <w:noProof/>
                <w:webHidden/>
                <w:sz w:val="24"/>
                <w:szCs w:val="24"/>
              </w:rPr>
              <w:fldChar w:fldCharType="end"/>
            </w:r>
          </w:hyperlink>
        </w:p>
        <w:p w14:paraId="436503F9" w14:textId="77777777" w:rsidR="00E85DDC" w:rsidRPr="00E85DDC" w:rsidRDefault="00E85DDC" w:rsidP="00E85DDC">
          <w:pPr>
            <w:pStyle w:val="TOC1"/>
            <w:tabs>
              <w:tab w:val="right" w:leader="dot" w:pos="9350"/>
            </w:tabs>
            <w:spacing w:line="360" w:lineRule="auto"/>
            <w:jc w:val="both"/>
            <w:rPr>
              <w:rFonts w:ascii="Arial" w:eastAsiaTheme="minorEastAsia" w:hAnsi="Arial" w:cs="Arial"/>
              <w:noProof/>
              <w:sz w:val="24"/>
              <w:szCs w:val="24"/>
            </w:rPr>
          </w:pPr>
          <w:hyperlink w:anchor="_Toc213946261" w:history="1">
            <w:r w:rsidRPr="00E85DDC">
              <w:rPr>
                <w:rStyle w:val="Hyperlink"/>
                <w:rFonts w:ascii="Arial" w:hAnsi="Arial" w:cs="Arial"/>
                <w:noProof/>
                <w:color w:val="auto"/>
                <w:sz w:val="24"/>
                <w:szCs w:val="24"/>
                <w:lang w:val="en-GB"/>
              </w:rPr>
              <w:t>3. Strategic responses of pioneering and follower organisations</w:t>
            </w:r>
            <w:r w:rsidRPr="00E85DDC">
              <w:rPr>
                <w:rFonts w:ascii="Arial" w:hAnsi="Arial" w:cs="Arial"/>
                <w:noProof/>
                <w:webHidden/>
                <w:sz w:val="24"/>
                <w:szCs w:val="24"/>
              </w:rPr>
              <w:tab/>
            </w:r>
            <w:r w:rsidR="00547922" w:rsidRPr="00E85DDC">
              <w:rPr>
                <w:rFonts w:ascii="Arial" w:hAnsi="Arial" w:cs="Arial"/>
                <w:noProof/>
                <w:webHidden/>
                <w:sz w:val="24"/>
                <w:szCs w:val="24"/>
              </w:rPr>
              <w:fldChar w:fldCharType="begin"/>
            </w:r>
            <w:r w:rsidRPr="00E85DDC">
              <w:rPr>
                <w:rFonts w:ascii="Arial" w:hAnsi="Arial" w:cs="Arial"/>
                <w:noProof/>
                <w:webHidden/>
                <w:sz w:val="24"/>
                <w:szCs w:val="24"/>
              </w:rPr>
              <w:instrText xml:space="preserve"> PAGEREF _Toc213946261 \h </w:instrText>
            </w:r>
            <w:r w:rsidR="00547922" w:rsidRPr="00E85DDC">
              <w:rPr>
                <w:rFonts w:ascii="Arial" w:hAnsi="Arial" w:cs="Arial"/>
                <w:noProof/>
                <w:webHidden/>
                <w:sz w:val="24"/>
                <w:szCs w:val="24"/>
              </w:rPr>
            </w:r>
            <w:r w:rsidR="00547922" w:rsidRPr="00E85DDC">
              <w:rPr>
                <w:rFonts w:ascii="Arial" w:hAnsi="Arial" w:cs="Arial"/>
                <w:noProof/>
                <w:webHidden/>
                <w:sz w:val="24"/>
                <w:szCs w:val="24"/>
              </w:rPr>
              <w:fldChar w:fldCharType="separate"/>
            </w:r>
            <w:r w:rsidRPr="00E85DDC">
              <w:rPr>
                <w:rFonts w:ascii="Arial" w:hAnsi="Arial" w:cs="Arial"/>
                <w:noProof/>
                <w:webHidden/>
                <w:sz w:val="24"/>
                <w:szCs w:val="24"/>
              </w:rPr>
              <w:t>8</w:t>
            </w:r>
            <w:r w:rsidR="00547922" w:rsidRPr="00E85DDC">
              <w:rPr>
                <w:rFonts w:ascii="Arial" w:hAnsi="Arial" w:cs="Arial"/>
                <w:noProof/>
                <w:webHidden/>
                <w:sz w:val="24"/>
                <w:szCs w:val="24"/>
              </w:rPr>
              <w:fldChar w:fldCharType="end"/>
            </w:r>
          </w:hyperlink>
        </w:p>
        <w:p w14:paraId="15564E56" w14:textId="77777777" w:rsidR="00E85DDC" w:rsidRPr="00E85DDC" w:rsidRDefault="00E85DDC" w:rsidP="00E85DDC">
          <w:pPr>
            <w:pStyle w:val="TOC2"/>
            <w:tabs>
              <w:tab w:val="right" w:leader="dot" w:pos="9350"/>
            </w:tabs>
            <w:spacing w:line="360" w:lineRule="auto"/>
            <w:jc w:val="both"/>
            <w:rPr>
              <w:rFonts w:ascii="Arial" w:eastAsiaTheme="minorEastAsia" w:hAnsi="Arial" w:cs="Arial"/>
              <w:noProof/>
              <w:sz w:val="24"/>
              <w:szCs w:val="24"/>
            </w:rPr>
          </w:pPr>
          <w:hyperlink w:anchor="_Toc213946262" w:history="1">
            <w:r w:rsidRPr="00E85DDC">
              <w:rPr>
                <w:rStyle w:val="Hyperlink"/>
                <w:rFonts w:ascii="Arial" w:hAnsi="Arial" w:cs="Arial"/>
                <w:noProof/>
                <w:color w:val="auto"/>
                <w:sz w:val="24"/>
                <w:szCs w:val="24"/>
                <w:lang w:val="en-GB"/>
              </w:rPr>
              <w:t>3.1 Pioneering organisation’s strategic responses</w:t>
            </w:r>
            <w:r w:rsidRPr="00E85DDC">
              <w:rPr>
                <w:rFonts w:ascii="Arial" w:hAnsi="Arial" w:cs="Arial"/>
                <w:noProof/>
                <w:webHidden/>
                <w:sz w:val="24"/>
                <w:szCs w:val="24"/>
              </w:rPr>
              <w:tab/>
            </w:r>
            <w:r w:rsidR="00547922" w:rsidRPr="00E85DDC">
              <w:rPr>
                <w:rFonts w:ascii="Arial" w:hAnsi="Arial" w:cs="Arial"/>
                <w:noProof/>
                <w:webHidden/>
                <w:sz w:val="24"/>
                <w:szCs w:val="24"/>
              </w:rPr>
              <w:fldChar w:fldCharType="begin"/>
            </w:r>
            <w:r w:rsidRPr="00E85DDC">
              <w:rPr>
                <w:rFonts w:ascii="Arial" w:hAnsi="Arial" w:cs="Arial"/>
                <w:noProof/>
                <w:webHidden/>
                <w:sz w:val="24"/>
                <w:szCs w:val="24"/>
              </w:rPr>
              <w:instrText xml:space="preserve"> PAGEREF _Toc213946262 \h </w:instrText>
            </w:r>
            <w:r w:rsidR="00547922" w:rsidRPr="00E85DDC">
              <w:rPr>
                <w:rFonts w:ascii="Arial" w:hAnsi="Arial" w:cs="Arial"/>
                <w:noProof/>
                <w:webHidden/>
                <w:sz w:val="24"/>
                <w:szCs w:val="24"/>
              </w:rPr>
            </w:r>
            <w:r w:rsidR="00547922" w:rsidRPr="00E85DDC">
              <w:rPr>
                <w:rFonts w:ascii="Arial" w:hAnsi="Arial" w:cs="Arial"/>
                <w:noProof/>
                <w:webHidden/>
                <w:sz w:val="24"/>
                <w:szCs w:val="24"/>
              </w:rPr>
              <w:fldChar w:fldCharType="separate"/>
            </w:r>
            <w:r w:rsidRPr="00E85DDC">
              <w:rPr>
                <w:rFonts w:ascii="Arial" w:hAnsi="Arial" w:cs="Arial"/>
                <w:noProof/>
                <w:webHidden/>
                <w:sz w:val="24"/>
                <w:szCs w:val="24"/>
              </w:rPr>
              <w:t>8</w:t>
            </w:r>
            <w:r w:rsidR="00547922" w:rsidRPr="00E85DDC">
              <w:rPr>
                <w:rFonts w:ascii="Arial" w:hAnsi="Arial" w:cs="Arial"/>
                <w:noProof/>
                <w:webHidden/>
                <w:sz w:val="24"/>
                <w:szCs w:val="24"/>
              </w:rPr>
              <w:fldChar w:fldCharType="end"/>
            </w:r>
          </w:hyperlink>
        </w:p>
        <w:p w14:paraId="2B07FBC8" w14:textId="77777777" w:rsidR="00E85DDC" w:rsidRPr="00E85DDC" w:rsidRDefault="00E85DDC" w:rsidP="00E85DDC">
          <w:pPr>
            <w:pStyle w:val="TOC2"/>
            <w:tabs>
              <w:tab w:val="right" w:leader="dot" w:pos="9350"/>
            </w:tabs>
            <w:spacing w:line="360" w:lineRule="auto"/>
            <w:jc w:val="both"/>
            <w:rPr>
              <w:rFonts w:ascii="Arial" w:eastAsiaTheme="minorEastAsia" w:hAnsi="Arial" w:cs="Arial"/>
              <w:noProof/>
              <w:sz w:val="24"/>
              <w:szCs w:val="24"/>
            </w:rPr>
          </w:pPr>
          <w:hyperlink w:anchor="_Toc213946263" w:history="1">
            <w:r w:rsidRPr="00E85DDC">
              <w:rPr>
                <w:rStyle w:val="Hyperlink"/>
                <w:rFonts w:ascii="Arial" w:hAnsi="Arial" w:cs="Arial"/>
                <w:noProof/>
                <w:color w:val="auto"/>
                <w:sz w:val="24"/>
                <w:szCs w:val="24"/>
                <w:lang w:val="en-GB"/>
              </w:rPr>
              <w:t>3.2 Follower organisation’s strategic responses</w:t>
            </w:r>
            <w:r w:rsidRPr="00E85DDC">
              <w:rPr>
                <w:rFonts w:ascii="Arial" w:hAnsi="Arial" w:cs="Arial"/>
                <w:noProof/>
                <w:webHidden/>
                <w:sz w:val="24"/>
                <w:szCs w:val="24"/>
              </w:rPr>
              <w:tab/>
            </w:r>
            <w:r w:rsidR="00547922" w:rsidRPr="00E85DDC">
              <w:rPr>
                <w:rFonts w:ascii="Arial" w:hAnsi="Arial" w:cs="Arial"/>
                <w:noProof/>
                <w:webHidden/>
                <w:sz w:val="24"/>
                <w:szCs w:val="24"/>
              </w:rPr>
              <w:fldChar w:fldCharType="begin"/>
            </w:r>
            <w:r w:rsidRPr="00E85DDC">
              <w:rPr>
                <w:rFonts w:ascii="Arial" w:hAnsi="Arial" w:cs="Arial"/>
                <w:noProof/>
                <w:webHidden/>
                <w:sz w:val="24"/>
                <w:szCs w:val="24"/>
              </w:rPr>
              <w:instrText xml:space="preserve"> PAGEREF _Toc213946263 \h </w:instrText>
            </w:r>
            <w:r w:rsidR="00547922" w:rsidRPr="00E85DDC">
              <w:rPr>
                <w:rFonts w:ascii="Arial" w:hAnsi="Arial" w:cs="Arial"/>
                <w:noProof/>
                <w:webHidden/>
                <w:sz w:val="24"/>
                <w:szCs w:val="24"/>
              </w:rPr>
            </w:r>
            <w:r w:rsidR="00547922" w:rsidRPr="00E85DDC">
              <w:rPr>
                <w:rFonts w:ascii="Arial" w:hAnsi="Arial" w:cs="Arial"/>
                <w:noProof/>
                <w:webHidden/>
                <w:sz w:val="24"/>
                <w:szCs w:val="24"/>
              </w:rPr>
              <w:fldChar w:fldCharType="separate"/>
            </w:r>
            <w:r w:rsidRPr="00E85DDC">
              <w:rPr>
                <w:rFonts w:ascii="Arial" w:hAnsi="Arial" w:cs="Arial"/>
                <w:noProof/>
                <w:webHidden/>
                <w:sz w:val="24"/>
                <w:szCs w:val="24"/>
              </w:rPr>
              <w:t>9</w:t>
            </w:r>
            <w:r w:rsidR="00547922" w:rsidRPr="00E85DDC">
              <w:rPr>
                <w:rFonts w:ascii="Arial" w:hAnsi="Arial" w:cs="Arial"/>
                <w:noProof/>
                <w:webHidden/>
                <w:sz w:val="24"/>
                <w:szCs w:val="24"/>
              </w:rPr>
              <w:fldChar w:fldCharType="end"/>
            </w:r>
          </w:hyperlink>
        </w:p>
        <w:p w14:paraId="6C52E685" w14:textId="77777777" w:rsidR="00E85DDC" w:rsidRPr="00E85DDC" w:rsidRDefault="00E85DDC" w:rsidP="00E85DDC">
          <w:pPr>
            <w:pStyle w:val="TOC1"/>
            <w:tabs>
              <w:tab w:val="right" w:leader="dot" w:pos="9350"/>
            </w:tabs>
            <w:spacing w:line="360" w:lineRule="auto"/>
            <w:jc w:val="both"/>
            <w:rPr>
              <w:rFonts w:ascii="Arial" w:eastAsiaTheme="minorEastAsia" w:hAnsi="Arial" w:cs="Arial"/>
              <w:noProof/>
              <w:sz w:val="24"/>
              <w:szCs w:val="24"/>
            </w:rPr>
          </w:pPr>
          <w:hyperlink w:anchor="_Toc213946264" w:history="1">
            <w:r w:rsidRPr="00E85DDC">
              <w:rPr>
                <w:rStyle w:val="Hyperlink"/>
                <w:rFonts w:ascii="Arial" w:hAnsi="Arial" w:cs="Arial"/>
                <w:noProof/>
                <w:color w:val="auto"/>
                <w:sz w:val="24"/>
                <w:szCs w:val="24"/>
                <w:lang w:val="en-GB"/>
              </w:rPr>
              <w:t>4. Conclusion</w:t>
            </w:r>
            <w:r w:rsidRPr="00E85DDC">
              <w:rPr>
                <w:rFonts w:ascii="Arial" w:hAnsi="Arial" w:cs="Arial"/>
                <w:noProof/>
                <w:webHidden/>
                <w:sz w:val="24"/>
                <w:szCs w:val="24"/>
              </w:rPr>
              <w:tab/>
            </w:r>
            <w:r w:rsidR="00547922" w:rsidRPr="00E85DDC">
              <w:rPr>
                <w:rFonts w:ascii="Arial" w:hAnsi="Arial" w:cs="Arial"/>
                <w:noProof/>
                <w:webHidden/>
                <w:sz w:val="24"/>
                <w:szCs w:val="24"/>
              </w:rPr>
              <w:fldChar w:fldCharType="begin"/>
            </w:r>
            <w:r w:rsidRPr="00E85DDC">
              <w:rPr>
                <w:rFonts w:ascii="Arial" w:hAnsi="Arial" w:cs="Arial"/>
                <w:noProof/>
                <w:webHidden/>
                <w:sz w:val="24"/>
                <w:szCs w:val="24"/>
              </w:rPr>
              <w:instrText xml:space="preserve"> PAGEREF _Toc213946264 \h </w:instrText>
            </w:r>
            <w:r w:rsidR="00547922" w:rsidRPr="00E85DDC">
              <w:rPr>
                <w:rFonts w:ascii="Arial" w:hAnsi="Arial" w:cs="Arial"/>
                <w:noProof/>
                <w:webHidden/>
                <w:sz w:val="24"/>
                <w:szCs w:val="24"/>
              </w:rPr>
            </w:r>
            <w:r w:rsidR="00547922" w:rsidRPr="00E85DDC">
              <w:rPr>
                <w:rFonts w:ascii="Arial" w:hAnsi="Arial" w:cs="Arial"/>
                <w:noProof/>
                <w:webHidden/>
                <w:sz w:val="24"/>
                <w:szCs w:val="24"/>
              </w:rPr>
              <w:fldChar w:fldCharType="separate"/>
            </w:r>
            <w:r w:rsidRPr="00E85DDC">
              <w:rPr>
                <w:rFonts w:ascii="Arial" w:hAnsi="Arial" w:cs="Arial"/>
                <w:noProof/>
                <w:webHidden/>
                <w:sz w:val="24"/>
                <w:szCs w:val="24"/>
              </w:rPr>
              <w:t>10</w:t>
            </w:r>
            <w:r w:rsidR="00547922" w:rsidRPr="00E85DDC">
              <w:rPr>
                <w:rFonts w:ascii="Arial" w:hAnsi="Arial" w:cs="Arial"/>
                <w:noProof/>
                <w:webHidden/>
                <w:sz w:val="24"/>
                <w:szCs w:val="24"/>
              </w:rPr>
              <w:fldChar w:fldCharType="end"/>
            </w:r>
          </w:hyperlink>
        </w:p>
        <w:p w14:paraId="4362655E" w14:textId="77777777" w:rsidR="00E85DDC" w:rsidRPr="00E85DDC" w:rsidRDefault="00E85DDC" w:rsidP="00E85DDC">
          <w:pPr>
            <w:pStyle w:val="TOC1"/>
            <w:tabs>
              <w:tab w:val="right" w:leader="dot" w:pos="9350"/>
            </w:tabs>
            <w:spacing w:line="360" w:lineRule="auto"/>
            <w:jc w:val="both"/>
            <w:rPr>
              <w:rFonts w:ascii="Arial" w:eastAsiaTheme="minorEastAsia" w:hAnsi="Arial" w:cs="Arial"/>
              <w:noProof/>
              <w:sz w:val="24"/>
              <w:szCs w:val="24"/>
            </w:rPr>
          </w:pPr>
          <w:hyperlink w:anchor="_Toc213946265" w:history="1">
            <w:r w:rsidRPr="00E85DDC">
              <w:rPr>
                <w:rStyle w:val="Hyperlink"/>
                <w:rFonts w:ascii="Arial" w:hAnsi="Arial" w:cs="Arial"/>
                <w:noProof/>
                <w:color w:val="auto"/>
                <w:sz w:val="24"/>
                <w:szCs w:val="24"/>
                <w:lang w:val="en-GB"/>
              </w:rPr>
              <w:t>References</w:t>
            </w:r>
            <w:r w:rsidRPr="00E85DDC">
              <w:rPr>
                <w:rFonts w:ascii="Arial" w:hAnsi="Arial" w:cs="Arial"/>
                <w:noProof/>
                <w:webHidden/>
                <w:sz w:val="24"/>
                <w:szCs w:val="24"/>
              </w:rPr>
              <w:tab/>
            </w:r>
            <w:r w:rsidR="00547922" w:rsidRPr="00E85DDC">
              <w:rPr>
                <w:rFonts w:ascii="Arial" w:hAnsi="Arial" w:cs="Arial"/>
                <w:noProof/>
                <w:webHidden/>
                <w:sz w:val="24"/>
                <w:szCs w:val="24"/>
              </w:rPr>
              <w:fldChar w:fldCharType="begin"/>
            </w:r>
            <w:r w:rsidRPr="00E85DDC">
              <w:rPr>
                <w:rFonts w:ascii="Arial" w:hAnsi="Arial" w:cs="Arial"/>
                <w:noProof/>
                <w:webHidden/>
                <w:sz w:val="24"/>
                <w:szCs w:val="24"/>
              </w:rPr>
              <w:instrText xml:space="preserve"> PAGEREF _Toc213946265 \h </w:instrText>
            </w:r>
            <w:r w:rsidR="00547922" w:rsidRPr="00E85DDC">
              <w:rPr>
                <w:rFonts w:ascii="Arial" w:hAnsi="Arial" w:cs="Arial"/>
                <w:noProof/>
                <w:webHidden/>
                <w:sz w:val="24"/>
                <w:szCs w:val="24"/>
              </w:rPr>
            </w:r>
            <w:r w:rsidR="00547922" w:rsidRPr="00E85DDC">
              <w:rPr>
                <w:rFonts w:ascii="Arial" w:hAnsi="Arial" w:cs="Arial"/>
                <w:noProof/>
                <w:webHidden/>
                <w:sz w:val="24"/>
                <w:szCs w:val="24"/>
              </w:rPr>
              <w:fldChar w:fldCharType="separate"/>
            </w:r>
            <w:r w:rsidRPr="00E85DDC">
              <w:rPr>
                <w:rFonts w:ascii="Arial" w:hAnsi="Arial" w:cs="Arial"/>
                <w:noProof/>
                <w:webHidden/>
                <w:sz w:val="24"/>
                <w:szCs w:val="24"/>
              </w:rPr>
              <w:t>12</w:t>
            </w:r>
            <w:r w:rsidR="00547922" w:rsidRPr="00E85DDC">
              <w:rPr>
                <w:rFonts w:ascii="Arial" w:hAnsi="Arial" w:cs="Arial"/>
                <w:noProof/>
                <w:webHidden/>
                <w:sz w:val="24"/>
                <w:szCs w:val="24"/>
              </w:rPr>
              <w:fldChar w:fldCharType="end"/>
            </w:r>
          </w:hyperlink>
        </w:p>
        <w:p w14:paraId="30D7941A" w14:textId="77777777" w:rsidR="00B16EB0" w:rsidRDefault="00547922" w:rsidP="00E85DDC">
          <w:pPr>
            <w:spacing w:line="360" w:lineRule="auto"/>
            <w:jc w:val="both"/>
          </w:pPr>
          <w:r w:rsidRPr="00E85DDC">
            <w:rPr>
              <w:rFonts w:ascii="Arial" w:hAnsi="Arial" w:cs="Arial"/>
              <w:sz w:val="24"/>
              <w:szCs w:val="24"/>
            </w:rPr>
            <w:fldChar w:fldCharType="end"/>
          </w:r>
        </w:p>
      </w:sdtContent>
    </w:sdt>
    <w:p w14:paraId="595971D3" w14:textId="77777777" w:rsidR="002968D9" w:rsidRPr="00491BF2" w:rsidRDefault="002968D9" w:rsidP="006561C4">
      <w:pPr>
        <w:jc w:val="center"/>
        <w:rPr>
          <w:rFonts w:ascii="Arial" w:hAnsi="Arial" w:cs="Arial"/>
          <w:b/>
          <w:bCs/>
          <w:sz w:val="32"/>
          <w:szCs w:val="32"/>
          <w:lang w:val="en-GB"/>
        </w:rPr>
      </w:pPr>
    </w:p>
    <w:p w14:paraId="57709753" w14:textId="77777777" w:rsidR="002968D9" w:rsidRPr="00491BF2" w:rsidRDefault="002968D9">
      <w:pPr>
        <w:rPr>
          <w:rFonts w:ascii="Arial" w:hAnsi="Arial" w:cs="Arial"/>
          <w:b/>
          <w:bCs/>
          <w:sz w:val="32"/>
          <w:szCs w:val="32"/>
          <w:lang w:val="en-GB"/>
        </w:rPr>
      </w:pPr>
      <w:r w:rsidRPr="00491BF2">
        <w:rPr>
          <w:rFonts w:ascii="Arial" w:hAnsi="Arial" w:cs="Arial"/>
          <w:b/>
          <w:bCs/>
          <w:sz w:val="32"/>
          <w:szCs w:val="32"/>
          <w:lang w:val="en-GB"/>
        </w:rPr>
        <w:br w:type="page"/>
      </w:r>
    </w:p>
    <w:p w14:paraId="156A25AB" w14:textId="77777777" w:rsidR="006561C4" w:rsidRPr="00491BF2" w:rsidRDefault="00623EE9" w:rsidP="00E85DDC">
      <w:pPr>
        <w:pStyle w:val="Heading1"/>
        <w:rPr>
          <w:lang w:val="en-GB"/>
        </w:rPr>
      </w:pPr>
      <w:bookmarkStart w:id="0" w:name="_Toc213701466"/>
      <w:bookmarkStart w:id="1" w:name="_Toc213946256"/>
      <w:r w:rsidRPr="00491BF2">
        <w:rPr>
          <w:lang w:val="en-GB"/>
        </w:rPr>
        <w:lastRenderedPageBreak/>
        <w:t>1. Introduction</w:t>
      </w:r>
      <w:bookmarkEnd w:id="0"/>
      <w:bookmarkEnd w:id="1"/>
    </w:p>
    <w:p w14:paraId="2433D4C9" w14:textId="77777777" w:rsidR="00553CA7" w:rsidRDefault="00712254" w:rsidP="00623EE9">
      <w:pPr>
        <w:spacing w:line="360" w:lineRule="auto"/>
        <w:jc w:val="both"/>
        <w:rPr>
          <w:rFonts w:ascii="Arial" w:hAnsi="Arial" w:cs="Arial"/>
          <w:sz w:val="24"/>
          <w:lang w:val="en-GB"/>
        </w:rPr>
      </w:pPr>
      <w:r w:rsidRPr="00712254">
        <w:rPr>
          <w:rFonts w:ascii="Arial" w:hAnsi="Arial" w:cs="Arial"/>
          <w:sz w:val="24"/>
          <w:lang w:val="en-GB"/>
        </w:rPr>
        <w:t>The purpose of the report is to evaluate the marketing environment analysis of a pioneering company of the global automobile industry and its follower company. It is related to strategic marketing management and assessing the importance of external macro marketing factors. It will show how the decision-making of a business can be strengthened based on the environmental analysis, resulting in better strategic decision-making.</w:t>
      </w:r>
      <w:r>
        <w:rPr>
          <w:rFonts w:ascii="Arial" w:hAnsi="Arial" w:cs="Arial"/>
          <w:sz w:val="24"/>
          <w:lang w:val="en-GB"/>
        </w:rPr>
        <w:t xml:space="preserve"> </w:t>
      </w:r>
      <w:r w:rsidR="00553CA7" w:rsidRPr="00491BF2">
        <w:rPr>
          <w:rFonts w:ascii="Arial" w:hAnsi="Arial" w:cs="Arial"/>
          <w:sz w:val="24"/>
          <w:lang w:val="en-GB"/>
        </w:rPr>
        <w:t>The current report will critically analyse the marketing strategies of BMW, a multinational motor vehicle manufacturer based in Germany. The company's presence in the UK will be evaluated to highlight its effective marketing strategies.</w:t>
      </w:r>
      <w:r w:rsidR="00753DB4" w:rsidRPr="00491BF2">
        <w:rPr>
          <w:rFonts w:ascii="Arial" w:hAnsi="Arial" w:cs="Arial"/>
          <w:sz w:val="24"/>
          <w:lang w:val="en-GB"/>
        </w:rPr>
        <w:t xml:space="preserve"> The pioneer company is BMW and the follower company is </w:t>
      </w:r>
      <w:proofErr w:type="spellStart"/>
      <w:r w:rsidR="00753DB4" w:rsidRPr="00491BF2">
        <w:rPr>
          <w:rFonts w:ascii="Arial" w:hAnsi="Arial" w:cs="Arial"/>
          <w:sz w:val="24"/>
          <w:lang w:val="en-GB"/>
        </w:rPr>
        <w:t>VinFast</w:t>
      </w:r>
      <w:proofErr w:type="spellEnd"/>
      <w:r w:rsidR="00753DB4" w:rsidRPr="00491BF2">
        <w:rPr>
          <w:rFonts w:ascii="Arial" w:hAnsi="Arial" w:cs="Arial"/>
          <w:sz w:val="24"/>
          <w:lang w:val="en-GB"/>
        </w:rPr>
        <w:t xml:space="preserve"> which is a Vietnam based automobile company. </w:t>
      </w:r>
    </w:p>
    <w:p w14:paraId="7376D751" w14:textId="77777777" w:rsidR="00712254" w:rsidRPr="00491BF2" w:rsidRDefault="00712254" w:rsidP="00623EE9">
      <w:pPr>
        <w:spacing w:line="360" w:lineRule="auto"/>
        <w:jc w:val="both"/>
        <w:rPr>
          <w:rFonts w:ascii="Arial" w:hAnsi="Arial" w:cs="Arial"/>
          <w:sz w:val="24"/>
          <w:lang w:val="en-GB"/>
        </w:rPr>
      </w:pPr>
      <w:r w:rsidRPr="00712254">
        <w:rPr>
          <w:rFonts w:ascii="Arial" w:hAnsi="Arial" w:cs="Arial"/>
          <w:sz w:val="24"/>
          <w:lang w:val="en-GB"/>
        </w:rPr>
        <w:t xml:space="preserve">The analysis of the macro marketing environment is crucial in terms of strategic decision-making as it helps in identifying market threats and opportunities (Nair and Gupta, 2021). It enables organisations to cope with the changing market conditions so that future market shifts can be better anticipated. External forces, such as political, economic, and technological factors, can provide companies with better information to support operational decision-making. Hence, the report will discuss the environment of macro marketing related to BMW operations in the UK in Task 1. It will lead to the discussion of strategic responses of BMW as a pioneering organisation and </w:t>
      </w:r>
      <w:proofErr w:type="spellStart"/>
      <w:r w:rsidRPr="00712254">
        <w:rPr>
          <w:rFonts w:ascii="Arial" w:hAnsi="Arial" w:cs="Arial"/>
          <w:sz w:val="24"/>
          <w:lang w:val="en-GB"/>
        </w:rPr>
        <w:t>VinFast</w:t>
      </w:r>
      <w:proofErr w:type="spellEnd"/>
      <w:r w:rsidRPr="00712254">
        <w:rPr>
          <w:rFonts w:ascii="Arial" w:hAnsi="Arial" w:cs="Arial"/>
          <w:sz w:val="24"/>
          <w:lang w:val="en-GB"/>
        </w:rPr>
        <w:t xml:space="preserve"> as a follower organisation using relevant strategic models in Task 2. The analysis will be supported by real-world industry examples to clearly illustrate the strategic adaptations that offer these companies sustained competitiveness.</w:t>
      </w:r>
    </w:p>
    <w:p w14:paraId="312F3663" w14:textId="77777777" w:rsidR="00623EE9" w:rsidRPr="00491BF2" w:rsidRDefault="00623EE9" w:rsidP="002968D9">
      <w:pPr>
        <w:pStyle w:val="Heading1"/>
        <w:rPr>
          <w:lang w:val="en-GB"/>
        </w:rPr>
      </w:pPr>
      <w:bookmarkStart w:id="2" w:name="_Toc213701467"/>
      <w:bookmarkStart w:id="3" w:name="_Toc213946257"/>
      <w:r w:rsidRPr="00491BF2">
        <w:rPr>
          <w:lang w:val="en-GB"/>
        </w:rPr>
        <w:t>2. Task 1: Critical analysis of the macro marketing environment</w:t>
      </w:r>
      <w:bookmarkEnd w:id="2"/>
      <w:bookmarkEnd w:id="3"/>
    </w:p>
    <w:p w14:paraId="7B464675" w14:textId="77777777" w:rsidR="00623EE9" w:rsidRDefault="00623EE9" w:rsidP="002968D9">
      <w:pPr>
        <w:pStyle w:val="Heading2"/>
        <w:rPr>
          <w:lang w:val="en-GB"/>
        </w:rPr>
      </w:pPr>
      <w:bookmarkStart w:id="4" w:name="_Toc213701468"/>
      <w:bookmarkStart w:id="5" w:name="_Toc213946258"/>
      <w:r w:rsidRPr="00491BF2">
        <w:rPr>
          <w:lang w:val="en-GB"/>
        </w:rPr>
        <w:t>2.1 Overview of the macro marketing environment</w:t>
      </w:r>
      <w:bookmarkEnd w:id="4"/>
      <w:bookmarkEnd w:id="5"/>
    </w:p>
    <w:p w14:paraId="5209F62E" w14:textId="77777777" w:rsidR="003C1716" w:rsidRPr="003C1716" w:rsidRDefault="003C1716" w:rsidP="003C1716">
      <w:pPr>
        <w:spacing w:line="360" w:lineRule="auto"/>
        <w:jc w:val="both"/>
        <w:rPr>
          <w:rFonts w:ascii="Arial" w:hAnsi="Arial" w:cs="Arial"/>
          <w:lang w:val="en-GB"/>
        </w:rPr>
      </w:pPr>
      <w:r w:rsidRPr="003C1716">
        <w:rPr>
          <w:rFonts w:ascii="Arial" w:hAnsi="Arial" w:cs="Arial"/>
          <w:sz w:val="24"/>
          <w:szCs w:val="24"/>
          <w:lang w:val="en-GB"/>
        </w:rPr>
        <w:t xml:space="preserve">Gini and Agala (2023) have described the macro environment for a business as a larger social force that impacts the marketing environment. The working of external forces, such as political, economic, social, legal, and other factors, is important to comprehend as they are important to determine marketing strategies. Hence, these factors can be </w:t>
      </w:r>
      <w:r w:rsidRPr="003C1716">
        <w:rPr>
          <w:rFonts w:ascii="Arial" w:hAnsi="Arial" w:cs="Arial"/>
          <w:sz w:val="24"/>
          <w:szCs w:val="24"/>
          <w:lang w:val="en-GB"/>
        </w:rPr>
        <w:lastRenderedPageBreak/>
        <w:t>regarded as uncontrollable and necessitate a proactive approach to identifying market opportunities and threats.</w:t>
      </w:r>
    </w:p>
    <w:tbl>
      <w:tblPr>
        <w:tblStyle w:val="Table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00"/>
        <w:gridCol w:w="5760"/>
      </w:tblGrid>
      <w:tr w:rsidR="00553CA7" w:rsidRPr="00491BF2" w14:paraId="753543B7" w14:textId="77777777" w:rsidTr="00553CA7">
        <w:trPr>
          <w:cantSplit/>
          <w:tblHeader/>
          <w:jc w:val="center"/>
        </w:trPr>
        <w:tc>
          <w:tcPr>
            <w:tcW w:w="3600" w:type="dxa"/>
            <w:tcMar>
              <w:top w:w="100" w:type="dxa"/>
              <w:left w:w="100" w:type="dxa"/>
              <w:bottom w:w="100" w:type="dxa"/>
              <w:right w:w="100" w:type="dxa"/>
            </w:tcMar>
          </w:tcPr>
          <w:p w14:paraId="63363054" w14:textId="77777777" w:rsidR="00553CA7" w:rsidRPr="00491BF2" w:rsidRDefault="00553CA7" w:rsidP="00C433B6">
            <w:pPr>
              <w:widowControl w:val="0"/>
              <w:pBdr>
                <w:top w:val="nil"/>
                <w:left w:val="nil"/>
                <w:bottom w:val="nil"/>
                <w:right w:val="nil"/>
                <w:between w:val="nil"/>
              </w:pBdr>
              <w:spacing w:line="360" w:lineRule="auto"/>
              <w:jc w:val="center"/>
              <w:rPr>
                <w:rFonts w:eastAsia="Times New Roman"/>
                <w:b/>
                <w:sz w:val="24"/>
                <w:szCs w:val="24"/>
                <w:lang w:val="en-GB"/>
              </w:rPr>
            </w:pPr>
            <w:r w:rsidRPr="00491BF2">
              <w:rPr>
                <w:rFonts w:eastAsia="Times New Roman"/>
                <w:b/>
                <w:sz w:val="24"/>
                <w:szCs w:val="24"/>
                <w:lang w:val="en-GB"/>
              </w:rPr>
              <w:t>Factors</w:t>
            </w:r>
          </w:p>
        </w:tc>
        <w:tc>
          <w:tcPr>
            <w:tcW w:w="5760" w:type="dxa"/>
            <w:tcMar>
              <w:top w:w="100" w:type="dxa"/>
              <w:left w:w="100" w:type="dxa"/>
              <w:bottom w:w="100" w:type="dxa"/>
              <w:right w:w="100" w:type="dxa"/>
            </w:tcMar>
          </w:tcPr>
          <w:p w14:paraId="30E8FCC1" w14:textId="77777777" w:rsidR="00553CA7" w:rsidRPr="00491BF2" w:rsidRDefault="00553CA7" w:rsidP="00C433B6">
            <w:pPr>
              <w:widowControl w:val="0"/>
              <w:pBdr>
                <w:top w:val="nil"/>
                <w:left w:val="nil"/>
                <w:bottom w:val="nil"/>
                <w:right w:val="nil"/>
                <w:between w:val="nil"/>
              </w:pBdr>
              <w:spacing w:line="360" w:lineRule="auto"/>
              <w:jc w:val="center"/>
              <w:rPr>
                <w:rFonts w:eastAsia="Times New Roman"/>
                <w:b/>
                <w:sz w:val="24"/>
                <w:szCs w:val="24"/>
                <w:lang w:val="en-GB"/>
              </w:rPr>
            </w:pPr>
            <w:r w:rsidRPr="00491BF2">
              <w:rPr>
                <w:rFonts w:eastAsia="Times New Roman"/>
                <w:b/>
                <w:sz w:val="24"/>
                <w:szCs w:val="24"/>
                <w:lang w:val="en-GB"/>
              </w:rPr>
              <w:t xml:space="preserve">The UK </w:t>
            </w:r>
          </w:p>
        </w:tc>
      </w:tr>
      <w:tr w:rsidR="00553CA7" w:rsidRPr="00491BF2" w14:paraId="73DA5BAB" w14:textId="77777777" w:rsidTr="00553CA7">
        <w:trPr>
          <w:cantSplit/>
          <w:tblHeader/>
          <w:jc w:val="center"/>
        </w:trPr>
        <w:tc>
          <w:tcPr>
            <w:tcW w:w="3600" w:type="dxa"/>
            <w:tcMar>
              <w:top w:w="100" w:type="dxa"/>
              <w:left w:w="100" w:type="dxa"/>
              <w:bottom w:w="100" w:type="dxa"/>
              <w:right w:w="100" w:type="dxa"/>
            </w:tcMar>
          </w:tcPr>
          <w:p w14:paraId="1773A7E3" w14:textId="77777777" w:rsidR="00553CA7" w:rsidRPr="00491BF2" w:rsidRDefault="00553CA7" w:rsidP="00C433B6">
            <w:pPr>
              <w:widowControl w:val="0"/>
              <w:pBdr>
                <w:top w:val="nil"/>
                <w:left w:val="nil"/>
                <w:bottom w:val="nil"/>
                <w:right w:val="nil"/>
                <w:between w:val="nil"/>
              </w:pBdr>
              <w:spacing w:line="360" w:lineRule="auto"/>
              <w:jc w:val="center"/>
              <w:rPr>
                <w:rFonts w:eastAsia="Times New Roman"/>
                <w:sz w:val="24"/>
                <w:szCs w:val="24"/>
                <w:lang w:val="en-GB"/>
              </w:rPr>
            </w:pPr>
            <w:r w:rsidRPr="00491BF2">
              <w:rPr>
                <w:rFonts w:eastAsia="Times New Roman"/>
                <w:sz w:val="24"/>
                <w:szCs w:val="24"/>
                <w:lang w:val="en-GB"/>
              </w:rPr>
              <w:t xml:space="preserve">Political </w:t>
            </w:r>
          </w:p>
        </w:tc>
        <w:tc>
          <w:tcPr>
            <w:tcW w:w="5760" w:type="dxa"/>
            <w:tcMar>
              <w:top w:w="100" w:type="dxa"/>
              <w:left w:w="100" w:type="dxa"/>
              <w:bottom w:w="100" w:type="dxa"/>
              <w:right w:w="100" w:type="dxa"/>
            </w:tcMar>
          </w:tcPr>
          <w:p w14:paraId="4AFC723A" w14:textId="77777777" w:rsidR="00553CA7" w:rsidRPr="00491BF2" w:rsidRDefault="00553CA7" w:rsidP="00C433B6">
            <w:pPr>
              <w:widowControl w:val="0"/>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High impact</w:t>
            </w:r>
          </w:p>
          <w:p w14:paraId="51B6EED7" w14:textId="77777777" w:rsidR="00553CA7" w:rsidRPr="00491BF2" w:rsidRDefault="00553CA7" w:rsidP="00553CA7">
            <w:pPr>
              <w:widowControl w:val="0"/>
              <w:numPr>
                <w:ilvl w:val="0"/>
                <w:numId w:val="1"/>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Brexit has created uncertainty for trade, customs, and the supply chain</w:t>
            </w:r>
          </w:p>
          <w:p w14:paraId="71F58ACA" w14:textId="77777777" w:rsidR="00553CA7" w:rsidRPr="00491BF2" w:rsidRDefault="00553CA7" w:rsidP="00553CA7">
            <w:pPr>
              <w:widowControl w:val="0"/>
              <w:numPr>
                <w:ilvl w:val="0"/>
                <w:numId w:val="1"/>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 xml:space="preserve">Political pressure to meet carbon emission targets </w:t>
            </w:r>
          </w:p>
        </w:tc>
      </w:tr>
      <w:tr w:rsidR="00553CA7" w:rsidRPr="00491BF2" w14:paraId="0C5CC4F4" w14:textId="77777777" w:rsidTr="00553CA7">
        <w:trPr>
          <w:cantSplit/>
          <w:tblHeader/>
          <w:jc w:val="center"/>
        </w:trPr>
        <w:tc>
          <w:tcPr>
            <w:tcW w:w="3600" w:type="dxa"/>
            <w:tcMar>
              <w:top w:w="100" w:type="dxa"/>
              <w:left w:w="100" w:type="dxa"/>
              <w:bottom w:w="100" w:type="dxa"/>
              <w:right w:w="100" w:type="dxa"/>
            </w:tcMar>
          </w:tcPr>
          <w:p w14:paraId="1AFBABBB" w14:textId="77777777" w:rsidR="00553CA7" w:rsidRPr="00491BF2" w:rsidRDefault="00553CA7" w:rsidP="00C433B6">
            <w:pPr>
              <w:widowControl w:val="0"/>
              <w:pBdr>
                <w:top w:val="nil"/>
                <w:left w:val="nil"/>
                <w:bottom w:val="nil"/>
                <w:right w:val="nil"/>
                <w:between w:val="nil"/>
              </w:pBdr>
              <w:spacing w:line="360" w:lineRule="auto"/>
              <w:jc w:val="center"/>
              <w:rPr>
                <w:rFonts w:eastAsia="Times New Roman"/>
                <w:sz w:val="24"/>
                <w:szCs w:val="24"/>
                <w:lang w:val="en-GB"/>
              </w:rPr>
            </w:pPr>
            <w:r w:rsidRPr="00491BF2">
              <w:rPr>
                <w:rFonts w:eastAsia="Times New Roman"/>
                <w:sz w:val="24"/>
                <w:szCs w:val="24"/>
                <w:lang w:val="en-GB"/>
              </w:rPr>
              <w:t xml:space="preserve">Economic </w:t>
            </w:r>
          </w:p>
        </w:tc>
        <w:tc>
          <w:tcPr>
            <w:tcW w:w="5760" w:type="dxa"/>
            <w:tcMar>
              <w:top w:w="100" w:type="dxa"/>
              <w:left w:w="100" w:type="dxa"/>
              <w:bottom w:w="100" w:type="dxa"/>
              <w:right w:w="100" w:type="dxa"/>
            </w:tcMar>
          </w:tcPr>
          <w:p w14:paraId="43F7DB1B" w14:textId="77777777" w:rsidR="00553CA7" w:rsidRPr="00491BF2" w:rsidRDefault="00553CA7" w:rsidP="00C433B6">
            <w:pPr>
              <w:widowControl w:val="0"/>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 xml:space="preserve">Moderate impact </w:t>
            </w:r>
          </w:p>
          <w:p w14:paraId="169D812A" w14:textId="77777777" w:rsidR="00553CA7" w:rsidRPr="00491BF2" w:rsidRDefault="00553CA7" w:rsidP="00553CA7">
            <w:pPr>
              <w:widowControl w:val="0"/>
              <w:numPr>
                <w:ilvl w:val="0"/>
                <w:numId w:val="4"/>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 xml:space="preserve">Corporate tax affects profitability </w:t>
            </w:r>
          </w:p>
          <w:p w14:paraId="3370E061" w14:textId="77777777" w:rsidR="00553CA7" w:rsidRPr="00491BF2" w:rsidRDefault="00553CA7" w:rsidP="00553CA7">
            <w:pPr>
              <w:widowControl w:val="0"/>
              <w:numPr>
                <w:ilvl w:val="0"/>
                <w:numId w:val="4"/>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Inflation rate of 3.8% as of September 2025 (Clark, 2025)</w:t>
            </w:r>
          </w:p>
        </w:tc>
      </w:tr>
      <w:tr w:rsidR="00553CA7" w:rsidRPr="00491BF2" w14:paraId="2C13C72F" w14:textId="77777777" w:rsidTr="00553CA7">
        <w:trPr>
          <w:cantSplit/>
          <w:tblHeader/>
          <w:jc w:val="center"/>
        </w:trPr>
        <w:tc>
          <w:tcPr>
            <w:tcW w:w="3600" w:type="dxa"/>
            <w:tcMar>
              <w:top w:w="100" w:type="dxa"/>
              <w:left w:w="100" w:type="dxa"/>
              <w:bottom w:w="100" w:type="dxa"/>
              <w:right w:w="100" w:type="dxa"/>
            </w:tcMar>
          </w:tcPr>
          <w:p w14:paraId="5DFC84B4" w14:textId="77777777" w:rsidR="00553CA7" w:rsidRPr="00491BF2" w:rsidRDefault="00553CA7" w:rsidP="00C433B6">
            <w:pPr>
              <w:widowControl w:val="0"/>
              <w:pBdr>
                <w:top w:val="nil"/>
                <w:left w:val="nil"/>
                <w:bottom w:val="nil"/>
                <w:right w:val="nil"/>
                <w:between w:val="nil"/>
              </w:pBdr>
              <w:spacing w:line="360" w:lineRule="auto"/>
              <w:jc w:val="center"/>
              <w:rPr>
                <w:rFonts w:eastAsia="Times New Roman"/>
                <w:sz w:val="24"/>
                <w:szCs w:val="24"/>
                <w:lang w:val="en-GB"/>
              </w:rPr>
            </w:pPr>
            <w:r w:rsidRPr="00491BF2">
              <w:rPr>
                <w:rFonts w:eastAsia="Times New Roman"/>
                <w:sz w:val="24"/>
                <w:szCs w:val="24"/>
                <w:lang w:val="en-GB"/>
              </w:rPr>
              <w:t xml:space="preserve">Social </w:t>
            </w:r>
          </w:p>
        </w:tc>
        <w:tc>
          <w:tcPr>
            <w:tcW w:w="5760" w:type="dxa"/>
            <w:tcMar>
              <w:top w:w="100" w:type="dxa"/>
              <w:left w:w="100" w:type="dxa"/>
              <w:bottom w:w="100" w:type="dxa"/>
              <w:right w:w="100" w:type="dxa"/>
            </w:tcMar>
          </w:tcPr>
          <w:p w14:paraId="3B7BD2D8" w14:textId="77777777" w:rsidR="00553CA7" w:rsidRPr="00491BF2" w:rsidRDefault="00553CA7" w:rsidP="00C433B6">
            <w:pPr>
              <w:widowControl w:val="0"/>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 xml:space="preserve">High impact </w:t>
            </w:r>
          </w:p>
          <w:p w14:paraId="18548010" w14:textId="77777777" w:rsidR="00553CA7" w:rsidRPr="00491BF2" w:rsidRDefault="00553CA7" w:rsidP="00553CA7">
            <w:pPr>
              <w:widowControl w:val="0"/>
              <w:numPr>
                <w:ilvl w:val="0"/>
                <w:numId w:val="6"/>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Growing consumer demand for hybrid and electric vehicles (EVs)</w:t>
            </w:r>
          </w:p>
          <w:p w14:paraId="7CC1A63F" w14:textId="77777777" w:rsidR="00553CA7" w:rsidRPr="00491BF2" w:rsidRDefault="00553CA7" w:rsidP="00553CA7">
            <w:pPr>
              <w:widowControl w:val="0"/>
              <w:numPr>
                <w:ilvl w:val="0"/>
                <w:numId w:val="6"/>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Consumer base is being impacted by an aging population in the European market</w:t>
            </w:r>
          </w:p>
        </w:tc>
      </w:tr>
      <w:tr w:rsidR="00553CA7" w:rsidRPr="00491BF2" w14:paraId="765FD28F" w14:textId="77777777" w:rsidTr="00553CA7">
        <w:trPr>
          <w:cantSplit/>
          <w:tblHeader/>
          <w:jc w:val="center"/>
        </w:trPr>
        <w:tc>
          <w:tcPr>
            <w:tcW w:w="3600" w:type="dxa"/>
            <w:tcMar>
              <w:top w:w="100" w:type="dxa"/>
              <w:left w:w="100" w:type="dxa"/>
              <w:bottom w:w="100" w:type="dxa"/>
              <w:right w:w="100" w:type="dxa"/>
            </w:tcMar>
          </w:tcPr>
          <w:p w14:paraId="0DCD1923" w14:textId="77777777" w:rsidR="00553CA7" w:rsidRPr="00491BF2" w:rsidRDefault="00553CA7" w:rsidP="00C433B6">
            <w:pPr>
              <w:widowControl w:val="0"/>
              <w:pBdr>
                <w:top w:val="nil"/>
                <w:left w:val="nil"/>
                <w:bottom w:val="nil"/>
                <w:right w:val="nil"/>
                <w:between w:val="nil"/>
              </w:pBdr>
              <w:spacing w:line="360" w:lineRule="auto"/>
              <w:jc w:val="center"/>
              <w:rPr>
                <w:rFonts w:eastAsia="Times New Roman"/>
                <w:sz w:val="24"/>
                <w:szCs w:val="24"/>
                <w:lang w:val="en-GB"/>
              </w:rPr>
            </w:pPr>
            <w:r w:rsidRPr="00491BF2">
              <w:rPr>
                <w:rFonts w:eastAsia="Times New Roman"/>
                <w:sz w:val="24"/>
                <w:szCs w:val="24"/>
                <w:lang w:val="en-GB"/>
              </w:rPr>
              <w:t xml:space="preserve">Technological </w:t>
            </w:r>
          </w:p>
        </w:tc>
        <w:tc>
          <w:tcPr>
            <w:tcW w:w="5760" w:type="dxa"/>
            <w:tcMar>
              <w:top w:w="100" w:type="dxa"/>
              <w:left w:w="100" w:type="dxa"/>
              <w:bottom w:w="100" w:type="dxa"/>
              <w:right w:w="100" w:type="dxa"/>
            </w:tcMar>
          </w:tcPr>
          <w:p w14:paraId="104A1CFF" w14:textId="77777777" w:rsidR="00553CA7" w:rsidRPr="00491BF2" w:rsidRDefault="00553CA7" w:rsidP="00C433B6">
            <w:pPr>
              <w:widowControl w:val="0"/>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 xml:space="preserve">High impact </w:t>
            </w:r>
          </w:p>
          <w:p w14:paraId="06472ED8" w14:textId="77777777" w:rsidR="00553CA7" w:rsidRPr="00491BF2" w:rsidRDefault="00553CA7" w:rsidP="00553CA7">
            <w:pPr>
              <w:widowControl w:val="0"/>
              <w:numPr>
                <w:ilvl w:val="0"/>
                <w:numId w:val="2"/>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Integrating AI-enabled technologies in vehicles is a key trend</w:t>
            </w:r>
          </w:p>
          <w:p w14:paraId="73DCBD87" w14:textId="77777777" w:rsidR="00553CA7" w:rsidRPr="00491BF2" w:rsidRDefault="00553CA7" w:rsidP="00553CA7">
            <w:pPr>
              <w:widowControl w:val="0"/>
              <w:numPr>
                <w:ilvl w:val="0"/>
                <w:numId w:val="2"/>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Integrating self-driving technology as a key technological frontier</w:t>
            </w:r>
          </w:p>
        </w:tc>
      </w:tr>
      <w:tr w:rsidR="00553CA7" w:rsidRPr="00491BF2" w14:paraId="4D3FC0B9" w14:textId="77777777" w:rsidTr="00553CA7">
        <w:trPr>
          <w:cantSplit/>
          <w:tblHeader/>
          <w:jc w:val="center"/>
        </w:trPr>
        <w:tc>
          <w:tcPr>
            <w:tcW w:w="3600" w:type="dxa"/>
            <w:tcMar>
              <w:top w:w="100" w:type="dxa"/>
              <w:left w:w="100" w:type="dxa"/>
              <w:bottom w:w="100" w:type="dxa"/>
              <w:right w:w="100" w:type="dxa"/>
            </w:tcMar>
          </w:tcPr>
          <w:p w14:paraId="551DB527" w14:textId="77777777" w:rsidR="00553CA7" w:rsidRPr="00491BF2" w:rsidRDefault="00553CA7" w:rsidP="00C433B6">
            <w:pPr>
              <w:widowControl w:val="0"/>
              <w:pBdr>
                <w:top w:val="nil"/>
                <w:left w:val="nil"/>
                <w:bottom w:val="nil"/>
                <w:right w:val="nil"/>
                <w:between w:val="nil"/>
              </w:pBdr>
              <w:spacing w:line="360" w:lineRule="auto"/>
              <w:jc w:val="center"/>
              <w:rPr>
                <w:rFonts w:eastAsia="Times New Roman"/>
                <w:sz w:val="24"/>
                <w:szCs w:val="24"/>
                <w:lang w:val="en-GB"/>
              </w:rPr>
            </w:pPr>
            <w:r w:rsidRPr="00491BF2">
              <w:rPr>
                <w:rFonts w:eastAsia="Times New Roman"/>
                <w:sz w:val="24"/>
                <w:szCs w:val="24"/>
                <w:lang w:val="en-GB"/>
              </w:rPr>
              <w:t xml:space="preserve">Legal </w:t>
            </w:r>
          </w:p>
        </w:tc>
        <w:tc>
          <w:tcPr>
            <w:tcW w:w="5760" w:type="dxa"/>
            <w:tcMar>
              <w:top w:w="100" w:type="dxa"/>
              <w:left w:w="100" w:type="dxa"/>
              <w:bottom w:w="100" w:type="dxa"/>
              <w:right w:w="100" w:type="dxa"/>
            </w:tcMar>
          </w:tcPr>
          <w:p w14:paraId="6FBB8716" w14:textId="77777777" w:rsidR="00553CA7" w:rsidRPr="00491BF2" w:rsidRDefault="00553CA7" w:rsidP="00C433B6">
            <w:pPr>
              <w:widowControl w:val="0"/>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 xml:space="preserve">Moderate impact </w:t>
            </w:r>
          </w:p>
          <w:p w14:paraId="083A42BE" w14:textId="77777777" w:rsidR="00553CA7" w:rsidRPr="00491BF2" w:rsidRDefault="00553CA7" w:rsidP="00553CA7">
            <w:pPr>
              <w:widowControl w:val="0"/>
              <w:numPr>
                <w:ilvl w:val="0"/>
                <w:numId w:val="5"/>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 xml:space="preserve">Comply with the EU and stringent UK regulations </w:t>
            </w:r>
          </w:p>
          <w:p w14:paraId="3E1F2E4B" w14:textId="77777777" w:rsidR="00553CA7" w:rsidRPr="00491BF2" w:rsidRDefault="00553CA7" w:rsidP="00553CA7">
            <w:pPr>
              <w:widowControl w:val="0"/>
              <w:numPr>
                <w:ilvl w:val="0"/>
                <w:numId w:val="5"/>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 xml:space="preserve">Strict adherence to the </w:t>
            </w:r>
            <w:r w:rsidRPr="00491BF2">
              <w:rPr>
                <w:rFonts w:eastAsia="Times New Roman"/>
                <w:b/>
                <w:i/>
                <w:sz w:val="24"/>
                <w:szCs w:val="24"/>
                <w:lang w:val="en-GB"/>
              </w:rPr>
              <w:t xml:space="preserve">Consumer Rights Act 2015 </w:t>
            </w:r>
            <w:r w:rsidRPr="00491BF2">
              <w:rPr>
                <w:rFonts w:eastAsia="Times New Roman"/>
                <w:sz w:val="24"/>
                <w:szCs w:val="24"/>
                <w:lang w:val="en-GB"/>
              </w:rPr>
              <w:t>(</w:t>
            </w:r>
            <w:hyperlink r:id="rId9">
              <w:r w:rsidRPr="00491BF2">
                <w:rPr>
                  <w:rFonts w:eastAsia="Times New Roman"/>
                  <w:sz w:val="24"/>
                  <w:szCs w:val="24"/>
                  <w:lang w:val="en-GB"/>
                </w:rPr>
                <w:t>GOV.UK</w:t>
              </w:r>
            </w:hyperlink>
            <w:r w:rsidRPr="00491BF2">
              <w:rPr>
                <w:rFonts w:eastAsia="Times New Roman"/>
                <w:sz w:val="24"/>
                <w:szCs w:val="24"/>
                <w:lang w:val="en-GB"/>
              </w:rPr>
              <w:t xml:space="preserve">, 2025) </w:t>
            </w:r>
          </w:p>
        </w:tc>
      </w:tr>
      <w:tr w:rsidR="00553CA7" w:rsidRPr="00491BF2" w14:paraId="0D16BAAF" w14:textId="77777777" w:rsidTr="00553CA7">
        <w:trPr>
          <w:cantSplit/>
          <w:tblHeader/>
          <w:jc w:val="center"/>
        </w:trPr>
        <w:tc>
          <w:tcPr>
            <w:tcW w:w="3600" w:type="dxa"/>
            <w:tcMar>
              <w:top w:w="100" w:type="dxa"/>
              <w:left w:w="100" w:type="dxa"/>
              <w:bottom w:w="100" w:type="dxa"/>
              <w:right w:w="100" w:type="dxa"/>
            </w:tcMar>
          </w:tcPr>
          <w:p w14:paraId="21D14C01" w14:textId="77777777" w:rsidR="00553CA7" w:rsidRPr="00491BF2" w:rsidRDefault="00553CA7" w:rsidP="00C433B6">
            <w:pPr>
              <w:widowControl w:val="0"/>
              <w:pBdr>
                <w:top w:val="nil"/>
                <w:left w:val="nil"/>
                <w:bottom w:val="nil"/>
                <w:right w:val="nil"/>
                <w:between w:val="nil"/>
              </w:pBdr>
              <w:spacing w:line="360" w:lineRule="auto"/>
              <w:jc w:val="center"/>
              <w:rPr>
                <w:rFonts w:eastAsia="Times New Roman"/>
                <w:sz w:val="24"/>
                <w:szCs w:val="24"/>
                <w:lang w:val="en-GB"/>
              </w:rPr>
            </w:pPr>
            <w:r w:rsidRPr="00491BF2">
              <w:rPr>
                <w:rFonts w:eastAsia="Times New Roman"/>
                <w:sz w:val="24"/>
                <w:szCs w:val="24"/>
                <w:lang w:val="en-GB"/>
              </w:rPr>
              <w:lastRenderedPageBreak/>
              <w:t xml:space="preserve">Environmental </w:t>
            </w:r>
          </w:p>
        </w:tc>
        <w:tc>
          <w:tcPr>
            <w:tcW w:w="5760" w:type="dxa"/>
            <w:tcMar>
              <w:top w:w="100" w:type="dxa"/>
              <w:left w:w="100" w:type="dxa"/>
              <w:bottom w:w="100" w:type="dxa"/>
              <w:right w:w="100" w:type="dxa"/>
            </w:tcMar>
          </w:tcPr>
          <w:p w14:paraId="755D912F" w14:textId="77777777" w:rsidR="00553CA7" w:rsidRPr="00491BF2" w:rsidRDefault="00553CA7" w:rsidP="00C433B6">
            <w:pPr>
              <w:widowControl w:val="0"/>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 xml:space="preserve">Moderate impact </w:t>
            </w:r>
          </w:p>
          <w:p w14:paraId="2197BB93" w14:textId="77777777" w:rsidR="00553CA7" w:rsidRPr="00491BF2" w:rsidRDefault="00553CA7" w:rsidP="00553CA7">
            <w:pPr>
              <w:widowControl w:val="0"/>
              <w:numPr>
                <w:ilvl w:val="0"/>
                <w:numId w:val="3"/>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 xml:space="preserve">Product development and low-emission powertrains </w:t>
            </w:r>
          </w:p>
          <w:p w14:paraId="5503C7D9" w14:textId="77777777" w:rsidR="00553CA7" w:rsidRPr="00491BF2" w:rsidRDefault="00553CA7" w:rsidP="00553CA7">
            <w:pPr>
              <w:widowControl w:val="0"/>
              <w:numPr>
                <w:ilvl w:val="0"/>
                <w:numId w:val="3"/>
              </w:numPr>
              <w:pBdr>
                <w:top w:val="nil"/>
                <w:left w:val="nil"/>
                <w:bottom w:val="nil"/>
                <w:right w:val="nil"/>
                <w:between w:val="nil"/>
              </w:pBdr>
              <w:spacing w:line="360" w:lineRule="auto"/>
              <w:rPr>
                <w:rFonts w:eastAsia="Times New Roman"/>
                <w:sz w:val="24"/>
                <w:szCs w:val="24"/>
                <w:lang w:val="en-GB"/>
              </w:rPr>
            </w:pPr>
            <w:r w:rsidRPr="00491BF2">
              <w:rPr>
                <w:rFonts w:eastAsia="Times New Roman"/>
                <w:sz w:val="24"/>
                <w:szCs w:val="24"/>
                <w:lang w:val="en-GB"/>
              </w:rPr>
              <w:t>Regulatory focus on the complete car lifecycle and changes in waste management policies (</w:t>
            </w:r>
            <w:hyperlink r:id="rId10">
              <w:r w:rsidRPr="00491BF2">
                <w:rPr>
                  <w:rFonts w:eastAsia="Times New Roman"/>
                  <w:sz w:val="24"/>
                  <w:szCs w:val="24"/>
                  <w:lang w:val="en-GB"/>
                </w:rPr>
                <w:t>GOV.UK</w:t>
              </w:r>
            </w:hyperlink>
            <w:r w:rsidRPr="00491BF2">
              <w:rPr>
                <w:rFonts w:eastAsia="Times New Roman"/>
                <w:sz w:val="24"/>
                <w:szCs w:val="24"/>
                <w:lang w:val="en-GB"/>
              </w:rPr>
              <w:t>, 2025)</w:t>
            </w:r>
          </w:p>
        </w:tc>
      </w:tr>
    </w:tbl>
    <w:p w14:paraId="3C047FCD" w14:textId="77777777" w:rsidR="00553CA7" w:rsidRPr="00491BF2" w:rsidRDefault="00553CA7" w:rsidP="00553CA7">
      <w:pPr>
        <w:spacing w:line="360" w:lineRule="auto"/>
        <w:jc w:val="center"/>
        <w:rPr>
          <w:rFonts w:ascii="Arial" w:hAnsi="Arial" w:cs="Arial"/>
          <w:b/>
          <w:sz w:val="24"/>
          <w:lang w:val="en-GB"/>
        </w:rPr>
      </w:pPr>
      <w:r w:rsidRPr="00491BF2">
        <w:rPr>
          <w:rFonts w:ascii="Arial" w:hAnsi="Arial" w:cs="Arial"/>
          <w:b/>
          <w:sz w:val="24"/>
          <w:lang w:val="en-GB"/>
        </w:rPr>
        <w:t xml:space="preserve">Table 1: PESTLE of the UK </w:t>
      </w:r>
    </w:p>
    <w:p w14:paraId="13A7A61B" w14:textId="77777777" w:rsidR="00553CA7" w:rsidRPr="00491BF2" w:rsidRDefault="004C3ECA" w:rsidP="00553CA7">
      <w:pPr>
        <w:spacing w:line="360" w:lineRule="auto"/>
        <w:jc w:val="both"/>
        <w:rPr>
          <w:rFonts w:ascii="Arial" w:hAnsi="Arial" w:cs="Arial"/>
          <w:sz w:val="24"/>
          <w:lang w:val="en-GB"/>
        </w:rPr>
      </w:pPr>
      <w:r w:rsidRPr="00491BF2">
        <w:rPr>
          <w:rFonts w:ascii="Arial" w:hAnsi="Arial" w:cs="Arial"/>
          <w:sz w:val="24"/>
          <w:lang w:val="en-GB"/>
        </w:rPr>
        <w:t>Table 1 is the PESTLE analysis demonstrating the differences between the macro-environment of the UK. From the analysis, it can be stated that product range and demands are the key differentiators in the UK. For instance, BMW offers a wide range of models in the UK, such as large SUVs and M models, which are more appealing in the road network of this nation (BMW Group, 2025).</w:t>
      </w:r>
      <w:r w:rsidR="00823DD2" w:rsidRPr="00491BF2">
        <w:rPr>
          <w:rFonts w:ascii="Arial" w:hAnsi="Arial" w:cs="Arial"/>
          <w:sz w:val="24"/>
          <w:lang w:val="en-GB"/>
        </w:rPr>
        <w:t xml:space="preserve"> From the point of view of promotional focus, the advertising of BMW is bolder in the UK to promote the joy of driving and car performance.</w:t>
      </w:r>
      <w:r w:rsidR="00475DDD" w:rsidRPr="00491BF2">
        <w:rPr>
          <w:rFonts w:ascii="Arial" w:hAnsi="Arial" w:cs="Arial"/>
          <w:sz w:val="24"/>
          <w:lang w:val="en-GB"/>
        </w:rPr>
        <w:t xml:space="preserve"> Contrarily, meeting the European emissions standards is challenging for BMW in the UK market with the emergence of strong dealer franchise laws (IEA, 2025). Hence, despite sharing a common brand identity in these two nations, BMW has adapted to the unique market environments as a premium and performance-oriented car manufacturer.</w:t>
      </w:r>
    </w:p>
    <w:p w14:paraId="219C09FD" w14:textId="77777777" w:rsidR="00623EE9" w:rsidRDefault="007F6ABE" w:rsidP="002968D9">
      <w:pPr>
        <w:pStyle w:val="Heading2"/>
        <w:rPr>
          <w:lang w:val="en-GB"/>
        </w:rPr>
      </w:pPr>
      <w:bookmarkStart w:id="6" w:name="_Toc213701469"/>
      <w:bookmarkStart w:id="7" w:name="_Toc213946259"/>
      <w:r>
        <w:rPr>
          <w:lang w:val="en-GB"/>
        </w:rPr>
        <w:t>2.2 Selection of the two ma</w:t>
      </w:r>
      <w:r w:rsidR="00623EE9" w:rsidRPr="00491BF2">
        <w:rPr>
          <w:lang w:val="en-GB"/>
        </w:rPr>
        <w:t>c</w:t>
      </w:r>
      <w:r>
        <w:rPr>
          <w:lang w:val="en-GB"/>
        </w:rPr>
        <w:t>r</w:t>
      </w:r>
      <w:r w:rsidR="00623EE9" w:rsidRPr="00491BF2">
        <w:rPr>
          <w:lang w:val="en-GB"/>
        </w:rPr>
        <w:t>o marketing actors</w:t>
      </w:r>
      <w:bookmarkEnd w:id="6"/>
      <w:bookmarkEnd w:id="7"/>
    </w:p>
    <w:p w14:paraId="7A3800E1" w14:textId="77777777" w:rsidR="007F6ABE" w:rsidRPr="007F6ABE" w:rsidRDefault="007F6ABE" w:rsidP="007F6ABE">
      <w:pPr>
        <w:spacing w:line="360" w:lineRule="auto"/>
        <w:jc w:val="both"/>
        <w:rPr>
          <w:rFonts w:ascii="Arial" w:hAnsi="Arial" w:cs="Arial"/>
          <w:sz w:val="24"/>
          <w:szCs w:val="24"/>
          <w:lang w:val="en-GB"/>
        </w:rPr>
      </w:pPr>
      <w:r w:rsidRPr="007F6ABE">
        <w:rPr>
          <w:rFonts w:ascii="Arial" w:hAnsi="Arial" w:cs="Arial"/>
          <w:sz w:val="24"/>
          <w:szCs w:val="24"/>
          <w:lang w:val="en-GB"/>
        </w:rPr>
        <w:t xml:space="preserve">Technological and environmental factors can be selected as two external macro environmental actors in this context. </w:t>
      </w:r>
    </w:p>
    <w:p w14:paraId="5186AD00" w14:textId="77777777" w:rsidR="007F6ABE" w:rsidRPr="007F6ABE" w:rsidRDefault="007F6ABE" w:rsidP="007F6ABE">
      <w:pPr>
        <w:spacing w:line="360" w:lineRule="auto"/>
        <w:jc w:val="both"/>
        <w:rPr>
          <w:rFonts w:ascii="Arial" w:hAnsi="Arial" w:cs="Arial"/>
          <w:b/>
          <w:bCs/>
          <w:sz w:val="24"/>
          <w:szCs w:val="24"/>
          <w:lang w:val="en-GB"/>
        </w:rPr>
      </w:pPr>
      <w:r w:rsidRPr="007F6ABE">
        <w:rPr>
          <w:rFonts w:ascii="Arial" w:hAnsi="Arial" w:cs="Arial"/>
          <w:b/>
          <w:bCs/>
          <w:sz w:val="24"/>
          <w:szCs w:val="24"/>
          <w:lang w:val="en-GB"/>
        </w:rPr>
        <w:t xml:space="preserve">a) Technological </w:t>
      </w:r>
    </w:p>
    <w:p w14:paraId="36A7BD2E" w14:textId="77777777" w:rsidR="007F6ABE" w:rsidRPr="007F6ABE" w:rsidRDefault="007F6ABE" w:rsidP="007F6ABE">
      <w:pPr>
        <w:spacing w:line="360" w:lineRule="auto"/>
        <w:jc w:val="both"/>
        <w:rPr>
          <w:rFonts w:ascii="Arial" w:hAnsi="Arial" w:cs="Arial"/>
          <w:b/>
          <w:bCs/>
          <w:i/>
          <w:iCs/>
          <w:sz w:val="24"/>
          <w:szCs w:val="24"/>
          <w:lang w:val="en-GB"/>
        </w:rPr>
      </w:pPr>
      <w:r w:rsidRPr="007F6ABE">
        <w:rPr>
          <w:rFonts w:ascii="Arial" w:hAnsi="Arial" w:cs="Arial"/>
          <w:b/>
          <w:bCs/>
          <w:i/>
          <w:iCs/>
          <w:sz w:val="24"/>
          <w:szCs w:val="24"/>
          <w:lang w:val="en-GB"/>
        </w:rPr>
        <w:t>Justification as an environmental actor</w:t>
      </w:r>
    </w:p>
    <w:p w14:paraId="5C1161EE" w14:textId="77777777" w:rsidR="007F6ABE" w:rsidRPr="007F6ABE" w:rsidRDefault="007F6ABE" w:rsidP="007F6ABE">
      <w:pPr>
        <w:spacing w:line="360" w:lineRule="auto"/>
        <w:jc w:val="both"/>
        <w:rPr>
          <w:rFonts w:ascii="Arial" w:hAnsi="Arial" w:cs="Arial"/>
          <w:sz w:val="24"/>
          <w:szCs w:val="24"/>
          <w:lang w:val="en-GB"/>
        </w:rPr>
      </w:pPr>
      <w:r w:rsidRPr="007F6ABE">
        <w:rPr>
          <w:rFonts w:ascii="Arial" w:hAnsi="Arial" w:cs="Arial"/>
          <w:sz w:val="24"/>
          <w:szCs w:val="24"/>
          <w:lang w:val="en-GB"/>
        </w:rPr>
        <w:t>In the context of strategic analysis using the PESTLE framework, technological factors are distinct and significantly impact business operations. It has a direct connection with ecology as it is a core component of the business environment (Leroi-</w:t>
      </w:r>
      <w:proofErr w:type="spellStart"/>
      <w:r w:rsidRPr="007F6ABE">
        <w:rPr>
          <w:rFonts w:ascii="Arial" w:hAnsi="Arial" w:cs="Arial"/>
          <w:sz w:val="24"/>
          <w:szCs w:val="24"/>
          <w:lang w:val="en-GB"/>
        </w:rPr>
        <w:t>Werelds</w:t>
      </w:r>
      <w:proofErr w:type="spellEnd"/>
      <w:r w:rsidRPr="007F6ABE">
        <w:rPr>
          <w:rFonts w:ascii="Arial" w:hAnsi="Arial" w:cs="Arial"/>
          <w:sz w:val="24"/>
          <w:szCs w:val="24"/>
          <w:lang w:val="en-GB"/>
        </w:rPr>
        <w:t xml:space="preserve"> </w:t>
      </w:r>
      <w:r w:rsidRPr="007F6ABE">
        <w:rPr>
          <w:rFonts w:ascii="Arial" w:hAnsi="Arial" w:cs="Arial"/>
          <w:i/>
          <w:iCs/>
          <w:sz w:val="24"/>
          <w:szCs w:val="24"/>
          <w:lang w:val="en-GB"/>
        </w:rPr>
        <w:t xml:space="preserve">et al. </w:t>
      </w:r>
      <w:r w:rsidRPr="007F6ABE">
        <w:rPr>
          <w:rFonts w:ascii="Arial" w:hAnsi="Arial" w:cs="Arial"/>
          <w:sz w:val="24"/>
          <w:szCs w:val="24"/>
          <w:lang w:val="en-GB"/>
        </w:rPr>
        <w:t xml:space="preserve">2021). For instance, industrial technologies are crucial to reduce pollution from internal-combustion engines. </w:t>
      </w:r>
    </w:p>
    <w:p w14:paraId="21E6C799" w14:textId="77777777" w:rsidR="007F6ABE" w:rsidRPr="007F6ABE" w:rsidRDefault="007F6ABE" w:rsidP="007F6ABE">
      <w:pPr>
        <w:spacing w:line="360" w:lineRule="auto"/>
        <w:jc w:val="both"/>
        <w:rPr>
          <w:rFonts w:ascii="Arial" w:hAnsi="Arial" w:cs="Arial"/>
          <w:b/>
          <w:bCs/>
          <w:i/>
          <w:iCs/>
          <w:sz w:val="24"/>
          <w:szCs w:val="24"/>
          <w:lang w:val="en-GB"/>
        </w:rPr>
      </w:pPr>
      <w:r w:rsidRPr="007F6ABE">
        <w:rPr>
          <w:rFonts w:ascii="Arial" w:hAnsi="Arial" w:cs="Arial"/>
          <w:b/>
          <w:bCs/>
          <w:i/>
          <w:iCs/>
          <w:sz w:val="24"/>
          <w:szCs w:val="24"/>
          <w:lang w:val="en-GB"/>
        </w:rPr>
        <w:lastRenderedPageBreak/>
        <w:t xml:space="preserve">Relevance and influence within the automobile industry </w:t>
      </w:r>
    </w:p>
    <w:p w14:paraId="2D83EDC8" w14:textId="77777777" w:rsidR="007F6ABE" w:rsidRPr="007F6ABE" w:rsidRDefault="007F6ABE" w:rsidP="007F6ABE">
      <w:pPr>
        <w:spacing w:line="360" w:lineRule="auto"/>
        <w:jc w:val="both"/>
        <w:rPr>
          <w:rFonts w:ascii="Arial" w:hAnsi="Arial" w:cs="Arial"/>
          <w:sz w:val="24"/>
          <w:szCs w:val="24"/>
          <w:lang w:val="en-GB"/>
        </w:rPr>
      </w:pPr>
      <w:r w:rsidRPr="007F6ABE">
        <w:rPr>
          <w:rFonts w:ascii="Arial" w:hAnsi="Arial" w:cs="Arial"/>
          <w:sz w:val="24"/>
          <w:szCs w:val="24"/>
          <w:lang w:val="en-GB"/>
        </w:rPr>
        <w:t xml:space="preserve">Technology is highly relevant and influential in the current automobile industry as an environmental actor, as it primarily drives innovation. As per the reports of mid-2025, 20-25% of new car sales in the UK include battery electric vehicles (BEVs), which is a technological innovation of this industry (UK Parliament, 2025). This growth has been supported by UK policies like the </w:t>
      </w:r>
      <w:r w:rsidRPr="007F6ABE">
        <w:rPr>
          <w:rFonts w:ascii="Arial" w:hAnsi="Arial" w:cs="Arial"/>
          <w:b/>
          <w:bCs/>
          <w:i/>
          <w:iCs/>
          <w:sz w:val="24"/>
          <w:szCs w:val="24"/>
          <w:lang w:val="en-GB"/>
        </w:rPr>
        <w:t xml:space="preserve">Zero Emission Vehicle (ZEV), </w:t>
      </w:r>
      <w:r w:rsidRPr="007F6ABE">
        <w:rPr>
          <w:rFonts w:ascii="Arial" w:hAnsi="Arial" w:cs="Arial"/>
          <w:sz w:val="24"/>
          <w:szCs w:val="24"/>
          <w:lang w:val="en-GB"/>
        </w:rPr>
        <w:t xml:space="preserve">which projects the relevance and impact of technology. Therefore, choosing this environmental actor in this context is justified to understand the current market trends. </w:t>
      </w:r>
    </w:p>
    <w:p w14:paraId="3945EA26" w14:textId="77777777" w:rsidR="007F6ABE" w:rsidRPr="007F6ABE" w:rsidRDefault="007F6ABE" w:rsidP="007F6ABE">
      <w:pPr>
        <w:spacing w:line="360" w:lineRule="auto"/>
        <w:jc w:val="both"/>
        <w:rPr>
          <w:rFonts w:ascii="Arial" w:hAnsi="Arial" w:cs="Arial"/>
          <w:b/>
          <w:bCs/>
          <w:sz w:val="24"/>
          <w:szCs w:val="24"/>
          <w:lang w:val="en-GB"/>
        </w:rPr>
      </w:pPr>
      <w:r w:rsidRPr="007F6ABE">
        <w:rPr>
          <w:rFonts w:ascii="Arial" w:hAnsi="Arial" w:cs="Arial"/>
          <w:b/>
          <w:bCs/>
          <w:sz w:val="24"/>
          <w:szCs w:val="24"/>
          <w:lang w:val="en-GB"/>
        </w:rPr>
        <w:t xml:space="preserve">b) Environmental </w:t>
      </w:r>
    </w:p>
    <w:p w14:paraId="4A347B23" w14:textId="77777777" w:rsidR="007F6ABE" w:rsidRPr="007F6ABE" w:rsidRDefault="007F6ABE" w:rsidP="007F6ABE">
      <w:pPr>
        <w:spacing w:line="360" w:lineRule="auto"/>
        <w:jc w:val="both"/>
        <w:rPr>
          <w:rFonts w:ascii="Arial" w:hAnsi="Arial" w:cs="Arial"/>
          <w:b/>
          <w:bCs/>
          <w:i/>
          <w:iCs/>
          <w:sz w:val="24"/>
          <w:szCs w:val="24"/>
          <w:lang w:val="en-GB"/>
        </w:rPr>
      </w:pPr>
      <w:r w:rsidRPr="007F6ABE">
        <w:rPr>
          <w:rFonts w:ascii="Arial" w:hAnsi="Arial" w:cs="Arial"/>
          <w:b/>
          <w:bCs/>
          <w:i/>
          <w:iCs/>
          <w:sz w:val="24"/>
          <w:szCs w:val="24"/>
          <w:lang w:val="en-GB"/>
        </w:rPr>
        <w:t>Justification as an environmental actor</w:t>
      </w:r>
    </w:p>
    <w:p w14:paraId="5A64C48E" w14:textId="77777777" w:rsidR="007F6ABE" w:rsidRPr="007F6ABE" w:rsidRDefault="007F6ABE" w:rsidP="007F6ABE">
      <w:pPr>
        <w:spacing w:line="360" w:lineRule="auto"/>
        <w:jc w:val="both"/>
        <w:rPr>
          <w:rFonts w:ascii="Arial" w:hAnsi="Arial" w:cs="Arial"/>
          <w:sz w:val="24"/>
          <w:szCs w:val="24"/>
          <w:lang w:val="en-GB"/>
        </w:rPr>
      </w:pPr>
      <w:r w:rsidRPr="007F6ABE">
        <w:rPr>
          <w:rFonts w:ascii="Arial" w:hAnsi="Arial" w:cs="Arial"/>
          <w:sz w:val="24"/>
          <w:szCs w:val="24"/>
          <w:lang w:val="en-GB"/>
        </w:rPr>
        <w:t>Environmental factors are important to consider while discussing the market analysis and environmental actors of the automobile industry. The paradigm of this industry has shifted due to the rising environmental concerns (</w:t>
      </w:r>
      <w:proofErr w:type="spellStart"/>
      <w:r w:rsidRPr="007F6ABE">
        <w:rPr>
          <w:rFonts w:ascii="Arial" w:hAnsi="Arial" w:cs="Arial"/>
          <w:sz w:val="24"/>
          <w:szCs w:val="24"/>
          <w:lang w:val="en-GB"/>
        </w:rPr>
        <w:t>Neolaka</w:t>
      </w:r>
      <w:proofErr w:type="spellEnd"/>
      <w:r w:rsidRPr="007F6ABE">
        <w:rPr>
          <w:rFonts w:ascii="Arial" w:hAnsi="Arial" w:cs="Arial"/>
          <w:sz w:val="24"/>
          <w:szCs w:val="24"/>
          <w:lang w:val="en-GB"/>
        </w:rPr>
        <w:t xml:space="preserve"> </w:t>
      </w:r>
      <w:r w:rsidRPr="007F6ABE">
        <w:rPr>
          <w:rFonts w:ascii="Arial" w:hAnsi="Arial" w:cs="Arial"/>
          <w:i/>
          <w:iCs/>
          <w:sz w:val="24"/>
          <w:szCs w:val="24"/>
          <w:lang w:val="en-GB"/>
        </w:rPr>
        <w:t xml:space="preserve">et al. </w:t>
      </w:r>
      <w:r w:rsidRPr="007F6ABE">
        <w:rPr>
          <w:rFonts w:ascii="Arial" w:hAnsi="Arial" w:cs="Arial"/>
          <w:sz w:val="24"/>
          <w:szCs w:val="24"/>
          <w:lang w:val="en-GB"/>
        </w:rPr>
        <w:t xml:space="preserve">2023). It has transformed the methods of manufacturing vehicles, how they are used, and how they are disposed of as well. The influence of the environmental factors stems from the ecological problems resulting from the industry itself. </w:t>
      </w:r>
    </w:p>
    <w:p w14:paraId="66D5696E" w14:textId="77777777" w:rsidR="007F6ABE" w:rsidRPr="007F6ABE" w:rsidRDefault="007F6ABE" w:rsidP="007F6ABE">
      <w:pPr>
        <w:spacing w:line="360" w:lineRule="auto"/>
        <w:jc w:val="both"/>
        <w:rPr>
          <w:rFonts w:ascii="Arial" w:hAnsi="Arial" w:cs="Arial"/>
          <w:b/>
          <w:bCs/>
          <w:i/>
          <w:iCs/>
          <w:sz w:val="24"/>
          <w:szCs w:val="24"/>
          <w:lang w:val="en-GB"/>
        </w:rPr>
      </w:pPr>
      <w:r w:rsidRPr="007F6ABE">
        <w:rPr>
          <w:rFonts w:ascii="Arial" w:hAnsi="Arial" w:cs="Arial"/>
          <w:b/>
          <w:bCs/>
          <w:i/>
          <w:iCs/>
          <w:sz w:val="24"/>
          <w:szCs w:val="24"/>
          <w:lang w:val="en-GB"/>
        </w:rPr>
        <w:t>Relevance and influence within the automobile industry</w:t>
      </w:r>
    </w:p>
    <w:p w14:paraId="243A85BE" w14:textId="77777777" w:rsidR="007F6ABE" w:rsidRPr="007F6ABE" w:rsidRDefault="007F6ABE" w:rsidP="007F6ABE">
      <w:pPr>
        <w:spacing w:line="360" w:lineRule="auto"/>
        <w:jc w:val="both"/>
        <w:rPr>
          <w:rFonts w:ascii="Arial" w:hAnsi="Arial" w:cs="Arial"/>
          <w:lang w:val="en-GB"/>
        </w:rPr>
      </w:pPr>
      <w:r w:rsidRPr="007F6ABE">
        <w:rPr>
          <w:rFonts w:ascii="Arial" w:hAnsi="Arial" w:cs="Arial"/>
          <w:sz w:val="24"/>
          <w:szCs w:val="24"/>
          <w:lang w:val="en-GB"/>
        </w:rPr>
        <w:t>The automobile industry of the UK is constantly striving to reduce carbon emissions and resource depletion, which makes this actor highly relevant and impactful. The industry has introduced plug-in hybrids in EVs that share the sales of 32.1% as per the reports of April 2025 (UK Parliament, 2025). The market has also shown a steady growth with EV sales increasing by 39.6% in June 2025 as compared to the previous year. Hence, charging infrastructure is also developing on UK roads, which makes environmental factors a suitable macro marketing actor.</w:t>
      </w:r>
    </w:p>
    <w:p w14:paraId="74298943" w14:textId="77777777" w:rsidR="00623EE9" w:rsidRDefault="00623EE9" w:rsidP="002968D9">
      <w:pPr>
        <w:pStyle w:val="Heading2"/>
        <w:rPr>
          <w:lang w:val="en-GB"/>
        </w:rPr>
      </w:pPr>
      <w:bookmarkStart w:id="8" w:name="_Toc213701470"/>
      <w:bookmarkStart w:id="9" w:name="_Toc213946260"/>
      <w:r w:rsidRPr="00491BF2">
        <w:rPr>
          <w:lang w:val="en-GB"/>
        </w:rPr>
        <w:t>2.3 Critical analysis of each actor</w:t>
      </w:r>
      <w:bookmarkEnd w:id="8"/>
      <w:bookmarkEnd w:id="9"/>
    </w:p>
    <w:p w14:paraId="7883B4DD" w14:textId="77777777" w:rsidR="0033239A" w:rsidRPr="0033239A" w:rsidRDefault="0033239A" w:rsidP="0033239A">
      <w:pPr>
        <w:spacing w:line="360" w:lineRule="auto"/>
        <w:jc w:val="both"/>
        <w:rPr>
          <w:rFonts w:ascii="Arial" w:hAnsi="Arial" w:cs="Arial"/>
          <w:b/>
          <w:bCs/>
          <w:sz w:val="24"/>
          <w:szCs w:val="24"/>
          <w:lang w:val="en-GB"/>
        </w:rPr>
      </w:pPr>
      <w:r w:rsidRPr="0033239A">
        <w:rPr>
          <w:rFonts w:ascii="Arial" w:hAnsi="Arial" w:cs="Arial"/>
          <w:b/>
          <w:bCs/>
          <w:sz w:val="24"/>
          <w:szCs w:val="24"/>
          <w:lang w:val="en-GB"/>
        </w:rPr>
        <w:t xml:space="preserve">Technological factors </w:t>
      </w:r>
    </w:p>
    <w:p w14:paraId="6FBE8748" w14:textId="77777777" w:rsidR="0033239A" w:rsidRPr="0033239A" w:rsidRDefault="0033239A" w:rsidP="0033239A">
      <w:pPr>
        <w:spacing w:line="360" w:lineRule="auto"/>
        <w:jc w:val="both"/>
        <w:rPr>
          <w:rFonts w:ascii="Arial" w:hAnsi="Arial" w:cs="Arial"/>
          <w:b/>
          <w:bCs/>
          <w:i/>
          <w:iCs/>
          <w:sz w:val="24"/>
          <w:szCs w:val="24"/>
          <w:lang w:val="en-GB"/>
        </w:rPr>
      </w:pPr>
      <w:r w:rsidRPr="0033239A">
        <w:rPr>
          <w:rFonts w:ascii="Arial" w:hAnsi="Arial" w:cs="Arial"/>
          <w:b/>
          <w:bCs/>
          <w:i/>
          <w:iCs/>
          <w:sz w:val="24"/>
          <w:szCs w:val="24"/>
          <w:lang w:val="en-GB"/>
        </w:rPr>
        <w:t xml:space="preserve">Impact analysis </w:t>
      </w:r>
    </w:p>
    <w:p w14:paraId="7B58BEE0" w14:textId="77777777" w:rsidR="0033239A" w:rsidRPr="0033239A" w:rsidRDefault="0033239A" w:rsidP="0033239A">
      <w:pPr>
        <w:spacing w:line="360" w:lineRule="auto"/>
        <w:jc w:val="both"/>
        <w:rPr>
          <w:rFonts w:ascii="Arial" w:hAnsi="Arial" w:cs="Arial"/>
          <w:sz w:val="24"/>
          <w:szCs w:val="24"/>
          <w:lang w:val="en-GB"/>
        </w:rPr>
      </w:pPr>
      <w:r w:rsidRPr="0033239A">
        <w:rPr>
          <w:rFonts w:ascii="Arial" w:hAnsi="Arial" w:cs="Arial"/>
          <w:sz w:val="24"/>
          <w:szCs w:val="24"/>
          <w:lang w:val="en-GB"/>
        </w:rPr>
        <w:lastRenderedPageBreak/>
        <w:t xml:space="preserve">BMW, as a pioneer, is a premium leader where technological actors have offered the opportunity of high control of high-end R&amp;D. For instance, BMW has invested around €9.1 billion in R&amp;D in 2024 to lead next-gen tech, which has increased its sales by 427,000 units in the same year (BMW Group, 2025). On the other hand, </w:t>
      </w:r>
      <w:proofErr w:type="spellStart"/>
      <w:r w:rsidRPr="0033239A">
        <w:rPr>
          <w:rFonts w:ascii="Arial" w:hAnsi="Arial" w:cs="Arial"/>
          <w:sz w:val="24"/>
          <w:szCs w:val="24"/>
          <w:lang w:val="en-GB"/>
        </w:rPr>
        <w:t>VinFast</w:t>
      </w:r>
      <w:proofErr w:type="spellEnd"/>
      <w:r w:rsidRPr="0033239A">
        <w:rPr>
          <w:rFonts w:ascii="Arial" w:hAnsi="Arial" w:cs="Arial"/>
          <w:sz w:val="24"/>
          <w:szCs w:val="24"/>
          <w:lang w:val="en-GB"/>
        </w:rPr>
        <w:t xml:space="preserve"> is a follower organisation, which has obtained the opportunity of a “clean-sheet” design and adopted a vertical integration strategy to launch its EV line</w:t>
      </w:r>
      <w:r w:rsidR="003B202F">
        <w:rPr>
          <w:rFonts w:ascii="Arial" w:hAnsi="Arial" w:cs="Arial"/>
          <w:sz w:val="24"/>
          <w:szCs w:val="24"/>
          <w:lang w:val="en-GB"/>
        </w:rPr>
        <w:t>-</w:t>
      </w:r>
      <w:r w:rsidRPr="0033239A">
        <w:rPr>
          <w:rFonts w:ascii="Arial" w:hAnsi="Arial" w:cs="Arial"/>
          <w:sz w:val="24"/>
          <w:szCs w:val="24"/>
          <w:lang w:val="en-GB"/>
        </w:rPr>
        <w:t xml:space="preserve">up. However, technology presents BMW with a high transition cost as a threat and quality concerns for </w:t>
      </w:r>
      <w:proofErr w:type="spellStart"/>
      <w:r w:rsidRPr="0033239A">
        <w:rPr>
          <w:rFonts w:ascii="Arial" w:hAnsi="Arial" w:cs="Arial"/>
          <w:sz w:val="24"/>
          <w:szCs w:val="24"/>
          <w:lang w:val="en-GB"/>
        </w:rPr>
        <w:t>VinFast</w:t>
      </w:r>
      <w:proofErr w:type="spellEnd"/>
      <w:r w:rsidRPr="0033239A">
        <w:rPr>
          <w:rFonts w:ascii="Arial" w:hAnsi="Arial" w:cs="Arial"/>
          <w:sz w:val="24"/>
          <w:szCs w:val="24"/>
          <w:lang w:val="en-GB"/>
        </w:rPr>
        <w:t>.</w:t>
      </w:r>
    </w:p>
    <w:p w14:paraId="169FA2F8" w14:textId="77777777" w:rsidR="0033239A" w:rsidRPr="0033239A" w:rsidRDefault="0033239A" w:rsidP="0033239A">
      <w:pPr>
        <w:spacing w:line="360" w:lineRule="auto"/>
        <w:jc w:val="both"/>
        <w:rPr>
          <w:rFonts w:ascii="Arial" w:hAnsi="Arial" w:cs="Arial"/>
          <w:b/>
          <w:bCs/>
          <w:i/>
          <w:iCs/>
          <w:sz w:val="24"/>
          <w:szCs w:val="24"/>
          <w:lang w:val="en-GB"/>
        </w:rPr>
      </w:pPr>
      <w:r w:rsidRPr="0033239A">
        <w:rPr>
          <w:rFonts w:ascii="Arial" w:hAnsi="Arial" w:cs="Arial"/>
          <w:b/>
          <w:bCs/>
          <w:i/>
          <w:iCs/>
          <w:sz w:val="24"/>
          <w:szCs w:val="24"/>
          <w:lang w:val="en-GB"/>
        </w:rPr>
        <w:t xml:space="preserve">Key strategic implications </w:t>
      </w:r>
    </w:p>
    <w:p w14:paraId="053BC6DC" w14:textId="77777777" w:rsidR="0033239A" w:rsidRPr="0033239A" w:rsidRDefault="0033239A" w:rsidP="0033239A">
      <w:pPr>
        <w:spacing w:line="360" w:lineRule="auto"/>
        <w:jc w:val="both"/>
        <w:rPr>
          <w:rFonts w:ascii="Arial" w:hAnsi="Arial" w:cs="Arial"/>
          <w:sz w:val="24"/>
          <w:szCs w:val="24"/>
          <w:lang w:val="en-GB"/>
        </w:rPr>
      </w:pPr>
      <w:r w:rsidRPr="0033239A">
        <w:rPr>
          <w:rFonts w:ascii="Arial" w:hAnsi="Arial" w:cs="Arial"/>
          <w:sz w:val="24"/>
          <w:szCs w:val="24"/>
          <w:lang w:val="en-GB"/>
        </w:rPr>
        <w:t xml:space="preserve">The strategic implications of technology for BMW involve sustained R&amp;D and platform shift with the focus area of software experience and hydrogen exploration (Pascucci </w:t>
      </w:r>
      <w:r w:rsidRPr="0033239A">
        <w:rPr>
          <w:rFonts w:ascii="Arial" w:hAnsi="Arial" w:cs="Arial"/>
          <w:i/>
          <w:iCs/>
          <w:sz w:val="24"/>
          <w:szCs w:val="24"/>
          <w:lang w:val="en-GB"/>
        </w:rPr>
        <w:t xml:space="preserve">et al. </w:t>
      </w:r>
      <w:r w:rsidRPr="0033239A">
        <w:rPr>
          <w:rFonts w:ascii="Arial" w:hAnsi="Arial" w:cs="Arial"/>
          <w:sz w:val="24"/>
          <w:szCs w:val="24"/>
          <w:lang w:val="en-GB"/>
        </w:rPr>
        <w:t xml:space="preserve">2023). Whereas, the implications of the technological actor for </w:t>
      </w:r>
      <w:proofErr w:type="spellStart"/>
      <w:r w:rsidRPr="0033239A">
        <w:rPr>
          <w:rFonts w:ascii="Arial" w:hAnsi="Arial" w:cs="Arial"/>
          <w:sz w:val="24"/>
          <w:szCs w:val="24"/>
          <w:lang w:val="en-GB"/>
        </w:rPr>
        <w:t>VinFast</w:t>
      </w:r>
      <w:proofErr w:type="spellEnd"/>
      <w:r w:rsidRPr="0033239A">
        <w:rPr>
          <w:rFonts w:ascii="Arial" w:hAnsi="Arial" w:cs="Arial"/>
          <w:sz w:val="24"/>
          <w:szCs w:val="24"/>
          <w:lang w:val="en-GB"/>
        </w:rPr>
        <w:t xml:space="preserve"> lie in its aggressive localisation and value capture, focusing on cost optimisation and quality control. </w:t>
      </w:r>
    </w:p>
    <w:p w14:paraId="61489354" w14:textId="77777777" w:rsidR="0033239A" w:rsidRPr="0033239A" w:rsidRDefault="0033239A" w:rsidP="0033239A">
      <w:pPr>
        <w:spacing w:line="360" w:lineRule="auto"/>
        <w:jc w:val="both"/>
        <w:rPr>
          <w:rFonts w:ascii="Arial" w:hAnsi="Arial" w:cs="Arial"/>
          <w:b/>
          <w:bCs/>
          <w:sz w:val="24"/>
          <w:szCs w:val="24"/>
          <w:lang w:val="en-GB"/>
        </w:rPr>
      </w:pPr>
      <w:r w:rsidRPr="0033239A">
        <w:rPr>
          <w:rFonts w:ascii="Arial" w:hAnsi="Arial" w:cs="Arial"/>
          <w:b/>
          <w:bCs/>
          <w:sz w:val="24"/>
          <w:szCs w:val="24"/>
          <w:lang w:val="en-GB"/>
        </w:rPr>
        <w:t xml:space="preserve">Environmental factors </w:t>
      </w:r>
    </w:p>
    <w:p w14:paraId="3848DA34" w14:textId="77777777" w:rsidR="0033239A" w:rsidRPr="0033239A" w:rsidRDefault="0033239A" w:rsidP="0033239A">
      <w:pPr>
        <w:spacing w:line="360" w:lineRule="auto"/>
        <w:jc w:val="both"/>
        <w:rPr>
          <w:rFonts w:ascii="Arial" w:hAnsi="Arial" w:cs="Arial"/>
          <w:b/>
          <w:bCs/>
          <w:i/>
          <w:iCs/>
          <w:sz w:val="24"/>
          <w:szCs w:val="24"/>
          <w:lang w:val="en-GB"/>
        </w:rPr>
      </w:pPr>
      <w:r w:rsidRPr="0033239A">
        <w:rPr>
          <w:rFonts w:ascii="Arial" w:hAnsi="Arial" w:cs="Arial"/>
          <w:b/>
          <w:bCs/>
          <w:i/>
          <w:iCs/>
          <w:sz w:val="24"/>
          <w:szCs w:val="24"/>
          <w:lang w:val="en-GB"/>
        </w:rPr>
        <w:t xml:space="preserve">Impact analysis </w:t>
      </w:r>
    </w:p>
    <w:p w14:paraId="5DE7CAD1" w14:textId="77777777" w:rsidR="0033239A" w:rsidRPr="0033239A" w:rsidRDefault="0033239A" w:rsidP="0033239A">
      <w:pPr>
        <w:spacing w:line="360" w:lineRule="auto"/>
        <w:jc w:val="both"/>
        <w:rPr>
          <w:rFonts w:ascii="Arial" w:hAnsi="Arial" w:cs="Arial"/>
          <w:sz w:val="24"/>
          <w:szCs w:val="24"/>
          <w:lang w:val="en-GB"/>
        </w:rPr>
      </w:pPr>
      <w:r w:rsidRPr="0033239A">
        <w:rPr>
          <w:rFonts w:ascii="Arial" w:hAnsi="Arial" w:cs="Arial"/>
          <w:sz w:val="24"/>
          <w:szCs w:val="24"/>
          <w:lang w:val="en-GB"/>
        </w:rPr>
        <w:t xml:space="preserve">The environmental elements provide BMW with the opportunity of leadership in sustainability and premium pricing by embedding an approach of a holistic circular economy. For instance, BMW is committed to reducing carbon emissions by 40% per vehicle by 2030 (ET Auto, 2022). For </w:t>
      </w:r>
      <w:proofErr w:type="spellStart"/>
      <w:r w:rsidRPr="0033239A">
        <w:rPr>
          <w:rFonts w:ascii="Arial" w:hAnsi="Arial" w:cs="Arial"/>
          <w:sz w:val="24"/>
          <w:szCs w:val="24"/>
          <w:lang w:val="en-GB"/>
        </w:rPr>
        <w:t>VinFast</w:t>
      </w:r>
      <w:proofErr w:type="spellEnd"/>
      <w:r w:rsidRPr="0033239A">
        <w:rPr>
          <w:rFonts w:ascii="Arial" w:hAnsi="Arial" w:cs="Arial"/>
          <w:sz w:val="24"/>
          <w:szCs w:val="24"/>
          <w:lang w:val="en-GB"/>
        </w:rPr>
        <w:t xml:space="preserve">, a follower organisation of BMW, environmental factors have helped in defining the brand as the company has promoted zero-tailpipe emissions. In contrast, Scope 3 Emissions scrutiny and supply chain dependency are threats for BMW and </w:t>
      </w:r>
      <w:proofErr w:type="spellStart"/>
      <w:r w:rsidRPr="0033239A">
        <w:rPr>
          <w:rFonts w:ascii="Arial" w:hAnsi="Arial" w:cs="Arial"/>
          <w:sz w:val="24"/>
          <w:szCs w:val="24"/>
          <w:lang w:val="en-GB"/>
        </w:rPr>
        <w:t>VinFast</w:t>
      </w:r>
      <w:proofErr w:type="spellEnd"/>
      <w:r w:rsidRPr="0033239A">
        <w:rPr>
          <w:rFonts w:ascii="Arial" w:hAnsi="Arial" w:cs="Arial"/>
          <w:sz w:val="24"/>
          <w:szCs w:val="24"/>
          <w:lang w:val="en-GB"/>
        </w:rPr>
        <w:t xml:space="preserve">, respectively. </w:t>
      </w:r>
    </w:p>
    <w:p w14:paraId="205C8A2C" w14:textId="77777777" w:rsidR="0033239A" w:rsidRPr="0033239A" w:rsidRDefault="0033239A" w:rsidP="0033239A">
      <w:pPr>
        <w:spacing w:line="360" w:lineRule="auto"/>
        <w:jc w:val="both"/>
        <w:rPr>
          <w:rFonts w:ascii="Arial" w:hAnsi="Arial" w:cs="Arial"/>
          <w:b/>
          <w:bCs/>
          <w:i/>
          <w:iCs/>
          <w:sz w:val="24"/>
          <w:szCs w:val="24"/>
          <w:lang w:val="en-GB"/>
        </w:rPr>
      </w:pPr>
      <w:r w:rsidRPr="0033239A">
        <w:rPr>
          <w:rFonts w:ascii="Arial" w:hAnsi="Arial" w:cs="Arial"/>
          <w:b/>
          <w:bCs/>
          <w:i/>
          <w:iCs/>
          <w:sz w:val="24"/>
          <w:szCs w:val="24"/>
          <w:lang w:val="en-GB"/>
        </w:rPr>
        <w:t>Key strategic implications</w:t>
      </w:r>
    </w:p>
    <w:p w14:paraId="192D7016" w14:textId="77777777" w:rsidR="0033239A" w:rsidRPr="0033239A" w:rsidRDefault="0033239A" w:rsidP="0033239A">
      <w:pPr>
        <w:spacing w:line="360" w:lineRule="auto"/>
        <w:jc w:val="both"/>
        <w:rPr>
          <w:rFonts w:ascii="Arial" w:hAnsi="Arial" w:cs="Arial"/>
          <w:lang w:val="en-GB"/>
        </w:rPr>
      </w:pPr>
      <w:r w:rsidRPr="0033239A">
        <w:rPr>
          <w:rFonts w:ascii="Arial" w:hAnsi="Arial" w:cs="Arial"/>
          <w:sz w:val="24"/>
          <w:szCs w:val="24"/>
          <w:lang w:val="en-GB"/>
        </w:rPr>
        <w:t xml:space="preserve">BMW, being the pioneer company, has mandated a circular economy for protective resource management as a strategic implication of the environmental factors. Similarly, the focus areas of </w:t>
      </w:r>
      <w:proofErr w:type="spellStart"/>
      <w:r w:rsidRPr="0033239A">
        <w:rPr>
          <w:rFonts w:ascii="Arial" w:hAnsi="Arial" w:cs="Arial"/>
          <w:sz w:val="24"/>
          <w:szCs w:val="24"/>
          <w:lang w:val="en-GB"/>
        </w:rPr>
        <w:t>VinFast</w:t>
      </w:r>
      <w:proofErr w:type="spellEnd"/>
      <w:r w:rsidRPr="0033239A">
        <w:rPr>
          <w:rFonts w:ascii="Arial" w:hAnsi="Arial" w:cs="Arial"/>
          <w:sz w:val="24"/>
          <w:szCs w:val="24"/>
          <w:lang w:val="en-GB"/>
        </w:rPr>
        <w:t xml:space="preserve"> are factory green certification and energy efficiency in manufacturing using cost-effective green compliance (Kumar </w:t>
      </w:r>
      <w:r w:rsidRPr="0033239A">
        <w:rPr>
          <w:rFonts w:ascii="Arial" w:hAnsi="Arial" w:cs="Arial"/>
          <w:i/>
          <w:iCs/>
          <w:sz w:val="24"/>
          <w:szCs w:val="24"/>
          <w:lang w:val="en-GB"/>
        </w:rPr>
        <w:t xml:space="preserve">et al. </w:t>
      </w:r>
      <w:r w:rsidRPr="0033239A">
        <w:rPr>
          <w:rFonts w:ascii="Arial" w:hAnsi="Arial" w:cs="Arial"/>
          <w:sz w:val="24"/>
          <w:szCs w:val="24"/>
          <w:lang w:val="en-GB"/>
        </w:rPr>
        <w:t>2021).</w:t>
      </w:r>
    </w:p>
    <w:p w14:paraId="7F31B502" w14:textId="77777777" w:rsidR="00623EE9" w:rsidRPr="00491BF2" w:rsidRDefault="00623EE9" w:rsidP="002968D9">
      <w:pPr>
        <w:pStyle w:val="Heading1"/>
        <w:rPr>
          <w:lang w:val="en-GB"/>
        </w:rPr>
      </w:pPr>
      <w:bookmarkStart w:id="10" w:name="_Toc213701471"/>
      <w:bookmarkStart w:id="11" w:name="_Toc213946261"/>
      <w:r w:rsidRPr="00491BF2">
        <w:rPr>
          <w:lang w:val="en-GB"/>
        </w:rPr>
        <w:lastRenderedPageBreak/>
        <w:t>3. Strategic responses of pioneering and follower organisations</w:t>
      </w:r>
      <w:bookmarkEnd w:id="10"/>
      <w:bookmarkEnd w:id="11"/>
    </w:p>
    <w:p w14:paraId="30FA16B2" w14:textId="77777777" w:rsidR="00623EE9" w:rsidRDefault="00623EE9" w:rsidP="002968D9">
      <w:pPr>
        <w:pStyle w:val="Heading2"/>
        <w:rPr>
          <w:lang w:val="en-GB"/>
        </w:rPr>
      </w:pPr>
      <w:bookmarkStart w:id="12" w:name="_Toc213701472"/>
      <w:bookmarkStart w:id="13" w:name="_Toc213946262"/>
      <w:r w:rsidRPr="00491BF2">
        <w:rPr>
          <w:lang w:val="en-GB"/>
        </w:rPr>
        <w:t>3.1 Pioneering organisation’s strategic responses</w:t>
      </w:r>
      <w:bookmarkEnd w:id="12"/>
      <w:bookmarkEnd w:id="13"/>
    </w:p>
    <w:p w14:paraId="05458601" w14:textId="77777777" w:rsidR="00A87F68" w:rsidRDefault="00A87F68" w:rsidP="00735C9B">
      <w:pPr>
        <w:spacing w:line="360" w:lineRule="auto"/>
        <w:jc w:val="both"/>
        <w:rPr>
          <w:rFonts w:ascii="Arial" w:hAnsi="Arial" w:cs="Arial"/>
          <w:b/>
          <w:sz w:val="24"/>
          <w:lang w:val="en-GB"/>
        </w:rPr>
      </w:pPr>
      <w:r>
        <w:rPr>
          <w:rFonts w:ascii="Arial" w:hAnsi="Arial" w:cs="Arial"/>
          <w:b/>
          <w:sz w:val="24"/>
          <w:lang w:val="en-GB"/>
        </w:rPr>
        <w:t>BMW responding to external challenges and opportunities</w:t>
      </w:r>
    </w:p>
    <w:p w14:paraId="573297F3" w14:textId="77777777" w:rsidR="00A87F68" w:rsidRPr="00B24F92" w:rsidRDefault="00A87F68" w:rsidP="00A87F68">
      <w:pPr>
        <w:spacing w:line="360" w:lineRule="auto"/>
        <w:jc w:val="both"/>
        <w:rPr>
          <w:rFonts w:ascii="Arial" w:hAnsi="Arial" w:cs="Arial"/>
          <w:sz w:val="24"/>
          <w:lang w:val="en-GB"/>
        </w:rPr>
      </w:pPr>
      <w:r w:rsidRPr="00491BF2">
        <w:rPr>
          <w:rFonts w:ascii="Arial" w:hAnsi="Arial" w:cs="Arial"/>
          <w:sz w:val="24"/>
          <w:lang w:val="en-GB"/>
        </w:rPr>
        <w:t xml:space="preserve">The marketing strategies of BMW are more successful in the UK as the company </w:t>
      </w:r>
      <w:r w:rsidR="005837FB">
        <w:rPr>
          <w:rFonts w:ascii="Arial" w:hAnsi="Arial" w:cs="Arial"/>
          <w:sz w:val="24"/>
          <w:lang w:val="en-GB"/>
        </w:rPr>
        <w:t>responds strategically to overcome the external issues</w:t>
      </w:r>
      <w:r w:rsidRPr="00491BF2">
        <w:rPr>
          <w:rFonts w:ascii="Arial" w:hAnsi="Arial" w:cs="Arial"/>
          <w:sz w:val="24"/>
          <w:lang w:val="en-GB"/>
        </w:rPr>
        <w:t xml:space="preserve">. The growth rate of BMW in the UK is 12% as a leading premium luxury car brand with a market share of 22.6% in this sector in 2024 (BMW Group, 2025). In the success metric of EV adoption and future-proofing, the e-mobility strategy of BMW focuses on electrification in the UK. As per the statistics of 2024, 26.9% BMW registrations are BEV and PHEV in the UK (Evison, 2025). The application of </w:t>
      </w:r>
      <w:r w:rsidRPr="00491BF2">
        <w:rPr>
          <w:rFonts w:ascii="Arial" w:hAnsi="Arial" w:cs="Arial"/>
          <w:b/>
          <w:i/>
          <w:sz w:val="24"/>
          <w:lang w:val="en-GB"/>
        </w:rPr>
        <w:t xml:space="preserve">Cultural Relativism </w:t>
      </w:r>
      <w:r w:rsidRPr="00491BF2">
        <w:rPr>
          <w:rFonts w:ascii="Arial" w:hAnsi="Arial" w:cs="Arial"/>
          <w:sz w:val="24"/>
          <w:lang w:val="en-GB"/>
        </w:rPr>
        <w:t xml:space="preserve">in the context of BMW's ethical marketing practice demonstrates that the practices of BMW are ethical in the UK. </w:t>
      </w:r>
      <w:r w:rsidR="00B24F92" w:rsidRPr="00491BF2">
        <w:rPr>
          <w:rFonts w:ascii="Arial" w:hAnsi="Arial" w:cs="Arial"/>
          <w:sz w:val="24"/>
          <w:lang w:val="en-GB"/>
        </w:rPr>
        <w:t xml:space="preserve">However, BMW faces ethical issues of </w:t>
      </w:r>
      <w:r w:rsidR="00B24F92" w:rsidRPr="00491BF2">
        <w:rPr>
          <w:rFonts w:ascii="Arial" w:hAnsi="Arial" w:cs="Arial"/>
          <w:b/>
          <w:i/>
          <w:sz w:val="24"/>
          <w:lang w:val="en-GB"/>
        </w:rPr>
        <w:t xml:space="preserve">greenwashing </w:t>
      </w:r>
      <w:r w:rsidR="00B24F92" w:rsidRPr="00491BF2">
        <w:rPr>
          <w:rFonts w:ascii="Arial" w:hAnsi="Arial" w:cs="Arial"/>
          <w:sz w:val="24"/>
          <w:lang w:val="en-GB"/>
        </w:rPr>
        <w:t>in this region, especially related to environmental impacts.</w:t>
      </w:r>
      <w:r w:rsidR="00B24F92">
        <w:rPr>
          <w:rFonts w:ascii="Arial" w:hAnsi="Arial" w:cs="Arial"/>
          <w:sz w:val="24"/>
          <w:lang w:val="en-GB"/>
        </w:rPr>
        <w:t xml:space="preserve"> </w:t>
      </w:r>
      <w:r w:rsidRPr="00491BF2">
        <w:rPr>
          <w:rFonts w:ascii="Arial" w:hAnsi="Arial" w:cs="Arial"/>
          <w:sz w:val="24"/>
          <w:lang w:val="en-GB"/>
        </w:rPr>
        <w:t xml:space="preserve">For instance, the primary ethical </w:t>
      </w:r>
      <w:r w:rsidR="00B24F92">
        <w:rPr>
          <w:rFonts w:ascii="Arial" w:hAnsi="Arial" w:cs="Arial"/>
          <w:sz w:val="24"/>
          <w:lang w:val="en-GB"/>
        </w:rPr>
        <w:t>response</w:t>
      </w:r>
      <w:r w:rsidRPr="00491BF2">
        <w:rPr>
          <w:rFonts w:ascii="Arial" w:hAnsi="Arial" w:cs="Arial"/>
          <w:sz w:val="24"/>
          <w:lang w:val="en-GB"/>
        </w:rPr>
        <w:t xml:space="preserve"> in the UK involves transparency and literal truth by complying with regulatory bodies like the ASA. </w:t>
      </w:r>
    </w:p>
    <w:p w14:paraId="4AFC18F9" w14:textId="77777777" w:rsidR="00735C9B" w:rsidRDefault="00735C9B" w:rsidP="00735C9B">
      <w:pPr>
        <w:spacing w:line="360" w:lineRule="auto"/>
        <w:jc w:val="both"/>
        <w:rPr>
          <w:rFonts w:ascii="Arial" w:hAnsi="Arial" w:cs="Arial"/>
          <w:b/>
          <w:sz w:val="24"/>
          <w:lang w:val="en-GB"/>
        </w:rPr>
      </w:pPr>
      <w:r>
        <w:rPr>
          <w:rFonts w:ascii="Arial" w:hAnsi="Arial" w:cs="Arial"/>
          <w:b/>
          <w:sz w:val="24"/>
          <w:lang w:val="en-GB"/>
        </w:rPr>
        <w:t>Ansoff’s Growth Matrix</w:t>
      </w:r>
    </w:p>
    <w:p w14:paraId="4456DE2D" w14:textId="77777777" w:rsidR="003957EF" w:rsidRDefault="00C65602" w:rsidP="003957EF">
      <w:pPr>
        <w:spacing w:line="360" w:lineRule="auto"/>
        <w:jc w:val="center"/>
        <w:rPr>
          <w:rFonts w:ascii="Arial" w:hAnsi="Arial" w:cs="Arial"/>
          <w:b/>
          <w:sz w:val="24"/>
          <w:lang w:val="en-GB"/>
        </w:rPr>
      </w:pPr>
      <w:r>
        <w:rPr>
          <w:rFonts w:ascii="Arial" w:hAnsi="Arial" w:cs="Arial"/>
          <w:b/>
          <w:noProof/>
          <w:sz w:val="24"/>
        </w:rPr>
        <w:lastRenderedPageBreak/>
        <w:drawing>
          <wp:inline distT="0" distB="0" distL="0" distR="0" wp14:anchorId="2E75C89F" wp14:editId="779E506D">
            <wp:extent cx="4633383" cy="5377275"/>
            <wp:effectExtent l="38100" t="57150" r="110067" b="900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srcRect/>
                    <a:stretch>
                      <a:fillRect/>
                    </a:stretch>
                  </pic:blipFill>
                  <pic:spPr bwMode="auto">
                    <a:xfrm>
                      <a:off x="0" y="0"/>
                      <a:ext cx="4633383" cy="5377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963665" w14:textId="77777777" w:rsidR="003957EF" w:rsidRDefault="003957EF" w:rsidP="003957EF">
      <w:pPr>
        <w:spacing w:line="360" w:lineRule="auto"/>
        <w:jc w:val="center"/>
        <w:rPr>
          <w:rFonts w:ascii="Arial" w:hAnsi="Arial" w:cs="Arial"/>
          <w:b/>
          <w:sz w:val="24"/>
          <w:lang w:val="en-GB"/>
        </w:rPr>
      </w:pPr>
      <w:r>
        <w:rPr>
          <w:rFonts w:ascii="Arial" w:hAnsi="Arial" w:cs="Arial"/>
          <w:b/>
          <w:sz w:val="24"/>
          <w:lang w:val="en-GB"/>
        </w:rPr>
        <w:t>Figure 1: Ansoff Matrix of BMW</w:t>
      </w:r>
    </w:p>
    <w:p w14:paraId="44B1968F" w14:textId="77777777" w:rsidR="003957EF" w:rsidRPr="003957EF" w:rsidRDefault="003957EF" w:rsidP="003957EF">
      <w:pPr>
        <w:spacing w:line="360" w:lineRule="auto"/>
        <w:jc w:val="center"/>
        <w:rPr>
          <w:rFonts w:ascii="Arial" w:hAnsi="Arial" w:cs="Arial"/>
          <w:sz w:val="24"/>
          <w:lang w:val="en-GB"/>
        </w:rPr>
      </w:pPr>
      <w:r>
        <w:rPr>
          <w:rFonts w:ascii="Arial" w:hAnsi="Arial" w:cs="Arial"/>
          <w:sz w:val="24"/>
          <w:lang w:val="en-GB"/>
        </w:rPr>
        <w:t xml:space="preserve">(Source: Influenced by </w:t>
      </w:r>
      <w:r w:rsidRPr="0080164D">
        <w:rPr>
          <w:rFonts w:ascii="Arial" w:hAnsi="Arial" w:cs="Arial"/>
          <w:sz w:val="24"/>
          <w:lang w:val="en-GB"/>
        </w:rPr>
        <w:t xml:space="preserve">Pascucci </w:t>
      </w:r>
      <w:r w:rsidRPr="0080164D">
        <w:rPr>
          <w:rFonts w:ascii="Arial" w:hAnsi="Arial" w:cs="Arial"/>
          <w:i/>
          <w:iCs/>
          <w:sz w:val="24"/>
          <w:lang w:val="en-GB"/>
        </w:rPr>
        <w:t xml:space="preserve">et al. </w:t>
      </w:r>
      <w:r w:rsidRPr="0080164D">
        <w:rPr>
          <w:rFonts w:ascii="Arial" w:hAnsi="Arial" w:cs="Arial"/>
          <w:sz w:val="24"/>
          <w:lang w:val="en-GB"/>
        </w:rPr>
        <w:t>2023</w:t>
      </w:r>
      <w:r>
        <w:rPr>
          <w:rFonts w:ascii="Arial" w:hAnsi="Arial" w:cs="Arial"/>
          <w:sz w:val="24"/>
          <w:lang w:val="en-GB"/>
        </w:rPr>
        <w:t>)</w:t>
      </w:r>
    </w:p>
    <w:p w14:paraId="6BE9CBEE" w14:textId="77777777" w:rsidR="00735C9B" w:rsidRPr="00735C9B" w:rsidRDefault="0080164D" w:rsidP="00735C9B">
      <w:pPr>
        <w:spacing w:line="360" w:lineRule="auto"/>
        <w:jc w:val="both"/>
        <w:rPr>
          <w:rFonts w:ascii="Arial" w:hAnsi="Arial" w:cs="Arial"/>
          <w:sz w:val="24"/>
          <w:lang w:val="en-GB"/>
        </w:rPr>
      </w:pPr>
      <w:r w:rsidRPr="0080164D">
        <w:rPr>
          <w:rFonts w:ascii="Arial" w:hAnsi="Arial" w:cs="Arial"/>
          <w:sz w:val="24"/>
          <w:lang w:val="en-GB"/>
        </w:rPr>
        <w:t xml:space="preserve">As per this matrix, using the strategy of market penetration comes with the lowest risk for BMW with existing products in the existing markets. The critical evaluation of this business shows that the response of this pioneer company involves incumbency and </w:t>
      </w:r>
      <w:r w:rsidR="007B3E15" w:rsidRPr="0080164D">
        <w:rPr>
          <w:rFonts w:ascii="Arial" w:hAnsi="Arial" w:cs="Arial"/>
          <w:sz w:val="24"/>
          <w:lang w:val="en-GB"/>
        </w:rPr>
        <w:t>defence</w:t>
      </w:r>
      <w:r w:rsidRPr="0080164D">
        <w:rPr>
          <w:rFonts w:ascii="Arial" w:hAnsi="Arial" w:cs="Arial"/>
          <w:sz w:val="24"/>
          <w:lang w:val="en-GB"/>
        </w:rPr>
        <w:t xml:space="preserve"> by leveraging a strong distribution network and brand loyalty (Pascucci </w:t>
      </w:r>
      <w:r w:rsidRPr="0080164D">
        <w:rPr>
          <w:rFonts w:ascii="Arial" w:hAnsi="Arial" w:cs="Arial"/>
          <w:i/>
          <w:iCs/>
          <w:sz w:val="24"/>
          <w:lang w:val="en-GB"/>
        </w:rPr>
        <w:t xml:space="preserve">et al. </w:t>
      </w:r>
      <w:r w:rsidRPr="0080164D">
        <w:rPr>
          <w:rFonts w:ascii="Arial" w:hAnsi="Arial" w:cs="Arial"/>
          <w:sz w:val="24"/>
          <w:lang w:val="en-GB"/>
        </w:rPr>
        <w:t>2023).</w:t>
      </w:r>
      <w:r>
        <w:rPr>
          <w:rFonts w:ascii="Arial" w:hAnsi="Arial" w:cs="Arial"/>
          <w:sz w:val="24"/>
          <w:lang w:val="en-GB"/>
        </w:rPr>
        <w:t xml:space="preserve"> </w:t>
      </w:r>
      <w:r w:rsidR="00735C9B" w:rsidRPr="00491BF2">
        <w:rPr>
          <w:rFonts w:ascii="Arial" w:hAnsi="Arial" w:cs="Arial"/>
          <w:sz w:val="24"/>
          <w:lang w:val="en-GB"/>
        </w:rPr>
        <w:t xml:space="preserve">In terms of brand awareness, BMW has created a top position in the UK with a strong sales growth of 7 Series (+48%) and XM (+184%) (BMW Group, 2025). It has </w:t>
      </w:r>
      <w:r w:rsidR="00735C9B" w:rsidRPr="00491BF2">
        <w:rPr>
          <w:rFonts w:ascii="Arial" w:hAnsi="Arial" w:cs="Arial"/>
          <w:sz w:val="24"/>
          <w:lang w:val="en-GB"/>
        </w:rPr>
        <w:lastRenderedPageBreak/>
        <w:t>been suggested that the success of bold and luxury innovation is a key component of marketing strategies in this region. BMW has 160 physical sites involving 120 full dealerships in the UK, providing an exceptional customer experience. Therefore, the marketing strategy of BMW in the UK is successful in capitalising on the growing demand for EVs.</w:t>
      </w:r>
      <w:r w:rsidR="007B3E15">
        <w:rPr>
          <w:rFonts w:ascii="Arial" w:hAnsi="Arial" w:cs="Arial"/>
          <w:sz w:val="24"/>
          <w:lang w:val="en-GB"/>
        </w:rPr>
        <w:t xml:space="preserve"> </w:t>
      </w:r>
      <w:r w:rsidR="007B3E15" w:rsidRPr="007B3E15">
        <w:rPr>
          <w:rFonts w:ascii="Arial" w:hAnsi="Arial" w:cs="Arial"/>
          <w:sz w:val="24"/>
          <w:lang w:val="en-GB"/>
        </w:rPr>
        <w:t>On the other hand, using product development strategies can cause moderate risk for BMW, as the examples of the Neue Klasse platform have shown. This response can be evaluated as an innovation-as-defence strategy through the development of the 6th-gen EV platform and battery technology (Chakravarty, 2025)</w:t>
      </w:r>
      <w:r w:rsidR="00883FDA">
        <w:rPr>
          <w:rFonts w:ascii="Arial" w:hAnsi="Arial" w:cs="Arial"/>
          <w:sz w:val="24"/>
          <w:lang w:val="en-GB"/>
        </w:rPr>
        <w:t>.</w:t>
      </w:r>
    </w:p>
    <w:p w14:paraId="03415D74" w14:textId="77777777" w:rsidR="00735C9B" w:rsidRDefault="00735C9B" w:rsidP="00735C9B">
      <w:pPr>
        <w:spacing w:line="360" w:lineRule="auto"/>
        <w:jc w:val="both"/>
        <w:rPr>
          <w:rFonts w:ascii="Arial" w:hAnsi="Arial" w:cs="Arial"/>
          <w:b/>
          <w:sz w:val="24"/>
          <w:lang w:val="en-GB"/>
        </w:rPr>
      </w:pPr>
      <w:r>
        <w:rPr>
          <w:rFonts w:ascii="Arial" w:hAnsi="Arial" w:cs="Arial"/>
          <w:b/>
          <w:sz w:val="24"/>
          <w:lang w:val="en-GB"/>
        </w:rPr>
        <w:t xml:space="preserve">Porter’s Generic Matrix </w:t>
      </w:r>
    </w:p>
    <w:p w14:paraId="7DAAE582" w14:textId="77777777" w:rsidR="00285DE0" w:rsidRDefault="00285DE0" w:rsidP="00285DE0">
      <w:pPr>
        <w:spacing w:line="360" w:lineRule="auto"/>
        <w:jc w:val="center"/>
        <w:rPr>
          <w:rFonts w:ascii="Arial" w:hAnsi="Arial" w:cs="Arial"/>
          <w:b/>
          <w:sz w:val="24"/>
          <w:lang w:val="en-GB"/>
        </w:rPr>
      </w:pPr>
      <w:r>
        <w:rPr>
          <w:rFonts w:ascii="Arial" w:hAnsi="Arial" w:cs="Arial"/>
          <w:b/>
          <w:noProof/>
          <w:sz w:val="24"/>
        </w:rPr>
        <w:lastRenderedPageBreak/>
        <w:drawing>
          <wp:inline distT="0" distB="0" distL="0" distR="0" wp14:anchorId="0F806F8B" wp14:editId="4D43EA68">
            <wp:extent cx="4311485" cy="5548280"/>
            <wp:effectExtent l="38100" t="57150" r="108115" b="905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4311615" cy="55484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33992D" w14:textId="77777777" w:rsidR="00285DE0" w:rsidRDefault="00285DE0" w:rsidP="00285DE0">
      <w:pPr>
        <w:spacing w:line="360" w:lineRule="auto"/>
        <w:jc w:val="center"/>
        <w:rPr>
          <w:rFonts w:ascii="Arial" w:hAnsi="Arial" w:cs="Arial"/>
          <w:b/>
          <w:sz w:val="24"/>
          <w:lang w:val="en-GB"/>
        </w:rPr>
      </w:pPr>
      <w:r>
        <w:rPr>
          <w:rFonts w:ascii="Arial" w:hAnsi="Arial" w:cs="Arial"/>
          <w:b/>
          <w:sz w:val="24"/>
          <w:lang w:val="en-GB"/>
        </w:rPr>
        <w:t>Figure 2: Porter’s Generic Matrix for BMW</w:t>
      </w:r>
    </w:p>
    <w:p w14:paraId="768821F2" w14:textId="77777777" w:rsidR="00285DE0" w:rsidRPr="00285DE0" w:rsidRDefault="00285DE0" w:rsidP="00285DE0">
      <w:pPr>
        <w:spacing w:line="360" w:lineRule="auto"/>
        <w:jc w:val="center"/>
        <w:rPr>
          <w:rFonts w:ascii="Arial" w:hAnsi="Arial" w:cs="Arial"/>
          <w:sz w:val="24"/>
          <w:lang w:val="en-GB"/>
        </w:rPr>
      </w:pPr>
      <w:r>
        <w:rPr>
          <w:rFonts w:ascii="Arial" w:hAnsi="Arial" w:cs="Arial"/>
          <w:sz w:val="24"/>
          <w:lang w:val="en-GB"/>
        </w:rPr>
        <w:t xml:space="preserve">(Source: Influenced by </w:t>
      </w:r>
      <w:r w:rsidRPr="00C651A3">
        <w:rPr>
          <w:rFonts w:ascii="Arial" w:hAnsi="Arial" w:cs="Arial"/>
          <w:sz w:val="24"/>
          <w:lang w:val="en-GB"/>
        </w:rPr>
        <w:t>Ali and Anwar, 2021</w:t>
      </w:r>
      <w:r>
        <w:rPr>
          <w:rFonts w:ascii="Arial" w:hAnsi="Arial" w:cs="Arial"/>
          <w:sz w:val="24"/>
          <w:lang w:val="en-GB"/>
        </w:rPr>
        <w:t>)</w:t>
      </w:r>
    </w:p>
    <w:p w14:paraId="5F8B2F82" w14:textId="77777777" w:rsidR="001C3549" w:rsidRPr="00491BF2" w:rsidRDefault="00C651A3" w:rsidP="00623EE9">
      <w:pPr>
        <w:spacing w:line="360" w:lineRule="auto"/>
        <w:jc w:val="both"/>
        <w:rPr>
          <w:rFonts w:ascii="Arial" w:hAnsi="Arial" w:cs="Arial"/>
          <w:sz w:val="24"/>
          <w:lang w:val="en-GB"/>
        </w:rPr>
      </w:pPr>
      <w:r w:rsidRPr="00C651A3">
        <w:rPr>
          <w:rFonts w:ascii="Arial" w:hAnsi="Arial" w:cs="Arial"/>
          <w:sz w:val="24"/>
          <w:lang w:val="en-GB"/>
        </w:rPr>
        <w:t xml:space="preserve">As per Porter's Matrix, differentiation is the primary strategy of BMW to create products and services that are industry-wide perceived. The introduction of the "Ultimate Driving Machine" can be seen as a pioneering response to emphasise superior driving dynamics (Ali and Anwar, 2021). However, it imposes the challenge of digital differentiation as Tesla, a prominent rival company, has superior software. Besides, cost leadership is a supporting strategy of BMW to achieve the lowest distribution and </w:t>
      </w:r>
      <w:r w:rsidRPr="00C651A3">
        <w:rPr>
          <w:rFonts w:ascii="Arial" w:hAnsi="Arial" w:cs="Arial"/>
          <w:sz w:val="24"/>
          <w:lang w:val="en-GB"/>
        </w:rPr>
        <w:lastRenderedPageBreak/>
        <w:t xml:space="preserve">production costs. It imposes the challenge of economies of scale for which BMW has applied the </w:t>
      </w:r>
      <w:proofErr w:type="spellStart"/>
      <w:r w:rsidRPr="00C651A3">
        <w:rPr>
          <w:rFonts w:ascii="Arial" w:hAnsi="Arial" w:cs="Arial"/>
          <w:sz w:val="24"/>
          <w:lang w:val="en-GB"/>
        </w:rPr>
        <w:t>iFACTORY</w:t>
      </w:r>
      <w:proofErr w:type="spellEnd"/>
      <w:r w:rsidRPr="00C651A3">
        <w:rPr>
          <w:rFonts w:ascii="Arial" w:hAnsi="Arial" w:cs="Arial"/>
          <w:sz w:val="24"/>
          <w:lang w:val="en-GB"/>
        </w:rPr>
        <w:t xml:space="preserve"> modularity and production system (BMW Group, 2022). This response can be regarded as a </w:t>
      </w:r>
      <w:r w:rsidR="009B778B" w:rsidRPr="00C651A3">
        <w:rPr>
          <w:rFonts w:ascii="Arial" w:hAnsi="Arial" w:cs="Arial"/>
          <w:sz w:val="24"/>
          <w:lang w:val="en-GB"/>
        </w:rPr>
        <w:t>defence</w:t>
      </w:r>
      <w:r w:rsidRPr="00C651A3">
        <w:rPr>
          <w:rFonts w:ascii="Arial" w:hAnsi="Arial" w:cs="Arial"/>
          <w:sz w:val="24"/>
          <w:lang w:val="en-GB"/>
        </w:rPr>
        <w:t xml:space="preserve"> against the cost advantages of followers making pure EVs. Therefore, BMW is currently focusing on promoting its high-end niches, such as M and 7/8 Series, to overcome this challenge during the uncertain EV transition. These segm</w:t>
      </w:r>
      <w:r>
        <w:rPr>
          <w:rFonts w:ascii="Arial" w:hAnsi="Arial" w:cs="Arial"/>
          <w:sz w:val="24"/>
          <w:lang w:val="en-GB"/>
        </w:rPr>
        <w:t xml:space="preserve">ents are less price sensitive, </w:t>
      </w:r>
      <w:r w:rsidRPr="00C651A3">
        <w:rPr>
          <w:rFonts w:ascii="Arial" w:hAnsi="Arial" w:cs="Arial"/>
          <w:sz w:val="24"/>
          <w:lang w:val="en-GB"/>
        </w:rPr>
        <w:t>providing the brand with an 8-10% EBIT margin (BMW Group, 2025).</w:t>
      </w:r>
    </w:p>
    <w:p w14:paraId="79AA6BF5" w14:textId="77777777" w:rsidR="00623EE9" w:rsidRDefault="00623EE9" w:rsidP="002968D9">
      <w:pPr>
        <w:pStyle w:val="Heading2"/>
        <w:rPr>
          <w:lang w:val="en-GB"/>
        </w:rPr>
      </w:pPr>
      <w:bookmarkStart w:id="14" w:name="_Toc213701473"/>
      <w:bookmarkStart w:id="15" w:name="_Toc213946263"/>
      <w:r w:rsidRPr="00491BF2">
        <w:rPr>
          <w:lang w:val="en-GB"/>
        </w:rPr>
        <w:t>3.2 Follower organisation’s strategic responses</w:t>
      </w:r>
      <w:bookmarkEnd w:id="14"/>
      <w:bookmarkEnd w:id="15"/>
    </w:p>
    <w:p w14:paraId="19FC9F20" w14:textId="77777777" w:rsidR="001E7251" w:rsidRPr="001E7251" w:rsidRDefault="001E7251" w:rsidP="001E7251">
      <w:pPr>
        <w:spacing w:line="360" w:lineRule="auto"/>
        <w:jc w:val="both"/>
        <w:rPr>
          <w:rFonts w:ascii="Arial" w:hAnsi="Arial" w:cs="Arial"/>
          <w:b/>
          <w:bCs/>
          <w:sz w:val="24"/>
          <w:szCs w:val="24"/>
          <w:lang w:val="en-GB"/>
        </w:rPr>
      </w:pPr>
      <w:proofErr w:type="spellStart"/>
      <w:r w:rsidRPr="001E7251">
        <w:rPr>
          <w:rFonts w:ascii="Arial" w:hAnsi="Arial" w:cs="Arial"/>
          <w:b/>
          <w:bCs/>
          <w:sz w:val="24"/>
          <w:szCs w:val="24"/>
          <w:lang w:val="en-GB"/>
        </w:rPr>
        <w:t>VinFast</w:t>
      </w:r>
      <w:proofErr w:type="spellEnd"/>
      <w:r w:rsidRPr="001E7251">
        <w:rPr>
          <w:rFonts w:ascii="Arial" w:hAnsi="Arial" w:cs="Arial"/>
          <w:b/>
          <w:bCs/>
          <w:sz w:val="24"/>
          <w:szCs w:val="24"/>
          <w:lang w:val="en-GB"/>
        </w:rPr>
        <w:t xml:space="preserve"> adopts its strategies to sustain competitiveness</w:t>
      </w:r>
    </w:p>
    <w:p w14:paraId="0B7151B0" w14:textId="77777777" w:rsidR="001E7251" w:rsidRPr="001E7251" w:rsidRDefault="001E7251" w:rsidP="001E7251">
      <w:pPr>
        <w:spacing w:line="360" w:lineRule="auto"/>
        <w:jc w:val="both"/>
        <w:rPr>
          <w:rFonts w:ascii="Arial" w:hAnsi="Arial" w:cs="Arial"/>
          <w:sz w:val="24"/>
          <w:szCs w:val="24"/>
          <w:lang w:val="en-GB"/>
        </w:rPr>
      </w:pPr>
      <w:proofErr w:type="spellStart"/>
      <w:r w:rsidRPr="001E7251">
        <w:rPr>
          <w:rFonts w:ascii="Arial" w:hAnsi="Arial" w:cs="Arial"/>
          <w:sz w:val="24"/>
          <w:szCs w:val="24"/>
          <w:lang w:val="en-GB"/>
        </w:rPr>
        <w:t>VinFast</w:t>
      </w:r>
      <w:proofErr w:type="spellEnd"/>
      <w:r w:rsidRPr="001E7251">
        <w:rPr>
          <w:rFonts w:ascii="Arial" w:hAnsi="Arial" w:cs="Arial"/>
          <w:sz w:val="24"/>
          <w:szCs w:val="24"/>
          <w:lang w:val="en-GB"/>
        </w:rPr>
        <w:t xml:space="preserve"> is a relatively new competitor in the fiercely competitive international EV market that must employ a high-risk and aggressive strategy. The right implementation of such strategies can help the company establish a strong position against its existing competitors, like BMW (Gini and Agala, 2023). </w:t>
      </w:r>
      <w:proofErr w:type="spellStart"/>
      <w:r w:rsidRPr="001E7251">
        <w:rPr>
          <w:rFonts w:ascii="Arial" w:hAnsi="Arial" w:cs="Arial"/>
          <w:sz w:val="24"/>
          <w:szCs w:val="24"/>
          <w:lang w:val="en-GB"/>
        </w:rPr>
        <w:t>VinFast</w:t>
      </w:r>
      <w:proofErr w:type="spellEnd"/>
      <w:r w:rsidRPr="001E7251">
        <w:rPr>
          <w:rFonts w:ascii="Arial" w:hAnsi="Arial" w:cs="Arial"/>
          <w:sz w:val="24"/>
          <w:szCs w:val="24"/>
          <w:lang w:val="en-GB"/>
        </w:rPr>
        <w:t xml:space="preserve"> has set a speedy and vertical integration so that competitive advantages can be gained. The company promotes a unique customer policy, including an original battery leasing model and warranty. The introduction of the </w:t>
      </w:r>
      <w:r w:rsidRPr="001E7251">
        <w:rPr>
          <w:rFonts w:ascii="Arial" w:hAnsi="Arial" w:cs="Arial"/>
          <w:b/>
          <w:bCs/>
          <w:i/>
          <w:iCs/>
          <w:sz w:val="24"/>
          <w:szCs w:val="24"/>
          <w:lang w:val="en-GB"/>
        </w:rPr>
        <w:t xml:space="preserve">Vingroup tech ecosystem </w:t>
      </w:r>
      <w:r w:rsidRPr="001E7251">
        <w:rPr>
          <w:rFonts w:ascii="Arial" w:hAnsi="Arial" w:cs="Arial"/>
          <w:sz w:val="24"/>
          <w:szCs w:val="24"/>
          <w:lang w:val="en-GB"/>
        </w:rPr>
        <w:t>is considered crucial for its differentiation tactics to attract EV buyers purchasing such products for the first time (</w:t>
      </w:r>
      <w:proofErr w:type="spellStart"/>
      <w:r w:rsidRPr="001E7251">
        <w:rPr>
          <w:rFonts w:ascii="Arial" w:hAnsi="Arial" w:cs="Arial"/>
          <w:sz w:val="24"/>
          <w:szCs w:val="24"/>
          <w:lang w:val="en-GB"/>
        </w:rPr>
        <w:t>Neolaka</w:t>
      </w:r>
      <w:proofErr w:type="spellEnd"/>
      <w:r w:rsidRPr="001E7251">
        <w:rPr>
          <w:rFonts w:ascii="Arial" w:hAnsi="Arial" w:cs="Arial"/>
          <w:sz w:val="24"/>
          <w:szCs w:val="24"/>
          <w:lang w:val="en-GB"/>
        </w:rPr>
        <w:t xml:space="preserve"> </w:t>
      </w:r>
      <w:r w:rsidRPr="001E7251">
        <w:rPr>
          <w:rFonts w:ascii="Arial" w:hAnsi="Arial" w:cs="Arial"/>
          <w:i/>
          <w:iCs/>
          <w:sz w:val="24"/>
          <w:szCs w:val="24"/>
          <w:lang w:val="en-GB"/>
        </w:rPr>
        <w:t xml:space="preserve">et al. </w:t>
      </w:r>
      <w:r w:rsidRPr="001E7251">
        <w:rPr>
          <w:rFonts w:ascii="Arial" w:hAnsi="Arial" w:cs="Arial"/>
          <w:sz w:val="24"/>
          <w:szCs w:val="24"/>
          <w:lang w:val="en-GB"/>
        </w:rPr>
        <w:t xml:space="preserve">2023). As per the reports of October 2025, </w:t>
      </w:r>
      <w:proofErr w:type="spellStart"/>
      <w:r w:rsidRPr="001E7251">
        <w:rPr>
          <w:rFonts w:ascii="Arial" w:hAnsi="Arial" w:cs="Arial"/>
          <w:sz w:val="24"/>
          <w:szCs w:val="24"/>
          <w:lang w:val="en-GB"/>
        </w:rPr>
        <w:t>VinFast</w:t>
      </w:r>
      <w:proofErr w:type="spellEnd"/>
      <w:r w:rsidRPr="001E7251">
        <w:rPr>
          <w:rFonts w:ascii="Arial" w:hAnsi="Arial" w:cs="Arial"/>
          <w:sz w:val="24"/>
          <w:szCs w:val="24"/>
          <w:lang w:val="en-GB"/>
        </w:rPr>
        <w:t xml:space="preserve"> has delivered over 20,000 EVs, with its VF 3 being the top seller (Nguyen, 2025). Besides, the company holds 26.7% of the market share in the passenger car market of Vietnam, showing the effectiveness of its strategies to acquire competitive benefits. </w:t>
      </w:r>
    </w:p>
    <w:p w14:paraId="15579638" w14:textId="77777777" w:rsidR="001E7251" w:rsidRDefault="001E7251" w:rsidP="001E7251">
      <w:pPr>
        <w:spacing w:line="360" w:lineRule="auto"/>
        <w:jc w:val="both"/>
        <w:rPr>
          <w:rFonts w:ascii="Arial" w:hAnsi="Arial" w:cs="Arial"/>
          <w:b/>
          <w:bCs/>
          <w:sz w:val="24"/>
          <w:szCs w:val="24"/>
          <w:lang w:val="en-GB"/>
        </w:rPr>
      </w:pPr>
      <w:r w:rsidRPr="001E7251">
        <w:rPr>
          <w:rFonts w:ascii="Arial" w:hAnsi="Arial" w:cs="Arial"/>
          <w:b/>
          <w:bCs/>
          <w:sz w:val="24"/>
          <w:szCs w:val="24"/>
          <w:lang w:val="en-GB"/>
        </w:rPr>
        <w:t xml:space="preserve">Ansoff's Growth Matrix </w:t>
      </w:r>
    </w:p>
    <w:p w14:paraId="5C2AAE8B" w14:textId="77777777" w:rsidR="00062383" w:rsidRDefault="008F06BC" w:rsidP="00062383">
      <w:pPr>
        <w:spacing w:line="360" w:lineRule="auto"/>
        <w:jc w:val="center"/>
        <w:rPr>
          <w:rFonts w:ascii="Arial" w:hAnsi="Arial" w:cs="Arial"/>
          <w:b/>
          <w:bCs/>
          <w:sz w:val="24"/>
          <w:szCs w:val="24"/>
          <w:lang w:val="en-GB"/>
        </w:rPr>
      </w:pPr>
      <w:r>
        <w:rPr>
          <w:rFonts w:ascii="Arial" w:hAnsi="Arial" w:cs="Arial"/>
          <w:b/>
          <w:bCs/>
          <w:noProof/>
          <w:sz w:val="24"/>
          <w:szCs w:val="24"/>
        </w:rPr>
        <w:lastRenderedPageBreak/>
        <w:drawing>
          <wp:inline distT="0" distB="0" distL="0" distR="0" wp14:anchorId="4184797D" wp14:editId="123584DC">
            <wp:extent cx="4707467" cy="5483794"/>
            <wp:effectExtent l="38100" t="57150" r="112183" b="97856"/>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4709100" cy="54856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770048" w14:textId="77777777" w:rsidR="00062383" w:rsidRDefault="00062383" w:rsidP="00062383">
      <w:pPr>
        <w:spacing w:line="360" w:lineRule="auto"/>
        <w:jc w:val="center"/>
        <w:rPr>
          <w:rFonts w:ascii="Arial" w:hAnsi="Arial" w:cs="Arial"/>
          <w:b/>
          <w:bCs/>
          <w:sz w:val="24"/>
          <w:szCs w:val="24"/>
          <w:lang w:val="en-GB"/>
        </w:rPr>
      </w:pPr>
      <w:r>
        <w:rPr>
          <w:rFonts w:ascii="Arial" w:hAnsi="Arial" w:cs="Arial"/>
          <w:b/>
          <w:bCs/>
          <w:sz w:val="24"/>
          <w:szCs w:val="24"/>
          <w:lang w:val="en-GB"/>
        </w:rPr>
        <w:t xml:space="preserve">Figure 3: Ansoff Matrix for </w:t>
      </w:r>
      <w:proofErr w:type="spellStart"/>
      <w:r>
        <w:rPr>
          <w:rFonts w:ascii="Arial" w:hAnsi="Arial" w:cs="Arial"/>
          <w:b/>
          <w:bCs/>
          <w:sz w:val="24"/>
          <w:szCs w:val="24"/>
          <w:lang w:val="en-GB"/>
        </w:rPr>
        <w:t>VinFast</w:t>
      </w:r>
      <w:proofErr w:type="spellEnd"/>
      <w:r>
        <w:rPr>
          <w:rFonts w:ascii="Arial" w:hAnsi="Arial" w:cs="Arial"/>
          <w:b/>
          <w:bCs/>
          <w:sz w:val="24"/>
          <w:szCs w:val="24"/>
          <w:lang w:val="en-GB"/>
        </w:rPr>
        <w:t xml:space="preserve"> </w:t>
      </w:r>
    </w:p>
    <w:p w14:paraId="2C52B8AD" w14:textId="77777777" w:rsidR="00062383" w:rsidRPr="00062383" w:rsidRDefault="00062383" w:rsidP="00062383">
      <w:pPr>
        <w:spacing w:line="360" w:lineRule="auto"/>
        <w:jc w:val="center"/>
        <w:rPr>
          <w:rFonts w:ascii="Arial" w:hAnsi="Arial" w:cs="Arial"/>
          <w:bCs/>
          <w:sz w:val="24"/>
          <w:szCs w:val="24"/>
          <w:lang w:val="en-GB"/>
        </w:rPr>
      </w:pPr>
      <w:r>
        <w:rPr>
          <w:rFonts w:ascii="Arial" w:hAnsi="Arial" w:cs="Arial"/>
          <w:bCs/>
          <w:sz w:val="24"/>
          <w:szCs w:val="24"/>
          <w:lang w:val="en-GB"/>
        </w:rPr>
        <w:t xml:space="preserve">(Source: Influenced by </w:t>
      </w:r>
      <w:r w:rsidRPr="001E7251">
        <w:rPr>
          <w:rFonts w:ascii="Arial" w:hAnsi="Arial" w:cs="Arial"/>
          <w:sz w:val="24"/>
          <w:szCs w:val="24"/>
          <w:lang w:val="en-GB"/>
        </w:rPr>
        <w:t>Kuc and Borkowski, 2021</w:t>
      </w:r>
      <w:r>
        <w:rPr>
          <w:rFonts w:ascii="Arial" w:hAnsi="Arial" w:cs="Arial"/>
          <w:sz w:val="24"/>
          <w:szCs w:val="24"/>
          <w:lang w:val="en-GB"/>
        </w:rPr>
        <w:t>)</w:t>
      </w:r>
    </w:p>
    <w:p w14:paraId="7C839BB0" w14:textId="77777777" w:rsidR="001E7251" w:rsidRPr="001E7251" w:rsidRDefault="001E7251" w:rsidP="001E7251">
      <w:pPr>
        <w:spacing w:line="360" w:lineRule="auto"/>
        <w:jc w:val="both"/>
        <w:rPr>
          <w:rFonts w:ascii="Arial" w:hAnsi="Arial" w:cs="Arial"/>
          <w:sz w:val="24"/>
          <w:szCs w:val="24"/>
          <w:lang w:val="en-GB"/>
        </w:rPr>
      </w:pPr>
      <w:r w:rsidRPr="001E7251">
        <w:rPr>
          <w:rFonts w:ascii="Arial" w:hAnsi="Arial" w:cs="Arial"/>
          <w:sz w:val="24"/>
          <w:szCs w:val="24"/>
          <w:lang w:val="en-GB"/>
        </w:rPr>
        <w:t xml:space="preserve">As per the Ansoff Matrix, market development is the primary strategy of </w:t>
      </w:r>
      <w:proofErr w:type="spellStart"/>
      <w:r w:rsidRPr="001E7251">
        <w:rPr>
          <w:rFonts w:ascii="Arial" w:hAnsi="Arial" w:cs="Arial"/>
          <w:sz w:val="24"/>
          <w:szCs w:val="24"/>
          <w:lang w:val="en-GB"/>
        </w:rPr>
        <w:t>VinFast</w:t>
      </w:r>
      <w:proofErr w:type="spellEnd"/>
      <w:r w:rsidRPr="001E7251">
        <w:rPr>
          <w:rFonts w:ascii="Arial" w:hAnsi="Arial" w:cs="Arial"/>
          <w:sz w:val="24"/>
          <w:szCs w:val="24"/>
          <w:lang w:val="en-GB"/>
        </w:rPr>
        <w:t xml:space="preserve"> to grow its existing product line (EV SUVs) into new markets (Kuc and Borkowski, 2021). This dominant strategy is highly supported by the high risk of diversification. For instance, the key action of </w:t>
      </w:r>
      <w:proofErr w:type="spellStart"/>
      <w:r w:rsidRPr="001E7251">
        <w:rPr>
          <w:rFonts w:ascii="Arial" w:hAnsi="Arial" w:cs="Arial"/>
          <w:sz w:val="24"/>
          <w:szCs w:val="24"/>
          <w:lang w:val="en-GB"/>
        </w:rPr>
        <w:t>VinFast</w:t>
      </w:r>
      <w:proofErr w:type="spellEnd"/>
      <w:r w:rsidRPr="001E7251">
        <w:rPr>
          <w:rFonts w:ascii="Arial" w:hAnsi="Arial" w:cs="Arial"/>
          <w:sz w:val="24"/>
          <w:szCs w:val="24"/>
          <w:lang w:val="en-GB"/>
        </w:rPr>
        <w:t xml:space="preserve"> in terms of market development involves aggressive global expansion. The brand has already tapped into developed markets, such as Germany, the US, Canada, and France. North Carolina is the major manufacturing plant of </w:t>
      </w:r>
      <w:proofErr w:type="spellStart"/>
      <w:r w:rsidRPr="001E7251">
        <w:rPr>
          <w:rFonts w:ascii="Arial" w:hAnsi="Arial" w:cs="Arial"/>
          <w:sz w:val="24"/>
          <w:szCs w:val="24"/>
          <w:lang w:val="en-GB"/>
        </w:rPr>
        <w:lastRenderedPageBreak/>
        <w:t>VinFast</w:t>
      </w:r>
      <w:proofErr w:type="spellEnd"/>
      <w:r w:rsidRPr="001E7251">
        <w:rPr>
          <w:rFonts w:ascii="Arial" w:hAnsi="Arial" w:cs="Arial"/>
          <w:sz w:val="24"/>
          <w:szCs w:val="24"/>
          <w:lang w:val="en-GB"/>
        </w:rPr>
        <w:t xml:space="preserve"> to enter high-growth emerging markets, like India (Banka </w:t>
      </w:r>
      <w:r w:rsidRPr="001E7251">
        <w:rPr>
          <w:rFonts w:ascii="Arial" w:hAnsi="Arial" w:cs="Arial"/>
          <w:i/>
          <w:iCs/>
          <w:sz w:val="24"/>
          <w:szCs w:val="24"/>
          <w:lang w:val="en-GB"/>
        </w:rPr>
        <w:t xml:space="preserve">et al. </w:t>
      </w:r>
      <w:r w:rsidRPr="001E7251">
        <w:rPr>
          <w:rFonts w:ascii="Arial" w:hAnsi="Arial" w:cs="Arial"/>
          <w:sz w:val="24"/>
          <w:szCs w:val="24"/>
          <w:lang w:val="en-GB"/>
        </w:rPr>
        <w:t xml:space="preserve">2022). It shows the core strategy of high-risk and high-reward as the company carried initial quality issues and brand unfamiliarity. </w:t>
      </w:r>
    </w:p>
    <w:p w14:paraId="5FF89CC8" w14:textId="77777777" w:rsidR="001E7251" w:rsidRDefault="001E7251" w:rsidP="001E7251">
      <w:pPr>
        <w:spacing w:line="360" w:lineRule="auto"/>
        <w:jc w:val="both"/>
        <w:rPr>
          <w:rFonts w:ascii="Arial" w:hAnsi="Arial" w:cs="Arial"/>
          <w:b/>
          <w:bCs/>
          <w:sz w:val="24"/>
          <w:szCs w:val="24"/>
          <w:lang w:val="en-GB"/>
        </w:rPr>
      </w:pPr>
      <w:r w:rsidRPr="001E7251">
        <w:rPr>
          <w:rFonts w:ascii="Arial" w:hAnsi="Arial" w:cs="Arial"/>
          <w:b/>
          <w:bCs/>
          <w:sz w:val="24"/>
          <w:szCs w:val="24"/>
          <w:lang w:val="en-GB"/>
        </w:rPr>
        <w:t xml:space="preserve">Porter’s Generic Strategy </w:t>
      </w:r>
    </w:p>
    <w:p w14:paraId="5FA38995" w14:textId="77777777" w:rsidR="00231481" w:rsidRDefault="00231481" w:rsidP="00231481">
      <w:pPr>
        <w:spacing w:line="360" w:lineRule="auto"/>
        <w:jc w:val="center"/>
        <w:rPr>
          <w:rFonts w:ascii="Arial" w:hAnsi="Arial" w:cs="Arial"/>
          <w:b/>
          <w:bCs/>
          <w:sz w:val="24"/>
          <w:szCs w:val="24"/>
          <w:lang w:val="en-GB"/>
        </w:rPr>
      </w:pPr>
      <w:r>
        <w:rPr>
          <w:rFonts w:ascii="Arial" w:hAnsi="Arial" w:cs="Arial"/>
          <w:b/>
          <w:bCs/>
          <w:noProof/>
          <w:sz w:val="24"/>
          <w:szCs w:val="24"/>
        </w:rPr>
        <w:drawing>
          <wp:inline distT="0" distB="0" distL="0" distR="0" wp14:anchorId="2A36943C" wp14:editId="0AE19100">
            <wp:extent cx="4157345" cy="5225637"/>
            <wp:effectExtent l="38100" t="57150" r="109855" b="89313"/>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4158975" cy="52276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E20CAC" w14:textId="77777777" w:rsidR="00231481" w:rsidRDefault="00231481" w:rsidP="00231481">
      <w:pPr>
        <w:spacing w:line="360" w:lineRule="auto"/>
        <w:jc w:val="center"/>
        <w:rPr>
          <w:rFonts w:ascii="Arial" w:hAnsi="Arial" w:cs="Arial"/>
          <w:b/>
          <w:bCs/>
          <w:sz w:val="24"/>
          <w:szCs w:val="24"/>
          <w:lang w:val="en-GB"/>
        </w:rPr>
      </w:pPr>
      <w:r>
        <w:rPr>
          <w:rFonts w:ascii="Arial" w:hAnsi="Arial" w:cs="Arial"/>
          <w:b/>
          <w:bCs/>
          <w:sz w:val="24"/>
          <w:szCs w:val="24"/>
          <w:lang w:val="en-GB"/>
        </w:rPr>
        <w:t xml:space="preserve">Figure 4: </w:t>
      </w:r>
      <w:r w:rsidRPr="001E7251">
        <w:rPr>
          <w:rFonts w:ascii="Arial" w:hAnsi="Arial" w:cs="Arial"/>
          <w:b/>
          <w:bCs/>
          <w:sz w:val="24"/>
          <w:szCs w:val="24"/>
          <w:lang w:val="en-GB"/>
        </w:rPr>
        <w:t>Porter’s Generic Strategy</w:t>
      </w:r>
      <w:r>
        <w:rPr>
          <w:rFonts w:ascii="Arial" w:hAnsi="Arial" w:cs="Arial"/>
          <w:b/>
          <w:bCs/>
          <w:sz w:val="24"/>
          <w:szCs w:val="24"/>
          <w:lang w:val="en-GB"/>
        </w:rPr>
        <w:t xml:space="preserve"> of </w:t>
      </w:r>
      <w:proofErr w:type="spellStart"/>
      <w:r>
        <w:rPr>
          <w:rFonts w:ascii="Arial" w:hAnsi="Arial" w:cs="Arial"/>
          <w:b/>
          <w:bCs/>
          <w:sz w:val="24"/>
          <w:szCs w:val="24"/>
          <w:lang w:val="en-GB"/>
        </w:rPr>
        <w:t>VinFast</w:t>
      </w:r>
      <w:proofErr w:type="spellEnd"/>
    </w:p>
    <w:p w14:paraId="3E0CD968" w14:textId="77777777" w:rsidR="00231481" w:rsidRPr="00231481" w:rsidRDefault="00231481" w:rsidP="00231481">
      <w:pPr>
        <w:spacing w:line="360" w:lineRule="auto"/>
        <w:jc w:val="center"/>
        <w:rPr>
          <w:rFonts w:ascii="Arial" w:hAnsi="Arial" w:cs="Arial"/>
          <w:bCs/>
          <w:sz w:val="24"/>
          <w:szCs w:val="24"/>
          <w:lang w:val="en-GB"/>
        </w:rPr>
      </w:pPr>
      <w:r>
        <w:rPr>
          <w:rFonts w:ascii="Arial" w:hAnsi="Arial" w:cs="Arial"/>
          <w:bCs/>
          <w:sz w:val="24"/>
          <w:szCs w:val="24"/>
          <w:lang w:val="en-GB"/>
        </w:rPr>
        <w:t xml:space="preserve">(Source: Influenced by </w:t>
      </w:r>
      <w:r w:rsidRPr="001E7251">
        <w:rPr>
          <w:rFonts w:ascii="Arial" w:hAnsi="Arial" w:cs="Arial"/>
          <w:sz w:val="24"/>
          <w:szCs w:val="24"/>
          <w:lang w:val="en-GB"/>
        </w:rPr>
        <w:t xml:space="preserve">Guarascio </w:t>
      </w:r>
      <w:r w:rsidRPr="001E7251">
        <w:rPr>
          <w:rFonts w:ascii="Arial" w:hAnsi="Arial" w:cs="Arial"/>
          <w:i/>
          <w:iCs/>
          <w:sz w:val="24"/>
          <w:szCs w:val="24"/>
          <w:lang w:val="en-GB"/>
        </w:rPr>
        <w:t xml:space="preserve">et al. </w:t>
      </w:r>
      <w:r w:rsidRPr="001E7251">
        <w:rPr>
          <w:rFonts w:ascii="Arial" w:hAnsi="Arial" w:cs="Arial"/>
          <w:sz w:val="24"/>
          <w:szCs w:val="24"/>
          <w:lang w:val="en-GB"/>
        </w:rPr>
        <w:t>2024</w:t>
      </w:r>
      <w:r>
        <w:rPr>
          <w:rFonts w:ascii="Arial" w:hAnsi="Arial" w:cs="Arial"/>
          <w:sz w:val="24"/>
          <w:szCs w:val="24"/>
          <w:lang w:val="en-GB"/>
        </w:rPr>
        <w:t>)</w:t>
      </w:r>
    </w:p>
    <w:p w14:paraId="0DFD4A18" w14:textId="77777777" w:rsidR="001E7251" w:rsidRPr="001E7251" w:rsidRDefault="001E7251" w:rsidP="001E7251">
      <w:pPr>
        <w:spacing w:line="360" w:lineRule="auto"/>
        <w:jc w:val="both"/>
        <w:rPr>
          <w:rFonts w:ascii="Arial" w:hAnsi="Arial" w:cs="Arial"/>
          <w:lang w:val="en-GB"/>
        </w:rPr>
      </w:pPr>
      <w:r w:rsidRPr="001E7251">
        <w:rPr>
          <w:rFonts w:ascii="Arial" w:hAnsi="Arial" w:cs="Arial"/>
          <w:sz w:val="24"/>
          <w:szCs w:val="24"/>
          <w:lang w:val="en-GB"/>
        </w:rPr>
        <w:t xml:space="preserve">The position of </w:t>
      </w:r>
      <w:proofErr w:type="spellStart"/>
      <w:r w:rsidRPr="001E7251">
        <w:rPr>
          <w:rFonts w:ascii="Arial" w:hAnsi="Arial" w:cs="Arial"/>
          <w:sz w:val="24"/>
          <w:szCs w:val="24"/>
          <w:lang w:val="en-GB"/>
        </w:rPr>
        <w:t>VinFast</w:t>
      </w:r>
      <w:proofErr w:type="spellEnd"/>
      <w:r w:rsidRPr="001E7251">
        <w:rPr>
          <w:rFonts w:ascii="Arial" w:hAnsi="Arial" w:cs="Arial"/>
          <w:sz w:val="24"/>
          <w:szCs w:val="24"/>
          <w:lang w:val="en-GB"/>
        </w:rPr>
        <w:t xml:space="preserve"> in its market is a strategic hybrid that focuses on obtaining a lower relative price point. The company offers high technological features in the global </w:t>
      </w:r>
      <w:r w:rsidRPr="001E7251">
        <w:rPr>
          <w:rFonts w:ascii="Arial" w:hAnsi="Arial" w:cs="Arial"/>
          <w:sz w:val="24"/>
          <w:szCs w:val="24"/>
          <w:lang w:val="en-GB"/>
        </w:rPr>
        <w:lastRenderedPageBreak/>
        <w:t xml:space="preserve">market, which creates a challenging situation to retain its position (Business Standard, 2025). </w:t>
      </w:r>
      <w:proofErr w:type="spellStart"/>
      <w:r w:rsidRPr="001E7251">
        <w:rPr>
          <w:rFonts w:ascii="Arial" w:hAnsi="Arial" w:cs="Arial"/>
          <w:sz w:val="24"/>
          <w:szCs w:val="24"/>
          <w:lang w:val="en-GB"/>
        </w:rPr>
        <w:t>VinFast</w:t>
      </w:r>
      <w:proofErr w:type="spellEnd"/>
      <w:r w:rsidRPr="001E7251">
        <w:rPr>
          <w:rFonts w:ascii="Arial" w:hAnsi="Arial" w:cs="Arial"/>
          <w:sz w:val="24"/>
          <w:szCs w:val="24"/>
          <w:lang w:val="en-GB"/>
        </w:rPr>
        <w:t xml:space="preserve"> uses the cost leadership strategy with its vertical integration and scale to control R&amp;D and manufacturing. This strategy aims to reduce the costs of the external supply chain, and the market development helps in achieving vast economies of scale. It is essential to maintain cost leadership, yet it imposes the challenge of competition against local market giants like </w:t>
      </w:r>
      <w:proofErr w:type="spellStart"/>
      <w:r w:rsidRPr="001E7251">
        <w:rPr>
          <w:rFonts w:ascii="Arial" w:hAnsi="Arial" w:cs="Arial"/>
          <w:sz w:val="24"/>
          <w:szCs w:val="24"/>
          <w:lang w:val="en-GB"/>
        </w:rPr>
        <w:t>BYD</w:t>
      </w:r>
      <w:proofErr w:type="spellEnd"/>
      <w:r w:rsidRPr="001E7251">
        <w:rPr>
          <w:rFonts w:ascii="Arial" w:hAnsi="Arial" w:cs="Arial"/>
          <w:sz w:val="24"/>
          <w:szCs w:val="24"/>
          <w:lang w:val="en-GB"/>
        </w:rPr>
        <w:t xml:space="preserve">, a mass market player (WIPO, 2023). Thus, </w:t>
      </w:r>
      <w:proofErr w:type="spellStart"/>
      <w:r w:rsidRPr="001E7251">
        <w:rPr>
          <w:rFonts w:ascii="Arial" w:hAnsi="Arial" w:cs="Arial"/>
          <w:sz w:val="24"/>
          <w:szCs w:val="24"/>
          <w:lang w:val="en-GB"/>
        </w:rPr>
        <w:t>VinFast</w:t>
      </w:r>
      <w:proofErr w:type="spellEnd"/>
      <w:r w:rsidRPr="001E7251">
        <w:rPr>
          <w:rFonts w:ascii="Arial" w:hAnsi="Arial" w:cs="Arial"/>
          <w:sz w:val="24"/>
          <w:szCs w:val="24"/>
          <w:lang w:val="en-GB"/>
        </w:rPr>
        <w:t xml:space="preserve"> needs to scale its EU and the US plants to distribute its high fixed costs and achieve sustainable pricing. It has resulted in a 38% plunge in the share price of Vingroup with a combined loss of $5.7 billion from 2020 (Guarascio </w:t>
      </w:r>
      <w:r w:rsidRPr="001E7251">
        <w:rPr>
          <w:rFonts w:ascii="Arial" w:hAnsi="Arial" w:cs="Arial"/>
          <w:i/>
          <w:iCs/>
          <w:sz w:val="24"/>
          <w:szCs w:val="24"/>
          <w:lang w:val="en-GB"/>
        </w:rPr>
        <w:t xml:space="preserve">et al. </w:t>
      </w:r>
      <w:r w:rsidRPr="001E7251">
        <w:rPr>
          <w:rFonts w:ascii="Arial" w:hAnsi="Arial" w:cs="Arial"/>
          <w:sz w:val="24"/>
          <w:szCs w:val="24"/>
          <w:lang w:val="en-GB"/>
        </w:rPr>
        <w:t>2024).</w:t>
      </w:r>
    </w:p>
    <w:p w14:paraId="49102FFE" w14:textId="77777777" w:rsidR="00623EE9" w:rsidRPr="00491BF2" w:rsidRDefault="00623EE9" w:rsidP="002968D9">
      <w:pPr>
        <w:pStyle w:val="Heading1"/>
        <w:rPr>
          <w:lang w:val="en-GB"/>
        </w:rPr>
      </w:pPr>
      <w:bookmarkStart w:id="16" w:name="_Toc213701474"/>
      <w:bookmarkStart w:id="17" w:name="_Toc213946264"/>
      <w:r w:rsidRPr="00491BF2">
        <w:rPr>
          <w:lang w:val="en-GB"/>
        </w:rPr>
        <w:t>4. Conclusion</w:t>
      </w:r>
      <w:bookmarkEnd w:id="16"/>
      <w:bookmarkEnd w:id="17"/>
    </w:p>
    <w:p w14:paraId="0D0E02BC" w14:textId="77777777" w:rsidR="00C72985" w:rsidRDefault="00C72985" w:rsidP="00491BF2">
      <w:pPr>
        <w:spacing w:line="360" w:lineRule="auto"/>
        <w:jc w:val="both"/>
        <w:rPr>
          <w:rFonts w:ascii="Arial" w:hAnsi="Arial" w:cs="Arial"/>
          <w:sz w:val="24"/>
          <w:lang w:val="en-GB"/>
        </w:rPr>
      </w:pPr>
      <w:r w:rsidRPr="00491BF2">
        <w:rPr>
          <w:rFonts w:ascii="Arial" w:hAnsi="Arial" w:cs="Arial"/>
          <w:sz w:val="24"/>
          <w:lang w:val="en-GB"/>
        </w:rPr>
        <w:t xml:space="preserve">The critical evaluation of marketing strategies related to BMW in the UK shows that the strategies used in the UK are more appropriate and successful. </w:t>
      </w:r>
      <w:r w:rsidR="00A118B1" w:rsidRPr="00A118B1">
        <w:rPr>
          <w:rFonts w:ascii="Arial" w:hAnsi="Arial" w:cs="Arial"/>
          <w:sz w:val="24"/>
          <w:lang w:val="en-GB"/>
        </w:rPr>
        <w:t xml:space="preserve">The major focus of this report has relied on assessing the macro marketing environment, which is a primary element of strategic decision-making. The report has included a discussion on the macro environment related to the automotive industry. BMW has been chosen as a pioneer brand, whereas </w:t>
      </w:r>
      <w:proofErr w:type="spellStart"/>
      <w:r w:rsidR="00A118B1" w:rsidRPr="00A118B1">
        <w:rPr>
          <w:rFonts w:ascii="Arial" w:hAnsi="Arial" w:cs="Arial"/>
          <w:sz w:val="24"/>
          <w:lang w:val="en-GB"/>
        </w:rPr>
        <w:t>VinFast</w:t>
      </w:r>
      <w:proofErr w:type="spellEnd"/>
      <w:r w:rsidR="00A118B1" w:rsidRPr="00A118B1">
        <w:rPr>
          <w:rFonts w:ascii="Arial" w:hAnsi="Arial" w:cs="Arial"/>
          <w:sz w:val="24"/>
          <w:lang w:val="en-GB"/>
        </w:rPr>
        <w:t xml:space="preserve"> is a follower company selected to be studied in this report. Besides, the macro environment has been predicted using PESTLE as a theoretical framework. It has been indicated that the European emissions standards are strict, imposing a challenge for BMW to meet them. Technological and environmental actors have been chosen as external macro</w:t>
      </w:r>
      <w:r w:rsidR="003B202F">
        <w:rPr>
          <w:rFonts w:ascii="Arial" w:hAnsi="Arial" w:cs="Arial"/>
          <w:sz w:val="24"/>
          <w:lang w:val="en-GB"/>
        </w:rPr>
        <w:t xml:space="preserve"> marketing factors, along with j</w:t>
      </w:r>
      <w:r w:rsidR="00A118B1" w:rsidRPr="00A118B1">
        <w:rPr>
          <w:rFonts w:ascii="Arial" w:hAnsi="Arial" w:cs="Arial"/>
          <w:sz w:val="24"/>
          <w:lang w:val="en-GB"/>
        </w:rPr>
        <w:t xml:space="preserve">ustification and their relevance to the automobile industry. For a detailed analysis of strategic responses of BMW and </w:t>
      </w:r>
      <w:proofErr w:type="spellStart"/>
      <w:r w:rsidR="00A118B1" w:rsidRPr="00A118B1">
        <w:rPr>
          <w:rFonts w:ascii="Arial" w:hAnsi="Arial" w:cs="Arial"/>
          <w:sz w:val="24"/>
          <w:lang w:val="en-GB"/>
        </w:rPr>
        <w:t>VinFast</w:t>
      </w:r>
      <w:proofErr w:type="spellEnd"/>
      <w:r w:rsidR="00A118B1" w:rsidRPr="00A118B1">
        <w:rPr>
          <w:rFonts w:ascii="Arial" w:hAnsi="Arial" w:cs="Arial"/>
          <w:sz w:val="24"/>
          <w:lang w:val="en-GB"/>
        </w:rPr>
        <w:t>, Ansoff's Matrix and Porter’s Generic Strategy have been implemented. The analyses have shown that both of these companies have taken calculated moves as their responses</w:t>
      </w:r>
      <w:r w:rsidR="00A118B1">
        <w:rPr>
          <w:rFonts w:ascii="Arial" w:hAnsi="Arial" w:cs="Arial"/>
          <w:sz w:val="24"/>
          <w:lang w:val="en-GB"/>
        </w:rPr>
        <w:t>.</w:t>
      </w:r>
    </w:p>
    <w:p w14:paraId="6D8BA981" w14:textId="77777777" w:rsidR="00A118B1" w:rsidRPr="00491BF2" w:rsidRDefault="00A118B1" w:rsidP="00491BF2">
      <w:pPr>
        <w:spacing w:line="360" w:lineRule="auto"/>
        <w:jc w:val="both"/>
        <w:rPr>
          <w:rFonts w:ascii="Arial" w:hAnsi="Arial" w:cs="Arial"/>
          <w:sz w:val="24"/>
          <w:lang w:val="en-GB"/>
        </w:rPr>
      </w:pPr>
      <w:r w:rsidRPr="00A118B1">
        <w:rPr>
          <w:rFonts w:ascii="Arial" w:hAnsi="Arial" w:cs="Arial"/>
          <w:sz w:val="24"/>
          <w:lang w:val="en-GB"/>
        </w:rPr>
        <w:t>The marketing responses of both the pioneer and the follower organisations are related to environmental scanning and adaptive marketing. For instance, the marketing strategies and responses are strategically significant to establish the EV line</w:t>
      </w:r>
      <w:r w:rsidR="00881C24">
        <w:rPr>
          <w:rFonts w:ascii="Arial" w:hAnsi="Arial" w:cs="Arial"/>
          <w:sz w:val="24"/>
          <w:lang w:val="en-GB"/>
        </w:rPr>
        <w:t>-</w:t>
      </w:r>
      <w:r w:rsidRPr="00A118B1">
        <w:rPr>
          <w:rFonts w:ascii="Arial" w:hAnsi="Arial" w:cs="Arial"/>
          <w:sz w:val="24"/>
          <w:lang w:val="en-GB"/>
        </w:rPr>
        <w:t xml:space="preserve">up as per the environmental standards. It can proactively identify new opportunities and manage uncertainties to maintain competitive advantages. Environmental scanning gathers and analyses information about external business factors to recognise potential trends. </w:t>
      </w:r>
      <w:r w:rsidRPr="00A118B1">
        <w:rPr>
          <w:rFonts w:ascii="Arial" w:hAnsi="Arial" w:cs="Arial"/>
          <w:sz w:val="24"/>
          <w:lang w:val="en-GB"/>
        </w:rPr>
        <w:lastRenderedPageBreak/>
        <w:t>Companies can obtain the necessary data to make informed decisions for successful strategic planning. Similarly, adaptive marketing responses modify marketing strategies based on the acquired insights to enhance business resilience.</w:t>
      </w:r>
    </w:p>
    <w:p w14:paraId="21F2B772" w14:textId="77777777" w:rsidR="00856E06" w:rsidRDefault="00856E06">
      <w:pPr>
        <w:rPr>
          <w:rFonts w:ascii="Arial" w:hAnsi="Arial" w:cs="Arial"/>
          <w:b/>
          <w:sz w:val="28"/>
          <w:lang w:val="en-GB"/>
        </w:rPr>
      </w:pPr>
      <w:bookmarkStart w:id="18" w:name="_Toc213701475"/>
      <w:r>
        <w:rPr>
          <w:lang w:val="en-GB"/>
        </w:rPr>
        <w:br w:type="page"/>
      </w:r>
    </w:p>
    <w:p w14:paraId="7774545F" w14:textId="77777777" w:rsidR="00C72985" w:rsidRPr="00491BF2" w:rsidRDefault="00C72985" w:rsidP="002968D9">
      <w:pPr>
        <w:pStyle w:val="Heading1"/>
        <w:rPr>
          <w:lang w:val="en-GB"/>
        </w:rPr>
      </w:pPr>
      <w:bookmarkStart w:id="19" w:name="_Toc213946265"/>
      <w:r w:rsidRPr="00491BF2">
        <w:rPr>
          <w:lang w:val="en-GB"/>
        </w:rPr>
        <w:lastRenderedPageBreak/>
        <w:t>References</w:t>
      </w:r>
      <w:bookmarkEnd w:id="18"/>
      <w:bookmarkEnd w:id="19"/>
    </w:p>
    <w:p w14:paraId="44D5B70C"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Ali, B.J. and Anwar, G., 2021. Porter’s Generic Competitive Strategies and its influence on the Competitive Advantage. </w:t>
      </w:r>
      <w:r w:rsidRPr="0042371A">
        <w:rPr>
          <w:rFonts w:ascii="Arial" w:hAnsi="Arial" w:cs="Arial"/>
          <w:i/>
          <w:iCs/>
          <w:sz w:val="24"/>
          <w:lang w:val="en-GB"/>
        </w:rPr>
        <w:t>International Journal of Advanced Engineering, Management and Science</w:t>
      </w:r>
      <w:r w:rsidRPr="0042371A">
        <w:rPr>
          <w:rFonts w:ascii="Arial" w:hAnsi="Arial" w:cs="Arial"/>
          <w:sz w:val="24"/>
          <w:lang w:val="en-GB"/>
        </w:rPr>
        <w:t xml:space="preserve">, </w:t>
      </w:r>
      <w:r w:rsidRPr="0042371A">
        <w:rPr>
          <w:rFonts w:ascii="Arial" w:hAnsi="Arial" w:cs="Arial"/>
          <w:i/>
          <w:iCs/>
          <w:sz w:val="24"/>
          <w:lang w:val="en-GB"/>
        </w:rPr>
        <w:t>7</w:t>
      </w:r>
      <w:r w:rsidRPr="0042371A">
        <w:rPr>
          <w:rFonts w:ascii="Arial" w:hAnsi="Arial" w:cs="Arial"/>
          <w:sz w:val="24"/>
          <w:lang w:val="en-GB"/>
        </w:rPr>
        <w:t>(6), pp.42-51.</w:t>
      </w:r>
    </w:p>
    <w:p w14:paraId="55DC2EFC"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Banka, M., Dao, </w:t>
      </w:r>
      <w:proofErr w:type="spellStart"/>
      <w:r w:rsidRPr="0042371A">
        <w:rPr>
          <w:rFonts w:ascii="Arial" w:hAnsi="Arial" w:cs="Arial"/>
          <w:sz w:val="24"/>
          <w:lang w:val="en-GB"/>
        </w:rPr>
        <w:t>M.T.H</w:t>
      </w:r>
      <w:proofErr w:type="spellEnd"/>
      <w:r w:rsidRPr="0042371A">
        <w:rPr>
          <w:rFonts w:ascii="Arial" w:hAnsi="Arial" w:cs="Arial"/>
          <w:sz w:val="24"/>
          <w:lang w:val="en-GB"/>
        </w:rPr>
        <w:t xml:space="preserve">. and Minh, D.T., 2022. Analysis of business strategy of real estate developers in Vietnam: the application of </w:t>
      </w:r>
      <w:proofErr w:type="spellStart"/>
      <w:r w:rsidRPr="0042371A">
        <w:rPr>
          <w:rFonts w:ascii="Arial" w:hAnsi="Arial" w:cs="Arial"/>
          <w:sz w:val="24"/>
          <w:lang w:val="en-GB"/>
        </w:rPr>
        <w:t>QSPM</w:t>
      </w:r>
      <w:proofErr w:type="spellEnd"/>
      <w:r w:rsidRPr="0042371A">
        <w:rPr>
          <w:rFonts w:ascii="Arial" w:hAnsi="Arial" w:cs="Arial"/>
          <w:sz w:val="24"/>
          <w:lang w:val="en-GB"/>
        </w:rPr>
        <w:t xml:space="preserve"> matrix. </w:t>
      </w:r>
      <w:r w:rsidRPr="0042371A">
        <w:rPr>
          <w:rFonts w:ascii="Arial" w:hAnsi="Arial" w:cs="Arial"/>
          <w:i/>
          <w:iCs/>
          <w:sz w:val="24"/>
          <w:lang w:val="en-GB"/>
        </w:rPr>
        <w:t>International journal of multidisciplinary research and growth evaluation</w:t>
      </w:r>
      <w:r w:rsidRPr="0042371A">
        <w:rPr>
          <w:rFonts w:ascii="Arial" w:hAnsi="Arial" w:cs="Arial"/>
          <w:sz w:val="24"/>
          <w:lang w:val="en-GB"/>
        </w:rPr>
        <w:t xml:space="preserve">, </w:t>
      </w:r>
      <w:r w:rsidRPr="0042371A">
        <w:rPr>
          <w:rFonts w:ascii="Arial" w:hAnsi="Arial" w:cs="Arial"/>
          <w:i/>
          <w:iCs/>
          <w:sz w:val="24"/>
          <w:lang w:val="en-GB"/>
        </w:rPr>
        <w:t>3</w:t>
      </w:r>
      <w:r w:rsidRPr="0042371A">
        <w:rPr>
          <w:rFonts w:ascii="Arial" w:hAnsi="Arial" w:cs="Arial"/>
          <w:sz w:val="24"/>
          <w:lang w:val="en-GB"/>
        </w:rPr>
        <w:t>(1), pp.188-196.</w:t>
      </w:r>
    </w:p>
    <w:p w14:paraId="7B035B66"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BMW Group (2025) ‘Strong today, strong tomorrow’, </w:t>
      </w:r>
      <w:r w:rsidRPr="0042371A">
        <w:rPr>
          <w:rFonts w:ascii="Arial" w:hAnsi="Arial" w:cs="Arial"/>
          <w:i/>
          <w:sz w:val="24"/>
          <w:lang w:val="en-GB"/>
        </w:rPr>
        <w:t>BMW Group</w:t>
      </w:r>
      <w:r w:rsidRPr="0042371A">
        <w:rPr>
          <w:rFonts w:ascii="Arial" w:hAnsi="Arial" w:cs="Arial"/>
          <w:sz w:val="24"/>
          <w:lang w:val="en-GB"/>
        </w:rPr>
        <w:t>. Available at:</w:t>
      </w:r>
      <w:hyperlink r:id="rId15" w:anchor=":~:text=Profitable%20growth%20expected%20for%202024,8%2D10%25%20in%202024"/>
      <w:hyperlink r:id="rId16" w:anchor=":~:text=Profitable%20growth%20expected%20for%202024,8%2D10%25%20in%202024">
        <w:r w:rsidRPr="0042371A">
          <w:rPr>
            <w:rStyle w:val="Hyperlink"/>
            <w:rFonts w:ascii="Arial" w:hAnsi="Arial" w:cs="Arial"/>
            <w:color w:val="auto"/>
            <w:sz w:val="24"/>
            <w:u w:val="none"/>
            <w:lang w:val="en-GB"/>
          </w:rPr>
          <w:t>https://www.bmwgroup.com/en/news/general/2024/annualconference2024.html#:~:text=Profitable%20growth%20expected%20for%202024,8%2D10%25%20in%202024</w:t>
        </w:r>
      </w:hyperlink>
      <w:r w:rsidRPr="0042371A">
        <w:rPr>
          <w:rFonts w:ascii="Arial" w:hAnsi="Arial" w:cs="Arial"/>
          <w:sz w:val="24"/>
          <w:lang w:val="en-GB"/>
        </w:rPr>
        <w:t>. [Accessed: 7 November 2025]</w:t>
      </w:r>
    </w:p>
    <w:p w14:paraId="4AD660CC"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BMW Group (2025) ‘The BMW Group at the Japan Mobility Show 2025’, </w:t>
      </w:r>
      <w:r w:rsidRPr="0042371A">
        <w:rPr>
          <w:rFonts w:ascii="Arial" w:hAnsi="Arial" w:cs="Arial"/>
          <w:i/>
          <w:sz w:val="24"/>
          <w:lang w:val="en-GB"/>
        </w:rPr>
        <w:t>BMW Group</w:t>
      </w:r>
      <w:r w:rsidRPr="0042371A">
        <w:rPr>
          <w:rFonts w:ascii="Arial" w:hAnsi="Arial" w:cs="Arial"/>
          <w:sz w:val="24"/>
          <w:lang w:val="en-GB"/>
        </w:rPr>
        <w:t>. Available at:</w:t>
      </w:r>
      <w:hyperlink r:id="rId17"/>
      <w:hyperlink r:id="rId18">
        <w:r w:rsidRPr="0042371A">
          <w:rPr>
            <w:rStyle w:val="Hyperlink"/>
            <w:rFonts w:ascii="Arial" w:hAnsi="Arial" w:cs="Arial"/>
            <w:color w:val="auto"/>
            <w:sz w:val="24"/>
            <w:u w:val="none"/>
            <w:lang w:val="en-GB"/>
          </w:rPr>
          <w:t>https://www.press.bmwgroup.com/global/article/detail/T0453548EN/the-bmw-group-at-the-japan-mobility-show-2025?language=en</w:t>
        </w:r>
      </w:hyperlink>
      <w:r w:rsidRPr="0042371A">
        <w:rPr>
          <w:rFonts w:ascii="Arial" w:hAnsi="Arial" w:cs="Arial"/>
          <w:sz w:val="24"/>
          <w:lang w:val="en-GB"/>
        </w:rPr>
        <w:t xml:space="preserve"> [Accessed: 7 November 2025]</w:t>
      </w:r>
    </w:p>
    <w:p w14:paraId="1D4C5EFC"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BMW Group 2022. BMW </w:t>
      </w:r>
      <w:proofErr w:type="spellStart"/>
      <w:r w:rsidRPr="0042371A">
        <w:rPr>
          <w:rFonts w:ascii="Arial" w:hAnsi="Arial" w:cs="Arial"/>
          <w:sz w:val="24"/>
          <w:lang w:val="en-GB"/>
        </w:rPr>
        <w:t>iFactory</w:t>
      </w:r>
      <w:proofErr w:type="spellEnd"/>
      <w:r w:rsidRPr="0042371A">
        <w:rPr>
          <w:rFonts w:ascii="Arial" w:hAnsi="Arial" w:cs="Arial"/>
          <w:sz w:val="24"/>
          <w:lang w:val="en-GB"/>
        </w:rPr>
        <w:t xml:space="preserve">. LEAN. GREEN. DIGITAL. - Master plan for the production of the future. </w:t>
      </w:r>
      <w:r w:rsidRPr="0042371A">
        <w:rPr>
          <w:rFonts w:ascii="Arial" w:hAnsi="Arial" w:cs="Arial"/>
          <w:i/>
          <w:iCs/>
          <w:sz w:val="24"/>
          <w:lang w:val="en-GB"/>
        </w:rPr>
        <w:t>BMW Group</w:t>
      </w:r>
      <w:r w:rsidRPr="0042371A">
        <w:rPr>
          <w:rFonts w:ascii="Arial" w:hAnsi="Arial" w:cs="Arial"/>
          <w:sz w:val="24"/>
          <w:lang w:val="en-GB"/>
        </w:rPr>
        <w:t>. Available at:</w:t>
      </w:r>
      <w:hyperlink r:id="rId19"/>
      <w:hyperlink r:id="rId20">
        <w:r w:rsidRPr="0042371A">
          <w:rPr>
            <w:rStyle w:val="Hyperlink"/>
            <w:rFonts w:ascii="Arial" w:hAnsi="Arial" w:cs="Arial"/>
            <w:color w:val="auto"/>
            <w:sz w:val="24"/>
            <w:u w:val="none"/>
            <w:lang w:val="en-GB"/>
          </w:rPr>
          <w:t>https://www.press.bmwgroup.com/global/article/detail/T0384893EN/bmw-ifactory-lean-green-digital-master-plan-for-the-production-of-the-future?language=en</w:t>
        </w:r>
      </w:hyperlink>
      <w:r w:rsidRPr="0042371A">
        <w:rPr>
          <w:rFonts w:ascii="Arial" w:hAnsi="Arial" w:cs="Arial"/>
          <w:sz w:val="24"/>
          <w:lang w:val="en-GB"/>
        </w:rPr>
        <w:t xml:space="preserve"> [Accessed: 13 November 2025]</w:t>
      </w:r>
    </w:p>
    <w:p w14:paraId="15E49A1A"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BMW Group 2025. Forward momentum through technology openness, strong product line-up and NEUE KLASSE: BMW Group on track for growth in 2025. </w:t>
      </w:r>
      <w:r w:rsidRPr="0042371A">
        <w:rPr>
          <w:rFonts w:ascii="Arial" w:hAnsi="Arial" w:cs="Arial"/>
          <w:i/>
          <w:iCs/>
          <w:sz w:val="24"/>
          <w:lang w:val="en-GB"/>
        </w:rPr>
        <w:t>BMW Group</w:t>
      </w:r>
      <w:r w:rsidRPr="0042371A">
        <w:rPr>
          <w:rFonts w:ascii="Arial" w:hAnsi="Arial" w:cs="Arial"/>
          <w:sz w:val="24"/>
          <w:lang w:val="en-GB"/>
        </w:rPr>
        <w:t>. Available at:</w:t>
      </w:r>
      <w:hyperlink r:id="rId21" w:anchor=":~:text=Investment%20in%20the%20future%20reach,to%20decrease%2C%20starting%20in%202025"/>
      <w:hyperlink r:id="rId22" w:anchor=":~:text=Investment%20in%20the%20future%20reach,to%20decrease%2C%20starting%20in%202025">
        <w:r w:rsidRPr="0042371A">
          <w:rPr>
            <w:rStyle w:val="Hyperlink"/>
            <w:rFonts w:ascii="Arial" w:hAnsi="Arial" w:cs="Arial"/>
            <w:color w:val="auto"/>
            <w:sz w:val="24"/>
            <w:u w:val="none"/>
            <w:lang w:val="en-GB"/>
          </w:rPr>
          <w:t>https://www.press.bmwgroup.com/global/article/detail/T0448841EN/forward-momentum-through-technology-openness-strong-product-line-up-and-neue-klasse:-bmw-group-on-track-for-growth-in-2025?language=en#:~:text=Investment%20in%20the%20future%20reach,to%20decrease%2C%20starting%20in%202025</w:t>
        </w:r>
      </w:hyperlink>
      <w:r w:rsidRPr="0042371A">
        <w:rPr>
          <w:rFonts w:ascii="Arial" w:hAnsi="Arial" w:cs="Arial"/>
          <w:sz w:val="24"/>
          <w:lang w:val="en-GB"/>
        </w:rPr>
        <w:t>. [Accessed: 13 November 2025]</w:t>
      </w:r>
    </w:p>
    <w:p w14:paraId="7DF8A5E4"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lastRenderedPageBreak/>
        <w:t xml:space="preserve">Business Standard 2025. A Conglomerate's Strategy to Keep Vietnam's Growth in Its Own Hands. </w:t>
      </w:r>
      <w:r w:rsidRPr="0042371A">
        <w:rPr>
          <w:rFonts w:ascii="Arial" w:hAnsi="Arial" w:cs="Arial"/>
          <w:i/>
          <w:iCs/>
          <w:sz w:val="24"/>
          <w:lang w:val="en-GB"/>
        </w:rPr>
        <w:t>Business Standard</w:t>
      </w:r>
      <w:r w:rsidRPr="0042371A">
        <w:rPr>
          <w:rFonts w:ascii="Arial" w:hAnsi="Arial" w:cs="Arial"/>
          <w:sz w:val="24"/>
          <w:lang w:val="en-GB"/>
        </w:rPr>
        <w:t>. Available at:</w:t>
      </w:r>
      <w:hyperlink r:id="rId23"/>
      <w:hyperlink r:id="rId24">
        <w:r w:rsidRPr="0042371A">
          <w:rPr>
            <w:rStyle w:val="Hyperlink"/>
            <w:rFonts w:ascii="Arial" w:hAnsi="Arial" w:cs="Arial"/>
            <w:color w:val="auto"/>
            <w:sz w:val="24"/>
            <w:u w:val="none"/>
            <w:lang w:val="en-GB"/>
          </w:rPr>
          <w:t>https://www.business-standard.com/content/press-releases-ani/a-conglomerate-s-strategy-to-keep-vietnam-s-growth-in-its-own-hands-125101601130_1.html</w:t>
        </w:r>
      </w:hyperlink>
      <w:r w:rsidRPr="0042371A">
        <w:rPr>
          <w:rFonts w:ascii="Arial" w:hAnsi="Arial" w:cs="Arial"/>
          <w:sz w:val="24"/>
          <w:lang w:val="en-GB"/>
        </w:rPr>
        <w:t xml:space="preserve"> [Accessed: 13 November 2025]</w:t>
      </w:r>
    </w:p>
    <w:p w14:paraId="470122D9"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Chakravarty, S., 2025. Next-gen batteries on BMW EVs promise to muscle out competition. Here’s how. </w:t>
      </w:r>
      <w:r w:rsidRPr="0042371A">
        <w:rPr>
          <w:rFonts w:ascii="Arial" w:hAnsi="Arial" w:cs="Arial"/>
          <w:i/>
          <w:iCs/>
          <w:sz w:val="24"/>
          <w:lang w:val="en-GB"/>
        </w:rPr>
        <w:t>HT Auto</w:t>
      </w:r>
      <w:r w:rsidRPr="0042371A">
        <w:rPr>
          <w:rFonts w:ascii="Arial" w:hAnsi="Arial" w:cs="Arial"/>
          <w:sz w:val="24"/>
          <w:lang w:val="en-GB"/>
        </w:rPr>
        <w:t>. Available at:</w:t>
      </w:r>
      <w:hyperlink r:id="rId25" w:anchor=":~:text=The%20Gen%206%20batteries%20are,Woorduff%20in%20the%20United%20States"/>
      <w:hyperlink r:id="rId26" w:anchor=":~:text=The%20Gen%206%20batteries%20are,Woorduff%20in%20the%20United%20States">
        <w:r w:rsidRPr="0042371A">
          <w:rPr>
            <w:rStyle w:val="Hyperlink"/>
            <w:rFonts w:ascii="Arial" w:hAnsi="Arial" w:cs="Arial"/>
            <w:color w:val="auto"/>
            <w:sz w:val="24"/>
            <w:u w:val="none"/>
            <w:lang w:val="en-GB"/>
          </w:rPr>
          <w:t>https://auto.hindustantimes.com/auto/electric-vehicles/gen-6-batteries-on-bmw-evs-promise-to-blow-competition-out-heres-how-41740369777820.html#:~:text=The%20Gen%206%20batteries%20are,Woorduff%20in%20the%20United%20States</w:t>
        </w:r>
      </w:hyperlink>
      <w:r w:rsidRPr="0042371A">
        <w:rPr>
          <w:rFonts w:ascii="Arial" w:hAnsi="Arial" w:cs="Arial"/>
          <w:sz w:val="24"/>
          <w:lang w:val="en-GB"/>
        </w:rPr>
        <w:t>. [Accessed: 13 November 2025]</w:t>
      </w:r>
    </w:p>
    <w:p w14:paraId="11A2C4F6"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Clark, D., (2025) ‘Inflation rate for the Consumer Price Index (CPI) in the United Kingdom from January 2015 to September 2025’, </w:t>
      </w:r>
      <w:r w:rsidRPr="0042371A">
        <w:rPr>
          <w:rFonts w:ascii="Arial" w:hAnsi="Arial" w:cs="Arial"/>
          <w:i/>
          <w:sz w:val="24"/>
          <w:lang w:val="en-GB"/>
        </w:rPr>
        <w:t>Statista</w:t>
      </w:r>
      <w:r w:rsidRPr="0042371A">
        <w:rPr>
          <w:rFonts w:ascii="Arial" w:hAnsi="Arial" w:cs="Arial"/>
          <w:sz w:val="24"/>
          <w:lang w:val="en-GB"/>
        </w:rPr>
        <w:t>. Available at:</w:t>
      </w:r>
      <w:hyperlink r:id="rId27"/>
      <w:hyperlink r:id="rId28">
        <w:r w:rsidRPr="0042371A">
          <w:rPr>
            <w:rStyle w:val="Hyperlink"/>
            <w:rFonts w:ascii="Arial" w:hAnsi="Arial" w:cs="Arial"/>
            <w:color w:val="auto"/>
            <w:sz w:val="24"/>
            <w:u w:val="none"/>
            <w:lang w:val="en-GB"/>
          </w:rPr>
          <w:t>https://www.statista.com/statistics/306648/inflation-rate-consumer-price-index-cpi-united-kingdom-uk/</w:t>
        </w:r>
      </w:hyperlink>
      <w:r w:rsidRPr="0042371A">
        <w:rPr>
          <w:rFonts w:ascii="Arial" w:hAnsi="Arial" w:cs="Arial"/>
          <w:sz w:val="24"/>
          <w:lang w:val="en-GB"/>
        </w:rPr>
        <w:t xml:space="preserve"> [Accessed: 7 November 2025]</w:t>
      </w:r>
    </w:p>
    <w:p w14:paraId="2C6ADAF3"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ET Auto 2022. BMW to reduce CO2 emissions by 40% per vehicle by 2030. </w:t>
      </w:r>
      <w:r w:rsidRPr="0042371A">
        <w:rPr>
          <w:rFonts w:ascii="Arial" w:hAnsi="Arial" w:cs="Arial"/>
          <w:i/>
          <w:iCs/>
          <w:sz w:val="24"/>
          <w:lang w:val="en-GB"/>
        </w:rPr>
        <w:t>ET Auto</w:t>
      </w:r>
      <w:r w:rsidRPr="0042371A">
        <w:rPr>
          <w:rFonts w:ascii="Arial" w:hAnsi="Arial" w:cs="Arial"/>
          <w:sz w:val="24"/>
          <w:lang w:val="en-GB"/>
        </w:rPr>
        <w:t>. Available at:</w:t>
      </w:r>
      <w:hyperlink r:id="rId29" w:anchor=":~:text=File%20Image%20New%20Delhi:%20The,Sustainability%20and%20Mobility%2C%20BMW%20Group"/>
      <w:hyperlink r:id="rId30" w:anchor=":~:text=File%20Image%20New%20Delhi:%20The,Sustainability%20and%20Mobility%2C%20BMW%20Group">
        <w:r w:rsidRPr="0042371A">
          <w:rPr>
            <w:rStyle w:val="Hyperlink"/>
            <w:rFonts w:ascii="Arial" w:hAnsi="Arial" w:cs="Arial"/>
            <w:color w:val="auto"/>
            <w:sz w:val="24"/>
            <w:u w:val="none"/>
            <w:lang w:val="en-GB"/>
          </w:rPr>
          <w:t>https://auto.economictimes.indiatimes.com/news/bmw-to-reduce-co2-emissions-by-40-per-vehicle-by-2030/93185774#:~:text=File%20Image%20New%20Delhi:%20The,Sustainability%20and%20Mobility%2C%20BMW%20Group</w:t>
        </w:r>
      </w:hyperlink>
      <w:r w:rsidRPr="0042371A">
        <w:rPr>
          <w:rFonts w:ascii="Arial" w:hAnsi="Arial" w:cs="Arial"/>
          <w:sz w:val="24"/>
          <w:lang w:val="en-GB"/>
        </w:rPr>
        <w:t>. [Accessed: 13 November 2025]</w:t>
      </w:r>
    </w:p>
    <w:p w14:paraId="1A5E5DFE"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Evison, J., (2025) ‘BEVs hit 26.8% market share’, </w:t>
      </w:r>
      <w:r w:rsidRPr="0042371A">
        <w:rPr>
          <w:rFonts w:ascii="Arial" w:hAnsi="Arial" w:cs="Arial"/>
          <w:i/>
          <w:sz w:val="24"/>
          <w:lang w:val="en-GB"/>
        </w:rPr>
        <w:t>Transport and Energy</w:t>
      </w:r>
      <w:r w:rsidRPr="0042371A">
        <w:rPr>
          <w:rFonts w:ascii="Arial" w:hAnsi="Arial" w:cs="Arial"/>
          <w:sz w:val="24"/>
          <w:lang w:val="en-GB"/>
        </w:rPr>
        <w:t>. Available at:</w:t>
      </w:r>
      <w:hyperlink r:id="rId31"/>
      <w:hyperlink r:id="rId32">
        <w:r w:rsidRPr="0042371A">
          <w:rPr>
            <w:rStyle w:val="Hyperlink"/>
            <w:rFonts w:ascii="Arial" w:hAnsi="Arial" w:cs="Arial"/>
            <w:color w:val="auto"/>
            <w:sz w:val="24"/>
            <w:u w:val="none"/>
            <w:lang w:val="en-GB"/>
          </w:rPr>
          <w:t>https://transportandenergy.com/2025/09/04/bevs-hit-26-8-market-share/</w:t>
        </w:r>
      </w:hyperlink>
      <w:r w:rsidRPr="0042371A">
        <w:rPr>
          <w:rFonts w:ascii="Arial" w:hAnsi="Arial" w:cs="Arial"/>
          <w:sz w:val="24"/>
          <w:lang w:val="en-GB"/>
        </w:rPr>
        <w:t xml:space="preserve"> [Accessed: 7 November 2025]</w:t>
      </w:r>
    </w:p>
    <w:p w14:paraId="31489837"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Gini, </w:t>
      </w:r>
      <w:proofErr w:type="spellStart"/>
      <w:r w:rsidRPr="0042371A">
        <w:rPr>
          <w:rFonts w:ascii="Arial" w:hAnsi="Arial" w:cs="Arial"/>
          <w:sz w:val="24"/>
          <w:lang w:val="en-GB"/>
        </w:rPr>
        <w:t>K.B</w:t>
      </w:r>
      <w:proofErr w:type="spellEnd"/>
      <w:r w:rsidRPr="0042371A">
        <w:rPr>
          <w:rFonts w:ascii="Arial" w:hAnsi="Arial" w:cs="Arial"/>
          <w:sz w:val="24"/>
          <w:lang w:val="en-GB"/>
        </w:rPr>
        <w:t xml:space="preserve">. and Agala, </w:t>
      </w:r>
      <w:proofErr w:type="spellStart"/>
      <w:r w:rsidRPr="0042371A">
        <w:rPr>
          <w:rFonts w:ascii="Arial" w:hAnsi="Arial" w:cs="Arial"/>
          <w:sz w:val="24"/>
          <w:lang w:val="en-GB"/>
        </w:rPr>
        <w:t>H.O</w:t>
      </w:r>
      <w:proofErr w:type="spellEnd"/>
      <w:r w:rsidRPr="0042371A">
        <w:rPr>
          <w:rFonts w:ascii="Arial" w:hAnsi="Arial" w:cs="Arial"/>
          <w:sz w:val="24"/>
          <w:lang w:val="en-GB"/>
        </w:rPr>
        <w:t xml:space="preserve">., 2023. The Impact of Macro-Environmental Factors on Business Performance. </w:t>
      </w:r>
      <w:r w:rsidRPr="0042371A">
        <w:rPr>
          <w:rFonts w:ascii="Arial" w:hAnsi="Arial" w:cs="Arial"/>
          <w:i/>
          <w:iCs/>
          <w:sz w:val="24"/>
          <w:lang w:val="en-GB"/>
        </w:rPr>
        <w:t>International Journal of Research and Innovation in Social Science</w:t>
      </w:r>
      <w:r w:rsidRPr="0042371A">
        <w:rPr>
          <w:rFonts w:ascii="Arial" w:hAnsi="Arial" w:cs="Arial"/>
          <w:sz w:val="24"/>
          <w:lang w:val="en-GB"/>
        </w:rPr>
        <w:t xml:space="preserve">, </w:t>
      </w:r>
      <w:r w:rsidRPr="0042371A">
        <w:rPr>
          <w:rFonts w:ascii="Arial" w:hAnsi="Arial" w:cs="Arial"/>
          <w:i/>
          <w:iCs/>
          <w:sz w:val="24"/>
          <w:lang w:val="en-GB"/>
        </w:rPr>
        <w:t>7</w:t>
      </w:r>
      <w:r w:rsidRPr="0042371A">
        <w:rPr>
          <w:rFonts w:ascii="Arial" w:hAnsi="Arial" w:cs="Arial"/>
          <w:sz w:val="24"/>
          <w:lang w:val="en-GB"/>
        </w:rPr>
        <w:t>(11), pp.1837-1843.</w:t>
      </w:r>
    </w:p>
    <w:p w14:paraId="49043FA2"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GOV.UK (2025) ‘Consumer rights’, </w:t>
      </w:r>
      <w:r w:rsidRPr="0042371A">
        <w:rPr>
          <w:rFonts w:ascii="Arial" w:hAnsi="Arial" w:cs="Arial"/>
          <w:i/>
          <w:sz w:val="24"/>
          <w:lang w:val="en-GB"/>
        </w:rPr>
        <w:t>GOV.UK</w:t>
      </w:r>
      <w:r w:rsidRPr="0042371A">
        <w:rPr>
          <w:rFonts w:ascii="Arial" w:hAnsi="Arial" w:cs="Arial"/>
          <w:sz w:val="24"/>
          <w:lang w:val="en-GB"/>
        </w:rPr>
        <w:t xml:space="preserve">. Available at: </w:t>
      </w:r>
      <w:hyperlink r:id="rId33"/>
      <w:hyperlink r:id="rId34">
        <w:r w:rsidRPr="0042371A">
          <w:rPr>
            <w:rStyle w:val="Hyperlink"/>
            <w:rFonts w:ascii="Arial" w:hAnsi="Arial" w:cs="Arial"/>
            <w:color w:val="auto"/>
            <w:sz w:val="24"/>
            <w:u w:val="none"/>
            <w:lang w:val="en-GB"/>
          </w:rPr>
          <w:t>https://www.gov.uk/consumer-protection-rights</w:t>
        </w:r>
      </w:hyperlink>
      <w:r w:rsidRPr="0042371A">
        <w:rPr>
          <w:rFonts w:ascii="Arial" w:hAnsi="Arial" w:cs="Arial"/>
          <w:sz w:val="24"/>
          <w:lang w:val="en-GB"/>
        </w:rPr>
        <w:t xml:space="preserve"> [Accessed: 7 November 2025]</w:t>
      </w:r>
    </w:p>
    <w:p w14:paraId="430A18E5"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lastRenderedPageBreak/>
        <w:t xml:space="preserve">Guarascio, F. Kim, M., Nguyen, P., 2024. Vietnam EV maker </w:t>
      </w:r>
      <w:proofErr w:type="spellStart"/>
      <w:r w:rsidRPr="0042371A">
        <w:rPr>
          <w:rFonts w:ascii="Arial" w:hAnsi="Arial" w:cs="Arial"/>
          <w:sz w:val="24"/>
          <w:lang w:val="en-GB"/>
        </w:rPr>
        <w:t>VinFast's</w:t>
      </w:r>
      <w:proofErr w:type="spellEnd"/>
      <w:r w:rsidRPr="0042371A">
        <w:rPr>
          <w:rFonts w:ascii="Arial" w:hAnsi="Arial" w:cs="Arial"/>
          <w:sz w:val="24"/>
          <w:lang w:val="en-GB"/>
        </w:rPr>
        <w:t xml:space="preserve"> challenges escalate risk for parent Vingroup. </w:t>
      </w:r>
      <w:r w:rsidRPr="0042371A">
        <w:rPr>
          <w:rFonts w:ascii="Arial" w:hAnsi="Arial" w:cs="Arial"/>
          <w:i/>
          <w:iCs/>
          <w:sz w:val="24"/>
          <w:lang w:val="en-GB"/>
        </w:rPr>
        <w:t>Reuters</w:t>
      </w:r>
      <w:r w:rsidRPr="0042371A">
        <w:rPr>
          <w:rFonts w:ascii="Arial" w:hAnsi="Arial" w:cs="Arial"/>
          <w:sz w:val="24"/>
          <w:lang w:val="en-GB"/>
        </w:rPr>
        <w:t>. Available at:</w:t>
      </w:r>
      <w:hyperlink r:id="rId35"/>
      <w:hyperlink r:id="rId36">
        <w:r w:rsidRPr="0042371A">
          <w:rPr>
            <w:rStyle w:val="Hyperlink"/>
            <w:rFonts w:ascii="Arial" w:hAnsi="Arial" w:cs="Arial"/>
            <w:color w:val="auto"/>
            <w:sz w:val="24"/>
            <w:u w:val="none"/>
            <w:lang w:val="en-GB"/>
          </w:rPr>
          <w:t>https://www.reuters.com/business/autos-transportation/vietnam-ev-maker-vinfasts-challenges-escalate-risk-parent-vingroup-2024-04-12/</w:t>
        </w:r>
      </w:hyperlink>
      <w:r w:rsidRPr="0042371A">
        <w:rPr>
          <w:rFonts w:ascii="Arial" w:hAnsi="Arial" w:cs="Arial"/>
          <w:sz w:val="24"/>
          <w:lang w:val="en-GB"/>
        </w:rPr>
        <w:t xml:space="preserve"> [Accessed: 13 November 2025]</w:t>
      </w:r>
    </w:p>
    <w:p w14:paraId="7569EA5F"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IEA (2025) ‘Trends in electric car markets’, </w:t>
      </w:r>
      <w:r w:rsidRPr="0042371A">
        <w:rPr>
          <w:rFonts w:ascii="Arial" w:hAnsi="Arial" w:cs="Arial"/>
          <w:i/>
          <w:sz w:val="24"/>
          <w:lang w:val="en-GB"/>
        </w:rPr>
        <w:t>IEA</w:t>
      </w:r>
      <w:r w:rsidRPr="0042371A">
        <w:rPr>
          <w:rFonts w:ascii="Arial" w:hAnsi="Arial" w:cs="Arial"/>
          <w:sz w:val="24"/>
          <w:lang w:val="en-GB"/>
        </w:rPr>
        <w:t>. Available at:</w:t>
      </w:r>
      <w:hyperlink r:id="rId37"/>
      <w:hyperlink r:id="rId38">
        <w:r w:rsidRPr="0042371A">
          <w:rPr>
            <w:rStyle w:val="Hyperlink"/>
            <w:rFonts w:ascii="Arial" w:hAnsi="Arial" w:cs="Arial"/>
            <w:color w:val="auto"/>
            <w:sz w:val="24"/>
            <w:u w:val="none"/>
            <w:lang w:val="en-GB"/>
          </w:rPr>
          <w:t>https://www.iea.org/reports/global-ev-outlook-2025/trends-in-electric-car-markets-2</w:t>
        </w:r>
      </w:hyperlink>
      <w:r w:rsidRPr="0042371A">
        <w:rPr>
          <w:rFonts w:ascii="Arial" w:hAnsi="Arial" w:cs="Arial"/>
          <w:sz w:val="24"/>
          <w:lang w:val="en-GB"/>
        </w:rPr>
        <w:t xml:space="preserve"> [Accessed: 7 November 2025]</w:t>
      </w:r>
    </w:p>
    <w:p w14:paraId="7B512EE7"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Kuc, B.R. and Borkowski, S., 2021. Hung Hau corporate business analysis using BCG matrix.“. </w:t>
      </w:r>
      <w:r w:rsidRPr="0042371A">
        <w:rPr>
          <w:rFonts w:ascii="Arial" w:hAnsi="Arial" w:cs="Arial"/>
          <w:i/>
          <w:iCs/>
          <w:sz w:val="24"/>
          <w:lang w:val="en-GB"/>
        </w:rPr>
        <w:t>International Journal of Advanced Multidisciplinary Research and Studies</w:t>
      </w:r>
      <w:r w:rsidRPr="0042371A">
        <w:rPr>
          <w:rFonts w:ascii="Arial" w:hAnsi="Arial" w:cs="Arial"/>
          <w:sz w:val="24"/>
          <w:lang w:val="en-GB"/>
        </w:rPr>
        <w:t xml:space="preserve">, </w:t>
      </w:r>
      <w:r w:rsidRPr="0042371A">
        <w:rPr>
          <w:rFonts w:ascii="Arial" w:hAnsi="Arial" w:cs="Arial"/>
          <w:i/>
          <w:iCs/>
          <w:sz w:val="24"/>
          <w:lang w:val="en-GB"/>
        </w:rPr>
        <w:t>1</w:t>
      </w:r>
      <w:r w:rsidRPr="0042371A">
        <w:rPr>
          <w:rFonts w:ascii="Arial" w:hAnsi="Arial" w:cs="Arial"/>
          <w:sz w:val="24"/>
          <w:lang w:val="en-GB"/>
        </w:rPr>
        <w:t>(1), pp.1-6.</w:t>
      </w:r>
    </w:p>
    <w:p w14:paraId="74813F70"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Kumar, S., Sureka, R., Lim, </w:t>
      </w:r>
      <w:proofErr w:type="spellStart"/>
      <w:r w:rsidRPr="0042371A">
        <w:rPr>
          <w:rFonts w:ascii="Arial" w:hAnsi="Arial" w:cs="Arial"/>
          <w:sz w:val="24"/>
          <w:lang w:val="en-GB"/>
        </w:rPr>
        <w:t>W.M</w:t>
      </w:r>
      <w:proofErr w:type="spellEnd"/>
      <w:r w:rsidRPr="0042371A">
        <w:rPr>
          <w:rFonts w:ascii="Arial" w:hAnsi="Arial" w:cs="Arial"/>
          <w:sz w:val="24"/>
          <w:lang w:val="en-GB"/>
        </w:rPr>
        <w:t xml:space="preserve">., Kumar Mangla, S. and Goyal, N., 2021. What do we know about business strategy and environmental research? Insights from Business Strategy and the Environment. </w:t>
      </w:r>
      <w:r w:rsidRPr="0042371A">
        <w:rPr>
          <w:rFonts w:ascii="Arial" w:hAnsi="Arial" w:cs="Arial"/>
          <w:i/>
          <w:iCs/>
          <w:sz w:val="24"/>
          <w:lang w:val="en-GB"/>
        </w:rPr>
        <w:t>Business Strategy and the Environment</w:t>
      </w:r>
      <w:r w:rsidRPr="0042371A">
        <w:rPr>
          <w:rFonts w:ascii="Arial" w:hAnsi="Arial" w:cs="Arial"/>
          <w:sz w:val="24"/>
          <w:lang w:val="en-GB"/>
        </w:rPr>
        <w:t xml:space="preserve">, </w:t>
      </w:r>
      <w:r w:rsidRPr="0042371A">
        <w:rPr>
          <w:rFonts w:ascii="Arial" w:hAnsi="Arial" w:cs="Arial"/>
          <w:i/>
          <w:iCs/>
          <w:sz w:val="24"/>
          <w:lang w:val="en-GB"/>
        </w:rPr>
        <w:t>30</w:t>
      </w:r>
      <w:r w:rsidRPr="0042371A">
        <w:rPr>
          <w:rFonts w:ascii="Arial" w:hAnsi="Arial" w:cs="Arial"/>
          <w:sz w:val="24"/>
          <w:lang w:val="en-GB"/>
        </w:rPr>
        <w:t>(8), pp.3454-3469.</w:t>
      </w:r>
    </w:p>
    <w:p w14:paraId="1D6B9EB4"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Leroi-</w:t>
      </w:r>
      <w:proofErr w:type="spellStart"/>
      <w:r w:rsidRPr="0042371A">
        <w:rPr>
          <w:rFonts w:ascii="Arial" w:hAnsi="Arial" w:cs="Arial"/>
          <w:sz w:val="24"/>
          <w:lang w:val="en-GB"/>
        </w:rPr>
        <w:t>Werelds</w:t>
      </w:r>
      <w:proofErr w:type="spellEnd"/>
      <w:r w:rsidRPr="0042371A">
        <w:rPr>
          <w:rFonts w:ascii="Arial" w:hAnsi="Arial" w:cs="Arial"/>
          <w:sz w:val="24"/>
          <w:lang w:val="en-GB"/>
        </w:rPr>
        <w:t xml:space="preserve">, S., </w:t>
      </w:r>
      <w:proofErr w:type="spellStart"/>
      <w:r w:rsidRPr="0042371A">
        <w:rPr>
          <w:rFonts w:ascii="Arial" w:hAnsi="Arial" w:cs="Arial"/>
          <w:sz w:val="24"/>
          <w:lang w:val="en-GB"/>
        </w:rPr>
        <w:t>Verleye</w:t>
      </w:r>
      <w:proofErr w:type="spellEnd"/>
      <w:r w:rsidRPr="0042371A">
        <w:rPr>
          <w:rFonts w:ascii="Arial" w:hAnsi="Arial" w:cs="Arial"/>
          <w:sz w:val="24"/>
          <w:lang w:val="en-GB"/>
        </w:rPr>
        <w:t xml:space="preserve">, K., Line, N. and Bove, L., 2021. Value proposition dynamics in response to external event triggers. </w:t>
      </w:r>
      <w:r w:rsidRPr="0042371A">
        <w:rPr>
          <w:rFonts w:ascii="Arial" w:hAnsi="Arial" w:cs="Arial"/>
          <w:i/>
          <w:iCs/>
          <w:sz w:val="24"/>
          <w:lang w:val="en-GB"/>
        </w:rPr>
        <w:t>Journal of business research</w:t>
      </w:r>
      <w:r w:rsidRPr="0042371A">
        <w:rPr>
          <w:rFonts w:ascii="Arial" w:hAnsi="Arial" w:cs="Arial"/>
          <w:sz w:val="24"/>
          <w:lang w:val="en-GB"/>
        </w:rPr>
        <w:t xml:space="preserve">, </w:t>
      </w:r>
      <w:r w:rsidRPr="0042371A">
        <w:rPr>
          <w:rFonts w:ascii="Arial" w:hAnsi="Arial" w:cs="Arial"/>
          <w:i/>
          <w:iCs/>
          <w:sz w:val="24"/>
          <w:lang w:val="en-GB"/>
        </w:rPr>
        <w:t>136</w:t>
      </w:r>
      <w:r w:rsidRPr="0042371A">
        <w:rPr>
          <w:rFonts w:ascii="Arial" w:hAnsi="Arial" w:cs="Arial"/>
          <w:sz w:val="24"/>
          <w:lang w:val="en-GB"/>
        </w:rPr>
        <w:t>, pp.274-283.</w:t>
      </w:r>
    </w:p>
    <w:p w14:paraId="44B43256"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Nair, K. and Gupta, R., 2021. Application of AI technology in modern digital marketing environment. </w:t>
      </w:r>
      <w:r w:rsidRPr="0042371A">
        <w:rPr>
          <w:rFonts w:ascii="Arial" w:hAnsi="Arial" w:cs="Arial"/>
          <w:i/>
          <w:iCs/>
          <w:sz w:val="24"/>
          <w:lang w:val="en-GB"/>
        </w:rPr>
        <w:t>World Journal of Entrepreneurship, Management and Sustainable Development</w:t>
      </w:r>
      <w:r w:rsidRPr="0042371A">
        <w:rPr>
          <w:rFonts w:ascii="Arial" w:hAnsi="Arial" w:cs="Arial"/>
          <w:sz w:val="24"/>
          <w:lang w:val="en-GB"/>
        </w:rPr>
        <w:t xml:space="preserve">, </w:t>
      </w:r>
      <w:r w:rsidRPr="0042371A">
        <w:rPr>
          <w:rFonts w:ascii="Arial" w:hAnsi="Arial" w:cs="Arial"/>
          <w:i/>
          <w:iCs/>
          <w:sz w:val="24"/>
          <w:lang w:val="en-GB"/>
        </w:rPr>
        <w:t>17</w:t>
      </w:r>
      <w:r w:rsidRPr="0042371A">
        <w:rPr>
          <w:rFonts w:ascii="Arial" w:hAnsi="Arial" w:cs="Arial"/>
          <w:sz w:val="24"/>
          <w:lang w:val="en-GB"/>
        </w:rPr>
        <w:t>(3), pp.318-328.</w:t>
      </w:r>
    </w:p>
    <w:p w14:paraId="4FFBEA01" w14:textId="77777777" w:rsidR="0042371A" w:rsidRPr="0042371A" w:rsidRDefault="0042371A" w:rsidP="0042371A">
      <w:pPr>
        <w:spacing w:line="360" w:lineRule="auto"/>
        <w:jc w:val="both"/>
        <w:rPr>
          <w:rFonts w:ascii="Arial" w:hAnsi="Arial" w:cs="Arial"/>
          <w:sz w:val="24"/>
          <w:lang w:val="en-GB"/>
        </w:rPr>
      </w:pPr>
      <w:proofErr w:type="spellStart"/>
      <w:r w:rsidRPr="0042371A">
        <w:rPr>
          <w:rFonts w:ascii="Arial" w:hAnsi="Arial" w:cs="Arial"/>
          <w:sz w:val="24"/>
          <w:lang w:val="en-GB"/>
        </w:rPr>
        <w:t>Neolaka</w:t>
      </w:r>
      <w:proofErr w:type="spellEnd"/>
      <w:r w:rsidRPr="0042371A">
        <w:rPr>
          <w:rFonts w:ascii="Arial" w:hAnsi="Arial" w:cs="Arial"/>
          <w:sz w:val="24"/>
          <w:lang w:val="en-GB"/>
        </w:rPr>
        <w:t xml:space="preserve">, </w:t>
      </w:r>
      <w:proofErr w:type="spellStart"/>
      <w:r w:rsidRPr="0042371A">
        <w:rPr>
          <w:rFonts w:ascii="Arial" w:hAnsi="Arial" w:cs="Arial"/>
          <w:sz w:val="24"/>
          <w:lang w:val="en-GB"/>
        </w:rPr>
        <w:t>A.M.Y</w:t>
      </w:r>
      <w:proofErr w:type="spellEnd"/>
      <w:r w:rsidRPr="0042371A">
        <w:rPr>
          <w:rFonts w:ascii="Arial" w:hAnsi="Arial" w:cs="Arial"/>
          <w:sz w:val="24"/>
          <w:lang w:val="en-GB"/>
        </w:rPr>
        <w:t xml:space="preserve">., </w:t>
      </w:r>
      <w:proofErr w:type="spellStart"/>
      <w:r w:rsidRPr="0042371A">
        <w:rPr>
          <w:rFonts w:ascii="Arial" w:hAnsi="Arial" w:cs="Arial"/>
          <w:sz w:val="24"/>
          <w:lang w:val="en-GB"/>
        </w:rPr>
        <w:t>Faulina</w:t>
      </w:r>
      <w:proofErr w:type="spellEnd"/>
      <w:r w:rsidRPr="0042371A">
        <w:rPr>
          <w:rFonts w:ascii="Arial" w:hAnsi="Arial" w:cs="Arial"/>
          <w:sz w:val="24"/>
          <w:lang w:val="en-GB"/>
        </w:rPr>
        <w:t xml:space="preserve">, M., </w:t>
      </w:r>
      <w:proofErr w:type="spellStart"/>
      <w:r w:rsidRPr="0042371A">
        <w:rPr>
          <w:rFonts w:ascii="Arial" w:hAnsi="Arial" w:cs="Arial"/>
          <w:sz w:val="24"/>
          <w:lang w:val="en-GB"/>
        </w:rPr>
        <w:t>Akromah</w:t>
      </w:r>
      <w:proofErr w:type="spellEnd"/>
      <w:r w:rsidRPr="0042371A">
        <w:rPr>
          <w:rFonts w:ascii="Arial" w:hAnsi="Arial" w:cs="Arial"/>
          <w:sz w:val="24"/>
          <w:lang w:val="en-GB"/>
        </w:rPr>
        <w:t xml:space="preserve">, P., </w:t>
      </w:r>
      <w:proofErr w:type="spellStart"/>
      <w:r w:rsidRPr="0042371A">
        <w:rPr>
          <w:rFonts w:ascii="Arial" w:hAnsi="Arial" w:cs="Arial"/>
          <w:sz w:val="24"/>
          <w:lang w:val="en-GB"/>
        </w:rPr>
        <w:t>Novilasari</w:t>
      </w:r>
      <w:proofErr w:type="spellEnd"/>
      <w:r w:rsidRPr="0042371A">
        <w:rPr>
          <w:rFonts w:ascii="Arial" w:hAnsi="Arial" w:cs="Arial"/>
          <w:sz w:val="24"/>
          <w:lang w:val="en-GB"/>
        </w:rPr>
        <w:t xml:space="preserve">, T.A. and </w:t>
      </w:r>
      <w:proofErr w:type="spellStart"/>
      <w:r w:rsidRPr="0042371A">
        <w:rPr>
          <w:rFonts w:ascii="Arial" w:hAnsi="Arial" w:cs="Arial"/>
          <w:sz w:val="24"/>
          <w:lang w:val="en-GB"/>
        </w:rPr>
        <w:t>Napitupulu</w:t>
      </w:r>
      <w:proofErr w:type="spellEnd"/>
      <w:r w:rsidRPr="0042371A">
        <w:rPr>
          <w:rFonts w:ascii="Arial" w:hAnsi="Arial" w:cs="Arial"/>
          <w:sz w:val="24"/>
          <w:lang w:val="en-GB"/>
        </w:rPr>
        <w:t xml:space="preserve">, </w:t>
      </w:r>
      <w:proofErr w:type="spellStart"/>
      <w:r w:rsidRPr="0042371A">
        <w:rPr>
          <w:rFonts w:ascii="Arial" w:hAnsi="Arial" w:cs="Arial"/>
          <w:sz w:val="24"/>
          <w:lang w:val="en-GB"/>
        </w:rPr>
        <w:t>R.H.M</w:t>
      </w:r>
      <w:proofErr w:type="spellEnd"/>
      <w:r w:rsidRPr="0042371A">
        <w:rPr>
          <w:rFonts w:ascii="Arial" w:hAnsi="Arial" w:cs="Arial"/>
          <w:sz w:val="24"/>
          <w:lang w:val="en-GB"/>
        </w:rPr>
        <w:t xml:space="preserve">., 2023. Marketing strategy using swot analysis (case study: </w:t>
      </w:r>
      <w:proofErr w:type="spellStart"/>
      <w:r w:rsidRPr="0042371A">
        <w:rPr>
          <w:rFonts w:ascii="Arial" w:hAnsi="Arial" w:cs="Arial"/>
          <w:sz w:val="24"/>
          <w:lang w:val="en-GB"/>
        </w:rPr>
        <w:t>stima</w:t>
      </w:r>
      <w:proofErr w:type="spellEnd"/>
      <w:r w:rsidRPr="0042371A">
        <w:rPr>
          <w:rFonts w:ascii="Arial" w:hAnsi="Arial" w:cs="Arial"/>
          <w:sz w:val="24"/>
          <w:lang w:val="en-GB"/>
        </w:rPr>
        <w:t xml:space="preserve"> IMMI). </w:t>
      </w:r>
      <w:proofErr w:type="spellStart"/>
      <w:r w:rsidRPr="0042371A">
        <w:rPr>
          <w:rFonts w:ascii="Arial" w:hAnsi="Arial" w:cs="Arial"/>
          <w:i/>
          <w:iCs/>
          <w:sz w:val="24"/>
          <w:lang w:val="en-GB"/>
        </w:rPr>
        <w:t>Jurnal</w:t>
      </w:r>
      <w:proofErr w:type="spellEnd"/>
      <w:r w:rsidRPr="0042371A">
        <w:rPr>
          <w:rFonts w:ascii="Arial" w:hAnsi="Arial" w:cs="Arial"/>
          <w:i/>
          <w:iCs/>
          <w:sz w:val="24"/>
          <w:lang w:val="en-GB"/>
        </w:rPr>
        <w:t xml:space="preserve"> Ekonomi</w:t>
      </w:r>
      <w:r w:rsidRPr="0042371A">
        <w:rPr>
          <w:rFonts w:ascii="Arial" w:hAnsi="Arial" w:cs="Arial"/>
          <w:sz w:val="24"/>
          <w:lang w:val="en-GB"/>
        </w:rPr>
        <w:t xml:space="preserve">, </w:t>
      </w:r>
      <w:r w:rsidRPr="0042371A">
        <w:rPr>
          <w:rFonts w:ascii="Arial" w:hAnsi="Arial" w:cs="Arial"/>
          <w:i/>
          <w:iCs/>
          <w:sz w:val="24"/>
          <w:lang w:val="en-GB"/>
        </w:rPr>
        <w:t>12</w:t>
      </w:r>
      <w:r w:rsidRPr="0042371A">
        <w:rPr>
          <w:rFonts w:ascii="Arial" w:hAnsi="Arial" w:cs="Arial"/>
          <w:sz w:val="24"/>
          <w:lang w:val="en-GB"/>
        </w:rPr>
        <w:t>(02), pp.1650-1659.</w:t>
      </w:r>
    </w:p>
    <w:p w14:paraId="0E4CFD43"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Nguyen, P., 2025. </w:t>
      </w:r>
      <w:proofErr w:type="spellStart"/>
      <w:r w:rsidRPr="0042371A">
        <w:rPr>
          <w:rFonts w:ascii="Arial" w:hAnsi="Arial" w:cs="Arial"/>
          <w:sz w:val="24"/>
          <w:lang w:val="en-GB"/>
        </w:rPr>
        <w:t>VinFast</w:t>
      </w:r>
      <w:proofErr w:type="spellEnd"/>
      <w:r w:rsidRPr="0042371A">
        <w:rPr>
          <w:rFonts w:ascii="Arial" w:hAnsi="Arial" w:cs="Arial"/>
          <w:sz w:val="24"/>
          <w:lang w:val="en-GB"/>
        </w:rPr>
        <w:t xml:space="preserve"> speeds up EVs deliveries, but struggles to sell outside Vietnam. </w:t>
      </w:r>
      <w:r w:rsidRPr="0042371A">
        <w:rPr>
          <w:rFonts w:ascii="Arial" w:hAnsi="Arial" w:cs="Arial"/>
          <w:i/>
          <w:iCs/>
          <w:sz w:val="24"/>
          <w:lang w:val="en-GB"/>
        </w:rPr>
        <w:t>Reuters</w:t>
      </w:r>
      <w:r w:rsidRPr="0042371A">
        <w:rPr>
          <w:rFonts w:ascii="Arial" w:hAnsi="Arial" w:cs="Arial"/>
          <w:sz w:val="24"/>
          <w:lang w:val="en-GB"/>
        </w:rPr>
        <w:t>. Available at:</w:t>
      </w:r>
      <w:hyperlink r:id="rId39" w:anchor=":~:text=Summary,much%20cheaper%20and%20smaller%20model"/>
      <w:hyperlink r:id="rId40" w:anchor=":~:text=Summary,much%20cheaper%20and%20smaller%20model">
        <w:r w:rsidRPr="0042371A">
          <w:rPr>
            <w:rStyle w:val="Hyperlink"/>
            <w:rFonts w:ascii="Arial" w:hAnsi="Arial" w:cs="Arial"/>
            <w:color w:val="auto"/>
            <w:sz w:val="24"/>
            <w:u w:val="none"/>
            <w:lang w:val="en-GB"/>
          </w:rPr>
          <w:t>https://www.reuters.com/business/autos-transportation/vinfast-speeds-up-ev-deliveries-struggles-sell-outside-vietnam-2025-02-13/#:~:text=Summary,much%20cheaper%20and%20smaller%20model</w:t>
        </w:r>
      </w:hyperlink>
      <w:r w:rsidRPr="0042371A">
        <w:rPr>
          <w:rFonts w:ascii="Arial" w:hAnsi="Arial" w:cs="Arial"/>
          <w:sz w:val="24"/>
          <w:lang w:val="en-GB"/>
        </w:rPr>
        <w:t>. [Accessed: 13 November 2025]</w:t>
      </w:r>
    </w:p>
    <w:p w14:paraId="3A9C9F19"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lastRenderedPageBreak/>
        <w:t>Pascucci, F., Savelli, E. and Gistri, G., 2023. How digital technologies reshape marketing: evidence from a qualitative investigation. Italian Journal of Marketing, 2023(1), pp.27-58.</w:t>
      </w:r>
    </w:p>
    <w:p w14:paraId="25905EEC"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UK Parliament 2025. Electric vehicles and infrastructure. </w:t>
      </w:r>
      <w:r w:rsidRPr="0042371A">
        <w:rPr>
          <w:rFonts w:ascii="Arial" w:hAnsi="Arial" w:cs="Arial"/>
          <w:i/>
          <w:iCs/>
          <w:sz w:val="24"/>
          <w:lang w:val="en-GB"/>
        </w:rPr>
        <w:t>UK Parliament</w:t>
      </w:r>
      <w:r w:rsidRPr="0042371A">
        <w:rPr>
          <w:rFonts w:ascii="Arial" w:hAnsi="Arial" w:cs="Arial"/>
          <w:sz w:val="24"/>
          <w:lang w:val="en-GB"/>
        </w:rPr>
        <w:t>. Available at:</w:t>
      </w:r>
      <w:hyperlink r:id="rId41" w:anchor=":~:text=The%20market%20for%20EVs%20is,outside%20homes%20and%20at%20workplaces"/>
      <w:hyperlink r:id="rId42" w:anchor=":~:text=The%20market%20for%20EVs%20is,outside%20homes%20and%20at%20workplaces">
        <w:r w:rsidRPr="0042371A">
          <w:rPr>
            <w:rStyle w:val="Hyperlink"/>
            <w:rFonts w:ascii="Arial" w:hAnsi="Arial" w:cs="Arial"/>
            <w:color w:val="auto"/>
            <w:sz w:val="24"/>
            <w:u w:val="none"/>
            <w:lang w:val="en-GB"/>
          </w:rPr>
          <w:t>https://commonslibrary.parliament.uk/research-briefings/cbp-7480/#:~:text=The%20market%20for%20EVs%20is,outside%20homes%20and%20at%20workplaces</w:t>
        </w:r>
      </w:hyperlink>
      <w:r w:rsidRPr="0042371A">
        <w:rPr>
          <w:rFonts w:ascii="Arial" w:hAnsi="Arial" w:cs="Arial"/>
          <w:sz w:val="24"/>
          <w:lang w:val="en-GB"/>
        </w:rPr>
        <w:t>. [Accessed: 13 November 2025]</w:t>
      </w:r>
    </w:p>
    <w:p w14:paraId="2E96393C" w14:textId="77777777" w:rsidR="0042371A" w:rsidRPr="0042371A" w:rsidRDefault="0042371A" w:rsidP="0042371A">
      <w:pPr>
        <w:spacing w:line="360" w:lineRule="auto"/>
        <w:jc w:val="both"/>
        <w:rPr>
          <w:rFonts w:ascii="Arial" w:hAnsi="Arial" w:cs="Arial"/>
          <w:sz w:val="24"/>
          <w:lang w:val="en-GB"/>
        </w:rPr>
      </w:pPr>
      <w:r w:rsidRPr="0042371A">
        <w:rPr>
          <w:rFonts w:ascii="Arial" w:hAnsi="Arial" w:cs="Arial"/>
          <w:sz w:val="24"/>
          <w:lang w:val="en-GB"/>
        </w:rPr>
        <w:t xml:space="preserve">WIPO 2023. </w:t>
      </w:r>
      <w:proofErr w:type="spellStart"/>
      <w:r w:rsidRPr="0042371A">
        <w:rPr>
          <w:rFonts w:ascii="Arial" w:hAnsi="Arial" w:cs="Arial"/>
          <w:sz w:val="24"/>
          <w:lang w:val="en-GB"/>
        </w:rPr>
        <w:t>VinFast</w:t>
      </w:r>
      <w:proofErr w:type="spellEnd"/>
      <w:r w:rsidRPr="0042371A">
        <w:rPr>
          <w:rFonts w:ascii="Arial" w:hAnsi="Arial" w:cs="Arial"/>
          <w:sz w:val="24"/>
          <w:lang w:val="en-GB"/>
        </w:rPr>
        <w:t xml:space="preserve">, Viet Nam's Leading Electric Cars Manufacturer. </w:t>
      </w:r>
      <w:r w:rsidRPr="0042371A">
        <w:rPr>
          <w:rFonts w:ascii="Arial" w:hAnsi="Arial" w:cs="Arial"/>
          <w:i/>
          <w:iCs/>
          <w:sz w:val="24"/>
          <w:lang w:val="en-GB"/>
        </w:rPr>
        <w:t>WIPO</w:t>
      </w:r>
      <w:r w:rsidRPr="0042371A">
        <w:rPr>
          <w:rFonts w:ascii="Arial" w:hAnsi="Arial" w:cs="Arial"/>
          <w:sz w:val="24"/>
          <w:lang w:val="en-GB"/>
        </w:rPr>
        <w:t>. Available at:</w:t>
      </w:r>
      <w:hyperlink r:id="rId43"/>
      <w:hyperlink r:id="rId44">
        <w:r w:rsidRPr="0042371A">
          <w:rPr>
            <w:rStyle w:val="Hyperlink"/>
            <w:rFonts w:ascii="Arial" w:hAnsi="Arial" w:cs="Arial"/>
            <w:color w:val="auto"/>
            <w:sz w:val="24"/>
            <w:u w:val="none"/>
            <w:lang w:val="en-GB"/>
          </w:rPr>
          <w:t>https://www.wipo.int/en/web/ip-advantage/w/stories/vinfast-viet-nam-s-leading-electric-cars-manufacturer</w:t>
        </w:r>
      </w:hyperlink>
      <w:r w:rsidRPr="0042371A">
        <w:rPr>
          <w:rFonts w:ascii="Arial" w:hAnsi="Arial" w:cs="Arial"/>
          <w:sz w:val="24"/>
          <w:lang w:val="en-GB"/>
        </w:rPr>
        <w:t xml:space="preserve"> [Accessed: 13 November 2025]</w:t>
      </w:r>
    </w:p>
    <w:p w14:paraId="541E80CC" w14:textId="77777777" w:rsidR="0042371A" w:rsidRPr="00491BF2" w:rsidRDefault="0042371A" w:rsidP="002968D9">
      <w:pPr>
        <w:spacing w:line="360" w:lineRule="auto"/>
        <w:jc w:val="both"/>
        <w:rPr>
          <w:rFonts w:ascii="Arial" w:hAnsi="Arial" w:cs="Arial"/>
          <w:sz w:val="24"/>
          <w:lang w:val="en-GB"/>
        </w:rPr>
      </w:pPr>
    </w:p>
    <w:p w14:paraId="313FEF52" w14:textId="77777777" w:rsidR="00C72985" w:rsidRPr="00491BF2" w:rsidRDefault="00C72985" w:rsidP="00623EE9">
      <w:pPr>
        <w:spacing w:line="360" w:lineRule="auto"/>
        <w:jc w:val="both"/>
        <w:rPr>
          <w:rFonts w:ascii="Arial" w:hAnsi="Arial" w:cs="Arial"/>
          <w:b/>
          <w:sz w:val="24"/>
          <w:lang w:val="en-GB"/>
        </w:rPr>
      </w:pPr>
    </w:p>
    <w:sectPr w:rsidR="00C72985" w:rsidRPr="00491BF2" w:rsidSect="002968D9">
      <w:footerReference w:type="default" r:id="rId4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AD156" w14:textId="77777777" w:rsidR="00BE4D62" w:rsidRDefault="00BE4D62" w:rsidP="002968D9">
      <w:pPr>
        <w:spacing w:after="0" w:line="240" w:lineRule="auto"/>
      </w:pPr>
      <w:r>
        <w:separator/>
      </w:r>
    </w:p>
  </w:endnote>
  <w:endnote w:type="continuationSeparator" w:id="0">
    <w:p w14:paraId="101F4E67" w14:textId="77777777" w:rsidR="00BE4D62" w:rsidRDefault="00BE4D62" w:rsidP="00296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402398"/>
      <w:docPartObj>
        <w:docPartGallery w:val="Page Numbers (Bottom of Page)"/>
        <w:docPartUnique/>
      </w:docPartObj>
    </w:sdtPr>
    <w:sdtContent>
      <w:p w14:paraId="29347AD2" w14:textId="77777777" w:rsidR="002968D9" w:rsidRDefault="00547922">
        <w:pPr>
          <w:pStyle w:val="Footer"/>
          <w:jc w:val="right"/>
        </w:pPr>
        <w:r w:rsidRPr="002968D9">
          <w:rPr>
            <w:rFonts w:ascii="Arial" w:hAnsi="Arial" w:cs="Arial"/>
            <w:sz w:val="20"/>
          </w:rPr>
          <w:fldChar w:fldCharType="begin"/>
        </w:r>
        <w:r w:rsidR="002968D9" w:rsidRPr="002968D9">
          <w:rPr>
            <w:rFonts w:ascii="Arial" w:hAnsi="Arial" w:cs="Arial"/>
            <w:sz w:val="20"/>
          </w:rPr>
          <w:instrText xml:space="preserve"> PAGE   \* MERGEFORMAT </w:instrText>
        </w:r>
        <w:r w:rsidRPr="002968D9">
          <w:rPr>
            <w:rFonts w:ascii="Arial" w:hAnsi="Arial" w:cs="Arial"/>
            <w:sz w:val="20"/>
          </w:rPr>
          <w:fldChar w:fldCharType="separate"/>
        </w:r>
        <w:r w:rsidR="00C65602">
          <w:rPr>
            <w:rFonts w:ascii="Arial" w:hAnsi="Arial" w:cs="Arial"/>
            <w:noProof/>
            <w:sz w:val="20"/>
          </w:rPr>
          <w:t>9</w:t>
        </w:r>
        <w:r w:rsidRPr="002968D9">
          <w:rPr>
            <w:rFonts w:ascii="Arial" w:hAnsi="Arial" w:cs="Arial"/>
            <w:sz w:val="20"/>
          </w:rPr>
          <w:fldChar w:fldCharType="end"/>
        </w:r>
      </w:p>
    </w:sdtContent>
  </w:sdt>
  <w:p w14:paraId="5D589FDB" w14:textId="77777777" w:rsidR="002968D9" w:rsidRDefault="002968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0A795" w14:textId="77777777" w:rsidR="00BE4D62" w:rsidRDefault="00BE4D62" w:rsidP="002968D9">
      <w:pPr>
        <w:spacing w:after="0" w:line="240" w:lineRule="auto"/>
      </w:pPr>
      <w:r>
        <w:separator/>
      </w:r>
    </w:p>
  </w:footnote>
  <w:footnote w:type="continuationSeparator" w:id="0">
    <w:p w14:paraId="0D28E4F9" w14:textId="77777777" w:rsidR="00BE4D62" w:rsidRDefault="00BE4D62" w:rsidP="002968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5281"/>
    <w:multiLevelType w:val="hybridMultilevel"/>
    <w:tmpl w:val="00000000"/>
    <w:lvl w:ilvl="0" w:tplc="13B8EFE6">
      <w:start w:val="1"/>
      <w:numFmt w:val="bullet"/>
      <w:lvlText w:val="●"/>
      <w:lvlJc w:val="left"/>
      <w:pPr>
        <w:ind w:left="720" w:hanging="360"/>
      </w:pPr>
      <w:rPr>
        <w:u w:val="none"/>
      </w:rPr>
    </w:lvl>
    <w:lvl w:ilvl="1" w:tplc="EA7E6EFA">
      <w:start w:val="1"/>
      <w:numFmt w:val="bullet"/>
      <w:lvlText w:val="○"/>
      <w:lvlJc w:val="left"/>
      <w:pPr>
        <w:ind w:left="1440" w:hanging="360"/>
      </w:pPr>
      <w:rPr>
        <w:u w:val="none"/>
      </w:rPr>
    </w:lvl>
    <w:lvl w:ilvl="2" w:tplc="D406A5E2">
      <w:start w:val="1"/>
      <w:numFmt w:val="bullet"/>
      <w:lvlText w:val="■"/>
      <w:lvlJc w:val="left"/>
      <w:pPr>
        <w:ind w:left="2160" w:hanging="360"/>
      </w:pPr>
      <w:rPr>
        <w:u w:val="none"/>
      </w:rPr>
    </w:lvl>
    <w:lvl w:ilvl="3" w:tplc="3CF6180E">
      <w:start w:val="1"/>
      <w:numFmt w:val="bullet"/>
      <w:lvlText w:val="●"/>
      <w:lvlJc w:val="left"/>
      <w:pPr>
        <w:ind w:left="2880" w:hanging="360"/>
      </w:pPr>
      <w:rPr>
        <w:u w:val="none"/>
      </w:rPr>
    </w:lvl>
    <w:lvl w:ilvl="4" w:tplc="39EC6C50">
      <w:start w:val="1"/>
      <w:numFmt w:val="bullet"/>
      <w:lvlText w:val="○"/>
      <w:lvlJc w:val="left"/>
      <w:pPr>
        <w:ind w:left="3600" w:hanging="360"/>
      </w:pPr>
      <w:rPr>
        <w:u w:val="none"/>
      </w:rPr>
    </w:lvl>
    <w:lvl w:ilvl="5" w:tplc="A4F496D0">
      <w:start w:val="1"/>
      <w:numFmt w:val="bullet"/>
      <w:lvlText w:val="■"/>
      <w:lvlJc w:val="left"/>
      <w:pPr>
        <w:ind w:left="4320" w:hanging="360"/>
      </w:pPr>
      <w:rPr>
        <w:u w:val="none"/>
      </w:rPr>
    </w:lvl>
    <w:lvl w:ilvl="6" w:tplc="2EF83E88">
      <w:start w:val="1"/>
      <w:numFmt w:val="bullet"/>
      <w:lvlText w:val="●"/>
      <w:lvlJc w:val="left"/>
      <w:pPr>
        <w:ind w:left="5040" w:hanging="360"/>
      </w:pPr>
      <w:rPr>
        <w:u w:val="none"/>
      </w:rPr>
    </w:lvl>
    <w:lvl w:ilvl="7" w:tplc="73F62596">
      <w:start w:val="1"/>
      <w:numFmt w:val="bullet"/>
      <w:lvlText w:val="○"/>
      <w:lvlJc w:val="left"/>
      <w:pPr>
        <w:ind w:left="5760" w:hanging="360"/>
      </w:pPr>
      <w:rPr>
        <w:u w:val="none"/>
      </w:rPr>
    </w:lvl>
    <w:lvl w:ilvl="8" w:tplc="5FA4A4AC">
      <w:start w:val="1"/>
      <w:numFmt w:val="bullet"/>
      <w:lvlText w:val="■"/>
      <w:lvlJc w:val="left"/>
      <w:pPr>
        <w:ind w:left="6480" w:hanging="360"/>
      </w:pPr>
      <w:rPr>
        <w:u w:val="none"/>
      </w:rPr>
    </w:lvl>
  </w:abstractNum>
  <w:abstractNum w:abstractNumId="1" w15:restartNumberingAfterBreak="0">
    <w:nsid w:val="236225FD"/>
    <w:multiLevelType w:val="hybridMultilevel"/>
    <w:tmpl w:val="00000000"/>
    <w:lvl w:ilvl="0" w:tplc="1F405510">
      <w:start w:val="1"/>
      <w:numFmt w:val="bullet"/>
      <w:lvlText w:val="●"/>
      <w:lvlJc w:val="left"/>
      <w:pPr>
        <w:ind w:left="720" w:hanging="360"/>
      </w:pPr>
      <w:rPr>
        <w:u w:val="none"/>
      </w:rPr>
    </w:lvl>
    <w:lvl w:ilvl="1" w:tplc="C10EB526">
      <w:start w:val="1"/>
      <w:numFmt w:val="bullet"/>
      <w:lvlText w:val="○"/>
      <w:lvlJc w:val="left"/>
      <w:pPr>
        <w:ind w:left="1440" w:hanging="360"/>
      </w:pPr>
      <w:rPr>
        <w:u w:val="none"/>
      </w:rPr>
    </w:lvl>
    <w:lvl w:ilvl="2" w:tplc="1952CF7A">
      <w:start w:val="1"/>
      <w:numFmt w:val="bullet"/>
      <w:lvlText w:val="■"/>
      <w:lvlJc w:val="left"/>
      <w:pPr>
        <w:ind w:left="2160" w:hanging="360"/>
      </w:pPr>
      <w:rPr>
        <w:u w:val="none"/>
      </w:rPr>
    </w:lvl>
    <w:lvl w:ilvl="3" w:tplc="16F05892">
      <w:start w:val="1"/>
      <w:numFmt w:val="bullet"/>
      <w:lvlText w:val="●"/>
      <w:lvlJc w:val="left"/>
      <w:pPr>
        <w:ind w:left="2880" w:hanging="360"/>
      </w:pPr>
      <w:rPr>
        <w:u w:val="none"/>
      </w:rPr>
    </w:lvl>
    <w:lvl w:ilvl="4" w:tplc="664AAA44">
      <w:start w:val="1"/>
      <w:numFmt w:val="bullet"/>
      <w:lvlText w:val="○"/>
      <w:lvlJc w:val="left"/>
      <w:pPr>
        <w:ind w:left="3600" w:hanging="360"/>
      </w:pPr>
      <w:rPr>
        <w:u w:val="none"/>
      </w:rPr>
    </w:lvl>
    <w:lvl w:ilvl="5" w:tplc="86E6AFB4">
      <w:start w:val="1"/>
      <w:numFmt w:val="bullet"/>
      <w:lvlText w:val="■"/>
      <w:lvlJc w:val="left"/>
      <w:pPr>
        <w:ind w:left="4320" w:hanging="360"/>
      </w:pPr>
      <w:rPr>
        <w:u w:val="none"/>
      </w:rPr>
    </w:lvl>
    <w:lvl w:ilvl="6" w:tplc="32763BF4">
      <w:start w:val="1"/>
      <w:numFmt w:val="bullet"/>
      <w:lvlText w:val="●"/>
      <w:lvlJc w:val="left"/>
      <w:pPr>
        <w:ind w:left="5040" w:hanging="360"/>
      </w:pPr>
      <w:rPr>
        <w:u w:val="none"/>
      </w:rPr>
    </w:lvl>
    <w:lvl w:ilvl="7" w:tplc="834C841C">
      <w:start w:val="1"/>
      <w:numFmt w:val="bullet"/>
      <w:lvlText w:val="○"/>
      <w:lvlJc w:val="left"/>
      <w:pPr>
        <w:ind w:left="5760" w:hanging="360"/>
      </w:pPr>
      <w:rPr>
        <w:u w:val="none"/>
      </w:rPr>
    </w:lvl>
    <w:lvl w:ilvl="8" w:tplc="A1CA5C22">
      <w:start w:val="1"/>
      <w:numFmt w:val="bullet"/>
      <w:lvlText w:val="■"/>
      <w:lvlJc w:val="left"/>
      <w:pPr>
        <w:ind w:left="6480" w:hanging="360"/>
      </w:pPr>
      <w:rPr>
        <w:u w:val="none"/>
      </w:rPr>
    </w:lvl>
  </w:abstractNum>
  <w:abstractNum w:abstractNumId="2" w15:restartNumberingAfterBreak="0">
    <w:nsid w:val="30E32A74"/>
    <w:multiLevelType w:val="hybridMultilevel"/>
    <w:tmpl w:val="E4181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CA981F"/>
    <w:multiLevelType w:val="hybridMultilevel"/>
    <w:tmpl w:val="00000000"/>
    <w:lvl w:ilvl="0" w:tplc="240898FE">
      <w:start w:val="1"/>
      <w:numFmt w:val="bullet"/>
      <w:lvlText w:val="●"/>
      <w:lvlJc w:val="left"/>
      <w:pPr>
        <w:ind w:left="720" w:hanging="360"/>
      </w:pPr>
      <w:rPr>
        <w:u w:val="none"/>
      </w:rPr>
    </w:lvl>
    <w:lvl w:ilvl="1" w:tplc="B3A415AC">
      <w:start w:val="1"/>
      <w:numFmt w:val="bullet"/>
      <w:lvlText w:val="○"/>
      <w:lvlJc w:val="left"/>
      <w:pPr>
        <w:ind w:left="1440" w:hanging="360"/>
      </w:pPr>
      <w:rPr>
        <w:u w:val="none"/>
      </w:rPr>
    </w:lvl>
    <w:lvl w:ilvl="2" w:tplc="DEC4B87E">
      <w:start w:val="1"/>
      <w:numFmt w:val="bullet"/>
      <w:lvlText w:val="■"/>
      <w:lvlJc w:val="left"/>
      <w:pPr>
        <w:ind w:left="2160" w:hanging="360"/>
      </w:pPr>
      <w:rPr>
        <w:u w:val="none"/>
      </w:rPr>
    </w:lvl>
    <w:lvl w:ilvl="3" w:tplc="4B600E20">
      <w:start w:val="1"/>
      <w:numFmt w:val="bullet"/>
      <w:lvlText w:val="●"/>
      <w:lvlJc w:val="left"/>
      <w:pPr>
        <w:ind w:left="2880" w:hanging="360"/>
      </w:pPr>
      <w:rPr>
        <w:u w:val="none"/>
      </w:rPr>
    </w:lvl>
    <w:lvl w:ilvl="4" w:tplc="40F8C1AE">
      <w:start w:val="1"/>
      <w:numFmt w:val="bullet"/>
      <w:lvlText w:val="○"/>
      <w:lvlJc w:val="left"/>
      <w:pPr>
        <w:ind w:left="3600" w:hanging="360"/>
      </w:pPr>
      <w:rPr>
        <w:u w:val="none"/>
      </w:rPr>
    </w:lvl>
    <w:lvl w:ilvl="5" w:tplc="B92EC37A">
      <w:start w:val="1"/>
      <w:numFmt w:val="bullet"/>
      <w:lvlText w:val="■"/>
      <w:lvlJc w:val="left"/>
      <w:pPr>
        <w:ind w:left="4320" w:hanging="360"/>
      </w:pPr>
      <w:rPr>
        <w:u w:val="none"/>
      </w:rPr>
    </w:lvl>
    <w:lvl w:ilvl="6" w:tplc="98D22872">
      <w:start w:val="1"/>
      <w:numFmt w:val="bullet"/>
      <w:lvlText w:val="●"/>
      <w:lvlJc w:val="left"/>
      <w:pPr>
        <w:ind w:left="5040" w:hanging="360"/>
      </w:pPr>
      <w:rPr>
        <w:u w:val="none"/>
      </w:rPr>
    </w:lvl>
    <w:lvl w:ilvl="7" w:tplc="E4067C5C">
      <w:start w:val="1"/>
      <w:numFmt w:val="bullet"/>
      <w:lvlText w:val="○"/>
      <w:lvlJc w:val="left"/>
      <w:pPr>
        <w:ind w:left="5760" w:hanging="360"/>
      </w:pPr>
      <w:rPr>
        <w:u w:val="none"/>
      </w:rPr>
    </w:lvl>
    <w:lvl w:ilvl="8" w:tplc="79808CE0">
      <w:start w:val="1"/>
      <w:numFmt w:val="bullet"/>
      <w:lvlText w:val="■"/>
      <w:lvlJc w:val="left"/>
      <w:pPr>
        <w:ind w:left="6480" w:hanging="360"/>
      </w:pPr>
      <w:rPr>
        <w:u w:val="none"/>
      </w:rPr>
    </w:lvl>
  </w:abstractNum>
  <w:abstractNum w:abstractNumId="4" w15:restartNumberingAfterBreak="0">
    <w:nsid w:val="5D5B0CEF"/>
    <w:multiLevelType w:val="hybridMultilevel"/>
    <w:tmpl w:val="00000000"/>
    <w:lvl w:ilvl="0" w:tplc="9F18DC20">
      <w:start w:val="1"/>
      <w:numFmt w:val="bullet"/>
      <w:lvlText w:val="●"/>
      <w:lvlJc w:val="left"/>
      <w:pPr>
        <w:ind w:left="720" w:hanging="360"/>
      </w:pPr>
      <w:rPr>
        <w:u w:val="none"/>
      </w:rPr>
    </w:lvl>
    <w:lvl w:ilvl="1" w:tplc="6B8A16F2">
      <w:start w:val="1"/>
      <w:numFmt w:val="bullet"/>
      <w:lvlText w:val="○"/>
      <w:lvlJc w:val="left"/>
      <w:pPr>
        <w:ind w:left="1440" w:hanging="360"/>
      </w:pPr>
      <w:rPr>
        <w:u w:val="none"/>
      </w:rPr>
    </w:lvl>
    <w:lvl w:ilvl="2" w:tplc="8586FD22">
      <w:start w:val="1"/>
      <w:numFmt w:val="bullet"/>
      <w:lvlText w:val="■"/>
      <w:lvlJc w:val="left"/>
      <w:pPr>
        <w:ind w:left="2160" w:hanging="360"/>
      </w:pPr>
      <w:rPr>
        <w:u w:val="none"/>
      </w:rPr>
    </w:lvl>
    <w:lvl w:ilvl="3" w:tplc="C1AEE306">
      <w:start w:val="1"/>
      <w:numFmt w:val="bullet"/>
      <w:lvlText w:val="●"/>
      <w:lvlJc w:val="left"/>
      <w:pPr>
        <w:ind w:left="2880" w:hanging="360"/>
      </w:pPr>
      <w:rPr>
        <w:u w:val="none"/>
      </w:rPr>
    </w:lvl>
    <w:lvl w:ilvl="4" w:tplc="EB4AFE0C">
      <w:start w:val="1"/>
      <w:numFmt w:val="bullet"/>
      <w:lvlText w:val="○"/>
      <w:lvlJc w:val="left"/>
      <w:pPr>
        <w:ind w:left="3600" w:hanging="360"/>
      </w:pPr>
      <w:rPr>
        <w:u w:val="none"/>
      </w:rPr>
    </w:lvl>
    <w:lvl w:ilvl="5" w:tplc="BFC2FE04">
      <w:start w:val="1"/>
      <w:numFmt w:val="bullet"/>
      <w:lvlText w:val="■"/>
      <w:lvlJc w:val="left"/>
      <w:pPr>
        <w:ind w:left="4320" w:hanging="360"/>
      </w:pPr>
      <w:rPr>
        <w:u w:val="none"/>
      </w:rPr>
    </w:lvl>
    <w:lvl w:ilvl="6" w:tplc="7A101FBA">
      <w:start w:val="1"/>
      <w:numFmt w:val="bullet"/>
      <w:lvlText w:val="●"/>
      <w:lvlJc w:val="left"/>
      <w:pPr>
        <w:ind w:left="5040" w:hanging="360"/>
      </w:pPr>
      <w:rPr>
        <w:u w:val="none"/>
      </w:rPr>
    </w:lvl>
    <w:lvl w:ilvl="7" w:tplc="671AC724">
      <w:start w:val="1"/>
      <w:numFmt w:val="bullet"/>
      <w:lvlText w:val="○"/>
      <w:lvlJc w:val="left"/>
      <w:pPr>
        <w:ind w:left="5760" w:hanging="360"/>
      </w:pPr>
      <w:rPr>
        <w:u w:val="none"/>
      </w:rPr>
    </w:lvl>
    <w:lvl w:ilvl="8" w:tplc="4F62E2E0">
      <w:start w:val="1"/>
      <w:numFmt w:val="bullet"/>
      <w:lvlText w:val="■"/>
      <w:lvlJc w:val="left"/>
      <w:pPr>
        <w:ind w:left="6480" w:hanging="360"/>
      </w:pPr>
      <w:rPr>
        <w:u w:val="none"/>
      </w:rPr>
    </w:lvl>
  </w:abstractNum>
  <w:abstractNum w:abstractNumId="5" w15:restartNumberingAfterBreak="0">
    <w:nsid w:val="6B4FD00B"/>
    <w:multiLevelType w:val="hybridMultilevel"/>
    <w:tmpl w:val="00000000"/>
    <w:lvl w:ilvl="0" w:tplc="77545696">
      <w:start w:val="1"/>
      <w:numFmt w:val="bullet"/>
      <w:lvlText w:val="●"/>
      <w:lvlJc w:val="left"/>
      <w:pPr>
        <w:ind w:left="720" w:hanging="360"/>
      </w:pPr>
      <w:rPr>
        <w:u w:val="none"/>
      </w:rPr>
    </w:lvl>
    <w:lvl w:ilvl="1" w:tplc="1316BA1E">
      <w:start w:val="1"/>
      <w:numFmt w:val="bullet"/>
      <w:lvlText w:val="○"/>
      <w:lvlJc w:val="left"/>
      <w:pPr>
        <w:ind w:left="1440" w:hanging="360"/>
      </w:pPr>
      <w:rPr>
        <w:u w:val="none"/>
      </w:rPr>
    </w:lvl>
    <w:lvl w:ilvl="2" w:tplc="B3A096E0">
      <w:start w:val="1"/>
      <w:numFmt w:val="bullet"/>
      <w:lvlText w:val="■"/>
      <w:lvlJc w:val="left"/>
      <w:pPr>
        <w:ind w:left="2160" w:hanging="360"/>
      </w:pPr>
      <w:rPr>
        <w:u w:val="none"/>
      </w:rPr>
    </w:lvl>
    <w:lvl w:ilvl="3" w:tplc="7CE276F2">
      <w:start w:val="1"/>
      <w:numFmt w:val="bullet"/>
      <w:lvlText w:val="●"/>
      <w:lvlJc w:val="left"/>
      <w:pPr>
        <w:ind w:left="2880" w:hanging="360"/>
      </w:pPr>
      <w:rPr>
        <w:u w:val="none"/>
      </w:rPr>
    </w:lvl>
    <w:lvl w:ilvl="4" w:tplc="B07276C8">
      <w:start w:val="1"/>
      <w:numFmt w:val="bullet"/>
      <w:lvlText w:val="○"/>
      <w:lvlJc w:val="left"/>
      <w:pPr>
        <w:ind w:left="3600" w:hanging="360"/>
      </w:pPr>
      <w:rPr>
        <w:u w:val="none"/>
      </w:rPr>
    </w:lvl>
    <w:lvl w:ilvl="5" w:tplc="456CA180">
      <w:start w:val="1"/>
      <w:numFmt w:val="bullet"/>
      <w:lvlText w:val="■"/>
      <w:lvlJc w:val="left"/>
      <w:pPr>
        <w:ind w:left="4320" w:hanging="360"/>
      </w:pPr>
      <w:rPr>
        <w:u w:val="none"/>
      </w:rPr>
    </w:lvl>
    <w:lvl w:ilvl="6" w:tplc="1AF8FE2A">
      <w:start w:val="1"/>
      <w:numFmt w:val="bullet"/>
      <w:lvlText w:val="●"/>
      <w:lvlJc w:val="left"/>
      <w:pPr>
        <w:ind w:left="5040" w:hanging="360"/>
      </w:pPr>
      <w:rPr>
        <w:u w:val="none"/>
      </w:rPr>
    </w:lvl>
    <w:lvl w:ilvl="7" w:tplc="1ED2D708">
      <w:start w:val="1"/>
      <w:numFmt w:val="bullet"/>
      <w:lvlText w:val="○"/>
      <w:lvlJc w:val="left"/>
      <w:pPr>
        <w:ind w:left="5760" w:hanging="360"/>
      </w:pPr>
      <w:rPr>
        <w:u w:val="none"/>
      </w:rPr>
    </w:lvl>
    <w:lvl w:ilvl="8" w:tplc="C4F0BA70">
      <w:start w:val="1"/>
      <w:numFmt w:val="bullet"/>
      <w:lvlText w:val="■"/>
      <w:lvlJc w:val="left"/>
      <w:pPr>
        <w:ind w:left="6480" w:hanging="360"/>
      </w:pPr>
      <w:rPr>
        <w:u w:val="none"/>
      </w:rPr>
    </w:lvl>
  </w:abstractNum>
  <w:abstractNum w:abstractNumId="6" w15:restartNumberingAfterBreak="0">
    <w:nsid w:val="701DA26A"/>
    <w:multiLevelType w:val="hybridMultilevel"/>
    <w:tmpl w:val="00000000"/>
    <w:lvl w:ilvl="0" w:tplc="4F74A874">
      <w:start w:val="1"/>
      <w:numFmt w:val="bullet"/>
      <w:lvlText w:val="●"/>
      <w:lvlJc w:val="left"/>
      <w:pPr>
        <w:ind w:left="720" w:hanging="360"/>
      </w:pPr>
      <w:rPr>
        <w:u w:val="none"/>
      </w:rPr>
    </w:lvl>
    <w:lvl w:ilvl="1" w:tplc="F8BCD262">
      <w:start w:val="1"/>
      <w:numFmt w:val="bullet"/>
      <w:lvlText w:val="○"/>
      <w:lvlJc w:val="left"/>
      <w:pPr>
        <w:ind w:left="1440" w:hanging="360"/>
      </w:pPr>
      <w:rPr>
        <w:u w:val="none"/>
      </w:rPr>
    </w:lvl>
    <w:lvl w:ilvl="2" w:tplc="B89A9514">
      <w:start w:val="1"/>
      <w:numFmt w:val="bullet"/>
      <w:lvlText w:val="■"/>
      <w:lvlJc w:val="left"/>
      <w:pPr>
        <w:ind w:left="2160" w:hanging="360"/>
      </w:pPr>
      <w:rPr>
        <w:u w:val="none"/>
      </w:rPr>
    </w:lvl>
    <w:lvl w:ilvl="3" w:tplc="C2780BAA">
      <w:start w:val="1"/>
      <w:numFmt w:val="bullet"/>
      <w:lvlText w:val="●"/>
      <w:lvlJc w:val="left"/>
      <w:pPr>
        <w:ind w:left="2880" w:hanging="360"/>
      </w:pPr>
      <w:rPr>
        <w:u w:val="none"/>
      </w:rPr>
    </w:lvl>
    <w:lvl w:ilvl="4" w:tplc="DD665358">
      <w:start w:val="1"/>
      <w:numFmt w:val="bullet"/>
      <w:lvlText w:val="○"/>
      <w:lvlJc w:val="left"/>
      <w:pPr>
        <w:ind w:left="3600" w:hanging="360"/>
      </w:pPr>
      <w:rPr>
        <w:u w:val="none"/>
      </w:rPr>
    </w:lvl>
    <w:lvl w:ilvl="5" w:tplc="EB3E4262">
      <w:start w:val="1"/>
      <w:numFmt w:val="bullet"/>
      <w:lvlText w:val="■"/>
      <w:lvlJc w:val="left"/>
      <w:pPr>
        <w:ind w:left="4320" w:hanging="360"/>
      </w:pPr>
      <w:rPr>
        <w:u w:val="none"/>
      </w:rPr>
    </w:lvl>
    <w:lvl w:ilvl="6" w:tplc="3F1C8786">
      <w:start w:val="1"/>
      <w:numFmt w:val="bullet"/>
      <w:lvlText w:val="●"/>
      <w:lvlJc w:val="left"/>
      <w:pPr>
        <w:ind w:left="5040" w:hanging="360"/>
      </w:pPr>
      <w:rPr>
        <w:u w:val="none"/>
      </w:rPr>
    </w:lvl>
    <w:lvl w:ilvl="7" w:tplc="9B06CF56">
      <w:start w:val="1"/>
      <w:numFmt w:val="bullet"/>
      <w:lvlText w:val="○"/>
      <w:lvlJc w:val="left"/>
      <w:pPr>
        <w:ind w:left="5760" w:hanging="360"/>
      </w:pPr>
      <w:rPr>
        <w:u w:val="none"/>
      </w:rPr>
    </w:lvl>
    <w:lvl w:ilvl="8" w:tplc="A1EC49A8">
      <w:start w:val="1"/>
      <w:numFmt w:val="bullet"/>
      <w:lvlText w:val="■"/>
      <w:lvlJc w:val="left"/>
      <w:pPr>
        <w:ind w:left="6480" w:hanging="360"/>
      </w:pPr>
      <w:rPr>
        <w:u w:val="none"/>
      </w:rPr>
    </w:lvl>
  </w:abstractNum>
  <w:num w:numId="1" w16cid:durableId="1827895293">
    <w:abstractNumId w:val="1"/>
  </w:num>
  <w:num w:numId="2" w16cid:durableId="114910809">
    <w:abstractNumId w:val="4"/>
  </w:num>
  <w:num w:numId="3" w16cid:durableId="1410080172">
    <w:abstractNumId w:val="3"/>
  </w:num>
  <w:num w:numId="4" w16cid:durableId="918830232">
    <w:abstractNumId w:val="0"/>
  </w:num>
  <w:num w:numId="5" w16cid:durableId="747462990">
    <w:abstractNumId w:val="6"/>
  </w:num>
  <w:num w:numId="6" w16cid:durableId="1388215716">
    <w:abstractNumId w:val="5"/>
  </w:num>
  <w:num w:numId="7" w16cid:durableId="1055396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61C4"/>
    <w:rsid w:val="00062383"/>
    <w:rsid w:val="00067842"/>
    <w:rsid w:val="001177A1"/>
    <w:rsid w:val="001B3663"/>
    <w:rsid w:val="001B6E0C"/>
    <w:rsid w:val="001C3549"/>
    <w:rsid w:val="001E7251"/>
    <w:rsid w:val="0021584B"/>
    <w:rsid w:val="00231481"/>
    <w:rsid w:val="00285DE0"/>
    <w:rsid w:val="002968D9"/>
    <w:rsid w:val="00314D84"/>
    <w:rsid w:val="0033110A"/>
    <w:rsid w:val="0033239A"/>
    <w:rsid w:val="003957EF"/>
    <w:rsid w:val="003B202F"/>
    <w:rsid w:val="003C1716"/>
    <w:rsid w:val="003E6F4D"/>
    <w:rsid w:val="0042371A"/>
    <w:rsid w:val="00475DDD"/>
    <w:rsid w:val="00491BF2"/>
    <w:rsid w:val="004C3ECA"/>
    <w:rsid w:val="00517910"/>
    <w:rsid w:val="00547922"/>
    <w:rsid w:val="00553CA7"/>
    <w:rsid w:val="005837FB"/>
    <w:rsid w:val="005C5FEE"/>
    <w:rsid w:val="0060044B"/>
    <w:rsid w:val="00613D63"/>
    <w:rsid w:val="00623EE9"/>
    <w:rsid w:val="006561C4"/>
    <w:rsid w:val="00682546"/>
    <w:rsid w:val="006921BB"/>
    <w:rsid w:val="00712254"/>
    <w:rsid w:val="00735C9B"/>
    <w:rsid w:val="00753DB4"/>
    <w:rsid w:val="007B3E15"/>
    <w:rsid w:val="007F6ABE"/>
    <w:rsid w:val="0080164D"/>
    <w:rsid w:val="00823DD2"/>
    <w:rsid w:val="008555FA"/>
    <w:rsid w:val="00856E06"/>
    <w:rsid w:val="008602EC"/>
    <w:rsid w:val="00881C24"/>
    <w:rsid w:val="00883FDA"/>
    <w:rsid w:val="008F06BC"/>
    <w:rsid w:val="00905174"/>
    <w:rsid w:val="00944E87"/>
    <w:rsid w:val="009A5248"/>
    <w:rsid w:val="009B778B"/>
    <w:rsid w:val="00A118B1"/>
    <w:rsid w:val="00A87F68"/>
    <w:rsid w:val="00AD325A"/>
    <w:rsid w:val="00B16EB0"/>
    <w:rsid w:val="00B24F92"/>
    <w:rsid w:val="00B456DD"/>
    <w:rsid w:val="00BE4D62"/>
    <w:rsid w:val="00C27C9D"/>
    <w:rsid w:val="00C51E6D"/>
    <w:rsid w:val="00C651A3"/>
    <w:rsid w:val="00C65602"/>
    <w:rsid w:val="00C72985"/>
    <w:rsid w:val="00CD7721"/>
    <w:rsid w:val="00D06B36"/>
    <w:rsid w:val="00D47F0D"/>
    <w:rsid w:val="00E15CE7"/>
    <w:rsid w:val="00E20F37"/>
    <w:rsid w:val="00E85DDC"/>
    <w:rsid w:val="00E92DE9"/>
    <w:rsid w:val="00F1216A"/>
    <w:rsid w:val="00F42752"/>
    <w:rsid w:val="00F94E06"/>
    <w:rsid w:val="00FE024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8BA09C"/>
  <w15:docId w15:val="{0C9C1F0D-D884-4D2E-BB69-79A3A5997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752"/>
  </w:style>
  <w:style w:type="paragraph" w:styleId="Heading1">
    <w:name w:val="heading 1"/>
    <w:basedOn w:val="Normal"/>
    <w:next w:val="Normal"/>
    <w:link w:val="Heading1Char"/>
    <w:uiPriority w:val="9"/>
    <w:qFormat/>
    <w:rsid w:val="002968D9"/>
    <w:pPr>
      <w:spacing w:line="360" w:lineRule="auto"/>
      <w:jc w:val="both"/>
      <w:outlineLvl w:val="0"/>
    </w:pPr>
    <w:rPr>
      <w:rFonts w:ascii="Arial" w:hAnsi="Arial" w:cs="Arial"/>
      <w:b/>
      <w:sz w:val="28"/>
    </w:rPr>
  </w:style>
  <w:style w:type="paragraph" w:styleId="Heading2">
    <w:name w:val="heading 2"/>
    <w:basedOn w:val="Normal"/>
    <w:next w:val="Normal"/>
    <w:link w:val="Heading2Char"/>
    <w:uiPriority w:val="9"/>
    <w:unhideWhenUsed/>
    <w:qFormat/>
    <w:rsid w:val="002968D9"/>
    <w:pPr>
      <w:spacing w:line="360" w:lineRule="auto"/>
      <w:jc w:val="both"/>
      <w:outlineLvl w:val="1"/>
    </w:pPr>
    <w:rPr>
      <w:rFonts w:ascii="Arial" w:hAnsi="Arial" w:cs="Arial"/>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61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61C4"/>
    <w:rPr>
      <w:rFonts w:ascii="Tahoma" w:hAnsi="Tahoma" w:cs="Tahoma"/>
      <w:sz w:val="16"/>
      <w:szCs w:val="16"/>
    </w:rPr>
  </w:style>
  <w:style w:type="paragraph" w:styleId="ListParagraph">
    <w:name w:val="List Paragraph"/>
    <w:basedOn w:val="Normal"/>
    <w:uiPriority w:val="34"/>
    <w:qFormat/>
    <w:rsid w:val="00623EE9"/>
    <w:pPr>
      <w:ind w:left="720"/>
      <w:contextualSpacing/>
    </w:pPr>
  </w:style>
  <w:style w:type="table" w:customStyle="1" w:styleId="Table1">
    <w:name w:val="Table1"/>
    <w:basedOn w:val="TableNormal"/>
    <w:rsid w:val="00553CA7"/>
    <w:pPr>
      <w:spacing w:after="0"/>
    </w:pPr>
    <w:rPr>
      <w:rFonts w:ascii="Arial" w:eastAsia="Arial" w:hAnsi="Arial" w:cs="Arial"/>
    </w:rPr>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2968D9"/>
    <w:rPr>
      <w:color w:val="0000FF" w:themeColor="hyperlink"/>
      <w:u w:val="single"/>
    </w:rPr>
  </w:style>
  <w:style w:type="character" w:customStyle="1" w:styleId="Heading1Char">
    <w:name w:val="Heading 1 Char"/>
    <w:basedOn w:val="DefaultParagraphFont"/>
    <w:link w:val="Heading1"/>
    <w:uiPriority w:val="9"/>
    <w:rsid w:val="002968D9"/>
    <w:rPr>
      <w:rFonts w:ascii="Arial" w:hAnsi="Arial" w:cs="Arial"/>
      <w:b/>
      <w:sz w:val="28"/>
    </w:rPr>
  </w:style>
  <w:style w:type="character" w:customStyle="1" w:styleId="Heading2Char">
    <w:name w:val="Heading 2 Char"/>
    <w:basedOn w:val="DefaultParagraphFont"/>
    <w:link w:val="Heading2"/>
    <w:uiPriority w:val="9"/>
    <w:rsid w:val="002968D9"/>
    <w:rPr>
      <w:rFonts w:ascii="Arial" w:hAnsi="Arial" w:cs="Arial"/>
      <w:b/>
      <w:sz w:val="26"/>
      <w:szCs w:val="26"/>
    </w:rPr>
  </w:style>
  <w:style w:type="paragraph" w:styleId="TOCHeading">
    <w:name w:val="TOC Heading"/>
    <w:basedOn w:val="Heading1"/>
    <w:next w:val="Normal"/>
    <w:uiPriority w:val="39"/>
    <w:unhideWhenUsed/>
    <w:qFormat/>
    <w:rsid w:val="002968D9"/>
    <w:pPr>
      <w:keepNext/>
      <w:keepLines/>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968D9"/>
    <w:pPr>
      <w:spacing w:after="100"/>
    </w:pPr>
  </w:style>
  <w:style w:type="paragraph" w:styleId="TOC2">
    <w:name w:val="toc 2"/>
    <w:basedOn w:val="Normal"/>
    <w:next w:val="Normal"/>
    <w:autoRedefine/>
    <w:uiPriority w:val="39"/>
    <w:unhideWhenUsed/>
    <w:rsid w:val="002968D9"/>
    <w:pPr>
      <w:spacing w:after="100"/>
      <w:ind w:left="220"/>
    </w:pPr>
  </w:style>
  <w:style w:type="paragraph" w:styleId="Header">
    <w:name w:val="header"/>
    <w:basedOn w:val="Normal"/>
    <w:link w:val="HeaderChar"/>
    <w:uiPriority w:val="99"/>
    <w:semiHidden/>
    <w:unhideWhenUsed/>
    <w:rsid w:val="002968D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968D9"/>
  </w:style>
  <w:style w:type="paragraph" w:styleId="Footer">
    <w:name w:val="footer"/>
    <w:basedOn w:val="Normal"/>
    <w:link w:val="FooterChar"/>
    <w:uiPriority w:val="99"/>
    <w:unhideWhenUsed/>
    <w:rsid w:val="002968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6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press.bmwgroup.com/global/article/detail/T0453548EN/the-bmw-group-at-the-japan-mobility-show-2025?language=en" TargetMode="External"/><Relationship Id="rId26" Type="http://schemas.openxmlformats.org/officeDocument/2006/relationships/hyperlink" Target="https://auto.hindustantimes.com/auto/electric-vehicles/gen-6-batteries-on-bmw-evs-promise-to-blow-competition-out-heres-how-41740369777820.html" TargetMode="External"/><Relationship Id="rId39" Type="http://schemas.openxmlformats.org/officeDocument/2006/relationships/hyperlink" Target="https://www.reuters.com/business/autos-transportation/vinfast-speeds-up-ev-deliveries-struggles-sell-outside-vietnam-2025-02-13/" TargetMode="External"/><Relationship Id="rId21" Type="http://schemas.openxmlformats.org/officeDocument/2006/relationships/hyperlink" Target="https://www.press.bmwgroup.com/global/article/detail/T0448841EN/forward-momentum-through-technology-openness-strong-product-line-up-and-neue-klasse:-bmw-group-on-track-for-growth-in-2025?language=en" TargetMode="External"/><Relationship Id="rId34" Type="http://schemas.openxmlformats.org/officeDocument/2006/relationships/hyperlink" Target="https://www.gov.uk/consumer-protection-rights" TargetMode="External"/><Relationship Id="rId42" Type="http://schemas.openxmlformats.org/officeDocument/2006/relationships/hyperlink" Target="https://commonslibrary.parliament.uk/research-briefings/cbp-7480/"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mwgroup.com/en/news/general/2024/annualconference2024.html" TargetMode="External"/><Relationship Id="rId29" Type="http://schemas.openxmlformats.org/officeDocument/2006/relationships/hyperlink" Target="https://auto.economictimes.indiatimes.com/news/bmw-to-reduce-co2-emissions-by-40-per-vehicle-by-2030/931857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business-standard.com/content/press-releases-ani/a-conglomerate-s-strategy-to-keep-vietnam-s-growth-in-its-own-hands-125101601130_1.html" TargetMode="External"/><Relationship Id="rId32" Type="http://schemas.openxmlformats.org/officeDocument/2006/relationships/hyperlink" Target="https://transportandenergy.com/2025/09/04/bevs-hit-26-8-market-share/" TargetMode="External"/><Relationship Id="rId37" Type="http://schemas.openxmlformats.org/officeDocument/2006/relationships/hyperlink" Target="https://www.iea.org/reports/global-ev-outlook-2025/trends-in-electric-car-markets-2" TargetMode="External"/><Relationship Id="rId40" Type="http://schemas.openxmlformats.org/officeDocument/2006/relationships/hyperlink" Target="https://www.reuters.com/business/autos-transportation/vinfast-speeds-up-ev-deliveries-struggles-sell-outside-vietnam-2025-02-13/"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mwgroup.com/en/news/general/2024/annualconference2024.html" TargetMode="External"/><Relationship Id="rId23" Type="http://schemas.openxmlformats.org/officeDocument/2006/relationships/hyperlink" Target="https://www.business-standard.com/content/press-releases-ani/a-conglomerate-s-strategy-to-keep-vietnam-s-growth-in-its-own-hands-125101601130_1.html" TargetMode="External"/><Relationship Id="rId28" Type="http://schemas.openxmlformats.org/officeDocument/2006/relationships/hyperlink" Target="https://www.statista.com/statistics/306648/inflation-rate-consumer-price-index-cpi-united-kingdom-uk/" TargetMode="External"/><Relationship Id="rId36" Type="http://schemas.openxmlformats.org/officeDocument/2006/relationships/hyperlink" Target="https://www.reuters.com/business/autos-transportation/vietnam-ev-maker-vinfasts-challenges-escalate-risk-parent-vingroup-2024-04-12/" TargetMode="External"/><Relationship Id="rId10" Type="http://schemas.openxmlformats.org/officeDocument/2006/relationships/hyperlink" Target="http://gov.uk" TargetMode="External"/><Relationship Id="rId19" Type="http://schemas.openxmlformats.org/officeDocument/2006/relationships/hyperlink" Target="https://www.press.bmwgroup.com/global/article/detail/T0384893EN/bmw-ifactory-lean-green-digital-master-plan-for-the-production-of-the-future?language=en" TargetMode="External"/><Relationship Id="rId31" Type="http://schemas.openxmlformats.org/officeDocument/2006/relationships/hyperlink" Target="https://transportandenergy.com/2025/09/04/bevs-hit-26-8-market-share/" TargetMode="External"/><Relationship Id="rId44" Type="http://schemas.openxmlformats.org/officeDocument/2006/relationships/hyperlink" Target="https://www.wipo.int/en/web/ip-advantage/w/stories/vinfast-viet-nam-s-leading-electric-cars-manufacturer" TargetMode="External"/><Relationship Id="rId4" Type="http://schemas.openxmlformats.org/officeDocument/2006/relationships/settings" Target="settings.xml"/><Relationship Id="rId9" Type="http://schemas.openxmlformats.org/officeDocument/2006/relationships/hyperlink" Target="http://gov.uk" TargetMode="External"/><Relationship Id="rId14" Type="http://schemas.openxmlformats.org/officeDocument/2006/relationships/image" Target="media/image5.png"/><Relationship Id="rId22" Type="http://schemas.openxmlformats.org/officeDocument/2006/relationships/hyperlink" Target="https://www.press.bmwgroup.com/global/article/detail/T0448841EN/forward-momentum-through-technology-openness-strong-product-line-up-and-neue-klasse:-bmw-group-on-track-for-growth-in-2025?language=en" TargetMode="External"/><Relationship Id="rId27" Type="http://schemas.openxmlformats.org/officeDocument/2006/relationships/hyperlink" Target="https://www.statista.com/statistics/306648/inflation-rate-consumer-price-index-cpi-united-kingdom-uk/" TargetMode="External"/><Relationship Id="rId30" Type="http://schemas.openxmlformats.org/officeDocument/2006/relationships/hyperlink" Target="https://auto.economictimes.indiatimes.com/news/bmw-to-reduce-co2-emissions-by-40-per-vehicle-by-2030/93185774" TargetMode="External"/><Relationship Id="rId35" Type="http://schemas.openxmlformats.org/officeDocument/2006/relationships/hyperlink" Target="https://www.reuters.com/business/autos-transportation/vietnam-ev-maker-vinfasts-challenges-escalate-risk-parent-vingroup-2024-04-12/" TargetMode="External"/><Relationship Id="rId43" Type="http://schemas.openxmlformats.org/officeDocument/2006/relationships/hyperlink" Target="https://www.wipo.int/en/web/ip-advantage/w/stories/vinfast-viet-nam-s-leading-electric-cars-manufacturer"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press.bmwgroup.com/global/article/detail/T0453548EN/the-bmw-group-at-the-japan-mobility-show-2025?language=en" TargetMode="External"/><Relationship Id="rId25" Type="http://schemas.openxmlformats.org/officeDocument/2006/relationships/hyperlink" Target="https://auto.hindustantimes.com/auto/electric-vehicles/gen-6-batteries-on-bmw-evs-promise-to-blow-competition-out-heres-how-41740369777820.html" TargetMode="External"/><Relationship Id="rId33" Type="http://schemas.openxmlformats.org/officeDocument/2006/relationships/hyperlink" Target="https://www.gov.uk/consumer-protection-rights" TargetMode="External"/><Relationship Id="rId38" Type="http://schemas.openxmlformats.org/officeDocument/2006/relationships/hyperlink" Target="https://www.iea.org/reports/global-ev-outlook-2025/trends-in-electric-car-markets-2" TargetMode="External"/><Relationship Id="rId46" Type="http://schemas.openxmlformats.org/officeDocument/2006/relationships/fontTable" Target="fontTable.xml"/><Relationship Id="rId20" Type="http://schemas.openxmlformats.org/officeDocument/2006/relationships/hyperlink" Target="https://www.press.bmwgroup.com/global/article/detail/T0384893EN/bmw-ifactory-lean-green-digital-master-plan-for-the-production-of-the-future?language=en" TargetMode="External"/><Relationship Id="rId41" Type="http://schemas.openxmlformats.org/officeDocument/2006/relationships/hyperlink" Target="https://commonslibrary.parliament.uk/research-briefings/cbp-74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6F95F-5D3E-4ACF-AB94-5A16C1A9A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20</Pages>
  <Words>4329</Words>
  <Characters>24677</Characters>
  <Application>Microsoft Office Word</Application>
  <DocSecurity>0</DocSecurity>
  <Lines>205</Lines>
  <Paragraphs>57</Paragraphs>
  <ScaleCrop>false</ScaleCrop>
  <Company/>
  <LinksUpToDate>false</LinksUpToDate>
  <CharactersWithSpaces>28949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SIDDHARTHA SAHA</dc:creator>
  <cp:lastModifiedBy>User Profile</cp:lastModifiedBy>
  <cp:revision>60</cp:revision>
  <dcterms:created xsi:type="dcterms:W3CDTF">2025-11-10T15:21:00Z</dcterms:created>
  <dcterms:modified xsi:type="dcterms:W3CDTF">2025-11-15T15:48:00Z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9284e121-1706-499b-b8e1-4b4d420db0f8</vt:lpwstr>
  </property>
</Properties>
</file>