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289A48" w14:textId="3C29E261" w:rsidR="006A702F" w:rsidRDefault="006A702F">
      <w:pPr>
        <w:rPr>
          <w:b/>
          <w:bCs/>
        </w:rPr>
      </w:pPr>
    </w:p>
    <w:p w14:paraId="360D2626" w14:textId="77777777" w:rsidR="006A702F" w:rsidRDefault="006A702F">
      <w:pPr>
        <w:rPr>
          <w:b/>
          <w:bCs/>
        </w:rPr>
      </w:pPr>
    </w:p>
    <w:p w14:paraId="3091845D" w14:textId="43095505" w:rsidR="006A702F" w:rsidRDefault="006A702F">
      <w:pPr>
        <w:rPr>
          <w:b/>
          <w:bCs/>
        </w:rPr>
      </w:pPr>
      <w:r>
        <w:rPr>
          <w:noProof/>
        </w:rPr>
        <w:drawing>
          <wp:inline distT="0" distB="0" distL="0" distR="0" wp14:anchorId="580F7004" wp14:editId="4A872585">
            <wp:extent cx="5196778" cy="2380615"/>
            <wp:effectExtent l="0" t="0" r="4445" b="63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02490" cy="2383231"/>
                    </a:xfrm>
                    <a:prstGeom prst="rect">
                      <a:avLst/>
                    </a:prstGeom>
                    <a:noFill/>
                    <a:ln>
                      <a:noFill/>
                    </a:ln>
                  </pic:spPr>
                </pic:pic>
              </a:graphicData>
            </a:graphic>
          </wp:inline>
        </w:drawing>
      </w:r>
    </w:p>
    <w:p w14:paraId="7B02CDF0" w14:textId="77777777" w:rsidR="006A702F" w:rsidRDefault="006A702F">
      <w:pPr>
        <w:rPr>
          <w:b/>
          <w:bCs/>
        </w:rPr>
      </w:pPr>
    </w:p>
    <w:p w14:paraId="5BCD8A9F" w14:textId="77777777" w:rsidR="006A702F" w:rsidRDefault="006A702F">
      <w:pPr>
        <w:rPr>
          <w:b/>
          <w:bCs/>
        </w:rPr>
      </w:pPr>
    </w:p>
    <w:p w14:paraId="3328AFF4" w14:textId="77777777" w:rsidR="006A702F" w:rsidRDefault="006A702F">
      <w:pPr>
        <w:rPr>
          <w:b/>
          <w:bCs/>
        </w:rPr>
      </w:pPr>
    </w:p>
    <w:p w14:paraId="5A23B849" w14:textId="77777777" w:rsidR="006A702F" w:rsidRPr="006A702F" w:rsidRDefault="006A702F" w:rsidP="006A702F">
      <w:pPr>
        <w:tabs>
          <w:tab w:val="left" w:pos="2448"/>
        </w:tabs>
        <w:rPr>
          <w:kern w:val="0"/>
          <w14:ligatures w14:val="none"/>
        </w:rPr>
      </w:pPr>
    </w:p>
    <w:p w14:paraId="27619C11" w14:textId="77777777" w:rsidR="006A702F" w:rsidRPr="006A702F" w:rsidRDefault="006A702F" w:rsidP="006A702F">
      <w:pPr>
        <w:spacing w:line="360" w:lineRule="auto"/>
        <w:ind w:left="360"/>
        <w:jc w:val="both"/>
        <w:rPr>
          <w:rFonts w:ascii="Arial" w:hAnsi="Arial" w:cs="Arial"/>
          <w:kern w:val="0"/>
          <w:sz w:val="24"/>
          <w:szCs w:val="24"/>
          <w14:ligatures w14:val="none"/>
        </w:rPr>
      </w:pPr>
      <w:r w:rsidRPr="006A702F">
        <w:rPr>
          <w:rFonts w:ascii="Arial" w:hAnsi="Arial" w:cs="Arial"/>
          <w:b/>
          <w:bCs/>
          <w:kern w:val="0"/>
          <w:sz w:val="24"/>
          <w:szCs w:val="24"/>
          <w14:ligatures w14:val="none"/>
        </w:rPr>
        <w:t>Course:</w:t>
      </w:r>
      <w:r w:rsidRPr="006A702F">
        <w:rPr>
          <w:rFonts w:ascii="Arial" w:hAnsi="Arial" w:cs="Arial"/>
          <w:kern w:val="0"/>
          <w:sz w:val="24"/>
          <w:szCs w:val="24"/>
          <w14:ligatures w14:val="none"/>
        </w:rPr>
        <w:t xml:space="preserve"> Business management</w:t>
      </w:r>
    </w:p>
    <w:p w14:paraId="66ACFFF4" w14:textId="75293FF9" w:rsidR="006A702F" w:rsidRPr="006A702F" w:rsidRDefault="006A702F" w:rsidP="006A702F">
      <w:pPr>
        <w:spacing w:line="360" w:lineRule="auto"/>
        <w:ind w:left="360"/>
        <w:jc w:val="both"/>
        <w:rPr>
          <w:rFonts w:ascii="Arial" w:hAnsi="Arial" w:cs="Arial"/>
          <w:kern w:val="0"/>
          <w:sz w:val="24"/>
          <w:szCs w:val="24"/>
          <w14:ligatures w14:val="none"/>
        </w:rPr>
      </w:pPr>
      <w:r w:rsidRPr="006A702F">
        <w:rPr>
          <w:rFonts w:ascii="Arial" w:hAnsi="Arial" w:cs="Arial"/>
          <w:b/>
          <w:bCs/>
          <w:kern w:val="0"/>
          <w:sz w:val="24"/>
          <w:szCs w:val="24"/>
          <w14:ligatures w14:val="none"/>
        </w:rPr>
        <w:t>Module name:</w:t>
      </w:r>
      <w:r w:rsidRPr="006A702F">
        <w:rPr>
          <w:rFonts w:ascii="Arial" w:hAnsi="Arial" w:cs="Arial"/>
          <w:kern w:val="0"/>
          <w:sz w:val="24"/>
          <w:szCs w:val="24"/>
          <w14:ligatures w14:val="none"/>
        </w:rPr>
        <w:t xml:space="preserve"> </w:t>
      </w:r>
      <w:r>
        <w:rPr>
          <w:rFonts w:ascii="Arial" w:hAnsi="Arial" w:cs="Arial"/>
          <w:kern w:val="0"/>
          <w:sz w:val="24"/>
          <w:szCs w:val="24"/>
          <w14:ligatures w14:val="none"/>
        </w:rPr>
        <w:t>International Financ</w:t>
      </w:r>
      <w:r w:rsidR="003A6C0E">
        <w:rPr>
          <w:rFonts w:ascii="Arial" w:hAnsi="Arial" w:cs="Arial"/>
          <w:kern w:val="0"/>
          <w:sz w:val="24"/>
          <w:szCs w:val="24"/>
          <w14:ligatures w14:val="none"/>
        </w:rPr>
        <w:t>ial</w:t>
      </w:r>
      <w:r>
        <w:rPr>
          <w:rFonts w:ascii="Arial" w:hAnsi="Arial" w:cs="Arial"/>
          <w:kern w:val="0"/>
          <w:sz w:val="24"/>
          <w:szCs w:val="24"/>
          <w14:ligatures w14:val="none"/>
        </w:rPr>
        <w:t xml:space="preserve"> Management</w:t>
      </w:r>
    </w:p>
    <w:p w14:paraId="15E4344C" w14:textId="25E37121" w:rsidR="006A702F" w:rsidRPr="006A702F" w:rsidRDefault="006A702F" w:rsidP="006A702F">
      <w:pPr>
        <w:spacing w:line="360" w:lineRule="auto"/>
        <w:ind w:left="360"/>
        <w:jc w:val="both"/>
        <w:rPr>
          <w:rFonts w:ascii="Arial" w:hAnsi="Arial" w:cs="Arial"/>
          <w:kern w:val="0"/>
          <w:sz w:val="24"/>
          <w:szCs w:val="24"/>
          <w14:ligatures w14:val="none"/>
        </w:rPr>
      </w:pPr>
      <w:r w:rsidRPr="006A702F">
        <w:rPr>
          <w:rFonts w:ascii="Arial" w:hAnsi="Arial" w:cs="Arial"/>
          <w:b/>
          <w:bCs/>
          <w:kern w:val="0"/>
          <w:sz w:val="24"/>
          <w:szCs w:val="24"/>
          <w14:ligatures w14:val="none"/>
        </w:rPr>
        <w:t>Module code</w:t>
      </w:r>
      <w:r w:rsidRPr="006A702F">
        <w:rPr>
          <w:rFonts w:ascii="Arial" w:hAnsi="Arial" w:cs="Arial"/>
          <w:kern w:val="0"/>
          <w:sz w:val="24"/>
          <w:szCs w:val="24"/>
          <w14:ligatures w14:val="none"/>
        </w:rPr>
        <w:t>: LCBB</w:t>
      </w:r>
      <w:r>
        <w:rPr>
          <w:rFonts w:ascii="Arial" w:hAnsi="Arial" w:cs="Arial"/>
          <w:kern w:val="0"/>
          <w:sz w:val="24"/>
          <w:szCs w:val="24"/>
          <w14:ligatures w14:val="none"/>
        </w:rPr>
        <w:t>6002</w:t>
      </w:r>
    </w:p>
    <w:p w14:paraId="6EB6F65D" w14:textId="3DE430EA" w:rsidR="006A702F" w:rsidRPr="006A702F" w:rsidRDefault="006A702F" w:rsidP="006A702F">
      <w:pPr>
        <w:spacing w:line="360" w:lineRule="auto"/>
        <w:ind w:left="360"/>
        <w:jc w:val="both"/>
        <w:rPr>
          <w:rFonts w:ascii="Arial" w:hAnsi="Arial" w:cs="Arial"/>
          <w:kern w:val="0"/>
          <w:sz w:val="24"/>
          <w:szCs w:val="24"/>
          <w14:ligatures w14:val="none"/>
        </w:rPr>
      </w:pPr>
      <w:r w:rsidRPr="006A702F">
        <w:rPr>
          <w:rFonts w:ascii="Arial" w:hAnsi="Arial" w:cs="Arial"/>
          <w:b/>
          <w:bCs/>
          <w:kern w:val="0"/>
          <w:sz w:val="24"/>
          <w:szCs w:val="24"/>
          <w14:ligatures w14:val="none"/>
        </w:rPr>
        <w:t>Lecturer</w:t>
      </w:r>
      <w:r w:rsidRPr="006A702F">
        <w:rPr>
          <w:rFonts w:ascii="Arial" w:hAnsi="Arial" w:cs="Arial"/>
          <w:kern w:val="0"/>
          <w:sz w:val="24"/>
          <w:szCs w:val="24"/>
          <w14:ligatures w14:val="none"/>
        </w:rPr>
        <w:t xml:space="preserve">: </w:t>
      </w:r>
      <w:r>
        <w:rPr>
          <w:rFonts w:ascii="Arial" w:hAnsi="Arial" w:cs="Arial"/>
          <w:kern w:val="0"/>
          <w:sz w:val="24"/>
          <w:szCs w:val="24"/>
          <w14:ligatures w14:val="none"/>
        </w:rPr>
        <w:t>Zainab Atta</w:t>
      </w:r>
    </w:p>
    <w:p w14:paraId="7C1634CF" w14:textId="4CCBEF07" w:rsidR="006A702F" w:rsidRPr="006A702F" w:rsidRDefault="006A702F" w:rsidP="006A702F">
      <w:pPr>
        <w:spacing w:line="360" w:lineRule="auto"/>
        <w:ind w:left="360"/>
        <w:jc w:val="both"/>
        <w:rPr>
          <w:rFonts w:ascii="Arial" w:hAnsi="Arial" w:cs="Arial"/>
          <w:kern w:val="0"/>
          <w:sz w:val="24"/>
          <w:szCs w:val="24"/>
          <w14:ligatures w14:val="none"/>
        </w:rPr>
      </w:pPr>
      <w:r w:rsidRPr="006A702F">
        <w:rPr>
          <w:rFonts w:ascii="Arial" w:hAnsi="Arial" w:cs="Arial"/>
          <w:b/>
          <w:bCs/>
          <w:kern w:val="0"/>
          <w:sz w:val="24"/>
          <w:szCs w:val="24"/>
          <w14:ligatures w14:val="none"/>
        </w:rPr>
        <w:t>Title of report</w:t>
      </w:r>
      <w:r w:rsidRPr="006A702F">
        <w:rPr>
          <w:rFonts w:ascii="Arial" w:hAnsi="Arial" w:cs="Arial"/>
          <w:kern w:val="0"/>
          <w:sz w:val="24"/>
          <w:szCs w:val="24"/>
          <w14:ligatures w14:val="none"/>
        </w:rPr>
        <w:t xml:space="preserve">: </w:t>
      </w:r>
      <w:r>
        <w:rPr>
          <w:rFonts w:ascii="Arial" w:hAnsi="Arial" w:cs="Arial"/>
          <w:kern w:val="0"/>
          <w:sz w:val="24"/>
          <w:szCs w:val="24"/>
          <w14:ligatures w14:val="none"/>
        </w:rPr>
        <w:t>Foreign exchange risk and its impact on Multinational Company</w:t>
      </w:r>
    </w:p>
    <w:p w14:paraId="7AF4E01B" w14:textId="77777777" w:rsidR="006A702F" w:rsidRPr="006A702F" w:rsidRDefault="006A702F" w:rsidP="006A702F">
      <w:pPr>
        <w:spacing w:line="360" w:lineRule="auto"/>
        <w:ind w:left="360"/>
        <w:jc w:val="both"/>
        <w:rPr>
          <w:rFonts w:ascii="Arial" w:hAnsi="Arial" w:cs="Arial"/>
          <w:kern w:val="0"/>
          <w:sz w:val="24"/>
          <w:szCs w:val="24"/>
          <w14:ligatures w14:val="none"/>
        </w:rPr>
      </w:pPr>
      <w:r w:rsidRPr="006A702F">
        <w:rPr>
          <w:rFonts w:ascii="Arial" w:hAnsi="Arial" w:cs="Arial"/>
          <w:b/>
          <w:bCs/>
          <w:kern w:val="0"/>
          <w:sz w:val="24"/>
          <w:szCs w:val="24"/>
          <w14:ligatures w14:val="none"/>
        </w:rPr>
        <w:t>Student:</w:t>
      </w:r>
      <w:r w:rsidRPr="006A702F">
        <w:rPr>
          <w:rFonts w:ascii="Arial" w:hAnsi="Arial" w:cs="Arial"/>
          <w:kern w:val="0"/>
          <w:sz w:val="24"/>
          <w:szCs w:val="24"/>
          <w14:ligatures w14:val="none"/>
        </w:rPr>
        <w:t xml:space="preserve"> </w:t>
      </w:r>
      <w:proofErr w:type="spellStart"/>
      <w:r w:rsidRPr="006A702F">
        <w:rPr>
          <w:rFonts w:ascii="Arial" w:hAnsi="Arial" w:cs="Arial"/>
          <w:kern w:val="0"/>
          <w:sz w:val="24"/>
          <w:szCs w:val="24"/>
          <w14:ligatures w14:val="none"/>
        </w:rPr>
        <w:t>Stanimira</w:t>
      </w:r>
      <w:proofErr w:type="spellEnd"/>
      <w:r w:rsidRPr="006A702F">
        <w:rPr>
          <w:rFonts w:ascii="Arial" w:hAnsi="Arial" w:cs="Arial"/>
          <w:kern w:val="0"/>
          <w:sz w:val="24"/>
          <w:szCs w:val="24"/>
          <w14:ligatures w14:val="none"/>
        </w:rPr>
        <w:t xml:space="preserve"> </w:t>
      </w:r>
      <w:proofErr w:type="spellStart"/>
      <w:r w:rsidRPr="006A702F">
        <w:rPr>
          <w:rFonts w:ascii="Arial" w:hAnsi="Arial" w:cs="Arial"/>
          <w:kern w:val="0"/>
          <w:sz w:val="24"/>
          <w:szCs w:val="24"/>
          <w14:ligatures w14:val="none"/>
        </w:rPr>
        <w:t>Nikolova</w:t>
      </w:r>
      <w:proofErr w:type="spellEnd"/>
      <w:r w:rsidRPr="006A702F">
        <w:rPr>
          <w:rFonts w:ascii="Arial" w:hAnsi="Arial" w:cs="Arial"/>
          <w:kern w:val="0"/>
          <w:sz w:val="24"/>
          <w:szCs w:val="24"/>
          <w14:ligatures w14:val="none"/>
        </w:rPr>
        <w:t xml:space="preserve"> </w:t>
      </w:r>
      <w:proofErr w:type="spellStart"/>
      <w:r w:rsidRPr="006A702F">
        <w:rPr>
          <w:rFonts w:ascii="Arial" w:hAnsi="Arial" w:cs="Arial"/>
          <w:kern w:val="0"/>
          <w:sz w:val="24"/>
          <w:szCs w:val="24"/>
          <w14:ligatures w14:val="none"/>
        </w:rPr>
        <w:t>Nikolova</w:t>
      </w:r>
      <w:proofErr w:type="spellEnd"/>
    </w:p>
    <w:p w14:paraId="1F467634" w14:textId="77777777" w:rsidR="006A702F" w:rsidRPr="006A702F" w:rsidRDefault="006A702F" w:rsidP="006A702F">
      <w:pPr>
        <w:spacing w:line="360" w:lineRule="auto"/>
        <w:ind w:left="360"/>
        <w:jc w:val="both"/>
        <w:rPr>
          <w:rFonts w:ascii="Arial" w:hAnsi="Arial" w:cs="Arial"/>
          <w:kern w:val="0"/>
          <w:sz w:val="24"/>
          <w:szCs w:val="24"/>
          <w14:ligatures w14:val="none"/>
        </w:rPr>
      </w:pPr>
      <w:r w:rsidRPr="006A702F">
        <w:rPr>
          <w:rFonts w:ascii="Arial" w:hAnsi="Arial" w:cs="Arial"/>
          <w:b/>
          <w:bCs/>
          <w:kern w:val="0"/>
          <w:sz w:val="24"/>
          <w:szCs w:val="24"/>
          <w14:ligatures w14:val="none"/>
        </w:rPr>
        <w:t>ID Number</w:t>
      </w:r>
      <w:r w:rsidRPr="006A702F">
        <w:rPr>
          <w:rFonts w:ascii="Arial" w:hAnsi="Arial" w:cs="Arial"/>
          <w:kern w:val="0"/>
          <w:sz w:val="24"/>
          <w:szCs w:val="24"/>
          <w14:ligatures w14:val="none"/>
        </w:rPr>
        <w:t>: 2118452</w:t>
      </w:r>
    </w:p>
    <w:p w14:paraId="15C27711" w14:textId="77777777" w:rsidR="006A702F" w:rsidRDefault="006A702F">
      <w:pPr>
        <w:rPr>
          <w:b/>
          <w:bCs/>
        </w:rPr>
      </w:pPr>
    </w:p>
    <w:p w14:paraId="25BC1183" w14:textId="77777777" w:rsidR="006A702F" w:rsidRDefault="006A702F">
      <w:pPr>
        <w:rPr>
          <w:b/>
          <w:bCs/>
        </w:rPr>
      </w:pPr>
    </w:p>
    <w:p w14:paraId="6CB93FCA" w14:textId="77777777" w:rsidR="006A702F" w:rsidRDefault="006A702F">
      <w:pPr>
        <w:rPr>
          <w:b/>
          <w:bCs/>
        </w:rPr>
      </w:pPr>
    </w:p>
    <w:p w14:paraId="081A53BA" w14:textId="77777777" w:rsidR="006A702F" w:rsidRDefault="006A702F">
      <w:pPr>
        <w:rPr>
          <w:b/>
          <w:bCs/>
        </w:rPr>
      </w:pPr>
    </w:p>
    <w:p w14:paraId="3611E13C" w14:textId="77777777" w:rsidR="006A702F" w:rsidRDefault="006A702F">
      <w:pPr>
        <w:rPr>
          <w:b/>
          <w:bCs/>
        </w:rPr>
      </w:pPr>
    </w:p>
    <w:p w14:paraId="31FD72BD" w14:textId="77777777" w:rsidR="006A702F" w:rsidRDefault="006A702F">
      <w:pPr>
        <w:rPr>
          <w:b/>
          <w:bCs/>
        </w:rPr>
      </w:pPr>
    </w:p>
    <w:p w14:paraId="7F3E8FC2" w14:textId="77777777" w:rsidR="006A702F" w:rsidRDefault="006A702F">
      <w:pPr>
        <w:rPr>
          <w:b/>
          <w:bCs/>
        </w:rPr>
      </w:pPr>
    </w:p>
    <w:p w14:paraId="49F779E8" w14:textId="3255FEDC" w:rsidR="006A702F" w:rsidRDefault="006A702F" w:rsidP="008222D3">
      <w:pPr>
        <w:spacing w:line="360" w:lineRule="auto"/>
        <w:jc w:val="center"/>
        <w:rPr>
          <w:rFonts w:ascii="Arial" w:hAnsi="Arial" w:cs="Arial"/>
          <w:sz w:val="24"/>
          <w:szCs w:val="24"/>
        </w:rPr>
      </w:pPr>
      <w:r w:rsidRPr="00660B7B">
        <w:rPr>
          <w:rFonts w:ascii="Arial" w:hAnsi="Arial" w:cs="Arial"/>
          <w:sz w:val="24"/>
          <w:szCs w:val="24"/>
        </w:rPr>
        <w:lastRenderedPageBreak/>
        <w:t>TABLE OF CONTENT</w:t>
      </w:r>
    </w:p>
    <w:p w14:paraId="2B99C489" w14:textId="77777777" w:rsidR="006A702F" w:rsidRDefault="006A702F" w:rsidP="008222D3">
      <w:pPr>
        <w:spacing w:line="360" w:lineRule="auto"/>
        <w:jc w:val="center"/>
        <w:rPr>
          <w:rFonts w:ascii="Arial" w:hAnsi="Arial" w:cs="Arial"/>
          <w:sz w:val="24"/>
          <w:szCs w:val="24"/>
        </w:rPr>
      </w:pPr>
    </w:p>
    <w:p w14:paraId="49FF5B1C" w14:textId="22CD0CB2" w:rsidR="006A702F" w:rsidRDefault="006A702F" w:rsidP="008222D3">
      <w:pPr>
        <w:spacing w:line="360" w:lineRule="auto"/>
        <w:jc w:val="both"/>
        <w:rPr>
          <w:rFonts w:ascii="Arial" w:hAnsi="Arial" w:cs="Arial"/>
          <w:sz w:val="24"/>
          <w:szCs w:val="24"/>
        </w:rPr>
      </w:pPr>
      <w:r>
        <w:rPr>
          <w:rFonts w:ascii="Arial" w:hAnsi="Arial" w:cs="Arial"/>
          <w:sz w:val="24"/>
          <w:szCs w:val="24"/>
        </w:rPr>
        <w:t>Introduction……………………………………………………………………………</w:t>
      </w:r>
      <w:r w:rsidR="00BD0CA8">
        <w:rPr>
          <w:rFonts w:ascii="Arial" w:hAnsi="Arial" w:cs="Arial"/>
          <w:sz w:val="24"/>
          <w:szCs w:val="24"/>
        </w:rPr>
        <w:t>page 3</w:t>
      </w:r>
    </w:p>
    <w:p w14:paraId="646A7DC3" w14:textId="0F54987A" w:rsidR="006A702F" w:rsidRDefault="0075316C" w:rsidP="008222D3">
      <w:pPr>
        <w:spacing w:line="360" w:lineRule="auto"/>
        <w:jc w:val="both"/>
        <w:rPr>
          <w:rFonts w:ascii="Arial" w:hAnsi="Arial" w:cs="Arial"/>
          <w:sz w:val="24"/>
          <w:szCs w:val="24"/>
        </w:rPr>
      </w:pPr>
      <w:r>
        <w:rPr>
          <w:rFonts w:ascii="Arial" w:hAnsi="Arial" w:cs="Arial"/>
          <w:sz w:val="24"/>
          <w:szCs w:val="24"/>
        </w:rPr>
        <w:t>International Trade and Multinational corporation…………………………………</w:t>
      </w:r>
      <w:r w:rsidR="00BD0CA8">
        <w:rPr>
          <w:rFonts w:ascii="Arial" w:hAnsi="Arial" w:cs="Arial"/>
          <w:sz w:val="24"/>
          <w:szCs w:val="24"/>
        </w:rPr>
        <w:t xml:space="preserve"> page 3</w:t>
      </w:r>
    </w:p>
    <w:p w14:paraId="64144B1B" w14:textId="5E962EA6" w:rsidR="006A702F" w:rsidRDefault="006A702F" w:rsidP="008222D3">
      <w:pPr>
        <w:spacing w:line="360" w:lineRule="auto"/>
        <w:jc w:val="both"/>
        <w:rPr>
          <w:rFonts w:ascii="Arial" w:hAnsi="Arial" w:cs="Arial"/>
          <w:sz w:val="24"/>
          <w:szCs w:val="24"/>
        </w:rPr>
      </w:pPr>
      <w:r>
        <w:rPr>
          <w:rFonts w:ascii="Arial" w:hAnsi="Arial" w:cs="Arial"/>
          <w:sz w:val="24"/>
          <w:szCs w:val="24"/>
        </w:rPr>
        <w:t>Foreign Exchange Ris</w:t>
      </w:r>
      <w:r w:rsidR="0075316C">
        <w:rPr>
          <w:rFonts w:ascii="Arial" w:hAnsi="Arial" w:cs="Arial"/>
          <w:sz w:val="24"/>
          <w:szCs w:val="24"/>
        </w:rPr>
        <w:t>k and its impact…………………………………………….</w:t>
      </w:r>
      <w:r w:rsidR="00BD0CA8">
        <w:rPr>
          <w:rFonts w:ascii="Arial" w:hAnsi="Arial" w:cs="Arial"/>
          <w:sz w:val="24"/>
          <w:szCs w:val="24"/>
        </w:rPr>
        <w:t xml:space="preserve"> page </w:t>
      </w:r>
      <w:r w:rsidR="00A33698">
        <w:rPr>
          <w:rFonts w:ascii="Arial" w:hAnsi="Arial" w:cs="Arial"/>
          <w:sz w:val="24"/>
          <w:szCs w:val="24"/>
        </w:rPr>
        <w:t>5</w:t>
      </w:r>
    </w:p>
    <w:p w14:paraId="2DD38C39" w14:textId="0C5E9221" w:rsidR="0075316C" w:rsidRDefault="0075316C" w:rsidP="008222D3">
      <w:pPr>
        <w:spacing w:line="360" w:lineRule="auto"/>
        <w:jc w:val="both"/>
        <w:rPr>
          <w:rFonts w:ascii="Arial" w:hAnsi="Arial" w:cs="Arial"/>
          <w:sz w:val="24"/>
          <w:szCs w:val="24"/>
        </w:rPr>
      </w:pPr>
      <w:r>
        <w:rPr>
          <w:rFonts w:ascii="Arial" w:hAnsi="Arial" w:cs="Arial"/>
          <w:sz w:val="24"/>
          <w:szCs w:val="24"/>
        </w:rPr>
        <w:t xml:space="preserve">Managing exchange rate risk </w:t>
      </w:r>
      <w:r w:rsidR="007336FA">
        <w:rPr>
          <w:rFonts w:ascii="Arial" w:hAnsi="Arial" w:cs="Arial"/>
          <w:sz w:val="24"/>
          <w:szCs w:val="24"/>
        </w:rPr>
        <w:t>is vital as it can significantly impact company’s portfolio …………………………………………………………</w:t>
      </w:r>
      <w:r>
        <w:rPr>
          <w:rFonts w:ascii="Arial" w:hAnsi="Arial" w:cs="Arial"/>
          <w:sz w:val="24"/>
          <w:szCs w:val="24"/>
        </w:rPr>
        <w:t>……………………………….</w:t>
      </w:r>
      <w:r w:rsidR="00BD0CA8">
        <w:rPr>
          <w:rFonts w:ascii="Arial" w:hAnsi="Arial" w:cs="Arial"/>
          <w:sz w:val="24"/>
          <w:szCs w:val="24"/>
        </w:rPr>
        <w:t xml:space="preserve"> page </w:t>
      </w:r>
      <w:r w:rsidR="00A33698">
        <w:rPr>
          <w:rFonts w:ascii="Arial" w:hAnsi="Arial" w:cs="Arial"/>
          <w:sz w:val="24"/>
          <w:szCs w:val="24"/>
        </w:rPr>
        <w:t>6</w:t>
      </w:r>
    </w:p>
    <w:p w14:paraId="479198F5" w14:textId="0A4C150E" w:rsidR="0075316C" w:rsidRDefault="0075316C" w:rsidP="008222D3">
      <w:pPr>
        <w:spacing w:line="360" w:lineRule="auto"/>
        <w:jc w:val="both"/>
        <w:rPr>
          <w:rFonts w:ascii="Arial" w:hAnsi="Arial" w:cs="Arial"/>
          <w:sz w:val="24"/>
          <w:szCs w:val="24"/>
        </w:rPr>
      </w:pPr>
      <w:r>
        <w:rPr>
          <w:rFonts w:ascii="Arial" w:hAnsi="Arial" w:cs="Arial"/>
          <w:sz w:val="24"/>
          <w:szCs w:val="24"/>
        </w:rPr>
        <w:t>Purchasing Power Parity as a method for forecasting exchange rate………….</w:t>
      </w:r>
      <w:r w:rsidR="00BD0CA8">
        <w:rPr>
          <w:rFonts w:ascii="Arial" w:hAnsi="Arial" w:cs="Arial"/>
          <w:sz w:val="24"/>
          <w:szCs w:val="24"/>
        </w:rPr>
        <w:t xml:space="preserve"> Page </w:t>
      </w:r>
      <w:r w:rsidR="00A33698">
        <w:rPr>
          <w:rFonts w:ascii="Arial" w:hAnsi="Arial" w:cs="Arial"/>
          <w:sz w:val="24"/>
          <w:szCs w:val="24"/>
        </w:rPr>
        <w:t>7</w:t>
      </w:r>
    </w:p>
    <w:p w14:paraId="25B8E40E" w14:textId="478C9C94" w:rsidR="0075316C" w:rsidRDefault="0075316C" w:rsidP="008222D3">
      <w:pPr>
        <w:spacing w:line="360" w:lineRule="auto"/>
        <w:jc w:val="both"/>
        <w:rPr>
          <w:rFonts w:ascii="Arial" w:hAnsi="Arial" w:cs="Arial"/>
          <w:sz w:val="24"/>
          <w:szCs w:val="24"/>
        </w:rPr>
      </w:pPr>
      <w:r>
        <w:rPr>
          <w:rFonts w:ascii="Arial" w:hAnsi="Arial" w:cs="Arial"/>
          <w:sz w:val="24"/>
          <w:szCs w:val="24"/>
        </w:rPr>
        <w:t>Conclusion…………………………………………………………………………….</w:t>
      </w:r>
      <w:r w:rsidR="00BD0CA8">
        <w:rPr>
          <w:rFonts w:ascii="Arial" w:hAnsi="Arial" w:cs="Arial"/>
          <w:sz w:val="24"/>
          <w:szCs w:val="24"/>
        </w:rPr>
        <w:t xml:space="preserve"> Page </w:t>
      </w:r>
      <w:r w:rsidR="00A33698">
        <w:rPr>
          <w:rFonts w:ascii="Arial" w:hAnsi="Arial" w:cs="Arial"/>
          <w:sz w:val="24"/>
          <w:szCs w:val="24"/>
        </w:rPr>
        <w:t>8</w:t>
      </w:r>
    </w:p>
    <w:p w14:paraId="2AF146D4" w14:textId="7541ACE1" w:rsidR="0075316C" w:rsidRPr="006A702F" w:rsidRDefault="0075316C" w:rsidP="008222D3">
      <w:pPr>
        <w:spacing w:line="360" w:lineRule="auto"/>
        <w:jc w:val="both"/>
        <w:rPr>
          <w:rFonts w:ascii="Arial" w:hAnsi="Arial" w:cs="Arial"/>
          <w:sz w:val="24"/>
          <w:szCs w:val="24"/>
        </w:rPr>
      </w:pPr>
      <w:r>
        <w:rPr>
          <w:rFonts w:ascii="Arial" w:hAnsi="Arial" w:cs="Arial"/>
          <w:sz w:val="24"/>
          <w:szCs w:val="24"/>
        </w:rPr>
        <w:t>Reference list…………………………………………………………………………</w:t>
      </w:r>
      <w:r w:rsidR="00BD0CA8">
        <w:rPr>
          <w:rFonts w:ascii="Arial" w:hAnsi="Arial" w:cs="Arial"/>
          <w:sz w:val="24"/>
          <w:szCs w:val="24"/>
        </w:rPr>
        <w:t xml:space="preserve"> page </w:t>
      </w:r>
      <w:r w:rsidR="00A33698">
        <w:rPr>
          <w:rFonts w:ascii="Arial" w:hAnsi="Arial" w:cs="Arial"/>
          <w:sz w:val="24"/>
          <w:szCs w:val="24"/>
        </w:rPr>
        <w:t>9</w:t>
      </w:r>
      <w:r w:rsidR="00BD0CA8">
        <w:rPr>
          <w:rFonts w:ascii="Arial" w:hAnsi="Arial" w:cs="Arial"/>
          <w:sz w:val="24"/>
          <w:szCs w:val="24"/>
        </w:rPr>
        <w:t xml:space="preserve"> </w:t>
      </w:r>
    </w:p>
    <w:p w14:paraId="7E7B281E" w14:textId="77777777" w:rsidR="006A702F" w:rsidRDefault="006A702F" w:rsidP="006A702F">
      <w:pPr>
        <w:jc w:val="center"/>
        <w:rPr>
          <w:b/>
          <w:bCs/>
        </w:rPr>
      </w:pPr>
    </w:p>
    <w:p w14:paraId="19EDFFE3" w14:textId="77777777" w:rsidR="006A702F" w:rsidRDefault="006A702F">
      <w:pPr>
        <w:rPr>
          <w:b/>
          <w:bCs/>
        </w:rPr>
      </w:pPr>
    </w:p>
    <w:p w14:paraId="3C2BC475" w14:textId="77777777" w:rsidR="006A702F" w:rsidRDefault="006A702F">
      <w:pPr>
        <w:rPr>
          <w:b/>
          <w:bCs/>
        </w:rPr>
      </w:pPr>
    </w:p>
    <w:p w14:paraId="3FE0753D" w14:textId="77777777" w:rsidR="006A702F" w:rsidRDefault="006A702F">
      <w:pPr>
        <w:rPr>
          <w:b/>
          <w:bCs/>
        </w:rPr>
      </w:pPr>
    </w:p>
    <w:p w14:paraId="5DF37953" w14:textId="77777777" w:rsidR="006A702F" w:rsidRDefault="006A702F">
      <w:pPr>
        <w:rPr>
          <w:b/>
          <w:bCs/>
        </w:rPr>
      </w:pPr>
    </w:p>
    <w:p w14:paraId="04A26F4E" w14:textId="77777777" w:rsidR="006A702F" w:rsidRDefault="006A702F">
      <w:pPr>
        <w:rPr>
          <w:b/>
          <w:bCs/>
        </w:rPr>
      </w:pPr>
    </w:p>
    <w:p w14:paraId="71DA1F5F" w14:textId="77777777" w:rsidR="006A702F" w:rsidRDefault="006A702F">
      <w:pPr>
        <w:rPr>
          <w:b/>
          <w:bCs/>
        </w:rPr>
      </w:pPr>
    </w:p>
    <w:p w14:paraId="09CD4741" w14:textId="77777777" w:rsidR="006A702F" w:rsidRDefault="006A702F">
      <w:pPr>
        <w:rPr>
          <w:b/>
          <w:bCs/>
        </w:rPr>
      </w:pPr>
    </w:p>
    <w:p w14:paraId="7E280073" w14:textId="77777777" w:rsidR="006A702F" w:rsidRDefault="006A702F">
      <w:pPr>
        <w:rPr>
          <w:b/>
          <w:bCs/>
        </w:rPr>
      </w:pPr>
    </w:p>
    <w:p w14:paraId="05389674" w14:textId="77777777" w:rsidR="006A702F" w:rsidRDefault="006A702F">
      <w:pPr>
        <w:rPr>
          <w:b/>
          <w:bCs/>
        </w:rPr>
      </w:pPr>
    </w:p>
    <w:p w14:paraId="345F1CF6" w14:textId="77777777" w:rsidR="006A702F" w:rsidRDefault="006A702F">
      <w:pPr>
        <w:rPr>
          <w:b/>
          <w:bCs/>
        </w:rPr>
      </w:pPr>
    </w:p>
    <w:p w14:paraId="17AA19CD" w14:textId="77777777" w:rsidR="006A702F" w:rsidRDefault="006A702F">
      <w:pPr>
        <w:rPr>
          <w:b/>
          <w:bCs/>
        </w:rPr>
      </w:pPr>
    </w:p>
    <w:p w14:paraId="3B2C63D7" w14:textId="77777777" w:rsidR="006A702F" w:rsidRDefault="006A702F">
      <w:pPr>
        <w:rPr>
          <w:b/>
          <w:bCs/>
        </w:rPr>
      </w:pPr>
    </w:p>
    <w:p w14:paraId="40665BD9" w14:textId="77777777" w:rsidR="006A702F" w:rsidRDefault="006A702F">
      <w:pPr>
        <w:rPr>
          <w:b/>
          <w:bCs/>
        </w:rPr>
      </w:pPr>
    </w:p>
    <w:p w14:paraId="3DDA28E1" w14:textId="77777777" w:rsidR="006A702F" w:rsidRDefault="006A702F">
      <w:pPr>
        <w:rPr>
          <w:b/>
          <w:bCs/>
        </w:rPr>
      </w:pPr>
    </w:p>
    <w:p w14:paraId="5D0BCCEF" w14:textId="77777777" w:rsidR="006A702F" w:rsidRDefault="006A702F">
      <w:pPr>
        <w:rPr>
          <w:b/>
          <w:bCs/>
        </w:rPr>
      </w:pPr>
    </w:p>
    <w:p w14:paraId="314A8741" w14:textId="77777777" w:rsidR="006A702F" w:rsidRDefault="006A702F">
      <w:pPr>
        <w:rPr>
          <w:b/>
          <w:bCs/>
        </w:rPr>
      </w:pPr>
    </w:p>
    <w:p w14:paraId="27703201" w14:textId="77777777" w:rsidR="006A702F" w:rsidRDefault="006A702F">
      <w:pPr>
        <w:rPr>
          <w:b/>
          <w:bCs/>
          <w:sz w:val="28"/>
          <w:szCs w:val="28"/>
        </w:rPr>
      </w:pPr>
    </w:p>
    <w:p w14:paraId="0077E550" w14:textId="77777777" w:rsidR="00B74E17" w:rsidRPr="008222D3" w:rsidRDefault="00B74E17" w:rsidP="008222D3">
      <w:pPr>
        <w:spacing w:line="360" w:lineRule="auto"/>
        <w:jc w:val="both"/>
        <w:rPr>
          <w:rFonts w:ascii="Arial" w:hAnsi="Arial" w:cs="Arial"/>
          <w:b/>
          <w:bCs/>
          <w:sz w:val="24"/>
          <w:szCs w:val="24"/>
        </w:rPr>
      </w:pPr>
      <w:r w:rsidRPr="008222D3">
        <w:rPr>
          <w:rFonts w:ascii="Arial" w:hAnsi="Arial" w:cs="Arial"/>
          <w:b/>
          <w:bCs/>
          <w:sz w:val="24"/>
          <w:szCs w:val="24"/>
        </w:rPr>
        <w:lastRenderedPageBreak/>
        <w:t>Introduction</w:t>
      </w:r>
    </w:p>
    <w:p w14:paraId="4737E9F4" w14:textId="444908C2" w:rsidR="00A14C73" w:rsidRPr="0081319B" w:rsidRDefault="00851A13" w:rsidP="008222D3">
      <w:pPr>
        <w:spacing w:line="360" w:lineRule="auto"/>
        <w:jc w:val="both"/>
        <w:rPr>
          <w:rFonts w:ascii="Arial" w:hAnsi="Arial" w:cs="Arial"/>
          <w:sz w:val="24"/>
          <w:szCs w:val="24"/>
        </w:rPr>
      </w:pPr>
      <w:r w:rsidRPr="008222D3">
        <w:rPr>
          <w:rFonts w:ascii="Arial" w:hAnsi="Arial" w:cs="Arial"/>
          <w:sz w:val="24"/>
          <w:szCs w:val="24"/>
        </w:rPr>
        <w:t xml:space="preserve"> </w:t>
      </w:r>
      <w:r w:rsidRPr="008222D3">
        <w:rPr>
          <w:rFonts w:ascii="Arial" w:hAnsi="Arial" w:cs="Arial"/>
          <w:b/>
          <w:bCs/>
          <w:sz w:val="24"/>
          <w:szCs w:val="24"/>
        </w:rPr>
        <w:t>International Finance Management</w:t>
      </w:r>
      <w:r w:rsidRPr="008222D3">
        <w:rPr>
          <w:rFonts w:ascii="Arial" w:hAnsi="Arial" w:cs="Arial"/>
          <w:sz w:val="24"/>
          <w:szCs w:val="24"/>
        </w:rPr>
        <w:t xml:space="preserve"> is about financial decisions and investments meeting the management of multinational companies and their activities due to the international context. Financing and investment decisions include the valuation of uncertain future cash flow (movement of money in and out of the company). The main element of the integrational context is that these decisions are affected by </w:t>
      </w:r>
      <w:r w:rsidRPr="008222D3">
        <w:rPr>
          <w:rFonts w:ascii="Arial" w:hAnsi="Arial" w:cs="Arial"/>
          <w:b/>
          <w:bCs/>
          <w:sz w:val="24"/>
          <w:szCs w:val="24"/>
        </w:rPr>
        <w:t>exchange rate risk</w:t>
      </w:r>
      <w:r w:rsidR="00B74E17" w:rsidRPr="008222D3">
        <w:rPr>
          <w:rFonts w:ascii="Arial" w:hAnsi="Arial" w:cs="Arial"/>
          <w:b/>
          <w:bCs/>
          <w:sz w:val="24"/>
          <w:szCs w:val="24"/>
        </w:rPr>
        <w:t xml:space="preserve"> </w:t>
      </w:r>
      <w:r w:rsidR="00B74E17" w:rsidRPr="00A33698">
        <w:rPr>
          <w:rFonts w:ascii="Arial" w:hAnsi="Arial" w:cs="Arial"/>
          <w:sz w:val="24"/>
          <w:szCs w:val="24"/>
        </w:rPr>
        <w:t>(Brener, 2021)</w:t>
      </w:r>
      <w:r w:rsidR="00B74E17" w:rsidRPr="008222D3">
        <w:rPr>
          <w:rFonts w:ascii="Arial" w:hAnsi="Arial" w:cs="Arial"/>
          <w:b/>
          <w:bCs/>
          <w:sz w:val="24"/>
          <w:szCs w:val="24"/>
        </w:rPr>
        <w:t xml:space="preserve"> </w:t>
      </w:r>
      <w:r w:rsidR="0081319B" w:rsidRPr="0081319B">
        <w:rPr>
          <w:rFonts w:ascii="Arial" w:hAnsi="Arial" w:cs="Arial"/>
          <w:sz w:val="24"/>
          <w:szCs w:val="24"/>
        </w:rPr>
        <w:t>This report will evaluate the different strategies that multinational corporations often accept to manage their exposure to foreign exchange risks.</w:t>
      </w:r>
    </w:p>
    <w:p w14:paraId="3CF2E0AF" w14:textId="37E056F8" w:rsidR="00B74E17" w:rsidRPr="008222D3" w:rsidRDefault="00B74E17" w:rsidP="008222D3">
      <w:pPr>
        <w:spacing w:line="360" w:lineRule="auto"/>
        <w:jc w:val="both"/>
        <w:rPr>
          <w:rFonts w:ascii="Arial" w:hAnsi="Arial" w:cs="Arial"/>
          <w:b/>
          <w:bCs/>
          <w:sz w:val="24"/>
          <w:szCs w:val="24"/>
        </w:rPr>
      </w:pPr>
      <w:r w:rsidRPr="008222D3">
        <w:rPr>
          <w:rFonts w:ascii="Arial" w:hAnsi="Arial" w:cs="Arial"/>
          <w:b/>
          <w:bCs/>
          <w:sz w:val="24"/>
          <w:szCs w:val="24"/>
        </w:rPr>
        <w:t xml:space="preserve">International trade and </w:t>
      </w:r>
      <w:r w:rsidR="002C50B3" w:rsidRPr="008222D3">
        <w:rPr>
          <w:rFonts w:ascii="Arial" w:hAnsi="Arial" w:cs="Arial"/>
          <w:b/>
          <w:bCs/>
          <w:sz w:val="24"/>
          <w:szCs w:val="24"/>
        </w:rPr>
        <w:t>Multinational corporation</w:t>
      </w:r>
    </w:p>
    <w:p w14:paraId="301AA3C1" w14:textId="0E292B8A" w:rsidR="00FC12AD" w:rsidRDefault="00B74E17" w:rsidP="008222D3">
      <w:pPr>
        <w:spacing w:line="360" w:lineRule="auto"/>
        <w:jc w:val="both"/>
        <w:rPr>
          <w:rFonts w:ascii="Arial" w:hAnsi="Arial" w:cs="Arial"/>
          <w:sz w:val="24"/>
          <w:szCs w:val="24"/>
        </w:rPr>
      </w:pPr>
      <w:r w:rsidRPr="008222D3">
        <w:rPr>
          <w:rFonts w:ascii="Arial" w:hAnsi="Arial" w:cs="Arial"/>
          <w:sz w:val="24"/>
          <w:szCs w:val="24"/>
        </w:rPr>
        <w:t xml:space="preserve">Brener (2021) states that the growing integration of services and goods markets and the force of </w:t>
      </w:r>
      <w:r w:rsidRPr="008222D3">
        <w:rPr>
          <w:rFonts w:ascii="Arial" w:hAnsi="Arial" w:cs="Arial"/>
          <w:b/>
          <w:bCs/>
          <w:sz w:val="24"/>
          <w:szCs w:val="24"/>
        </w:rPr>
        <w:t>international trade</w:t>
      </w:r>
      <w:r w:rsidRPr="008222D3">
        <w:rPr>
          <w:rFonts w:ascii="Arial" w:hAnsi="Arial" w:cs="Arial"/>
          <w:sz w:val="24"/>
          <w:szCs w:val="24"/>
        </w:rPr>
        <w:t xml:space="preserve"> also play a vital role in investment decisions and international financing. Consequently, managing and forecasting future exchange and exchange rate risk have become crucial aspects of international fi</w:t>
      </w:r>
      <w:r w:rsidR="00D4109A">
        <w:rPr>
          <w:rFonts w:ascii="Arial" w:hAnsi="Arial" w:cs="Arial"/>
          <w:sz w:val="24"/>
          <w:szCs w:val="24"/>
        </w:rPr>
        <w:t>scal</w:t>
      </w:r>
      <w:r w:rsidRPr="008222D3">
        <w:rPr>
          <w:rFonts w:ascii="Arial" w:hAnsi="Arial" w:cs="Arial"/>
          <w:sz w:val="24"/>
          <w:szCs w:val="24"/>
        </w:rPr>
        <w:t xml:space="preserve"> management decision-making. According to </w:t>
      </w:r>
      <w:bookmarkStart w:id="0" w:name="_Hlk161139520"/>
      <w:r w:rsidRPr="00A33698">
        <w:rPr>
          <w:rFonts w:ascii="Arial" w:hAnsi="Arial" w:cs="Arial"/>
          <w:sz w:val="24"/>
          <w:szCs w:val="24"/>
        </w:rPr>
        <w:t>Bekaert (2013),</w:t>
      </w:r>
      <w:r w:rsidRPr="008222D3">
        <w:rPr>
          <w:rFonts w:ascii="Arial" w:hAnsi="Arial" w:cs="Arial"/>
          <w:sz w:val="24"/>
          <w:szCs w:val="24"/>
        </w:rPr>
        <w:t xml:space="preserve"> </w:t>
      </w:r>
      <w:bookmarkEnd w:id="0"/>
      <w:r w:rsidRPr="008222D3">
        <w:rPr>
          <w:rFonts w:ascii="Arial" w:hAnsi="Arial" w:cs="Arial"/>
          <w:b/>
          <w:bCs/>
          <w:sz w:val="24"/>
          <w:szCs w:val="24"/>
        </w:rPr>
        <w:t>Multinational corporations</w:t>
      </w:r>
      <w:r w:rsidRPr="008222D3">
        <w:rPr>
          <w:rFonts w:ascii="Arial" w:hAnsi="Arial" w:cs="Arial"/>
          <w:sz w:val="24"/>
          <w:szCs w:val="24"/>
        </w:rPr>
        <w:t xml:space="preserve"> produce goods or sell in more than one nation. Globalization affects all aspects of society as countries continue to expand their train in services and goods and those who can focus their production on those goods that are most efficient will make all trading partners better off. </w:t>
      </w:r>
      <w:r w:rsidR="00FC12AD" w:rsidRPr="00A33698">
        <w:rPr>
          <w:rFonts w:ascii="Arial" w:hAnsi="Arial" w:cs="Arial"/>
          <w:sz w:val="24"/>
          <w:szCs w:val="24"/>
        </w:rPr>
        <w:t>Benson (2015)</w:t>
      </w:r>
      <w:r w:rsidR="00FC12AD">
        <w:rPr>
          <w:rFonts w:ascii="Arial" w:hAnsi="Arial" w:cs="Arial"/>
          <w:sz w:val="24"/>
          <w:szCs w:val="24"/>
        </w:rPr>
        <w:t xml:space="preserve"> points out that GlaxoSmithKline is a British multinational pharmaceutical company with over 100 000 employees in more than 150 countries</w:t>
      </w:r>
      <w:r w:rsidR="00CD56BF">
        <w:rPr>
          <w:rFonts w:ascii="Arial" w:hAnsi="Arial" w:cs="Arial"/>
          <w:sz w:val="24"/>
          <w:szCs w:val="24"/>
        </w:rPr>
        <w:t xml:space="preserve"> with headquarters in United Kingdom</w:t>
      </w:r>
      <w:r w:rsidR="0048620C">
        <w:rPr>
          <w:rFonts w:ascii="Arial" w:hAnsi="Arial" w:cs="Arial"/>
          <w:sz w:val="24"/>
          <w:szCs w:val="24"/>
        </w:rPr>
        <w:t xml:space="preserve"> (multinational company).</w:t>
      </w:r>
      <w:r w:rsidR="00850075">
        <w:rPr>
          <w:rFonts w:ascii="Arial" w:hAnsi="Arial" w:cs="Arial"/>
          <w:sz w:val="24"/>
          <w:szCs w:val="24"/>
        </w:rPr>
        <w:t xml:space="preserve"> According to </w:t>
      </w:r>
      <w:r w:rsidR="00850075" w:rsidRPr="00A33698">
        <w:rPr>
          <w:rFonts w:ascii="Arial" w:hAnsi="Arial" w:cs="Arial"/>
          <w:sz w:val="24"/>
          <w:szCs w:val="24"/>
        </w:rPr>
        <w:t xml:space="preserve">Statista (2018) </w:t>
      </w:r>
      <w:r w:rsidR="00850075">
        <w:rPr>
          <w:rFonts w:ascii="Arial" w:hAnsi="Arial" w:cs="Arial"/>
          <w:sz w:val="24"/>
          <w:szCs w:val="24"/>
        </w:rPr>
        <w:t>GlaxoSmithKline has 24 percent of the global market share.</w:t>
      </w:r>
    </w:p>
    <w:p w14:paraId="4C8EB8D4" w14:textId="77777777" w:rsidR="00850075" w:rsidRDefault="00850075" w:rsidP="008222D3">
      <w:pPr>
        <w:spacing w:line="360" w:lineRule="auto"/>
        <w:jc w:val="both"/>
        <w:rPr>
          <w:noProof/>
        </w:rPr>
      </w:pPr>
    </w:p>
    <w:p w14:paraId="74122AFA" w14:textId="1DFEA1B7" w:rsidR="00850075" w:rsidRDefault="00850075" w:rsidP="008222D3">
      <w:pPr>
        <w:spacing w:line="360" w:lineRule="auto"/>
        <w:jc w:val="both"/>
        <w:rPr>
          <w:rFonts w:ascii="Arial" w:hAnsi="Arial" w:cs="Arial"/>
          <w:sz w:val="24"/>
          <w:szCs w:val="24"/>
        </w:rPr>
      </w:pPr>
      <w:r>
        <w:rPr>
          <w:noProof/>
        </w:rPr>
        <w:lastRenderedPageBreak/>
        <w:drawing>
          <wp:inline distT="0" distB="0" distL="0" distR="0" wp14:anchorId="541B5187" wp14:editId="5FAD35DC">
            <wp:extent cx="6057900" cy="3551863"/>
            <wp:effectExtent l="0" t="0" r="0" b="0"/>
            <wp:docPr id="659852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852422" name=""/>
                    <pic:cNvPicPr/>
                  </pic:nvPicPr>
                  <pic:blipFill rotWithShape="1">
                    <a:blip r:embed="rId7"/>
                    <a:srcRect l="7711" t="9691" r="10658" b="5220"/>
                    <a:stretch/>
                  </pic:blipFill>
                  <pic:spPr bwMode="auto">
                    <a:xfrm>
                      <a:off x="0" y="0"/>
                      <a:ext cx="6081737" cy="3565839"/>
                    </a:xfrm>
                    <a:prstGeom prst="rect">
                      <a:avLst/>
                    </a:prstGeom>
                    <a:ln>
                      <a:noFill/>
                    </a:ln>
                    <a:extLst>
                      <a:ext uri="{53640926-AAD7-44D8-BBD7-CCE9431645EC}">
                        <a14:shadowObscured xmlns:a14="http://schemas.microsoft.com/office/drawing/2010/main"/>
                      </a:ext>
                    </a:extLst>
                  </pic:spPr>
                </pic:pic>
              </a:graphicData>
            </a:graphic>
          </wp:inline>
        </w:drawing>
      </w:r>
    </w:p>
    <w:p w14:paraId="56EB1B59" w14:textId="77777777" w:rsidR="00850075" w:rsidRDefault="00850075" w:rsidP="008222D3">
      <w:pPr>
        <w:spacing w:line="360" w:lineRule="auto"/>
        <w:jc w:val="both"/>
        <w:rPr>
          <w:rFonts w:ascii="Arial" w:hAnsi="Arial" w:cs="Arial"/>
          <w:sz w:val="24"/>
          <w:szCs w:val="24"/>
        </w:rPr>
      </w:pPr>
    </w:p>
    <w:p w14:paraId="50296B08" w14:textId="1A25C1FD" w:rsidR="00850075" w:rsidRDefault="00000000" w:rsidP="008222D3">
      <w:pPr>
        <w:spacing w:line="360" w:lineRule="auto"/>
        <w:jc w:val="both"/>
        <w:rPr>
          <w:rFonts w:ascii="Arial" w:hAnsi="Arial" w:cs="Arial"/>
          <w:sz w:val="24"/>
          <w:szCs w:val="24"/>
        </w:rPr>
      </w:pPr>
      <w:hyperlink r:id="rId8" w:history="1">
        <w:r w:rsidR="00850075" w:rsidRPr="00850075">
          <w:rPr>
            <w:color w:val="0000FF"/>
            <w:u w:val="single"/>
          </w:rPr>
          <w:t>Top vaccine companies global market share 2017 vs 2024 | Statista</w:t>
        </w:r>
      </w:hyperlink>
      <w:r w:rsidR="00850075">
        <w:t xml:space="preserve"> </w:t>
      </w:r>
    </w:p>
    <w:p w14:paraId="5A3DF957" w14:textId="77777777" w:rsidR="00850075" w:rsidRDefault="00850075" w:rsidP="008222D3">
      <w:pPr>
        <w:spacing w:line="360" w:lineRule="auto"/>
        <w:jc w:val="both"/>
        <w:rPr>
          <w:rFonts w:ascii="Arial" w:hAnsi="Arial" w:cs="Arial"/>
          <w:sz w:val="24"/>
          <w:szCs w:val="24"/>
        </w:rPr>
      </w:pPr>
    </w:p>
    <w:p w14:paraId="761D9744" w14:textId="587F8B94" w:rsidR="00B74E17" w:rsidRPr="00A33698" w:rsidRDefault="00B74E17" w:rsidP="00A33698">
      <w:pPr>
        <w:spacing w:line="360" w:lineRule="auto"/>
        <w:jc w:val="both"/>
        <w:rPr>
          <w:rFonts w:ascii="Arial" w:hAnsi="Arial" w:cs="Arial"/>
          <w:sz w:val="24"/>
          <w:szCs w:val="24"/>
        </w:rPr>
      </w:pPr>
      <w:r w:rsidRPr="00A33698">
        <w:rPr>
          <w:rFonts w:ascii="Arial" w:hAnsi="Arial" w:cs="Arial"/>
          <w:sz w:val="24"/>
          <w:szCs w:val="24"/>
        </w:rPr>
        <w:t>Bekaert (2013), points out that</w:t>
      </w:r>
      <w:r w:rsidRPr="00A33698">
        <w:rPr>
          <w:rFonts w:ascii="Arial" w:hAnsi="Arial" w:cs="Arial"/>
          <w:b/>
          <w:bCs/>
          <w:sz w:val="24"/>
          <w:szCs w:val="24"/>
        </w:rPr>
        <w:t xml:space="preserve"> </w:t>
      </w:r>
      <w:r w:rsidRPr="00A33698">
        <w:rPr>
          <w:rFonts w:ascii="Arial" w:hAnsi="Arial" w:cs="Arial"/>
          <w:sz w:val="24"/>
          <w:szCs w:val="24"/>
        </w:rPr>
        <w:t xml:space="preserve">there </w:t>
      </w:r>
      <w:r w:rsidR="00A1345B" w:rsidRPr="00A33698">
        <w:rPr>
          <w:rFonts w:ascii="Arial" w:hAnsi="Arial" w:cs="Arial"/>
          <w:sz w:val="24"/>
          <w:szCs w:val="24"/>
        </w:rPr>
        <w:t xml:space="preserve">is </w:t>
      </w:r>
      <w:r w:rsidRPr="00A33698">
        <w:rPr>
          <w:rFonts w:ascii="Arial" w:hAnsi="Arial" w:cs="Arial"/>
          <w:sz w:val="24"/>
          <w:szCs w:val="24"/>
        </w:rPr>
        <w:t xml:space="preserve">a link in the data between growth and trade as </w:t>
      </w:r>
      <w:r w:rsidR="00A1345B" w:rsidRPr="00A33698">
        <w:rPr>
          <w:rFonts w:ascii="Arial" w:hAnsi="Arial" w:cs="Arial"/>
          <w:sz w:val="24"/>
          <w:szCs w:val="24"/>
        </w:rPr>
        <w:t xml:space="preserve">counties that are </w:t>
      </w:r>
      <w:r w:rsidRPr="00A33698">
        <w:rPr>
          <w:rFonts w:ascii="Arial" w:hAnsi="Arial" w:cs="Arial"/>
          <w:sz w:val="24"/>
          <w:szCs w:val="24"/>
        </w:rPr>
        <w:t xml:space="preserve">more open tend to grow faster. Non-tariff barriers </w:t>
      </w:r>
      <w:r w:rsidR="00A1345B" w:rsidRPr="00A33698">
        <w:rPr>
          <w:rFonts w:ascii="Arial" w:hAnsi="Arial" w:cs="Arial"/>
          <w:sz w:val="24"/>
          <w:szCs w:val="24"/>
        </w:rPr>
        <w:t xml:space="preserve">also </w:t>
      </w:r>
      <w:r w:rsidRPr="00A33698">
        <w:rPr>
          <w:rFonts w:ascii="Arial" w:hAnsi="Arial" w:cs="Arial"/>
          <w:sz w:val="24"/>
          <w:szCs w:val="24"/>
        </w:rPr>
        <w:t>play a crucial role in shaping international trade and influencing economic dynamics and political strategies. North America Free Trade Agreement (NAFTA), the European Union (EU), the Association of Southeast Asian Nations (ASE AN) and Mercosur in South America</w:t>
      </w:r>
      <w:r w:rsidR="00A1345B" w:rsidRPr="00A33698">
        <w:rPr>
          <w:rFonts w:ascii="Arial" w:hAnsi="Arial" w:cs="Arial"/>
          <w:sz w:val="24"/>
          <w:szCs w:val="24"/>
        </w:rPr>
        <w:t xml:space="preserve"> are one of the best-known regional agreements. </w:t>
      </w:r>
      <w:r w:rsidRPr="00A33698">
        <w:rPr>
          <w:rFonts w:ascii="Arial" w:hAnsi="Arial" w:cs="Arial"/>
          <w:sz w:val="24"/>
          <w:szCs w:val="24"/>
        </w:rPr>
        <w:t xml:space="preserve">Data for large and developed countries declare a </w:t>
      </w:r>
      <w:r w:rsidR="00A1345B" w:rsidRPr="00A33698">
        <w:rPr>
          <w:rFonts w:ascii="Arial" w:hAnsi="Arial" w:cs="Arial"/>
          <w:sz w:val="24"/>
          <w:szCs w:val="24"/>
        </w:rPr>
        <w:t>powerful</w:t>
      </w:r>
      <w:r w:rsidRPr="00A33698">
        <w:rPr>
          <w:rFonts w:ascii="Arial" w:hAnsi="Arial" w:cs="Arial"/>
          <w:sz w:val="24"/>
          <w:szCs w:val="24"/>
        </w:rPr>
        <w:t xml:space="preserve"> increase in trade-to-GDP ratios between 1985-2000 as the trade sectors grew </w:t>
      </w:r>
      <w:r w:rsidR="00A1345B" w:rsidRPr="00A33698">
        <w:rPr>
          <w:rFonts w:ascii="Arial" w:hAnsi="Arial" w:cs="Arial"/>
          <w:sz w:val="24"/>
          <w:szCs w:val="24"/>
        </w:rPr>
        <w:t xml:space="preserve">the most </w:t>
      </w:r>
      <w:r w:rsidRPr="00A33698">
        <w:rPr>
          <w:rFonts w:ascii="Arial" w:hAnsi="Arial" w:cs="Arial"/>
          <w:sz w:val="24"/>
          <w:szCs w:val="24"/>
        </w:rPr>
        <w:t>especially in Germany, France</w:t>
      </w:r>
      <w:r w:rsidR="00D4109A" w:rsidRPr="00A33698">
        <w:rPr>
          <w:rFonts w:ascii="Arial" w:hAnsi="Arial" w:cs="Arial"/>
          <w:sz w:val="24"/>
          <w:szCs w:val="24"/>
        </w:rPr>
        <w:t>,</w:t>
      </w:r>
      <w:r w:rsidRPr="00A33698">
        <w:rPr>
          <w:rFonts w:ascii="Arial" w:hAnsi="Arial" w:cs="Arial"/>
          <w:sz w:val="24"/>
          <w:szCs w:val="24"/>
        </w:rPr>
        <w:t xml:space="preserve"> and Austria. Germany is the most open of the countries shown with its trade sector comprising 75 per cent of GDP in 2009, while Japan with trade </w:t>
      </w:r>
      <w:r w:rsidR="00184784" w:rsidRPr="00A33698">
        <w:rPr>
          <w:rFonts w:ascii="Arial" w:hAnsi="Arial" w:cs="Arial"/>
          <w:sz w:val="24"/>
          <w:szCs w:val="24"/>
        </w:rPr>
        <w:t xml:space="preserve">complete </w:t>
      </w:r>
      <w:r w:rsidRPr="00A33698">
        <w:rPr>
          <w:rFonts w:ascii="Arial" w:hAnsi="Arial" w:cs="Arial"/>
          <w:sz w:val="24"/>
          <w:szCs w:val="24"/>
        </w:rPr>
        <w:t xml:space="preserve">just 27 per cent of its GDP is the least open (Bekaert, 2013) </w:t>
      </w:r>
    </w:p>
    <w:p w14:paraId="646E69CD" w14:textId="77777777" w:rsidR="002C50B3" w:rsidRPr="00A33698" w:rsidRDefault="002C50B3" w:rsidP="00A33698">
      <w:pPr>
        <w:spacing w:line="360" w:lineRule="auto"/>
        <w:jc w:val="both"/>
        <w:rPr>
          <w:rFonts w:ascii="Arial" w:hAnsi="Arial" w:cs="Arial"/>
          <w:sz w:val="24"/>
          <w:szCs w:val="24"/>
        </w:rPr>
      </w:pPr>
    </w:p>
    <w:p w14:paraId="05FA5DF5" w14:textId="77777777" w:rsidR="008222D3" w:rsidRPr="00A33698" w:rsidRDefault="008222D3" w:rsidP="00A33698">
      <w:pPr>
        <w:spacing w:line="360" w:lineRule="auto"/>
        <w:jc w:val="both"/>
        <w:rPr>
          <w:rFonts w:ascii="Arial" w:hAnsi="Arial" w:cs="Arial"/>
          <w:b/>
          <w:bCs/>
          <w:sz w:val="24"/>
          <w:szCs w:val="24"/>
        </w:rPr>
      </w:pPr>
    </w:p>
    <w:p w14:paraId="0A4D35C4" w14:textId="77777777" w:rsidR="00126A39" w:rsidRPr="00A33698" w:rsidRDefault="00126A39" w:rsidP="00A33698">
      <w:pPr>
        <w:spacing w:line="360" w:lineRule="auto"/>
        <w:jc w:val="both"/>
        <w:rPr>
          <w:rFonts w:ascii="Arial" w:hAnsi="Arial" w:cs="Arial"/>
          <w:b/>
          <w:bCs/>
          <w:sz w:val="24"/>
          <w:szCs w:val="24"/>
        </w:rPr>
      </w:pPr>
    </w:p>
    <w:p w14:paraId="2A90536A" w14:textId="62D7C27E" w:rsidR="006A702F" w:rsidRPr="00A33698" w:rsidRDefault="006A702F" w:rsidP="00A33698">
      <w:pPr>
        <w:spacing w:line="360" w:lineRule="auto"/>
        <w:jc w:val="both"/>
        <w:rPr>
          <w:rFonts w:ascii="Arial" w:hAnsi="Arial" w:cs="Arial"/>
          <w:b/>
          <w:bCs/>
          <w:sz w:val="24"/>
          <w:szCs w:val="24"/>
        </w:rPr>
      </w:pPr>
      <w:r w:rsidRPr="00A33698">
        <w:rPr>
          <w:rFonts w:ascii="Arial" w:hAnsi="Arial" w:cs="Arial"/>
          <w:b/>
          <w:bCs/>
          <w:sz w:val="24"/>
          <w:szCs w:val="24"/>
        </w:rPr>
        <w:lastRenderedPageBreak/>
        <w:t xml:space="preserve">Foreign exchange risk </w:t>
      </w:r>
      <w:r w:rsidR="0007381E" w:rsidRPr="00A33698">
        <w:rPr>
          <w:rFonts w:ascii="Arial" w:hAnsi="Arial" w:cs="Arial"/>
          <w:b/>
          <w:bCs/>
          <w:sz w:val="24"/>
          <w:szCs w:val="24"/>
        </w:rPr>
        <w:t xml:space="preserve">and its impact </w:t>
      </w:r>
    </w:p>
    <w:p w14:paraId="2BAF3F6D" w14:textId="5A86FBE7" w:rsidR="00D85E50" w:rsidRDefault="00D85E50" w:rsidP="00A33698">
      <w:pPr>
        <w:spacing w:line="360" w:lineRule="auto"/>
        <w:jc w:val="both"/>
        <w:rPr>
          <w:rFonts w:ascii="Arial" w:hAnsi="Arial" w:cs="Arial"/>
          <w:sz w:val="24"/>
          <w:szCs w:val="24"/>
        </w:rPr>
      </w:pPr>
      <w:r w:rsidRPr="00D85E50">
        <w:rPr>
          <w:rFonts w:ascii="Arial" w:hAnsi="Arial" w:cs="Arial"/>
          <w:sz w:val="24"/>
          <w:szCs w:val="24"/>
        </w:rPr>
        <w:t>According to Tamplin (2023), exchange rate risk is the potential loss resulting from fluctuations in currency exchange rates, especially when conducting transactions or holding assets in a foreign currency. It is crucial in finance and investment, especially for international markets, to minimise losses and maximise returns. The exchange rate between two currencies shows the value of one currency in terms of the other and the exchange rate is determined by market forces such as supply and demand and can be affected by different political, economic, and social factors. Inflation could be an economic factor as well as interest rate and trade balance. This can affect the demand for a currency, its value</w:t>
      </w:r>
      <w:r w:rsidR="00284FD2">
        <w:rPr>
          <w:rFonts w:ascii="Arial" w:hAnsi="Arial" w:cs="Arial"/>
          <w:sz w:val="24"/>
          <w:szCs w:val="24"/>
        </w:rPr>
        <w:t>,</w:t>
      </w:r>
      <w:r w:rsidRPr="00D85E50">
        <w:rPr>
          <w:rFonts w:ascii="Arial" w:hAnsi="Arial" w:cs="Arial"/>
          <w:sz w:val="24"/>
          <w:szCs w:val="24"/>
        </w:rPr>
        <w:t xml:space="preserve"> and its exchange rate. Political instability and changes in government policies also can impact the exchange rate and affect the demand for its currency and economic prospects (Tamplin,2023).</w:t>
      </w:r>
    </w:p>
    <w:p w14:paraId="142E9FC5" w14:textId="5B06B734" w:rsidR="00D85E50" w:rsidRDefault="00D85E50" w:rsidP="00A33698">
      <w:pPr>
        <w:spacing w:line="360" w:lineRule="auto"/>
        <w:jc w:val="both"/>
        <w:rPr>
          <w:rFonts w:ascii="Arial" w:hAnsi="Arial" w:cs="Arial"/>
          <w:color w:val="000000" w:themeColor="text1"/>
          <w:sz w:val="24"/>
          <w:szCs w:val="24"/>
        </w:rPr>
      </w:pPr>
      <w:r w:rsidRPr="00D85E50">
        <w:rPr>
          <w:rFonts w:ascii="Arial" w:hAnsi="Arial" w:cs="Arial"/>
          <w:color w:val="000000" w:themeColor="text1"/>
          <w:sz w:val="24"/>
          <w:szCs w:val="24"/>
        </w:rPr>
        <w:t xml:space="preserve">Tamplin (2023) points out that the exchange rate also can be impacted by the overall attitude and mood of the investors. Therefore, negative sentiment can lead to a decrease in demand while positive market sentiment can lead to an increase in demand for a currency. Any other type of exchange rate risk could be transaction risk that arises from variations in the exchange rate as this risk can impact the costs of imports and exports with the potential losses for businesses. According to CFI Education Inc. (2024), </w:t>
      </w:r>
      <w:r w:rsidRPr="00D85E50">
        <w:rPr>
          <w:rFonts w:ascii="Arial" w:hAnsi="Arial" w:cs="Arial"/>
          <w:b/>
          <w:bCs/>
          <w:color w:val="000000" w:themeColor="text1"/>
          <w:sz w:val="24"/>
          <w:szCs w:val="24"/>
        </w:rPr>
        <w:t>Transaction risk</w:t>
      </w:r>
      <w:r w:rsidRPr="00D85E50">
        <w:rPr>
          <w:rFonts w:ascii="Arial" w:hAnsi="Arial" w:cs="Arial"/>
          <w:color w:val="000000" w:themeColor="text1"/>
          <w:sz w:val="24"/>
          <w:szCs w:val="24"/>
        </w:rPr>
        <w:t xml:space="preserve"> is a type of risk caused by the change in exchange rates before a company’s financial transactions between districts, primarily due to time delay between settlement and transaction. Mitigation can be achieved through forward contracts and options. For instance, a Canadian company transferring earnings from China might receive CAD100 instead of CAD86.  </w:t>
      </w:r>
    </w:p>
    <w:p w14:paraId="56EB28F4" w14:textId="2A6F8ADA" w:rsidR="00556232" w:rsidRPr="00A33698" w:rsidRDefault="0029139B" w:rsidP="00A33698">
      <w:pPr>
        <w:spacing w:line="360" w:lineRule="auto"/>
        <w:jc w:val="both"/>
        <w:rPr>
          <w:rFonts w:ascii="Arial" w:hAnsi="Arial" w:cs="Arial"/>
          <w:sz w:val="24"/>
          <w:szCs w:val="24"/>
        </w:rPr>
      </w:pPr>
      <w:r w:rsidRPr="00A33698">
        <w:rPr>
          <w:rFonts w:ascii="Arial" w:hAnsi="Arial" w:cs="Arial"/>
          <w:sz w:val="24"/>
          <w:szCs w:val="24"/>
        </w:rPr>
        <w:t>CFI Education In</w:t>
      </w:r>
      <w:r w:rsidR="00465E7E">
        <w:rPr>
          <w:rFonts w:ascii="Arial" w:hAnsi="Arial" w:cs="Arial"/>
          <w:sz w:val="24"/>
          <w:szCs w:val="24"/>
        </w:rPr>
        <w:t xml:space="preserve">c. </w:t>
      </w:r>
      <w:r w:rsidRPr="00A33698">
        <w:rPr>
          <w:rFonts w:ascii="Arial" w:hAnsi="Arial" w:cs="Arial"/>
          <w:sz w:val="24"/>
          <w:szCs w:val="24"/>
        </w:rPr>
        <w:t xml:space="preserve">(2024) states that </w:t>
      </w:r>
      <w:r w:rsidR="00CB6B00" w:rsidRPr="00A33698">
        <w:rPr>
          <w:rFonts w:ascii="Arial" w:hAnsi="Arial" w:cs="Arial"/>
          <w:b/>
          <w:bCs/>
          <w:sz w:val="24"/>
          <w:szCs w:val="24"/>
        </w:rPr>
        <w:t>Translation risk</w:t>
      </w:r>
      <w:r w:rsidR="00CB6B00" w:rsidRPr="00A33698">
        <w:rPr>
          <w:rFonts w:ascii="Arial" w:hAnsi="Arial" w:cs="Arial"/>
          <w:sz w:val="24"/>
          <w:szCs w:val="24"/>
        </w:rPr>
        <w:t xml:space="preserve"> (or translation exposure) is </w:t>
      </w:r>
      <w:r w:rsidR="00A45ED6" w:rsidRPr="00A33698">
        <w:rPr>
          <w:rFonts w:ascii="Arial" w:hAnsi="Arial" w:cs="Arial"/>
          <w:sz w:val="24"/>
          <w:szCs w:val="24"/>
        </w:rPr>
        <w:t>also</w:t>
      </w:r>
      <w:r w:rsidR="00465E7E">
        <w:rPr>
          <w:rFonts w:ascii="Arial" w:hAnsi="Arial" w:cs="Arial"/>
          <w:sz w:val="24"/>
          <w:szCs w:val="24"/>
        </w:rPr>
        <w:t xml:space="preserve"> a</w:t>
      </w:r>
      <w:r w:rsidR="00A45ED6" w:rsidRPr="00A33698">
        <w:rPr>
          <w:rFonts w:ascii="Arial" w:hAnsi="Arial" w:cs="Arial"/>
          <w:sz w:val="24"/>
          <w:szCs w:val="24"/>
        </w:rPr>
        <w:t xml:space="preserve"> </w:t>
      </w:r>
      <w:r w:rsidR="00A45ED6" w:rsidRPr="00A33698">
        <w:rPr>
          <w:rFonts w:ascii="Arial" w:hAnsi="Arial" w:cs="Arial"/>
          <w:b/>
          <w:bCs/>
          <w:sz w:val="24"/>
          <w:szCs w:val="24"/>
        </w:rPr>
        <w:t xml:space="preserve">type of </w:t>
      </w:r>
      <w:r w:rsidR="00CB6B00" w:rsidRPr="00A33698">
        <w:rPr>
          <w:rFonts w:ascii="Arial" w:hAnsi="Arial" w:cs="Arial"/>
          <w:b/>
          <w:bCs/>
          <w:sz w:val="24"/>
          <w:szCs w:val="24"/>
        </w:rPr>
        <w:t>risk</w:t>
      </w:r>
      <w:r w:rsidR="00CB6B00" w:rsidRPr="00A33698">
        <w:rPr>
          <w:rFonts w:ascii="Arial" w:hAnsi="Arial" w:cs="Arial"/>
          <w:sz w:val="24"/>
          <w:szCs w:val="24"/>
        </w:rPr>
        <w:t xml:space="preserve"> that a company faces when conducting business in a foreign</w:t>
      </w:r>
      <w:r w:rsidR="00465E7E">
        <w:rPr>
          <w:rFonts w:ascii="Arial" w:hAnsi="Arial" w:cs="Arial"/>
          <w:sz w:val="24"/>
          <w:szCs w:val="24"/>
        </w:rPr>
        <w:t xml:space="preserve"> area</w:t>
      </w:r>
      <w:r w:rsidR="00CB6B00" w:rsidRPr="00A33698">
        <w:rPr>
          <w:rFonts w:ascii="Arial" w:hAnsi="Arial" w:cs="Arial"/>
          <w:sz w:val="24"/>
          <w:szCs w:val="24"/>
        </w:rPr>
        <w:t>, with financial performance in its domestic currency</w:t>
      </w:r>
      <w:r w:rsidRPr="00A33698">
        <w:rPr>
          <w:rFonts w:ascii="Arial" w:hAnsi="Arial" w:cs="Arial"/>
          <w:sz w:val="24"/>
          <w:szCs w:val="24"/>
        </w:rPr>
        <w:t>, w</w:t>
      </w:r>
      <w:r w:rsidR="00CB6B00" w:rsidRPr="00A33698">
        <w:rPr>
          <w:rFonts w:ascii="Arial" w:hAnsi="Arial" w:cs="Arial"/>
          <w:sz w:val="24"/>
          <w:szCs w:val="24"/>
        </w:rPr>
        <w:t xml:space="preserve">hen holding a greater portion of liabilities, assets, or equities in a foreign currency. For instance, </w:t>
      </w:r>
      <w:r w:rsidR="003950E2" w:rsidRPr="00A33698">
        <w:rPr>
          <w:rFonts w:ascii="Arial" w:hAnsi="Arial" w:cs="Arial"/>
          <w:sz w:val="24"/>
          <w:szCs w:val="24"/>
        </w:rPr>
        <w:t xml:space="preserve">a parent company faces </w:t>
      </w:r>
      <w:r w:rsidR="003950E2" w:rsidRPr="00A33698">
        <w:rPr>
          <w:rFonts w:ascii="Arial" w:hAnsi="Arial" w:cs="Arial"/>
          <w:b/>
          <w:bCs/>
          <w:sz w:val="24"/>
          <w:szCs w:val="24"/>
        </w:rPr>
        <w:t>translation risk</w:t>
      </w:r>
      <w:r w:rsidR="003950E2" w:rsidRPr="00A33698">
        <w:rPr>
          <w:rFonts w:ascii="Arial" w:hAnsi="Arial" w:cs="Arial"/>
          <w:sz w:val="24"/>
          <w:szCs w:val="24"/>
        </w:rPr>
        <w:t xml:space="preserve"> reporting in Canadian dollars while overseeing a subsidiary based in China, whose financial performance is translated into Canadian dollars for reporting purposes</w:t>
      </w:r>
      <w:r w:rsidRPr="00A33698">
        <w:rPr>
          <w:rFonts w:ascii="Arial" w:hAnsi="Arial" w:cs="Arial"/>
          <w:sz w:val="24"/>
          <w:szCs w:val="24"/>
        </w:rPr>
        <w:t xml:space="preserve">. </w:t>
      </w:r>
      <w:proofErr w:type="spellStart"/>
      <w:r w:rsidR="00143916" w:rsidRPr="00A33698">
        <w:rPr>
          <w:rFonts w:ascii="Arial" w:hAnsi="Arial" w:cs="Arial"/>
          <w:sz w:val="24"/>
          <w:szCs w:val="24"/>
        </w:rPr>
        <w:t>Grabata</w:t>
      </w:r>
      <w:proofErr w:type="spellEnd"/>
      <w:r w:rsidR="00143916" w:rsidRPr="00A33698">
        <w:rPr>
          <w:rFonts w:ascii="Arial" w:hAnsi="Arial" w:cs="Arial"/>
          <w:sz w:val="24"/>
          <w:szCs w:val="24"/>
        </w:rPr>
        <w:t xml:space="preserve"> (2024) states that for businesses operating in different currency environments, translation exposure is a significant risk for business operating</w:t>
      </w:r>
      <w:r w:rsidR="00465E7E">
        <w:rPr>
          <w:rFonts w:ascii="Arial" w:hAnsi="Arial" w:cs="Arial"/>
          <w:sz w:val="24"/>
          <w:szCs w:val="24"/>
        </w:rPr>
        <w:t xml:space="preserve">. Therefore, </w:t>
      </w:r>
      <w:r w:rsidR="00143916" w:rsidRPr="00A33698">
        <w:rPr>
          <w:rFonts w:ascii="Arial" w:hAnsi="Arial" w:cs="Arial"/>
          <w:sz w:val="24"/>
          <w:szCs w:val="24"/>
        </w:rPr>
        <w:t xml:space="preserve">effective business management such as </w:t>
      </w:r>
      <w:r w:rsidR="00143916" w:rsidRPr="00A33698">
        <w:rPr>
          <w:rFonts w:ascii="Arial" w:hAnsi="Arial" w:cs="Arial"/>
          <w:b/>
          <w:bCs/>
          <w:sz w:val="24"/>
          <w:szCs w:val="24"/>
        </w:rPr>
        <w:t>hedging strategies</w:t>
      </w:r>
      <w:r w:rsidR="00143916" w:rsidRPr="00A33698">
        <w:rPr>
          <w:rFonts w:ascii="Arial" w:hAnsi="Arial" w:cs="Arial"/>
          <w:sz w:val="24"/>
          <w:szCs w:val="24"/>
        </w:rPr>
        <w:t xml:space="preserve"> is </w:t>
      </w:r>
      <w:r w:rsidR="00143916" w:rsidRPr="00A33698">
        <w:rPr>
          <w:rFonts w:ascii="Arial" w:hAnsi="Arial" w:cs="Arial"/>
          <w:sz w:val="24"/>
          <w:szCs w:val="24"/>
        </w:rPr>
        <w:lastRenderedPageBreak/>
        <w:t>crucial for financial stability. It includes futures contracts or currency swaps to reduce risk and any negotiating transactions in their domicile currency.</w:t>
      </w:r>
    </w:p>
    <w:p w14:paraId="15266AA8" w14:textId="23C54370" w:rsidR="0007381E" w:rsidRPr="00A33698" w:rsidRDefault="00556232" w:rsidP="00A33698">
      <w:pPr>
        <w:spacing w:line="360" w:lineRule="auto"/>
        <w:jc w:val="both"/>
        <w:rPr>
          <w:rFonts w:ascii="Arial" w:hAnsi="Arial" w:cs="Arial"/>
          <w:color w:val="00B0F0"/>
          <w:sz w:val="24"/>
          <w:szCs w:val="24"/>
        </w:rPr>
      </w:pPr>
      <w:r w:rsidRPr="00A33698">
        <w:rPr>
          <w:rFonts w:ascii="Arial" w:hAnsi="Arial" w:cs="Arial"/>
          <w:sz w:val="24"/>
          <w:szCs w:val="24"/>
        </w:rPr>
        <w:t>CFI Educational Inc (2024) points out that</w:t>
      </w:r>
      <w:r w:rsidRPr="00A33698">
        <w:rPr>
          <w:rFonts w:ascii="Arial" w:hAnsi="Arial" w:cs="Arial"/>
          <w:b/>
          <w:bCs/>
          <w:sz w:val="24"/>
          <w:szCs w:val="24"/>
        </w:rPr>
        <w:t xml:space="preserve"> </w:t>
      </w:r>
      <w:r w:rsidR="00CB6B00" w:rsidRPr="00A33698">
        <w:rPr>
          <w:rFonts w:ascii="Arial" w:hAnsi="Arial" w:cs="Arial"/>
          <w:b/>
          <w:bCs/>
          <w:sz w:val="24"/>
          <w:szCs w:val="24"/>
        </w:rPr>
        <w:t>Economic risk</w:t>
      </w:r>
      <w:r w:rsidR="00CB6B00" w:rsidRPr="00A33698">
        <w:rPr>
          <w:rFonts w:ascii="Arial" w:hAnsi="Arial" w:cs="Arial"/>
          <w:sz w:val="24"/>
          <w:szCs w:val="24"/>
        </w:rPr>
        <w:t xml:space="preserve"> (forecast risk) impacts company’s market value by unavoidable exposure to exchange rate fluctuation and this type of risk is usually</w:t>
      </w:r>
      <w:r w:rsidR="003950E2" w:rsidRPr="00A33698">
        <w:rPr>
          <w:rFonts w:ascii="Arial" w:hAnsi="Arial" w:cs="Arial"/>
          <w:sz w:val="24"/>
          <w:szCs w:val="24"/>
        </w:rPr>
        <w:t xml:space="preserve"> build </w:t>
      </w:r>
      <w:r w:rsidR="00561CF8" w:rsidRPr="00A33698">
        <w:rPr>
          <w:rFonts w:ascii="Arial" w:hAnsi="Arial" w:cs="Arial"/>
          <w:sz w:val="24"/>
          <w:szCs w:val="24"/>
        </w:rPr>
        <w:t>by macroeconomic conditions such as government regulation or geopolitical instability. For</w:t>
      </w:r>
      <w:r w:rsidR="003950E2" w:rsidRPr="00A33698">
        <w:rPr>
          <w:rFonts w:ascii="Arial" w:hAnsi="Arial" w:cs="Arial"/>
          <w:sz w:val="24"/>
          <w:szCs w:val="24"/>
        </w:rPr>
        <w:t xml:space="preserve"> example</w:t>
      </w:r>
      <w:r w:rsidR="00561CF8" w:rsidRPr="00A33698">
        <w:rPr>
          <w:rFonts w:ascii="Arial" w:hAnsi="Arial" w:cs="Arial"/>
          <w:sz w:val="24"/>
          <w:szCs w:val="24"/>
        </w:rPr>
        <w:t>, locally sells Canadian furniture company will face risk from furniture importers, particularly if the Canadian currency strengthens unexpectedly.</w:t>
      </w:r>
      <w:r w:rsidRPr="00A33698">
        <w:rPr>
          <w:rFonts w:ascii="Arial" w:hAnsi="Arial" w:cs="Arial"/>
          <w:sz w:val="24"/>
          <w:szCs w:val="24"/>
        </w:rPr>
        <w:t xml:space="preserve"> </w:t>
      </w:r>
      <w:r w:rsidR="00561CF8" w:rsidRPr="00A33698">
        <w:rPr>
          <w:rFonts w:ascii="Arial" w:hAnsi="Arial" w:cs="Arial"/>
          <w:sz w:val="24"/>
          <w:szCs w:val="24"/>
        </w:rPr>
        <w:t xml:space="preserve">Tamplin (2023) states </w:t>
      </w:r>
      <w:r w:rsidR="0005093D" w:rsidRPr="00A33698">
        <w:rPr>
          <w:rFonts w:ascii="Arial" w:hAnsi="Arial" w:cs="Arial"/>
          <w:sz w:val="24"/>
          <w:szCs w:val="24"/>
        </w:rPr>
        <w:t xml:space="preserve">if a US investor by shares in a company </w:t>
      </w:r>
      <w:r w:rsidR="007B312A" w:rsidRPr="00A33698">
        <w:rPr>
          <w:rFonts w:ascii="Arial" w:hAnsi="Arial" w:cs="Arial"/>
          <w:sz w:val="24"/>
          <w:szCs w:val="24"/>
        </w:rPr>
        <w:t xml:space="preserve">in Europa </w:t>
      </w:r>
      <w:r w:rsidR="0005093D" w:rsidRPr="00A33698">
        <w:rPr>
          <w:rFonts w:ascii="Arial" w:hAnsi="Arial" w:cs="Arial"/>
          <w:sz w:val="24"/>
          <w:szCs w:val="24"/>
        </w:rPr>
        <w:t xml:space="preserve">and the euro </w:t>
      </w:r>
      <w:r w:rsidR="0005093D" w:rsidRPr="00A33698">
        <w:rPr>
          <w:rFonts w:ascii="Arial" w:hAnsi="Arial" w:cs="Arial"/>
          <w:b/>
          <w:bCs/>
          <w:sz w:val="24"/>
          <w:szCs w:val="24"/>
        </w:rPr>
        <w:t xml:space="preserve">depreciates </w:t>
      </w:r>
      <w:r w:rsidR="0005093D" w:rsidRPr="00A33698">
        <w:rPr>
          <w:rFonts w:ascii="Arial" w:hAnsi="Arial" w:cs="Arial"/>
          <w:sz w:val="24"/>
          <w:szCs w:val="24"/>
        </w:rPr>
        <w:t xml:space="preserve">against the dollar this will </w:t>
      </w:r>
      <w:r w:rsidR="0005093D" w:rsidRPr="00A33698">
        <w:rPr>
          <w:rFonts w:ascii="Arial" w:hAnsi="Arial" w:cs="Arial"/>
          <w:b/>
          <w:bCs/>
          <w:sz w:val="24"/>
          <w:szCs w:val="24"/>
        </w:rPr>
        <w:t>decrease</w:t>
      </w:r>
      <w:r w:rsidR="0005093D" w:rsidRPr="00A33698">
        <w:rPr>
          <w:rFonts w:ascii="Arial" w:hAnsi="Arial" w:cs="Arial"/>
          <w:sz w:val="24"/>
          <w:szCs w:val="24"/>
        </w:rPr>
        <w:t xml:space="preserve"> </w:t>
      </w:r>
      <w:r w:rsidR="00465F7E" w:rsidRPr="00A33698">
        <w:rPr>
          <w:rFonts w:ascii="Arial" w:hAnsi="Arial" w:cs="Arial"/>
          <w:sz w:val="24"/>
          <w:szCs w:val="24"/>
        </w:rPr>
        <w:t xml:space="preserve">the </w:t>
      </w:r>
      <w:r w:rsidR="0005093D" w:rsidRPr="00A33698">
        <w:rPr>
          <w:rFonts w:ascii="Arial" w:hAnsi="Arial" w:cs="Arial"/>
          <w:sz w:val="24"/>
          <w:szCs w:val="24"/>
        </w:rPr>
        <w:t>investment</w:t>
      </w:r>
      <w:r w:rsidR="00465F7E" w:rsidRPr="00A33698">
        <w:rPr>
          <w:rFonts w:ascii="Arial" w:hAnsi="Arial" w:cs="Arial"/>
          <w:sz w:val="24"/>
          <w:szCs w:val="24"/>
        </w:rPr>
        <w:t xml:space="preserve">’s value </w:t>
      </w:r>
      <w:r w:rsidR="0005093D" w:rsidRPr="00A33698">
        <w:rPr>
          <w:rFonts w:ascii="Arial" w:hAnsi="Arial" w:cs="Arial"/>
          <w:sz w:val="24"/>
          <w:szCs w:val="24"/>
        </w:rPr>
        <w:t>in US dollar leading with losses for investor</w:t>
      </w:r>
      <w:r w:rsidR="00A45ED6" w:rsidRPr="00A33698">
        <w:rPr>
          <w:rFonts w:ascii="Arial" w:hAnsi="Arial" w:cs="Arial"/>
          <w:sz w:val="24"/>
          <w:szCs w:val="24"/>
        </w:rPr>
        <w:t xml:space="preserve">. </w:t>
      </w:r>
      <w:r w:rsidR="00A077F5" w:rsidRPr="00A33698">
        <w:rPr>
          <w:rFonts w:ascii="Arial" w:hAnsi="Arial" w:cs="Arial"/>
          <w:sz w:val="24"/>
          <w:szCs w:val="24"/>
        </w:rPr>
        <w:t xml:space="preserve">According to </w:t>
      </w:r>
      <w:r w:rsidR="0041283B" w:rsidRPr="00A33698">
        <w:rPr>
          <w:rFonts w:ascii="Arial" w:hAnsi="Arial" w:cs="Arial"/>
          <w:color w:val="000000" w:themeColor="text1"/>
          <w:sz w:val="24"/>
          <w:szCs w:val="24"/>
        </w:rPr>
        <w:t>Papaioannou (2006)</w:t>
      </w:r>
      <w:r w:rsidR="0041283B" w:rsidRPr="00A33698">
        <w:rPr>
          <w:rFonts w:ascii="Arial" w:hAnsi="Arial" w:cs="Arial"/>
          <w:color w:val="00B0F0"/>
          <w:sz w:val="24"/>
          <w:szCs w:val="24"/>
        </w:rPr>
        <w:t xml:space="preserve"> </w:t>
      </w:r>
      <w:r w:rsidR="00A077F5" w:rsidRPr="00A33698">
        <w:rPr>
          <w:rFonts w:ascii="Arial" w:hAnsi="Arial" w:cs="Arial"/>
          <w:sz w:val="24"/>
          <w:szCs w:val="24"/>
        </w:rPr>
        <w:t xml:space="preserve">after measuring the </w:t>
      </w:r>
      <w:r w:rsidR="00A077F5" w:rsidRPr="00A33698">
        <w:rPr>
          <w:rFonts w:ascii="Arial" w:hAnsi="Arial" w:cs="Arial"/>
          <w:b/>
          <w:bCs/>
          <w:sz w:val="24"/>
          <w:szCs w:val="24"/>
        </w:rPr>
        <w:t>associated risk exposure</w:t>
      </w:r>
      <w:r w:rsidR="00A077F5" w:rsidRPr="00A33698">
        <w:rPr>
          <w:rFonts w:ascii="Arial" w:hAnsi="Arial" w:cs="Arial"/>
          <w:sz w:val="24"/>
          <w:szCs w:val="24"/>
        </w:rPr>
        <w:t xml:space="preserve"> and </w:t>
      </w:r>
      <w:r w:rsidR="00A077F5" w:rsidRPr="00A33698">
        <w:rPr>
          <w:rFonts w:ascii="Arial" w:hAnsi="Arial" w:cs="Arial"/>
          <w:b/>
          <w:bCs/>
          <w:sz w:val="24"/>
          <w:szCs w:val="24"/>
        </w:rPr>
        <w:t>identifying the types of exchange rate risk</w:t>
      </w:r>
      <w:r w:rsidR="00A077F5" w:rsidRPr="00A33698">
        <w:rPr>
          <w:rFonts w:ascii="Arial" w:hAnsi="Arial" w:cs="Arial"/>
          <w:sz w:val="24"/>
          <w:szCs w:val="24"/>
        </w:rPr>
        <w:t xml:space="preserve"> a firm needs to decide whether to </w:t>
      </w:r>
      <w:r w:rsidR="00A077F5" w:rsidRPr="00A33698">
        <w:rPr>
          <w:rFonts w:ascii="Arial" w:hAnsi="Arial" w:cs="Arial"/>
          <w:b/>
          <w:bCs/>
          <w:sz w:val="24"/>
          <w:szCs w:val="24"/>
        </w:rPr>
        <w:t>hedge</w:t>
      </w:r>
      <w:r w:rsidR="00A077F5" w:rsidRPr="00A33698">
        <w:rPr>
          <w:rFonts w:ascii="Arial" w:hAnsi="Arial" w:cs="Arial"/>
          <w:sz w:val="24"/>
          <w:szCs w:val="24"/>
        </w:rPr>
        <w:t xml:space="preserve"> or not these risks. </w:t>
      </w:r>
      <w:r w:rsidR="00310F99" w:rsidRPr="00A33698">
        <w:rPr>
          <w:rFonts w:ascii="Arial" w:hAnsi="Arial" w:cs="Arial"/>
          <w:b/>
          <w:bCs/>
          <w:sz w:val="24"/>
          <w:szCs w:val="24"/>
        </w:rPr>
        <w:t>Hedging strategies are risk management strategy</w:t>
      </w:r>
      <w:r w:rsidR="00310F99" w:rsidRPr="00A33698">
        <w:rPr>
          <w:rFonts w:ascii="Arial" w:hAnsi="Arial" w:cs="Arial"/>
          <w:sz w:val="24"/>
          <w:szCs w:val="24"/>
        </w:rPr>
        <w:t xml:space="preserve"> that holding security and involves purchasing to reduce portfolio</w:t>
      </w:r>
      <w:r w:rsidR="007248B3" w:rsidRPr="00A33698">
        <w:rPr>
          <w:rFonts w:ascii="Arial" w:hAnsi="Arial" w:cs="Arial"/>
          <w:sz w:val="24"/>
          <w:szCs w:val="24"/>
        </w:rPr>
        <w:t>’s</w:t>
      </w:r>
      <w:r w:rsidR="00310F99" w:rsidRPr="00A33698">
        <w:rPr>
          <w:rFonts w:ascii="Arial" w:hAnsi="Arial" w:cs="Arial"/>
          <w:sz w:val="24"/>
          <w:szCs w:val="24"/>
        </w:rPr>
        <w:t xml:space="preserve"> risk and reduce uncertainty.</w:t>
      </w:r>
    </w:p>
    <w:p w14:paraId="5A2E10BD" w14:textId="65C316A0" w:rsidR="002F0368" w:rsidRPr="00A33698" w:rsidRDefault="002F0368" w:rsidP="00A33698">
      <w:pPr>
        <w:spacing w:line="360" w:lineRule="auto"/>
        <w:jc w:val="both"/>
        <w:rPr>
          <w:rFonts w:ascii="Arial" w:hAnsi="Arial" w:cs="Arial"/>
          <w:b/>
          <w:bCs/>
          <w:sz w:val="24"/>
          <w:szCs w:val="24"/>
        </w:rPr>
      </w:pPr>
      <w:r w:rsidRPr="00A33698">
        <w:rPr>
          <w:rFonts w:ascii="Arial" w:hAnsi="Arial" w:cs="Arial"/>
          <w:b/>
          <w:bCs/>
          <w:sz w:val="24"/>
          <w:szCs w:val="24"/>
        </w:rPr>
        <w:t>Managing Exchange Rate Risk</w:t>
      </w:r>
      <w:r w:rsidR="00575EEB" w:rsidRPr="00A33698">
        <w:rPr>
          <w:rFonts w:ascii="Arial" w:hAnsi="Arial" w:cs="Arial"/>
          <w:b/>
          <w:bCs/>
          <w:sz w:val="24"/>
          <w:szCs w:val="24"/>
        </w:rPr>
        <w:t xml:space="preserve"> in foreign currencies</w:t>
      </w:r>
    </w:p>
    <w:p w14:paraId="4F38A820" w14:textId="16C53E26" w:rsidR="00495D65" w:rsidRPr="00A33698" w:rsidRDefault="00495D65" w:rsidP="00A33698">
      <w:pPr>
        <w:spacing w:line="360" w:lineRule="auto"/>
        <w:jc w:val="both"/>
        <w:rPr>
          <w:rFonts w:ascii="Arial" w:hAnsi="Arial" w:cs="Arial"/>
          <w:sz w:val="24"/>
          <w:szCs w:val="24"/>
        </w:rPr>
      </w:pPr>
      <w:r w:rsidRPr="00A33698">
        <w:rPr>
          <w:rFonts w:ascii="Arial" w:hAnsi="Arial" w:cs="Arial"/>
          <w:sz w:val="24"/>
          <w:szCs w:val="24"/>
        </w:rPr>
        <w:t xml:space="preserve">Harper (2023) states that </w:t>
      </w:r>
      <w:r w:rsidRPr="00A33698">
        <w:rPr>
          <w:rFonts w:ascii="Arial" w:hAnsi="Arial" w:cs="Arial"/>
          <w:b/>
          <w:bCs/>
          <w:sz w:val="24"/>
          <w:szCs w:val="24"/>
        </w:rPr>
        <w:t>VAR</w:t>
      </w:r>
      <w:r w:rsidRPr="00A33698">
        <w:rPr>
          <w:rFonts w:ascii="Arial" w:hAnsi="Arial" w:cs="Arial"/>
          <w:sz w:val="24"/>
          <w:szCs w:val="24"/>
        </w:rPr>
        <w:t xml:space="preserve"> (Value at risk) </w:t>
      </w:r>
      <w:r w:rsidR="000A5331" w:rsidRPr="00A33698">
        <w:rPr>
          <w:rFonts w:ascii="Arial" w:hAnsi="Arial" w:cs="Arial"/>
          <w:sz w:val="24"/>
          <w:szCs w:val="24"/>
        </w:rPr>
        <w:t xml:space="preserve">is another critical element in </w:t>
      </w:r>
      <w:r w:rsidR="000A5331" w:rsidRPr="00A33698">
        <w:rPr>
          <w:rFonts w:ascii="Arial" w:hAnsi="Arial" w:cs="Arial"/>
          <w:b/>
          <w:bCs/>
          <w:sz w:val="24"/>
          <w:szCs w:val="24"/>
        </w:rPr>
        <w:t>identifying hedging position</w:t>
      </w:r>
      <w:r w:rsidR="000A5331" w:rsidRPr="00A33698">
        <w:rPr>
          <w:rFonts w:ascii="Arial" w:hAnsi="Arial" w:cs="Arial"/>
          <w:sz w:val="24"/>
          <w:szCs w:val="24"/>
        </w:rPr>
        <w:t xml:space="preserve"> and </w:t>
      </w:r>
      <w:r w:rsidRPr="00A33698">
        <w:rPr>
          <w:rFonts w:ascii="Arial" w:hAnsi="Arial" w:cs="Arial"/>
          <w:sz w:val="24"/>
          <w:szCs w:val="24"/>
        </w:rPr>
        <w:t>is used to predict in risk management and over a specific time the greatest possible losses and is determined by three variables such as confidence level, period</w:t>
      </w:r>
      <w:r w:rsidR="00D85E50">
        <w:rPr>
          <w:rFonts w:ascii="Arial" w:hAnsi="Arial" w:cs="Arial"/>
          <w:sz w:val="24"/>
          <w:szCs w:val="24"/>
        </w:rPr>
        <w:t xml:space="preserve">, </w:t>
      </w:r>
      <w:r w:rsidRPr="00A33698">
        <w:rPr>
          <w:rFonts w:ascii="Arial" w:hAnsi="Arial" w:cs="Arial"/>
          <w:sz w:val="24"/>
          <w:szCs w:val="24"/>
        </w:rPr>
        <w:t>and the size of the possible loss. The three methods of calculating it included the historical method, the Monte Carlo simulation</w:t>
      </w:r>
      <w:r w:rsidR="00D85E50">
        <w:rPr>
          <w:rFonts w:ascii="Arial" w:hAnsi="Arial" w:cs="Arial"/>
          <w:sz w:val="24"/>
          <w:szCs w:val="24"/>
        </w:rPr>
        <w:t xml:space="preserve">, </w:t>
      </w:r>
      <w:r w:rsidRPr="00A33698">
        <w:rPr>
          <w:rFonts w:ascii="Arial" w:hAnsi="Arial" w:cs="Arial"/>
          <w:sz w:val="24"/>
          <w:szCs w:val="24"/>
        </w:rPr>
        <w:t xml:space="preserve">and the variance-covariance method. VAR helps investors make informed decisions about </w:t>
      </w:r>
      <w:r w:rsidRPr="00A33698">
        <w:rPr>
          <w:rFonts w:ascii="Arial" w:hAnsi="Arial" w:cs="Arial"/>
          <w:b/>
          <w:bCs/>
          <w:sz w:val="24"/>
          <w:szCs w:val="24"/>
        </w:rPr>
        <w:t>risk exposure</w:t>
      </w:r>
      <w:r w:rsidRPr="00A33698">
        <w:rPr>
          <w:rFonts w:ascii="Arial" w:hAnsi="Arial" w:cs="Arial"/>
          <w:sz w:val="24"/>
          <w:szCs w:val="24"/>
        </w:rPr>
        <w:t xml:space="preserve"> and is used by financial firms to measure and control risk exposure in portfolios.</w:t>
      </w:r>
    </w:p>
    <w:p w14:paraId="1D11E398" w14:textId="077AA7A9" w:rsidR="006009BB" w:rsidRPr="00A33698" w:rsidRDefault="007248B3" w:rsidP="00A33698">
      <w:pPr>
        <w:spacing w:line="360" w:lineRule="auto"/>
        <w:jc w:val="both"/>
        <w:rPr>
          <w:rFonts w:ascii="Arial" w:hAnsi="Arial" w:cs="Arial"/>
          <w:sz w:val="24"/>
          <w:szCs w:val="24"/>
        </w:rPr>
      </w:pPr>
      <w:r w:rsidRPr="00A33698">
        <w:rPr>
          <w:rFonts w:ascii="Arial" w:hAnsi="Arial" w:cs="Arial"/>
          <w:color w:val="000000" w:themeColor="text1"/>
          <w:sz w:val="24"/>
          <w:szCs w:val="24"/>
        </w:rPr>
        <w:t xml:space="preserve">According to </w:t>
      </w:r>
      <w:r w:rsidR="00865935" w:rsidRPr="00A33698">
        <w:rPr>
          <w:rFonts w:ascii="Arial" w:hAnsi="Arial" w:cs="Arial"/>
          <w:color w:val="000000" w:themeColor="text1"/>
          <w:sz w:val="24"/>
          <w:szCs w:val="24"/>
        </w:rPr>
        <w:t>Tamplin (2023)</w:t>
      </w:r>
      <w:r w:rsidR="00865935" w:rsidRPr="00A33698">
        <w:rPr>
          <w:rFonts w:ascii="Arial" w:hAnsi="Arial" w:cs="Arial"/>
          <w:sz w:val="24"/>
          <w:szCs w:val="24"/>
        </w:rPr>
        <w:t xml:space="preserve"> t</w:t>
      </w:r>
      <w:r w:rsidR="0005093D" w:rsidRPr="00A33698">
        <w:rPr>
          <w:rFonts w:ascii="Arial" w:hAnsi="Arial" w:cs="Arial"/>
          <w:sz w:val="24"/>
          <w:szCs w:val="24"/>
        </w:rPr>
        <w:t xml:space="preserve">o </w:t>
      </w:r>
      <w:r w:rsidR="0005093D" w:rsidRPr="00A33698">
        <w:rPr>
          <w:rFonts w:ascii="Arial" w:hAnsi="Arial" w:cs="Arial"/>
          <w:b/>
          <w:bCs/>
          <w:sz w:val="24"/>
          <w:szCs w:val="24"/>
        </w:rPr>
        <w:t>manage exchange rate risk</w:t>
      </w:r>
      <w:r w:rsidR="0005093D" w:rsidRPr="00A33698">
        <w:rPr>
          <w:rFonts w:ascii="Arial" w:hAnsi="Arial" w:cs="Arial"/>
          <w:sz w:val="24"/>
          <w:szCs w:val="24"/>
        </w:rPr>
        <w:t xml:space="preserve"> business may use a </w:t>
      </w:r>
      <w:r w:rsidR="0005093D" w:rsidRPr="00A33698">
        <w:rPr>
          <w:rFonts w:ascii="Arial" w:hAnsi="Arial" w:cs="Arial"/>
          <w:b/>
          <w:bCs/>
          <w:sz w:val="24"/>
          <w:szCs w:val="24"/>
        </w:rPr>
        <w:t>formal contract</w:t>
      </w:r>
      <w:r w:rsidR="0005093D" w:rsidRPr="00A33698">
        <w:rPr>
          <w:rFonts w:ascii="Arial" w:hAnsi="Arial" w:cs="Arial"/>
          <w:sz w:val="24"/>
          <w:szCs w:val="24"/>
        </w:rPr>
        <w:t xml:space="preserve"> between two parties to lock in the exchange rate for a future invoice payment to a foreign supplier. This can</w:t>
      </w:r>
      <w:r w:rsidR="00465F7E" w:rsidRPr="00A33698">
        <w:rPr>
          <w:rFonts w:ascii="Arial" w:hAnsi="Arial" w:cs="Arial"/>
          <w:sz w:val="24"/>
          <w:szCs w:val="24"/>
        </w:rPr>
        <w:t xml:space="preserve"> support </w:t>
      </w:r>
      <w:r w:rsidR="0005093D" w:rsidRPr="00A33698">
        <w:rPr>
          <w:rFonts w:ascii="Arial" w:hAnsi="Arial" w:cs="Arial"/>
          <w:sz w:val="24"/>
          <w:szCs w:val="24"/>
        </w:rPr>
        <w:t xml:space="preserve">business to ensure predictable cost and manage the exchange rate risk. Options contracts gives the holder to buy or sell a currency at a </w:t>
      </w:r>
      <w:r w:rsidR="0005093D" w:rsidRPr="00A33698">
        <w:rPr>
          <w:rFonts w:ascii="Arial" w:hAnsi="Arial" w:cs="Arial"/>
          <w:b/>
          <w:bCs/>
          <w:sz w:val="24"/>
          <w:szCs w:val="24"/>
        </w:rPr>
        <w:t>future date</w:t>
      </w:r>
      <w:r w:rsidR="0005093D" w:rsidRPr="00A33698">
        <w:rPr>
          <w:rFonts w:ascii="Arial" w:hAnsi="Arial" w:cs="Arial"/>
          <w:sz w:val="24"/>
          <w:szCs w:val="24"/>
        </w:rPr>
        <w:t xml:space="preserve"> at a </w:t>
      </w:r>
      <w:r w:rsidR="0005093D" w:rsidRPr="00A33698">
        <w:rPr>
          <w:rFonts w:ascii="Arial" w:hAnsi="Arial" w:cs="Arial"/>
          <w:b/>
          <w:bCs/>
          <w:sz w:val="24"/>
          <w:szCs w:val="24"/>
        </w:rPr>
        <w:t>specific price</w:t>
      </w:r>
      <w:r w:rsidR="0005093D" w:rsidRPr="00A33698">
        <w:rPr>
          <w:rFonts w:ascii="Arial" w:hAnsi="Arial" w:cs="Arial"/>
          <w:sz w:val="24"/>
          <w:szCs w:val="24"/>
        </w:rPr>
        <w:t xml:space="preserve"> which provide </w:t>
      </w:r>
      <w:r w:rsidR="0005093D" w:rsidRPr="00A33698">
        <w:rPr>
          <w:rFonts w:ascii="Arial" w:hAnsi="Arial" w:cs="Arial"/>
          <w:b/>
          <w:bCs/>
          <w:sz w:val="24"/>
          <w:szCs w:val="24"/>
        </w:rPr>
        <w:t>protection again losses</w:t>
      </w:r>
      <w:r w:rsidR="0005093D" w:rsidRPr="00A33698">
        <w:rPr>
          <w:rFonts w:ascii="Arial" w:hAnsi="Arial" w:cs="Arial"/>
          <w:sz w:val="24"/>
          <w:szCs w:val="24"/>
        </w:rPr>
        <w:t>. Due to unfavourable exchange rate movement</w:t>
      </w:r>
      <w:r w:rsidR="00D85E50">
        <w:rPr>
          <w:rFonts w:ascii="Arial" w:hAnsi="Arial" w:cs="Arial"/>
          <w:sz w:val="24"/>
          <w:szCs w:val="24"/>
        </w:rPr>
        <w:t>,</w:t>
      </w:r>
      <w:r w:rsidR="0005093D" w:rsidRPr="00A33698">
        <w:rPr>
          <w:rFonts w:ascii="Arial" w:hAnsi="Arial" w:cs="Arial"/>
          <w:sz w:val="24"/>
          <w:szCs w:val="24"/>
        </w:rPr>
        <w:t xml:space="preserve"> an investor </w:t>
      </w:r>
      <w:r w:rsidR="00465F7E" w:rsidRPr="00A33698">
        <w:rPr>
          <w:rFonts w:ascii="Arial" w:hAnsi="Arial" w:cs="Arial"/>
          <w:sz w:val="24"/>
          <w:szCs w:val="24"/>
        </w:rPr>
        <w:t xml:space="preserve">also </w:t>
      </w:r>
      <w:r w:rsidR="0005093D" w:rsidRPr="00A33698">
        <w:rPr>
          <w:rFonts w:ascii="Arial" w:hAnsi="Arial" w:cs="Arial"/>
          <w:sz w:val="24"/>
          <w:szCs w:val="24"/>
        </w:rPr>
        <w:t>may use an optional contract to protect against</w:t>
      </w:r>
      <w:r w:rsidR="00465F7E" w:rsidRPr="00A33698">
        <w:rPr>
          <w:rFonts w:ascii="Arial" w:hAnsi="Arial" w:cs="Arial"/>
          <w:sz w:val="24"/>
          <w:szCs w:val="24"/>
        </w:rPr>
        <w:t xml:space="preserve"> any </w:t>
      </w:r>
      <w:r w:rsidR="0005093D" w:rsidRPr="00A33698">
        <w:rPr>
          <w:rFonts w:ascii="Arial" w:hAnsi="Arial" w:cs="Arial"/>
          <w:sz w:val="24"/>
          <w:szCs w:val="24"/>
        </w:rPr>
        <w:t>potential losses in a foreign investment.</w:t>
      </w:r>
      <w:r w:rsidR="006009BB" w:rsidRPr="00A33698">
        <w:rPr>
          <w:rFonts w:ascii="Arial" w:hAnsi="Arial" w:cs="Arial"/>
          <w:sz w:val="24"/>
          <w:szCs w:val="24"/>
        </w:rPr>
        <w:t xml:space="preserve"> </w:t>
      </w:r>
      <w:proofErr w:type="gramStart"/>
      <w:r w:rsidR="006009BB" w:rsidRPr="00A33698">
        <w:rPr>
          <w:rFonts w:ascii="Arial" w:hAnsi="Arial" w:cs="Arial"/>
          <w:sz w:val="24"/>
          <w:szCs w:val="24"/>
        </w:rPr>
        <w:t>Tamplin(</w:t>
      </w:r>
      <w:proofErr w:type="gramEnd"/>
      <w:r w:rsidR="006009BB" w:rsidRPr="00A33698">
        <w:rPr>
          <w:rFonts w:ascii="Arial" w:hAnsi="Arial" w:cs="Arial"/>
          <w:sz w:val="24"/>
          <w:szCs w:val="24"/>
        </w:rPr>
        <w:t xml:space="preserve">2023), </w:t>
      </w:r>
      <w:r w:rsidRPr="00A33698">
        <w:rPr>
          <w:rFonts w:ascii="Arial" w:hAnsi="Arial" w:cs="Arial"/>
          <w:sz w:val="24"/>
          <w:szCs w:val="24"/>
        </w:rPr>
        <w:t xml:space="preserve">points out that </w:t>
      </w:r>
      <w:r w:rsidR="006009BB" w:rsidRPr="00A33698">
        <w:rPr>
          <w:rFonts w:ascii="Arial" w:hAnsi="Arial" w:cs="Arial"/>
          <w:sz w:val="24"/>
          <w:szCs w:val="24"/>
        </w:rPr>
        <w:t xml:space="preserve">a </w:t>
      </w:r>
      <w:r w:rsidR="006009BB" w:rsidRPr="00A33698">
        <w:rPr>
          <w:rFonts w:ascii="Arial" w:hAnsi="Arial" w:cs="Arial"/>
          <w:b/>
          <w:bCs/>
          <w:sz w:val="24"/>
          <w:szCs w:val="24"/>
        </w:rPr>
        <w:t>currency swap</w:t>
      </w:r>
      <w:r w:rsidR="006009BB" w:rsidRPr="00A33698">
        <w:rPr>
          <w:rFonts w:ascii="Arial" w:hAnsi="Arial" w:cs="Arial"/>
          <w:sz w:val="24"/>
          <w:szCs w:val="24"/>
        </w:rPr>
        <w:t xml:space="preserve"> is also a financial agreement between </w:t>
      </w:r>
      <w:r w:rsidR="006009BB" w:rsidRPr="00A33698">
        <w:rPr>
          <w:rFonts w:ascii="Arial" w:hAnsi="Arial" w:cs="Arial"/>
          <w:sz w:val="24"/>
          <w:szCs w:val="24"/>
        </w:rPr>
        <w:lastRenderedPageBreak/>
        <w:t>two parties to exchange a certain amount of one currency at a predetermined exchange rate for an equivalent amount of another currency</w:t>
      </w:r>
      <w:r w:rsidR="00D4109A" w:rsidRPr="00A33698">
        <w:rPr>
          <w:rFonts w:ascii="Arial" w:hAnsi="Arial" w:cs="Arial"/>
          <w:sz w:val="24"/>
          <w:szCs w:val="24"/>
        </w:rPr>
        <w:t xml:space="preserve"> later.</w:t>
      </w:r>
    </w:p>
    <w:p w14:paraId="236076F9" w14:textId="002D02E6" w:rsidR="0005093D" w:rsidRPr="00A33698" w:rsidRDefault="007248B3" w:rsidP="00A33698">
      <w:pPr>
        <w:spacing w:line="360" w:lineRule="auto"/>
        <w:jc w:val="both"/>
        <w:rPr>
          <w:rFonts w:ascii="Arial" w:hAnsi="Arial" w:cs="Arial"/>
          <w:sz w:val="24"/>
          <w:szCs w:val="24"/>
        </w:rPr>
      </w:pPr>
      <w:r w:rsidRPr="00A33698">
        <w:rPr>
          <w:rFonts w:ascii="Arial" w:hAnsi="Arial" w:cs="Arial"/>
          <w:sz w:val="24"/>
          <w:szCs w:val="24"/>
        </w:rPr>
        <w:t>Tamplin (202</w:t>
      </w:r>
      <w:r w:rsidR="00465E7E">
        <w:rPr>
          <w:rFonts w:ascii="Arial" w:hAnsi="Arial" w:cs="Arial"/>
          <w:sz w:val="24"/>
          <w:szCs w:val="24"/>
        </w:rPr>
        <w:t>3</w:t>
      </w:r>
      <w:r w:rsidRPr="00A33698">
        <w:rPr>
          <w:rFonts w:ascii="Arial" w:hAnsi="Arial" w:cs="Arial"/>
          <w:sz w:val="24"/>
          <w:szCs w:val="24"/>
        </w:rPr>
        <w:t>)</w:t>
      </w:r>
      <w:r w:rsidRPr="00A33698">
        <w:rPr>
          <w:rFonts w:ascii="Arial" w:hAnsi="Arial" w:cs="Arial"/>
          <w:b/>
          <w:bCs/>
          <w:sz w:val="24"/>
          <w:szCs w:val="24"/>
        </w:rPr>
        <w:t xml:space="preserve"> </w:t>
      </w:r>
      <w:r w:rsidRPr="00A33698">
        <w:rPr>
          <w:rFonts w:ascii="Arial" w:hAnsi="Arial" w:cs="Arial"/>
          <w:sz w:val="24"/>
          <w:szCs w:val="24"/>
        </w:rPr>
        <w:t>states that</w:t>
      </w:r>
      <w:r w:rsidRPr="00A33698">
        <w:rPr>
          <w:rFonts w:ascii="Arial" w:hAnsi="Arial" w:cs="Arial"/>
          <w:b/>
          <w:bCs/>
          <w:sz w:val="24"/>
          <w:szCs w:val="24"/>
        </w:rPr>
        <w:t xml:space="preserve"> </w:t>
      </w:r>
      <w:r w:rsidR="0005093D" w:rsidRPr="00A33698">
        <w:rPr>
          <w:rFonts w:ascii="Arial" w:hAnsi="Arial" w:cs="Arial"/>
          <w:b/>
          <w:bCs/>
          <w:sz w:val="24"/>
          <w:szCs w:val="24"/>
        </w:rPr>
        <w:t xml:space="preserve">Diversification </w:t>
      </w:r>
      <w:r w:rsidR="0005093D" w:rsidRPr="00A33698">
        <w:rPr>
          <w:rFonts w:ascii="Arial" w:hAnsi="Arial" w:cs="Arial"/>
          <w:sz w:val="24"/>
          <w:szCs w:val="24"/>
        </w:rPr>
        <w:t xml:space="preserve">also can be used by investor as they may hold their investments in multiple markets and currencies to </w:t>
      </w:r>
      <w:r w:rsidR="006009BB" w:rsidRPr="00A33698">
        <w:rPr>
          <w:rFonts w:ascii="Arial" w:hAnsi="Arial" w:cs="Arial"/>
          <w:sz w:val="24"/>
          <w:szCs w:val="24"/>
        </w:rPr>
        <w:t xml:space="preserve">extend </w:t>
      </w:r>
      <w:r w:rsidR="0005093D" w:rsidRPr="00A33698">
        <w:rPr>
          <w:rFonts w:ascii="Arial" w:hAnsi="Arial" w:cs="Arial"/>
          <w:sz w:val="24"/>
          <w:szCs w:val="24"/>
        </w:rPr>
        <w:t>out their exchange rate risk. By analy</w:t>
      </w:r>
      <w:r w:rsidR="004D68A1" w:rsidRPr="00A33698">
        <w:rPr>
          <w:rFonts w:ascii="Arial" w:hAnsi="Arial" w:cs="Arial"/>
          <w:sz w:val="24"/>
          <w:szCs w:val="24"/>
        </w:rPr>
        <w:t>s</w:t>
      </w:r>
      <w:r w:rsidR="0005093D" w:rsidRPr="00A33698">
        <w:rPr>
          <w:rFonts w:ascii="Arial" w:hAnsi="Arial" w:cs="Arial"/>
          <w:sz w:val="24"/>
          <w:szCs w:val="24"/>
        </w:rPr>
        <w:t>ing political, economic and market factors, investors</w:t>
      </w:r>
      <w:r w:rsidR="006009BB" w:rsidRPr="00A33698">
        <w:rPr>
          <w:rFonts w:ascii="Arial" w:hAnsi="Arial" w:cs="Arial"/>
          <w:sz w:val="24"/>
          <w:szCs w:val="24"/>
        </w:rPr>
        <w:t xml:space="preserve"> as well as </w:t>
      </w:r>
      <w:r w:rsidR="0005093D" w:rsidRPr="00A33698">
        <w:rPr>
          <w:rFonts w:ascii="Arial" w:hAnsi="Arial" w:cs="Arial"/>
          <w:sz w:val="24"/>
          <w:szCs w:val="24"/>
        </w:rPr>
        <w:t>business can make informed decisions about</w:t>
      </w:r>
      <w:r w:rsidR="006009BB" w:rsidRPr="00A33698">
        <w:rPr>
          <w:rFonts w:ascii="Arial" w:hAnsi="Arial" w:cs="Arial"/>
          <w:sz w:val="24"/>
          <w:szCs w:val="24"/>
        </w:rPr>
        <w:t xml:space="preserve"> directing</w:t>
      </w:r>
      <w:r w:rsidR="0005093D" w:rsidRPr="00A33698">
        <w:rPr>
          <w:rFonts w:ascii="Arial" w:hAnsi="Arial" w:cs="Arial"/>
          <w:sz w:val="24"/>
          <w:szCs w:val="24"/>
        </w:rPr>
        <w:t xml:space="preserve"> their exchange rate risk. Technical analysis also can be used to analy</w:t>
      </w:r>
      <w:r w:rsidR="004D68A1" w:rsidRPr="00A33698">
        <w:rPr>
          <w:rFonts w:ascii="Arial" w:hAnsi="Arial" w:cs="Arial"/>
          <w:sz w:val="24"/>
          <w:szCs w:val="24"/>
        </w:rPr>
        <w:t>s</w:t>
      </w:r>
      <w:r w:rsidR="0005093D" w:rsidRPr="00A33698">
        <w:rPr>
          <w:rFonts w:ascii="Arial" w:hAnsi="Arial" w:cs="Arial"/>
          <w:sz w:val="24"/>
          <w:szCs w:val="24"/>
        </w:rPr>
        <w:t xml:space="preserve">e exchange rate trends and to decide whether to </w:t>
      </w:r>
      <w:r w:rsidR="006009BB" w:rsidRPr="00A33698">
        <w:rPr>
          <w:rFonts w:ascii="Arial" w:hAnsi="Arial" w:cs="Arial"/>
          <w:sz w:val="24"/>
          <w:szCs w:val="24"/>
        </w:rPr>
        <w:t>go in</w:t>
      </w:r>
      <w:r w:rsidR="0005093D" w:rsidRPr="00A33698">
        <w:rPr>
          <w:rFonts w:ascii="Arial" w:hAnsi="Arial" w:cs="Arial"/>
          <w:sz w:val="24"/>
          <w:szCs w:val="24"/>
        </w:rPr>
        <w:t xml:space="preserve"> or </w:t>
      </w:r>
      <w:r w:rsidR="006009BB" w:rsidRPr="00A33698">
        <w:rPr>
          <w:rFonts w:ascii="Arial" w:hAnsi="Arial" w:cs="Arial"/>
          <w:sz w:val="24"/>
          <w:szCs w:val="24"/>
        </w:rPr>
        <w:t xml:space="preserve">out </w:t>
      </w:r>
      <w:r w:rsidR="0005093D" w:rsidRPr="00A33698">
        <w:rPr>
          <w:rFonts w:ascii="Arial" w:hAnsi="Arial" w:cs="Arial"/>
          <w:sz w:val="24"/>
          <w:szCs w:val="24"/>
        </w:rPr>
        <w:t xml:space="preserve">foreign investment. Exchange rate risk is a crucial financial and investment concept for business and investors in international markets. Effective management involves </w:t>
      </w:r>
      <w:r w:rsidR="0005093D" w:rsidRPr="00A33698">
        <w:rPr>
          <w:rFonts w:ascii="Arial" w:hAnsi="Arial" w:cs="Arial"/>
          <w:b/>
          <w:bCs/>
          <w:sz w:val="24"/>
          <w:szCs w:val="24"/>
        </w:rPr>
        <w:t xml:space="preserve">strategies </w:t>
      </w:r>
      <w:r w:rsidR="0005093D" w:rsidRPr="00A33698">
        <w:rPr>
          <w:rFonts w:ascii="Arial" w:hAnsi="Arial" w:cs="Arial"/>
          <w:sz w:val="24"/>
          <w:szCs w:val="24"/>
        </w:rPr>
        <w:t>like forward contracts, options contract, currency swap, diversification, and forecasting. It also impact</w:t>
      </w:r>
      <w:r w:rsidR="004C3043" w:rsidRPr="00A33698">
        <w:rPr>
          <w:rFonts w:ascii="Arial" w:hAnsi="Arial" w:cs="Arial"/>
          <w:sz w:val="24"/>
          <w:szCs w:val="24"/>
        </w:rPr>
        <w:t>s</w:t>
      </w:r>
      <w:r w:rsidR="0005093D" w:rsidRPr="00A33698">
        <w:rPr>
          <w:rFonts w:ascii="Arial" w:hAnsi="Arial" w:cs="Arial"/>
          <w:sz w:val="24"/>
          <w:szCs w:val="24"/>
        </w:rPr>
        <w:t xml:space="preserve"> portfolio risk and asset allocation decisions</w:t>
      </w:r>
      <w:r w:rsidR="004D68A1" w:rsidRPr="00A33698">
        <w:rPr>
          <w:rFonts w:ascii="Arial" w:hAnsi="Arial" w:cs="Arial"/>
          <w:sz w:val="24"/>
          <w:szCs w:val="24"/>
        </w:rPr>
        <w:t xml:space="preserve"> (</w:t>
      </w:r>
      <w:bookmarkStart w:id="1" w:name="_Hlk161660236"/>
      <w:r w:rsidR="004D68A1" w:rsidRPr="00A33698">
        <w:rPr>
          <w:rFonts w:ascii="Arial" w:hAnsi="Arial" w:cs="Arial"/>
          <w:sz w:val="24"/>
          <w:szCs w:val="24"/>
        </w:rPr>
        <w:t>Tamplin ,2023)</w:t>
      </w:r>
      <w:bookmarkEnd w:id="1"/>
      <w:r w:rsidR="008222D3" w:rsidRPr="00A33698">
        <w:rPr>
          <w:rFonts w:ascii="Arial" w:hAnsi="Arial" w:cs="Arial"/>
          <w:sz w:val="24"/>
          <w:szCs w:val="24"/>
        </w:rPr>
        <w:t>.</w:t>
      </w:r>
    </w:p>
    <w:p w14:paraId="3EDF864F" w14:textId="0D60F3F4" w:rsidR="000A5331" w:rsidRPr="00A33698" w:rsidRDefault="00260C5C" w:rsidP="00A33698">
      <w:pPr>
        <w:spacing w:line="360" w:lineRule="auto"/>
        <w:jc w:val="both"/>
        <w:rPr>
          <w:rFonts w:ascii="Arial" w:hAnsi="Arial" w:cs="Arial"/>
          <w:sz w:val="24"/>
          <w:szCs w:val="24"/>
        </w:rPr>
      </w:pPr>
      <w:r w:rsidRPr="00A33698">
        <w:rPr>
          <w:rFonts w:ascii="Arial" w:hAnsi="Arial" w:cs="Arial"/>
          <w:color w:val="000000" w:themeColor="text1"/>
          <w:sz w:val="24"/>
          <w:szCs w:val="24"/>
        </w:rPr>
        <w:t xml:space="preserve">According to </w:t>
      </w:r>
      <w:r w:rsidRPr="00A33698">
        <w:rPr>
          <w:rFonts w:ascii="Arial" w:hAnsi="Arial" w:cs="Arial"/>
          <w:sz w:val="24"/>
          <w:szCs w:val="24"/>
        </w:rPr>
        <w:t>Fresh</w:t>
      </w:r>
      <w:r w:rsidR="00D4109A" w:rsidRPr="00A33698">
        <w:rPr>
          <w:rFonts w:ascii="Arial" w:hAnsi="Arial" w:cs="Arial"/>
          <w:sz w:val="24"/>
          <w:szCs w:val="24"/>
        </w:rPr>
        <w:t>B</w:t>
      </w:r>
      <w:r w:rsidRPr="00A33698">
        <w:rPr>
          <w:rFonts w:ascii="Arial" w:hAnsi="Arial" w:cs="Arial"/>
          <w:sz w:val="24"/>
          <w:szCs w:val="24"/>
        </w:rPr>
        <w:t>ooks</w:t>
      </w:r>
      <w:r w:rsidR="006E6202" w:rsidRPr="00A33698">
        <w:rPr>
          <w:rFonts w:ascii="Arial" w:hAnsi="Arial" w:cs="Arial"/>
          <w:sz w:val="24"/>
          <w:szCs w:val="24"/>
        </w:rPr>
        <w:t xml:space="preserve"> </w:t>
      </w:r>
      <w:r w:rsidRPr="00A33698">
        <w:rPr>
          <w:rFonts w:ascii="Arial" w:hAnsi="Arial" w:cs="Arial"/>
          <w:sz w:val="24"/>
          <w:szCs w:val="24"/>
        </w:rPr>
        <w:t>(2024)</w:t>
      </w:r>
      <w:r w:rsidR="006E6202" w:rsidRPr="00A33698">
        <w:rPr>
          <w:rFonts w:ascii="Arial" w:hAnsi="Arial" w:cs="Arial"/>
          <w:sz w:val="24"/>
          <w:szCs w:val="24"/>
        </w:rPr>
        <w:t xml:space="preserve"> the exchange rate risk from financing with bonds in foreign currencies can be </w:t>
      </w:r>
      <w:r w:rsidR="006D6CC6">
        <w:rPr>
          <w:rFonts w:ascii="Arial" w:hAnsi="Arial" w:cs="Arial"/>
          <w:sz w:val="24"/>
          <w:szCs w:val="24"/>
        </w:rPr>
        <w:t>reduced</w:t>
      </w:r>
      <w:r w:rsidR="006009BB" w:rsidRPr="00A33698">
        <w:rPr>
          <w:rFonts w:ascii="Arial" w:hAnsi="Arial" w:cs="Arial"/>
          <w:sz w:val="24"/>
          <w:szCs w:val="24"/>
        </w:rPr>
        <w:t xml:space="preserve"> </w:t>
      </w:r>
      <w:r w:rsidR="006E6202" w:rsidRPr="00A33698">
        <w:rPr>
          <w:rFonts w:ascii="Arial" w:hAnsi="Arial" w:cs="Arial"/>
          <w:sz w:val="24"/>
          <w:szCs w:val="24"/>
        </w:rPr>
        <w:t xml:space="preserve">by using </w:t>
      </w:r>
      <w:r w:rsidR="006E6202" w:rsidRPr="00A33698">
        <w:rPr>
          <w:rFonts w:ascii="Arial" w:hAnsi="Arial" w:cs="Arial"/>
          <w:b/>
          <w:bCs/>
          <w:sz w:val="24"/>
          <w:szCs w:val="24"/>
        </w:rPr>
        <w:t>parallel loan</w:t>
      </w:r>
      <w:r w:rsidR="006009BB" w:rsidRPr="00A33698">
        <w:rPr>
          <w:rFonts w:ascii="Arial" w:hAnsi="Arial" w:cs="Arial"/>
          <w:b/>
          <w:bCs/>
          <w:sz w:val="24"/>
          <w:szCs w:val="24"/>
        </w:rPr>
        <w:t xml:space="preserve"> (or back-to back)</w:t>
      </w:r>
      <w:r w:rsidR="006E6202" w:rsidRPr="00A33698">
        <w:rPr>
          <w:rFonts w:ascii="Arial" w:hAnsi="Arial" w:cs="Arial"/>
          <w:b/>
          <w:bCs/>
          <w:sz w:val="24"/>
          <w:szCs w:val="24"/>
        </w:rPr>
        <w:t>.</w:t>
      </w:r>
      <w:r w:rsidR="008C7546" w:rsidRPr="00A33698">
        <w:rPr>
          <w:rFonts w:ascii="Arial" w:hAnsi="Arial" w:cs="Arial"/>
          <w:b/>
          <w:bCs/>
          <w:sz w:val="24"/>
          <w:szCs w:val="24"/>
        </w:rPr>
        <w:t xml:space="preserve"> </w:t>
      </w:r>
      <w:r w:rsidR="008C7546" w:rsidRPr="00A33698">
        <w:rPr>
          <w:rFonts w:ascii="Arial" w:hAnsi="Arial" w:cs="Arial"/>
          <w:sz w:val="24"/>
          <w:szCs w:val="24"/>
        </w:rPr>
        <w:t>A parallel loan is a four-party agreement in which a two-parent company can borrow in their local currencies in different countries and lend that money to the other’s local subsidiary. It aims to</w:t>
      </w:r>
      <w:r w:rsidR="006D6CC6">
        <w:rPr>
          <w:rFonts w:ascii="Arial" w:hAnsi="Arial" w:cs="Arial"/>
          <w:sz w:val="24"/>
          <w:szCs w:val="24"/>
        </w:rPr>
        <w:t xml:space="preserve"> stay away from </w:t>
      </w:r>
      <w:r w:rsidR="008C7546" w:rsidRPr="00A33698">
        <w:rPr>
          <w:rFonts w:ascii="Arial" w:hAnsi="Arial" w:cs="Arial"/>
          <w:sz w:val="24"/>
          <w:szCs w:val="24"/>
        </w:rPr>
        <w:t>borrowing money across country lines with fees and limits.</w:t>
      </w:r>
      <w:r w:rsidR="0041283B" w:rsidRPr="00A33698">
        <w:rPr>
          <w:rFonts w:ascii="Arial" w:hAnsi="Arial" w:cs="Arial"/>
          <w:sz w:val="24"/>
          <w:szCs w:val="24"/>
        </w:rPr>
        <w:t xml:space="preserve"> </w:t>
      </w:r>
      <w:r w:rsidR="00B53489" w:rsidRPr="00A33698">
        <w:rPr>
          <w:rFonts w:ascii="Arial" w:hAnsi="Arial" w:cs="Arial"/>
          <w:color w:val="000000" w:themeColor="text1"/>
          <w:sz w:val="24"/>
          <w:szCs w:val="24"/>
        </w:rPr>
        <w:t xml:space="preserve">Papaioannou (2006) </w:t>
      </w:r>
      <w:r w:rsidR="000A5331" w:rsidRPr="00A33698">
        <w:rPr>
          <w:rFonts w:ascii="Arial" w:hAnsi="Arial" w:cs="Arial"/>
          <w:sz w:val="24"/>
          <w:szCs w:val="24"/>
        </w:rPr>
        <w:t xml:space="preserve">states that </w:t>
      </w:r>
      <w:r w:rsidR="000A5331" w:rsidRPr="00A33698">
        <w:rPr>
          <w:rFonts w:ascii="Arial" w:hAnsi="Arial" w:cs="Arial"/>
          <w:b/>
          <w:bCs/>
          <w:sz w:val="24"/>
          <w:szCs w:val="24"/>
        </w:rPr>
        <w:t>derivatives</w:t>
      </w:r>
      <w:r w:rsidR="000A5331" w:rsidRPr="00A33698">
        <w:rPr>
          <w:rFonts w:ascii="Arial" w:hAnsi="Arial" w:cs="Arial"/>
          <w:sz w:val="24"/>
          <w:szCs w:val="24"/>
        </w:rPr>
        <w:t xml:space="preserve"> are</w:t>
      </w:r>
      <w:r w:rsidR="00D85E50">
        <w:rPr>
          <w:rFonts w:ascii="Arial" w:hAnsi="Arial" w:cs="Arial"/>
          <w:sz w:val="24"/>
          <w:szCs w:val="24"/>
        </w:rPr>
        <w:t xml:space="preserve"> </w:t>
      </w:r>
      <w:r w:rsidR="000A5331" w:rsidRPr="00A33698">
        <w:rPr>
          <w:rFonts w:ascii="Arial" w:hAnsi="Arial" w:cs="Arial"/>
          <w:sz w:val="24"/>
          <w:szCs w:val="24"/>
        </w:rPr>
        <w:t xml:space="preserve">the </w:t>
      </w:r>
      <w:r w:rsidR="000A5331" w:rsidRPr="00A33698">
        <w:rPr>
          <w:rFonts w:ascii="Arial" w:hAnsi="Arial" w:cs="Arial"/>
          <w:b/>
          <w:bCs/>
          <w:sz w:val="24"/>
          <w:szCs w:val="24"/>
        </w:rPr>
        <w:t>main hedging</w:t>
      </w:r>
      <w:r w:rsidR="000A5331" w:rsidRPr="00A33698">
        <w:rPr>
          <w:rFonts w:ascii="Arial" w:hAnsi="Arial" w:cs="Arial"/>
          <w:sz w:val="24"/>
          <w:szCs w:val="24"/>
        </w:rPr>
        <w:t xml:space="preserve"> </w:t>
      </w:r>
      <w:r w:rsidR="000A5331" w:rsidRPr="00A33698">
        <w:rPr>
          <w:rFonts w:ascii="Arial" w:hAnsi="Arial" w:cs="Arial"/>
          <w:b/>
          <w:bCs/>
          <w:sz w:val="24"/>
          <w:szCs w:val="24"/>
        </w:rPr>
        <w:t>instrument</w:t>
      </w:r>
      <w:r w:rsidR="000A5331" w:rsidRPr="00A33698">
        <w:rPr>
          <w:rFonts w:ascii="Arial" w:hAnsi="Arial" w:cs="Arial"/>
          <w:sz w:val="24"/>
          <w:szCs w:val="24"/>
        </w:rPr>
        <w:t xml:space="preserve"> </w:t>
      </w:r>
      <w:r w:rsidR="0018455D" w:rsidRPr="00A33698">
        <w:rPr>
          <w:rFonts w:ascii="Arial" w:hAnsi="Arial" w:cs="Arial"/>
          <w:b/>
          <w:bCs/>
          <w:sz w:val="24"/>
          <w:szCs w:val="24"/>
        </w:rPr>
        <w:t>for most firms in their risk management</w:t>
      </w:r>
      <w:r w:rsidR="0041283B" w:rsidRPr="00A33698">
        <w:rPr>
          <w:rFonts w:ascii="Arial" w:hAnsi="Arial" w:cs="Arial"/>
          <w:b/>
          <w:bCs/>
          <w:sz w:val="24"/>
          <w:szCs w:val="24"/>
        </w:rPr>
        <w:t xml:space="preserve">. </w:t>
      </w:r>
    </w:p>
    <w:p w14:paraId="5DC6F0A9" w14:textId="65E4647E" w:rsidR="00E96FBD" w:rsidRPr="00A33698" w:rsidRDefault="00A57E32" w:rsidP="00A33698">
      <w:pPr>
        <w:spacing w:line="360" w:lineRule="auto"/>
        <w:jc w:val="both"/>
        <w:rPr>
          <w:rFonts w:ascii="Arial" w:hAnsi="Arial" w:cs="Arial"/>
          <w:b/>
          <w:bCs/>
          <w:sz w:val="24"/>
          <w:szCs w:val="24"/>
        </w:rPr>
      </w:pPr>
      <w:r w:rsidRPr="00A33698">
        <w:rPr>
          <w:rFonts w:ascii="Arial" w:hAnsi="Arial" w:cs="Arial"/>
          <w:b/>
          <w:bCs/>
          <w:sz w:val="24"/>
          <w:szCs w:val="24"/>
        </w:rPr>
        <w:t xml:space="preserve">Purchasing Power Parity </w:t>
      </w:r>
      <w:r w:rsidR="00151147" w:rsidRPr="00A33698">
        <w:rPr>
          <w:rFonts w:ascii="Arial" w:hAnsi="Arial" w:cs="Arial"/>
          <w:b/>
          <w:bCs/>
          <w:sz w:val="24"/>
          <w:szCs w:val="24"/>
        </w:rPr>
        <w:t xml:space="preserve">as a method for forecasting exchange rate </w:t>
      </w:r>
    </w:p>
    <w:p w14:paraId="727C1480" w14:textId="7A545404" w:rsidR="008222D3" w:rsidRPr="00A33698" w:rsidRDefault="00151147" w:rsidP="00A33698">
      <w:pPr>
        <w:spacing w:line="360" w:lineRule="auto"/>
        <w:jc w:val="both"/>
        <w:rPr>
          <w:rFonts w:ascii="Arial" w:hAnsi="Arial" w:cs="Arial"/>
          <w:sz w:val="24"/>
          <w:szCs w:val="24"/>
        </w:rPr>
      </w:pPr>
      <w:r w:rsidRPr="00A33698">
        <w:rPr>
          <w:rFonts w:ascii="Arial" w:hAnsi="Arial" w:cs="Arial"/>
          <w:sz w:val="24"/>
          <w:szCs w:val="24"/>
        </w:rPr>
        <w:t xml:space="preserve">According to </w:t>
      </w:r>
      <w:bookmarkStart w:id="2" w:name="_Hlk161956322"/>
      <w:r w:rsidRPr="00A33698">
        <w:rPr>
          <w:rFonts w:ascii="Arial" w:hAnsi="Arial" w:cs="Arial"/>
          <w:sz w:val="24"/>
          <w:szCs w:val="24"/>
        </w:rPr>
        <w:t xml:space="preserve">Bekaert (2013), </w:t>
      </w:r>
      <w:bookmarkEnd w:id="2"/>
      <w:r w:rsidRPr="00A33698">
        <w:rPr>
          <w:rFonts w:ascii="Arial" w:hAnsi="Arial" w:cs="Arial"/>
          <w:b/>
          <w:bCs/>
          <w:sz w:val="24"/>
          <w:szCs w:val="24"/>
        </w:rPr>
        <w:t>purchasing power parity</w:t>
      </w:r>
      <w:r w:rsidRPr="00A33698">
        <w:rPr>
          <w:rFonts w:ascii="Arial" w:hAnsi="Arial" w:cs="Arial"/>
          <w:sz w:val="24"/>
          <w:szCs w:val="24"/>
        </w:rPr>
        <w:t xml:space="preserve"> (PPP) provides insights into the relative purchasing power of currencies and </w:t>
      </w:r>
      <w:r w:rsidRPr="00A33698">
        <w:rPr>
          <w:rFonts w:ascii="Arial" w:hAnsi="Arial" w:cs="Arial"/>
          <w:b/>
          <w:bCs/>
          <w:sz w:val="24"/>
          <w:szCs w:val="24"/>
        </w:rPr>
        <w:t>forecasts future cash flows</w:t>
      </w:r>
      <w:r w:rsidRPr="00A33698">
        <w:rPr>
          <w:rFonts w:ascii="Arial" w:hAnsi="Arial" w:cs="Arial"/>
          <w:sz w:val="24"/>
          <w:szCs w:val="24"/>
        </w:rPr>
        <w:t xml:space="preserve"> in different currencies when</w:t>
      </w:r>
      <w:r w:rsidR="00B969BE" w:rsidRPr="00A33698">
        <w:rPr>
          <w:rFonts w:ascii="Arial" w:hAnsi="Arial" w:cs="Arial"/>
          <w:sz w:val="24"/>
          <w:szCs w:val="24"/>
        </w:rPr>
        <w:t xml:space="preserve"> particularly</w:t>
      </w:r>
      <w:r w:rsidRPr="00A33698">
        <w:rPr>
          <w:rFonts w:ascii="Arial" w:hAnsi="Arial" w:cs="Arial"/>
          <w:sz w:val="24"/>
          <w:szCs w:val="24"/>
        </w:rPr>
        <w:t xml:space="preserve"> inflation rates </w:t>
      </w:r>
      <w:r w:rsidR="00B969BE" w:rsidRPr="00A33698">
        <w:rPr>
          <w:rFonts w:ascii="Arial" w:hAnsi="Arial" w:cs="Arial"/>
          <w:sz w:val="24"/>
          <w:szCs w:val="24"/>
        </w:rPr>
        <w:t>distinct</w:t>
      </w:r>
      <w:r w:rsidRPr="00A33698">
        <w:rPr>
          <w:rFonts w:ascii="Arial" w:hAnsi="Arial" w:cs="Arial"/>
          <w:sz w:val="24"/>
          <w:szCs w:val="24"/>
        </w:rPr>
        <w:t xml:space="preserve"> across these countries. Purchasing power parity plays </w:t>
      </w:r>
      <w:r w:rsidRPr="00A33698">
        <w:rPr>
          <w:rFonts w:ascii="Arial" w:hAnsi="Arial" w:cs="Arial"/>
          <w:b/>
          <w:bCs/>
          <w:sz w:val="24"/>
          <w:szCs w:val="24"/>
        </w:rPr>
        <w:t>a</w:t>
      </w:r>
      <w:r w:rsidR="00D4109A" w:rsidRPr="00A33698">
        <w:rPr>
          <w:rFonts w:ascii="Arial" w:hAnsi="Arial" w:cs="Arial"/>
          <w:b/>
          <w:bCs/>
          <w:sz w:val="24"/>
          <w:szCs w:val="24"/>
        </w:rPr>
        <w:t xml:space="preserve"> key </w:t>
      </w:r>
      <w:r w:rsidRPr="00A33698">
        <w:rPr>
          <w:rFonts w:ascii="Arial" w:hAnsi="Arial" w:cs="Arial"/>
          <w:b/>
          <w:bCs/>
          <w:sz w:val="24"/>
          <w:szCs w:val="24"/>
        </w:rPr>
        <w:t>role</w:t>
      </w:r>
      <w:r w:rsidRPr="00A33698">
        <w:rPr>
          <w:rFonts w:ascii="Arial" w:hAnsi="Arial" w:cs="Arial"/>
          <w:sz w:val="24"/>
          <w:szCs w:val="24"/>
        </w:rPr>
        <w:t xml:space="preserve"> in co</w:t>
      </w:r>
      <w:r w:rsidR="006D6CC6">
        <w:rPr>
          <w:rFonts w:ascii="Arial" w:hAnsi="Arial" w:cs="Arial"/>
          <w:sz w:val="24"/>
          <w:szCs w:val="24"/>
        </w:rPr>
        <w:t>llective</w:t>
      </w:r>
      <w:r w:rsidRPr="00A33698">
        <w:rPr>
          <w:rFonts w:ascii="Arial" w:hAnsi="Arial" w:cs="Arial"/>
          <w:sz w:val="24"/>
          <w:szCs w:val="24"/>
        </w:rPr>
        <w:t xml:space="preserve"> decision-making in international capital, and budgeting issues and understanding the </w:t>
      </w:r>
      <w:r w:rsidRPr="00A33698">
        <w:rPr>
          <w:rFonts w:ascii="Arial" w:hAnsi="Arial" w:cs="Arial"/>
          <w:b/>
          <w:bCs/>
          <w:sz w:val="24"/>
          <w:szCs w:val="24"/>
        </w:rPr>
        <w:t>theory of purchasing power parity</w:t>
      </w:r>
      <w:r w:rsidRPr="00A33698">
        <w:rPr>
          <w:rFonts w:ascii="Arial" w:hAnsi="Arial" w:cs="Arial"/>
          <w:sz w:val="24"/>
          <w:szCs w:val="24"/>
        </w:rPr>
        <w:t xml:space="preserve"> is vital as significantly affects the profitability of firms. Purchasing Power Parity is an economic theory which allows to be compared the relative value of currencies between different countries</w:t>
      </w:r>
      <w:r w:rsidR="008222D3" w:rsidRPr="00A33698">
        <w:rPr>
          <w:rFonts w:ascii="Arial" w:hAnsi="Arial" w:cs="Arial"/>
          <w:b/>
          <w:bCs/>
          <w:sz w:val="24"/>
          <w:szCs w:val="24"/>
        </w:rPr>
        <w:t xml:space="preserve"> </w:t>
      </w:r>
      <w:r w:rsidR="008222D3" w:rsidRPr="00A33698">
        <w:rPr>
          <w:rFonts w:ascii="Arial" w:hAnsi="Arial" w:cs="Arial"/>
          <w:sz w:val="24"/>
          <w:szCs w:val="24"/>
        </w:rPr>
        <w:t>(Bekaert, 2013).</w:t>
      </w:r>
    </w:p>
    <w:p w14:paraId="21C26296" w14:textId="53750ED2" w:rsidR="002F0368" w:rsidRPr="00A33698" w:rsidRDefault="00151147" w:rsidP="00A33698">
      <w:pPr>
        <w:spacing w:line="360" w:lineRule="auto"/>
        <w:jc w:val="both"/>
        <w:rPr>
          <w:rFonts w:ascii="Arial" w:hAnsi="Arial" w:cs="Arial"/>
          <w:b/>
          <w:bCs/>
          <w:sz w:val="24"/>
          <w:szCs w:val="24"/>
        </w:rPr>
      </w:pPr>
      <w:r w:rsidRPr="00A33698">
        <w:rPr>
          <w:rFonts w:ascii="Arial" w:hAnsi="Arial" w:cs="Arial"/>
          <w:sz w:val="24"/>
          <w:szCs w:val="24"/>
        </w:rPr>
        <w:t xml:space="preserve"> </w:t>
      </w:r>
      <w:bookmarkStart w:id="3" w:name="_Hlk161832981"/>
      <w:r w:rsidRPr="00A33698">
        <w:rPr>
          <w:rFonts w:ascii="Arial" w:hAnsi="Arial" w:cs="Arial"/>
          <w:sz w:val="24"/>
          <w:szCs w:val="24"/>
        </w:rPr>
        <w:t xml:space="preserve">Bekaert (2013) </w:t>
      </w:r>
      <w:bookmarkEnd w:id="3"/>
      <w:r w:rsidRPr="00A33698">
        <w:rPr>
          <w:rFonts w:ascii="Arial" w:hAnsi="Arial" w:cs="Arial"/>
          <w:sz w:val="24"/>
          <w:szCs w:val="24"/>
        </w:rPr>
        <w:t xml:space="preserve">states that Purchasing power parity is also used to compare standards of living across nations and economic productivity and it involves an economic theory which looks at how different countries’ currencies would convert into each other to purchase the same basket of goods. It is an exchange rate at which on nation’s </w:t>
      </w:r>
      <w:r w:rsidRPr="00A33698">
        <w:rPr>
          <w:rFonts w:ascii="Arial" w:hAnsi="Arial" w:cs="Arial"/>
          <w:sz w:val="24"/>
          <w:szCs w:val="24"/>
        </w:rPr>
        <w:lastRenderedPageBreak/>
        <w:t xml:space="preserve">currency would buy the same quality as another nation’s currency of a large group of products. </w:t>
      </w:r>
      <w:r w:rsidRPr="00A33698">
        <w:rPr>
          <w:rFonts w:ascii="Arial" w:hAnsi="Arial" w:cs="Arial"/>
          <w:b/>
          <w:bCs/>
          <w:sz w:val="24"/>
          <w:szCs w:val="24"/>
        </w:rPr>
        <w:t>Equilibrium</w:t>
      </w:r>
      <w:r w:rsidRPr="00A33698">
        <w:rPr>
          <w:rFonts w:ascii="Arial" w:hAnsi="Arial" w:cs="Arial"/>
          <w:sz w:val="24"/>
          <w:szCs w:val="24"/>
        </w:rPr>
        <w:t xml:space="preserve"> is when exchange rate of two currencies is such that a basket of goods costs the</w:t>
      </w:r>
      <w:r w:rsidRPr="00A33698">
        <w:rPr>
          <w:rFonts w:ascii="Arial" w:hAnsi="Arial" w:cs="Arial"/>
          <w:b/>
          <w:bCs/>
          <w:sz w:val="24"/>
          <w:szCs w:val="24"/>
        </w:rPr>
        <w:t xml:space="preserve"> same</w:t>
      </w:r>
      <w:r w:rsidRPr="00A33698">
        <w:rPr>
          <w:rFonts w:ascii="Arial" w:hAnsi="Arial" w:cs="Arial"/>
          <w:sz w:val="24"/>
          <w:szCs w:val="24"/>
        </w:rPr>
        <w:t xml:space="preserve"> in both countries, according for the exchange rate. Therefore, with purchasing power parity can be understand how far a currency’s purchasing power extends in different countries as well as helping to make meaningful cross- country comparisons. One of the most widely used method for </w:t>
      </w:r>
      <w:r w:rsidRPr="00A33698">
        <w:rPr>
          <w:rFonts w:ascii="Arial" w:hAnsi="Arial" w:cs="Arial"/>
          <w:b/>
          <w:bCs/>
          <w:sz w:val="24"/>
          <w:szCs w:val="24"/>
        </w:rPr>
        <w:t xml:space="preserve">forecasting </w:t>
      </w:r>
      <w:r w:rsidRPr="00A33698">
        <w:rPr>
          <w:rFonts w:ascii="Arial" w:hAnsi="Arial" w:cs="Arial"/>
          <w:sz w:val="24"/>
          <w:szCs w:val="24"/>
        </w:rPr>
        <w:t xml:space="preserve">exchange rate in </w:t>
      </w:r>
      <w:r w:rsidRPr="00A33698">
        <w:rPr>
          <w:rFonts w:ascii="Arial" w:hAnsi="Arial" w:cs="Arial"/>
          <w:b/>
          <w:bCs/>
          <w:sz w:val="24"/>
          <w:szCs w:val="24"/>
        </w:rPr>
        <w:t>Purchasing Power Parity</w:t>
      </w:r>
      <w:r w:rsidRPr="00A33698">
        <w:rPr>
          <w:rFonts w:ascii="Arial" w:hAnsi="Arial" w:cs="Arial"/>
          <w:sz w:val="24"/>
          <w:szCs w:val="24"/>
        </w:rPr>
        <w:t xml:space="preserve"> as it looks at the prices of services and goods in different countries and is </w:t>
      </w:r>
      <w:r w:rsidRPr="00A33698">
        <w:rPr>
          <w:rFonts w:ascii="Arial" w:hAnsi="Arial" w:cs="Arial"/>
          <w:b/>
          <w:bCs/>
          <w:sz w:val="24"/>
          <w:szCs w:val="24"/>
        </w:rPr>
        <w:t>more accurate over long term</w:t>
      </w:r>
      <w:r w:rsidR="0075316C" w:rsidRPr="00A33698">
        <w:rPr>
          <w:rFonts w:ascii="Arial" w:hAnsi="Arial" w:cs="Arial"/>
          <w:sz w:val="24"/>
          <w:szCs w:val="24"/>
        </w:rPr>
        <w:t xml:space="preserve"> (</w:t>
      </w:r>
      <w:r w:rsidRPr="00A33698">
        <w:rPr>
          <w:rFonts w:ascii="Arial" w:hAnsi="Arial" w:cs="Arial"/>
          <w:sz w:val="24"/>
          <w:szCs w:val="24"/>
        </w:rPr>
        <w:t>Bekaert</w:t>
      </w:r>
      <w:r w:rsidR="0075316C" w:rsidRPr="00A33698">
        <w:rPr>
          <w:rFonts w:ascii="Arial" w:hAnsi="Arial" w:cs="Arial"/>
          <w:sz w:val="24"/>
          <w:szCs w:val="24"/>
        </w:rPr>
        <w:t>,2</w:t>
      </w:r>
      <w:r w:rsidRPr="00A33698">
        <w:rPr>
          <w:rFonts w:ascii="Arial" w:hAnsi="Arial" w:cs="Arial"/>
          <w:sz w:val="24"/>
          <w:szCs w:val="24"/>
        </w:rPr>
        <w:t>013)</w:t>
      </w:r>
      <w:r w:rsidR="00A33698">
        <w:rPr>
          <w:rFonts w:ascii="Arial" w:hAnsi="Arial" w:cs="Arial"/>
          <w:sz w:val="24"/>
          <w:szCs w:val="24"/>
        </w:rPr>
        <w:t>.</w:t>
      </w:r>
    </w:p>
    <w:p w14:paraId="2697EE0E" w14:textId="5564ECB2" w:rsidR="008545C5" w:rsidRPr="00A33698" w:rsidRDefault="008545C5" w:rsidP="00A33698">
      <w:pPr>
        <w:spacing w:line="360" w:lineRule="auto"/>
        <w:jc w:val="both"/>
        <w:rPr>
          <w:rFonts w:ascii="Arial" w:hAnsi="Arial" w:cs="Arial"/>
          <w:b/>
          <w:bCs/>
          <w:sz w:val="24"/>
          <w:szCs w:val="24"/>
        </w:rPr>
      </w:pPr>
      <w:r w:rsidRPr="00A33698">
        <w:rPr>
          <w:rFonts w:ascii="Arial" w:hAnsi="Arial" w:cs="Arial"/>
          <w:b/>
          <w:bCs/>
          <w:sz w:val="24"/>
          <w:szCs w:val="24"/>
        </w:rPr>
        <w:t>Conclusion</w:t>
      </w:r>
    </w:p>
    <w:p w14:paraId="7D66EE37" w14:textId="73968E95" w:rsidR="00D4109A" w:rsidRPr="00A33698" w:rsidRDefault="008D7A7E" w:rsidP="00A33698">
      <w:pPr>
        <w:spacing w:line="360" w:lineRule="auto"/>
        <w:jc w:val="both"/>
        <w:rPr>
          <w:rFonts w:ascii="Arial" w:hAnsi="Arial" w:cs="Arial"/>
          <w:sz w:val="24"/>
          <w:szCs w:val="24"/>
        </w:rPr>
      </w:pPr>
      <w:r w:rsidRPr="00A33698">
        <w:rPr>
          <w:rFonts w:ascii="Arial" w:hAnsi="Arial" w:cs="Arial"/>
          <w:sz w:val="24"/>
          <w:szCs w:val="24"/>
        </w:rPr>
        <w:t>From the proof above, managing and measuring currency risk exposure is an essential function in decreasing a</w:t>
      </w:r>
      <w:r w:rsidR="00FC4960">
        <w:rPr>
          <w:rFonts w:ascii="Arial" w:hAnsi="Arial" w:cs="Arial"/>
          <w:sz w:val="24"/>
          <w:szCs w:val="24"/>
        </w:rPr>
        <w:t>n organisation</w:t>
      </w:r>
      <w:r w:rsidRPr="00A33698">
        <w:rPr>
          <w:rFonts w:ascii="Arial" w:hAnsi="Arial" w:cs="Arial"/>
          <w:sz w:val="24"/>
          <w:szCs w:val="24"/>
        </w:rPr>
        <w:t>’s vulnerabilities from</w:t>
      </w:r>
      <w:r w:rsidR="00FC4960">
        <w:rPr>
          <w:rFonts w:ascii="Arial" w:hAnsi="Arial" w:cs="Arial"/>
          <w:sz w:val="24"/>
          <w:szCs w:val="24"/>
        </w:rPr>
        <w:t xml:space="preserve"> extensive</w:t>
      </w:r>
      <w:r w:rsidRPr="00A33698">
        <w:rPr>
          <w:rFonts w:ascii="Arial" w:hAnsi="Arial" w:cs="Arial"/>
          <w:sz w:val="24"/>
          <w:szCs w:val="24"/>
        </w:rPr>
        <w:t xml:space="preserve"> exchange rate changes. They arise from firms’ international investment and operations, where exchange rates can affect profit margins such as input and output and the assets’ value. Therefore, in managing their exposure to foreign exchange risk, multinational corporations should adopt different strategies to mitigate potential losses. Overall, foreign exchange risk management is crucial for multinational companies to maintain competitiveness and ensure financial stability in an increasingly globalised business environment.</w:t>
      </w:r>
    </w:p>
    <w:p w14:paraId="3075DE26" w14:textId="77777777" w:rsidR="008C7546" w:rsidRPr="00A33698" w:rsidRDefault="008C7546" w:rsidP="00A33698">
      <w:pPr>
        <w:spacing w:line="360" w:lineRule="auto"/>
        <w:jc w:val="both"/>
        <w:rPr>
          <w:rFonts w:ascii="Arial" w:hAnsi="Arial" w:cs="Arial"/>
          <w:b/>
          <w:bCs/>
          <w:sz w:val="24"/>
          <w:szCs w:val="24"/>
        </w:rPr>
      </w:pPr>
    </w:p>
    <w:p w14:paraId="6526366A" w14:textId="77777777" w:rsidR="008C7546" w:rsidRPr="00A33698" w:rsidRDefault="008C7546" w:rsidP="00A33698">
      <w:pPr>
        <w:spacing w:line="360" w:lineRule="auto"/>
        <w:jc w:val="both"/>
        <w:rPr>
          <w:rFonts w:ascii="Arial" w:hAnsi="Arial" w:cs="Arial"/>
          <w:b/>
          <w:bCs/>
          <w:sz w:val="24"/>
          <w:szCs w:val="24"/>
        </w:rPr>
      </w:pPr>
    </w:p>
    <w:p w14:paraId="1516588D" w14:textId="77777777" w:rsidR="00495D65" w:rsidRPr="00A33698" w:rsidRDefault="00495D65" w:rsidP="00A33698">
      <w:pPr>
        <w:spacing w:line="360" w:lineRule="auto"/>
        <w:jc w:val="both"/>
        <w:rPr>
          <w:rFonts w:ascii="Arial" w:hAnsi="Arial" w:cs="Arial"/>
          <w:b/>
          <w:bCs/>
          <w:sz w:val="24"/>
          <w:szCs w:val="24"/>
        </w:rPr>
      </w:pPr>
    </w:p>
    <w:p w14:paraId="326F7510" w14:textId="77777777" w:rsidR="00495D65" w:rsidRPr="00A33698" w:rsidRDefault="00495D65" w:rsidP="00A33698">
      <w:pPr>
        <w:spacing w:line="360" w:lineRule="auto"/>
        <w:jc w:val="both"/>
        <w:rPr>
          <w:rFonts w:ascii="Arial" w:hAnsi="Arial" w:cs="Arial"/>
          <w:b/>
          <w:bCs/>
          <w:sz w:val="24"/>
          <w:szCs w:val="24"/>
        </w:rPr>
      </w:pPr>
    </w:p>
    <w:p w14:paraId="5D054558" w14:textId="77777777" w:rsidR="00495D65" w:rsidRPr="00A33698" w:rsidRDefault="00495D65" w:rsidP="00A33698">
      <w:pPr>
        <w:spacing w:line="360" w:lineRule="auto"/>
        <w:jc w:val="both"/>
        <w:rPr>
          <w:rFonts w:ascii="Arial" w:hAnsi="Arial" w:cs="Arial"/>
          <w:b/>
          <w:bCs/>
          <w:sz w:val="24"/>
          <w:szCs w:val="24"/>
        </w:rPr>
      </w:pPr>
    </w:p>
    <w:p w14:paraId="3B33300B" w14:textId="77777777" w:rsidR="00495D65" w:rsidRPr="00A33698" w:rsidRDefault="00495D65" w:rsidP="00A33698">
      <w:pPr>
        <w:spacing w:line="360" w:lineRule="auto"/>
        <w:jc w:val="both"/>
        <w:rPr>
          <w:rFonts w:ascii="Arial" w:hAnsi="Arial" w:cs="Arial"/>
          <w:b/>
          <w:bCs/>
          <w:sz w:val="24"/>
          <w:szCs w:val="24"/>
        </w:rPr>
      </w:pPr>
    </w:p>
    <w:p w14:paraId="2842A093" w14:textId="77777777" w:rsidR="00495D65" w:rsidRPr="00A33698" w:rsidRDefault="00495D65" w:rsidP="00A33698">
      <w:pPr>
        <w:spacing w:line="360" w:lineRule="auto"/>
        <w:jc w:val="both"/>
        <w:rPr>
          <w:rFonts w:ascii="Arial" w:hAnsi="Arial" w:cs="Arial"/>
          <w:b/>
          <w:bCs/>
          <w:sz w:val="24"/>
          <w:szCs w:val="24"/>
        </w:rPr>
      </w:pPr>
    </w:p>
    <w:p w14:paraId="50A2F8AD" w14:textId="77777777" w:rsidR="00495D65" w:rsidRPr="00A33698" w:rsidRDefault="00495D65" w:rsidP="00A33698">
      <w:pPr>
        <w:spacing w:line="360" w:lineRule="auto"/>
        <w:jc w:val="both"/>
        <w:rPr>
          <w:rFonts w:ascii="Arial" w:hAnsi="Arial" w:cs="Arial"/>
          <w:b/>
          <w:bCs/>
          <w:sz w:val="24"/>
          <w:szCs w:val="24"/>
        </w:rPr>
      </w:pPr>
    </w:p>
    <w:p w14:paraId="65E3F29F" w14:textId="77777777" w:rsidR="00495D65" w:rsidRPr="00A33698" w:rsidRDefault="00495D65" w:rsidP="00A33698">
      <w:pPr>
        <w:spacing w:line="360" w:lineRule="auto"/>
        <w:jc w:val="both"/>
        <w:rPr>
          <w:rFonts w:ascii="Arial" w:hAnsi="Arial" w:cs="Arial"/>
          <w:b/>
          <w:bCs/>
          <w:sz w:val="24"/>
          <w:szCs w:val="24"/>
        </w:rPr>
      </w:pPr>
    </w:p>
    <w:p w14:paraId="4F099C93" w14:textId="77777777" w:rsidR="008D7A7E" w:rsidRPr="00A33698" w:rsidRDefault="008D7A7E" w:rsidP="00A33698">
      <w:pPr>
        <w:spacing w:line="360" w:lineRule="auto"/>
        <w:jc w:val="both"/>
        <w:rPr>
          <w:rFonts w:ascii="Arial" w:hAnsi="Arial" w:cs="Arial"/>
          <w:b/>
          <w:bCs/>
          <w:sz w:val="24"/>
          <w:szCs w:val="24"/>
        </w:rPr>
      </w:pPr>
    </w:p>
    <w:p w14:paraId="2BB86002" w14:textId="77777777" w:rsidR="008D7A7E" w:rsidRPr="00A33698" w:rsidRDefault="008D7A7E" w:rsidP="00A33698">
      <w:pPr>
        <w:spacing w:line="360" w:lineRule="auto"/>
        <w:jc w:val="both"/>
        <w:rPr>
          <w:rFonts w:ascii="Arial" w:hAnsi="Arial" w:cs="Arial"/>
          <w:b/>
          <w:bCs/>
          <w:sz w:val="24"/>
          <w:szCs w:val="24"/>
        </w:rPr>
      </w:pPr>
    </w:p>
    <w:p w14:paraId="08EE328E" w14:textId="172AF41E" w:rsidR="0082242E" w:rsidRPr="00A33698" w:rsidRDefault="00AC5C2A" w:rsidP="00A33698">
      <w:pPr>
        <w:spacing w:line="360" w:lineRule="auto"/>
        <w:jc w:val="both"/>
        <w:rPr>
          <w:rFonts w:ascii="Arial" w:hAnsi="Arial" w:cs="Arial"/>
          <w:b/>
          <w:bCs/>
          <w:sz w:val="24"/>
          <w:szCs w:val="24"/>
        </w:rPr>
      </w:pPr>
      <w:r w:rsidRPr="00A33698">
        <w:rPr>
          <w:rFonts w:ascii="Arial" w:hAnsi="Arial" w:cs="Arial"/>
          <w:b/>
          <w:bCs/>
          <w:sz w:val="24"/>
          <w:szCs w:val="24"/>
        </w:rPr>
        <w:lastRenderedPageBreak/>
        <w:t xml:space="preserve">Reference list: </w:t>
      </w:r>
    </w:p>
    <w:p w14:paraId="58EF387F" w14:textId="0719207D" w:rsidR="00143916" w:rsidRPr="00A33698" w:rsidRDefault="00143916" w:rsidP="00A33698">
      <w:pPr>
        <w:spacing w:line="360" w:lineRule="auto"/>
        <w:jc w:val="both"/>
        <w:rPr>
          <w:rFonts w:ascii="Arial" w:hAnsi="Arial" w:cs="Arial"/>
          <w:sz w:val="24"/>
          <w:szCs w:val="24"/>
        </w:rPr>
      </w:pPr>
      <w:proofErr w:type="spellStart"/>
      <w:r w:rsidRPr="00A33698">
        <w:rPr>
          <w:rFonts w:ascii="Arial" w:hAnsi="Arial" w:cs="Arial"/>
          <w:sz w:val="24"/>
          <w:szCs w:val="24"/>
        </w:rPr>
        <w:t>Grabata</w:t>
      </w:r>
      <w:proofErr w:type="spellEnd"/>
      <w:r w:rsidRPr="00A33698">
        <w:rPr>
          <w:rFonts w:ascii="Arial" w:hAnsi="Arial" w:cs="Arial"/>
          <w:sz w:val="24"/>
          <w:szCs w:val="24"/>
        </w:rPr>
        <w:t>, A</w:t>
      </w:r>
      <w:r w:rsidR="00A33698" w:rsidRPr="00A33698">
        <w:rPr>
          <w:rFonts w:ascii="Arial" w:hAnsi="Arial" w:cs="Arial"/>
          <w:sz w:val="24"/>
          <w:szCs w:val="24"/>
        </w:rPr>
        <w:t xml:space="preserve"> </w:t>
      </w:r>
      <w:r w:rsidRPr="00A33698">
        <w:rPr>
          <w:rFonts w:ascii="Arial" w:hAnsi="Arial" w:cs="Arial"/>
          <w:sz w:val="24"/>
          <w:szCs w:val="24"/>
        </w:rPr>
        <w:t xml:space="preserve">(2024) </w:t>
      </w:r>
      <w:r w:rsidRPr="00A33698">
        <w:rPr>
          <w:rFonts w:ascii="Arial" w:hAnsi="Arial" w:cs="Arial"/>
          <w:i/>
          <w:iCs/>
          <w:sz w:val="24"/>
          <w:szCs w:val="24"/>
        </w:rPr>
        <w:t xml:space="preserve">Navigating Translation Exposure: Insights, Strategies, and Risks </w:t>
      </w:r>
      <w:r w:rsidRPr="00A33698">
        <w:rPr>
          <w:rFonts w:ascii="Arial" w:hAnsi="Arial" w:cs="Arial"/>
          <w:sz w:val="24"/>
          <w:szCs w:val="24"/>
        </w:rPr>
        <w:t xml:space="preserve">[Online] Available at: </w:t>
      </w:r>
    </w:p>
    <w:p w14:paraId="74FC583E" w14:textId="4FF91246" w:rsidR="00143916" w:rsidRPr="00A33698" w:rsidRDefault="00000000" w:rsidP="00A33698">
      <w:pPr>
        <w:spacing w:line="360" w:lineRule="auto"/>
        <w:jc w:val="both"/>
        <w:rPr>
          <w:rFonts w:ascii="Arial" w:hAnsi="Arial" w:cs="Arial"/>
          <w:sz w:val="24"/>
          <w:szCs w:val="24"/>
        </w:rPr>
      </w:pPr>
      <w:hyperlink r:id="rId9" w:history="1">
        <w:r w:rsidR="00143916" w:rsidRPr="00A33698">
          <w:rPr>
            <w:rStyle w:val="Hyperlink"/>
            <w:rFonts w:ascii="Arial" w:hAnsi="Arial" w:cs="Arial"/>
            <w:sz w:val="24"/>
            <w:szCs w:val="24"/>
          </w:rPr>
          <w:t>https://www.supermoney.com/encyclopedia/translation-exposure</w:t>
        </w:r>
      </w:hyperlink>
      <w:r w:rsidR="00143916" w:rsidRPr="00A33698">
        <w:rPr>
          <w:rFonts w:ascii="Arial" w:hAnsi="Arial" w:cs="Arial"/>
          <w:sz w:val="24"/>
          <w:szCs w:val="24"/>
        </w:rPr>
        <w:t xml:space="preserve">  (Accessed: 27 March 2024)</w:t>
      </w:r>
    </w:p>
    <w:p w14:paraId="25AC07B9" w14:textId="77777777" w:rsidR="008D7A7E" w:rsidRPr="00A33698" w:rsidRDefault="008D7A7E" w:rsidP="00A33698">
      <w:pPr>
        <w:spacing w:line="360" w:lineRule="auto"/>
        <w:jc w:val="both"/>
        <w:rPr>
          <w:rFonts w:ascii="Arial" w:hAnsi="Arial" w:cs="Arial"/>
          <w:sz w:val="24"/>
          <w:szCs w:val="24"/>
        </w:rPr>
      </w:pPr>
    </w:p>
    <w:p w14:paraId="0451259A" w14:textId="77777777" w:rsidR="008D7A7E" w:rsidRPr="00A33698" w:rsidRDefault="008D7A7E" w:rsidP="00A33698">
      <w:pPr>
        <w:spacing w:line="360" w:lineRule="auto"/>
        <w:jc w:val="both"/>
        <w:rPr>
          <w:rFonts w:ascii="Arial" w:hAnsi="Arial" w:cs="Arial"/>
          <w:sz w:val="24"/>
          <w:szCs w:val="24"/>
        </w:rPr>
      </w:pPr>
      <w:r w:rsidRPr="00A33698">
        <w:rPr>
          <w:rFonts w:ascii="Arial" w:hAnsi="Arial" w:cs="Arial"/>
          <w:sz w:val="24"/>
          <w:szCs w:val="24"/>
        </w:rPr>
        <w:t xml:space="preserve">CFI Education Inc (2024) </w:t>
      </w:r>
      <w:r w:rsidRPr="00A33698">
        <w:rPr>
          <w:rFonts w:ascii="Arial" w:hAnsi="Arial" w:cs="Arial"/>
          <w:i/>
          <w:iCs/>
          <w:sz w:val="24"/>
          <w:szCs w:val="24"/>
        </w:rPr>
        <w:t>Foreign Exchange risk</w:t>
      </w:r>
      <w:r w:rsidRPr="00A33698">
        <w:rPr>
          <w:rFonts w:ascii="Arial" w:hAnsi="Arial" w:cs="Arial"/>
          <w:sz w:val="24"/>
          <w:szCs w:val="24"/>
        </w:rPr>
        <w:t xml:space="preserve"> [Online] Available at:</w:t>
      </w:r>
    </w:p>
    <w:p w14:paraId="381C3B7E" w14:textId="77777777" w:rsidR="008D7A7E" w:rsidRPr="00A33698" w:rsidRDefault="00000000" w:rsidP="00A33698">
      <w:pPr>
        <w:spacing w:line="360" w:lineRule="auto"/>
        <w:jc w:val="both"/>
        <w:rPr>
          <w:rFonts w:ascii="Arial" w:hAnsi="Arial" w:cs="Arial"/>
          <w:sz w:val="24"/>
          <w:szCs w:val="24"/>
        </w:rPr>
      </w:pPr>
      <w:hyperlink r:id="rId10" w:history="1">
        <w:r w:rsidR="008D7A7E" w:rsidRPr="00A33698">
          <w:rPr>
            <w:rStyle w:val="Hyperlink"/>
            <w:rFonts w:ascii="Arial" w:hAnsi="Arial" w:cs="Arial"/>
            <w:sz w:val="24"/>
            <w:szCs w:val="24"/>
          </w:rPr>
          <w:t>https://corporatefinanceinstitute.com/resources/foreign-exchange/foreign-exchange-risk/</w:t>
        </w:r>
      </w:hyperlink>
      <w:r w:rsidR="008D7A7E" w:rsidRPr="00A33698">
        <w:rPr>
          <w:rFonts w:ascii="Arial" w:hAnsi="Arial" w:cs="Arial"/>
          <w:sz w:val="24"/>
          <w:szCs w:val="24"/>
        </w:rPr>
        <w:t xml:space="preserve"> (Accessed: 27 March 2024</w:t>
      </w:r>
    </w:p>
    <w:p w14:paraId="2E23339B" w14:textId="77777777" w:rsidR="008D7A7E" w:rsidRPr="00A33698" w:rsidRDefault="008D7A7E" w:rsidP="00A33698">
      <w:pPr>
        <w:spacing w:line="360" w:lineRule="auto"/>
        <w:jc w:val="both"/>
        <w:rPr>
          <w:rFonts w:ascii="Arial" w:hAnsi="Arial" w:cs="Arial"/>
          <w:sz w:val="24"/>
          <w:szCs w:val="24"/>
        </w:rPr>
      </w:pPr>
    </w:p>
    <w:p w14:paraId="177F8B31" w14:textId="089838C2" w:rsidR="008D7A7E" w:rsidRPr="00A33698" w:rsidRDefault="008D7A7E" w:rsidP="00A33698">
      <w:pPr>
        <w:pStyle w:val="Heading1"/>
        <w:shd w:val="clear" w:color="auto" w:fill="FFFFFF"/>
        <w:spacing w:line="360" w:lineRule="auto"/>
        <w:jc w:val="both"/>
        <w:rPr>
          <w:rFonts w:ascii="Arial" w:eastAsia="Times New Roman" w:hAnsi="Arial" w:cs="Arial"/>
          <w:color w:val="111111"/>
          <w:spacing w:val="1"/>
          <w:kern w:val="36"/>
          <w:sz w:val="24"/>
          <w:szCs w:val="24"/>
          <w:lang w:eastAsia="en-GB"/>
          <w14:ligatures w14:val="none"/>
        </w:rPr>
      </w:pPr>
      <w:r w:rsidRPr="00A33698">
        <w:rPr>
          <w:rFonts w:ascii="Arial" w:hAnsi="Arial" w:cs="Arial"/>
          <w:color w:val="000000" w:themeColor="text1"/>
          <w:sz w:val="24"/>
          <w:szCs w:val="24"/>
        </w:rPr>
        <w:t>Harper, D</w:t>
      </w:r>
      <w:r w:rsidR="00A33698" w:rsidRPr="00A33698">
        <w:rPr>
          <w:rFonts w:ascii="Arial" w:hAnsi="Arial" w:cs="Arial"/>
          <w:color w:val="000000" w:themeColor="text1"/>
          <w:sz w:val="24"/>
          <w:szCs w:val="24"/>
        </w:rPr>
        <w:t xml:space="preserve"> </w:t>
      </w:r>
      <w:r w:rsidRPr="00A33698">
        <w:rPr>
          <w:rFonts w:ascii="Arial" w:hAnsi="Arial" w:cs="Arial"/>
          <w:color w:val="000000" w:themeColor="text1"/>
          <w:sz w:val="24"/>
          <w:szCs w:val="24"/>
        </w:rPr>
        <w:t xml:space="preserve">(2023) </w:t>
      </w:r>
      <w:r w:rsidRPr="00A33698">
        <w:rPr>
          <w:rFonts w:ascii="Arial" w:eastAsia="Times New Roman" w:hAnsi="Arial" w:cs="Arial"/>
          <w:i/>
          <w:iCs/>
          <w:color w:val="111111"/>
          <w:spacing w:val="1"/>
          <w:kern w:val="36"/>
          <w:sz w:val="24"/>
          <w:szCs w:val="24"/>
          <w:lang w:eastAsia="en-GB"/>
          <w14:ligatures w14:val="none"/>
        </w:rPr>
        <w:t>What Is Value at Risk (</w:t>
      </w:r>
      <w:proofErr w:type="spellStart"/>
      <w:r w:rsidRPr="00A33698">
        <w:rPr>
          <w:rFonts w:ascii="Arial" w:eastAsia="Times New Roman" w:hAnsi="Arial" w:cs="Arial"/>
          <w:i/>
          <w:iCs/>
          <w:color w:val="111111"/>
          <w:spacing w:val="1"/>
          <w:kern w:val="36"/>
          <w:sz w:val="24"/>
          <w:szCs w:val="24"/>
          <w:lang w:eastAsia="en-GB"/>
          <w14:ligatures w14:val="none"/>
        </w:rPr>
        <w:t>VaR</w:t>
      </w:r>
      <w:proofErr w:type="spellEnd"/>
      <w:r w:rsidRPr="00A33698">
        <w:rPr>
          <w:rFonts w:ascii="Arial" w:eastAsia="Times New Roman" w:hAnsi="Arial" w:cs="Arial"/>
          <w:i/>
          <w:iCs/>
          <w:color w:val="111111"/>
          <w:spacing w:val="1"/>
          <w:kern w:val="36"/>
          <w:sz w:val="24"/>
          <w:szCs w:val="24"/>
          <w:lang w:eastAsia="en-GB"/>
          <w14:ligatures w14:val="none"/>
        </w:rPr>
        <w:t xml:space="preserve">) and How to Calculate It? </w:t>
      </w:r>
      <w:r w:rsidRPr="00A33698">
        <w:rPr>
          <w:rFonts w:ascii="Arial" w:eastAsia="Times New Roman" w:hAnsi="Arial" w:cs="Arial"/>
          <w:color w:val="111111"/>
          <w:spacing w:val="1"/>
          <w:kern w:val="36"/>
          <w:sz w:val="24"/>
          <w:szCs w:val="24"/>
          <w:lang w:eastAsia="en-GB"/>
          <w14:ligatures w14:val="none"/>
        </w:rPr>
        <w:t>[Online] Available at:</w:t>
      </w:r>
    </w:p>
    <w:p w14:paraId="130B8E07" w14:textId="77777777" w:rsidR="008D7A7E" w:rsidRPr="00A33698" w:rsidRDefault="00000000" w:rsidP="00A33698">
      <w:pPr>
        <w:spacing w:line="360" w:lineRule="auto"/>
        <w:jc w:val="both"/>
        <w:rPr>
          <w:rFonts w:ascii="Arial" w:hAnsi="Arial" w:cs="Arial"/>
          <w:sz w:val="24"/>
          <w:szCs w:val="24"/>
        </w:rPr>
      </w:pPr>
      <w:hyperlink r:id="rId11" w:history="1">
        <w:r w:rsidR="008D7A7E" w:rsidRPr="00A33698">
          <w:rPr>
            <w:rStyle w:val="Hyperlink"/>
            <w:rFonts w:ascii="Arial" w:hAnsi="Arial" w:cs="Arial"/>
            <w:sz w:val="24"/>
            <w:szCs w:val="24"/>
          </w:rPr>
          <w:t>https://www.investopedia.com/articles/04/092904.asp</w:t>
        </w:r>
      </w:hyperlink>
      <w:r w:rsidR="008D7A7E" w:rsidRPr="00A33698">
        <w:rPr>
          <w:rFonts w:ascii="Arial" w:hAnsi="Arial" w:cs="Arial"/>
          <w:sz w:val="24"/>
          <w:szCs w:val="24"/>
        </w:rPr>
        <w:t xml:space="preserve">  (Accessed: 27 March 2024)</w:t>
      </w:r>
    </w:p>
    <w:p w14:paraId="79E118A6" w14:textId="77777777" w:rsidR="008D7A7E" w:rsidRPr="00A33698" w:rsidRDefault="008D7A7E" w:rsidP="00A33698">
      <w:pPr>
        <w:spacing w:line="360" w:lineRule="auto"/>
        <w:jc w:val="both"/>
        <w:rPr>
          <w:rFonts w:ascii="Arial" w:hAnsi="Arial" w:cs="Arial"/>
          <w:sz w:val="24"/>
          <w:szCs w:val="24"/>
        </w:rPr>
      </w:pPr>
    </w:p>
    <w:p w14:paraId="30C2615F" w14:textId="77777777" w:rsidR="008D7A7E" w:rsidRPr="00A33698" w:rsidRDefault="008D7A7E" w:rsidP="00A33698">
      <w:pPr>
        <w:spacing w:line="360" w:lineRule="auto"/>
        <w:jc w:val="both"/>
        <w:rPr>
          <w:rFonts w:ascii="Arial" w:hAnsi="Arial" w:cs="Arial"/>
          <w:sz w:val="24"/>
          <w:szCs w:val="24"/>
        </w:rPr>
      </w:pPr>
      <w:r w:rsidRPr="00A33698">
        <w:rPr>
          <w:rFonts w:ascii="Arial" w:hAnsi="Arial" w:cs="Arial"/>
          <w:sz w:val="24"/>
          <w:szCs w:val="24"/>
        </w:rPr>
        <w:t xml:space="preserve">FreshBooks (2024) </w:t>
      </w:r>
      <w:r w:rsidRPr="00A33698">
        <w:rPr>
          <w:rFonts w:ascii="Arial" w:hAnsi="Arial" w:cs="Arial"/>
          <w:i/>
          <w:iCs/>
          <w:sz w:val="24"/>
          <w:szCs w:val="24"/>
        </w:rPr>
        <w:t>Parallel loan: Definition&amp; Overview</w:t>
      </w:r>
      <w:r w:rsidRPr="00A33698">
        <w:rPr>
          <w:rFonts w:ascii="Arial" w:hAnsi="Arial" w:cs="Arial"/>
          <w:sz w:val="24"/>
          <w:szCs w:val="24"/>
        </w:rPr>
        <w:t xml:space="preserve"> [Online] Available at:</w:t>
      </w:r>
    </w:p>
    <w:p w14:paraId="2C1E49E9" w14:textId="77777777" w:rsidR="008D7A7E" w:rsidRPr="00A33698" w:rsidRDefault="00000000" w:rsidP="00A33698">
      <w:pPr>
        <w:spacing w:line="360" w:lineRule="auto"/>
        <w:jc w:val="both"/>
        <w:rPr>
          <w:rFonts w:ascii="Arial" w:hAnsi="Arial" w:cs="Arial"/>
          <w:sz w:val="24"/>
          <w:szCs w:val="24"/>
        </w:rPr>
      </w:pPr>
      <w:hyperlink r:id="rId12" w:history="1">
        <w:r w:rsidR="008D7A7E" w:rsidRPr="00A33698">
          <w:rPr>
            <w:rStyle w:val="Hyperlink"/>
            <w:rFonts w:ascii="Arial" w:hAnsi="Arial" w:cs="Arial"/>
            <w:sz w:val="24"/>
            <w:szCs w:val="24"/>
          </w:rPr>
          <w:t>https://www.freshbooks.com/glossary/financial/parallel-loan</w:t>
        </w:r>
      </w:hyperlink>
      <w:r w:rsidR="008D7A7E" w:rsidRPr="00A33698">
        <w:rPr>
          <w:rFonts w:ascii="Arial" w:hAnsi="Arial" w:cs="Arial"/>
          <w:sz w:val="24"/>
          <w:szCs w:val="24"/>
        </w:rPr>
        <w:t xml:space="preserve"> (Accessed: 20 March 2024) </w:t>
      </w:r>
    </w:p>
    <w:p w14:paraId="5D7A1D49" w14:textId="77777777" w:rsidR="008D7A7E" w:rsidRPr="00A33698" w:rsidRDefault="008D7A7E" w:rsidP="00A33698">
      <w:pPr>
        <w:spacing w:line="360" w:lineRule="auto"/>
        <w:jc w:val="both"/>
        <w:rPr>
          <w:rFonts w:ascii="Arial" w:hAnsi="Arial" w:cs="Arial"/>
          <w:sz w:val="24"/>
          <w:szCs w:val="24"/>
        </w:rPr>
      </w:pPr>
    </w:p>
    <w:p w14:paraId="7EE6B211" w14:textId="396CA271" w:rsidR="006A1CBB" w:rsidRPr="00A33698" w:rsidRDefault="006A1CBB" w:rsidP="00A33698">
      <w:pPr>
        <w:spacing w:line="360" w:lineRule="auto"/>
        <w:jc w:val="both"/>
        <w:rPr>
          <w:rFonts w:ascii="Arial" w:hAnsi="Arial" w:cs="Arial"/>
          <w:i/>
          <w:iCs/>
          <w:sz w:val="24"/>
          <w:szCs w:val="24"/>
        </w:rPr>
      </w:pPr>
      <w:r w:rsidRPr="00A33698">
        <w:rPr>
          <w:rFonts w:ascii="Arial" w:hAnsi="Arial" w:cs="Arial"/>
          <w:sz w:val="24"/>
          <w:szCs w:val="24"/>
        </w:rPr>
        <w:t xml:space="preserve">Bekaert, G (2013) </w:t>
      </w:r>
      <w:r w:rsidRPr="00A33698">
        <w:rPr>
          <w:rFonts w:ascii="Arial" w:hAnsi="Arial" w:cs="Arial"/>
          <w:i/>
          <w:iCs/>
          <w:sz w:val="24"/>
          <w:szCs w:val="24"/>
        </w:rPr>
        <w:t>International Finance Management,</w:t>
      </w:r>
    </w:p>
    <w:p w14:paraId="627699D4" w14:textId="734A2BCF" w:rsidR="006544E7" w:rsidRPr="00A33698" w:rsidRDefault="006A1CBB" w:rsidP="00A33698">
      <w:pPr>
        <w:spacing w:line="360" w:lineRule="auto"/>
        <w:jc w:val="both"/>
        <w:rPr>
          <w:rFonts w:ascii="Arial" w:hAnsi="Arial" w:cs="Arial"/>
          <w:sz w:val="24"/>
          <w:szCs w:val="24"/>
        </w:rPr>
      </w:pPr>
      <w:r w:rsidRPr="00A33698">
        <w:rPr>
          <w:rFonts w:ascii="Arial" w:hAnsi="Arial" w:cs="Arial"/>
          <w:sz w:val="24"/>
          <w:szCs w:val="24"/>
        </w:rPr>
        <w:t>2</w:t>
      </w:r>
      <w:r w:rsidRPr="00A33698">
        <w:rPr>
          <w:rFonts w:ascii="Arial" w:hAnsi="Arial" w:cs="Arial"/>
          <w:sz w:val="24"/>
          <w:szCs w:val="24"/>
          <w:vertAlign w:val="superscript"/>
        </w:rPr>
        <w:t>nd</w:t>
      </w:r>
      <w:r w:rsidRPr="00A33698">
        <w:rPr>
          <w:rFonts w:ascii="Arial" w:hAnsi="Arial" w:cs="Arial"/>
          <w:sz w:val="24"/>
          <w:szCs w:val="24"/>
        </w:rPr>
        <w:t xml:space="preserve"> Ed, Harlow, Harlow     </w:t>
      </w:r>
    </w:p>
    <w:p w14:paraId="46C0D822" w14:textId="77777777" w:rsidR="00556232" w:rsidRPr="00A33698" w:rsidRDefault="00556232" w:rsidP="00A33698">
      <w:pPr>
        <w:spacing w:line="360" w:lineRule="auto"/>
        <w:jc w:val="both"/>
        <w:rPr>
          <w:rFonts w:ascii="Arial" w:hAnsi="Arial" w:cs="Arial"/>
          <w:sz w:val="24"/>
          <w:szCs w:val="24"/>
        </w:rPr>
      </w:pPr>
    </w:p>
    <w:p w14:paraId="070847E9" w14:textId="77777777" w:rsidR="00B53489" w:rsidRPr="00A33698" w:rsidRDefault="00B53489" w:rsidP="00A33698">
      <w:pPr>
        <w:spacing w:line="360" w:lineRule="auto"/>
        <w:jc w:val="both"/>
        <w:rPr>
          <w:rFonts w:ascii="Arial" w:hAnsi="Arial" w:cs="Arial"/>
          <w:sz w:val="24"/>
          <w:szCs w:val="24"/>
        </w:rPr>
      </w:pPr>
    </w:p>
    <w:p w14:paraId="452A82F0" w14:textId="658C4302" w:rsidR="00B53489" w:rsidRPr="00A33698" w:rsidRDefault="00B53489" w:rsidP="00A33698">
      <w:pPr>
        <w:spacing w:line="360" w:lineRule="auto"/>
        <w:jc w:val="both"/>
        <w:rPr>
          <w:rFonts w:ascii="Arial" w:hAnsi="Arial" w:cs="Arial"/>
          <w:sz w:val="24"/>
          <w:szCs w:val="24"/>
        </w:rPr>
      </w:pPr>
      <w:bookmarkStart w:id="4" w:name="_Hlk162455812"/>
      <w:r w:rsidRPr="00A33698">
        <w:rPr>
          <w:rFonts w:ascii="Arial" w:hAnsi="Arial" w:cs="Arial"/>
          <w:sz w:val="24"/>
          <w:szCs w:val="24"/>
        </w:rPr>
        <w:t>Papaioannou, M</w:t>
      </w:r>
      <w:r w:rsidR="00A33698" w:rsidRPr="00A33698">
        <w:rPr>
          <w:rFonts w:ascii="Arial" w:hAnsi="Arial" w:cs="Arial"/>
          <w:sz w:val="24"/>
          <w:szCs w:val="24"/>
        </w:rPr>
        <w:t xml:space="preserve"> </w:t>
      </w:r>
      <w:r w:rsidRPr="00A33698">
        <w:rPr>
          <w:rFonts w:ascii="Arial" w:hAnsi="Arial" w:cs="Arial"/>
          <w:sz w:val="24"/>
          <w:szCs w:val="24"/>
        </w:rPr>
        <w:t>(2006)</w:t>
      </w:r>
      <w:bookmarkEnd w:id="4"/>
      <w:r w:rsidRPr="00A33698">
        <w:rPr>
          <w:rFonts w:ascii="Arial" w:hAnsi="Arial" w:cs="Arial"/>
          <w:sz w:val="24"/>
          <w:szCs w:val="24"/>
        </w:rPr>
        <w:t xml:space="preserve"> </w:t>
      </w:r>
      <w:r w:rsidRPr="00A33698">
        <w:rPr>
          <w:rFonts w:ascii="Arial" w:hAnsi="Arial" w:cs="Arial"/>
          <w:i/>
          <w:iCs/>
          <w:sz w:val="24"/>
          <w:szCs w:val="24"/>
        </w:rPr>
        <w:t xml:space="preserve">Exchange Rate Risk Measurement and Management: Issues and Approaches for Firms </w:t>
      </w:r>
      <w:r w:rsidRPr="00A33698">
        <w:rPr>
          <w:rFonts w:ascii="Arial" w:hAnsi="Arial" w:cs="Arial"/>
          <w:sz w:val="24"/>
          <w:szCs w:val="24"/>
        </w:rPr>
        <w:t xml:space="preserve">[Online] Available at: </w:t>
      </w:r>
    </w:p>
    <w:p w14:paraId="689743CF" w14:textId="4E2E6DD1" w:rsidR="00B53489" w:rsidRPr="00A33698" w:rsidRDefault="00000000" w:rsidP="00A33698">
      <w:pPr>
        <w:spacing w:line="360" w:lineRule="auto"/>
        <w:jc w:val="both"/>
        <w:rPr>
          <w:rFonts w:ascii="Arial" w:hAnsi="Arial" w:cs="Arial"/>
          <w:sz w:val="24"/>
          <w:szCs w:val="24"/>
        </w:rPr>
      </w:pPr>
      <w:hyperlink r:id="rId13" w:history="1">
        <w:r w:rsidR="00B53489" w:rsidRPr="00A33698">
          <w:rPr>
            <w:rStyle w:val="Hyperlink"/>
            <w:rFonts w:ascii="Arial" w:hAnsi="Arial" w:cs="Arial"/>
            <w:sz w:val="24"/>
            <w:szCs w:val="24"/>
          </w:rPr>
          <w:t>https://www.imf.org/external/pubs/ft/wp/2006/wp06255.pdf</w:t>
        </w:r>
      </w:hyperlink>
      <w:r w:rsidR="00B53489" w:rsidRPr="00A33698">
        <w:rPr>
          <w:rFonts w:ascii="Arial" w:hAnsi="Arial" w:cs="Arial"/>
          <w:sz w:val="24"/>
          <w:szCs w:val="24"/>
        </w:rPr>
        <w:t xml:space="preserve">  (Accessed: 27 March 2024)</w:t>
      </w:r>
    </w:p>
    <w:p w14:paraId="306F1F93" w14:textId="77777777" w:rsidR="00556232" w:rsidRPr="00A33698" w:rsidRDefault="00556232" w:rsidP="00A33698">
      <w:pPr>
        <w:spacing w:line="360" w:lineRule="auto"/>
        <w:jc w:val="both"/>
        <w:rPr>
          <w:rFonts w:ascii="Arial" w:hAnsi="Arial" w:cs="Arial"/>
          <w:sz w:val="24"/>
          <w:szCs w:val="24"/>
        </w:rPr>
      </w:pPr>
    </w:p>
    <w:p w14:paraId="35799142" w14:textId="19750B08" w:rsidR="00CD56BF" w:rsidRPr="00A33698" w:rsidRDefault="00CD56BF" w:rsidP="00A33698">
      <w:pPr>
        <w:pStyle w:val="Heading1"/>
        <w:shd w:val="clear" w:color="auto" w:fill="FFFFFF"/>
        <w:spacing w:before="300" w:after="300" w:line="360" w:lineRule="auto"/>
        <w:jc w:val="both"/>
        <w:rPr>
          <w:rFonts w:ascii="Arial" w:eastAsia="Times New Roman" w:hAnsi="Arial" w:cs="Arial"/>
          <w:color w:val="05090B"/>
          <w:spacing w:val="-15"/>
          <w:kern w:val="36"/>
          <w:sz w:val="24"/>
          <w:szCs w:val="24"/>
          <w:lang w:eastAsia="en-GB"/>
          <w14:ligatures w14:val="none"/>
        </w:rPr>
      </w:pPr>
      <w:r w:rsidRPr="00A33698">
        <w:rPr>
          <w:rFonts w:ascii="Arial" w:hAnsi="Arial" w:cs="Arial"/>
          <w:color w:val="auto"/>
          <w:sz w:val="24"/>
          <w:szCs w:val="24"/>
        </w:rPr>
        <w:t>Benson, M</w:t>
      </w:r>
      <w:r w:rsidR="00A33698" w:rsidRPr="00A33698">
        <w:rPr>
          <w:rFonts w:ascii="Arial" w:hAnsi="Arial" w:cs="Arial"/>
          <w:color w:val="auto"/>
          <w:sz w:val="24"/>
          <w:szCs w:val="24"/>
        </w:rPr>
        <w:t xml:space="preserve"> </w:t>
      </w:r>
      <w:r w:rsidRPr="00A33698">
        <w:rPr>
          <w:rFonts w:ascii="Arial" w:hAnsi="Arial" w:cs="Arial"/>
          <w:color w:val="auto"/>
          <w:sz w:val="24"/>
          <w:szCs w:val="24"/>
        </w:rPr>
        <w:t xml:space="preserve">(2015) </w:t>
      </w:r>
      <w:r w:rsidRPr="00A33698">
        <w:rPr>
          <w:rFonts w:ascii="Arial" w:eastAsia="Times New Roman" w:hAnsi="Arial" w:cs="Arial"/>
          <w:i/>
          <w:iCs/>
          <w:color w:val="05090B"/>
          <w:spacing w:val="-15"/>
          <w:kern w:val="36"/>
          <w:sz w:val="24"/>
          <w:szCs w:val="24"/>
          <w:lang w:eastAsia="en-GB"/>
          <w14:ligatures w14:val="none"/>
        </w:rPr>
        <w:t xml:space="preserve">GlaxoSmithKline: The British Multinational Pharmaceutical Company </w:t>
      </w:r>
      <w:r w:rsidRPr="00A33698">
        <w:rPr>
          <w:rFonts w:ascii="Arial" w:eastAsia="Times New Roman" w:hAnsi="Arial" w:cs="Arial"/>
          <w:color w:val="05090B"/>
          <w:spacing w:val="-15"/>
          <w:kern w:val="36"/>
          <w:sz w:val="24"/>
          <w:szCs w:val="24"/>
          <w:lang w:eastAsia="en-GB"/>
          <w14:ligatures w14:val="none"/>
        </w:rPr>
        <w:t xml:space="preserve">[Online] Available at: </w:t>
      </w:r>
    </w:p>
    <w:p w14:paraId="0BED5FCF" w14:textId="194CA7F5" w:rsidR="00CD56BF" w:rsidRPr="00A33698" w:rsidRDefault="00000000" w:rsidP="00A33698">
      <w:pPr>
        <w:spacing w:line="360" w:lineRule="auto"/>
        <w:jc w:val="both"/>
        <w:rPr>
          <w:rFonts w:ascii="Arial" w:hAnsi="Arial" w:cs="Arial"/>
          <w:sz w:val="24"/>
          <w:szCs w:val="24"/>
        </w:rPr>
      </w:pPr>
      <w:hyperlink r:id="rId14" w:history="1">
        <w:r w:rsidR="00CD56BF" w:rsidRPr="00A33698">
          <w:rPr>
            <w:rStyle w:val="Hyperlink"/>
            <w:rFonts w:ascii="Arial" w:hAnsi="Arial" w:cs="Arial"/>
            <w:sz w:val="24"/>
            <w:szCs w:val="24"/>
          </w:rPr>
          <w:t>https://marketrealist.com/2015/07/glaxosmithkline-british-multinational-pharmaceutical-company/</w:t>
        </w:r>
      </w:hyperlink>
      <w:r w:rsidR="00CD56BF" w:rsidRPr="00A33698">
        <w:rPr>
          <w:rFonts w:ascii="Arial" w:hAnsi="Arial" w:cs="Arial"/>
          <w:sz w:val="24"/>
          <w:szCs w:val="24"/>
        </w:rPr>
        <w:t xml:space="preserve">  (Accessed: 26 March 2024)</w:t>
      </w:r>
    </w:p>
    <w:p w14:paraId="6EDB5083" w14:textId="77777777" w:rsidR="00710C1C" w:rsidRPr="00A33698" w:rsidRDefault="00710C1C" w:rsidP="00A33698">
      <w:pPr>
        <w:spacing w:line="360" w:lineRule="auto"/>
        <w:jc w:val="both"/>
        <w:rPr>
          <w:rFonts w:ascii="Arial" w:hAnsi="Arial" w:cs="Arial"/>
          <w:sz w:val="24"/>
          <w:szCs w:val="24"/>
        </w:rPr>
      </w:pPr>
    </w:p>
    <w:p w14:paraId="673E8A81" w14:textId="1921ECCE" w:rsidR="00850075" w:rsidRPr="00A33698" w:rsidRDefault="00850075" w:rsidP="00A33698">
      <w:pPr>
        <w:spacing w:line="360" w:lineRule="auto"/>
        <w:jc w:val="both"/>
        <w:rPr>
          <w:rFonts w:ascii="Arial" w:hAnsi="Arial" w:cs="Arial"/>
          <w:color w:val="000000" w:themeColor="text1"/>
          <w:sz w:val="24"/>
          <w:szCs w:val="24"/>
        </w:rPr>
      </w:pPr>
      <w:r w:rsidRPr="00A33698">
        <w:rPr>
          <w:rFonts w:ascii="Arial" w:hAnsi="Arial" w:cs="Arial"/>
          <w:color w:val="000000" w:themeColor="text1"/>
          <w:sz w:val="24"/>
          <w:szCs w:val="24"/>
        </w:rPr>
        <w:t>Statista (2018)</w:t>
      </w:r>
      <w:r w:rsidR="00126A39" w:rsidRPr="00A33698">
        <w:rPr>
          <w:rFonts w:ascii="Arial" w:hAnsi="Arial" w:cs="Arial"/>
          <w:b/>
          <w:bCs/>
          <w:color w:val="0F2741"/>
          <w:sz w:val="24"/>
          <w:szCs w:val="24"/>
          <w:shd w:val="clear" w:color="auto" w:fill="FFFFFF"/>
        </w:rPr>
        <w:t xml:space="preserve"> </w:t>
      </w:r>
      <w:r w:rsidR="00126A39" w:rsidRPr="00A33698">
        <w:rPr>
          <w:rFonts w:ascii="Arial" w:hAnsi="Arial" w:cs="Arial"/>
          <w:i/>
          <w:iCs/>
          <w:color w:val="0F2741"/>
          <w:sz w:val="24"/>
          <w:szCs w:val="24"/>
          <w:shd w:val="clear" w:color="auto" w:fill="FFFFFF"/>
        </w:rPr>
        <w:t>Top 10 pharmaceutical companies based on global vaccine revenue market share in 2017 and 2024</w:t>
      </w:r>
      <w:r w:rsidR="00126A39" w:rsidRPr="00A33698">
        <w:rPr>
          <w:rFonts w:ascii="Arial" w:hAnsi="Arial" w:cs="Arial"/>
          <w:color w:val="0F2741"/>
          <w:sz w:val="24"/>
          <w:szCs w:val="24"/>
          <w:shd w:val="clear" w:color="auto" w:fill="FFFFFF"/>
        </w:rPr>
        <w:t xml:space="preserve"> [Online] Available at:</w:t>
      </w:r>
    </w:p>
    <w:p w14:paraId="7112DF41" w14:textId="3EFF4A72" w:rsidR="00850075" w:rsidRPr="00A33698" w:rsidRDefault="00000000" w:rsidP="00A33698">
      <w:pPr>
        <w:spacing w:line="360" w:lineRule="auto"/>
        <w:jc w:val="both"/>
        <w:rPr>
          <w:rFonts w:ascii="Arial" w:hAnsi="Arial" w:cs="Arial"/>
          <w:color w:val="000000" w:themeColor="text1"/>
          <w:sz w:val="24"/>
          <w:szCs w:val="24"/>
        </w:rPr>
      </w:pPr>
      <w:hyperlink r:id="rId15" w:history="1">
        <w:r w:rsidR="00850075" w:rsidRPr="00A33698">
          <w:rPr>
            <w:rStyle w:val="Hyperlink"/>
            <w:rFonts w:ascii="Arial" w:hAnsi="Arial" w:cs="Arial"/>
            <w:sz w:val="24"/>
            <w:szCs w:val="24"/>
          </w:rPr>
          <w:t>https://www.statista.com/statistics/348702/leading-global-pharmaceutical-companies-by-vaccine-market-share/</w:t>
        </w:r>
      </w:hyperlink>
      <w:r w:rsidR="00850075" w:rsidRPr="00A33698">
        <w:rPr>
          <w:rFonts w:ascii="Arial" w:hAnsi="Arial" w:cs="Arial"/>
          <w:color w:val="000000" w:themeColor="text1"/>
          <w:sz w:val="24"/>
          <w:szCs w:val="24"/>
        </w:rPr>
        <w:t xml:space="preserve"> </w:t>
      </w:r>
      <w:r w:rsidR="00126A39" w:rsidRPr="00A33698">
        <w:rPr>
          <w:rFonts w:ascii="Arial" w:hAnsi="Arial" w:cs="Arial"/>
          <w:color w:val="000000" w:themeColor="text1"/>
          <w:sz w:val="24"/>
          <w:szCs w:val="24"/>
        </w:rPr>
        <w:t xml:space="preserve"> (Accessed: 26 March 2024)</w:t>
      </w:r>
    </w:p>
    <w:p w14:paraId="67202206" w14:textId="77777777" w:rsidR="008222D3" w:rsidRPr="00A33698" w:rsidRDefault="008222D3" w:rsidP="00A33698">
      <w:pPr>
        <w:spacing w:line="360" w:lineRule="auto"/>
        <w:jc w:val="both"/>
        <w:rPr>
          <w:rFonts w:ascii="Arial" w:hAnsi="Arial" w:cs="Arial"/>
          <w:sz w:val="24"/>
          <w:szCs w:val="24"/>
        </w:rPr>
      </w:pPr>
    </w:p>
    <w:p w14:paraId="6D5EADA3" w14:textId="7089450E" w:rsidR="0035499D" w:rsidRPr="00A33698" w:rsidRDefault="0035499D" w:rsidP="00A33698">
      <w:pPr>
        <w:spacing w:line="360" w:lineRule="auto"/>
        <w:jc w:val="both"/>
        <w:rPr>
          <w:rFonts w:ascii="Arial" w:hAnsi="Arial" w:cs="Arial"/>
          <w:sz w:val="24"/>
          <w:szCs w:val="24"/>
        </w:rPr>
      </w:pPr>
      <w:r w:rsidRPr="00A33698">
        <w:rPr>
          <w:rFonts w:ascii="Arial" w:hAnsi="Arial" w:cs="Arial"/>
          <w:sz w:val="24"/>
          <w:szCs w:val="24"/>
        </w:rPr>
        <w:t>Tamplin, T</w:t>
      </w:r>
      <w:r w:rsidR="00A33698" w:rsidRPr="00A33698">
        <w:rPr>
          <w:rFonts w:ascii="Arial" w:hAnsi="Arial" w:cs="Arial"/>
          <w:sz w:val="24"/>
          <w:szCs w:val="24"/>
        </w:rPr>
        <w:t xml:space="preserve"> </w:t>
      </w:r>
      <w:r w:rsidRPr="00A33698">
        <w:rPr>
          <w:rFonts w:ascii="Arial" w:hAnsi="Arial" w:cs="Arial"/>
          <w:sz w:val="24"/>
          <w:szCs w:val="24"/>
        </w:rPr>
        <w:t xml:space="preserve">(2023) </w:t>
      </w:r>
      <w:r w:rsidRPr="00A33698">
        <w:rPr>
          <w:rFonts w:ascii="Arial" w:hAnsi="Arial" w:cs="Arial"/>
          <w:i/>
          <w:iCs/>
          <w:sz w:val="24"/>
          <w:szCs w:val="24"/>
        </w:rPr>
        <w:t>Exchange rate risk</w:t>
      </w:r>
      <w:r w:rsidRPr="00A33698">
        <w:rPr>
          <w:rFonts w:ascii="Arial" w:hAnsi="Arial" w:cs="Arial"/>
          <w:sz w:val="24"/>
          <w:szCs w:val="24"/>
        </w:rPr>
        <w:t xml:space="preserve"> [Online] Available at:</w:t>
      </w:r>
    </w:p>
    <w:p w14:paraId="3A168110" w14:textId="29ADBF2B" w:rsidR="0082242E" w:rsidRPr="00A33698" w:rsidRDefault="00000000" w:rsidP="00A33698">
      <w:pPr>
        <w:spacing w:line="360" w:lineRule="auto"/>
        <w:jc w:val="both"/>
        <w:rPr>
          <w:rFonts w:ascii="Arial" w:hAnsi="Arial" w:cs="Arial"/>
          <w:sz w:val="24"/>
          <w:szCs w:val="24"/>
        </w:rPr>
      </w:pPr>
      <w:hyperlink r:id="rId16" w:anchor=":~:text=Exchange%20rate%20risk%20refers%20to%20the%20potential%20for,or%20holds%20assets%20denominated%20in%20a%20foreign%20currency" w:history="1">
        <w:r w:rsidR="00CB69E3" w:rsidRPr="00A33698">
          <w:rPr>
            <w:rStyle w:val="Hyperlink"/>
            <w:rFonts w:ascii="Arial" w:hAnsi="Arial" w:cs="Arial"/>
            <w:sz w:val="24"/>
            <w:szCs w:val="24"/>
          </w:rPr>
          <w:t>https://www.financestrategists.com/wealth-management/investment-risk/exchange-rate-risk/#:~:text=Exchange%20rate%20risk%20refers%20to%20the%20potential%20for,or%20holds%20assets%20denominated%20in%20a%20foreign%20currency</w:t>
        </w:r>
      </w:hyperlink>
      <w:r w:rsidR="00CB69E3" w:rsidRPr="00A33698">
        <w:rPr>
          <w:rFonts w:ascii="Arial" w:hAnsi="Arial" w:cs="Arial"/>
          <w:sz w:val="24"/>
          <w:szCs w:val="24"/>
        </w:rPr>
        <w:t xml:space="preserve">. </w:t>
      </w:r>
      <w:r w:rsidR="0035499D" w:rsidRPr="00A33698">
        <w:rPr>
          <w:rFonts w:ascii="Arial" w:hAnsi="Arial" w:cs="Arial"/>
          <w:sz w:val="24"/>
          <w:szCs w:val="24"/>
        </w:rPr>
        <w:t>(Accessed: 13 March 2024)</w:t>
      </w:r>
    </w:p>
    <w:p w14:paraId="312CD41D" w14:textId="77777777" w:rsidR="008D7A7E" w:rsidRPr="00A33698" w:rsidRDefault="008D7A7E" w:rsidP="00A33698">
      <w:pPr>
        <w:spacing w:line="360" w:lineRule="auto"/>
        <w:jc w:val="both"/>
        <w:rPr>
          <w:rFonts w:ascii="Arial" w:hAnsi="Arial" w:cs="Arial"/>
          <w:sz w:val="24"/>
          <w:szCs w:val="24"/>
        </w:rPr>
      </w:pPr>
    </w:p>
    <w:p w14:paraId="4B15F11D" w14:textId="32DB4A11" w:rsidR="008D7A7E" w:rsidRPr="00A33698" w:rsidRDefault="008D7A7E" w:rsidP="00A33698">
      <w:pPr>
        <w:spacing w:line="360" w:lineRule="auto"/>
        <w:jc w:val="both"/>
        <w:rPr>
          <w:rFonts w:ascii="Arial" w:hAnsi="Arial" w:cs="Arial"/>
          <w:sz w:val="24"/>
          <w:szCs w:val="24"/>
        </w:rPr>
      </w:pPr>
      <w:r w:rsidRPr="00A33698">
        <w:rPr>
          <w:rFonts w:ascii="Arial" w:hAnsi="Arial" w:cs="Arial"/>
          <w:sz w:val="24"/>
          <w:szCs w:val="24"/>
        </w:rPr>
        <w:t>Brener, W</w:t>
      </w:r>
      <w:r w:rsidR="00A33698" w:rsidRPr="00A33698">
        <w:rPr>
          <w:rFonts w:ascii="Arial" w:hAnsi="Arial" w:cs="Arial"/>
          <w:sz w:val="24"/>
          <w:szCs w:val="24"/>
        </w:rPr>
        <w:t xml:space="preserve"> </w:t>
      </w:r>
      <w:r w:rsidRPr="00A33698">
        <w:rPr>
          <w:rFonts w:ascii="Arial" w:hAnsi="Arial" w:cs="Arial"/>
          <w:sz w:val="24"/>
          <w:szCs w:val="24"/>
        </w:rPr>
        <w:t xml:space="preserve">(2021) </w:t>
      </w:r>
      <w:r w:rsidRPr="00A33698">
        <w:rPr>
          <w:rFonts w:ascii="Arial" w:hAnsi="Arial" w:cs="Arial"/>
          <w:i/>
          <w:iCs/>
          <w:sz w:val="24"/>
          <w:szCs w:val="24"/>
        </w:rPr>
        <w:t>Some key developments in international financial management</w:t>
      </w:r>
      <w:r w:rsidRPr="00A33698">
        <w:rPr>
          <w:rFonts w:ascii="Arial" w:hAnsi="Arial" w:cs="Arial"/>
          <w:sz w:val="24"/>
          <w:szCs w:val="24"/>
        </w:rPr>
        <w:t xml:space="preserve"> [Online] Available at: </w:t>
      </w:r>
    </w:p>
    <w:p w14:paraId="23CFC944" w14:textId="77777777" w:rsidR="008D7A7E" w:rsidRPr="00A33698" w:rsidRDefault="008D7A7E" w:rsidP="00A33698">
      <w:pPr>
        <w:spacing w:line="360" w:lineRule="auto"/>
        <w:jc w:val="both"/>
        <w:rPr>
          <w:rFonts w:ascii="Arial" w:hAnsi="Arial" w:cs="Arial"/>
          <w:sz w:val="24"/>
          <w:szCs w:val="24"/>
        </w:rPr>
      </w:pPr>
      <w:r w:rsidRPr="00A33698">
        <w:rPr>
          <w:rFonts w:ascii="Arial" w:hAnsi="Arial" w:cs="Arial"/>
          <w:b/>
          <w:bCs/>
          <w:sz w:val="24"/>
          <w:szCs w:val="24"/>
        </w:rPr>
        <w:t xml:space="preserve"> </w:t>
      </w:r>
      <w:bookmarkStart w:id="5" w:name="_Hlk161133486"/>
      <w:r w:rsidRPr="00A33698">
        <w:rPr>
          <w:rFonts w:ascii="Arial" w:hAnsi="Arial" w:cs="Arial"/>
          <w:sz w:val="24"/>
          <w:szCs w:val="24"/>
        </w:rPr>
        <w:fldChar w:fldCharType="begin"/>
      </w:r>
      <w:r w:rsidRPr="00A33698">
        <w:rPr>
          <w:rFonts w:ascii="Arial" w:hAnsi="Arial" w:cs="Arial"/>
          <w:sz w:val="24"/>
          <w:szCs w:val="24"/>
        </w:rPr>
        <w:instrText>HYPERLINK "https://link.springer.com/article/10.1007/s11573-021-01039-8#citeas"</w:instrText>
      </w:r>
      <w:r w:rsidRPr="00A33698">
        <w:rPr>
          <w:rFonts w:ascii="Arial" w:hAnsi="Arial" w:cs="Arial"/>
          <w:sz w:val="24"/>
          <w:szCs w:val="24"/>
        </w:rPr>
      </w:r>
      <w:r w:rsidRPr="00A33698">
        <w:rPr>
          <w:rFonts w:ascii="Arial" w:hAnsi="Arial" w:cs="Arial"/>
          <w:sz w:val="24"/>
          <w:szCs w:val="24"/>
        </w:rPr>
        <w:fldChar w:fldCharType="separate"/>
      </w:r>
      <w:r w:rsidRPr="00A33698">
        <w:rPr>
          <w:rStyle w:val="Hyperlink"/>
          <w:rFonts w:ascii="Arial" w:hAnsi="Arial" w:cs="Arial"/>
          <w:sz w:val="24"/>
          <w:szCs w:val="24"/>
        </w:rPr>
        <w:t>https://link.springer.com/article/10.1007/s11573-021-01039-8#citeas</w:t>
      </w:r>
      <w:r w:rsidRPr="00A33698">
        <w:rPr>
          <w:rFonts w:ascii="Arial" w:hAnsi="Arial" w:cs="Arial"/>
          <w:sz w:val="24"/>
          <w:szCs w:val="24"/>
        </w:rPr>
        <w:fldChar w:fldCharType="end"/>
      </w:r>
      <w:r w:rsidRPr="00A33698">
        <w:rPr>
          <w:rFonts w:ascii="Arial" w:hAnsi="Arial" w:cs="Arial"/>
          <w:sz w:val="24"/>
          <w:szCs w:val="24"/>
        </w:rPr>
        <w:t xml:space="preserve">  </w:t>
      </w:r>
      <w:bookmarkEnd w:id="5"/>
      <w:r w:rsidRPr="00A33698">
        <w:rPr>
          <w:rFonts w:ascii="Arial" w:hAnsi="Arial" w:cs="Arial"/>
          <w:sz w:val="24"/>
          <w:szCs w:val="24"/>
        </w:rPr>
        <w:t>(Accessed: 12 March 2024)</w:t>
      </w:r>
    </w:p>
    <w:p w14:paraId="5D3DC0E7" w14:textId="77777777" w:rsidR="008D7A7E" w:rsidRPr="00A33698" w:rsidRDefault="008D7A7E" w:rsidP="00A33698">
      <w:pPr>
        <w:spacing w:line="360" w:lineRule="auto"/>
        <w:jc w:val="both"/>
        <w:rPr>
          <w:rFonts w:ascii="Arial" w:hAnsi="Arial" w:cs="Arial"/>
          <w:sz w:val="24"/>
          <w:szCs w:val="24"/>
        </w:rPr>
      </w:pPr>
    </w:p>
    <w:p w14:paraId="129A408E" w14:textId="77777777" w:rsidR="003B3E64" w:rsidRPr="00A33698" w:rsidRDefault="003B3E64" w:rsidP="00A33698">
      <w:pPr>
        <w:spacing w:line="360" w:lineRule="auto"/>
        <w:jc w:val="both"/>
        <w:rPr>
          <w:rFonts w:ascii="Arial" w:hAnsi="Arial" w:cs="Arial"/>
          <w:color w:val="000000" w:themeColor="text1"/>
          <w:sz w:val="24"/>
          <w:szCs w:val="24"/>
        </w:rPr>
      </w:pPr>
    </w:p>
    <w:p w14:paraId="1E3DE278" w14:textId="77777777" w:rsidR="009E153E" w:rsidRPr="00A33698" w:rsidRDefault="009E153E" w:rsidP="00A33698">
      <w:pPr>
        <w:spacing w:line="360" w:lineRule="auto"/>
        <w:jc w:val="both"/>
        <w:rPr>
          <w:rFonts w:ascii="Arial" w:hAnsi="Arial" w:cs="Arial"/>
          <w:sz w:val="24"/>
          <w:szCs w:val="24"/>
        </w:rPr>
      </w:pPr>
    </w:p>
    <w:p w14:paraId="3CE68743" w14:textId="77777777" w:rsidR="004D68A1" w:rsidRPr="00A33698" w:rsidRDefault="004D68A1" w:rsidP="00A33698">
      <w:pPr>
        <w:spacing w:line="360" w:lineRule="auto"/>
        <w:jc w:val="both"/>
        <w:rPr>
          <w:rFonts w:ascii="Arial" w:hAnsi="Arial" w:cs="Arial"/>
          <w:sz w:val="24"/>
          <w:szCs w:val="24"/>
        </w:rPr>
      </w:pPr>
    </w:p>
    <w:p w14:paraId="29986C1D" w14:textId="77777777" w:rsidR="00BD0CA8" w:rsidRPr="00A33698" w:rsidRDefault="00BD0CA8" w:rsidP="00A33698">
      <w:pPr>
        <w:spacing w:line="360" w:lineRule="auto"/>
        <w:jc w:val="both"/>
        <w:rPr>
          <w:rFonts w:ascii="Arial" w:hAnsi="Arial" w:cs="Arial"/>
          <w:sz w:val="24"/>
          <w:szCs w:val="24"/>
        </w:rPr>
      </w:pPr>
    </w:p>
    <w:sectPr w:rsidR="00BD0CA8" w:rsidRPr="00A33698">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F64605" w14:textId="77777777" w:rsidR="009A407A" w:rsidRDefault="009A407A" w:rsidP="0075316C">
      <w:pPr>
        <w:spacing w:after="0" w:line="240" w:lineRule="auto"/>
      </w:pPr>
      <w:r>
        <w:separator/>
      </w:r>
    </w:p>
  </w:endnote>
  <w:endnote w:type="continuationSeparator" w:id="0">
    <w:p w14:paraId="6E48A9B8" w14:textId="77777777" w:rsidR="009A407A" w:rsidRDefault="009A407A" w:rsidP="007531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0529390"/>
      <w:docPartObj>
        <w:docPartGallery w:val="Page Numbers (Bottom of Page)"/>
        <w:docPartUnique/>
      </w:docPartObj>
    </w:sdtPr>
    <w:sdtEndPr>
      <w:rPr>
        <w:noProof/>
      </w:rPr>
    </w:sdtEndPr>
    <w:sdtContent>
      <w:p w14:paraId="36203628" w14:textId="4A8E55D3" w:rsidR="0075316C" w:rsidRDefault="0075316C">
        <w:pPr>
          <w:pStyle w:val="Footer"/>
        </w:pPr>
        <w:r>
          <w:fldChar w:fldCharType="begin"/>
        </w:r>
        <w:r>
          <w:instrText xml:space="preserve"> PAGE   \* MERGEFORMAT </w:instrText>
        </w:r>
        <w:r>
          <w:fldChar w:fldCharType="separate"/>
        </w:r>
        <w:r>
          <w:rPr>
            <w:noProof/>
          </w:rPr>
          <w:t>2</w:t>
        </w:r>
        <w:r>
          <w:rPr>
            <w:noProof/>
          </w:rPr>
          <w:fldChar w:fldCharType="end"/>
        </w:r>
      </w:p>
    </w:sdtContent>
  </w:sdt>
  <w:p w14:paraId="370E1647" w14:textId="77777777" w:rsidR="0075316C" w:rsidRDefault="007531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9A4689" w14:textId="77777777" w:rsidR="009A407A" w:rsidRDefault="009A407A" w:rsidP="0075316C">
      <w:pPr>
        <w:spacing w:after="0" w:line="240" w:lineRule="auto"/>
      </w:pPr>
      <w:r>
        <w:separator/>
      </w:r>
    </w:p>
  </w:footnote>
  <w:footnote w:type="continuationSeparator" w:id="0">
    <w:p w14:paraId="6928BD74" w14:textId="77777777" w:rsidR="009A407A" w:rsidRDefault="009A407A" w:rsidP="007531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42E"/>
    <w:rsid w:val="00013FCD"/>
    <w:rsid w:val="0005093D"/>
    <w:rsid w:val="0007381E"/>
    <w:rsid w:val="00092206"/>
    <w:rsid w:val="0009770B"/>
    <w:rsid w:val="000A5331"/>
    <w:rsid w:val="000B387B"/>
    <w:rsid w:val="000E38F0"/>
    <w:rsid w:val="001024EB"/>
    <w:rsid w:val="00104CE1"/>
    <w:rsid w:val="00113F11"/>
    <w:rsid w:val="0011776C"/>
    <w:rsid w:val="00126A39"/>
    <w:rsid w:val="00143916"/>
    <w:rsid w:val="00151147"/>
    <w:rsid w:val="0016363F"/>
    <w:rsid w:val="0018455D"/>
    <w:rsid w:val="00184784"/>
    <w:rsid w:val="00191DBB"/>
    <w:rsid w:val="001A2F10"/>
    <w:rsid w:val="001D6547"/>
    <w:rsid w:val="001E4C47"/>
    <w:rsid w:val="001F1C5A"/>
    <w:rsid w:val="001F4CCF"/>
    <w:rsid w:val="00207EB4"/>
    <w:rsid w:val="002119E8"/>
    <w:rsid w:val="002141D3"/>
    <w:rsid w:val="00215549"/>
    <w:rsid w:val="00215686"/>
    <w:rsid w:val="00246223"/>
    <w:rsid w:val="0025405C"/>
    <w:rsid w:val="00260C5C"/>
    <w:rsid w:val="00267A2B"/>
    <w:rsid w:val="0027658F"/>
    <w:rsid w:val="00284FD2"/>
    <w:rsid w:val="0029139B"/>
    <w:rsid w:val="002A369F"/>
    <w:rsid w:val="002B678D"/>
    <w:rsid w:val="002C50B3"/>
    <w:rsid w:val="002D5439"/>
    <w:rsid w:val="002F0368"/>
    <w:rsid w:val="002F1D00"/>
    <w:rsid w:val="002F4C22"/>
    <w:rsid w:val="00302CE6"/>
    <w:rsid w:val="00310F99"/>
    <w:rsid w:val="00346876"/>
    <w:rsid w:val="0035499D"/>
    <w:rsid w:val="00371E5E"/>
    <w:rsid w:val="00380057"/>
    <w:rsid w:val="003950E2"/>
    <w:rsid w:val="003A5906"/>
    <w:rsid w:val="003A6C0E"/>
    <w:rsid w:val="003B3E64"/>
    <w:rsid w:val="003F2C82"/>
    <w:rsid w:val="0040342F"/>
    <w:rsid w:val="0041283B"/>
    <w:rsid w:val="0045320A"/>
    <w:rsid w:val="004532DA"/>
    <w:rsid w:val="00454B03"/>
    <w:rsid w:val="00465E7E"/>
    <w:rsid w:val="00465F7E"/>
    <w:rsid w:val="00472F80"/>
    <w:rsid w:val="00481794"/>
    <w:rsid w:val="0048620C"/>
    <w:rsid w:val="00493EBC"/>
    <w:rsid w:val="00495149"/>
    <w:rsid w:val="00495D65"/>
    <w:rsid w:val="004A0942"/>
    <w:rsid w:val="004B6666"/>
    <w:rsid w:val="004C3043"/>
    <w:rsid w:val="004D1E84"/>
    <w:rsid w:val="004D68A1"/>
    <w:rsid w:val="004E10D2"/>
    <w:rsid w:val="004E75B7"/>
    <w:rsid w:val="004F0E13"/>
    <w:rsid w:val="005506FA"/>
    <w:rsid w:val="00555A88"/>
    <w:rsid w:val="00556232"/>
    <w:rsid w:val="00561CF8"/>
    <w:rsid w:val="00575EEB"/>
    <w:rsid w:val="0057661A"/>
    <w:rsid w:val="00586D85"/>
    <w:rsid w:val="005C7187"/>
    <w:rsid w:val="005C721B"/>
    <w:rsid w:val="005D6CDF"/>
    <w:rsid w:val="005E2288"/>
    <w:rsid w:val="006009BB"/>
    <w:rsid w:val="00615B4C"/>
    <w:rsid w:val="0063442E"/>
    <w:rsid w:val="006544E7"/>
    <w:rsid w:val="00680FCB"/>
    <w:rsid w:val="006A009D"/>
    <w:rsid w:val="006A1CBB"/>
    <w:rsid w:val="006A2716"/>
    <w:rsid w:val="006A702F"/>
    <w:rsid w:val="006D6CC6"/>
    <w:rsid w:val="006E6202"/>
    <w:rsid w:val="006F365F"/>
    <w:rsid w:val="0070201A"/>
    <w:rsid w:val="00710C1C"/>
    <w:rsid w:val="007207BD"/>
    <w:rsid w:val="00721938"/>
    <w:rsid w:val="007248B3"/>
    <w:rsid w:val="007336FA"/>
    <w:rsid w:val="00734861"/>
    <w:rsid w:val="0074189A"/>
    <w:rsid w:val="0075316C"/>
    <w:rsid w:val="00757120"/>
    <w:rsid w:val="00787767"/>
    <w:rsid w:val="007A2900"/>
    <w:rsid w:val="007B1819"/>
    <w:rsid w:val="007B312A"/>
    <w:rsid w:val="0081319B"/>
    <w:rsid w:val="008222D3"/>
    <w:rsid w:val="0082242E"/>
    <w:rsid w:val="008377E6"/>
    <w:rsid w:val="00850075"/>
    <w:rsid w:val="00851A13"/>
    <w:rsid w:val="008545C5"/>
    <w:rsid w:val="00865935"/>
    <w:rsid w:val="00875E84"/>
    <w:rsid w:val="00883A3F"/>
    <w:rsid w:val="008A5298"/>
    <w:rsid w:val="008B2DDE"/>
    <w:rsid w:val="008B509D"/>
    <w:rsid w:val="008C7546"/>
    <w:rsid w:val="008D7A7E"/>
    <w:rsid w:val="008E7AA1"/>
    <w:rsid w:val="009641ED"/>
    <w:rsid w:val="0096521F"/>
    <w:rsid w:val="00984B2D"/>
    <w:rsid w:val="009A407A"/>
    <w:rsid w:val="009A41C5"/>
    <w:rsid w:val="009B11DE"/>
    <w:rsid w:val="009E153E"/>
    <w:rsid w:val="00A077F5"/>
    <w:rsid w:val="00A1345B"/>
    <w:rsid w:val="00A14C73"/>
    <w:rsid w:val="00A33698"/>
    <w:rsid w:val="00A36C16"/>
    <w:rsid w:val="00A45ED6"/>
    <w:rsid w:val="00A515A7"/>
    <w:rsid w:val="00A57E32"/>
    <w:rsid w:val="00A610D0"/>
    <w:rsid w:val="00A70812"/>
    <w:rsid w:val="00A72120"/>
    <w:rsid w:val="00A7299A"/>
    <w:rsid w:val="00A76881"/>
    <w:rsid w:val="00A76F49"/>
    <w:rsid w:val="00AC5C2A"/>
    <w:rsid w:val="00AE0D84"/>
    <w:rsid w:val="00AF564C"/>
    <w:rsid w:val="00B01728"/>
    <w:rsid w:val="00B0348B"/>
    <w:rsid w:val="00B14DCD"/>
    <w:rsid w:val="00B25B8B"/>
    <w:rsid w:val="00B25D45"/>
    <w:rsid w:val="00B43E19"/>
    <w:rsid w:val="00B45766"/>
    <w:rsid w:val="00B53489"/>
    <w:rsid w:val="00B63869"/>
    <w:rsid w:val="00B7444C"/>
    <w:rsid w:val="00B7460E"/>
    <w:rsid w:val="00B74E17"/>
    <w:rsid w:val="00B755A9"/>
    <w:rsid w:val="00B9030B"/>
    <w:rsid w:val="00B969BE"/>
    <w:rsid w:val="00BA03A7"/>
    <w:rsid w:val="00BA766A"/>
    <w:rsid w:val="00BD0CA8"/>
    <w:rsid w:val="00BD2193"/>
    <w:rsid w:val="00BD714A"/>
    <w:rsid w:val="00BF44EC"/>
    <w:rsid w:val="00BF4B13"/>
    <w:rsid w:val="00C302D5"/>
    <w:rsid w:val="00C34A6F"/>
    <w:rsid w:val="00C570D7"/>
    <w:rsid w:val="00C925E4"/>
    <w:rsid w:val="00CB69E3"/>
    <w:rsid w:val="00CB6B00"/>
    <w:rsid w:val="00CD0D34"/>
    <w:rsid w:val="00CD56BF"/>
    <w:rsid w:val="00CD6D9F"/>
    <w:rsid w:val="00CE0FBA"/>
    <w:rsid w:val="00CF3727"/>
    <w:rsid w:val="00D171FD"/>
    <w:rsid w:val="00D26372"/>
    <w:rsid w:val="00D40944"/>
    <w:rsid w:val="00D4109A"/>
    <w:rsid w:val="00D479E0"/>
    <w:rsid w:val="00D63874"/>
    <w:rsid w:val="00D720D0"/>
    <w:rsid w:val="00D81C1D"/>
    <w:rsid w:val="00D85E50"/>
    <w:rsid w:val="00D9442F"/>
    <w:rsid w:val="00DB7B7E"/>
    <w:rsid w:val="00DC1EE0"/>
    <w:rsid w:val="00DD2D4D"/>
    <w:rsid w:val="00DD5480"/>
    <w:rsid w:val="00DD7520"/>
    <w:rsid w:val="00DE1E57"/>
    <w:rsid w:val="00E20794"/>
    <w:rsid w:val="00E52C7C"/>
    <w:rsid w:val="00E531D5"/>
    <w:rsid w:val="00E7585E"/>
    <w:rsid w:val="00E91ACC"/>
    <w:rsid w:val="00E94D97"/>
    <w:rsid w:val="00E96FBD"/>
    <w:rsid w:val="00EA689F"/>
    <w:rsid w:val="00EC01B4"/>
    <w:rsid w:val="00EC6262"/>
    <w:rsid w:val="00F008A9"/>
    <w:rsid w:val="00F81D8F"/>
    <w:rsid w:val="00F85B4B"/>
    <w:rsid w:val="00F870CE"/>
    <w:rsid w:val="00FA34A1"/>
    <w:rsid w:val="00FC12AD"/>
    <w:rsid w:val="00FC4960"/>
    <w:rsid w:val="00FD2270"/>
    <w:rsid w:val="00FD2A33"/>
    <w:rsid w:val="00FE5281"/>
    <w:rsid w:val="00FE7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39CF8"/>
  <w15:chartTrackingRefBased/>
  <w15:docId w15:val="{A0013961-04CF-43D4-90E6-1F49BDC71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56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242E"/>
    <w:rPr>
      <w:color w:val="0563C1" w:themeColor="hyperlink"/>
      <w:u w:val="single"/>
    </w:rPr>
  </w:style>
  <w:style w:type="character" w:styleId="UnresolvedMention">
    <w:name w:val="Unresolved Mention"/>
    <w:basedOn w:val="DefaultParagraphFont"/>
    <w:uiPriority w:val="99"/>
    <w:semiHidden/>
    <w:unhideWhenUsed/>
    <w:rsid w:val="008A5298"/>
    <w:rPr>
      <w:color w:val="605E5C"/>
      <w:shd w:val="clear" w:color="auto" w:fill="E1DFDD"/>
    </w:rPr>
  </w:style>
  <w:style w:type="character" w:styleId="Strong">
    <w:name w:val="Strong"/>
    <w:basedOn w:val="DefaultParagraphFont"/>
    <w:uiPriority w:val="22"/>
    <w:qFormat/>
    <w:rsid w:val="006E6202"/>
    <w:rPr>
      <w:b/>
      <w:bCs/>
    </w:rPr>
  </w:style>
  <w:style w:type="paragraph" w:styleId="Header">
    <w:name w:val="header"/>
    <w:basedOn w:val="Normal"/>
    <w:link w:val="HeaderChar"/>
    <w:uiPriority w:val="99"/>
    <w:unhideWhenUsed/>
    <w:rsid w:val="007531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316C"/>
  </w:style>
  <w:style w:type="paragraph" w:styleId="Footer">
    <w:name w:val="footer"/>
    <w:basedOn w:val="Normal"/>
    <w:link w:val="FooterChar"/>
    <w:uiPriority w:val="99"/>
    <w:unhideWhenUsed/>
    <w:rsid w:val="007531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316C"/>
  </w:style>
  <w:style w:type="character" w:customStyle="1" w:styleId="Heading1Char">
    <w:name w:val="Heading 1 Char"/>
    <w:basedOn w:val="DefaultParagraphFont"/>
    <w:link w:val="Heading1"/>
    <w:uiPriority w:val="9"/>
    <w:rsid w:val="00CD56B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2341334">
      <w:bodyDiv w:val="1"/>
      <w:marLeft w:val="0"/>
      <w:marRight w:val="0"/>
      <w:marTop w:val="0"/>
      <w:marBottom w:val="0"/>
      <w:divBdr>
        <w:top w:val="none" w:sz="0" w:space="0" w:color="auto"/>
        <w:left w:val="none" w:sz="0" w:space="0" w:color="auto"/>
        <w:bottom w:val="none" w:sz="0" w:space="0" w:color="auto"/>
        <w:right w:val="none" w:sz="0" w:space="0" w:color="auto"/>
      </w:divBdr>
    </w:div>
    <w:div w:id="2006787800">
      <w:bodyDiv w:val="1"/>
      <w:marLeft w:val="0"/>
      <w:marRight w:val="0"/>
      <w:marTop w:val="0"/>
      <w:marBottom w:val="0"/>
      <w:divBdr>
        <w:top w:val="none" w:sz="0" w:space="0" w:color="auto"/>
        <w:left w:val="none" w:sz="0" w:space="0" w:color="auto"/>
        <w:bottom w:val="none" w:sz="0" w:space="0" w:color="auto"/>
        <w:right w:val="none" w:sz="0" w:space="0" w:color="auto"/>
      </w:divBdr>
    </w:div>
    <w:div w:id="2115175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348702/leading-global-pharmaceutical-companies-by-vaccine-market-share/" TargetMode="External"/><Relationship Id="rId13" Type="http://schemas.openxmlformats.org/officeDocument/2006/relationships/hyperlink" Target="https://www.imf.org/external/pubs/ft/wp/2006/wp06255.pd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freshbooks.com/glossary/financial/parallel-loan"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financestrategists.com/wealth-management/investment-risk/exchange-rate-risk/"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investopedia.com/articles/04/092904.asp" TargetMode="External"/><Relationship Id="rId5" Type="http://schemas.openxmlformats.org/officeDocument/2006/relationships/endnotes" Target="endnotes.xml"/><Relationship Id="rId15" Type="http://schemas.openxmlformats.org/officeDocument/2006/relationships/hyperlink" Target="https://www.statista.com/statistics/348702/leading-global-pharmaceutical-companies-by-vaccine-market-share/" TargetMode="External"/><Relationship Id="rId10" Type="http://schemas.openxmlformats.org/officeDocument/2006/relationships/hyperlink" Target="https://corporatefinanceinstitute.com/resources/foreign-exchange/foreign-exchange-risk/"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supermoney.com/encyclopedia/translation-exposure" TargetMode="External"/><Relationship Id="rId14" Type="http://schemas.openxmlformats.org/officeDocument/2006/relationships/hyperlink" Target="https://marketrealist.com/2015/07/glaxosmithkline-british-multinational-pharmaceutical-compa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2294</Words>
  <Characters>13080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STANIMIRA NIKOLOVA</dc:creator>
  <cp:keywords/>
  <dc:description/>
  <cp:lastModifiedBy>STANIMIRA NIKOLOVA</cp:lastModifiedBy>
  <cp:revision>2</cp:revision>
  <dcterms:created xsi:type="dcterms:W3CDTF">2024-03-28T17:21:00Z</dcterms:created>
  <dcterms:modified xsi:type="dcterms:W3CDTF">2024-03-28T17:21:00Z</dcterms:modified>
</cp:coreProperties>
</file>