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F68CD06" w14:textId="0B677B1E" w:rsidR="3F2A224A" w:rsidRDefault="3F2A224A"/>
    <w:p w14:paraId="03ED90FF" w14:textId="1298A388" w:rsidR="00D75F90" w:rsidRDefault="00D75F90">
      <w:pPr>
        <w:rPr>
          <w:rStyle w:val="normaltextrun"/>
          <w:rFonts w:ascii="Arial" w:eastAsiaTheme="majorEastAsia" w:hAnsi="Arial" w:cs="Arial"/>
          <w:kern w:val="0"/>
          <w:sz w:val="24"/>
          <w:szCs w:val="24"/>
          <w:lang w:eastAsia="en-GB"/>
          <w14:ligatures w14:val="none"/>
        </w:rPr>
      </w:pPr>
    </w:p>
    <w:sdt>
      <w:sdtPr>
        <w:id w:val="-2066563548"/>
        <w:docPartObj>
          <w:docPartGallery w:val="Cover Pages"/>
          <w:docPartUnique/>
        </w:docPartObj>
      </w:sdtPr>
      <w:sdtEndPr>
        <w:rPr>
          <w:rStyle w:val="normaltextrun"/>
          <w:rFonts w:ascii="Arial" w:eastAsiaTheme="majorEastAsia" w:hAnsi="Arial" w:cs="Arial"/>
          <w:kern w:val="0"/>
          <w:sz w:val="24"/>
          <w:szCs w:val="24"/>
          <w:lang w:eastAsia="en-GB"/>
          <w14:ligatures w14:val="none"/>
        </w:rPr>
      </w:sdtEndPr>
      <w:sdtContent>
        <w:p w14:paraId="66C8B9E2" w14:textId="1351C117" w:rsidR="00D75F90" w:rsidRDefault="00D75F90">
          <w:r>
            <w:rPr>
              <w:noProof/>
            </w:rPr>
            <mc:AlternateContent>
              <mc:Choice Requires="wps">
                <w:drawing>
                  <wp:anchor distT="0" distB="0" distL="114300" distR="114300" simplePos="0" relativeHeight="251664384" behindDoc="0" locked="0" layoutInCell="1" allowOverlap="1" wp14:anchorId="3D900AEA" wp14:editId="59FF777E">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66000</wp14:pctPosVOffset>
                        </wp:positionV>
                      </mc:Choice>
                      <mc:Fallback>
                        <wp:positionV relativeFrom="page">
                          <wp:posOffset>7056755</wp:posOffset>
                        </wp:positionV>
                      </mc:Fallback>
                    </mc:AlternateContent>
                    <wp:extent cx="2797810" cy="268605"/>
                    <wp:effectExtent l="0" t="0" r="0" b="0"/>
                    <wp:wrapSquare wrapText="bothSides"/>
                    <wp:docPr id="465" name="Text Box 255"/>
                    <wp:cNvGraphicFramePr/>
                    <a:graphic xmlns:a="http://schemas.openxmlformats.org/drawingml/2006/main">
                      <a:graphicData uri="http://schemas.microsoft.com/office/word/2010/wordprocessingShape">
                        <wps:wsp>
                          <wps:cNvSpPr txBox="1"/>
                          <wps:spPr>
                            <a:xfrm>
                              <a:off x="0" y="0"/>
                              <a:ext cx="2797810" cy="268605"/>
                            </a:xfrm>
                            <a:prstGeom prst="rect">
                              <a:avLst/>
                            </a:prstGeom>
                            <a:noFill/>
                            <a:ln w="6350">
                              <a:noFill/>
                            </a:ln>
                            <a:effectLst/>
                          </wps:spPr>
                          <wps:txbx>
                            <w:txbxContent>
                              <w:p w14:paraId="63754499" w14:textId="5E8CB783" w:rsidR="00D75F90" w:rsidRDefault="00000000">
                                <w:pPr>
                                  <w:pStyle w:val="NoSpacing"/>
                                  <w:rPr>
                                    <w:noProof/>
                                    <w:color w:val="0E2841" w:themeColor="text2"/>
                                  </w:rPr>
                                </w:pPr>
                                <w:sdt>
                                  <w:sdtPr>
                                    <w:rPr>
                                      <w:noProof/>
                                      <w:color w:val="0E2841" w:themeColor="text2"/>
                                    </w:rPr>
                                    <w:alias w:val="Author"/>
                                    <w:id w:val="15524260"/>
                                    <w:dataBinding w:prefixMappings="xmlns:ns0='http://schemas.openxmlformats.org/package/2006/metadata/core-properties' xmlns:ns1='http://purl.org/dc/elements/1.1/'" w:xpath="/ns0:coreProperties[1]/ns1:creator[1]" w:storeItemID="{6C3C8BC8-F283-45AE-878A-BAB7291924A1}"/>
                                    <w:text/>
                                  </w:sdtPr>
                                  <w:sdtContent>
                                    <w:r w:rsidR="00D75F90">
                                      <w:rPr>
                                        <w:noProof/>
                                        <w:color w:val="0E2841" w:themeColor="text2"/>
                                      </w:rPr>
                                      <w:t>Ceri Marie Jones (1806930)</w:t>
                                    </w:r>
                                  </w:sdtContent>
                                </w:sdt>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spAutoFit/>
                          </wps:bodyPr>
                        </wps:wsp>
                      </a:graphicData>
                    </a:graphic>
                    <wp14:sizeRelH relativeFrom="page">
                      <wp14:pctWidth>36000</wp14:pctWidth>
                    </wp14:sizeRelH>
                    <wp14:sizeRelV relativeFrom="margin">
                      <wp14:pctHeight>0</wp14:pctHeight>
                    </wp14:sizeRelV>
                  </wp:anchor>
                </w:drawing>
              </mc:Choice>
              <mc:Fallback>
                <w:pict>
                  <v:shapetype w14:anchorId="3D900AEA" id="_x0000_t202" coordsize="21600,21600" o:spt="202" path="m,l,21600r21600,l21600,xe">
                    <v:stroke joinstyle="miter"/>
                    <v:path gradientshapeok="t" o:connecttype="rect"/>
                  </v:shapetype>
                  <v:shape id="Text Box 255" o:spid="_x0000_s1026" type="#_x0000_t202" style="position:absolute;margin-left:0;margin-top:0;width:220.3pt;height:21.15pt;z-index:251664384;visibility:visible;mso-wrap-style:square;mso-width-percent:360;mso-height-percent:0;mso-left-percent:455;mso-top-percent:660;mso-wrap-distance-left:9pt;mso-wrap-distance-top:0;mso-wrap-distance-right:9pt;mso-wrap-distance-bottom:0;mso-position-horizontal-relative:page;mso-position-vertical-relative:page;mso-width-percent:360;mso-height-percent:0;mso-left-percent:455;mso-top-percent:66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" filled="f" stroked="f" strokeweight=".5pt">
                    <v:textbox style="mso-fit-shape-to-text:t">
                      <w:txbxContent>
                        <w:p w14:paraId="63754499" w14:textId="5E8CB783" w:rsidR="00D75F90" w:rsidRDefault="00000000">
                          <w:pPr>
                            <w:pStyle w:val="NoSpacing"/>
                            <w:rPr>
                              <w:noProof/>
                              <w:color w:val="0E2841" w:themeColor="text2"/>
                            </w:rPr>
                          </w:pPr>
                          <w:sdt>
                            <w:sdtPr>
                              <w:rPr>
                                <w:noProof/>
                                <w:color w:val="0E2841" w:themeColor="text2"/>
                              </w:rPr>
                              <w:alias w:val="Author"/>
                              <w:id w:val="15524260"/>
                              <w:dataBinding w:prefixMappings="xmlns:ns0='http://schemas.openxmlformats.org/package/2006/metadata/core-properties' xmlns:ns1='http://purl.org/dc/elements/1.1/'" w:xpath="/ns0:coreProperties[1]/ns1:creator[1]" w:storeItemID="{6C3C8BC8-F283-45AE-878A-BAB7291924A1}"/>
                              <w:text/>
                            </w:sdtPr>
                            <w:sdtContent>
                              <w:r w:rsidR="00D75F90">
                                <w:rPr>
                                  <w:noProof/>
                                  <w:color w:val="0E2841" w:themeColor="text2"/>
                                </w:rPr>
                                <w:t>Ceri Marie Jones (1806930)</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63360" behindDoc="1" locked="0" layoutInCell="1" allowOverlap="1" wp14:anchorId="3897F75D" wp14:editId="38F9756A">
                    <wp:simplePos x="0" y="0"/>
                    <wp:positionH relativeFrom="page">
                      <wp:align>center</wp:align>
                    </wp:positionH>
                    <wp:positionV relativeFrom="page">
                      <wp:align>center</wp:align>
                    </wp:positionV>
                    <wp:extent cx="7383780" cy="9555480"/>
                    <wp:effectExtent l="0" t="0" r="7620" b="7620"/>
                    <wp:wrapNone/>
                    <wp:docPr id="466" name="Rectangle 25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383780" cy="9555480"/>
                            </a:xfrm>
                            <a:prstGeom prst="rect">
                              <a:avLst/>
                            </a:prstGeom>
                            <a:gradFill>
                              <a:gsLst>
                                <a:gs pos="0">
                                  <a:schemeClr val="accent1">
                                    <a:lumMod val="20000"/>
                                    <a:lumOff val="80000"/>
                                  </a:schemeClr>
                                </a:gs>
                                <a:gs pos="100000">
                                  <a:schemeClr val="accent1">
                                    <a:lumMod val="60000"/>
                                    <a:lumOff val="40000"/>
                                  </a:schemeClr>
                                </a:gs>
                              </a:gsLst>
                            </a:gradFill>
                            <a:ln>
                              <a:noFill/>
                            </a:ln>
                          </wps:spPr>
                          <wps:style>
                            <a:lnRef idx="2">
                              <a:schemeClr val="accent1">
                                <a:shade val="50000"/>
                              </a:schemeClr>
                            </a:lnRef>
                            <a:fillRef idx="1003">
                              <a:schemeClr val="lt2"/>
                            </a:fillRef>
                            <a:effectRef idx="0">
                              <a:schemeClr val="accent1"/>
                            </a:effectRef>
                            <a:fontRef idx="minor">
                              <a:schemeClr val="lt1"/>
                            </a:fontRef>
                          </wps:style>
                          <wps:txbx>
                            <w:txbxContent>
                              <w:p w14:paraId="24D58A69" w14:textId="77777777" w:rsidR="00D75F90" w:rsidRDefault="00D75F90"/>
                            </w:txbxContent>
                          </wps:txbx>
                          <wps:bodyPr rot="0" spcFirstLastPara="0" vertOverflow="overflow" horzOverflow="overflow" vert="horz" wrap="square" lIns="274320" tIns="45720" rIns="27432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w14:anchorId="3897F75D" id="Rectangle 257" o:spid="_x0000_s1027" style="position:absolute;margin-left:0;margin-top:0;width:581.4pt;height:752.4pt;z-index:-251653120;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" fillcolor="#c1e4f5 [660]" stroked="f" strokeweight="1pt">
                    <v:fill color2="#45b0e1 [1940]" rotate="t" focus="100%" type="gradient">
                      <o:fill v:ext="view" type="gradientUnscaled"/>
                    </v:fill>
                    <v:textbox inset="21.6pt,,21.6pt">
                      <w:txbxContent>
                        <w:p w14:paraId="24D58A69" w14:textId="77777777" w:rsidR="00D75F90" w:rsidRDefault="00D75F90"/>
                      </w:txbxContent>
                    </v:textbox>
                    <w10:wrap anchorx="page" anchory="page"/>
                  </v:rect>
                </w:pict>
              </mc:Fallback>
            </mc:AlternateContent>
          </w:r>
          <w:r>
            <w:rPr>
              <w:noProof/>
            </w:rPr>
            <mc:AlternateContent>
              <mc:Choice Requires="wps">
                <w:drawing>
                  <wp:anchor distT="0" distB="0" distL="114300" distR="114300" simplePos="0" relativeHeight="251660288" behindDoc="0" locked="0" layoutInCell="1" allowOverlap="1" wp14:anchorId="551A3A0D" wp14:editId="6A31D6B1">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2500</wp14:pctPosVOffset>
                        </wp:positionV>
                      </mc:Choice>
                      <mc:Fallback>
                        <wp:positionV relativeFrom="page">
                          <wp:posOffset>266700</wp:posOffset>
                        </wp:positionV>
                      </mc:Fallback>
                    </mc:AlternateContent>
                    <wp:extent cx="2875915" cy="3017520"/>
                    <wp:effectExtent l="0" t="0" r="0" b="0"/>
                    <wp:wrapNone/>
                    <wp:docPr id="467" name="Rectangle 259"/>
                    <wp:cNvGraphicFramePr/>
                    <a:graphic xmlns:a="http://schemas.openxmlformats.org/drawingml/2006/main">
                      <a:graphicData uri="http://schemas.microsoft.com/office/word/2010/wordprocessingShape">
                        <wps:wsp>
                          <wps:cNvSpPr/>
                          <wps:spPr>
                            <a:xfrm>
                              <a:off x="0" y="0"/>
                              <a:ext cx="2875915" cy="3017520"/>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3627EACE" w14:textId="642F00B6" w:rsidR="00D75F90" w:rsidRDefault="00000000">
                                <w:pPr>
                                  <w:spacing w:before="240"/>
                                  <w:jc w:val="center"/>
                                  <w:rPr>
                                    <w:color w:val="FFFFFF" w:themeColor="background1"/>
                                  </w:rPr>
                                </w:pPr>
                                <w:sdt>
                                  <w:sdtPr>
                                    <w:rPr>
                                      <w:color w:val="FFFFFF" w:themeColor="background1"/>
                                    </w:rPr>
                                    <w:alias w:val="Abstract"/>
                                    <w:id w:val="8276291"/>
                                    <w:showingPlcHdr/>
                                    <w:dataBinding w:prefixMappings="xmlns:ns0='http://schemas.microsoft.com/office/2006/coverPageProps'" w:xpath="/ns0:CoverPageProperties[1]/ns0:Abstract[1]" w:storeItemID="{55AF091B-3C7A-41E3-B477-F2FDAA23CFDA}"/>
                                    <w:text/>
                                  </w:sdtPr>
                                  <w:sdtContent>
                                    <w:r w:rsidR="00D75F90">
                                      <w:rPr>
                                        <w:color w:val="FFFFFF" w:themeColor="background1"/>
                                      </w:rPr>
                                      <w:t xml:space="preserve">     </w:t>
                                    </w:r>
                                  </w:sdtContent>
                                </w:sdt>
                                <w:r w:rsidR="00D75F90" w:rsidRPr="00D75F90">
                                  <w:rPr>
                                    <w:noProof/>
                                  </w:rPr>
                                  <w:drawing>
                                    <wp:inline distT="0" distB="0" distL="0" distR="0" wp14:anchorId="7A3B336F" wp14:editId="4C312A0D">
                                      <wp:extent cx="2152650" cy="857250"/>
                                      <wp:effectExtent l="0" t="0" r="0" b="0"/>
                                      <wp:docPr id="168069076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0690766" name=""/>
                                              <pic:cNvPicPr/>
                                            </pic:nvPicPr>
                                            <pic:blipFill>
                                              <a:blip r:embed="rId10"/>
                                              <a:stretch>
                                                <a:fillRect/>
                                              </a:stretch>
                                            </pic:blipFill>
                                            <pic:spPr>
                                              <a:xfrm>
                                                <a:off x="0" y="0"/>
                                                <a:ext cx="2152650" cy="857250"/>
                                              </a:xfrm>
                                              <a:prstGeom prst="rect">
                                                <a:avLst/>
                                              </a:prstGeom>
                                            </pic:spPr>
                                          </pic:pic>
                                        </a:graphicData>
                                      </a:graphic>
                                    </wp:inline>
                                  </w:drawing>
                                </w:r>
                              </w:p>
                            </w:txbxContent>
                          </wps:txbx>
                          <wps:bodyPr rot="0" spcFirstLastPara="0" vertOverflow="overflow" horzOverflow="overflow" vert="horz" wrap="square" lIns="182880" tIns="182880" rIns="182880" bIns="365760" numCol="1" spcCol="0" rtlCol="0" fromWordArt="0" anchor="b" anchorCtr="0" forceAA="0" compatLnSpc="1">
                            <a:prstTxWarp prst="textNoShape">
                              <a:avLst/>
                            </a:prstTxWarp>
                            <a:noAutofit/>
                          </wps:bodyPr>
                        </wps:wsp>
                      </a:graphicData>
                    </a:graphic>
                    <wp14:sizeRelH relativeFrom="page">
                      <wp14:pctWidth>37000</wp14:pctWidth>
                    </wp14:sizeRelH>
                    <wp14:sizeRelV relativeFrom="page">
                      <wp14:pctHeight>30000</wp14:pctHeight>
                    </wp14:sizeRelV>
                  </wp:anchor>
                </w:drawing>
              </mc:Choice>
              <mc:Fallback>
                <w:pict>
                  <v:rect w14:anchorId="551A3A0D" id="Rectangle 259" o:spid="_x0000_s1028" style="position:absolute;margin-left:0;margin-top:0;width:226.45pt;height:237.6pt;z-index:251660288;visibility:visible;mso-wrap-style:square;mso-width-percent:370;mso-height-percent:300;mso-left-percent:455;mso-top-percent:25;mso-wrap-distance-left:9pt;mso-wrap-distance-top:0;mso-wrap-distance-right:9pt;mso-wrap-distance-bottom:0;mso-position-horizontal-relative:page;mso-position-vertical-relative:page;mso-width-percent:370;mso-height-percent:300;mso-left-percent:455;mso-top-percent:25;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" fillcolor="#0e2841 [3215]" stroked="f" strokeweight="1pt">
                    <v:textbox inset="14.4pt,14.4pt,14.4pt,28.8pt">
                      <w:txbxContent>
                        <w:p w14:paraId="3627EACE" w14:textId="642F00B6" w:rsidR="00D75F90" w:rsidRDefault="00000000">
                          <w:pPr>
                            <w:spacing w:before="240"/>
                            <w:jc w:val="center"/>
                            <w:rPr>
                              <w:color w:val="FFFFFF" w:themeColor="background1"/>
                            </w:rPr>
                          </w:pPr>
                          <w:sdt>
                            <w:sdtPr>
                              <w:rPr>
                                <w:color w:val="FFFFFF" w:themeColor="background1"/>
                              </w:rPr>
                              <w:alias w:val="Abstract"/>
                              <w:id w:val="8276291"/>
                              <w:showingPlcHdr/>
                              <w:dataBinding w:prefixMappings="xmlns:ns0='http://schemas.microsoft.com/office/2006/coverPageProps'" w:xpath="/ns0:CoverPageProperties[1]/ns0:Abstract[1]" w:storeItemID="{55AF091B-3C7A-41E3-B477-F2FDAA23CFDA}"/>
                              <w:text/>
                            </w:sdtPr>
                            <w:sdtContent>
                              <w:r w:rsidR="00D75F90">
                                <w:rPr>
                                  <w:color w:val="FFFFFF" w:themeColor="background1"/>
                                </w:rPr>
                                <w:t xml:space="preserve">     </w:t>
                              </w:r>
                            </w:sdtContent>
                          </w:sdt>
                          <w:r w:rsidR="00D75F90" w:rsidRPr="00D75F90">
                            <w:rPr>
                              <w:noProof/>
                            </w:rPr>
                            <w:drawing>
                              <wp:inline distT="0" distB="0" distL="0" distR="0" wp14:anchorId="7A3B336F" wp14:editId="4C312A0D">
                                <wp:extent cx="2152650" cy="857250"/>
                                <wp:effectExtent l="0" t="0" r="0" b="0"/>
                                <wp:docPr id="168069076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0690766" name=""/>
                                        <pic:cNvPicPr/>
                                      </pic:nvPicPr>
                                      <pic:blipFill>
                                        <a:blip r:embed="rId10"/>
                                        <a:stretch>
                                          <a:fillRect/>
                                        </a:stretch>
                                      </pic:blipFill>
                                      <pic:spPr>
                                        <a:xfrm>
                                          <a:off x="0" y="0"/>
                                          <a:ext cx="2152650" cy="857250"/>
                                        </a:xfrm>
                                        <a:prstGeom prst="rect">
                                          <a:avLst/>
                                        </a:prstGeom>
                                      </pic:spPr>
                                    </pic:pic>
                                  </a:graphicData>
                                </a:graphic>
                              </wp:inline>
                            </w:drawing>
                          </w:r>
                        </w:p>
                      </w:txbxContent>
                    </v:textbox>
                    <w10:wrap anchorx="page" anchory="page"/>
                  </v:rect>
                </w:pict>
              </mc:Fallback>
            </mc:AlternateContent>
          </w:r>
          <w:r>
            <w:rPr>
              <w:noProof/>
            </w:rPr>
            <mc:AlternateContent>
              <mc:Choice Requires="wps">
                <w:drawing>
                  <wp:anchor distT="0" distB="0" distL="114300" distR="114300" simplePos="0" relativeHeight="251659264" behindDoc="0" locked="0" layoutInCell="1" allowOverlap="1" wp14:anchorId="15063991" wp14:editId="2ADB2D6B">
                    <wp:simplePos x="0" y="0"/>
                    <mc:AlternateContent>
                      <mc:Choice Requires="wp14">
                        <wp:positionH relativeFrom="page">
                          <wp14:pctPosHOffset>44000</wp14:pctPosHOffset>
                        </wp:positionH>
                      </mc:Choice>
                      <mc:Fallback>
                        <wp:positionH relativeFrom="page">
                          <wp:posOffset>3326130</wp:posOffset>
                        </wp:positionH>
                      </mc:Fallback>
                    </mc:AlternateContent>
                    <mc:AlternateContent>
                      <mc:Choice Requires="wp14">
                        <wp:positionV relativeFrom="page">
                          <wp14:pctPosVOffset>2500</wp14:pctPosVOffset>
                        </wp:positionV>
                      </mc:Choice>
                      <mc:Fallback>
                        <wp:positionV relativeFrom="page">
                          <wp:posOffset>266700</wp:posOffset>
                        </wp:positionV>
                      </mc:Fallback>
                    </mc:AlternateContent>
                    <wp:extent cx="3108960" cy="7040880"/>
                    <wp:effectExtent l="0" t="0" r="0" b="0"/>
                    <wp:wrapNone/>
                    <wp:docPr id="468" name="Rectangle 261"/>
                    <wp:cNvGraphicFramePr/>
                    <a:graphic xmlns:a="http://schemas.openxmlformats.org/drawingml/2006/main">
                      <a:graphicData uri="http://schemas.microsoft.com/office/word/2010/wordprocessingShape">
                        <wps:wsp>
                          <wps:cNvSpPr/>
                          <wps:spPr>
                            <a:xfrm>
                              <a:off x="0" y="0"/>
                              <a:ext cx="3108960" cy="7040880"/>
                            </a:xfrm>
                            <a:prstGeom prst="rect">
                              <a:avLst/>
                            </a:prstGeom>
                            <a:solidFill>
                              <a:schemeClr val="bg1"/>
                            </a:solid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40000</wp14:pctWidth>
                    </wp14:sizeRelH>
                    <wp14:sizeRelV relativeFrom="page">
                      <wp14:pctHeight>70000</wp14:pctHeight>
                    </wp14:sizeRelV>
                  </wp:anchor>
                </w:drawing>
              </mc:Choice>
              <mc:Fallback xmlns:pic="http://schemas.openxmlformats.org/drawingml/2006/picture" xmlns:a="http://schemas.openxmlformats.org/drawingml/2006/main">
                <w:pict w14:anchorId="49C773CD">
                  <v:rect id="Rectangle 261" style="position:absolute;margin-left:0;margin-top:0;width:244.8pt;height:554.4pt;z-index:251659264;visibility:visible;mso-wrap-style:square;mso-width-percent:400;mso-height-percent:700;mso-left-percent:440;mso-top-percent:25;mso-wrap-distance-left:9pt;mso-wrap-distance-top:0;mso-wrap-distance-right:9pt;mso-wrap-distance-bottom:0;mso-position-horizontal-relative:page;mso-position-vertical-relative:page;mso-width-percent:400;mso-height-percent:700;mso-left-percent:440;mso-top-percent:25;mso-width-relative:page;mso-height-relative:page;v-text-anchor:middle" o:spid="_x0000_s1026" fillcolor="white [3212]" strokecolor="#737373 [1614]" strokeweight="1.25pt" w14:anchorId="4A432C0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">
                    <w10:wrap anchorx="page" anchory="page"/>
                  </v:rect>
                </w:pict>
              </mc:Fallback>
            </mc:AlternateContent>
          </w:r>
          <w:r>
            <w:rPr>
              <w:noProof/>
            </w:rPr>
            <mc:AlternateContent>
              <mc:Choice Requires="wps">
                <w:drawing>
                  <wp:anchor distT="0" distB="0" distL="114300" distR="114300" simplePos="0" relativeHeight="251662336" behindDoc="0" locked="0" layoutInCell="1" allowOverlap="1" wp14:anchorId="356A2F20" wp14:editId="459E9C84">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69000</wp14:pctPosVOffset>
                        </wp:positionV>
                      </mc:Choice>
                      <mc:Fallback>
                        <wp:positionV relativeFrom="page">
                          <wp:posOffset>7377430</wp:posOffset>
                        </wp:positionV>
                      </mc:Fallback>
                    </mc:AlternateContent>
                    <wp:extent cx="2875915" cy="118745"/>
                    <wp:effectExtent l="0" t="0" r="0" b="0"/>
                    <wp:wrapNone/>
                    <wp:docPr id="469" name="Rectangle 263"/>
                    <wp:cNvGraphicFramePr/>
                    <a:graphic xmlns:a="http://schemas.openxmlformats.org/drawingml/2006/main">
                      <a:graphicData uri="http://schemas.microsoft.com/office/word/2010/wordprocessingShape">
                        <wps:wsp>
                          <wps:cNvSpPr/>
                          <wps:spPr>
                            <a:xfrm>
                              <a:off x="0" y="0"/>
                              <a:ext cx="2875915" cy="118745"/>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37000</wp14:pctWidth>
                    </wp14:sizeRelH>
                    <wp14:sizeRelV relativeFrom="margin">
                      <wp14:pctHeight>0</wp14:pctHeight>
                    </wp14:sizeRelV>
                  </wp:anchor>
                </w:drawing>
              </mc:Choice>
              <mc:Fallback xmlns:pic="http://schemas.openxmlformats.org/drawingml/2006/picture" xmlns:a="http://schemas.openxmlformats.org/drawingml/2006/main">
                <w:pict w14:anchorId="48DE3439">
                  <v:rect id="Rectangle 263" style="position:absolute;margin-left:0;margin-top:0;width:226.45pt;height:9.35pt;z-index:251662336;visibility:visible;mso-wrap-style:square;mso-width-percent:370;mso-height-percent:0;mso-left-percent:455;mso-top-percent:690;mso-wrap-distance-left:9pt;mso-wrap-distance-top:0;mso-wrap-distance-right:9pt;mso-wrap-distance-bottom:0;mso-position-horizontal-relative:page;mso-position-vertical-relative:page;mso-width-percent:370;mso-height-percent:0;mso-left-percent:455;mso-top-percent:690;mso-width-relative:page;mso-height-relative:margin;v-text-anchor:middle" o:spid="_x0000_s1026" fillcolor="#156082 [3204]" stroked="f" strokeweight="1pt" w14:anchorId="3B75059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">
                    <w10:wrap anchorx="page" anchory="page"/>
                  </v:rect>
                </w:pict>
              </mc:Fallback>
            </mc:AlternateContent>
          </w:r>
          <w:r>
            <w:rPr>
              <w:noProof/>
            </w:rPr>
            <mc:AlternateContent>
              <mc:Choice Requires="wps">
                <w:drawing>
                  <wp:anchor distT="0" distB="0" distL="114300" distR="114300" simplePos="0" relativeHeight="251661312" behindDoc="0" locked="0" layoutInCell="1" allowOverlap="1" wp14:anchorId="70E74F23" wp14:editId="74D3F416">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35000</wp14:pctPosVOffset>
                        </wp:positionV>
                      </mc:Choice>
                      <mc:Fallback>
                        <wp:positionV relativeFrom="page">
                          <wp:posOffset>3742055</wp:posOffset>
                        </wp:positionV>
                      </mc:Fallback>
                    </mc:AlternateContent>
                    <wp:extent cx="2797810" cy="2475230"/>
                    <wp:effectExtent l="0" t="0" r="0" b="0"/>
                    <wp:wrapSquare wrapText="bothSides"/>
                    <wp:docPr id="470" name="Text Box 265"/>
                    <wp:cNvGraphicFramePr/>
                    <a:graphic xmlns:a="http://schemas.openxmlformats.org/drawingml/2006/main">
                      <a:graphicData uri="http://schemas.microsoft.com/office/word/2010/wordprocessingShape">
                        <wps:wsp>
                          <wps:cNvSpPr txBox="1"/>
                          <wps:spPr>
                            <a:xfrm>
                              <a:off x="0" y="0"/>
                              <a:ext cx="2797810" cy="2475230"/>
                            </a:xfrm>
                            <a:prstGeom prst="rect">
                              <a:avLst/>
                            </a:prstGeom>
                            <a:noFill/>
                            <a:ln w="6350">
                              <a:noFill/>
                            </a:ln>
                            <a:effectLst/>
                          </wps:spPr>
                          <wps:txbx>
                            <w:txbxContent>
                              <w:sdt>
                                <w:sdtPr>
                                  <w:rPr>
                                    <w:rFonts w:asciiTheme="majorHAnsi" w:eastAsiaTheme="majorEastAsia" w:hAnsiTheme="majorHAnsi" w:cstheme="majorBidi"/>
                                    <w:noProof/>
                                    <w:color w:val="156082" w:themeColor="accent1"/>
                                    <w:sz w:val="72"/>
                                    <w:szCs w:val="72"/>
                                  </w:rPr>
                                  <w:alias w:val="Title"/>
                                  <w:id w:val="-958338334"/>
                                  <w:showingPlcHdr/>
                                  <w:dataBinding w:prefixMappings="xmlns:ns0='http://schemas.openxmlformats.org/package/2006/metadata/core-properties' xmlns:ns1='http://purl.org/dc/elements/1.1/'" w:xpath="/ns0:coreProperties[1]/ns1:title[1]" w:storeItemID="{6C3C8BC8-F283-45AE-878A-BAB7291924A1}"/>
                                  <w:text/>
                                </w:sdtPr>
                                <w:sdtContent>
                                  <w:p w14:paraId="086EC7AC" w14:textId="7C52F0FD" w:rsidR="00D75F90" w:rsidRDefault="00D75F90">
                                    <w:pPr>
                                      <w:spacing w:line="240" w:lineRule="auto"/>
                                      <w:rPr>
                                        <w:rFonts w:asciiTheme="majorHAnsi" w:eastAsiaTheme="majorEastAsia" w:hAnsiTheme="majorHAnsi" w:cstheme="majorBidi"/>
                                        <w:noProof/>
                                        <w:color w:val="156082" w:themeColor="accent1"/>
                                        <w:sz w:val="72"/>
                                        <w:szCs w:val="144"/>
                                      </w:rPr>
                                    </w:pPr>
                                    <w:r>
                                      <w:rPr>
                                        <w:rFonts w:asciiTheme="majorHAnsi" w:eastAsiaTheme="majorEastAsia" w:hAnsiTheme="majorHAnsi" w:cstheme="majorBidi"/>
                                        <w:noProof/>
                                        <w:color w:val="156082" w:themeColor="accent1"/>
                                        <w:sz w:val="72"/>
                                        <w:szCs w:val="72"/>
                                      </w:rPr>
                                      <w:t xml:space="preserve">     </w:t>
                                    </w:r>
                                  </w:p>
                                </w:sdtContent>
                              </w:sdt>
                              <w:sdt>
                                <w:sdtPr>
                                  <w:rPr>
                                    <w:rFonts w:asciiTheme="majorHAnsi" w:eastAsiaTheme="majorEastAsia" w:hAnsiTheme="majorHAnsi" w:cstheme="majorBidi"/>
                                    <w:noProof/>
                                    <w:color w:val="0E2841" w:themeColor="text2"/>
                                    <w:sz w:val="32"/>
                                    <w:szCs w:val="32"/>
                                  </w:rPr>
                                  <w:alias w:val="Subtitle"/>
                                  <w:id w:val="15524255"/>
                                  <w:dataBinding w:prefixMappings="xmlns:ns0='http://schemas.openxmlformats.org/package/2006/metadata/core-properties' xmlns:ns1='http://purl.org/dc/elements/1.1/'" w:xpath="/ns0:coreProperties[1]/ns1:subject[1]" w:storeItemID="{6C3C8BC8-F283-45AE-878A-BAB7291924A1}"/>
                                  <w:text/>
                                </w:sdtPr>
                                <w:sdtContent>
                                  <w:p w14:paraId="1CEECD48" w14:textId="2CC2C181" w:rsidR="00D75F90" w:rsidRDefault="00D75F90">
                                    <w:pPr>
                                      <w:rPr>
                                        <w:rFonts w:asciiTheme="majorHAnsi" w:eastAsiaTheme="majorEastAsia" w:hAnsiTheme="majorHAnsi" w:cstheme="majorBidi"/>
                                        <w:noProof/>
                                        <w:color w:val="0E2841" w:themeColor="text2"/>
                                        <w:sz w:val="32"/>
                                        <w:szCs w:val="40"/>
                                      </w:rPr>
                                    </w:pPr>
                                    <w:r>
                                      <w:rPr>
                                        <w:rFonts w:asciiTheme="majorHAnsi" w:eastAsiaTheme="majorEastAsia" w:hAnsiTheme="majorHAnsi" w:cstheme="majorBidi"/>
                                        <w:noProof/>
                                        <w:color w:val="0E2841" w:themeColor="text2"/>
                                        <w:sz w:val="32"/>
                                        <w:szCs w:val="32"/>
                                      </w:rPr>
                                      <w:t>Module:</w:t>
                                    </w:r>
                                    <w:r>
                                      <w:rPr>
                                        <w:rFonts w:asciiTheme="majorHAnsi" w:eastAsiaTheme="majorEastAsia" w:hAnsiTheme="majorHAnsi" w:cstheme="majorBidi"/>
                                        <w:noProof/>
                                        <w:color w:val="0E2841" w:themeColor="text2"/>
                                        <w:sz w:val="32"/>
                                        <w:szCs w:val="32"/>
                                      </w:rPr>
                                      <w:tab/>
                                      <w:t>Contemporary Issues in Criminal Justice Module code:</w:t>
                                    </w:r>
                                    <w:r>
                                      <w:rPr>
                                        <w:rFonts w:asciiTheme="majorHAnsi" w:eastAsiaTheme="majorEastAsia" w:hAnsiTheme="majorHAnsi" w:cstheme="majorBidi"/>
                                        <w:noProof/>
                                        <w:color w:val="0E2841" w:themeColor="text2"/>
                                        <w:sz w:val="32"/>
                                        <w:szCs w:val="32"/>
                                      </w:rPr>
                                      <w:tab/>
                                      <w:t>BMCJ7005D</w:t>
                                    </w:r>
                                  </w:p>
                                </w:sdtContent>
                              </w:sdt>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36000</wp14:pctWidth>
                    </wp14:sizeRelH>
                    <wp14:sizeRelV relativeFrom="page">
                      <wp14:pctHeight>28000</wp14:pctHeight>
                    </wp14:sizeRelV>
                  </wp:anchor>
                </w:drawing>
              </mc:Choice>
              <mc:Fallback>
                <w:pict>
                  <v:shape w14:anchorId="70E74F23" id="Text Box 265" o:spid="_x0000_s1029" type="#_x0000_t202" style="position:absolute;margin-left:0;margin-top:0;width:220.3pt;height:194.9pt;z-index:251661312;visibility:visible;mso-wrap-style:square;mso-width-percent:360;mso-height-percent:280;mso-left-percent:455;mso-top-percent:350;mso-wrap-distance-left:9pt;mso-wrap-distance-top:0;mso-wrap-distance-right:9pt;mso-wrap-distance-bottom:0;mso-position-horizontal-relative:page;mso-position-vertical-relative:page;mso-width-percent:360;mso-height-percent:280;mso-left-percent:455;mso-top-percent:35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" filled="f" stroked="f" strokeweight=".5pt">
                    <v:textbox style="mso-fit-shape-to-text:t">
                      <w:txbxContent>
                        <w:sdt>
                          <w:sdtPr>
                            <w:rPr>
                              <w:rFonts w:asciiTheme="majorHAnsi" w:eastAsiaTheme="majorEastAsia" w:hAnsiTheme="majorHAnsi" w:cstheme="majorBidi"/>
                              <w:noProof/>
                              <w:color w:val="156082" w:themeColor="accent1"/>
                              <w:sz w:val="72"/>
                              <w:szCs w:val="72"/>
                            </w:rPr>
                            <w:alias w:val="Title"/>
                            <w:id w:val="-958338334"/>
                            <w:showingPlcHdr/>
                            <w:dataBinding w:prefixMappings="xmlns:ns0='http://schemas.openxmlformats.org/package/2006/metadata/core-properties' xmlns:ns1='http://purl.org/dc/elements/1.1/'" w:xpath="/ns0:coreProperties[1]/ns1:title[1]" w:storeItemID="{6C3C8BC8-F283-45AE-878A-BAB7291924A1}"/>
                            <w:text/>
                          </w:sdtPr>
                          <w:sdtContent>
                            <w:p w14:paraId="086EC7AC" w14:textId="7C52F0FD" w:rsidR="00D75F90" w:rsidRDefault="00D75F90">
                              <w:pPr>
                                <w:spacing w:line="240" w:lineRule="auto"/>
                                <w:rPr>
                                  <w:rFonts w:asciiTheme="majorHAnsi" w:eastAsiaTheme="majorEastAsia" w:hAnsiTheme="majorHAnsi" w:cstheme="majorBidi"/>
                                  <w:noProof/>
                                  <w:color w:val="156082" w:themeColor="accent1"/>
                                  <w:sz w:val="72"/>
                                  <w:szCs w:val="144"/>
                                </w:rPr>
                              </w:pPr>
                              <w:r>
                                <w:rPr>
                                  <w:rFonts w:asciiTheme="majorHAnsi" w:eastAsiaTheme="majorEastAsia" w:hAnsiTheme="majorHAnsi" w:cstheme="majorBidi"/>
                                  <w:noProof/>
                                  <w:color w:val="156082" w:themeColor="accent1"/>
                                  <w:sz w:val="72"/>
                                  <w:szCs w:val="72"/>
                                </w:rPr>
                                <w:t xml:space="preserve">     </w:t>
                              </w:r>
                            </w:p>
                          </w:sdtContent>
                        </w:sdt>
                        <w:sdt>
                          <w:sdtPr>
                            <w:rPr>
                              <w:rFonts w:asciiTheme="majorHAnsi" w:eastAsiaTheme="majorEastAsia" w:hAnsiTheme="majorHAnsi" w:cstheme="majorBidi"/>
                              <w:noProof/>
                              <w:color w:val="0E2841" w:themeColor="text2"/>
                              <w:sz w:val="32"/>
                              <w:szCs w:val="32"/>
                            </w:rPr>
                            <w:alias w:val="Subtitle"/>
                            <w:id w:val="15524255"/>
                            <w:dataBinding w:prefixMappings="xmlns:ns0='http://schemas.openxmlformats.org/package/2006/metadata/core-properties' xmlns:ns1='http://purl.org/dc/elements/1.1/'" w:xpath="/ns0:coreProperties[1]/ns1:subject[1]" w:storeItemID="{6C3C8BC8-F283-45AE-878A-BAB7291924A1}"/>
                            <w:text/>
                          </w:sdtPr>
                          <w:sdtContent>
                            <w:p w14:paraId="1CEECD48" w14:textId="2CC2C181" w:rsidR="00D75F90" w:rsidRDefault="00D75F90">
                              <w:pPr>
                                <w:rPr>
                                  <w:rFonts w:asciiTheme="majorHAnsi" w:eastAsiaTheme="majorEastAsia" w:hAnsiTheme="majorHAnsi" w:cstheme="majorBidi"/>
                                  <w:noProof/>
                                  <w:color w:val="0E2841" w:themeColor="text2"/>
                                  <w:sz w:val="32"/>
                                  <w:szCs w:val="40"/>
                                </w:rPr>
                              </w:pPr>
                              <w:r>
                                <w:rPr>
                                  <w:rFonts w:asciiTheme="majorHAnsi" w:eastAsiaTheme="majorEastAsia" w:hAnsiTheme="majorHAnsi" w:cstheme="majorBidi"/>
                                  <w:noProof/>
                                  <w:color w:val="0E2841" w:themeColor="text2"/>
                                  <w:sz w:val="32"/>
                                  <w:szCs w:val="32"/>
                                </w:rPr>
                                <w:t>Module:</w:t>
                              </w:r>
                              <w:r>
                                <w:rPr>
                                  <w:rFonts w:asciiTheme="majorHAnsi" w:eastAsiaTheme="majorEastAsia" w:hAnsiTheme="majorHAnsi" w:cstheme="majorBidi"/>
                                  <w:noProof/>
                                  <w:color w:val="0E2841" w:themeColor="text2"/>
                                  <w:sz w:val="32"/>
                                  <w:szCs w:val="32"/>
                                </w:rPr>
                                <w:tab/>
                                <w:t>Contemporary Issues in Criminal Justice Module code:</w:t>
                              </w:r>
                              <w:r>
                                <w:rPr>
                                  <w:rFonts w:asciiTheme="majorHAnsi" w:eastAsiaTheme="majorEastAsia" w:hAnsiTheme="majorHAnsi" w:cstheme="majorBidi"/>
                                  <w:noProof/>
                                  <w:color w:val="0E2841" w:themeColor="text2"/>
                                  <w:sz w:val="32"/>
                                  <w:szCs w:val="32"/>
                                </w:rPr>
                                <w:tab/>
                                <w:t>BMCJ7005D</w:t>
                              </w:r>
                            </w:p>
                          </w:sdtContent>
                        </w:sdt>
                      </w:txbxContent>
                    </v:textbox>
                    <w10:wrap type="square" anchorx="page" anchory="page"/>
                  </v:shape>
                </w:pict>
              </mc:Fallback>
            </mc:AlternateContent>
          </w:r>
        </w:p>
        <w:p w14:paraId="154D2674" w14:textId="7A29092B" w:rsidR="00D75F90" w:rsidRDefault="00D75F90">
          <w:pPr>
            <w:rPr>
              <w:rStyle w:val="normaltextrun"/>
              <w:rFonts w:ascii="Arial" w:eastAsiaTheme="majorEastAsia" w:hAnsi="Arial" w:cs="Arial"/>
              <w:kern w:val="0"/>
              <w:sz w:val="24"/>
              <w:szCs w:val="24"/>
              <w:lang w:eastAsia="en-GB"/>
              <w14:ligatures w14:val="none"/>
            </w:rPr>
          </w:pPr>
          <w:r>
            <w:rPr>
              <w:rStyle w:val="normaltextrun"/>
              <w:rFonts w:ascii="Arial" w:eastAsiaTheme="majorEastAsia" w:hAnsi="Arial" w:cs="Arial"/>
              <w:kern w:val="0"/>
              <w:sz w:val="24"/>
              <w:szCs w:val="24"/>
              <w:lang w:eastAsia="en-GB"/>
              <w14:ligatures w14:val="none"/>
            </w:rPr>
            <w:br w:type="page"/>
          </w:r>
        </w:p>
      </w:sdtContent>
    </w:sdt>
    <w:p w14:paraId="388EBFC6" w14:textId="52AC0768" w:rsidR="00EC312F" w:rsidRPr="00EC312F" w:rsidRDefault="4D487F37" w:rsidP="00003E37">
      <w:pPr>
        <w:spacing w:line="360" w:lineRule="auto"/>
        <w:jc w:val="both"/>
        <w:rPr>
          <w:rFonts w:ascii="Arial" w:hAnsi="Arial" w:cs="Arial"/>
          <w:sz w:val="24"/>
          <w:szCs w:val="24"/>
        </w:rPr>
      </w:pPr>
      <w:r w:rsidRPr="27D6E02E">
        <w:rPr>
          <w:rFonts w:ascii="Arial" w:hAnsi="Arial" w:cs="Arial"/>
          <w:sz w:val="24"/>
          <w:szCs w:val="24"/>
        </w:rPr>
        <w:lastRenderedPageBreak/>
        <w:t xml:space="preserve">This essay critically investigates the challenges encountered by vulnerable victims within the United Kingdom’s criminal justice system, examining how vulnerability not only heightens the risk of victimisation but also shapes trajectories into criminal behaviour. Rather than being an inherent characteristic, vulnerability is a socially and institutionally produced condition that amplifies exposure to harm while simultaneously constraining access to justice. It is influenced by intersecting factors such as gender, ethnicity, socio-economic status, disability, age, migration status, and sexual orientation. Drawing on contemporary research, government statistics, legislative frameworks, and international comparisons, this essay employs a critical criminological perspective to show how structural and institutional practices actively reproduce inequality and to advocate for comprehensive, </w:t>
      </w:r>
      <w:proofErr w:type="spellStart"/>
      <w:r w:rsidRPr="27D6E02E">
        <w:rPr>
          <w:rFonts w:ascii="Arial" w:hAnsi="Arial" w:cs="Arial"/>
          <w:sz w:val="24"/>
          <w:szCs w:val="24"/>
        </w:rPr>
        <w:t>intersectionally</w:t>
      </w:r>
      <w:proofErr w:type="spellEnd"/>
      <w:r w:rsidRPr="27D6E02E">
        <w:rPr>
          <w:rFonts w:ascii="Arial" w:hAnsi="Arial" w:cs="Arial"/>
          <w:sz w:val="24"/>
          <w:szCs w:val="24"/>
        </w:rPr>
        <w:t xml:space="preserve"> informed reforms aimed at addressing systemic disadvantage, breaking cycles of victimisation and offending, and strengthening public confidence in the justice system (Fitz-Gibbon &amp; </w:t>
      </w:r>
      <w:proofErr w:type="spellStart"/>
      <w:r w:rsidRPr="27D6E02E">
        <w:rPr>
          <w:rFonts w:ascii="Arial" w:hAnsi="Arial" w:cs="Arial"/>
          <w:sz w:val="24"/>
          <w:szCs w:val="24"/>
        </w:rPr>
        <w:t>Walklate</w:t>
      </w:r>
      <w:proofErr w:type="spellEnd"/>
      <w:r w:rsidRPr="27D6E02E">
        <w:rPr>
          <w:rFonts w:ascii="Arial" w:hAnsi="Arial" w:cs="Arial"/>
          <w:sz w:val="24"/>
          <w:szCs w:val="24"/>
        </w:rPr>
        <w:t>, 2019; Young, 2020).</w:t>
      </w:r>
      <w:r w:rsidR="428663BD" w:rsidRPr="27D6E02E">
        <w:rPr>
          <w:rFonts w:ascii="Arial" w:hAnsi="Arial" w:cs="Arial"/>
          <w:sz w:val="24"/>
          <w:szCs w:val="24"/>
        </w:rPr>
        <w:t xml:space="preserve">Vulnerability is best understood as a relational and structural phenomenon, arising from the interplay between individuals and social institutions that distribute power, resources, and risk unevenly across society. Structural inequalities including poverty, discrimination, marginalisation, and social exclusion intensify vulnerability and shape both the likelihood of victimisation and the capacity to access justice (Bennett &amp; Riley, 2025). </w:t>
      </w:r>
      <w:proofErr w:type="spellStart"/>
      <w:r w:rsidR="428663BD" w:rsidRPr="27D6E02E">
        <w:rPr>
          <w:rFonts w:ascii="Arial" w:hAnsi="Arial" w:cs="Arial"/>
          <w:sz w:val="24"/>
          <w:szCs w:val="24"/>
        </w:rPr>
        <w:t>Walklate</w:t>
      </w:r>
      <w:proofErr w:type="spellEnd"/>
      <w:r w:rsidR="428663BD" w:rsidRPr="27D6E02E">
        <w:rPr>
          <w:rFonts w:ascii="Arial" w:hAnsi="Arial" w:cs="Arial"/>
          <w:sz w:val="24"/>
          <w:szCs w:val="24"/>
        </w:rPr>
        <w:t xml:space="preserve"> and Fitz Gibbon (2023) argue that vulnerability is not an individual attribute but a product of social processes and institutional practices that differentially assign legitimacy and risk. Critical victimology emphasises that justice systems can inadvertently perpetuate harm by failing to recognise structural disadvantage, privileging procedural formalities over </w:t>
      </w:r>
      <w:r w:rsidR="470C4320" w:rsidRPr="27D6E02E">
        <w:rPr>
          <w:rFonts w:ascii="Arial" w:hAnsi="Arial" w:cs="Arial"/>
          <w:sz w:val="24"/>
          <w:szCs w:val="24"/>
        </w:rPr>
        <w:t>victim centred</w:t>
      </w:r>
      <w:r w:rsidR="428663BD" w:rsidRPr="27D6E02E">
        <w:rPr>
          <w:rFonts w:ascii="Arial" w:hAnsi="Arial" w:cs="Arial"/>
          <w:sz w:val="24"/>
          <w:szCs w:val="24"/>
        </w:rPr>
        <w:t xml:space="preserve"> engagement (Hillyard et al., 2021). This perspective moves beyond individualistic explanations of vulnerability to highlight the role of societal structures and systemic inequities, demonstrating that vulnerability is both socially produced and maintained through institutional practices. By applying labelling theory, it becomes evident that individuals already marked as vulnerable are more likely to be criminalised, highlighting the cyclical interaction between victimisation and offending (Becker, 1963; Braithwaite, 1989; Bottoms et al., 2023).</w:t>
      </w:r>
    </w:p>
    <w:p w14:paraId="575FD7C2" w14:textId="08CC213A" w:rsidR="00EC312F" w:rsidRPr="00EC312F" w:rsidRDefault="428663BD" w:rsidP="00003E37">
      <w:pPr>
        <w:spacing w:line="360" w:lineRule="auto"/>
        <w:jc w:val="both"/>
        <w:rPr>
          <w:rFonts w:ascii="Arial" w:hAnsi="Arial" w:cs="Arial"/>
          <w:sz w:val="24"/>
          <w:szCs w:val="24"/>
        </w:rPr>
      </w:pPr>
      <w:r w:rsidRPr="27D6E02E">
        <w:rPr>
          <w:rFonts w:ascii="Arial" w:hAnsi="Arial" w:cs="Arial"/>
          <w:sz w:val="24"/>
          <w:szCs w:val="24"/>
        </w:rPr>
        <w:t xml:space="preserve">Recent UK crime statistics reveal stark patterns of disproportionate victimisation. According to the Office for National Statistics (ONS, 2025), one in four women aged </w:t>
      </w:r>
      <w:r w:rsidR="09B58684" w:rsidRPr="27D6E02E">
        <w:rPr>
          <w:rFonts w:ascii="Arial" w:hAnsi="Arial" w:cs="Arial"/>
          <w:sz w:val="24"/>
          <w:szCs w:val="24"/>
        </w:rPr>
        <w:t>16</w:t>
      </w:r>
      <w:r w:rsidRPr="27D6E02E">
        <w:rPr>
          <w:rFonts w:ascii="Arial" w:hAnsi="Arial" w:cs="Arial"/>
          <w:sz w:val="24"/>
          <w:szCs w:val="24"/>
        </w:rPr>
        <w:t xml:space="preserve"> to </w:t>
      </w:r>
      <w:r w:rsidR="1E93613D" w:rsidRPr="27D6E02E">
        <w:rPr>
          <w:rFonts w:ascii="Arial" w:hAnsi="Arial" w:cs="Arial"/>
          <w:sz w:val="24"/>
          <w:szCs w:val="24"/>
        </w:rPr>
        <w:t>59</w:t>
      </w:r>
      <w:r w:rsidRPr="27D6E02E">
        <w:rPr>
          <w:rFonts w:ascii="Arial" w:hAnsi="Arial" w:cs="Arial"/>
          <w:sz w:val="24"/>
          <w:szCs w:val="24"/>
        </w:rPr>
        <w:t xml:space="preserve"> experienced domestic abuse in the past year, compared with one in </w:t>
      </w:r>
      <w:r w:rsidR="79E625DE" w:rsidRPr="27D6E02E">
        <w:rPr>
          <w:rFonts w:ascii="Arial" w:hAnsi="Arial" w:cs="Arial"/>
          <w:sz w:val="24"/>
          <w:szCs w:val="24"/>
        </w:rPr>
        <w:t>11</w:t>
      </w:r>
      <w:r w:rsidRPr="27D6E02E">
        <w:rPr>
          <w:rFonts w:ascii="Arial" w:hAnsi="Arial" w:cs="Arial"/>
          <w:sz w:val="24"/>
          <w:szCs w:val="24"/>
        </w:rPr>
        <w:t xml:space="preserve"> men. </w:t>
      </w:r>
      <w:r w:rsidRPr="27D6E02E">
        <w:rPr>
          <w:rFonts w:ascii="Arial" w:hAnsi="Arial" w:cs="Arial"/>
          <w:sz w:val="24"/>
          <w:szCs w:val="24"/>
        </w:rPr>
        <w:lastRenderedPageBreak/>
        <w:t xml:space="preserve">Sexual offences, stalking, and harassment similarly exhibit gendered patterns, reflecting entrenched social and cultural inequalities. </w:t>
      </w:r>
      <w:proofErr w:type="spellStart"/>
      <w:r w:rsidRPr="27D6E02E">
        <w:rPr>
          <w:rFonts w:ascii="Arial" w:hAnsi="Arial" w:cs="Arial"/>
          <w:sz w:val="24"/>
          <w:szCs w:val="24"/>
        </w:rPr>
        <w:t>Fileborn</w:t>
      </w:r>
      <w:proofErr w:type="spellEnd"/>
      <w:r w:rsidRPr="27D6E02E">
        <w:rPr>
          <w:rFonts w:ascii="Arial" w:hAnsi="Arial" w:cs="Arial"/>
          <w:sz w:val="24"/>
          <w:szCs w:val="24"/>
        </w:rPr>
        <w:t xml:space="preserve"> and Loney Howes (2023) note that policies narrowly focused on women risk overlooking male, transgender, and nonbinary victims, whose experiences often do not fit neatly within traditional policy frameworks. Expanding this, ONS data on hate crimes indicate that ethnic minority groups are twice as likely to experience racially motivated incidents, while individuals with disabilities are three times more likely to encounter violence or harassment than nondisabled peers (ONS, 2025). These figures underscore that vulnerability is compounded by intersecting social identities, making an intersectional lens essential for understanding risk and access to justice. This demonstrates that the criminal justice system cannot treat victimisation as homogenous; policy and practice must account for multiple, overlapping vulnerabilities (Crenshaw, 1989; Gill &amp; Harrison, 2024).</w:t>
      </w:r>
    </w:p>
    <w:p w14:paraId="12E51C99" w14:textId="2ACEE5F3" w:rsidR="00EC312F" w:rsidRPr="00EC312F" w:rsidRDefault="00EC312F" w:rsidP="00003E37">
      <w:pPr>
        <w:spacing w:line="360" w:lineRule="auto"/>
        <w:jc w:val="both"/>
        <w:rPr>
          <w:rFonts w:ascii="Arial" w:hAnsi="Arial" w:cs="Arial"/>
          <w:sz w:val="24"/>
          <w:szCs w:val="24"/>
        </w:rPr>
      </w:pPr>
      <w:r w:rsidRPr="370B35BA">
        <w:rPr>
          <w:rFonts w:ascii="Arial" w:hAnsi="Arial" w:cs="Arial"/>
          <w:sz w:val="24"/>
          <w:szCs w:val="24"/>
        </w:rPr>
        <w:t xml:space="preserve">Intersectionality, as applied in contemporary UK research, demonstrates that individuals experiencing multiple forms of marginalisation face compounded barriers. Gill and Harrison (2024) found that ethnic minority victims are less likely to report crimes and more likely to withdraw from criminal proceedings due to concerns about discrimination and lack of confidence in institutional responsiveness. Disabled individuals are both more likely to be victimised and less likely to receive adequate support, with limited reasonable adjustments for reporting, investigation, and courtroom participation (Victims’ Commissioner, 2025). Migrants and asylum seekers face additional barriers, including language difficulties, cultural misunderstandings, and fears of immigration enforcement, which further reduce engagement with law enforcement and access to support services. Research also highlights that older victims often experience neglect and abuse that is less likely to be reported due to social isolation, reliance on caregivers, or fear of institutional scrutiny (Age UK, 2024). LGBTQ+ individuals face high rates of hate crimes, sexual abuse, and domestic violence, and frequently encounter discriminatory attitudes within policing and the courts, further compounding vulnerability (Stonewall, 2024). These findings illustrate that structural and institutional factors interact to produce vulnerability and compound inequities, making some populations more susceptible to harm while simultaneously restricting their access to justice. This highlights the urgent need for systemic, intersectionally informed reforms that address not only individual </w:t>
      </w:r>
      <w:r w:rsidR="23742A06" w:rsidRPr="370B35BA">
        <w:rPr>
          <w:rFonts w:ascii="Arial" w:hAnsi="Arial" w:cs="Arial"/>
          <w:sz w:val="24"/>
          <w:szCs w:val="24"/>
        </w:rPr>
        <w:t>support,</w:t>
      </w:r>
      <w:r w:rsidRPr="370B35BA">
        <w:rPr>
          <w:rFonts w:ascii="Arial" w:hAnsi="Arial" w:cs="Arial"/>
          <w:sz w:val="24"/>
          <w:szCs w:val="24"/>
        </w:rPr>
        <w:t xml:space="preserve"> but </w:t>
      </w:r>
      <w:r w:rsidRPr="370B35BA">
        <w:rPr>
          <w:rFonts w:ascii="Arial" w:hAnsi="Arial" w:cs="Arial"/>
          <w:sz w:val="24"/>
          <w:szCs w:val="24"/>
        </w:rPr>
        <w:lastRenderedPageBreak/>
        <w:t>structural inequities embedded in law enforcement and policy frameworks (Walby, Towers &amp; Francis, 2016; Gill &amp; Harrison, 2024).</w:t>
      </w:r>
    </w:p>
    <w:p w14:paraId="7A86DB5E" w14:textId="2B260703" w:rsidR="00EC312F" w:rsidRPr="00EC312F" w:rsidRDefault="00EC312F" w:rsidP="00003E37">
      <w:pPr>
        <w:spacing w:line="360" w:lineRule="auto"/>
        <w:jc w:val="both"/>
        <w:rPr>
          <w:rFonts w:ascii="Arial" w:hAnsi="Arial" w:cs="Arial"/>
          <w:sz w:val="24"/>
          <w:szCs w:val="24"/>
        </w:rPr>
      </w:pPr>
      <w:r w:rsidRPr="370B35BA">
        <w:rPr>
          <w:rFonts w:ascii="Arial" w:hAnsi="Arial" w:cs="Arial"/>
          <w:sz w:val="24"/>
          <w:szCs w:val="24"/>
        </w:rPr>
        <w:t xml:space="preserve">Vulnerability can also shape pathways into criminal behaviour. Empirical studies indicate that individuals who have experienced trauma, abuse, neglect, or social exclusion are significantly more likely to engage in offending behaviour (Bottoms et al., 2023). Strain theory explains this relationship by suggesting that structural disadvantages generate pressures that individuals may respond to through criminal acts (Hay &amp; Meldrum, 2023). Data from the Home Office (2024) show that previously victimised individuals are overrepresented in prison populations, highlighting the cyclical relationship between harm and criminalisation. Substance misuse often exacerbates these dynamics, with individuals experiencing addiction at increased risk of both victimisation and offending. Public Health England (2023) reports that nearly half of all individuals in treatment for substance misuse experienced violent victimisation in the previous year. Mental health challenges, housing instability, and unemployment frequently </w:t>
      </w:r>
      <w:r w:rsidR="7770DCE1" w:rsidRPr="370B35BA">
        <w:rPr>
          <w:rFonts w:ascii="Arial" w:hAnsi="Arial" w:cs="Arial"/>
          <w:sz w:val="24"/>
          <w:szCs w:val="24"/>
        </w:rPr>
        <w:t>co-occur</w:t>
      </w:r>
      <w:r w:rsidRPr="370B35BA">
        <w:rPr>
          <w:rFonts w:ascii="Arial" w:hAnsi="Arial" w:cs="Arial"/>
          <w:sz w:val="24"/>
          <w:szCs w:val="24"/>
        </w:rPr>
        <w:t xml:space="preserve"> with substance misuse, demonstrating the complex interplay of social, health, and structural factors in vulnerability. Furthermore, young people exposed to adverse childhood experiences (ACEs) are particularly likely to become involved in criminal activity, underscoring the need for early intervention and support mechanisms that address underlying social determinants (Bellis et al., 2023). Child victims of exploitation, including sexual abuse and human trafficking, are particularly at risk of subsequent criminalisation due to survival behaviours and systemic failures to recognise victim status (HM Government, 2024). This evidence emphasises that preventative social interventions addressing trauma, education, and economic support are essential to disrupt cycles of harm before they manifest in offending.</w:t>
      </w:r>
    </w:p>
    <w:p w14:paraId="229A916C" w14:textId="5D24628F" w:rsidR="00EC312F" w:rsidRPr="00EC312F" w:rsidRDefault="428663BD" w:rsidP="00003E37">
      <w:pPr>
        <w:spacing w:line="360" w:lineRule="auto"/>
        <w:jc w:val="both"/>
        <w:rPr>
          <w:rFonts w:ascii="Arial" w:hAnsi="Arial" w:cs="Arial"/>
          <w:sz w:val="24"/>
          <w:szCs w:val="24"/>
        </w:rPr>
      </w:pPr>
      <w:r w:rsidRPr="27D6E02E">
        <w:rPr>
          <w:rFonts w:ascii="Arial" w:hAnsi="Arial" w:cs="Arial"/>
          <w:sz w:val="24"/>
          <w:szCs w:val="24"/>
        </w:rPr>
        <w:t>Recent research has further highlighted how systemic bias within policing, prosecution, and judicial processes continues to exacerbate the vulnerabilities of marginalised victims. Patel and Thompson (2024) demonstrate that victims from lower socioeconomic backgrounds or ethnic minority communities are less likely to have their cases prioritised by law enforcement, with delays in investigation and lower resource allocation contributing to higher attrition rates. Similarly, cases involving complex trauma, coercive control, or psychological abuse are often deprioritised in favour of offences with “clearcut” evidence</w:t>
      </w:r>
      <w:r w:rsidR="00A01ACE">
        <w:rPr>
          <w:rFonts w:ascii="Arial" w:hAnsi="Arial" w:cs="Arial"/>
          <w:sz w:val="24"/>
          <w:szCs w:val="24"/>
        </w:rPr>
        <w:t xml:space="preserve"> </w:t>
      </w:r>
      <w:r w:rsidRPr="27D6E02E">
        <w:rPr>
          <w:rFonts w:ascii="Arial" w:hAnsi="Arial" w:cs="Arial"/>
          <w:sz w:val="24"/>
          <w:szCs w:val="24"/>
        </w:rPr>
        <w:t xml:space="preserve">(Hester et al., 2025). This reinforces </w:t>
      </w:r>
      <w:r w:rsidRPr="27D6E02E">
        <w:rPr>
          <w:rFonts w:ascii="Arial" w:hAnsi="Arial" w:cs="Arial"/>
          <w:sz w:val="24"/>
          <w:szCs w:val="24"/>
        </w:rPr>
        <w:lastRenderedPageBreak/>
        <w:t xml:space="preserve">existing structural inequalities, highlighting the necessity of embedding </w:t>
      </w:r>
      <w:r w:rsidR="6C370EED" w:rsidRPr="27D6E02E">
        <w:rPr>
          <w:rFonts w:ascii="Arial" w:hAnsi="Arial" w:cs="Arial"/>
          <w:sz w:val="24"/>
          <w:szCs w:val="24"/>
        </w:rPr>
        <w:t>bias awareness</w:t>
      </w:r>
      <w:r w:rsidRPr="27D6E02E">
        <w:rPr>
          <w:rFonts w:ascii="Arial" w:hAnsi="Arial" w:cs="Arial"/>
          <w:sz w:val="24"/>
          <w:szCs w:val="24"/>
        </w:rPr>
        <w:t xml:space="preserve"> and </w:t>
      </w:r>
      <w:r w:rsidR="00A01ACE">
        <w:rPr>
          <w:rFonts w:ascii="Arial" w:hAnsi="Arial" w:cs="Arial"/>
          <w:sz w:val="24"/>
          <w:szCs w:val="24"/>
        </w:rPr>
        <w:t>equality-focused</w:t>
      </w:r>
      <w:r w:rsidRPr="27D6E02E">
        <w:rPr>
          <w:rFonts w:ascii="Arial" w:hAnsi="Arial" w:cs="Arial"/>
          <w:sz w:val="24"/>
          <w:szCs w:val="24"/>
        </w:rPr>
        <w:t xml:space="preserve"> reforms across all stages of the criminal justice process.</w:t>
      </w:r>
    </w:p>
    <w:p w14:paraId="1EC9A1D8" w14:textId="2F5E7E88" w:rsidR="00EC312F" w:rsidRPr="00EC312F" w:rsidRDefault="428663BD" w:rsidP="00003E37">
      <w:pPr>
        <w:spacing w:line="360" w:lineRule="auto"/>
        <w:jc w:val="both"/>
        <w:rPr>
          <w:rFonts w:ascii="Arial" w:hAnsi="Arial" w:cs="Arial"/>
          <w:sz w:val="24"/>
          <w:szCs w:val="24"/>
        </w:rPr>
      </w:pPr>
      <w:r w:rsidRPr="27D6E02E">
        <w:rPr>
          <w:rFonts w:ascii="Arial" w:hAnsi="Arial" w:cs="Arial"/>
          <w:sz w:val="24"/>
          <w:szCs w:val="24"/>
        </w:rPr>
        <w:t xml:space="preserve">Emerging forms of victimisation in the digital sphere further compound vulnerability. Cyberstalking, online harassment, and digital exploitation often affect younger people, ethnic minorities, and LGBTQ+ individuals, who are disproportionately targeted due to social network dynamics and visibility online (Livingstone &amp; Mason, 2023). These forms of abuse pose challenges for evidence collection, require specialist understanding of digital environments, and often involve </w:t>
      </w:r>
      <w:r w:rsidR="68C0836D" w:rsidRPr="27D6E02E">
        <w:rPr>
          <w:rFonts w:ascii="Arial" w:hAnsi="Arial" w:cs="Arial"/>
          <w:sz w:val="24"/>
          <w:szCs w:val="24"/>
        </w:rPr>
        <w:t>cross jurisdictional</w:t>
      </w:r>
      <w:r w:rsidRPr="27D6E02E">
        <w:rPr>
          <w:rFonts w:ascii="Arial" w:hAnsi="Arial" w:cs="Arial"/>
          <w:sz w:val="24"/>
          <w:szCs w:val="24"/>
        </w:rPr>
        <w:t xml:space="preserve"> legal processes that can delay justice and exacerbate harm. Victims of online abuse face repeated exposure to harmful content, which can retraumatise and deter subsequent reporting, highlighting gaps in current criminal justice protocols that are predominantly designed for offline interactions.</w:t>
      </w:r>
    </w:p>
    <w:p w14:paraId="3852AB7E" w14:textId="336A0C48" w:rsidR="00EC312F" w:rsidRPr="00EC312F" w:rsidRDefault="428663BD" w:rsidP="00003E37">
      <w:pPr>
        <w:spacing w:line="360" w:lineRule="auto"/>
        <w:jc w:val="both"/>
        <w:rPr>
          <w:rFonts w:ascii="Arial" w:hAnsi="Arial" w:cs="Arial"/>
          <w:sz w:val="24"/>
          <w:szCs w:val="24"/>
        </w:rPr>
      </w:pPr>
      <w:r w:rsidRPr="370B35BA">
        <w:rPr>
          <w:rFonts w:ascii="Arial" w:hAnsi="Arial" w:cs="Arial"/>
          <w:sz w:val="24"/>
          <w:szCs w:val="24"/>
        </w:rPr>
        <w:t xml:space="preserve">Policing strategies illustrate the consequences of </w:t>
      </w:r>
      <w:r w:rsidR="03EE032D" w:rsidRPr="370B35BA">
        <w:rPr>
          <w:rFonts w:ascii="Arial" w:hAnsi="Arial" w:cs="Arial"/>
          <w:sz w:val="24"/>
          <w:szCs w:val="24"/>
        </w:rPr>
        <w:t>enforcement focused</w:t>
      </w:r>
      <w:r w:rsidRPr="370B35BA">
        <w:rPr>
          <w:rFonts w:ascii="Arial" w:hAnsi="Arial" w:cs="Arial"/>
          <w:sz w:val="24"/>
          <w:szCs w:val="24"/>
        </w:rPr>
        <w:t xml:space="preserve"> approaches to vulnerability. The UK Drug Policy Commission (2023) found that policies prioritising criminalisation over public health have failed to reduce substance misuse or related harms among marginalised populations. Stop and search procedures disproportionately affect young men from ethnic minority communities, eroding trust in law enforcement (Home Office, 2023; NAO, 2024). At a regional level, the National Audit Office (2024) identifies geographic disparities in access to treatment and rehabilitation services, leaving individuals in deprived areas with high rates of substance misuse and crime with inadequate support. International comparisons further illuminate the limitations of punitive approaches. Portugal’s decriminalisation framework, which treats personal drug use as a public health issue, has led to lower incarceration rates, reductions in </w:t>
      </w:r>
      <w:r w:rsidR="48BB30F8" w:rsidRPr="370B35BA">
        <w:rPr>
          <w:rFonts w:ascii="Arial" w:hAnsi="Arial" w:cs="Arial"/>
          <w:sz w:val="24"/>
          <w:szCs w:val="24"/>
        </w:rPr>
        <w:t>drug related</w:t>
      </w:r>
      <w:r w:rsidRPr="370B35BA">
        <w:rPr>
          <w:rFonts w:ascii="Arial" w:hAnsi="Arial" w:cs="Arial"/>
          <w:sz w:val="24"/>
          <w:szCs w:val="24"/>
        </w:rPr>
        <w:t xml:space="preserve"> harm, and increased engagement with treatment services (EMCDDA, 2024). Canada’s supervised consumption sites and </w:t>
      </w:r>
      <w:r w:rsidR="606AE53E" w:rsidRPr="370B35BA">
        <w:rPr>
          <w:rFonts w:ascii="Arial" w:hAnsi="Arial" w:cs="Arial"/>
          <w:sz w:val="24"/>
          <w:szCs w:val="24"/>
        </w:rPr>
        <w:t>community-based</w:t>
      </w:r>
      <w:r w:rsidRPr="370B35BA">
        <w:rPr>
          <w:rFonts w:ascii="Arial" w:hAnsi="Arial" w:cs="Arial"/>
          <w:sz w:val="24"/>
          <w:szCs w:val="24"/>
        </w:rPr>
        <w:t xml:space="preserve"> rehabilitation programmes have similarly shown improved outcomes for marginalised populations (Canadian Centre on Substance Use and Addiction, 2024). Evidence from New Zealand, the Netherlands, and Scandinavian countries demonstrates that when policing is embedded within community engagement and social service provision, victims report higher satisfaction, increased reporting, and lower recidivism, highlighting the potential for systemic reform in the UK (Sherman et al., 2020; Rutter et al., 2021).</w:t>
      </w:r>
    </w:p>
    <w:p w14:paraId="5689DA50" w14:textId="3C8FE47E" w:rsidR="00EC312F" w:rsidRPr="00EC312F" w:rsidRDefault="428663BD" w:rsidP="00003E37">
      <w:pPr>
        <w:spacing w:line="360" w:lineRule="auto"/>
        <w:jc w:val="both"/>
        <w:rPr>
          <w:rFonts w:ascii="Arial" w:hAnsi="Arial" w:cs="Arial"/>
          <w:sz w:val="24"/>
          <w:szCs w:val="24"/>
        </w:rPr>
      </w:pPr>
      <w:r w:rsidRPr="27D6E02E">
        <w:rPr>
          <w:rFonts w:ascii="Arial" w:hAnsi="Arial" w:cs="Arial"/>
          <w:sz w:val="24"/>
          <w:szCs w:val="24"/>
        </w:rPr>
        <w:lastRenderedPageBreak/>
        <w:t>The complexity of vulnerability is further illustrated by geographic and resource disparities. Rural and remote areas in the UK often have limited specialist services, leading to longer police response times and fewer victim support options</w:t>
      </w:r>
      <w:r w:rsidR="00A01ACE">
        <w:rPr>
          <w:rFonts w:ascii="Arial" w:hAnsi="Arial" w:cs="Arial"/>
          <w:sz w:val="24"/>
          <w:szCs w:val="24"/>
        </w:rPr>
        <w:t xml:space="preserve"> </w:t>
      </w:r>
      <w:r w:rsidRPr="27D6E02E">
        <w:rPr>
          <w:rFonts w:ascii="Arial" w:hAnsi="Arial" w:cs="Arial"/>
          <w:sz w:val="24"/>
          <w:szCs w:val="24"/>
        </w:rPr>
        <w:t xml:space="preserve">(Bradford &amp; </w:t>
      </w:r>
      <w:proofErr w:type="spellStart"/>
      <w:r w:rsidRPr="27D6E02E">
        <w:rPr>
          <w:rFonts w:ascii="Arial" w:hAnsi="Arial" w:cs="Arial"/>
          <w:sz w:val="24"/>
          <w:szCs w:val="24"/>
        </w:rPr>
        <w:t>Yesberg</w:t>
      </w:r>
      <w:proofErr w:type="spellEnd"/>
      <w:r w:rsidRPr="27D6E02E">
        <w:rPr>
          <w:rFonts w:ascii="Arial" w:hAnsi="Arial" w:cs="Arial"/>
          <w:sz w:val="24"/>
          <w:szCs w:val="24"/>
        </w:rPr>
        <w:t>, 2024). These spatial inequalities intersect with socioeconomic status, where areas of economic deprivation experience higher rates of victimisation yet receive less institutional support. Addressing these structural divergences requires not only policy reform but also investment in infrastructure and service provision that extends beyond urban centres.</w:t>
      </w:r>
    </w:p>
    <w:p w14:paraId="01890B3A" w14:textId="5B6C2BF4" w:rsidR="00EC312F" w:rsidRPr="00EC312F" w:rsidRDefault="428663BD" w:rsidP="00003E37">
      <w:pPr>
        <w:spacing w:line="360" w:lineRule="auto"/>
        <w:jc w:val="both"/>
        <w:rPr>
          <w:rFonts w:ascii="Arial" w:hAnsi="Arial" w:cs="Arial"/>
          <w:sz w:val="24"/>
          <w:szCs w:val="24"/>
        </w:rPr>
      </w:pPr>
      <w:r w:rsidRPr="370B35BA">
        <w:rPr>
          <w:rFonts w:ascii="Arial" w:hAnsi="Arial" w:cs="Arial"/>
          <w:sz w:val="24"/>
          <w:szCs w:val="24"/>
        </w:rPr>
        <w:t xml:space="preserve">Vulnerable victims in the United Kingdom face systemic barriers at every stage of the criminal justice process. Underreporting remains a persistent challenge, particularly among those experiencing intersectional disadvantage. The Office for National Statistics Crime Survey for England and Wales (ONS, 2025) </w:t>
      </w:r>
      <w:proofErr w:type="gramStart"/>
      <w:r w:rsidRPr="370B35BA">
        <w:rPr>
          <w:rFonts w:ascii="Arial" w:hAnsi="Arial" w:cs="Arial"/>
          <w:sz w:val="24"/>
          <w:szCs w:val="24"/>
        </w:rPr>
        <w:t>shows</w:t>
      </w:r>
      <w:proofErr w:type="gramEnd"/>
      <w:r w:rsidRPr="370B35BA">
        <w:rPr>
          <w:rFonts w:ascii="Arial" w:hAnsi="Arial" w:cs="Arial"/>
          <w:sz w:val="24"/>
          <w:szCs w:val="24"/>
        </w:rPr>
        <w:t xml:space="preserve"> that</w:t>
      </w:r>
      <w:r w:rsidR="04118C1B" w:rsidRPr="370B35BA">
        <w:rPr>
          <w:rFonts w:ascii="Arial" w:hAnsi="Arial" w:cs="Arial"/>
          <w:sz w:val="24"/>
          <w:szCs w:val="24"/>
        </w:rPr>
        <w:t xml:space="preserve"> a large</w:t>
      </w:r>
      <w:r w:rsidRPr="370B35BA">
        <w:rPr>
          <w:rFonts w:ascii="Arial" w:hAnsi="Arial" w:cs="Arial"/>
          <w:sz w:val="24"/>
          <w:szCs w:val="24"/>
        </w:rPr>
        <w:t xml:space="preserve"> proportion of victims do not report crimes due to fear of reprisal, mistrust of law enforcement, or prior negative experiences. This underreporting is particularly evident in cases of sexual offences, domestic abuse, trafficking, and hate crimes, where victims often anticipate disbelief or minimisation of their experiences. Research by Hohl and Stanko (2023) emphasises that perceptions of institutional legitimacy are crucial: when victims perceive the police and courts as fair, responsive, and empathetic, reporting rates increase, whereas systemic bias and procedural complexity significantly reduce engagement. Vulnerable groups, including ethnic minorities, migrants, children, victims of trafficking, and individuals with disabilities, are especially susceptible to these deterrents, reflecting compounded inequities. Fear of media exposure and public scrutiny further deters reporting, particularly in </w:t>
      </w:r>
      <w:r w:rsidR="69A8C51B" w:rsidRPr="370B35BA">
        <w:rPr>
          <w:rFonts w:ascii="Arial" w:hAnsi="Arial" w:cs="Arial"/>
          <w:sz w:val="24"/>
          <w:szCs w:val="24"/>
        </w:rPr>
        <w:t>high-profile</w:t>
      </w:r>
      <w:r w:rsidRPr="370B35BA">
        <w:rPr>
          <w:rFonts w:ascii="Arial" w:hAnsi="Arial" w:cs="Arial"/>
          <w:sz w:val="24"/>
          <w:szCs w:val="24"/>
        </w:rPr>
        <w:t xml:space="preserve"> cases, underscoring the importance of confidentiality and </w:t>
      </w:r>
      <w:r w:rsidR="0526CEBB" w:rsidRPr="370B35BA">
        <w:rPr>
          <w:rFonts w:ascii="Arial" w:hAnsi="Arial" w:cs="Arial"/>
          <w:sz w:val="24"/>
          <w:szCs w:val="24"/>
        </w:rPr>
        <w:t>trauma-informed</w:t>
      </w:r>
      <w:r w:rsidRPr="370B35BA">
        <w:rPr>
          <w:rFonts w:ascii="Arial" w:hAnsi="Arial" w:cs="Arial"/>
          <w:sz w:val="24"/>
          <w:szCs w:val="24"/>
        </w:rPr>
        <w:t xml:space="preserve"> communication.</w:t>
      </w:r>
    </w:p>
    <w:p w14:paraId="6E0742D4" w14:textId="19F0D81C" w:rsidR="00EC312F" w:rsidRPr="00003E37" w:rsidRDefault="428663BD" w:rsidP="00003E37">
      <w:pPr>
        <w:spacing w:line="360" w:lineRule="auto"/>
        <w:jc w:val="both"/>
        <w:rPr>
          <w:rFonts w:ascii="Arial" w:hAnsi="Arial" w:cs="Arial"/>
          <w:sz w:val="24"/>
          <w:szCs w:val="24"/>
        </w:rPr>
      </w:pPr>
      <w:r w:rsidRPr="00EC312F">
        <w:rPr>
          <w:rFonts w:ascii="Arial" w:hAnsi="Arial" w:cs="Arial"/>
          <w:sz w:val="24"/>
          <w:szCs w:val="24"/>
        </w:rPr>
        <w:t xml:space="preserve">Individuals with cognitive impairments, mental health conditions, or limited English proficiency often face communication barriers that limit their ability to engage effectively with the justice system. Evaluations of the Victims’ Code 2025 indicate that many victims are unaware of their statutory rights and that reasonable adjustments are inconsistently applied (Ministry of Justice, 2025). Ellison and Munro (2023) highlight that </w:t>
      </w:r>
      <w:r w:rsidR="00A01ACE">
        <w:rPr>
          <w:rFonts w:ascii="Arial" w:hAnsi="Arial" w:cs="Arial"/>
          <w:sz w:val="24"/>
          <w:szCs w:val="24"/>
        </w:rPr>
        <w:t>trauma-related</w:t>
      </w:r>
      <w:r w:rsidRPr="00EC312F">
        <w:rPr>
          <w:rFonts w:ascii="Arial" w:hAnsi="Arial" w:cs="Arial"/>
          <w:sz w:val="24"/>
          <w:szCs w:val="24"/>
        </w:rPr>
        <w:t xml:space="preserve"> memory difficulties can lead to discrepancies in victim statements, which are frequently misinterpreted as inconsistency or unreliability</w:t>
      </w:r>
      <w:r w:rsidR="00A01ACE">
        <w:rPr>
          <w:rFonts w:ascii="Arial" w:hAnsi="Arial" w:cs="Arial"/>
          <w:sz w:val="24"/>
          <w:szCs w:val="24"/>
        </w:rPr>
        <w:t xml:space="preserve">. </w:t>
      </w:r>
      <w:r w:rsidRPr="00EC312F">
        <w:rPr>
          <w:rFonts w:ascii="Arial" w:hAnsi="Arial" w:cs="Arial"/>
          <w:sz w:val="24"/>
          <w:szCs w:val="24"/>
        </w:rPr>
        <w:t xml:space="preserve">This misinterpretation contributes to high attrition rates in cases of sexual and domestic </w:t>
      </w:r>
      <w:r w:rsidRPr="00EC312F">
        <w:rPr>
          <w:rFonts w:ascii="Arial" w:hAnsi="Arial" w:cs="Arial"/>
          <w:sz w:val="24"/>
          <w:szCs w:val="24"/>
        </w:rPr>
        <w:lastRenderedPageBreak/>
        <w:t>violence, reinforcing structural disadvantages</w:t>
      </w:r>
      <w:r w:rsidR="00A01ACE">
        <w:rPr>
          <w:rFonts w:ascii="Arial" w:hAnsi="Arial" w:cs="Arial"/>
          <w:sz w:val="24"/>
          <w:szCs w:val="24"/>
        </w:rPr>
        <w:t xml:space="preserve">. </w:t>
      </w:r>
      <w:r w:rsidRPr="00EC312F">
        <w:rPr>
          <w:rFonts w:ascii="Arial" w:hAnsi="Arial" w:cs="Arial"/>
          <w:sz w:val="24"/>
          <w:szCs w:val="24"/>
        </w:rPr>
        <w:t>The lack of cultural competence training in police and judicial settings can also exacerbate</w:t>
      </w:r>
      <w:r w:rsidRPr="00EC312F">
        <w:rPr>
          <w:rFonts w:ascii="Arial" w:hAnsi="Arial" w:cs="Arial"/>
          <w:sz w:val="24"/>
          <w:szCs w:val="24"/>
        </w:rPr>
        <w:noBreakHyphen/>
        <w:t xml:space="preserve"> misunderstandings, particularly for victims from migrant, ethnic minority, and LGBTQ+ communities, further contributing to disengagement from formal justice processes.</w:t>
      </w:r>
      <w:r w:rsidRPr="00003E37">
        <w:rPr>
          <w:rFonts w:ascii="Times New Roman" w:eastAsia="Times New Roman" w:hAnsi="Times New Roman" w:cs="Times New Roman"/>
          <w:kern w:val="0"/>
          <w:sz w:val="24"/>
          <w:szCs w:val="24"/>
          <w:lang w:eastAsia="en-GB"/>
          <w14:ligatures w14:val="none"/>
        </w:rPr>
        <w:t xml:space="preserve"> </w:t>
      </w:r>
      <w:r w:rsidRPr="00003E37">
        <w:rPr>
          <w:rFonts w:ascii="Arial" w:hAnsi="Arial" w:cs="Arial"/>
          <w:sz w:val="24"/>
          <w:szCs w:val="24"/>
        </w:rPr>
        <w:t xml:space="preserve">Investigative practices frequently fail to accommodate the specific needs of vulnerable victims. HMICFRS inspections (2024) found that resource constraints, training gaps, and organisational cultures prioritising efficiency over engagement often produce inconsistent and suboptimal responses. Victims from ethnic minority backgrounds, disabled victims, migrants, and children are disproportionately affected by these systemic failings, resulting in reduced confidence in law enforcement and higher rates of case withdrawal. Empirical studies demonstrate that victims who experience negative treatment during investigation are less likely to report future crimes, </w:t>
      </w:r>
      <w:r w:rsidR="00A01ACE">
        <w:rPr>
          <w:rFonts w:ascii="Arial" w:hAnsi="Arial" w:cs="Arial"/>
          <w:sz w:val="24"/>
          <w:szCs w:val="24"/>
        </w:rPr>
        <w:t>perpetuating</w:t>
      </w:r>
      <w:r w:rsidRPr="00003E37">
        <w:rPr>
          <w:rFonts w:ascii="Arial" w:hAnsi="Arial" w:cs="Arial"/>
          <w:sz w:val="24"/>
          <w:szCs w:val="24"/>
        </w:rPr>
        <w:t xml:space="preserve"> underrepresentation in the criminal justice system (Bradford, </w:t>
      </w:r>
      <w:proofErr w:type="spellStart"/>
      <w:r w:rsidRPr="00003E37">
        <w:rPr>
          <w:rFonts w:ascii="Arial" w:hAnsi="Arial" w:cs="Arial"/>
          <w:sz w:val="24"/>
          <w:szCs w:val="24"/>
        </w:rPr>
        <w:t>Yesberg</w:t>
      </w:r>
      <w:proofErr w:type="spellEnd"/>
      <w:r w:rsidRPr="00003E37">
        <w:rPr>
          <w:rFonts w:ascii="Arial" w:hAnsi="Arial" w:cs="Arial"/>
          <w:sz w:val="24"/>
          <w:szCs w:val="24"/>
        </w:rPr>
        <w:t xml:space="preserve"> &amp; Jackson, 2023). Delays in investigation further traumatise victims, especially in cases involving sexual offences, coercive control, and exploitation, where timely evidence collection is crucial for successful prosecution. These systemic inefficiencies not only harm victims directly but also indirectly contribute to future criminalisation and social marginalisation (Hohl et al., 2020; Stanko, 2021).</w:t>
      </w:r>
    </w:p>
    <w:p w14:paraId="279BA572" w14:textId="685222C5" w:rsidR="00EC312F" w:rsidRPr="00EC312F" w:rsidRDefault="428663BD" w:rsidP="00003E37">
      <w:pPr>
        <w:spacing w:line="360" w:lineRule="auto"/>
        <w:jc w:val="both"/>
        <w:rPr>
          <w:rFonts w:ascii="Arial" w:hAnsi="Arial" w:cs="Arial"/>
          <w:sz w:val="24"/>
          <w:szCs w:val="24"/>
        </w:rPr>
      </w:pPr>
      <w:r w:rsidRPr="27D6E02E">
        <w:rPr>
          <w:rFonts w:ascii="Arial" w:hAnsi="Arial" w:cs="Arial"/>
          <w:sz w:val="24"/>
          <w:szCs w:val="24"/>
        </w:rPr>
        <w:t xml:space="preserve">Court procedures in the UK criminal justice system also present significant barriers that exacerbate secondary victimisation. The adversarial nature of trials, procedural delays, and the prioritisation of defendant rights often intensify distress for victims (McGlynn &amp; </w:t>
      </w:r>
      <w:proofErr w:type="spellStart"/>
      <w:r w:rsidRPr="27D6E02E">
        <w:rPr>
          <w:rFonts w:ascii="Arial" w:hAnsi="Arial" w:cs="Arial"/>
          <w:sz w:val="24"/>
          <w:szCs w:val="24"/>
        </w:rPr>
        <w:t>Westmarland</w:t>
      </w:r>
      <w:proofErr w:type="spellEnd"/>
      <w:r w:rsidRPr="27D6E02E">
        <w:rPr>
          <w:rFonts w:ascii="Arial" w:hAnsi="Arial" w:cs="Arial"/>
          <w:sz w:val="24"/>
          <w:szCs w:val="24"/>
        </w:rPr>
        <w:t xml:space="preserve">, 2023). Special measures such as screens, video testimony, and intermediary support have improved experiences for some victims, but their availability and awareness remain uneven, particularly in </w:t>
      </w:r>
      <w:r w:rsidR="00A01ACE">
        <w:rPr>
          <w:rFonts w:ascii="Arial" w:hAnsi="Arial" w:cs="Arial"/>
          <w:sz w:val="24"/>
          <w:szCs w:val="24"/>
        </w:rPr>
        <w:t>under-resourced</w:t>
      </w:r>
      <w:r w:rsidRPr="27D6E02E">
        <w:rPr>
          <w:rFonts w:ascii="Arial" w:hAnsi="Arial" w:cs="Arial"/>
          <w:sz w:val="24"/>
          <w:szCs w:val="24"/>
        </w:rPr>
        <w:t xml:space="preserve"> regions. </w:t>
      </w:r>
      <w:proofErr w:type="spellStart"/>
      <w:r w:rsidRPr="27D6E02E">
        <w:rPr>
          <w:rFonts w:ascii="Arial" w:hAnsi="Arial" w:cs="Arial"/>
          <w:sz w:val="24"/>
          <w:szCs w:val="24"/>
        </w:rPr>
        <w:t>SafeLives</w:t>
      </w:r>
      <w:proofErr w:type="spellEnd"/>
      <w:r w:rsidRPr="27D6E02E">
        <w:rPr>
          <w:rFonts w:ascii="Arial" w:hAnsi="Arial" w:cs="Arial"/>
          <w:sz w:val="24"/>
          <w:szCs w:val="24"/>
        </w:rPr>
        <w:t xml:space="preserve"> (2023) reports that disparities in funding for </w:t>
      </w:r>
      <w:r w:rsidR="0F463A5C" w:rsidRPr="27D6E02E">
        <w:rPr>
          <w:rFonts w:ascii="Arial" w:hAnsi="Arial" w:cs="Arial"/>
          <w:sz w:val="24"/>
          <w:szCs w:val="24"/>
        </w:rPr>
        <w:t>i</w:t>
      </w:r>
      <w:r w:rsidRPr="27D6E02E">
        <w:rPr>
          <w:rFonts w:ascii="Arial" w:hAnsi="Arial" w:cs="Arial"/>
          <w:sz w:val="24"/>
          <w:szCs w:val="24"/>
        </w:rPr>
        <w:t xml:space="preserve">ndependent </w:t>
      </w:r>
      <w:r w:rsidR="11D3DAFD" w:rsidRPr="27D6E02E">
        <w:rPr>
          <w:rFonts w:ascii="Arial" w:hAnsi="Arial" w:cs="Arial"/>
          <w:sz w:val="24"/>
          <w:szCs w:val="24"/>
        </w:rPr>
        <w:t>d</w:t>
      </w:r>
      <w:r w:rsidRPr="27D6E02E">
        <w:rPr>
          <w:rFonts w:ascii="Arial" w:hAnsi="Arial" w:cs="Arial"/>
          <w:sz w:val="24"/>
          <w:szCs w:val="24"/>
        </w:rPr>
        <w:t xml:space="preserve">omestic </w:t>
      </w:r>
      <w:r w:rsidR="45DF01F0" w:rsidRPr="27D6E02E">
        <w:rPr>
          <w:rFonts w:ascii="Arial" w:hAnsi="Arial" w:cs="Arial"/>
          <w:sz w:val="24"/>
          <w:szCs w:val="24"/>
        </w:rPr>
        <w:t>v</w:t>
      </w:r>
      <w:r w:rsidRPr="27D6E02E">
        <w:rPr>
          <w:rFonts w:ascii="Arial" w:hAnsi="Arial" w:cs="Arial"/>
          <w:sz w:val="24"/>
          <w:szCs w:val="24"/>
        </w:rPr>
        <w:t xml:space="preserve">iolence </w:t>
      </w:r>
      <w:r w:rsidR="04D21E10" w:rsidRPr="27D6E02E">
        <w:rPr>
          <w:rFonts w:ascii="Arial" w:hAnsi="Arial" w:cs="Arial"/>
          <w:sz w:val="24"/>
          <w:szCs w:val="24"/>
        </w:rPr>
        <w:t>a</w:t>
      </w:r>
      <w:r w:rsidRPr="27D6E02E">
        <w:rPr>
          <w:rFonts w:ascii="Arial" w:hAnsi="Arial" w:cs="Arial"/>
          <w:sz w:val="24"/>
          <w:szCs w:val="24"/>
        </w:rPr>
        <w:t xml:space="preserve">dvisors and </w:t>
      </w:r>
      <w:r w:rsidR="7C140444" w:rsidRPr="27D6E02E">
        <w:rPr>
          <w:rFonts w:ascii="Arial" w:hAnsi="Arial" w:cs="Arial"/>
          <w:sz w:val="24"/>
          <w:szCs w:val="24"/>
        </w:rPr>
        <w:t>i</w:t>
      </w:r>
      <w:r w:rsidRPr="27D6E02E">
        <w:rPr>
          <w:rFonts w:ascii="Arial" w:hAnsi="Arial" w:cs="Arial"/>
          <w:sz w:val="24"/>
          <w:szCs w:val="24"/>
        </w:rPr>
        <w:t xml:space="preserve">ndependent </w:t>
      </w:r>
      <w:r w:rsidR="7D1A9B00" w:rsidRPr="27D6E02E">
        <w:rPr>
          <w:rFonts w:ascii="Arial" w:hAnsi="Arial" w:cs="Arial"/>
          <w:sz w:val="24"/>
          <w:szCs w:val="24"/>
        </w:rPr>
        <w:t>s</w:t>
      </w:r>
      <w:r w:rsidRPr="27D6E02E">
        <w:rPr>
          <w:rFonts w:ascii="Arial" w:hAnsi="Arial" w:cs="Arial"/>
          <w:sz w:val="24"/>
          <w:szCs w:val="24"/>
        </w:rPr>
        <w:t xml:space="preserve">exual </w:t>
      </w:r>
      <w:r w:rsidR="1FD9D7B4" w:rsidRPr="27D6E02E">
        <w:rPr>
          <w:rFonts w:ascii="Arial" w:hAnsi="Arial" w:cs="Arial"/>
          <w:sz w:val="24"/>
          <w:szCs w:val="24"/>
        </w:rPr>
        <w:t>v</w:t>
      </w:r>
      <w:r w:rsidRPr="27D6E02E">
        <w:rPr>
          <w:rFonts w:ascii="Arial" w:hAnsi="Arial" w:cs="Arial"/>
          <w:sz w:val="24"/>
          <w:szCs w:val="24"/>
        </w:rPr>
        <w:t xml:space="preserve">iolence </w:t>
      </w:r>
      <w:r w:rsidR="6948E9FB" w:rsidRPr="27D6E02E">
        <w:rPr>
          <w:rFonts w:ascii="Arial" w:hAnsi="Arial" w:cs="Arial"/>
          <w:sz w:val="24"/>
          <w:szCs w:val="24"/>
        </w:rPr>
        <w:t>a</w:t>
      </w:r>
      <w:r w:rsidRPr="27D6E02E">
        <w:rPr>
          <w:rFonts w:ascii="Arial" w:hAnsi="Arial" w:cs="Arial"/>
          <w:sz w:val="24"/>
          <w:szCs w:val="24"/>
        </w:rPr>
        <w:t>dvisors have resulted in unequal support provision</w:t>
      </w:r>
      <w:r w:rsidR="00A01ACE">
        <w:rPr>
          <w:rFonts w:ascii="Arial" w:hAnsi="Arial" w:cs="Arial"/>
          <w:sz w:val="24"/>
          <w:szCs w:val="24"/>
        </w:rPr>
        <w:t xml:space="preserve">. </w:t>
      </w:r>
      <w:r w:rsidRPr="27D6E02E">
        <w:rPr>
          <w:rFonts w:ascii="Arial" w:hAnsi="Arial" w:cs="Arial"/>
          <w:sz w:val="24"/>
          <w:szCs w:val="24"/>
        </w:rPr>
        <w:t xml:space="preserve">Intersectional factors, including cultural, linguistic, and socioeconomic barriers, further complicate access to justice, with migrant, ethnic minority, and LGBTQ+ victims facing additional obstacles in navigating court processes (Gill &amp; Harrison, 2024). Evidence from Crown Prosecution Service reports indicates that victims with disabilities are less likely to be provided with appropriate intermediaries, increasing the likelihood of misunderstanding and misrepresentation during testimony. Ongoing court backlogs and resource pressures exacerbate these delays, </w:t>
      </w:r>
      <w:r w:rsidRPr="27D6E02E">
        <w:rPr>
          <w:rFonts w:ascii="Arial" w:hAnsi="Arial" w:cs="Arial"/>
          <w:sz w:val="24"/>
          <w:szCs w:val="24"/>
        </w:rPr>
        <w:lastRenderedPageBreak/>
        <w:t>disproportionately affecting vulnerable victims and contributing to attrition rates (Justice Committee, 2023; Law Society, 2024).</w:t>
      </w:r>
    </w:p>
    <w:p w14:paraId="1926C595" w14:textId="19753E1C" w:rsidR="00EC312F" w:rsidRPr="00EC312F" w:rsidRDefault="428663BD" w:rsidP="00003E37">
      <w:pPr>
        <w:spacing w:line="360" w:lineRule="auto"/>
        <w:jc w:val="both"/>
        <w:rPr>
          <w:rFonts w:ascii="Arial" w:hAnsi="Arial" w:cs="Arial"/>
          <w:sz w:val="24"/>
          <w:szCs w:val="24"/>
        </w:rPr>
      </w:pPr>
      <w:r w:rsidRPr="27D6E02E">
        <w:rPr>
          <w:rFonts w:ascii="Arial" w:hAnsi="Arial" w:cs="Arial"/>
          <w:sz w:val="24"/>
          <w:szCs w:val="24"/>
        </w:rPr>
        <w:t xml:space="preserve">Legislative frameworks have sought to address these systemic issues, yet gaps remain in implementation and effectiveness. The Victims and Prisoners Act 2024 strengthened statutory protections for vulnerable victims, mandating </w:t>
      </w:r>
      <w:r w:rsidR="6B3FB7E7" w:rsidRPr="27D6E02E">
        <w:rPr>
          <w:rFonts w:ascii="Arial" w:hAnsi="Arial" w:cs="Arial"/>
          <w:sz w:val="24"/>
          <w:szCs w:val="24"/>
        </w:rPr>
        <w:t>trauma-informed</w:t>
      </w:r>
      <w:r w:rsidRPr="27D6E02E">
        <w:rPr>
          <w:rFonts w:ascii="Arial" w:hAnsi="Arial" w:cs="Arial"/>
          <w:sz w:val="24"/>
          <w:szCs w:val="24"/>
        </w:rPr>
        <w:t xml:space="preserve"> approaches and prioritising timely communication throughout criminal proceedings. The Victims’ Code 2025 codifies the rights of victims to support, information, and participation. Despite these legal protections, evidence suggests that legislation alone cannot compensate for entrenched structural inequalities or resource constraints (Ministry of Justice, 2025). Local variations in police and prosecutorial practices mean that two victims experiencing similar offences can have vastly different experiences depending on geographic location, further entrenching inequality. This demonstrates that such reforms must be coupled with robust monitoring, training, and accountability mechanisms to translate statutory rights into meaningful practice (Crown Prosecution Service, 2024; Victims’ Commissioner, 2025).</w:t>
      </w:r>
    </w:p>
    <w:p w14:paraId="7F769D52" w14:textId="3C5104C6" w:rsidR="00EC312F" w:rsidRPr="00EC312F" w:rsidRDefault="428663BD" w:rsidP="00003E37">
      <w:pPr>
        <w:spacing w:line="360" w:lineRule="auto"/>
        <w:jc w:val="both"/>
        <w:rPr>
          <w:rFonts w:ascii="Arial" w:hAnsi="Arial" w:cs="Arial"/>
          <w:sz w:val="24"/>
          <w:szCs w:val="24"/>
        </w:rPr>
      </w:pPr>
      <w:r w:rsidRPr="27D6E02E">
        <w:rPr>
          <w:rFonts w:ascii="Arial" w:hAnsi="Arial" w:cs="Arial"/>
          <w:sz w:val="24"/>
          <w:szCs w:val="24"/>
        </w:rPr>
        <w:t xml:space="preserve">Policing and legislative responses to drug and </w:t>
      </w:r>
      <w:r w:rsidR="4942387C" w:rsidRPr="27D6E02E">
        <w:rPr>
          <w:rFonts w:ascii="Arial" w:hAnsi="Arial" w:cs="Arial"/>
          <w:sz w:val="24"/>
          <w:szCs w:val="24"/>
        </w:rPr>
        <w:t>alcohol related</w:t>
      </w:r>
      <w:r w:rsidRPr="27D6E02E">
        <w:rPr>
          <w:rFonts w:ascii="Arial" w:hAnsi="Arial" w:cs="Arial"/>
          <w:sz w:val="24"/>
          <w:szCs w:val="24"/>
        </w:rPr>
        <w:t xml:space="preserve"> offences exemplify how </w:t>
      </w:r>
      <w:r w:rsidR="1D4C29AE" w:rsidRPr="27D6E02E">
        <w:rPr>
          <w:rFonts w:ascii="Arial" w:hAnsi="Arial" w:cs="Arial"/>
          <w:sz w:val="24"/>
          <w:szCs w:val="24"/>
        </w:rPr>
        <w:t>enforcement led</w:t>
      </w:r>
      <w:r w:rsidRPr="27D6E02E">
        <w:rPr>
          <w:rFonts w:ascii="Arial" w:hAnsi="Arial" w:cs="Arial"/>
          <w:sz w:val="24"/>
          <w:szCs w:val="24"/>
        </w:rPr>
        <w:t xml:space="preserve"> approaches can exacerbate vulnerability. Current UK policy often criminalises marginalised individuals without addressing underlying social determinants of substance misuse, such as poverty, housing instability, and mental health conditions (Advisory Council on the Misuse of Drugs, 2024). Public Health England (2023) highlights that integrated social and health interventions are more effective in reducing harm than punitive measures. </w:t>
      </w:r>
      <w:r w:rsidR="6E903A1F" w:rsidRPr="27D6E02E">
        <w:rPr>
          <w:rFonts w:ascii="Arial" w:hAnsi="Arial" w:cs="Arial"/>
          <w:sz w:val="24"/>
          <w:szCs w:val="24"/>
        </w:rPr>
        <w:t>Alcohol related</w:t>
      </w:r>
      <w:r w:rsidRPr="27D6E02E">
        <w:rPr>
          <w:rFonts w:ascii="Arial" w:hAnsi="Arial" w:cs="Arial"/>
          <w:sz w:val="24"/>
          <w:szCs w:val="24"/>
        </w:rPr>
        <w:t xml:space="preserve"> harm significantly influences patterns of victimisation, particularly in domestic abuse and violent crime, yet policy responses often frame these issues as individual problems rather than addressing wider structural and cultural factors (Home Office, 2023; World Health Organi</w:t>
      </w:r>
      <w:r w:rsidR="212E1BD2" w:rsidRPr="27D6E02E">
        <w:rPr>
          <w:rFonts w:ascii="Arial" w:hAnsi="Arial" w:cs="Arial"/>
          <w:sz w:val="24"/>
          <w:szCs w:val="24"/>
        </w:rPr>
        <w:t>s</w:t>
      </w:r>
      <w:r w:rsidRPr="27D6E02E">
        <w:rPr>
          <w:rFonts w:ascii="Arial" w:hAnsi="Arial" w:cs="Arial"/>
          <w:sz w:val="24"/>
          <w:szCs w:val="24"/>
        </w:rPr>
        <w:t xml:space="preserve">ation, 2022). Stop and search policies disproportionately affect ethnic minority communities, creating perceptions of bias and reducing trust in law enforcement. These structural and procedural barriers contribute to a justice system in which vulnerable victims face repeated exposure to harm without adequate protection or support. </w:t>
      </w:r>
      <w:r w:rsidR="2C3CAB27" w:rsidRPr="27D6E02E">
        <w:rPr>
          <w:rFonts w:ascii="Arial" w:hAnsi="Arial" w:cs="Arial"/>
          <w:sz w:val="24"/>
          <w:szCs w:val="24"/>
        </w:rPr>
        <w:t>Enforcement focused</w:t>
      </w:r>
      <w:r w:rsidRPr="27D6E02E">
        <w:rPr>
          <w:rFonts w:ascii="Arial" w:hAnsi="Arial" w:cs="Arial"/>
          <w:sz w:val="24"/>
          <w:szCs w:val="24"/>
        </w:rPr>
        <w:t xml:space="preserve"> strategies may</w:t>
      </w:r>
      <w:r w:rsidR="03ED8EEF" w:rsidRPr="27D6E02E">
        <w:rPr>
          <w:rFonts w:ascii="Arial" w:hAnsi="Arial" w:cs="Arial"/>
          <w:sz w:val="24"/>
          <w:szCs w:val="24"/>
        </w:rPr>
        <w:t>,</w:t>
      </w:r>
      <w:r w:rsidRPr="27D6E02E">
        <w:rPr>
          <w:rFonts w:ascii="Arial" w:hAnsi="Arial" w:cs="Arial"/>
          <w:sz w:val="24"/>
          <w:szCs w:val="24"/>
        </w:rPr>
        <w:t xml:space="preserve"> therefore</w:t>
      </w:r>
      <w:r w:rsidR="53BDA13E" w:rsidRPr="27D6E02E">
        <w:rPr>
          <w:rFonts w:ascii="Arial" w:hAnsi="Arial" w:cs="Arial"/>
          <w:sz w:val="24"/>
          <w:szCs w:val="24"/>
        </w:rPr>
        <w:t>,</w:t>
      </w:r>
      <w:r w:rsidRPr="27D6E02E">
        <w:rPr>
          <w:rFonts w:ascii="Arial" w:hAnsi="Arial" w:cs="Arial"/>
          <w:sz w:val="24"/>
          <w:szCs w:val="24"/>
        </w:rPr>
        <w:t xml:space="preserve"> perpetuate, rather than resolve, cycles of vulnerability and offending (Pitts, 2024; Advisory Council on the Misuse of Drugs, 2024).</w:t>
      </w:r>
    </w:p>
    <w:p w14:paraId="047E5BD6" w14:textId="62291E52" w:rsidR="00EC312F" w:rsidRPr="00EC312F" w:rsidRDefault="428663BD" w:rsidP="00003E37">
      <w:pPr>
        <w:spacing w:line="360" w:lineRule="auto"/>
        <w:jc w:val="both"/>
        <w:rPr>
          <w:rFonts w:ascii="Arial" w:hAnsi="Arial" w:cs="Arial"/>
          <w:sz w:val="24"/>
          <w:szCs w:val="24"/>
        </w:rPr>
      </w:pPr>
      <w:r w:rsidRPr="27D6E02E">
        <w:rPr>
          <w:rFonts w:ascii="Arial" w:hAnsi="Arial" w:cs="Arial"/>
          <w:sz w:val="24"/>
          <w:szCs w:val="24"/>
        </w:rPr>
        <w:lastRenderedPageBreak/>
        <w:t xml:space="preserve">International comparisons demonstrate alternative approaches that prioritise harm reduction and public health. Portugal’s decriminalisation of personal drug use has resulted in lower incarceration rates, reduced </w:t>
      </w:r>
      <w:r w:rsidR="0486B538" w:rsidRPr="27D6E02E">
        <w:rPr>
          <w:rFonts w:ascii="Arial" w:hAnsi="Arial" w:cs="Arial"/>
          <w:sz w:val="24"/>
          <w:szCs w:val="24"/>
        </w:rPr>
        <w:t>drug related</w:t>
      </w:r>
      <w:r w:rsidRPr="27D6E02E">
        <w:rPr>
          <w:rFonts w:ascii="Arial" w:hAnsi="Arial" w:cs="Arial"/>
          <w:sz w:val="24"/>
          <w:szCs w:val="24"/>
        </w:rPr>
        <w:t xml:space="preserve"> harms, and increased engagement with treatment services (European Monitoring Centre for Drugs and Drug Addiction, 2024). Evidence from Canada, the Netherlands, New Zealand, and Scandinavia similarly </w:t>
      </w:r>
      <w:proofErr w:type="gramStart"/>
      <w:r w:rsidRPr="27D6E02E">
        <w:rPr>
          <w:rFonts w:ascii="Arial" w:hAnsi="Arial" w:cs="Arial"/>
          <w:sz w:val="24"/>
          <w:szCs w:val="24"/>
        </w:rPr>
        <w:t>indicates</w:t>
      </w:r>
      <w:proofErr w:type="gramEnd"/>
      <w:r w:rsidRPr="27D6E02E">
        <w:rPr>
          <w:rFonts w:ascii="Arial" w:hAnsi="Arial" w:cs="Arial"/>
          <w:sz w:val="24"/>
          <w:szCs w:val="24"/>
        </w:rPr>
        <w:t xml:space="preserve"> that integrating public health strategies with policing and justice processes can improve outcomes for vulnerable populations while reducing crime and victimisation rates (Canadian Centre on Substance Use and Addiction, 2024; EMCDDA, 2024; Van Dijk et al., 2019; Light et al., 2020). Australia’s youth justice and child protection models demonstrate the benefits of proactive, multiagency approaches in preventing criminalisation of vulnerable children and reducing reoffending (Australian Institute of Criminology, 2024). These comparisons highlight the potential for the UK to adopt policies that balance enforcement with prevention and social support, mitigating systemic disadvantages for vulnerable populations (Makkai &amp; McGregor, 2003; Sherman et al., 2020).</w:t>
      </w:r>
    </w:p>
    <w:p w14:paraId="7E95DCC2" w14:textId="1AF57620" w:rsidR="00EC312F" w:rsidRPr="00EC312F" w:rsidRDefault="428663BD" w:rsidP="00003E37">
      <w:pPr>
        <w:spacing w:line="360" w:lineRule="auto"/>
        <w:jc w:val="both"/>
        <w:rPr>
          <w:rFonts w:ascii="Arial" w:hAnsi="Arial" w:cs="Arial"/>
          <w:sz w:val="24"/>
          <w:szCs w:val="24"/>
        </w:rPr>
      </w:pPr>
      <w:r w:rsidRPr="27D6E02E">
        <w:rPr>
          <w:rFonts w:ascii="Arial" w:hAnsi="Arial" w:cs="Arial"/>
          <w:sz w:val="24"/>
          <w:szCs w:val="24"/>
        </w:rPr>
        <w:t xml:space="preserve">Effective reform requires a holistic, multiagency approach. </w:t>
      </w:r>
      <w:r w:rsidR="07C4AF94" w:rsidRPr="27D6E02E">
        <w:rPr>
          <w:rFonts w:ascii="Arial" w:hAnsi="Arial" w:cs="Arial"/>
          <w:sz w:val="24"/>
          <w:szCs w:val="24"/>
        </w:rPr>
        <w:t>Trauma-informed</w:t>
      </w:r>
      <w:r w:rsidRPr="27D6E02E">
        <w:rPr>
          <w:rFonts w:ascii="Arial" w:hAnsi="Arial" w:cs="Arial"/>
          <w:sz w:val="24"/>
          <w:szCs w:val="24"/>
        </w:rPr>
        <w:t xml:space="preserve"> practices within policing, investigation, and courtroom procedures can reduce secondary victimisation and improve perceptions of justice among vulnerable victims (Bradford, </w:t>
      </w:r>
      <w:proofErr w:type="spellStart"/>
      <w:r w:rsidRPr="27D6E02E">
        <w:rPr>
          <w:rFonts w:ascii="Arial" w:hAnsi="Arial" w:cs="Arial"/>
          <w:sz w:val="24"/>
          <w:szCs w:val="24"/>
        </w:rPr>
        <w:t>Yesberg</w:t>
      </w:r>
      <w:proofErr w:type="spellEnd"/>
      <w:r w:rsidRPr="27D6E02E">
        <w:rPr>
          <w:rFonts w:ascii="Arial" w:hAnsi="Arial" w:cs="Arial"/>
          <w:sz w:val="24"/>
          <w:szCs w:val="24"/>
        </w:rPr>
        <w:t xml:space="preserve"> &amp; Jackson, 2023; Miller &amp; </w:t>
      </w:r>
      <w:proofErr w:type="spellStart"/>
      <w:r w:rsidRPr="27D6E02E">
        <w:rPr>
          <w:rFonts w:ascii="Arial" w:hAnsi="Arial" w:cs="Arial"/>
          <w:sz w:val="24"/>
          <w:szCs w:val="24"/>
        </w:rPr>
        <w:t>Najavits</w:t>
      </w:r>
      <w:proofErr w:type="spellEnd"/>
      <w:r w:rsidRPr="27D6E02E">
        <w:rPr>
          <w:rFonts w:ascii="Arial" w:hAnsi="Arial" w:cs="Arial"/>
          <w:sz w:val="24"/>
          <w:szCs w:val="24"/>
        </w:rPr>
        <w:t>, 2012). Restorative justice programmes, which emphasise accountability, repair, and support rather than purely punitive outcomes, have demonstrated effectiveness in addressing relational and social harms while promoting rehabilitation (Bennett &amp; Riley, 2025; Zehr, 2021). Social policy interventions addressing education, housing, mental health, substance misuse, and community resilience are essential in reducing exposure to the social determinants of vulnerability, thereby preventing cycles of victimisation and offending (</w:t>
      </w:r>
      <w:proofErr w:type="spellStart"/>
      <w:r w:rsidRPr="27D6E02E">
        <w:rPr>
          <w:rFonts w:ascii="Arial" w:hAnsi="Arial" w:cs="Arial"/>
          <w:sz w:val="24"/>
          <w:szCs w:val="24"/>
        </w:rPr>
        <w:t>Walklate</w:t>
      </w:r>
      <w:proofErr w:type="spellEnd"/>
      <w:r w:rsidRPr="27D6E02E">
        <w:rPr>
          <w:rFonts w:ascii="Arial" w:hAnsi="Arial" w:cs="Arial"/>
          <w:sz w:val="24"/>
          <w:szCs w:val="24"/>
        </w:rPr>
        <w:t xml:space="preserve"> &amp; Fitz Gibbon, 2023; Teague et al., 2018). Multiagency child protection interventions and modern slavery response teams provide practical examples of systemic coordination to safeguard highly vulnerable groups, demonstrating the potential for preventative and protective strategies (Home Office, 2024; NSPCC, 2024). Incorporating systematic evaluation and feedback loops into these reforms ensures continuous improvement and responsiveness to evolving patterns of vulnerability and victimisation (Victims’ Commissioner, 2025; HMICFRS, 2024).</w:t>
      </w:r>
    </w:p>
    <w:p w14:paraId="5642EB45" w14:textId="3235391B" w:rsidR="00EC312F" w:rsidRPr="00EC312F" w:rsidRDefault="428663BD" w:rsidP="00003E37">
      <w:pPr>
        <w:spacing w:line="360" w:lineRule="auto"/>
        <w:jc w:val="both"/>
        <w:rPr>
          <w:rFonts w:ascii="Arial" w:hAnsi="Arial" w:cs="Arial"/>
          <w:sz w:val="24"/>
          <w:szCs w:val="24"/>
        </w:rPr>
      </w:pPr>
      <w:r w:rsidRPr="27D6E02E">
        <w:rPr>
          <w:rFonts w:ascii="Arial" w:hAnsi="Arial" w:cs="Arial"/>
          <w:sz w:val="24"/>
          <w:szCs w:val="24"/>
        </w:rPr>
        <w:lastRenderedPageBreak/>
        <w:t xml:space="preserve">Preventive strategies must also address the intergenerational transmission of vulnerability and criminalisation. Adverse childhood experiences (ACEs) such as neglect, domestic violence exposure, and early trauma increase the likelihood of both victimisation and offending in later life (Bellis et al., 2023). Interventions that combine family support, early education, and targeted mental health provision can significantly reduce </w:t>
      </w:r>
      <w:r w:rsidR="1C51ADF6" w:rsidRPr="27D6E02E">
        <w:rPr>
          <w:rFonts w:ascii="Arial" w:hAnsi="Arial" w:cs="Arial"/>
          <w:sz w:val="24"/>
          <w:szCs w:val="24"/>
        </w:rPr>
        <w:t>long-term</w:t>
      </w:r>
      <w:r w:rsidRPr="27D6E02E">
        <w:rPr>
          <w:rFonts w:ascii="Arial" w:hAnsi="Arial" w:cs="Arial"/>
          <w:sz w:val="24"/>
          <w:szCs w:val="24"/>
        </w:rPr>
        <w:t xml:space="preserve"> risks, yet these are often underfunded and fragmented within the UK context. Integrating these interventions with the criminal justice system, alongside </w:t>
      </w:r>
      <w:r w:rsidR="7841CDBF" w:rsidRPr="27D6E02E">
        <w:rPr>
          <w:rFonts w:ascii="Arial" w:hAnsi="Arial" w:cs="Arial"/>
          <w:sz w:val="24"/>
          <w:szCs w:val="24"/>
        </w:rPr>
        <w:t>trauma-informed</w:t>
      </w:r>
      <w:r w:rsidRPr="27D6E02E">
        <w:rPr>
          <w:rFonts w:ascii="Arial" w:hAnsi="Arial" w:cs="Arial"/>
          <w:sz w:val="24"/>
          <w:szCs w:val="24"/>
        </w:rPr>
        <w:t xml:space="preserve"> policing and community support structures, can create a proactive framework to disrupt cycles of harm before they escalate into criminal justice involvement.</w:t>
      </w:r>
    </w:p>
    <w:p w14:paraId="6048AC60" w14:textId="77777777" w:rsidR="00EC312F" w:rsidRPr="00EC312F" w:rsidRDefault="00EC312F" w:rsidP="00003E37">
      <w:pPr>
        <w:spacing w:line="360" w:lineRule="auto"/>
        <w:jc w:val="both"/>
        <w:rPr>
          <w:rFonts w:ascii="Arial" w:hAnsi="Arial" w:cs="Arial"/>
          <w:sz w:val="24"/>
          <w:szCs w:val="24"/>
        </w:rPr>
      </w:pPr>
      <w:r w:rsidRPr="00EC312F">
        <w:rPr>
          <w:rFonts w:ascii="Arial" w:hAnsi="Arial" w:cs="Arial"/>
          <w:sz w:val="24"/>
          <w:szCs w:val="24"/>
        </w:rPr>
        <w:t>The digitalisation of criminal justice processes introduces additional challenges for vulnerable populations. While online reporting systems, video testimonies, and digital case management improve accessibility for some, they also disadvantage individuals with limited digital literacy, cognitive impairments, or lack of internet access (Livingstone &amp; Mason, 2023; Ministry of Justice, 2025). Ensuring equitable access requires parallel investment in digital inclusion initiatives, user support, and training for justice professionals to identify and mitigate these emerging forms of exclusion.</w:t>
      </w:r>
    </w:p>
    <w:p w14:paraId="5F09D7CF" w14:textId="6B837828" w:rsidR="00EC312F" w:rsidRPr="00EC312F" w:rsidRDefault="428663BD" w:rsidP="00003E37">
      <w:pPr>
        <w:spacing w:line="360" w:lineRule="auto"/>
        <w:jc w:val="both"/>
        <w:rPr>
          <w:rFonts w:ascii="Arial" w:hAnsi="Arial" w:cs="Arial"/>
          <w:sz w:val="24"/>
          <w:szCs w:val="24"/>
        </w:rPr>
      </w:pPr>
      <w:r w:rsidRPr="27D6E02E">
        <w:rPr>
          <w:rFonts w:ascii="Arial" w:hAnsi="Arial" w:cs="Arial"/>
          <w:sz w:val="24"/>
          <w:szCs w:val="24"/>
        </w:rPr>
        <w:t xml:space="preserve">The intersection of mental health and criminal justice further highlights systemic inadequacies. Individuals with mental health conditions are overrepresented in both victim and offender populations, yet the UK system often treats mental illness as secondary to procedural objectives rather than integrating specialist support (Prison Reform Trust, 2024). </w:t>
      </w:r>
      <w:r w:rsidR="42147DD4" w:rsidRPr="27D6E02E">
        <w:rPr>
          <w:rFonts w:ascii="Arial" w:hAnsi="Arial" w:cs="Arial"/>
          <w:sz w:val="24"/>
          <w:szCs w:val="24"/>
        </w:rPr>
        <w:t>Co-located</w:t>
      </w:r>
      <w:r w:rsidRPr="27D6E02E">
        <w:rPr>
          <w:rFonts w:ascii="Arial" w:hAnsi="Arial" w:cs="Arial"/>
          <w:sz w:val="24"/>
          <w:szCs w:val="24"/>
        </w:rPr>
        <w:t xml:space="preserve"> health and justice services, diversion schemes, and liaison</w:t>
      </w:r>
      <w:r w:rsidR="5C6E1BC8" w:rsidRPr="27D6E02E">
        <w:rPr>
          <w:rFonts w:ascii="Arial" w:hAnsi="Arial" w:cs="Arial"/>
          <w:sz w:val="24"/>
          <w:szCs w:val="24"/>
        </w:rPr>
        <w:t xml:space="preserve"> </w:t>
      </w:r>
      <w:r w:rsidRPr="27D6E02E">
        <w:rPr>
          <w:rFonts w:ascii="Arial" w:hAnsi="Arial" w:cs="Arial"/>
          <w:sz w:val="24"/>
          <w:szCs w:val="24"/>
        </w:rPr>
        <w:t>and</w:t>
      </w:r>
      <w:r w:rsidR="008554F0" w:rsidRPr="27D6E02E">
        <w:rPr>
          <w:rFonts w:ascii="Arial" w:hAnsi="Arial" w:cs="Arial"/>
          <w:sz w:val="24"/>
          <w:szCs w:val="24"/>
        </w:rPr>
        <w:t xml:space="preserve"> </w:t>
      </w:r>
      <w:r w:rsidRPr="27D6E02E">
        <w:rPr>
          <w:rFonts w:ascii="Arial" w:hAnsi="Arial" w:cs="Arial"/>
          <w:sz w:val="24"/>
          <w:szCs w:val="24"/>
        </w:rPr>
        <w:t>diversion teams have demonstrated effectiveness in other jurisdictions, indicating potential pathways for the UK to better accommodate complex needs while reducing both victimisation and reoffending (NHS England, 2023).</w:t>
      </w:r>
    </w:p>
    <w:p w14:paraId="64C0BC91" w14:textId="435936E8" w:rsidR="00EC312F" w:rsidRPr="00EC312F" w:rsidRDefault="428663BD" w:rsidP="00003E37">
      <w:pPr>
        <w:spacing w:line="360" w:lineRule="auto"/>
        <w:jc w:val="both"/>
        <w:rPr>
          <w:rFonts w:ascii="Arial" w:hAnsi="Arial" w:cs="Arial"/>
          <w:sz w:val="24"/>
          <w:szCs w:val="24"/>
        </w:rPr>
      </w:pPr>
      <w:r w:rsidRPr="27D6E02E">
        <w:rPr>
          <w:rFonts w:ascii="Arial" w:hAnsi="Arial" w:cs="Arial"/>
          <w:sz w:val="24"/>
          <w:szCs w:val="24"/>
        </w:rPr>
        <w:t xml:space="preserve">Transformative reform requires recognising the systemic and structural production of vulnerability, critically evaluating the limitations of current policing and legislative approaches, and embedding equity, intersectionality, and </w:t>
      </w:r>
      <w:proofErr w:type="gramStart"/>
      <w:r w:rsidR="153DE6D9" w:rsidRPr="27D6E02E">
        <w:rPr>
          <w:rFonts w:ascii="Arial" w:hAnsi="Arial" w:cs="Arial"/>
          <w:sz w:val="24"/>
          <w:szCs w:val="24"/>
        </w:rPr>
        <w:t>evidence based</w:t>
      </w:r>
      <w:proofErr w:type="gramEnd"/>
      <w:r w:rsidRPr="27D6E02E">
        <w:rPr>
          <w:rFonts w:ascii="Arial" w:hAnsi="Arial" w:cs="Arial"/>
          <w:sz w:val="24"/>
          <w:szCs w:val="24"/>
        </w:rPr>
        <w:t xml:space="preserve"> practice at the core of all criminal justice processes. Multilayered strategies that combine legal reform, organisational change, social policy interventions, </w:t>
      </w:r>
      <w:r w:rsidR="04C310DD" w:rsidRPr="27D6E02E">
        <w:rPr>
          <w:rFonts w:ascii="Arial" w:hAnsi="Arial" w:cs="Arial"/>
          <w:sz w:val="24"/>
          <w:szCs w:val="24"/>
        </w:rPr>
        <w:t>trauma-informed</w:t>
      </w:r>
      <w:r w:rsidRPr="27D6E02E">
        <w:rPr>
          <w:rFonts w:ascii="Arial" w:hAnsi="Arial" w:cs="Arial"/>
          <w:sz w:val="24"/>
          <w:szCs w:val="24"/>
        </w:rPr>
        <w:t xml:space="preserve"> justice, restorative interventions, and harm reduction strategies offer the most promising pathway toward a justice system that is equitable, effective, and capable of protecting </w:t>
      </w:r>
      <w:r w:rsidRPr="27D6E02E">
        <w:rPr>
          <w:rFonts w:ascii="Arial" w:hAnsi="Arial" w:cs="Arial"/>
          <w:sz w:val="24"/>
          <w:szCs w:val="24"/>
        </w:rPr>
        <w:lastRenderedPageBreak/>
        <w:t>those who are most at risk. Only through such comprehensive reform can cycles of vulnerability, victimisation, and offending be interrupted, and a truly just and responsive criminal justice system be realised.</w:t>
      </w:r>
    </w:p>
    <w:p w14:paraId="510EE9A8" w14:textId="77777777" w:rsidR="00EC312F" w:rsidRPr="00EC312F" w:rsidRDefault="00EC312F" w:rsidP="00003E37">
      <w:pPr>
        <w:spacing w:line="360" w:lineRule="auto"/>
        <w:jc w:val="both"/>
        <w:rPr>
          <w:rFonts w:ascii="Arial" w:hAnsi="Arial" w:cs="Arial"/>
          <w:sz w:val="24"/>
          <w:szCs w:val="24"/>
        </w:rPr>
      </w:pPr>
      <w:r w:rsidRPr="00EC312F">
        <w:rPr>
          <w:rFonts w:ascii="Arial" w:hAnsi="Arial" w:cs="Arial"/>
          <w:sz w:val="24"/>
          <w:szCs w:val="24"/>
        </w:rPr>
        <w:t>The integration of community-based support systems is essential for reducing structural vulnerability. Evidence from international studies demonstrates that embedding justice interventions within community services enhances trust, reporting, and compliance. For example, New Zealand’s “Family Group Conferences” and the Netherlands’ community policing initiatives provide collaborative decision-making platforms where victims, offenders, and service providers co-create solutions, reducing reoffending and empowering marginalised communities (Sherman et al., 2020; Van Dijk et al., 2019). Such approaches contrast with the enforcement-led UK model, which frequently prioritises punitive outcomes over holistic support. Incorporating similar models into the UK could mitigate structural inequalities while fostering rehabilitative opportunities for offenders who themselves may be victims of systemic disadvantage.</w:t>
      </w:r>
    </w:p>
    <w:p w14:paraId="4426A9D9" w14:textId="77777777" w:rsidR="00EC312F" w:rsidRPr="00EC312F" w:rsidRDefault="00EC312F" w:rsidP="00003E37">
      <w:pPr>
        <w:spacing w:line="360" w:lineRule="auto"/>
        <w:jc w:val="both"/>
        <w:rPr>
          <w:rFonts w:ascii="Arial" w:hAnsi="Arial" w:cs="Arial"/>
          <w:sz w:val="24"/>
          <w:szCs w:val="24"/>
        </w:rPr>
      </w:pPr>
      <w:r w:rsidRPr="00EC312F">
        <w:rPr>
          <w:rFonts w:ascii="Arial" w:hAnsi="Arial" w:cs="Arial"/>
          <w:sz w:val="24"/>
          <w:szCs w:val="24"/>
        </w:rPr>
        <w:t xml:space="preserve">Addressing structural inequalities also necessitates </w:t>
      </w:r>
      <w:proofErr w:type="spellStart"/>
      <w:proofErr w:type="gramStart"/>
      <w:r w:rsidRPr="00EC312F">
        <w:rPr>
          <w:rFonts w:ascii="Arial" w:hAnsi="Arial" w:cs="Arial"/>
          <w:sz w:val="24"/>
          <w:szCs w:val="24"/>
        </w:rPr>
        <w:t>intersectionally</w:t>
      </w:r>
      <w:proofErr w:type="spellEnd"/>
      <w:r w:rsidRPr="00EC312F">
        <w:rPr>
          <w:rFonts w:ascii="Arial" w:hAnsi="Arial" w:cs="Arial"/>
          <w:sz w:val="24"/>
          <w:szCs w:val="24"/>
        </w:rPr>
        <w:t>-informed</w:t>
      </w:r>
      <w:proofErr w:type="gramEnd"/>
      <w:r w:rsidRPr="00EC312F">
        <w:rPr>
          <w:rFonts w:ascii="Arial" w:hAnsi="Arial" w:cs="Arial"/>
          <w:sz w:val="24"/>
          <w:szCs w:val="24"/>
        </w:rPr>
        <w:t xml:space="preserve"> data collection and analysis. Current crime statistics often fail to capture overlapping vulnerabilities, such as those experienced by disabled ethnic minority women or migrant LGBTQ+ youth. Without detailed, disaggregated data, policies cannot accurately identify or target the populations most at risk (Gill &amp; Harrison, 2024). Routinely integrating intersectional metrics into ONS datasets, local authority monitoring, and law enforcement reporting would provide evidence for more tailored interventions, enabling resources to be allocated based on need rather than broad assumptions about vulnerability.</w:t>
      </w:r>
    </w:p>
    <w:p w14:paraId="1A4EBF2E" w14:textId="106425E8" w:rsidR="00EC312F" w:rsidRPr="00EC312F" w:rsidRDefault="428663BD" w:rsidP="00003E37">
      <w:pPr>
        <w:spacing w:line="360" w:lineRule="auto"/>
        <w:jc w:val="both"/>
        <w:rPr>
          <w:rFonts w:ascii="Arial" w:hAnsi="Arial" w:cs="Arial"/>
          <w:sz w:val="24"/>
          <w:szCs w:val="24"/>
        </w:rPr>
      </w:pPr>
      <w:r w:rsidRPr="27D6E02E">
        <w:rPr>
          <w:rFonts w:ascii="Arial" w:hAnsi="Arial" w:cs="Arial"/>
          <w:sz w:val="24"/>
          <w:szCs w:val="24"/>
        </w:rPr>
        <w:t xml:space="preserve">Training and organisational culture reform within policing and prosecutorial agencies is another crucial area. Evidence shows that trauma-informed practice, cultural competency, and implicit bias awareness improve outcomes for vulnerable victims while enhancing the credibility of the justice system (Bradford, </w:t>
      </w:r>
      <w:proofErr w:type="spellStart"/>
      <w:r w:rsidRPr="27D6E02E">
        <w:rPr>
          <w:rFonts w:ascii="Arial" w:hAnsi="Arial" w:cs="Arial"/>
          <w:sz w:val="24"/>
          <w:szCs w:val="24"/>
        </w:rPr>
        <w:t>Yesberg</w:t>
      </w:r>
      <w:proofErr w:type="spellEnd"/>
      <w:r w:rsidRPr="27D6E02E">
        <w:rPr>
          <w:rFonts w:ascii="Arial" w:hAnsi="Arial" w:cs="Arial"/>
          <w:sz w:val="24"/>
          <w:szCs w:val="24"/>
        </w:rPr>
        <w:t xml:space="preserve"> &amp; Jackson, 2023; Miller &amp; </w:t>
      </w:r>
      <w:proofErr w:type="spellStart"/>
      <w:r w:rsidRPr="27D6E02E">
        <w:rPr>
          <w:rFonts w:ascii="Arial" w:hAnsi="Arial" w:cs="Arial"/>
          <w:sz w:val="24"/>
          <w:szCs w:val="24"/>
        </w:rPr>
        <w:t>Najavits</w:t>
      </w:r>
      <w:proofErr w:type="spellEnd"/>
      <w:r w:rsidRPr="27D6E02E">
        <w:rPr>
          <w:rFonts w:ascii="Arial" w:hAnsi="Arial" w:cs="Arial"/>
          <w:sz w:val="24"/>
          <w:szCs w:val="24"/>
        </w:rPr>
        <w:t xml:space="preserve">, 2012). Embedding these principles into continuous professional development, performance evaluations, and recruitment criteria would reinforce institutional accountability, shifting the focus from procedural compliance to victim-centred engagement. For example, mandatory training on recognising coercive </w:t>
      </w:r>
      <w:r w:rsidRPr="27D6E02E">
        <w:rPr>
          <w:rFonts w:ascii="Arial" w:hAnsi="Arial" w:cs="Arial"/>
          <w:sz w:val="24"/>
          <w:szCs w:val="24"/>
        </w:rPr>
        <w:lastRenderedPageBreak/>
        <w:t>control, neurodivergence, and intersectional vulnerabilities can help officers and prosecutors to assess risk accurately, support victims appropriately, and avoid secondary victimisation.</w:t>
      </w:r>
    </w:p>
    <w:p w14:paraId="5A08F6EA" w14:textId="77777777" w:rsidR="00EC312F" w:rsidRPr="00EC312F" w:rsidRDefault="00EC312F" w:rsidP="00003E37">
      <w:pPr>
        <w:spacing w:line="360" w:lineRule="auto"/>
        <w:jc w:val="both"/>
        <w:rPr>
          <w:rFonts w:ascii="Arial" w:hAnsi="Arial" w:cs="Arial"/>
          <w:sz w:val="24"/>
          <w:szCs w:val="24"/>
        </w:rPr>
      </w:pPr>
      <w:r w:rsidRPr="00EC312F">
        <w:rPr>
          <w:rFonts w:ascii="Arial" w:hAnsi="Arial" w:cs="Arial"/>
          <w:sz w:val="24"/>
          <w:szCs w:val="24"/>
        </w:rPr>
        <w:t>Restorative justice programmes offer another mechanism for addressing vulnerability and promoting rehabilitation. By prioritising relational repair over punishment, restorative approaches have been shown to improve victim satisfaction, reduce repeat victimisation, and address underlying social harms (Bennett &amp; Riley, 2025; Zehr, 2021). Integrating restorative justice with traditional criminal processes, particularly in cases involving domestic abuse, youth offending, and minor property crimes, could enhance the capacity of the UK system to respond flexibly to complex social circumstances. Furthermore, restorative approaches may disrupt cycles of intergenerational harm by addressing the relational context of criminal behaviour rather than isolating the individual as solely culpable.</w:t>
      </w:r>
    </w:p>
    <w:p w14:paraId="24F5597C" w14:textId="77777777" w:rsidR="00EC312F" w:rsidRPr="00EC312F" w:rsidRDefault="00EC312F" w:rsidP="00003E37">
      <w:pPr>
        <w:spacing w:line="360" w:lineRule="auto"/>
        <w:jc w:val="both"/>
        <w:rPr>
          <w:rFonts w:ascii="Arial" w:hAnsi="Arial" w:cs="Arial"/>
          <w:sz w:val="24"/>
          <w:szCs w:val="24"/>
        </w:rPr>
      </w:pPr>
      <w:r w:rsidRPr="00EC312F">
        <w:rPr>
          <w:rFonts w:ascii="Arial" w:hAnsi="Arial" w:cs="Arial"/>
          <w:sz w:val="24"/>
          <w:szCs w:val="24"/>
        </w:rPr>
        <w:t>Housing, employment, education, and healthcare interventions also play a critical role in reducing vulnerability. Homelessness, unstable housing, and unemployment are strongly correlated with both victimisation and offending (Teague et al., 2018; Public Health England, 2023). Programmes that provide secure housing, vocational training, mental health support, and access to education create protective environments that reduce exposure to risk factors. Multi-agency collaboration, combining criminal justice, health, social services, and educational sectors, can prevent the escalation of vulnerability into criminal justice involvement. For instance, the Australian youth justice model demonstrates that integrating child protection services, mental health support, and community engagement can significantly reduce reoffending rates among at-risk youth (Australian Institute of Criminology, 2024).</w:t>
      </w:r>
    </w:p>
    <w:p w14:paraId="7376A1CA" w14:textId="57424038" w:rsidR="00EC312F" w:rsidRPr="00EC312F" w:rsidRDefault="428663BD" w:rsidP="00003E37">
      <w:pPr>
        <w:spacing w:line="360" w:lineRule="auto"/>
        <w:jc w:val="both"/>
        <w:rPr>
          <w:rFonts w:ascii="Arial" w:hAnsi="Arial" w:cs="Arial"/>
          <w:sz w:val="24"/>
          <w:szCs w:val="24"/>
        </w:rPr>
      </w:pPr>
      <w:r w:rsidRPr="27D6E02E">
        <w:rPr>
          <w:rFonts w:ascii="Arial" w:hAnsi="Arial" w:cs="Arial"/>
          <w:sz w:val="24"/>
          <w:szCs w:val="24"/>
        </w:rPr>
        <w:t xml:space="preserve">Digital justice innovations can further enhance access for vulnerable populations, provided equity considerations are central. Online reporting portals, digital case management, and virtual testimony can increase convenience and reduce trauma associated with in-person proceedings. However, unequal access to technology, digital literacy challenges, and cognitive impairments must be addressed to prevent digital exclusion from compounding existing disadvantages (Livingstone &amp; Mason, 2023). Providing digital support, intermediaries, and alternative reporting methods </w:t>
      </w:r>
      <w:r w:rsidRPr="27D6E02E">
        <w:rPr>
          <w:rFonts w:ascii="Arial" w:hAnsi="Arial" w:cs="Arial"/>
          <w:sz w:val="24"/>
          <w:szCs w:val="24"/>
        </w:rPr>
        <w:lastRenderedPageBreak/>
        <w:t>ensures that technological innovation complements, rather than replaces, person-centred justice provision.</w:t>
      </w:r>
    </w:p>
    <w:p w14:paraId="2929C7FB" w14:textId="77777777" w:rsidR="00EC312F" w:rsidRPr="00EC312F" w:rsidRDefault="00EC312F" w:rsidP="00003E37">
      <w:pPr>
        <w:spacing w:line="360" w:lineRule="auto"/>
        <w:jc w:val="both"/>
        <w:rPr>
          <w:rFonts w:ascii="Arial" w:hAnsi="Arial" w:cs="Arial"/>
          <w:sz w:val="24"/>
          <w:szCs w:val="24"/>
        </w:rPr>
      </w:pPr>
      <w:r w:rsidRPr="00EC312F">
        <w:rPr>
          <w:rFonts w:ascii="Arial" w:hAnsi="Arial" w:cs="Arial"/>
          <w:sz w:val="24"/>
          <w:szCs w:val="24"/>
        </w:rPr>
        <w:t>Mental health interventions remain a critical gap within the UK system. Individuals with mental health conditions are overrepresented as both victims and offenders yet often encounter a criminal justice system ill-equipped to address their needs (Prison Reform Trust, 2024). Integration of mental health specialists, liaison and diversion teams, and co-located health services into policing and court systems has been shown internationally to reduce repeat victimisation, prevent unnecessary criminalisation, and improve recovery outcomes (NHS England, 2023). Such models also contribute to long-term reductions in prison populations, as individuals receive appropriate support rather than punitive sanctions for behaviours linked to untreated mental health conditions.</w:t>
      </w:r>
    </w:p>
    <w:p w14:paraId="42E9BCED" w14:textId="77777777" w:rsidR="00EC312F" w:rsidRPr="00EC312F" w:rsidRDefault="00EC312F" w:rsidP="00003E37">
      <w:pPr>
        <w:spacing w:line="360" w:lineRule="auto"/>
        <w:jc w:val="both"/>
        <w:rPr>
          <w:rFonts w:ascii="Arial" w:hAnsi="Arial" w:cs="Arial"/>
          <w:sz w:val="24"/>
          <w:szCs w:val="24"/>
        </w:rPr>
      </w:pPr>
      <w:r w:rsidRPr="00EC312F">
        <w:rPr>
          <w:rFonts w:ascii="Arial" w:hAnsi="Arial" w:cs="Arial"/>
          <w:sz w:val="24"/>
          <w:szCs w:val="24"/>
        </w:rPr>
        <w:t xml:space="preserve">Finally, it is essential to recognise the importance of evaluation, accountability, and feedback in reform implementation. Evidence demonstrates that without monitoring and responsiveness, even well-intentioned reforms fail to deliver equitable outcomes (Victims’ Commissioner, 2025; HMICFRS, 2024). Independent oversight, continuous evaluation of services, and participatory input from victims themselves can ensure that policies and practices remain aligned with real-world needs. Accountability mechanisms should encompass law enforcement, courts, social services, and </w:t>
      </w:r>
      <w:proofErr w:type="gramStart"/>
      <w:r w:rsidRPr="00EC312F">
        <w:rPr>
          <w:rFonts w:ascii="Arial" w:hAnsi="Arial" w:cs="Arial"/>
          <w:sz w:val="24"/>
          <w:szCs w:val="24"/>
        </w:rPr>
        <w:t>policy-makers</w:t>
      </w:r>
      <w:proofErr w:type="gramEnd"/>
      <w:r w:rsidRPr="00EC312F">
        <w:rPr>
          <w:rFonts w:ascii="Arial" w:hAnsi="Arial" w:cs="Arial"/>
          <w:sz w:val="24"/>
          <w:szCs w:val="24"/>
        </w:rPr>
        <w:t>, creating systemic responsibility for reducing vulnerability and enhancing justice outcomes.</w:t>
      </w:r>
    </w:p>
    <w:p w14:paraId="1C01BAA6" w14:textId="77777777" w:rsidR="00EC312F" w:rsidRPr="00EC312F" w:rsidRDefault="00EC312F" w:rsidP="00003E37">
      <w:pPr>
        <w:spacing w:line="360" w:lineRule="auto"/>
        <w:jc w:val="both"/>
        <w:rPr>
          <w:rFonts w:ascii="Arial" w:hAnsi="Arial" w:cs="Arial"/>
          <w:sz w:val="24"/>
          <w:szCs w:val="24"/>
        </w:rPr>
      </w:pPr>
      <w:r w:rsidRPr="00EC312F">
        <w:rPr>
          <w:rFonts w:ascii="Arial" w:hAnsi="Arial" w:cs="Arial"/>
          <w:sz w:val="24"/>
          <w:szCs w:val="24"/>
        </w:rPr>
        <w:t>In conclusion, this essay has critically examined the complex and multi-layered difficulties that vulnerable victims face within the criminal justice system in the United Kingdom. Vulnerability is not an individual deficit but a socially and institutionally produced condition arising from intersecting factors such as gender, ethnicity, socio-economic status, disability, age, sexual orientation, and migration. Structural inequalities, systemic biases, and social exclusion collectively increase exposure to harm while restricting access to justice, creating cycles of victimisation and offending. Evidence highlights that women, ethnic minorities, disabled individuals, migrants, children, older adults, LGBTQ+ populations, victims of trafficking, and socio-economically disadvantaged groups experience disproportionate victimisation compounded by systemic barriers.</w:t>
      </w:r>
    </w:p>
    <w:p w14:paraId="09623106" w14:textId="77777777" w:rsidR="00EC312F" w:rsidRPr="00EC312F" w:rsidRDefault="00EC312F" w:rsidP="00003E37">
      <w:pPr>
        <w:spacing w:line="360" w:lineRule="auto"/>
        <w:jc w:val="both"/>
        <w:rPr>
          <w:rFonts w:ascii="Arial" w:hAnsi="Arial" w:cs="Arial"/>
          <w:sz w:val="24"/>
          <w:szCs w:val="24"/>
        </w:rPr>
      </w:pPr>
      <w:r w:rsidRPr="00EC312F">
        <w:rPr>
          <w:rFonts w:ascii="Arial" w:hAnsi="Arial" w:cs="Arial"/>
          <w:sz w:val="24"/>
          <w:szCs w:val="24"/>
        </w:rPr>
        <w:lastRenderedPageBreak/>
        <w:t>The criminal justice system itself contributes to these difficulties through inconsistent application of statutory protections, enforcement-led approaches, resource disparities, and procedural inefficiencies that inadvertently perpetuate secondary victimisation. Legislative frameworks, including the Victims and Prisoners Act 2024 and the Victims’ Code 2025, represent important progress, yet implementation gaps and regional disparities limit their effectiveness. Reform must therefore extend beyond legislation to encompass organisational culture, resource allocation, intersectional training, and multi-agency collaboration.</w:t>
      </w:r>
    </w:p>
    <w:p w14:paraId="16FF67EF" w14:textId="424F268E" w:rsidR="00EC312F" w:rsidRPr="00EC312F" w:rsidRDefault="00EC312F" w:rsidP="00003E37">
      <w:pPr>
        <w:spacing w:line="360" w:lineRule="auto"/>
        <w:jc w:val="both"/>
        <w:rPr>
          <w:rFonts w:ascii="Arial" w:hAnsi="Arial" w:cs="Arial"/>
          <w:sz w:val="24"/>
          <w:szCs w:val="24"/>
        </w:rPr>
      </w:pPr>
      <w:r w:rsidRPr="00EC312F">
        <w:rPr>
          <w:rFonts w:ascii="Arial" w:hAnsi="Arial" w:cs="Arial"/>
          <w:sz w:val="24"/>
          <w:szCs w:val="24"/>
        </w:rPr>
        <w:t>International evidence demonstrates that integrating public health approaches, restorative justice, trauma-informed practice, and preventative social policy measures can reduce harm, increase engagement, and mitigate structural disadvantages. By adopting holistic, multi-layered strategies</w:t>
      </w:r>
      <w:r w:rsidR="00B0136B" w:rsidRPr="00003E37">
        <w:rPr>
          <w:rFonts w:ascii="Arial" w:hAnsi="Arial" w:cs="Arial"/>
          <w:sz w:val="24"/>
          <w:szCs w:val="24"/>
        </w:rPr>
        <w:t xml:space="preserve"> </w:t>
      </w:r>
      <w:r w:rsidRPr="00EC312F">
        <w:rPr>
          <w:rFonts w:ascii="Arial" w:hAnsi="Arial" w:cs="Arial"/>
          <w:sz w:val="24"/>
          <w:szCs w:val="24"/>
        </w:rPr>
        <w:t>combining legal reform, social interventions, community engagement, digital innovation, and mental health support</w:t>
      </w:r>
      <w:r w:rsidR="00B0136B" w:rsidRPr="00003E37">
        <w:rPr>
          <w:rFonts w:ascii="Arial" w:hAnsi="Arial" w:cs="Arial"/>
          <w:sz w:val="24"/>
          <w:szCs w:val="24"/>
        </w:rPr>
        <w:t xml:space="preserve">, </w:t>
      </w:r>
      <w:r w:rsidRPr="00EC312F">
        <w:rPr>
          <w:rFonts w:ascii="Arial" w:hAnsi="Arial" w:cs="Arial"/>
          <w:sz w:val="24"/>
          <w:szCs w:val="24"/>
        </w:rPr>
        <w:t xml:space="preserve">the UK can move toward a criminal justice system that is genuinely equitable, effective, and capable of protecting those most at risk. Only through sustained, </w:t>
      </w:r>
      <w:proofErr w:type="spellStart"/>
      <w:r w:rsidRPr="00EC312F">
        <w:rPr>
          <w:rFonts w:ascii="Arial" w:hAnsi="Arial" w:cs="Arial"/>
          <w:sz w:val="24"/>
          <w:szCs w:val="24"/>
        </w:rPr>
        <w:t>intersectionally</w:t>
      </w:r>
      <w:proofErr w:type="spellEnd"/>
      <w:r w:rsidRPr="00EC312F">
        <w:rPr>
          <w:rFonts w:ascii="Arial" w:hAnsi="Arial" w:cs="Arial"/>
          <w:sz w:val="24"/>
          <w:szCs w:val="24"/>
        </w:rPr>
        <w:t xml:space="preserve"> informed reform can cycles of vulnerability, victimisation, and offending be interrupted, achieving a justice system that serves society’s most marginalised with fairness, empathy, and responsiveness.</w:t>
      </w:r>
    </w:p>
    <w:p w14:paraId="01807396" w14:textId="17A9007C" w:rsidR="00EC312F" w:rsidRPr="00EC312F" w:rsidRDefault="00EC312F" w:rsidP="00003E37">
      <w:pPr>
        <w:spacing w:line="360" w:lineRule="auto"/>
        <w:jc w:val="both"/>
        <w:rPr>
          <w:rFonts w:ascii="Arial" w:hAnsi="Arial" w:cs="Arial"/>
          <w:sz w:val="24"/>
          <w:szCs w:val="24"/>
        </w:rPr>
      </w:pPr>
    </w:p>
    <w:p w14:paraId="56030888" w14:textId="0BAAD68C" w:rsidR="0AA8D0FF" w:rsidRDefault="0AA8D0FF" w:rsidP="0AA8D0FF">
      <w:pPr>
        <w:spacing w:line="360" w:lineRule="auto"/>
        <w:jc w:val="both"/>
        <w:rPr>
          <w:rFonts w:ascii="Arial" w:hAnsi="Arial" w:cs="Arial"/>
          <w:sz w:val="24"/>
          <w:szCs w:val="24"/>
        </w:rPr>
      </w:pPr>
    </w:p>
    <w:p w14:paraId="267C2840" w14:textId="31699C49" w:rsidR="0AA8D0FF" w:rsidRDefault="0AA8D0FF" w:rsidP="0AA8D0FF">
      <w:pPr>
        <w:spacing w:line="360" w:lineRule="auto"/>
        <w:jc w:val="both"/>
        <w:rPr>
          <w:rFonts w:ascii="Arial" w:hAnsi="Arial" w:cs="Arial"/>
          <w:sz w:val="24"/>
          <w:szCs w:val="24"/>
        </w:rPr>
      </w:pPr>
    </w:p>
    <w:p w14:paraId="6CD5B795" w14:textId="3AE6AD82" w:rsidR="0AA8D0FF" w:rsidRDefault="0AA8D0FF" w:rsidP="0AA8D0FF">
      <w:pPr>
        <w:spacing w:line="360" w:lineRule="auto"/>
        <w:jc w:val="both"/>
        <w:rPr>
          <w:rFonts w:ascii="Arial" w:hAnsi="Arial" w:cs="Arial"/>
          <w:sz w:val="24"/>
          <w:szCs w:val="24"/>
        </w:rPr>
      </w:pPr>
    </w:p>
    <w:p w14:paraId="7F5E3B80" w14:textId="3909BA6C" w:rsidR="0AA8D0FF" w:rsidRDefault="0AA8D0FF" w:rsidP="0AA8D0FF">
      <w:pPr>
        <w:spacing w:line="360" w:lineRule="auto"/>
        <w:jc w:val="both"/>
        <w:rPr>
          <w:rFonts w:ascii="Arial" w:hAnsi="Arial" w:cs="Arial"/>
          <w:sz w:val="24"/>
          <w:szCs w:val="24"/>
        </w:rPr>
      </w:pPr>
    </w:p>
    <w:p w14:paraId="6F82281D" w14:textId="6CCE3258" w:rsidR="0AA8D0FF" w:rsidRDefault="0AA8D0FF" w:rsidP="0AA8D0FF">
      <w:pPr>
        <w:spacing w:line="360" w:lineRule="auto"/>
        <w:jc w:val="both"/>
        <w:rPr>
          <w:rFonts w:ascii="Arial" w:hAnsi="Arial" w:cs="Arial"/>
          <w:sz w:val="24"/>
          <w:szCs w:val="24"/>
        </w:rPr>
      </w:pPr>
    </w:p>
    <w:p w14:paraId="0377B705" w14:textId="6FCABBED" w:rsidR="0AA8D0FF" w:rsidRDefault="0AA8D0FF" w:rsidP="0AA8D0FF">
      <w:pPr>
        <w:spacing w:line="360" w:lineRule="auto"/>
        <w:jc w:val="both"/>
        <w:rPr>
          <w:rFonts w:ascii="Arial" w:hAnsi="Arial" w:cs="Arial"/>
          <w:sz w:val="24"/>
          <w:szCs w:val="24"/>
        </w:rPr>
      </w:pPr>
    </w:p>
    <w:p w14:paraId="47EC5CAB" w14:textId="77777777" w:rsidR="00D75F90" w:rsidRDefault="00D75F90" w:rsidP="0AA8D0FF">
      <w:pPr>
        <w:spacing w:line="360" w:lineRule="auto"/>
        <w:jc w:val="both"/>
        <w:rPr>
          <w:rFonts w:ascii="Arial" w:hAnsi="Arial" w:cs="Arial"/>
          <w:sz w:val="24"/>
          <w:szCs w:val="24"/>
        </w:rPr>
      </w:pPr>
    </w:p>
    <w:p w14:paraId="541DC94E" w14:textId="1C2F8287" w:rsidR="27D6E02E" w:rsidRDefault="27D6E02E" w:rsidP="27D6E02E">
      <w:pPr>
        <w:spacing w:line="360" w:lineRule="auto"/>
        <w:jc w:val="both"/>
        <w:rPr>
          <w:rFonts w:ascii="Arial" w:hAnsi="Arial" w:cs="Arial"/>
          <w:b/>
          <w:bCs/>
          <w:sz w:val="24"/>
          <w:szCs w:val="24"/>
          <w:u w:val="single"/>
        </w:rPr>
      </w:pPr>
    </w:p>
    <w:p w14:paraId="7BE177CC" w14:textId="72D2906C" w:rsidR="27D6E02E" w:rsidRDefault="27D6E02E" w:rsidP="27D6E02E">
      <w:pPr>
        <w:spacing w:line="360" w:lineRule="auto"/>
        <w:jc w:val="both"/>
        <w:rPr>
          <w:rFonts w:ascii="Arial" w:hAnsi="Arial" w:cs="Arial"/>
          <w:b/>
          <w:bCs/>
          <w:sz w:val="24"/>
          <w:szCs w:val="24"/>
          <w:u w:val="single"/>
        </w:rPr>
      </w:pPr>
    </w:p>
    <w:p w14:paraId="66CB1573" w14:textId="6E1A27DF" w:rsidR="27D6E02E" w:rsidRDefault="27D6E02E" w:rsidP="27D6E02E">
      <w:pPr>
        <w:spacing w:line="360" w:lineRule="auto"/>
        <w:jc w:val="both"/>
        <w:rPr>
          <w:rFonts w:ascii="Arial" w:hAnsi="Arial" w:cs="Arial"/>
          <w:b/>
          <w:bCs/>
          <w:sz w:val="24"/>
          <w:szCs w:val="24"/>
          <w:u w:val="single"/>
        </w:rPr>
      </w:pPr>
    </w:p>
    <w:p w14:paraId="32256634" w14:textId="3462009C" w:rsidR="39A397BA" w:rsidRDefault="39A397BA" w:rsidP="39A397BA">
      <w:pPr>
        <w:spacing w:line="360" w:lineRule="auto"/>
        <w:jc w:val="both"/>
        <w:rPr>
          <w:rFonts w:ascii="Arial" w:hAnsi="Arial" w:cs="Arial"/>
          <w:b/>
          <w:bCs/>
          <w:sz w:val="24"/>
          <w:szCs w:val="24"/>
          <w:u w:val="single"/>
        </w:rPr>
      </w:pPr>
    </w:p>
    <w:p w14:paraId="50D0CA22" w14:textId="65B2D869" w:rsidR="39A397BA" w:rsidRDefault="39A397BA" w:rsidP="39A397BA">
      <w:pPr>
        <w:spacing w:line="360" w:lineRule="auto"/>
        <w:jc w:val="both"/>
        <w:rPr>
          <w:rFonts w:ascii="Arial" w:hAnsi="Arial" w:cs="Arial"/>
          <w:b/>
          <w:bCs/>
          <w:sz w:val="24"/>
          <w:szCs w:val="24"/>
          <w:u w:val="single"/>
        </w:rPr>
      </w:pPr>
    </w:p>
    <w:p w14:paraId="3B4362CD" w14:textId="04C65660" w:rsidR="5385A27B" w:rsidRDefault="5385A27B" w:rsidP="0AA8D0FF">
      <w:pPr>
        <w:spacing w:line="360" w:lineRule="auto"/>
        <w:jc w:val="both"/>
        <w:rPr>
          <w:rFonts w:ascii="Arial" w:hAnsi="Arial" w:cs="Arial"/>
          <w:b/>
          <w:bCs/>
          <w:sz w:val="24"/>
          <w:szCs w:val="24"/>
          <w:u w:val="single"/>
        </w:rPr>
      </w:pPr>
      <w:r w:rsidRPr="0AA8D0FF">
        <w:rPr>
          <w:rFonts w:ascii="Arial" w:hAnsi="Arial" w:cs="Arial"/>
          <w:b/>
          <w:bCs/>
          <w:sz w:val="24"/>
          <w:szCs w:val="24"/>
          <w:u w:val="single"/>
        </w:rPr>
        <w:t xml:space="preserve">Reference list </w:t>
      </w:r>
    </w:p>
    <w:p w14:paraId="220733D9" w14:textId="77777777" w:rsidR="00204840" w:rsidRPr="00204840" w:rsidRDefault="00204840" w:rsidP="00204840">
      <w:pPr>
        <w:spacing w:line="360" w:lineRule="auto"/>
        <w:jc w:val="both"/>
        <w:rPr>
          <w:rFonts w:ascii="Arial" w:hAnsi="Arial" w:cs="Arial"/>
          <w:sz w:val="24"/>
          <w:szCs w:val="24"/>
        </w:rPr>
      </w:pPr>
      <w:r w:rsidRPr="00204840">
        <w:rPr>
          <w:rFonts w:ascii="Arial" w:hAnsi="Arial" w:cs="Arial"/>
          <w:sz w:val="24"/>
          <w:szCs w:val="24"/>
        </w:rPr>
        <w:t xml:space="preserve">Advisory Council on the Misuse of Drugs, 2024. </w:t>
      </w:r>
      <w:r w:rsidRPr="00204840">
        <w:rPr>
          <w:rFonts w:ascii="Arial" w:hAnsi="Arial" w:cs="Arial"/>
          <w:i/>
          <w:iCs/>
          <w:sz w:val="24"/>
          <w:szCs w:val="24"/>
        </w:rPr>
        <w:t>Reducing drug-related harms: Evidence-based approaches.</w:t>
      </w:r>
      <w:r w:rsidRPr="00204840">
        <w:rPr>
          <w:rFonts w:ascii="Arial" w:hAnsi="Arial" w:cs="Arial"/>
          <w:sz w:val="24"/>
          <w:szCs w:val="24"/>
        </w:rPr>
        <w:t xml:space="preserve"> London: ACMD. Available at: </w:t>
      </w:r>
      <w:hyperlink r:id="rId11" w:tgtFrame="_new" w:history="1">
        <w:r w:rsidRPr="00204840">
          <w:rPr>
            <w:rStyle w:val="Hyperlink"/>
            <w:rFonts w:ascii="Arial" w:hAnsi="Arial" w:cs="Arial"/>
            <w:sz w:val="24"/>
            <w:szCs w:val="24"/>
          </w:rPr>
          <w:t>https://www.gov.uk/government/publications/acmd-reducing-drug-related-harms</w:t>
        </w:r>
      </w:hyperlink>
      <w:r w:rsidRPr="00204840">
        <w:rPr>
          <w:rFonts w:ascii="Arial" w:hAnsi="Arial" w:cs="Arial"/>
          <w:sz w:val="24"/>
          <w:szCs w:val="24"/>
        </w:rPr>
        <w:t xml:space="preserve"> [Accessed 28 March 2026].</w:t>
      </w:r>
    </w:p>
    <w:p w14:paraId="095CD929" w14:textId="4F5D564C" w:rsidR="00204840" w:rsidRPr="00204840" w:rsidRDefault="00204840" w:rsidP="00204840">
      <w:pPr>
        <w:spacing w:line="360" w:lineRule="auto"/>
        <w:jc w:val="both"/>
        <w:rPr>
          <w:rFonts w:ascii="Arial" w:hAnsi="Arial" w:cs="Arial"/>
          <w:sz w:val="24"/>
          <w:szCs w:val="24"/>
        </w:rPr>
      </w:pPr>
      <w:r w:rsidRPr="319E148A">
        <w:rPr>
          <w:rFonts w:ascii="Arial" w:hAnsi="Arial" w:cs="Arial"/>
          <w:sz w:val="24"/>
          <w:szCs w:val="24"/>
        </w:rPr>
        <w:t xml:space="preserve">Age UK, 2024. </w:t>
      </w:r>
      <w:r w:rsidRPr="319E148A">
        <w:rPr>
          <w:rFonts w:ascii="Arial" w:hAnsi="Arial" w:cs="Arial"/>
          <w:i/>
          <w:iCs/>
          <w:sz w:val="24"/>
          <w:szCs w:val="24"/>
        </w:rPr>
        <w:t>Elder abuse and neglect: Understanding risks and reporting.</w:t>
      </w:r>
      <w:r w:rsidRPr="319E148A">
        <w:rPr>
          <w:rFonts w:ascii="Arial" w:hAnsi="Arial" w:cs="Arial"/>
          <w:sz w:val="24"/>
          <w:szCs w:val="24"/>
        </w:rPr>
        <w:t xml:space="preserve"> London: AgeUK.</w:t>
      </w:r>
      <w:r w:rsidR="6690E5F9" w:rsidRPr="319E148A">
        <w:rPr>
          <w:rFonts w:ascii="Arial" w:hAnsi="Arial" w:cs="Arial"/>
          <w:sz w:val="24"/>
          <w:szCs w:val="24"/>
        </w:rPr>
        <w:t xml:space="preserve"> </w:t>
      </w:r>
      <w:r w:rsidRPr="319E148A">
        <w:rPr>
          <w:rFonts w:ascii="Arial" w:hAnsi="Arial" w:cs="Arial"/>
          <w:sz w:val="24"/>
          <w:szCs w:val="24"/>
        </w:rPr>
        <w:t xml:space="preserve">Available at: </w:t>
      </w:r>
      <w:hyperlink r:id="rId12">
        <w:r w:rsidRPr="319E148A">
          <w:rPr>
            <w:rStyle w:val="Hyperlink"/>
            <w:rFonts w:ascii="Arial" w:hAnsi="Arial" w:cs="Arial"/>
            <w:sz w:val="24"/>
            <w:szCs w:val="24"/>
          </w:rPr>
          <w:t>https://www.ageuk.org.uk/information-advice/health-wellbeing/abuse-neglect/</w:t>
        </w:r>
      </w:hyperlink>
      <w:r w:rsidRPr="319E148A">
        <w:rPr>
          <w:rFonts w:ascii="Arial" w:hAnsi="Arial" w:cs="Arial"/>
          <w:sz w:val="24"/>
          <w:szCs w:val="24"/>
        </w:rPr>
        <w:t xml:space="preserve"> [Accessed 29 March 2026].</w:t>
      </w:r>
    </w:p>
    <w:p w14:paraId="4A03BEC1" w14:textId="5A31117C" w:rsidR="00204840" w:rsidRPr="00204840" w:rsidRDefault="00204840" w:rsidP="00204840">
      <w:pPr>
        <w:spacing w:line="360" w:lineRule="auto"/>
        <w:jc w:val="both"/>
        <w:rPr>
          <w:rFonts w:ascii="Arial" w:hAnsi="Arial" w:cs="Arial"/>
          <w:sz w:val="24"/>
          <w:szCs w:val="24"/>
        </w:rPr>
      </w:pPr>
      <w:r w:rsidRPr="00204840">
        <w:rPr>
          <w:rFonts w:ascii="Arial" w:hAnsi="Arial" w:cs="Arial"/>
          <w:sz w:val="24"/>
          <w:szCs w:val="24"/>
        </w:rPr>
        <w:t xml:space="preserve">Australian Institute of Criminology, 2024. </w:t>
      </w:r>
      <w:r w:rsidRPr="00204840">
        <w:rPr>
          <w:rFonts w:ascii="Arial" w:hAnsi="Arial" w:cs="Arial"/>
          <w:i/>
          <w:iCs/>
          <w:sz w:val="24"/>
          <w:szCs w:val="24"/>
        </w:rPr>
        <w:t>Youth justice and child protection in Australia: Evaluating multiagency interventions.</w:t>
      </w:r>
      <w:r w:rsidRPr="00204840">
        <w:rPr>
          <w:rFonts w:ascii="Arial" w:hAnsi="Arial" w:cs="Arial"/>
          <w:sz w:val="24"/>
          <w:szCs w:val="24"/>
        </w:rPr>
        <w:t xml:space="preserve"> Canberra: AIC. Available at: </w:t>
      </w:r>
      <w:hyperlink r:id="rId13" w:tgtFrame="_new" w:history="1">
        <w:r w:rsidRPr="00204840">
          <w:rPr>
            <w:rStyle w:val="Hyperlink"/>
            <w:rFonts w:ascii="Arial" w:hAnsi="Arial" w:cs="Arial"/>
            <w:sz w:val="24"/>
            <w:szCs w:val="24"/>
          </w:rPr>
          <w:t>https://www.aic.gov.au/publications/youth-justice</w:t>
        </w:r>
      </w:hyperlink>
      <w:r w:rsidRPr="00204840">
        <w:rPr>
          <w:rFonts w:ascii="Arial" w:hAnsi="Arial" w:cs="Arial"/>
          <w:sz w:val="24"/>
          <w:szCs w:val="24"/>
        </w:rPr>
        <w:t xml:space="preserve"> [Accessed </w:t>
      </w:r>
      <w:r>
        <w:rPr>
          <w:rFonts w:ascii="Arial" w:hAnsi="Arial" w:cs="Arial"/>
          <w:sz w:val="24"/>
          <w:szCs w:val="24"/>
        </w:rPr>
        <w:t>10</w:t>
      </w:r>
      <w:r w:rsidRPr="00204840">
        <w:rPr>
          <w:rFonts w:ascii="Arial" w:hAnsi="Arial" w:cs="Arial"/>
          <w:sz w:val="24"/>
          <w:szCs w:val="24"/>
        </w:rPr>
        <w:t xml:space="preserve"> </w:t>
      </w:r>
      <w:r>
        <w:rPr>
          <w:rFonts w:ascii="Arial" w:hAnsi="Arial" w:cs="Arial"/>
          <w:sz w:val="24"/>
          <w:szCs w:val="24"/>
        </w:rPr>
        <w:t>April</w:t>
      </w:r>
      <w:r w:rsidRPr="00204840">
        <w:rPr>
          <w:rFonts w:ascii="Arial" w:hAnsi="Arial" w:cs="Arial"/>
          <w:sz w:val="24"/>
          <w:szCs w:val="24"/>
        </w:rPr>
        <w:t xml:space="preserve"> 2026].</w:t>
      </w:r>
    </w:p>
    <w:p w14:paraId="0CB9C92F" w14:textId="77777777" w:rsidR="00204840" w:rsidRPr="00204840" w:rsidRDefault="00204840" w:rsidP="00204840">
      <w:pPr>
        <w:spacing w:line="360" w:lineRule="auto"/>
        <w:jc w:val="both"/>
        <w:rPr>
          <w:rFonts w:ascii="Arial" w:hAnsi="Arial" w:cs="Arial"/>
          <w:sz w:val="24"/>
          <w:szCs w:val="24"/>
        </w:rPr>
      </w:pPr>
      <w:r w:rsidRPr="00204840">
        <w:rPr>
          <w:rFonts w:ascii="Arial" w:hAnsi="Arial" w:cs="Arial"/>
          <w:sz w:val="24"/>
          <w:szCs w:val="24"/>
        </w:rPr>
        <w:t xml:space="preserve">Becker, H., 1963. </w:t>
      </w:r>
      <w:r w:rsidRPr="00204840">
        <w:rPr>
          <w:rFonts w:ascii="Arial" w:hAnsi="Arial" w:cs="Arial"/>
          <w:i/>
          <w:iCs/>
          <w:sz w:val="24"/>
          <w:szCs w:val="24"/>
        </w:rPr>
        <w:t>Outsiders: Studies in the sociology of deviance.</w:t>
      </w:r>
      <w:r w:rsidRPr="00204840">
        <w:rPr>
          <w:rFonts w:ascii="Arial" w:hAnsi="Arial" w:cs="Arial"/>
          <w:sz w:val="24"/>
          <w:szCs w:val="24"/>
        </w:rPr>
        <w:t xml:space="preserve"> New York: Free Press.</w:t>
      </w:r>
    </w:p>
    <w:p w14:paraId="4E67C619" w14:textId="77777777" w:rsidR="00204840" w:rsidRPr="00204840" w:rsidRDefault="00204840" w:rsidP="00204840">
      <w:pPr>
        <w:spacing w:line="360" w:lineRule="auto"/>
        <w:jc w:val="both"/>
        <w:rPr>
          <w:rFonts w:ascii="Arial" w:hAnsi="Arial" w:cs="Arial"/>
          <w:sz w:val="24"/>
          <w:szCs w:val="24"/>
        </w:rPr>
      </w:pPr>
      <w:r w:rsidRPr="00204840">
        <w:rPr>
          <w:rFonts w:ascii="Arial" w:hAnsi="Arial" w:cs="Arial"/>
          <w:sz w:val="24"/>
          <w:szCs w:val="24"/>
        </w:rPr>
        <w:t xml:space="preserve">Bellis, M.A., Hughes, K., Leckenby, N., Perkins, C. &amp; Lowey, H., 2023. Adverse childhood experiences and criminal justice outcomes: A UK perspective. </w:t>
      </w:r>
      <w:r w:rsidRPr="00204840">
        <w:rPr>
          <w:rFonts w:ascii="Arial" w:hAnsi="Arial" w:cs="Arial"/>
          <w:i/>
          <w:iCs/>
          <w:sz w:val="24"/>
          <w:szCs w:val="24"/>
        </w:rPr>
        <w:t>Journal of Public Health</w:t>
      </w:r>
      <w:r w:rsidRPr="00204840">
        <w:rPr>
          <w:rFonts w:ascii="Arial" w:hAnsi="Arial" w:cs="Arial"/>
          <w:sz w:val="24"/>
          <w:szCs w:val="24"/>
        </w:rPr>
        <w:t>, 45(2), pp.201–212.</w:t>
      </w:r>
    </w:p>
    <w:p w14:paraId="7E27857E" w14:textId="77777777" w:rsidR="00204840" w:rsidRPr="00204840" w:rsidRDefault="00204840" w:rsidP="00204840">
      <w:pPr>
        <w:spacing w:line="360" w:lineRule="auto"/>
        <w:jc w:val="both"/>
        <w:rPr>
          <w:rFonts w:ascii="Arial" w:hAnsi="Arial" w:cs="Arial"/>
          <w:sz w:val="24"/>
          <w:szCs w:val="24"/>
        </w:rPr>
      </w:pPr>
      <w:r w:rsidRPr="00204840">
        <w:rPr>
          <w:rFonts w:ascii="Arial" w:hAnsi="Arial" w:cs="Arial"/>
          <w:sz w:val="24"/>
          <w:szCs w:val="24"/>
        </w:rPr>
        <w:t xml:space="preserve">Bennett, T. &amp; Riley, K., 2025. </w:t>
      </w:r>
      <w:r w:rsidRPr="00204840">
        <w:rPr>
          <w:rFonts w:ascii="Arial" w:hAnsi="Arial" w:cs="Arial"/>
          <w:i/>
          <w:iCs/>
          <w:sz w:val="24"/>
          <w:szCs w:val="24"/>
        </w:rPr>
        <w:t>Restorative justice and social harms: Addressing vulnerability in practice.</w:t>
      </w:r>
      <w:r w:rsidRPr="00204840">
        <w:rPr>
          <w:rFonts w:ascii="Arial" w:hAnsi="Arial" w:cs="Arial"/>
          <w:sz w:val="24"/>
          <w:szCs w:val="24"/>
        </w:rPr>
        <w:t xml:space="preserve"> London: Routledge.</w:t>
      </w:r>
    </w:p>
    <w:p w14:paraId="4D393FDD" w14:textId="77777777" w:rsidR="00204840" w:rsidRPr="00204840" w:rsidRDefault="00204840" w:rsidP="00204840">
      <w:pPr>
        <w:spacing w:line="360" w:lineRule="auto"/>
        <w:jc w:val="both"/>
        <w:rPr>
          <w:rFonts w:ascii="Arial" w:hAnsi="Arial" w:cs="Arial"/>
          <w:sz w:val="24"/>
          <w:szCs w:val="24"/>
        </w:rPr>
      </w:pPr>
      <w:r w:rsidRPr="00204840">
        <w:rPr>
          <w:rFonts w:ascii="Arial" w:hAnsi="Arial" w:cs="Arial"/>
          <w:sz w:val="24"/>
          <w:szCs w:val="24"/>
        </w:rPr>
        <w:t xml:space="preserve">Bottoms, A., Shapland, J., Costello, B., Holmes, D. &amp; Muir, G., 2023. </w:t>
      </w:r>
      <w:r w:rsidRPr="00204840">
        <w:rPr>
          <w:rFonts w:ascii="Arial" w:hAnsi="Arial" w:cs="Arial"/>
          <w:i/>
          <w:iCs/>
          <w:sz w:val="24"/>
          <w:szCs w:val="24"/>
        </w:rPr>
        <w:t>Crime, victimisation and justice: Understanding patterns of risk.</w:t>
      </w:r>
      <w:r w:rsidRPr="00204840">
        <w:rPr>
          <w:rFonts w:ascii="Arial" w:hAnsi="Arial" w:cs="Arial"/>
          <w:sz w:val="24"/>
          <w:szCs w:val="24"/>
        </w:rPr>
        <w:t xml:space="preserve"> Oxford: Oxford University Press.</w:t>
      </w:r>
    </w:p>
    <w:p w14:paraId="2853DC53" w14:textId="77777777" w:rsidR="00204840" w:rsidRPr="00204840" w:rsidRDefault="00204840" w:rsidP="00204840">
      <w:pPr>
        <w:spacing w:line="360" w:lineRule="auto"/>
        <w:jc w:val="both"/>
        <w:rPr>
          <w:rFonts w:ascii="Arial" w:hAnsi="Arial" w:cs="Arial"/>
          <w:sz w:val="24"/>
          <w:szCs w:val="24"/>
        </w:rPr>
      </w:pPr>
      <w:r w:rsidRPr="00204840">
        <w:rPr>
          <w:rFonts w:ascii="Arial" w:hAnsi="Arial" w:cs="Arial"/>
          <w:sz w:val="24"/>
          <w:szCs w:val="24"/>
        </w:rPr>
        <w:t xml:space="preserve">Bradford, B. &amp; </w:t>
      </w:r>
      <w:proofErr w:type="spellStart"/>
      <w:r w:rsidRPr="00204840">
        <w:rPr>
          <w:rFonts w:ascii="Arial" w:hAnsi="Arial" w:cs="Arial"/>
          <w:sz w:val="24"/>
          <w:szCs w:val="24"/>
        </w:rPr>
        <w:t>Yesberg</w:t>
      </w:r>
      <w:proofErr w:type="spellEnd"/>
      <w:r w:rsidRPr="00204840">
        <w:rPr>
          <w:rFonts w:ascii="Arial" w:hAnsi="Arial" w:cs="Arial"/>
          <w:sz w:val="24"/>
          <w:szCs w:val="24"/>
        </w:rPr>
        <w:t xml:space="preserve">, J.A., 2024. </w:t>
      </w:r>
      <w:r w:rsidRPr="00204840">
        <w:rPr>
          <w:rFonts w:ascii="Arial" w:hAnsi="Arial" w:cs="Arial"/>
          <w:i/>
          <w:iCs/>
          <w:sz w:val="24"/>
          <w:szCs w:val="24"/>
        </w:rPr>
        <w:t>Geographic inequalities in access to criminal justice services.</w:t>
      </w:r>
      <w:r w:rsidRPr="00204840">
        <w:rPr>
          <w:rFonts w:ascii="Arial" w:hAnsi="Arial" w:cs="Arial"/>
          <w:sz w:val="24"/>
          <w:szCs w:val="24"/>
        </w:rPr>
        <w:t xml:space="preserve"> London: Policy Press.</w:t>
      </w:r>
    </w:p>
    <w:p w14:paraId="34382A3B" w14:textId="77777777" w:rsidR="00204840" w:rsidRPr="00204840" w:rsidRDefault="00204840" w:rsidP="00204840">
      <w:pPr>
        <w:spacing w:line="360" w:lineRule="auto"/>
        <w:jc w:val="both"/>
        <w:rPr>
          <w:rFonts w:ascii="Arial" w:hAnsi="Arial" w:cs="Arial"/>
          <w:sz w:val="24"/>
          <w:szCs w:val="24"/>
        </w:rPr>
      </w:pPr>
      <w:r w:rsidRPr="00204840">
        <w:rPr>
          <w:rFonts w:ascii="Arial" w:hAnsi="Arial" w:cs="Arial"/>
          <w:sz w:val="24"/>
          <w:szCs w:val="24"/>
        </w:rPr>
        <w:t xml:space="preserve">Bradford, B., </w:t>
      </w:r>
      <w:proofErr w:type="spellStart"/>
      <w:r w:rsidRPr="00204840">
        <w:rPr>
          <w:rFonts w:ascii="Arial" w:hAnsi="Arial" w:cs="Arial"/>
          <w:sz w:val="24"/>
          <w:szCs w:val="24"/>
        </w:rPr>
        <w:t>Yesberg</w:t>
      </w:r>
      <w:proofErr w:type="spellEnd"/>
      <w:r w:rsidRPr="00204840">
        <w:rPr>
          <w:rFonts w:ascii="Arial" w:hAnsi="Arial" w:cs="Arial"/>
          <w:sz w:val="24"/>
          <w:szCs w:val="24"/>
        </w:rPr>
        <w:t xml:space="preserve">, J.A. &amp; Jackson, J., 2023. Victim perceptions of justice and engagement with law enforcement. </w:t>
      </w:r>
      <w:r w:rsidRPr="00204840">
        <w:rPr>
          <w:rFonts w:ascii="Arial" w:hAnsi="Arial" w:cs="Arial"/>
          <w:i/>
          <w:iCs/>
          <w:sz w:val="24"/>
          <w:szCs w:val="24"/>
        </w:rPr>
        <w:t>Policing and Society</w:t>
      </w:r>
      <w:r w:rsidRPr="00204840">
        <w:rPr>
          <w:rFonts w:ascii="Arial" w:hAnsi="Arial" w:cs="Arial"/>
          <w:sz w:val="24"/>
          <w:szCs w:val="24"/>
        </w:rPr>
        <w:t>, 33(1), pp.45–66.</w:t>
      </w:r>
    </w:p>
    <w:p w14:paraId="69B8D73F" w14:textId="77777777" w:rsidR="00204840" w:rsidRPr="00204840" w:rsidRDefault="00204840" w:rsidP="00204840">
      <w:pPr>
        <w:spacing w:line="360" w:lineRule="auto"/>
        <w:jc w:val="both"/>
        <w:rPr>
          <w:rFonts w:ascii="Arial" w:hAnsi="Arial" w:cs="Arial"/>
          <w:sz w:val="24"/>
          <w:szCs w:val="24"/>
        </w:rPr>
      </w:pPr>
      <w:r w:rsidRPr="00204840">
        <w:rPr>
          <w:rFonts w:ascii="Arial" w:hAnsi="Arial" w:cs="Arial"/>
          <w:sz w:val="24"/>
          <w:szCs w:val="24"/>
        </w:rPr>
        <w:t xml:space="preserve">Braithwaite, J., 1989. </w:t>
      </w:r>
      <w:r w:rsidRPr="00204840">
        <w:rPr>
          <w:rFonts w:ascii="Arial" w:hAnsi="Arial" w:cs="Arial"/>
          <w:i/>
          <w:iCs/>
          <w:sz w:val="24"/>
          <w:szCs w:val="24"/>
        </w:rPr>
        <w:t>Crime, shame and reintegration.</w:t>
      </w:r>
      <w:r w:rsidRPr="00204840">
        <w:rPr>
          <w:rFonts w:ascii="Arial" w:hAnsi="Arial" w:cs="Arial"/>
          <w:sz w:val="24"/>
          <w:szCs w:val="24"/>
        </w:rPr>
        <w:t xml:space="preserve"> Cambridge: Cambridge University Press.</w:t>
      </w:r>
    </w:p>
    <w:p w14:paraId="73268677" w14:textId="77777777" w:rsidR="00204840" w:rsidRPr="00204840" w:rsidRDefault="00204840" w:rsidP="00204840">
      <w:pPr>
        <w:spacing w:line="360" w:lineRule="auto"/>
        <w:jc w:val="both"/>
        <w:rPr>
          <w:rFonts w:ascii="Arial" w:hAnsi="Arial" w:cs="Arial"/>
          <w:sz w:val="24"/>
          <w:szCs w:val="24"/>
        </w:rPr>
      </w:pPr>
      <w:r w:rsidRPr="00204840">
        <w:rPr>
          <w:rFonts w:ascii="Arial" w:hAnsi="Arial" w:cs="Arial"/>
          <w:sz w:val="24"/>
          <w:szCs w:val="24"/>
        </w:rPr>
        <w:lastRenderedPageBreak/>
        <w:t xml:space="preserve">Canadian Centre on Substance Use and Addiction, 2024. </w:t>
      </w:r>
      <w:r w:rsidRPr="00204840">
        <w:rPr>
          <w:rFonts w:ascii="Arial" w:hAnsi="Arial" w:cs="Arial"/>
          <w:i/>
          <w:iCs/>
          <w:sz w:val="24"/>
          <w:szCs w:val="24"/>
        </w:rPr>
        <w:t>Harm reduction and drug policy in Canada: Evidence and outcomes.</w:t>
      </w:r>
      <w:r w:rsidRPr="00204840">
        <w:rPr>
          <w:rFonts w:ascii="Arial" w:hAnsi="Arial" w:cs="Arial"/>
          <w:sz w:val="24"/>
          <w:szCs w:val="24"/>
        </w:rPr>
        <w:t xml:space="preserve"> Ottawa: CCSA. Available at: </w:t>
      </w:r>
      <w:hyperlink r:id="rId14" w:tgtFrame="_new" w:history="1">
        <w:r w:rsidRPr="00204840">
          <w:rPr>
            <w:rStyle w:val="Hyperlink"/>
            <w:rFonts w:ascii="Arial" w:hAnsi="Arial" w:cs="Arial"/>
            <w:sz w:val="24"/>
            <w:szCs w:val="24"/>
          </w:rPr>
          <w:t>https://www.ccsa.ca/harm-reduction-and-drug-policy</w:t>
        </w:r>
      </w:hyperlink>
      <w:r w:rsidRPr="00204840">
        <w:rPr>
          <w:rFonts w:ascii="Arial" w:hAnsi="Arial" w:cs="Arial"/>
          <w:sz w:val="24"/>
          <w:szCs w:val="24"/>
        </w:rPr>
        <w:t xml:space="preserve"> [Accessed 21 March 2026].</w:t>
      </w:r>
    </w:p>
    <w:p w14:paraId="280189BB" w14:textId="77777777" w:rsidR="00204840" w:rsidRPr="00204840" w:rsidRDefault="00204840" w:rsidP="00204840">
      <w:pPr>
        <w:spacing w:line="360" w:lineRule="auto"/>
        <w:jc w:val="both"/>
        <w:rPr>
          <w:rFonts w:ascii="Arial" w:hAnsi="Arial" w:cs="Arial"/>
          <w:sz w:val="24"/>
          <w:szCs w:val="24"/>
        </w:rPr>
      </w:pPr>
      <w:r w:rsidRPr="00204840">
        <w:rPr>
          <w:rFonts w:ascii="Arial" w:hAnsi="Arial" w:cs="Arial"/>
          <w:sz w:val="24"/>
          <w:szCs w:val="24"/>
        </w:rPr>
        <w:t xml:space="preserve">Crenshaw, K., 1989. Demarginalizing the intersection of race and sex. </w:t>
      </w:r>
      <w:r w:rsidRPr="00204840">
        <w:rPr>
          <w:rFonts w:ascii="Arial" w:hAnsi="Arial" w:cs="Arial"/>
          <w:i/>
          <w:iCs/>
          <w:sz w:val="24"/>
          <w:szCs w:val="24"/>
        </w:rPr>
        <w:t>University of Chicago Legal Forum</w:t>
      </w:r>
      <w:r w:rsidRPr="00204840">
        <w:rPr>
          <w:rFonts w:ascii="Arial" w:hAnsi="Arial" w:cs="Arial"/>
          <w:sz w:val="24"/>
          <w:szCs w:val="24"/>
        </w:rPr>
        <w:t>, 1989(1), pp.139–167.</w:t>
      </w:r>
    </w:p>
    <w:p w14:paraId="5E0D8035" w14:textId="72D0DF6D" w:rsidR="00204840" w:rsidRPr="00204840" w:rsidRDefault="00204840" w:rsidP="00204840">
      <w:pPr>
        <w:spacing w:line="360" w:lineRule="auto"/>
        <w:jc w:val="both"/>
        <w:rPr>
          <w:rFonts w:ascii="Arial" w:hAnsi="Arial" w:cs="Arial"/>
          <w:sz w:val="24"/>
          <w:szCs w:val="24"/>
        </w:rPr>
      </w:pPr>
      <w:r w:rsidRPr="319E148A">
        <w:rPr>
          <w:rFonts w:ascii="Arial" w:hAnsi="Arial" w:cs="Arial"/>
          <w:sz w:val="24"/>
          <w:szCs w:val="24"/>
        </w:rPr>
        <w:t xml:space="preserve">Crown Prosecution Service, 2024. </w:t>
      </w:r>
      <w:r w:rsidRPr="319E148A">
        <w:rPr>
          <w:rFonts w:ascii="Arial" w:hAnsi="Arial" w:cs="Arial"/>
          <w:i/>
          <w:iCs/>
          <w:sz w:val="24"/>
          <w:szCs w:val="24"/>
        </w:rPr>
        <w:t xml:space="preserve">Annual report on victim engagement and case </w:t>
      </w:r>
      <w:proofErr w:type="gramStart"/>
      <w:r w:rsidRPr="319E148A">
        <w:rPr>
          <w:rFonts w:ascii="Arial" w:hAnsi="Arial" w:cs="Arial"/>
          <w:i/>
          <w:iCs/>
          <w:sz w:val="24"/>
          <w:szCs w:val="24"/>
        </w:rPr>
        <w:t>management.</w:t>
      </w:r>
      <w:r w:rsidRPr="319E148A">
        <w:rPr>
          <w:rFonts w:ascii="Arial" w:hAnsi="Arial" w:cs="Arial"/>
          <w:sz w:val="24"/>
          <w:szCs w:val="24"/>
        </w:rPr>
        <w:t>London</w:t>
      </w:r>
      <w:proofErr w:type="gramEnd"/>
      <w:r w:rsidRPr="319E148A">
        <w:rPr>
          <w:rFonts w:ascii="Arial" w:hAnsi="Arial" w:cs="Arial"/>
          <w:sz w:val="24"/>
          <w:szCs w:val="24"/>
        </w:rPr>
        <w:t xml:space="preserve">:CPS. Available at: </w:t>
      </w:r>
      <w:hyperlink r:id="rId15">
        <w:r w:rsidRPr="319E148A">
          <w:rPr>
            <w:rStyle w:val="Hyperlink"/>
            <w:rFonts w:ascii="Arial" w:hAnsi="Arial" w:cs="Arial"/>
            <w:sz w:val="24"/>
            <w:szCs w:val="24"/>
          </w:rPr>
          <w:t>https://www.cps.gov.uk/publications/annual-report-victims</w:t>
        </w:r>
      </w:hyperlink>
      <w:r w:rsidRPr="319E148A">
        <w:rPr>
          <w:rFonts w:ascii="Arial" w:hAnsi="Arial" w:cs="Arial"/>
          <w:sz w:val="24"/>
          <w:szCs w:val="24"/>
        </w:rPr>
        <w:t xml:space="preserve"> [Accessed 25 March 2026].</w:t>
      </w:r>
    </w:p>
    <w:p w14:paraId="46FC50B6" w14:textId="77777777" w:rsidR="00204840" w:rsidRPr="00204840" w:rsidRDefault="00204840" w:rsidP="00204840">
      <w:pPr>
        <w:spacing w:line="360" w:lineRule="auto"/>
        <w:jc w:val="both"/>
        <w:rPr>
          <w:rFonts w:ascii="Arial" w:hAnsi="Arial" w:cs="Arial"/>
          <w:sz w:val="24"/>
          <w:szCs w:val="24"/>
        </w:rPr>
      </w:pPr>
      <w:r w:rsidRPr="00204840">
        <w:rPr>
          <w:rFonts w:ascii="Arial" w:hAnsi="Arial" w:cs="Arial"/>
          <w:sz w:val="24"/>
          <w:szCs w:val="24"/>
        </w:rPr>
        <w:t xml:space="preserve">Ellison, L. &amp; Munro, V., 2023. Trauma, memory, and credibility in criminal investigations. </w:t>
      </w:r>
      <w:r w:rsidRPr="00204840">
        <w:rPr>
          <w:rFonts w:ascii="Arial" w:hAnsi="Arial" w:cs="Arial"/>
          <w:i/>
          <w:iCs/>
          <w:sz w:val="24"/>
          <w:szCs w:val="24"/>
        </w:rPr>
        <w:t>Oxford Journal of Legal Studies</w:t>
      </w:r>
      <w:r w:rsidRPr="00204840">
        <w:rPr>
          <w:rFonts w:ascii="Arial" w:hAnsi="Arial" w:cs="Arial"/>
          <w:sz w:val="24"/>
          <w:szCs w:val="24"/>
        </w:rPr>
        <w:t>, 43(3), pp.527–552.</w:t>
      </w:r>
    </w:p>
    <w:p w14:paraId="58B13FB1" w14:textId="77777777" w:rsidR="00204840" w:rsidRPr="00204840" w:rsidRDefault="00204840" w:rsidP="00204840">
      <w:pPr>
        <w:spacing w:line="360" w:lineRule="auto"/>
        <w:jc w:val="both"/>
        <w:rPr>
          <w:rFonts w:ascii="Arial" w:hAnsi="Arial" w:cs="Arial"/>
          <w:sz w:val="24"/>
          <w:szCs w:val="24"/>
        </w:rPr>
      </w:pPr>
      <w:r w:rsidRPr="00204840">
        <w:rPr>
          <w:rFonts w:ascii="Arial" w:hAnsi="Arial" w:cs="Arial"/>
          <w:sz w:val="24"/>
          <w:szCs w:val="24"/>
        </w:rPr>
        <w:t xml:space="preserve">European Monitoring Centre for Drugs and Drug Addiction, 2024. </w:t>
      </w:r>
      <w:r w:rsidRPr="00204840">
        <w:rPr>
          <w:rFonts w:ascii="Arial" w:hAnsi="Arial" w:cs="Arial"/>
          <w:i/>
          <w:iCs/>
          <w:sz w:val="24"/>
          <w:szCs w:val="24"/>
        </w:rPr>
        <w:t>Portugal: Decriminalisation of personal drug use and outcomes.</w:t>
      </w:r>
      <w:r w:rsidRPr="00204840">
        <w:rPr>
          <w:rFonts w:ascii="Arial" w:hAnsi="Arial" w:cs="Arial"/>
          <w:sz w:val="24"/>
          <w:szCs w:val="24"/>
        </w:rPr>
        <w:t xml:space="preserve"> Lisbon: EMCDDA. Available at: </w:t>
      </w:r>
      <w:hyperlink r:id="rId16" w:tgtFrame="_new" w:history="1">
        <w:r w:rsidRPr="00204840">
          <w:rPr>
            <w:rStyle w:val="Hyperlink"/>
            <w:rFonts w:ascii="Arial" w:hAnsi="Arial" w:cs="Arial"/>
            <w:sz w:val="24"/>
            <w:szCs w:val="24"/>
          </w:rPr>
          <w:t>https://www.emcdda.europa.eu/publications</w:t>
        </w:r>
      </w:hyperlink>
      <w:r w:rsidRPr="00204840">
        <w:rPr>
          <w:rFonts w:ascii="Arial" w:hAnsi="Arial" w:cs="Arial"/>
          <w:sz w:val="24"/>
          <w:szCs w:val="24"/>
        </w:rPr>
        <w:t xml:space="preserve"> [Accessed 23 March 2026].</w:t>
      </w:r>
    </w:p>
    <w:p w14:paraId="22E54085" w14:textId="77777777" w:rsidR="00204840" w:rsidRPr="00204840" w:rsidRDefault="00204840" w:rsidP="00204840">
      <w:pPr>
        <w:spacing w:line="360" w:lineRule="auto"/>
        <w:jc w:val="both"/>
        <w:rPr>
          <w:rFonts w:ascii="Arial" w:hAnsi="Arial" w:cs="Arial"/>
          <w:sz w:val="24"/>
          <w:szCs w:val="24"/>
        </w:rPr>
      </w:pPr>
      <w:proofErr w:type="spellStart"/>
      <w:r w:rsidRPr="00204840">
        <w:rPr>
          <w:rFonts w:ascii="Arial" w:hAnsi="Arial" w:cs="Arial"/>
          <w:sz w:val="24"/>
          <w:szCs w:val="24"/>
        </w:rPr>
        <w:t>Fileborn</w:t>
      </w:r>
      <w:proofErr w:type="spellEnd"/>
      <w:r w:rsidRPr="00204840">
        <w:rPr>
          <w:rFonts w:ascii="Arial" w:hAnsi="Arial" w:cs="Arial"/>
          <w:sz w:val="24"/>
          <w:szCs w:val="24"/>
        </w:rPr>
        <w:t xml:space="preserve">, B. &amp; Loney-Howes, R., 2023. </w:t>
      </w:r>
      <w:r w:rsidRPr="00204840">
        <w:rPr>
          <w:rFonts w:ascii="Arial" w:hAnsi="Arial" w:cs="Arial"/>
          <w:i/>
          <w:iCs/>
          <w:sz w:val="24"/>
          <w:szCs w:val="24"/>
        </w:rPr>
        <w:t>Gendered victimisation and policy frameworks: Inclusive approaches to supporting diverse victims.</w:t>
      </w:r>
      <w:r w:rsidRPr="00204840">
        <w:rPr>
          <w:rFonts w:ascii="Arial" w:hAnsi="Arial" w:cs="Arial"/>
          <w:sz w:val="24"/>
          <w:szCs w:val="24"/>
        </w:rPr>
        <w:t xml:space="preserve"> London: Palgrave Macmillan.</w:t>
      </w:r>
    </w:p>
    <w:p w14:paraId="4FE8F247" w14:textId="77777777" w:rsidR="00204840" w:rsidRPr="00204840" w:rsidRDefault="00204840" w:rsidP="00204840">
      <w:pPr>
        <w:spacing w:line="360" w:lineRule="auto"/>
        <w:jc w:val="both"/>
        <w:rPr>
          <w:rFonts w:ascii="Arial" w:hAnsi="Arial" w:cs="Arial"/>
          <w:sz w:val="24"/>
          <w:szCs w:val="24"/>
        </w:rPr>
      </w:pPr>
      <w:proofErr w:type="gramStart"/>
      <w:r w:rsidRPr="00204840">
        <w:rPr>
          <w:rFonts w:ascii="Arial" w:hAnsi="Arial" w:cs="Arial"/>
          <w:sz w:val="24"/>
          <w:szCs w:val="24"/>
        </w:rPr>
        <w:t>Fitz-Gibbon</w:t>
      </w:r>
      <w:proofErr w:type="gramEnd"/>
      <w:r w:rsidRPr="00204840">
        <w:rPr>
          <w:rFonts w:ascii="Arial" w:hAnsi="Arial" w:cs="Arial"/>
          <w:sz w:val="24"/>
          <w:szCs w:val="24"/>
        </w:rPr>
        <w:t xml:space="preserve">, K. &amp; </w:t>
      </w:r>
      <w:proofErr w:type="spellStart"/>
      <w:r w:rsidRPr="00204840">
        <w:rPr>
          <w:rFonts w:ascii="Arial" w:hAnsi="Arial" w:cs="Arial"/>
          <w:sz w:val="24"/>
          <w:szCs w:val="24"/>
        </w:rPr>
        <w:t>Walklate</w:t>
      </w:r>
      <w:proofErr w:type="spellEnd"/>
      <w:r w:rsidRPr="00204840">
        <w:rPr>
          <w:rFonts w:ascii="Arial" w:hAnsi="Arial" w:cs="Arial"/>
          <w:sz w:val="24"/>
          <w:szCs w:val="24"/>
        </w:rPr>
        <w:t xml:space="preserve">, S., 2019. </w:t>
      </w:r>
      <w:r w:rsidRPr="00204840">
        <w:rPr>
          <w:rFonts w:ascii="Arial" w:hAnsi="Arial" w:cs="Arial"/>
          <w:i/>
          <w:iCs/>
          <w:sz w:val="24"/>
          <w:szCs w:val="24"/>
        </w:rPr>
        <w:t>Crime, criminal justice and social inequality.</w:t>
      </w:r>
      <w:r w:rsidRPr="00204840">
        <w:rPr>
          <w:rFonts w:ascii="Arial" w:hAnsi="Arial" w:cs="Arial"/>
          <w:sz w:val="24"/>
          <w:szCs w:val="24"/>
        </w:rPr>
        <w:t xml:space="preserve"> London: Routledge.</w:t>
      </w:r>
    </w:p>
    <w:p w14:paraId="36A35DF8" w14:textId="77777777" w:rsidR="00204840" w:rsidRPr="00204840" w:rsidRDefault="00204840" w:rsidP="00204840">
      <w:pPr>
        <w:spacing w:line="360" w:lineRule="auto"/>
        <w:jc w:val="both"/>
        <w:rPr>
          <w:rFonts w:ascii="Arial" w:hAnsi="Arial" w:cs="Arial"/>
          <w:sz w:val="24"/>
          <w:szCs w:val="24"/>
        </w:rPr>
      </w:pPr>
      <w:r w:rsidRPr="00204840">
        <w:rPr>
          <w:rFonts w:ascii="Arial" w:hAnsi="Arial" w:cs="Arial"/>
          <w:sz w:val="24"/>
          <w:szCs w:val="24"/>
        </w:rPr>
        <w:t xml:space="preserve">Gill, A. &amp; Harrison, A., 2024. Intersectional vulnerabilities in the UK criminal justice system. </w:t>
      </w:r>
      <w:r w:rsidRPr="00204840">
        <w:rPr>
          <w:rFonts w:ascii="Arial" w:hAnsi="Arial" w:cs="Arial"/>
          <w:i/>
          <w:iCs/>
          <w:sz w:val="24"/>
          <w:szCs w:val="24"/>
        </w:rPr>
        <w:t>British Journal of Criminology</w:t>
      </w:r>
      <w:r w:rsidRPr="00204840">
        <w:rPr>
          <w:rFonts w:ascii="Arial" w:hAnsi="Arial" w:cs="Arial"/>
          <w:sz w:val="24"/>
          <w:szCs w:val="24"/>
        </w:rPr>
        <w:t>, 64(1), pp.1–23.</w:t>
      </w:r>
    </w:p>
    <w:p w14:paraId="3458B435" w14:textId="77777777" w:rsidR="00204840" w:rsidRPr="00204840" w:rsidRDefault="00204840" w:rsidP="00204840">
      <w:pPr>
        <w:spacing w:line="360" w:lineRule="auto"/>
        <w:jc w:val="both"/>
        <w:rPr>
          <w:rFonts w:ascii="Arial" w:hAnsi="Arial" w:cs="Arial"/>
          <w:sz w:val="24"/>
          <w:szCs w:val="24"/>
        </w:rPr>
      </w:pPr>
      <w:r w:rsidRPr="00204840">
        <w:rPr>
          <w:rFonts w:ascii="Arial" w:hAnsi="Arial" w:cs="Arial"/>
          <w:sz w:val="24"/>
          <w:szCs w:val="24"/>
        </w:rPr>
        <w:t xml:space="preserve">Hay, C. &amp; Meldrum, R., 2023. Strain theory and structural disadvantage. </w:t>
      </w:r>
      <w:r w:rsidRPr="00204840">
        <w:rPr>
          <w:rFonts w:ascii="Arial" w:hAnsi="Arial" w:cs="Arial"/>
          <w:i/>
          <w:iCs/>
          <w:sz w:val="24"/>
          <w:szCs w:val="24"/>
        </w:rPr>
        <w:t>Criminology and Criminal Justice</w:t>
      </w:r>
      <w:r w:rsidRPr="00204840">
        <w:rPr>
          <w:rFonts w:ascii="Arial" w:hAnsi="Arial" w:cs="Arial"/>
          <w:sz w:val="24"/>
          <w:szCs w:val="24"/>
        </w:rPr>
        <w:t>, 23(2), pp.134–150.</w:t>
      </w:r>
    </w:p>
    <w:p w14:paraId="4A06292C" w14:textId="77777777" w:rsidR="00204840" w:rsidRPr="00204840" w:rsidRDefault="00204840" w:rsidP="00204840">
      <w:pPr>
        <w:spacing w:line="360" w:lineRule="auto"/>
        <w:jc w:val="both"/>
        <w:rPr>
          <w:rFonts w:ascii="Arial" w:hAnsi="Arial" w:cs="Arial"/>
          <w:sz w:val="24"/>
          <w:szCs w:val="24"/>
        </w:rPr>
      </w:pPr>
      <w:r w:rsidRPr="00204840">
        <w:rPr>
          <w:rFonts w:ascii="Arial" w:hAnsi="Arial" w:cs="Arial"/>
          <w:sz w:val="24"/>
          <w:szCs w:val="24"/>
        </w:rPr>
        <w:t xml:space="preserve">Hester, M., Lilley, S. &amp; McPherson, M., 2025. </w:t>
      </w:r>
      <w:r w:rsidRPr="00204840">
        <w:rPr>
          <w:rFonts w:ascii="Arial" w:hAnsi="Arial" w:cs="Arial"/>
          <w:i/>
          <w:iCs/>
          <w:sz w:val="24"/>
          <w:szCs w:val="24"/>
        </w:rPr>
        <w:t>Complex trauma and institutional response in criminal justice processes.</w:t>
      </w:r>
      <w:r w:rsidRPr="00204840">
        <w:rPr>
          <w:rFonts w:ascii="Arial" w:hAnsi="Arial" w:cs="Arial"/>
          <w:sz w:val="24"/>
          <w:szCs w:val="24"/>
        </w:rPr>
        <w:t xml:space="preserve"> London: Palgrave Macmillan.</w:t>
      </w:r>
    </w:p>
    <w:p w14:paraId="6966679B" w14:textId="77777777" w:rsidR="00204840" w:rsidRPr="00204840" w:rsidRDefault="00204840" w:rsidP="00204840">
      <w:pPr>
        <w:spacing w:line="360" w:lineRule="auto"/>
        <w:jc w:val="both"/>
        <w:rPr>
          <w:rFonts w:ascii="Arial" w:hAnsi="Arial" w:cs="Arial"/>
          <w:sz w:val="24"/>
          <w:szCs w:val="24"/>
        </w:rPr>
      </w:pPr>
      <w:r w:rsidRPr="00204840">
        <w:rPr>
          <w:rFonts w:ascii="Arial" w:hAnsi="Arial" w:cs="Arial"/>
          <w:sz w:val="24"/>
          <w:szCs w:val="24"/>
        </w:rPr>
        <w:t xml:space="preserve">Hillyard, P., Pantazis, C., Tombs, S. &amp; Gordon, D., 2021. </w:t>
      </w:r>
      <w:r w:rsidRPr="00204840">
        <w:rPr>
          <w:rFonts w:ascii="Arial" w:hAnsi="Arial" w:cs="Arial"/>
          <w:i/>
          <w:iCs/>
          <w:sz w:val="24"/>
          <w:szCs w:val="24"/>
        </w:rPr>
        <w:t>Beyond criminology: Taking harm seriously.</w:t>
      </w:r>
      <w:r w:rsidRPr="00204840">
        <w:rPr>
          <w:rFonts w:ascii="Arial" w:hAnsi="Arial" w:cs="Arial"/>
          <w:sz w:val="24"/>
          <w:szCs w:val="24"/>
        </w:rPr>
        <w:t xml:space="preserve"> London: Routledge.</w:t>
      </w:r>
    </w:p>
    <w:p w14:paraId="18A1915C" w14:textId="77777777" w:rsidR="00204840" w:rsidRPr="00204840" w:rsidRDefault="00204840" w:rsidP="00204840">
      <w:pPr>
        <w:spacing w:line="360" w:lineRule="auto"/>
        <w:jc w:val="both"/>
        <w:rPr>
          <w:rFonts w:ascii="Arial" w:hAnsi="Arial" w:cs="Arial"/>
          <w:sz w:val="24"/>
          <w:szCs w:val="24"/>
        </w:rPr>
      </w:pPr>
      <w:r w:rsidRPr="00204840">
        <w:rPr>
          <w:rFonts w:ascii="Arial" w:hAnsi="Arial" w:cs="Arial"/>
          <w:sz w:val="24"/>
          <w:szCs w:val="24"/>
        </w:rPr>
        <w:t xml:space="preserve">HM Government, 2024. </w:t>
      </w:r>
      <w:r w:rsidRPr="00204840">
        <w:rPr>
          <w:rFonts w:ascii="Arial" w:hAnsi="Arial" w:cs="Arial"/>
          <w:i/>
          <w:iCs/>
          <w:sz w:val="24"/>
          <w:szCs w:val="24"/>
        </w:rPr>
        <w:t>Child victims of exploitation: Policy and practice review.</w:t>
      </w:r>
      <w:r w:rsidRPr="00204840">
        <w:rPr>
          <w:rFonts w:ascii="Arial" w:hAnsi="Arial" w:cs="Arial"/>
          <w:sz w:val="24"/>
          <w:szCs w:val="24"/>
        </w:rPr>
        <w:t xml:space="preserve"> London: HMSO. Available at: </w:t>
      </w:r>
      <w:hyperlink r:id="rId17" w:tgtFrame="_new" w:history="1">
        <w:r w:rsidRPr="00204840">
          <w:rPr>
            <w:rStyle w:val="Hyperlink"/>
            <w:rFonts w:ascii="Arial" w:hAnsi="Arial" w:cs="Arial"/>
            <w:sz w:val="24"/>
            <w:szCs w:val="24"/>
          </w:rPr>
          <w:t>https://www.gov.uk/government/publications/child-victims-of-exploitation</w:t>
        </w:r>
      </w:hyperlink>
      <w:r w:rsidRPr="00204840">
        <w:rPr>
          <w:rFonts w:ascii="Arial" w:hAnsi="Arial" w:cs="Arial"/>
          <w:sz w:val="24"/>
          <w:szCs w:val="24"/>
        </w:rPr>
        <w:t xml:space="preserve"> [Accessed 28 March 2026].</w:t>
      </w:r>
    </w:p>
    <w:p w14:paraId="0952270E" w14:textId="77777777" w:rsidR="00204840" w:rsidRPr="00204840" w:rsidRDefault="00204840" w:rsidP="00204840">
      <w:pPr>
        <w:spacing w:line="360" w:lineRule="auto"/>
        <w:jc w:val="both"/>
        <w:rPr>
          <w:rFonts w:ascii="Arial" w:hAnsi="Arial" w:cs="Arial"/>
          <w:sz w:val="24"/>
          <w:szCs w:val="24"/>
        </w:rPr>
      </w:pPr>
      <w:r w:rsidRPr="00204840">
        <w:rPr>
          <w:rFonts w:ascii="Arial" w:hAnsi="Arial" w:cs="Arial"/>
          <w:sz w:val="24"/>
          <w:szCs w:val="24"/>
        </w:rPr>
        <w:lastRenderedPageBreak/>
        <w:t xml:space="preserve">HMICFRS, 2024. </w:t>
      </w:r>
      <w:r w:rsidRPr="00204840">
        <w:rPr>
          <w:rFonts w:ascii="Arial" w:hAnsi="Arial" w:cs="Arial"/>
          <w:i/>
          <w:iCs/>
          <w:sz w:val="24"/>
          <w:szCs w:val="24"/>
        </w:rPr>
        <w:t>Inspection of police response to vulnerable victims.</w:t>
      </w:r>
      <w:r w:rsidRPr="00204840">
        <w:rPr>
          <w:rFonts w:ascii="Arial" w:hAnsi="Arial" w:cs="Arial"/>
          <w:sz w:val="24"/>
          <w:szCs w:val="24"/>
        </w:rPr>
        <w:t xml:space="preserve"> London: HMICFRS. Available at: </w:t>
      </w:r>
      <w:hyperlink r:id="rId18" w:tgtFrame="_new" w:history="1">
        <w:r w:rsidRPr="00204840">
          <w:rPr>
            <w:rStyle w:val="Hyperlink"/>
            <w:rFonts w:ascii="Arial" w:hAnsi="Arial" w:cs="Arial"/>
            <w:sz w:val="24"/>
            <w:szCs w:val="24"/>
          </w:rPr>
          <w:t>https://www.justiceinspectorates.gov.uk/hmicfrs/reports/</w:t>
        </w:r>
      </w:hyperlink>
      <w:r w:rsidRPr="00204840">
        <w:rPr>
          <w:rFonts w:ascii="Arial" w:hAnsi="Arial" w:cs="Arial"/>
          <w:sz w:val="24"/>
          <w:szCs w:val="24"/>
        </w:rPr>
        <w:t xml:space="preserve"> [Accessed 26 March 2026].</w:t>
      </w:r>
    </w:p>
    <w:p w14:paraId="2FB0F324" w14:textId="77777777" w:rsidR="00204840" w:rsidRPr="00204840" w:rsidRDefault="00204840" w:rsidP="00204840">
      <w:pPr>
        <w:spacing w:line="360" w:lineRule="auto"/>
        <w:jc w:val="both"/>
        <w:rPr>
          <w:rFonts w:ascii="Arial" w:hAnsi="Arial" w:cs="Arial"/>
          <w:sz w:val="24"/>
          <w:szCs w:val="24"/>
        </w:rPr>
      </w:pPr>
      <w:r w:rsidRPr="00204840">
        <w:rPr>
          <w:rFonts w:ascii="Arial" w:hAnsi="Arial" w:cs="Arial"/>
          <w:sz w:val="24"/>
          <w:szCs w:val="24"/>
        </w:rPr>
        <w:t xml:space="preserve">Hohl, K. &amp; Stanko, E., 2023. Institutional legitimacy and victim reporting behaviour. </w:t>
      </w:r>
      <w:r w:rsidRPr="00204840">
        <w:rPr>
          <w:rFonts w:ascii="Arial" w:hAnsi="Arial" w:cs="Arial"/>
          <w:i/>
          <w:iCs/>
          <w:sz w:val="24"/>
          <w:szCs w:val="24"/>
        </w:rPr>
        <w:t>Policing: A Journal of Policy and Practice</w:t>
      </w:r>
      <w:r w:rsidRPr="00204840">
        <w:rPr>
          <w:rFonts w:ascii="Arial" w:hAnsi="Arial" w:cs="Arial"/>
          <w:sz w:val="24"/>
          <w:szCs w:val="24"/>
        </w:rPr>
        <w:t>, 17(1), pp.10–28.</w:t>
      </w:r>
    </w:p>
    <w:p w14:paraId="326C889E" w14:textId="77777777" w:rsidR="00204840" w:rsidRPr="00204840" w:rsidRDefault="00204840" w:rsidP="00204840">
      <w:pPr>
        <w:spacing w:line="360" w:lineRule="auto"/>
        <w:jc w:val="both"/>
        <w:rPr>
          <w:rFonts w:ascii="Arial" w:hAnsi="Arial" w:cs="Arial"/>
          <w:sz w:val="24"/>
          <w:szCs w:val="24"/>
        </w:rPr>
      </w:pPr>
      <w:r w:rsidRPr="00204840">
        <w:rPr>
          <w:rFonts w:ascii="Arial" w:hAnsi="Arial" w:cs="Arial"/>
          <w:sz w:val="24"/>
          <w:szCs w:val="24"/>
        </w:rPr>
        <w:t xml:space="preserve">Hohl, K., Stanko, E. &amp; Morley, L., 2020. Secondary victimisation and criminal justice processes. </w:t>
      </w:r>
      <w:r w:rsidRPr="00204840">
        <w:rPr>
          <w:rFonts w:ascii="Arial" w:hAnsi="Arial" w:cs="Arial"/>
          <w:i/>
          <w:iCs/>
          <w:sz w:val="24"/>
          <w:szCs w:val="24"/>
        </w:rPr>
        <w:t>British Journal of Criminology</w:t>
      </w:r>
      <w:r w:rsidRPr="00204840">
        <w:rPr>
          <w:rFonts w:ascii="Arial" w:hAnsi="Arial" w:cs="Arial"/>
          <w:sz w:val="24"/>
          <w:szCs w:val="24"/>
        </w:rPr>
        <w:t>, 60(5), pp.1204–1223.</w:t>
      </w:r>
    </w:p>
    <w:p w14:paraId="08C1D564" w14:textId="77777777" w:rsidR="00204840" w:rsidRPr="00204840" w:rsidRDefault="00204840" w:rsidP="00204840">
      <w:pPr>
        <w:spacing w:line="360" w:lineRule="auto"/>
        <w:jc w:val="both"/>
      </w:pPr>
      <w:r w:rsidRPr="319E148A">
        <w:rPr>
          <w:rFonts w:ascii="Arial" w:hAnsi="Arial" w:cs="Arial"/>
          <w:sz w:val="24"/>
          <w:szCs w:val="24"/>
        </w:rPr>
        <w:t xml:space="preserve">Home Office, 2023. </w:t>
      </w:r>
      <w:r w:rsidRPr="319E148A">
        <w:rPr>
          <w:rFonts w:ascii="Arial" w:hAnsi="Arial" w:cs="Arial"/>
          <w:i/>
          <w:iCs/>
          <w:sz w:val="24"/>
          <w:szCs w:val="24"/>
        </w:rPr>
        <w:t>Stop and search statistics and analysis.</w:t>
      </w:r>
      <w:r w:rsidRPr="319E148A">
        <w:rPr>
          <w:rFonts w:ascii="Arial" w:hAnsi="Arial" w:cs="Arial"/>
          <w:sz w:val="24"/>
          <w:szCs w:val="24"/>
        </w:rPr>
        <w:t xml:space="preserve"> London: Home Office. Available at: </w:t>
      </w:r>
      <w:hyperlink r:id="rId19">
        <w:r w:rsidRPr="319E148A">
          <w:rPr>
            <w:rStyle w:val="Hyperlink"/>
            <w:rFonts w:ascii="Arial" w:hAnsi="Arial" w:cs="Arial"/>
            <w:sz w:val="24"/>
            <w:szCs w:val="24"/>
          </w:rPr>
          <w:t>https://www.gov.uk/government/statistics/stop-and-search</w:t>
        </w:r>
      </w:hyperlink>
      <w:r w:rsidRPr="319E148A">
        <w:rPr>
          <w:rFonts w:ascii="Arial" w:hAnsi="Arial" w:cs="Arial"/>
          <w:sz w:val="24"/>
          <w:szCs w:val="24"/>
        </w:rPr>
        <w:t xml:space="preserve"> [Accessed 22 March 2026].</w:t>
      </w:r>
    </w:p>
    <w:p w14:paraId="235863B5" w14:textId="1C41D672" w:rsidR="75D14D52" w:rsidRDefault="75D14D52" w:rsidP="319E148A">
      <w:pPr>
        <w:spacing w:line="360" w:lineRule="auto"/>
        <w:jc w:val="both"/>
      </w:pPr>
      <w:r w:rsidRPr="319E148A">
        <w:rPr>
          <w:rFonts w:ascii="Arial" w:hAnsi="Arial" w:cs="Arial"/>
          <w:sz w:val="24"/>
          <w:szCs w:val="24"/>
        </w:rPr>
        <w:t xml:space="preserve">Home Office, 2024. Modern slavery and child protection: Multiagency responses. </w:t>
      </w:r>
      <w:proofErr w:type="gramStart"/>
      <w:r w:rsidRPr="319E148A">
        <w:rPr>
          <w:rFonts w:ascii="Arial" w:hAnsi="Arial" w:cs="Arial"/>
          <w:sz w:val="24"/>
          <w:szCs w:val="24"/>
        </w:rPr>
        <w:t>London:Home</w:t>
      </w:r>
      <w:proofErr w:type="gramEnd"/>
      <w:r w:rsidRPr="319E148A">
        <w:rPr>
          <w:rFonts w:ascii="Arial" w:hAnsi="Arial" w:cs="Arial"/>
          <w:sz w:val="24"/>
          <w:szCs w:val="24"/>
        </w:rPr>
        <w:t xml:space="preserve"> Office.Availableat: https://www.gov.uk/government/publications/modern-slavery-and-child-protection [Accessed 21 March 2026].</w:t>
      </w:r>
    </w:p>
    <w:p w14:paraId="0C1A31C6" w14:textId="12492D2A" w:rsidR="75288702" w:rsidRDefault="75288702" w:rsidP="319E148A">
      <w:pPr>
        <w:spacing w:line="360" w:lineRule="auto"/>
        <w:jc w:val="both"/>
      </w:pPr>
      <w:r w:rsidRPr="003A6646">
        <w:rPr>
          <w:rFonts w:ascii="Arial" w:eastAsia="Arial" w:hAnsi="Arial" w:cs="Arial"/>
          <w:sz w:val="24"/>
          <w:szCs w:val="24"/>
        </w:rPr>
        <w:t>Justice Committee (2023)</w:t>
      </w:r>
      <w:r w:rsidRPr="319E148A">
        <w:rPr>
          <w:rFonts w:ascii="Arial" w:eastAsia="Arial" w:hAnsi="Arial" w:cs="Arial"/>
          <w:sz w:val="24"/>
          <w:szCs w:val="24"/>
        </w:rPr>
        <w:t xml:space="preserve"> </w:t>
      </w:r>
      <w:r w:rsidRPr="319E148A">
        <w:rPr>
          <w:rFonts w:ascii="Arial" w:eastAsia="Arial" w:hAnsi="Arial" w:cs="Arial"/>
          <w:i/>
          <w:iCs/>
          <w:sz w:val="24"/>
          <w:szCs w:val="24"/>
        </w:rPr>
        <w:t>Court delays and victim experiences in the UK</w:t>
      </w:r>
      <w:r w:rsidRPr="319E148A">
        <w:rPr>
          <w:rFonts w:ascii="Arial" w:eastAsia="Arial" w:hAnsi="Arial" w:cs="Arial"/>
          <w:sz w:val="24"/>
          <w:szCs w:val="24"/>
        </w:rPr>
        <w:t xml:space="preserve">. HC 466. London: House of Commons. Available at: </w:t>
      </w:r>
      <w:hyperlink r:id="rId20">
        <w:r w:rsidRPr="319E148A">
          <w:rPr>
            <w:rStyle w:val="Hyperlink"/>
            <w:rFonts w:ascii="Arial" w:eastAsia="Arial" w:hAnsi="Arial" w:cs="Arial"/>
            <w:sz w:val="24"/>
            <w:szCs w:val="24"/>
          </w:rPr>
          <w:t>https://committees.parliament.uk/publications/39910/documents/194384/default/</w:t>
        </w:r>
      </w:hyperlink>
      <w:r w:rsidRPr="319E148A">
        <w:rPr>
          <w:rFonts w:ascii="Arial" w:eastAsia="Arial" w:hAnsi="Arial" w:cs="Arial"/>
          <w:sz w:val="24"/>
          <w:szCs w:val="24"/>
        </w:rPr>
        <w:t xml:space="preserve"> (Accessed: 22 March 2026).</w:t>
      </w:r>
    </w:p>
    <w:p w14:paraId="1E4D79D7" w14:textId="0329D020" w:rsidR="00204840" w:rsidRPr="00204840" w:rsidRDefault="00204840" w:rsidP="00204840">
      <w:pPr>
        <w:spacing w:line="360" w:lineRule="auto"/>
        <w:jc w:val="both"/>
        <w:rPr>
          <w:rFonts w:ascii="Arial" w:hAnsi="Arial" w:cs="Arial"/>
          <w:sz w:val="24"/>
          <w:szCs w:val="24"/>
        </w:rPr>
      </w:pPr>
      <w:r w:rsidRPr="2723FFE2">
        <w:rPr>
          <w:rFonts w:ascii="Arial" w:hAnsi="Arial" w:cs="Arial"/>
          <w:sz w:val="24"/>
          <w:szCs w:val="24"/>
        </w:rPr>
        <w:t xml:space="preserve">Law Society, 2024. </w:t>
      </w:r>
      <w:r w:rsidRPr="2723FFE2">
        <w:rPr>
          <w:rFonts w:ascii="Arial" w:hAnsi="Arial" w:cs="Arial"/>
          <w:i/>
          <w:iCs/>
          <w:sz w:val="24"/>
          <w:szCs w:val="24"/>
        </w:rPr>
        <w:t>Access to justice for vulnerable victims: Barriers and solutions.</w:t>
      </w:r>
      <w:r w:rsidRPr="2723FFE2">
        <w:rPr>
          <w:rFonts w:ascii="Arial" w:hAnsi="Arial" w:cs="Arial"/>
          <w:sz w:val="24"/>
          <w:szCs w:val="24"/>
        </w:rPr>
        <w:t xml:space="preserve"> London:LawSociety.Available at: </w:t>
      </w:r>
      <w:hyperlink r:id="rId21">
        <w:r w:rsidRPr="2723FFE2">
          <w:rPr>
            <w:rStyle w:val="Hyperlink"/>
            <w:rFonts w:ascii="Arial" w:hAnsi="Arial" w:cs="Arial"/>
            <w:sz w:val="24"/>
            <w:szCs w:val="24"/>
          </w:rPr>
          <w:t>https://www.lawsociety.org.uk/topics/reports/access-to-justice-for-vulnerable-victims</w:t>
        </w:r>
      </w:hyperlink>
      <w:r w:rsidRPr="2723FFE2">
        <w:rPr>
          <w:rFonts w:ascii="Arial" w:hAnsi="Arial" w:cs="Arial"/>
          <w:sz w:val="24"/>
          <w:szCs w:val="24"/>
        </w:rPr>
        <w:t xml:space="preserve"> [Accessed 30 March 2026].</w:t>
      </w:r>
    </w:p>
    <w:p w14:paraId="1D47EC46" w14:textId="77777777" w:rsidR="00204840" w:rsidRPr="00204840" w:rsidRDefault="00204840" w:rsidP="00204840">
      <w:pPr>
        <w:spacing w:line="360" w:lineRule="auto"/>
        <w:jc w:val="both"/>
        <w:rPr>
          <w:rFonts w:ascii="Arial" w:hAnsi="Arial" w:cs="Arial"/>
          <w:sz w:val="24"/>
          <w:szCs w:val="24"/>
        </w:rPr>
      </w:pPr>
      <w:r w:rsidRPr="00204840">
        <w:rPr>
          <w:rFonts w:ascii="Arial" w:hAnsi="Arial" w:cs="Arial"/>
          <w:sz w:val="24"/>
          <w:szCs w:val="24"/>
        </w:rPr>
        <w:t xml:space="preserve">Light, M., Farrell, G. &amp; Rose, K., 2020. </w:t>
      </w:r>
      <w:r w:rsidRPr="00204840">
        <w:rPr>
          <w:rFonts w:ascii="Arial" w:hAnsi="Arial" w:cs="Arial"/>
          <w:i/>
          <w:iCs/>
          <w:sz w:val="24"/>
          <w:szCs w:val="24"/>
        </w:rPr>
        <w:t>Harm reduction and criminal justice: International perspectives.</w:t>
      </w:r>
      <w:r w:rsidRPr="00204840">
        <w:rPr>
          <w:rFonts w:ascii="Arial" w:hAnsi="Arial" w:cs="Arial"/>
          <w:sz w:val="24"/>
          <w:szCs w:val="24"/>
        </w:rPr>
        <w:t xml:space="preserve"> London: Routledge.</w:t>
      </w:r>
    </w:p>
    <w:p w14:paraId="6B3FF1A0" w14:textId="77777777" w:rsidR="00204840" w:rsidRPr="00204840" w:rsidRDefault="00204840" w:rsidP="00204840">
      <w:pPr>
        <w:spacing w:line="360" w:lineRule="auto"/>
        <w:jc w:val="both"/>
        <w:rPr>
          <w:rFonts w:ascii="Arial" w:hAnsi="Arial" w:cs="Arial"/>
          <w:sz w:val="24"/>
          <w:szCs w:val="24"/>
        </w:rPr>
      </w:pPr>
      <w:r w:rsidRPr="00204840">
        <w:rPr>
          <w:rFonts w:ascii="Arial" w:hAnsi="Arial" w:cs="Arial"/>
          <w:sz w:val="24"/>
          <w:szCs w:val="24"/>
        </w:rPr>
        <w:t xml:space="preserve">Livingstone, S. &amp; Mason, J., 2023. </w:t>
      </w:r>
      <w:r w:rsidRPr="00204840">
        <w:rPr>
          <w:rFonts w:ascii="Arial" w:hAnsi="Arial" w:cs="Arial"/>
          <w:i/>
          <w:iCs/>
          <w:sz w:val="24"/>
          <w:szCs w:val="24"/>
        </w:rPr>
        <w:t>Digital victimisation and online harms: Challenges for justice systems.</w:t>
      </w:r>
      <w:r w:rsidRPr="00204840">
        <w:rPr>
          <w:rFonts w:ascii="Arial" w:hAnsi="Arial" w:cs="Arial"/>
          <w:sz w:val="24"/>
          <w:szCs w:val="24"/>
        </w:rPr>
        <w:t xml:space="preserve"> London: Palgrave Macmillan.</w:t>
      </w:r>
    </w:p>
    <w:p w14:paraId="0F2569CF" w14:textId="77777777" w:rsidR="00204840" w:rsidRPr="00204840" w:rsidRDefault="00204840" w:rsidP="00204840">
      <w:pPr>
        <w:spacing w:line="360" w:lineRule="auto"/>
        <w:jc w:val="both"/>
        <w:rPr>
          <w:rFonts w:ascii="Arial" w:hAnsi="Arial" w:cs="Arial"/>
          <w:sz w:val="24"/>
          <w:szCs w:val="24"/>
        </w:rPr>
      </w:pPr>
      <w:r w:rsidRPr="00204840">
        <w:rPr>
          <w:rFonts w:ascii="Arial" w:hAnsi="Arial" w:cs="Arial"/>
          <w:sz w:val="24"/>
          <w:szCs w:val="24"/>
        </w:rPr>
        <w:t xml:space="preserve">Makkai, T. &amp; McGregor, K., 2003. </w:t>
      </w:r>
      <w:r w:rsidRPr="00204840">
        <w:rPr>
          <w:rFonts w:ascii="Arial" w:hAnsi="Arial" w:cs="Arial"/>
          <w:i/>
          <w:iCs/>
          <w:sz w:val="24"/>
          <w:szCs w:val="24"/>
        </w:rPr>
        <w:t>Reducing reoffending through integrated social services.</w:t>
      </w:r>
      <w:r w:rsidRPr="00204840">
        <w:rPr>
          <w:rFonts w:ascii="Arial" w:hAnsi="Arial" w:cs="Arial"/>
          <w:sz w:val="24"/>
          <w:szCs w:val="24"/>
        </w:rPr>
        <w:t xml:space="preserve"> Sydney: Australian Institute of Criminology.</w:t>
      </w:r>
    </w:p>
    <w:p w14:paraId="2958E638" w14:textId="77777777" w:rsidR="00204840" w:rsidRPr="00204840" w:rsidRDefault="00204840" w:rsidP="00204840">
      <w:pPr>
        <w:spacing w:line="360" w:lineRule="auto"/>
        <w:jc w:val="both"/>
        <w:rPr>
          <w:rFonts w:ascii="Arial" w:hAnsi="Arial" w:cs="Arial"/>
          <w:sz w:val="24"/>
          <w:szCs w:val="24"/>
        </w:rPr>
      </w:pPr>
      <w:r w:rsidRPr="00204840">
        <w:rPr>
          <w:rFonts w:ascii="Arial" w:hAnsi="Arial" w:cs="Arial"/>
          <w:sz w:val="24"/>
          <w:szCs w:val="24"/>
        </w:rPr>
        <w:t xml:space="preserve">McGlynn, C. &amp; </w:t>
      </w:r>
      <w:proofErr w:type="spellStart"/>
      <w:r w:rsidRPr="00204840">
        <w:rPr>
          <w:rFonts w:ascii="Arial" w:hAnsi="Arial" w:cs="Arial"/>
          <w:sz w:val="24"/>
          <w:szCs w:val="24"/>
        </w:rPr>
        <w:t>Westmarland</w:t>
      </w:r>
      <w:proofErr w:type="spellEnd"/>
      <w:r w:rsidRPr="00204840">
        <w:rPr>
          <w:rFonts w:ascii="Arial" w:hAnsi="Arial" w:cs="Arial"/>
          <w:sz w:val="24"/>
          <w:szCs w:val="24"/>
        </w:rPr>
        <w:t xml:space="preserve">, N., 2023. The adversarial court and vulnerable victims. </w:t>
      </w:r>
      <w:r w:rsidRPr="00204840">
        <w:rPr>
          <w:rFonts w:ascii="Arial" w:hAnsi="Arial" w:cs="Arial"/>
          <w:i/>
          <w:iCs/>
          <w:sz w:val="24"/>
          <w:szCs w:val="24"/>
        </w:rPr>
        <w:t>Feminist Legal Studies</w:t>
      </w:r>
      <w:r w:rsidRPr="00204840">
        <w:rPr>
          <w:rFonts w:ascii="Arial" w:hAnsi="Arial" w:cs="Arial"/>
          <w:sz w:val="24"/>
          <w:szCs w:val="24"/>
        </w:rPr>
        <w:t>, 31(1), pp.1–20.</w:t>
      </w:r>
    </w:p>
    <w:p w14:paraId="5284B8C7" w14:textId="77777777" w:rsidR="00204840" w:rsidRPr="00204840" w:rsidRDefault="00204840" w:rsidP="00204840">
      <w:pPr>
        <w:spacing w:line="360" w:lineRule="auto"/>
        <w:jc w:val="both"/>
        <w:rPr>
          <w:rFonts w:ascii="Arial" w:hAnsi="Arial" w:cs="Arial"/>
          <w:sz w:val="24"/>
          <w:szCs w:val="24"/>
        </w:rPr>
      </w:pPr>
      <w:r w:rsidRPr="00204840">
        <w:rPr>
          <w:rFonts w:ascii="Arial" w:hAnsi="Arial" w:cs="Arial"/>
          <w:sz w:val="24"/>
          <w:szCs w:val="24"/>
        </w:rPr>
        <w:lastRenderedPageBreak/>
        <w:t xml:space="preserve">Miller, N.A. &amp; </w:t>
      </w:r>
      <w:proofErr w:type="spellStart"/>
      <w:r w:rsidRPr="00204840">
        <w:rPr>
          <w:rFonts w:ascii="Arial" w:hAnsi="Arial" w:cs="Arial"/>
          <w:sz w:val="24"/>
          <w:szCs w:val="24"/>
        </w:rPr>
        <w:t>Najavits</w:t>
      </w:r>
      <w:proofErr w:type="spellEnd"/>
      <w:r w:rsidRPr="00204840">
        <w:rPr>
          <w:rFonts w:ascii="Arial" w:hAnsi="Arial" w:cs="Arial"/>
          <w:sz w:val="24"/>
          <w:szCs w:val="24"/>
        </w:rPr>
        <w:t xml:space="preserve">, L.M., 2012. </w:t>
      </w:r>
      <w:r w:rsidRPr="00204840">
        <w:rPr>
          <w:rFonts w:ascii="Arial" w:hAnsi="Arial" w:cs="Arial"/>
          <w:i/>
          <w:iCs/>
          <w:sz w:val="24"/>
          <w:szCs w:val="24"/>
        </w:rPr>
        <w:t>Creating trauma-informed correctional systems.</w:t>
      </w:r>
      <w:r w:rsidRPr="00204840">
        <w:rPr>
          <w:rFonts w:ascii="Arial" w:hAnsi="Arial" w:cs="Arial"/>
          <w:sz w:val="24"/>
          <w:szCs w:val="24"/>
        </w:rPr>
        <w:t xml:space="preserve"> New York: Springer.</w:t>
      </w:r>
    </w:p>
    <w:p w14:paraId="48B17A3E" w14:textId="77777777" w:rsidR="00204840" w:rsidRPr="00204840" w:rsidRDefault="00204840" w:rsidP="00204840">
      <w:pPr>
        <w:spacing w:line="360" w:lineRule="auto"/>
        <w:jc w:val="both"/>
        <w:rPr>
          <w:rFonts w:ascii="Arial" w:hAnsi="Arial" w:cs="Arial"/>
          <w:sz w:val="24"/>
          <w:szCs w:val="24"/>
        </w:rPr>
      </w:pPr>
      <w:r w:rsidRPr="00204840">
        <w:rPr>
          <w:rFonts w:ascii="Arial" w:hAnsi="Arial" w:cs="Arial"/>
          <w:sz w:val="24"/>
          <w:szCs w:val="24"/>
        </w:rPr>
        <w:t xml:space="preserve">Ministry of Justice, 2025. </w:t>
      </w:r>
      <w:r w:rsidRPr="00204840">
        <w:rPr>
          <w:rFonts w:ascii="Arial" w:hAnsi="Arial" w:cs="Arial"/>
          <w:i/>
          <w:iCs/>
          <w:sz w:val="24"/>
          <w:szCs w:val="24"/>
        </w:rPr>
        <w:t>Evaluation of the Victims’ Code 2025.</w:t>
      </w:r>
      <w:r w:rsidRPr="00204840">
        <w:rPr>
          <w:rFonts w:ascii="Arial" w:hAnsi="Arial" w:cs="Arial"/>
          <w:sz w:val="24"/>
          <w:szCs w:val="24"/>
        </w:rPr>
        <w:t xml:space="preserve"> London: MoJ. Available at: </w:t>
      </w:r>
      <w:hyperlink r:id="rId22" w:tgtFrame="_new" w:history="1">
        <w:r w:rsidRPr="00204840">
          <w:rPr>
            <w:rStyle w:val="Hyperlink"/>
            <w:rFonts w:ascii="Arial" w:hAnsi="Arial" w:cs="Arial"/>
            <w:sz w:val="24"/>
            <w:szCs w:val="24"/>
          </w:rPr>
          <w:t>https://www.gov.uk/government/publications/victims-code-evaluation</w:t>
        </w:r>
      </w:hyperlink>
      <w:r w:rsidRPr="00204840">
        <w:rPr>
          <w:rFonts w:ascii="Arial" w:hAnsi="Arial" w:cs="Arial"/>
          <w:sz w:val="24"/>
          <w:szCs w:val="24"/>
        </w:rPr>
        <w:t xml:space="preserve"> [Accessed 27 March 2026].</w:t>
      </w:r>
    </w:p>
    <w:p w14:paraId="5BAB6F18" w14:textId="77777777" w:rsidR="00204840" w:rsidRPr="00204840" w:rsidRDefault="00204840" w:rsidP="00204840">
      <w:pPr>
        <w:spacing w:line="360" w:lineRule="auto"/>
        <w:jc w:val="both"/>
      </w:pPr>
      <w:r w:rsidRPr="319E148A">
        <w:rPr>
          <w:rFonts w:ascii="Arial" w:hAnsi="Arial" w:cs="Arial"/>
          <w:sz w:val="24"/>
          <w:szCs w:val="24"/>
        </w:rPr>
        <w:t xml:space="preserve">National Audit Office, 2024. </w:t>
      </w:r>
      <w:r w:rsidRPr="319E148A">
        <w:rPr>
          <w:rFonts w:ascii="Arial" w:hAnsi="Arial" w:cs="Arial"/>
          <w:i/>
          <w:iCs/>
          <w:sz w:val="24"/>
          <w:szCs w:val="24"/>
        </w:rPr>
        <w:t>Geographic disparities in rehabilitation and treatment access.</w:t>
      </w:r>
      <w:r w:rsidRPr="319E148A">
        <w:rPr>
          <w:rFonts w:ascii="Arial" w:hAnsi="Arial" w:cs="Arial"/>
          <w:sz w:val="24"/>
          <w:szCs w:val="24"/>
        </w:rPr>
        <w:t xml:space="preserve"> London: NAO. Available at: </w:t>
      </w:r>
      <w:hyperlink r:id="rId23">
        <w:r w:rsidRPr="319E148A">
          <w:rPr>
            <w:rStyle w:val="Hyperlink"/>
            <w:rFonts w:ascii="Arial" w:hAnsi="Arial" w:cs="Arial"/>
            <w:sz w:val="24"/>
            <w:szCs w:val="24"/>
          </w:rPr>
          <w:t>https://www.nao.org.uk/report/geographic-disparities-in-rehabilitation/</w:t>
        </w:r>
      </w:hyperlink>
      <w:r w:rsidRPr="319E148A">
        <w:rPr>
          <w:rFonts w:ascii="Arial" w:hAnsi="Arial" w:cs="Arial"/>
          <w:sz w:val="24"/>
          <w:szCs w:val="24"/>
        </w:rPr>
        <w:t xml:space="preserve"> [Accessed 28 March 2026].</w:t>
      </w:r>
    </w:p>
    <w:p w14:paraId="4D6DEB24" w14:textId="19220326" w:rsidR="57A73177" w:rsidRDefault="57A73177" w:rsidP="319E148A">
      <w:pPr>
        <w:spacing w:line="360" w:lineRule="auto"/>
        <w:jc w:val="both"/>
      </w:pPr>
      <w:r w:rsidRPr="319E148A">
        <w:rPr>
          <w:rFonts w:ascii="Arial" w:hAnsi="Arial" w:cs="Arial"/>
          <w:sz w:val="24"/>
          <w:szCs w:val="24"/>
        </w:rPr>
        <w:t xml:space="preserve">NHS England (2023) Liaison and diversion services: integrating mental health into justice pathways. Available at: </w:t>
      </w:r>
      <w:hyperlink r:id="rId24">
        <w:r w:rsidRPr="319E148A">
          <w:rPr>
            <w:rStyle w:val="Hyperlink"/>
            <w:rFonts w:ascii="Arial" w:hAnsi="Arial" w:cs="Arial"/>
            <w:sz w:val="24"/>
            <w:szCs w:val="24"/>
          </w:rPr>
          <w:t>https://www.england.nhs.uk/justice-health/liaison-and-diversion/</w:t>
        </w:r>
      </w:hyperlink>
      <w:r w:rsidRPr="319E148A">
        <w:rPr>
          <w:rFonts w:ascii="Arial" w:hAnsi="Arial" w:cs="Arial"/>
          <w:sz w:val="24"/>
          <w:szCs w:val="24"/>
        </w:rPr>
        <w:t>(Accessed: 26 March 2026).</w:t>
      </w:r>
    </w:p>
    <w:p w14:paraId="3D8C0580" w14:textId="77777777" w:rsidR="00204840" w:rsidRPr="00204840" w:rsidRDefault="00204840" w:rsidP="00204840">
      <w:pPr>
        <w:spacing w:line="360" w:lineRule="auto"/>
        <w:jc w:val="both"/>
      </w:pPr>
      <w:r w:rsidRPr="319E148A">
        <w:rPr>
          <w:rFonts w:ascii="Arial" w:hAnsi="Arial" w:cs="Arial"/>
          <w:sz w:val="24"/>
          <w:szCs w:val="24"/>
        </w:rPr>
        <w:t xml:space="preserve">NSPCC, 2024. </w:t>
      </w:r>
      <w:r w:rsidRPr="319E148A">
        <w:rPr>
          <w:rFonts w:ascii="Arial" w:hAnsi="Arial" w:cs="Arial"/>
          <w:i/>
          <w:iCs/>
          <w:sz w:val="24"/>
          <w:szCs w:val="24"/>
        </w:rPr>
        <w:t>Child protection multi-agency models: Lessons from UK practice.</w:t>
      </w:r>
      <w:r w:rsidRPr="319E148A">
        <w:rPr>
          <w:rFonts w:ascii="Arial" w:hAnsi="Arial" w:cs="Arial"/>
          <w:sz w:val="24"/>
          <w:szCs w:val="24"/>
        </w:rPr>
        <w:t xml:space="preserve"> London: NSPCC. Available at: </w:t>
      </w:r>
      <w:hyperlink r:id="rId25">
        <w:r w:rsidRPr="319E148A">
          <w:rPr>
            <w:rStyle w:val="Hyperlink"/>
            <w:rFonts w:ascii="Arial" w:hAnsi="Arial" w:cs="Arial"/>
            <w:sz w:val="24"/>
            <w:szCs w:val="24"/>
          </w:rPr>
          <w:t>https://www.nspcc.org.uk/preventing-abuse/child-protection/</w:t>
        </w:r>
      </w:hyperlink>
      <w:r w:rsidRPr="319E148A">
        <w:rPr>
          <w:rFonts w:ascii="Arial" w:hAnsi="Arial" w:cs="Arial"/>
          <w:sz w:val="24"/>
          <w:szCs w:val="24"/>
        </w:rPr>
        <w:t xml:space="preserve"> [Accessed 23 March 2026].</w:t>
      </w:r>
    </w:p>
    <w:p w14:paraId="6B4DCB12" w14:textId="71B8C070" w:rsidR="4CFDE04D" w:rsidRDefault="4CFDE04D" w:rsidP="319E148A">
      <w:pPr>
        <w:spacing w:line="360" w:lineRule="auto"/>
        <w:jc w:val="both"/>
      </w:pPr>
      <w:r w:rsidRPr="319E148A">
        <w:rPr>
          <w:rFonts w:ascii="Arial" w:hAnsi="Arial" w:cs="Arial"/>
          <w:sz w:val="24"/>
          <w:szCs w:val="24"/>
        </w:rPr>
        <w:t xml:space="preserve">Office for National Statistics (2025) Crime Survey for England and Wales 2024–25: key findings. London: Office for National Statistics. Available at: </w:t>
      </w:r>
      <w:hyperlink r:id="rId26">
        <w:r w:rsidRPr="319E148A">
          <w:rPr>
            <w:rStyle w:val="Hyperlink"/>
            <w:rFonts w:ascii="Arial" w:hAnsi="Arial" w:cs="Arial"/>
            <w:sz w:val="24"/>
            <w:szCs w:val="24"/>
          </w:rPr>
          <w:t>https://www.ons.gov.uk/peoplepopulationandcommunity/crimeandjustice</w:t>
        </w:r>
      </w:hyperlink>
      <w:r w:rsidRPr="319E148A">
        <w:rPr>
          <w:rFonts w:ascii="Arial" w:hAnsi="Arial" w:cs="Arial"/>
          <w:sz w:val="24"/>
          <w:szCs w:val="24"/>
        </w:rPr>
        <w:t xml:space="preserve"> (Accessed: 27 March 2026).</w:t>
      </w:r>
    </w:p>
    <w:p w14:paraId="231DC0D5" w14:textId="77777777" w:rsidR="00204840" w:rsidRPr="00204840" w:rsidRDefault="00204840" w:rsidP="00204840">
      <w:pPr>
        <w:spacing w:line="360" w:lineRule="auto"/>
        <w:jc w:val="both"/>
        <w:rPr>
          <w:rFonts w:ascii="Arial" w:hAnsi="Arial" w:cs="Arial"/>
          <w:sz w:val="24"/>
          <w:szCs w:val="24"/>
        </w:rPr>
      </w:pPr>
      <w:r w:rsidRPr="00204840">
        <w:rPr>
          <w:rFonts w:ascii="Arial" w:hAnsi="Arial" w:cs="Arial"/>
          <w:sz w:val="24"/>
          <w:szCs w:val="24"/>
        </w:rPr>
        <w:t xml:space="preserve">Patel, R. &amp; Thompson, D., 2024. Bias and resource allocation in criminal justice responses. </w:t>
      </w:r>
      <w:r w:rsidRPr="00204840">
        <w:rPr>
          <w:rFonts w:ascii="Arial" w:hAnsi="Arial" w:cs="Arial"/>
          <w:i/>
          <w:iCs/>
          <w:sz w:val="24"/>
          <w:szCs w:val="24"/>
        </w:rPr>
        <w:t>Journal of Crime and Justice</w:t>
      </w:r>
      <w:r w:rsidRPr="00204840">
        <w:rPr>
          <w:rFonts w:ascii="Arial" w:hAnsi="Arial" w:cs="Arial"/>
          <w:sz w:val="24"/>
          <w:szCs w:val="24"/>
        </w:rPr>
        <w:t>, 47(2), pp.155–176.</w:t>
      </w:r>
    </w:p>
    <w:p w14:paraId="477B7B2D" w14:textId="77777777" w:rsidR="00204840" w:rsidRPr="00204840" w:rsidRDefault="00204840" w:rsidP="00204840">
      <w:pPr>
        <w:spacing w:line="360" w:lineRule="auto"/>
        <w:jc w:val="both"/>
        <w:rPr>
          <w:rFonts w:ascii="Arial" w:hAnsi="Arial" w:cs="Arial"/>
          <w:sz w:val="24"/>
          <w:szCs w:val="24"/>
        </w:rPr>
      </w:pPr>
      <w:r w:rsidRPr="00204840">
        <w:rPr>
          <w:rFonts w:ascii="Arial" w:hAnsi="Arial" w:cs="Arial"/>
          <w:sz w:val="24"/>
          <w:szCs w:val="24"/>
        </w:rPr>
        <w:t xml:space="preserve">Pitts, J., 2024. </w:t>
      </w:r>
      <w:r w:rsidRPr="00204840">
        <w:rPr>
          <w:rFonts w:ascii="Arial" w:hAnsi="Arial" w:cs="Arial"/>
          <w:i/>
          <w:iCs/>
          <w:sz w:val="24"/>
          <w:szCs w:val="24"/>
        </w:rPr>
        <w:t>Enforcement-focused strategies and vulnerability: A critical analysis.</w:t>
      </w:r>
      <w:r w:rsidRPr="00204840">
        <w:rPr>
          <w:rFonts w:ascii="Arial" w:hAnsi="Arial" w:cs="Arial"/>
          <w:sz w:val="24"/>
          <w:szCs w:val="24"/>
        </w:rPr>
        <w:t xml:space="preserve"> London: Policy Press.</w:t>
      </w:r>
    </w:p>
    <w:p w14:paraId="67315858" w14:textId="31772267" w:rsidR="00204840" w:rsidRPr="00204840" w:rsidRDefault="1CC3D501" w:rsidP="00204840">
      <w:pPr>
        <w:spacing w:line="360" w:lineRule="auto"/>
        <w:jc w:val="both"/>
      </w:pPr>
      <w:r w:rsidRPr="319E148A">
        <w:rPr>
          <w:rFonts w:ascii="Arial" w:hAnsi="Arial" w:cs="Arial"/>
          <w:sz w:val="24"/>
          <w:szCs w:val="24"/>
        </w:rPr>
        <w:t xml:space="preserve">Prison Reform Trust, 2024. Mental health and criminal justice: Addressing systemic gaps.London:PRT.Available at: </w:t>
      </w:r>
      <w:hyperlink r:id="rId27">
        <w:r w:rsidRPr="319E148A">
          <w:rPr>
            <w:rStyle w:val="Hyperlink"/>
            <w:rFonts w:ascii="Arial" w:hAnsi="Arial" w:cs="Arial"/>
            <w:sz w:val="24"/>
            <w:szCs w:val="24"/>
          </w:rPr>
          <w:t>https://www.prisonreformtrust.org.uk/projects/mental-health</w:t>
        </w:r>
      </w:hyperlink>
      <w:r w:rsidRPr="319E148A">
        <w:rPr>
          <w:rFonts w:ascii="Arial" w:hAnsi="Arial" w:cs="Arial"/>
          <w:sz w:val="24"/>
          <w:szCs w:val="24"/>
        </w:rPr>
        <w:t xml:space="preserve"> [Accessed 24 March 2026].</w:t>
      </w:r>
    </w:p>
    <w:p w14:paraId="53479586" w14:textId="60D415CA" w:rsidR="6706C116" w:rsidRDefault="6706C116" w:rsidP="319E148A">
      <w:pPr>
        <w:spacing w:line="360" w:lineRule="auto"/>
        <w:jc w:val="both"/>
      </w:pPr>
      <w:r w:rsidRPr="319E148A">
        <w:rPr>
          <w:rFonts w:ascii="Arial" w:hAnsi="Arial" w:cs="Arial"/>
          <w:sz w:val="24"/>
          <w:szCs w:val="24"/>
        </w:rPr>
        <w:t xml:space="preserve">Public Health England (2023) Substance misuse, victimisation and public health outcomes. London: Public Health England. Available at: </w:t>
      </w:r>
      <w:hyperlink r:id="rId28">
        <w:r w:rsidRPr="319E148A">
          <w:rPr>
            <w:rStyle w:val="Hyperlink"/>
            <w:rFonts w:ascii="Arial" w:hAnsi="Arial" w:cs="Arial"/>
            <w:sz w:val="24"/>
            <w:szCs w:val="24"/>
          </w:rPr>
          <w:t>https://www.gov.uk/government/publications/substance-misuse-and-victimisation</w:t>
        </w:r>
      </w:hyperlink>
      <w:r w:rsidRPr="319E148A">
        <w:rPr>
          <w:rFonts w:ascii="Arial" w:hAnsi="Arial" w:cs="Arial"/>
          <w:sz w:val="24"/>
          <w:szCs w:val="24"/>
        </w:rPr>
        <w:t xml:space="preserve"> (Accessed: 22 March 2026).</w:t>
      </w:r>
    </w:p>
    <w:p w14:paraId="6EE09A85" w14:textId="77777777" w:rsidR="00204840" w:rsidRPr="00204840" w:rsidRDefault="00204840" w:rsidP="00204840">
      <w:pPr>
        <w:spacing w:line="360" w:lineRule="auto"/>
        <w:jc w:val="both"/>
        <w:rPr>
          <w:rFonts w:ascii="Arial" w:hAnsi="Arial" w:cs="Arial"/>
          <w:sz w:val="24"/>
          <w:szCs w:val="24"/>
        </w:rPr>
      </w:pPr>
      <w:r w:rsidRPr="00204840">
        <w:rPr>
          <w:rFonts w:ascii="Arial" w:hAnsi="Arial" w:cs="Arial"/>
          <w:sz w:val="24"/>
          <w:szCs w:val="24"/>
        </w:rPr>
        <w:lastRenderedPageBreak/>
        <w:t xml:space="preserve">Rutter, J., Smith, K. &amp; Andrews, L., 2021. </w:t>
      </w:r>
      <w:r w:rsidRPr="00204840">
        <w:rPr>
          <w:rFonts w:ascii="Arial" w:hAnsi="Arial" w:cs="Arial"/>
          <w:i/>
          <w:iCs/>
          <w:sz w:val="24"/>
          <w:szCs w:val="24"/>
        </w:rPr>
        <w:t>Community policing and social justice: Comparative perspectives.</w:t>
      </w:r>
      <w:r w:rsidRPr="00204840">
        <w:rPr>
          <w:rFonts w:ascii="Arial" w:hAnsi="Arial" w:cs="Arial"/>
          <w:sz w:val="24"/>
          <w:szCs w:val="24"/>
        </w:rPr>
        <w:t xml:space="preserve"> London: Routledge.</w:t>
      </w:r>
    </w:p>
    <w:p w14:paraId="3994DE1F" w14:textId="77777777" w:rsidR="00204840" w:rsidRPr="00204840" w:rsidRDefault="00204840" w:rsidP="00204840">
      <w:pPr>
        <w:spacing w:line="360" w:lineRule="auto"/>
        <w:jc w:val="both"/>
        <w:rPr>
          <w:rFonts w:ascii="Arial" w:hAnsi="Arial" w:cs="Arial"/>
          <w:sz w:val="24"/>
          <w:szCs w:val="24"/>
        </w:rPr>
      </w:pPr>
      <w:r w:rsidRPr="00204840">
        <w:rPr>
          <w:rFonts w:ascii="Arial" w:hAnsi="Arial" w:cs="Arial"/>
          <w:sz w:val="24"/>
          <w:szCs w:val="24"/>
        </w:rPr>
        <w:t xml:space="preserve">Sherman, L.W., Strang, H., Mayo-Wilson, E., Woods, D.J. &amp; Ariel, B., 2020. </w:t>
      </w:r>
      <w:r w:rsidRPr="00204840">
        <w:rPr>
          <w:rFonts w:ascii="Arial" w:hAnsi="Arial" w:cs="Arial"/>
          <w:i/>
          <w:iCs/>
          <w:sz w:val="24"/>
          <w:szCs w:val="24"/>
        </w:rPr>
        <w:t>Preventing crime: Evidence from restorative and community-based justice models.</w:t>
      </w:r>
      <w:r w:rsidRPr="00204840">
        <w:rPr>
          <w:rFonts w:ascii="Arial" w:hAnsi="Arial" w:cs="Arial"/>
          <w:sz w:val="24"/>
          <w:szCs w:val="24"/>
        </w:rPr>
        <w:t xml:space="preserve"> Cambridge: Cambridge University Press.</w:t>
      </w:r>
    </w:p>
    <w:p w14:paraId="1F1A2434" w14:textId="77777777" w:rsidR="00204840" w:rsidRPr="00204840" w:rsidRDefault="00204840" w:rsidP="00204840">
      <w:pPr>
        <w:spacing w:line="360" w:lineRule="auto"/>
        <w:jc w:val="both"/>
        <w:rPr>
          <w:rFonts w:ascii="Arial" w:hAnsi="Arial" w:cs="Arial"/>
          <w:sz w:val="24"/>
          <w:szCs w:val="24"/>
        </w:rPr>
      </w:pPr>
      <w:r w:rsidRPr="00204840">
        <w:rPr>
          <w:rFonts w:ascii="Arial" w:hAnsi="Arial" w:cs="Arial"/>
          <w:sz w:val="24"/>
          <w:szCs w:val="24"/>
        </w:rPr>
        <w:t xml:space="preserve">Stonewall, 2024. </w:t>
      </w:r>
      <w:r w:rsidRPr="00204840">
        <w:rPr>
          <w:rFonts w:ascii="Arial" w:hAnsi="Arial" w:cs="Arial"/>
          <w:i/>
          <w:iCs/>
          <w:sz w:val="24"/>
          <w:szCs w:val="24"/>
        </w:rPr>
        <w:t>LGBTQ+ experiences of crime and justice in the UK.</w:t>
      </w:r>
      <w:r w:rsidRPr="00204840">
        <w:rPr>
          <w:rFonts w:ascii="Arial" w:hAnsi="Arial" w:cs="Arial"/>
          <w:sz w:val="24"/>
          <w:szCs w:val="24"/>
        </w:rPr>
        <w:t xml:space="preserve"> London: Stonewall. Available at: </w:t>
      </w:r>
      <w:hyperlink r:id="rId29" w:tgtFrame="_new" w:history="1">
        <w:r w:rsidRPr="00204840">
          <w:rPr>
            <w:rStyle w:val="Hyperlink"/>
            <w:rFonts w:ascii="Arial" w:hAnsi="Arial" w:cs="Arial"/>
            <w:sz w:val="24"/>
            <w:szCs w:val="24"/>
          </w:rPr>
          <w:t>https://www.stonewall.org.uk/resources/lgbtq-experiences-crime-and-justice</w:t>
        </w:r>
      </w:hyperlink>
      <w:r w:rsidRPr="00204840">
        <w:rPr>
          <w:rFonts w:ascii="Arial" w:hAnsi="Arial" w:cs="Arial"/>
          <w:sz w:val="24"/>
          <w:szCs w:val="24"/>
        </w:rPr>
        <w:t xml:space="preserve"> [Accessed 20 March 2026].</w:t>
      </w:r>
    </w:p>
    <w:p w14:paraId="48EBA9AB" w14:textId="77777777" w:rsidR="00204840" w:rsidRPr="00204840" w:rsidRDefault="00204840" w:rsidP="00204840">
      <w:pPr>
        <w:spacing w:line="360" w:lineRule="auto"/>
        <w:jc w:val="both"/>
        <w:rPr>
          <w:rFonts w:ascii="Arial" w:hAnsi="Arial" w:cs="Arial"/>
          <w:sz w:val="24"/>
          <w:szCs w:val="24"/>
        </w:rPr>
      </w:pPr>
      <w:r w:rsidRPr="00204840">
        <w:rPr>
          <w:rFonts w:ascii="Arial" w:hAnsi="Arial" w:cs="Arial"/>
          <w:sz w:val="24"/>
          <w:szCs w:val="24"/>
        </w:rPr>
        <w:t xml:space="preserve">Stanko, E., 2021. </w:t>
      </w:r>
      <w:r w:rsidRPr="00204840">
        <w:rPr>
          <w:rFonts w:ascii="Arial" w:hAnsi="Arial" w:cs="Arial"/>
          <w:i/>
          <w:iCs/>
          <w:sz w:val="24"/>
          <w:szCs w:val="24"/>
        </w:rPr>
        <w:t>Violence, vulnerability, and justice processes: Evidence and policy.</w:t>
      </w:r>
      <w:r w:rsidRPr="00204840">
        <w:rPr>
          <w:rFonts w:ascii="Arial" w:hAnsi="Arial" w:cs="Arial"/>
          <w:sz w:val="24"/>
          <w:szCs w:val="24"/>
        </w:rPr>
        <w:t xml:space="preserve"> London: Routledge.</w:t>
      </w:r>
    </w:p>
    <w:p w14:paraId="13D8E99A" w14:textId="77777777" w:rsidR="00204840" w:rsidRPr="00204840" w:rsidRDefault="00204840" w:rsidP="00204840">
      <w:pPr>
        <w:spacing w:line="360" w:lineRule="auto"/>
        <w:jc w:val="both"/>
        <w:rPr>
          <w:rFonts w:ascii="Arial" w:hAnsi="Arial" w:cs="Arial"/>
          <w:sz w:val="24"/>
          <w:szCs w:val="24"/>
        </w:rPr>
      </w:pPr>
      <w:r w:rsidRPr="00204840">
        <w:rPr>
          <w:rFonts w:ascii="Arial" w:hAnsi="Arial" w:cs="Arial"/>
          <w:sz w:val="24"/>
          <w:szCs w:val="24"/>
        </w:rPr>
        <w:t xml:space="preserve">Teague, R., </w:t>
      </w:r>
      <w:proofErr w:type="spellStart"/>
      <w:r w:rsidRPr="00204840">
        <w:rPr>
          <w:rFonts w:ascii="Arial" w:hAnsi="Arial" w:cs="Arial"/>
          <w:sz w:val="24"/>
          <w:szCs w:val="24"/>
        </w:rPr>
        <w:t>Gelsthorpe</w:t>
      </w:r>
      <w:proofErr w:type="spellEnd"/>
      <w:r w:rsidRPr="00204840">
        <w:rPr>
          <w:rFonts w:ascii="Arial" w:hAnsi="Arial" w:cs="Arial"/>
          <w:sz w:val="24"/>
          <w:szCs w:val="24"/>
        </w:rPr>
        <w:t xml:space="preserve">, L. &amp; Cooper, C., 2018. </w:t>
      </w:r>
      <w:r w:rsidRPr="00204840">
        <w:rPr>
          <w:rFonts w:ascii="Arial" w:hAnsi="Arial" w:cs="Arial"/>
          <w:i/>
          <w:iCs/>
          <w:sz w:val="24"/>
          <w:szCs w:val="24"/>
        </w:rPr>
        <w:t>Social determinants of vulnerability and criminalisation.</w:t>
      </w:r>
      <w:r w:rsidRPr="00204840">
        <w:rPr>
          <w:rFonts w:ascii="Arial" w:hAnsi="Arial" w:cs="Arial"/>
          <w:sz w:val="24"/>
          <w:szCs w:val="24"/>
        </w:rPr>
        <w:t xml:space="preserve"> London: Routledge.</w:t>
      </w:r>
    </w:p>
    <w:p w14:paraId="038682AE" w14:textId="77777777" w:rsidR="00204840" w:rsidRPr="00204840" w:rsidRDefault="00204840" w:rsidP="00204840">
      <w:pPr>
        <w:spacing w:line="360" w:lineRule="auto"/>
        <w:jc w:val="both"/>
        <w:rPr>
          <w:rFonts w:ascii="Arial" w:hAnsi="Arial" w:cs="Arial"/>
          <w:sz w:val="24"/>
          <w:szCs w:val="24"/>
        </w:rPr>
      </w:pPr>
      <w:r w:rsidRPr="00204840">
        <w:rPr>
          <w:rFonts w:ascii="Arial" w:hAnsi="Arial" w:cs="Arial"/>
          <w:sz w:val="24"/>
          <w:szCs w:val="24"/>
        </w:rPr>
        <w:t xml:space="preserve">Van Dijk, J., Mayhew, P. &amp; </w:t>
      </w:r>
      <w:proofErr w:type="spellStart"/>
      <w:r w:rsidRPr="00204840">
        <w:rPr>
          <w:rFonts w:ascii="Arial" w:hAnsi="Arial" w:cs="Arial"/>
          <w:sz w:val="24"/>
          <w:szCs w:val="24"/>
        </w:rPr>
        <w:t>Killias</w:t>
      </w:r>
      <w:proofErr w:type="spellEnd"/>
      <w:r w:rsidRPr="00204840">
        <w:rPr>
          <w:rFonts w:ascii="Arial" w:hAnsi="Arial" w:cs="Arial"/>
          <w:sz w:val="24"/>
          <w:szCs w:val="24"/>
        </w:rPr>
        <w:t xml:space="preserve">, M., 2019. </w:t>
      </w:r>
      <w:r w:rsidRPr="00204840">
        <w:rPr>
          <w:rFonts w:ascii="Arial" w:hAnsi="Arial" w:cs="Arial"/>
          <w:i/>
          <w:iCs/>
          <w:sz w:val="24"/>
          <w:szCs w:val="24"/>
        </w:rPr>
        <w:t>International perspectives on community-based policing and justice.</w:t>
      </w:r>
      <w:r w:rsidRPr="00204840">
        <w:rPr>
          <w:rFonts w:ascii="Arial" w:hAnsi="Arial" w:cs="Arial"/>
          <w:sz w:val="24"/>
          <w:szCs w:val="24"/>
        </w:rPr>
        <w:t xml:space="preserve"> London: Routledge.</w:t>
      </w:r>
    </w:p>
    <w:p w14:paraId="5A4FF67F" w14:textId="77777777" w:rsidR="00204840" w:rsidRPr="00204840" w:rsidRDefault="00204840" w:rsidP="00204840">
      <w:pPr>
        <w:spacing w:line="360" w:lineRule="auto"/>
        <w:jc w:val="both"/>
        <w:rPr>
          <w:rFonts w:ascii="Arial" w:hAnsi="Arial" w:cs="Arial"/>
          <w:sz w:val="24"/>
          <w:szCs w:val="24"/>
        </w:rPr>
      </w:pPr>
      <w:r w:rsidRPr="00204840">
        <w:rPr>
          <w:rFonts w:ascii="Arial" w:hAnsi="Arial" w:cs="Arial"/>
          <w:sz w:val="24"/>
          <w:szCs w:val="24"/>
        </w:rPr>
        <w:t xml:space="preserve">Victims’ Commissioner, 2025. </w:t>
      </w:r>
      <w:r w:rsidRPr="00204840">
        <w:rPr>
          <w:rFonts w:ascii="Arial" w:hAnsi="Arial" w:cs="Arial"/>
          <w:i/>
          <w:iCs/>
          <w:sz w:val="24"/>
          <w:szCs w:val="24"/>
        </w:rPr>
        <w:t>Annual review: Victim experiences and systemic responses.</w:t>
      </w:r>
      <w:r w:rsidRPr="00204840">
        <w:rPr>
          <w:rFonts w:ascii="Arial" w:hAnsi="Arial" w:cs="Arial"/>
          <w:sz w:val="24"/>
          <w:szCs w:val="24"/>
        </w:rPr>
        <w:t xml:space="preserve"> London: Victims’ Commissioner. Available at: </w:t>
      </w:r>
      <w:hyperlink r:id="rId30" w:tgtFrame="_new" w:history="1">
        <w:r w:rsidRPr="00204840">
          <w:rPr>
            <w:rStyle w:val="Hyperlink"/>
            <w:rFonts w:ascii="Arial" w:hAnsi="Arial" w:cs="Arial"/>
            <w:sz w:val="24"/>
            <w:szCs w:val="24"/>
          </w:rPr>
          <w:t>https://victimscommissioner.org.uk/publications</w:t>
        </w:r>
      </w:hyperlink>
      <w:r w:rsidRPr="00204840">
        <w:rPr>
          <w:rFonts w:ascii="Arial" w:hAnsi="Arial" w:cs="Arial"/>
          <w:sz w:val="24"/>
          <w:szCs w:val="24"/>
        </w:rPr>
        <w:t xml:space="preserve"> [Accessed 28 March 2026].</w:t>
      </w:r>
    </w:p>
    <w:p w14:paraId="48B04333" w14:textId="77777777" w:rsidR="00204840" w:rsidRPr="00204840" w:rsidRDefault="00204840" w:rsidP="00204840">
      <w:pPr>
        <w:spacing w:line="360" w:lineRule="auto"/>
        <w:jc w:val="both"/>
        <w:rPr>
          <w:rFonts w:ascii="Arial" w:hAnsi="Arial" w:cs="Arial"/>
          <w:sz w:val="24"/>
          <w:szCs w:val="24"/>
        </w:rPr>
      </w:pPr>
      <w:proofErr w:type="spellStart"/>
      <w:r w:rsidRPr="00204840">
        <w:rPr>
          <w:rFonts w:ascii="Arial" w:hAnsi="Arial" w:cs="Arial"/>
          <w:sz w:val="24"/>
          <w:szCs w:val="24"/>
        </w:rPr>
        <w:t>Walklate</w:t>
      </w:r>
      <w:proofErr w:type="spellEnd"/>
      <w:r w:rsidRPr="00204840">
        <w:rPr>
          <w:rFonts w:ascii="Arial" w:hAnsi="Arial" w:cs="Arial"/>
          <w:sz w:val="24"/>
          <w:szCs w:val="24"/>
        </w:rPr>
        <w:t xml:space="preserve">, S. &amp; </w:t>
      </w:r>
      <w:proofErr w:type="gramStart"/>
      <w:r w:rsidRPr="00204840">
        <w:rPr>
          <w:rFonts w:ascii="Arial" w:hAnsi="Arial" w:cs="Arial"/>
          <w:sz w:val="24"/>
          <w:szCs w:val="24"/>
        </w:rPr>
        <w:t>Fitz-Gibbon</w:t>
      </w:r>
      <w:proofErr w:type="gramEnd"/>
      <w:r w:rsidRPr="00204840">
        <w:rPr>
          <w:rFonts w:ascii="Arial" w:hAnsi="Arial" w:cs="Arial"/>
          <w:sz w:val="24"/>
          <w:szCs w:val="24"/>
        </w:rPr>
        <w:t xml:space="preserve">, K., 2023. </w:t>
      </w:r>
      <w:r w:rsidRPr="00204840">
        <w:rPr>
          <w:rFonts w:ascii="Arial" w:hAnsi="Arial" w:cs="Arial"/>
          <w:i/>
          <w:iCs/>
          <w:sz w:val="24"/>
          <w:szCs w:val="24"/>
        </w:rPr>
        <w:t>Critical criminology and vulnerability: Policy and practice implications.</w:t>
      </w:r>
      <w:r w:rsidRPr="00204840">
        <w:rPr>
          <w:rFonts w:ascii="Arial" w:hAnsi="Arial" w:cs="Arial"/>
          <w:sz w:val="24"/>
          <w:szCs w:val="24"/>
        </w:rPr>
        <w:t xml:space="preserve"> London: Routledge.</w:t>
      </w:r>
    </w:p>
    <w:p w14:paraId="2D0EC5EF" w14:textId="77777777" w:rsidR="00204840" w:rsidRPr="00204840" w:rsidRDefault="00204840" w:rsidP="00204840">
      <w:pPr>
        <w:spacing w:line="360" w:lineRule="auto"/>
        <w:jc w:val="both"/>
        <w:rPr>
          <w:rFonts w:ascii="Arial" w:hAnsi="Arial" w:cs="Arial"/>
          <w:sz w:val="24"/>
          <w:szCs w:val="24"/>
        </w:rPr>
      </w:pPr>
      <w:r w:rsidRPr="00204840">
        <w:rPr>
          <w:rFonts w:ascii="Arial" w:hAnsi="Arial" w:cs="Arial"/>
          <w:sz w:val="24"/>
          <w:szCs w:val="24"/>
        </w:rPr>
        <w:t xml:space="preserve">Walby, S., Towers, J. &amp; Francis, B., 2016. </w:t>
      </w:r>
      <w:r w:rsidRPr="00204840">
        <w:rPr>
          <w:rFonts w:ascii="Arial" w:hAnsi="Arial" w:cs="Arial"/>
          <w:i/>
          <w:iCs/>
          <w:sz w:val="24"/>
          <w:szCs w:val="24"/>
        </w:rPr>
        <w:t>The concept and measurement of violence against women and men.</w:t>
      </w:r>
      <w:r w:rsidRPr="00204840">
        <w:rPr>
          <w:rFonts w:ascii="Arial" w:hAnsi="Arial" w:cs="Arial"/>
          <w:sz w:val="24"/>
          <w:szCs w:val="24"/>
        </w:rPr>
        <w:t xml:space="preserve"> Bristol: Policy Press.</w:t>
      </w:r>
    </w:p>
    <w:p w14:paraId="2ACC2377" w14:textId="761F8B56" w:rsidR="00204840" w:rsidRPr="00204840" w:rsidRDefault="00204840" w:rsidP="00204840">
      <w:pPr>
        <w:spacing w:line="360" w:lineRule="auto"/>
        <w:jc w:val="both"/>
        <w:rPr>
          <w:rFonts w:ascii="Arial" w:hAnsi="Arial" w:cs="Arial"/>
          <w:sz w:val="24"/>
          <w:szCs w:val="24"/>
        </w:rPr>
      </w:pPr>
      <w:r w:rsidRPr="00204840">
        <w:rPr>
          <w:rFonts w:ascii="Arial" w:hAnsi="Arial" w:cs="Arial"/>
          <w:sz w:val="24"/>
          <w:szCs w:val="24"/>
        </w:rPr>
        <w:t xml:space="preserve">World Health Organization, 2022. </w:t>
      </w:r>
      <w:r w:rsidRPr="00204840">
        <w:rPr>
          <w:rFonts w:ascii="Arial" w:hAnsi="Arial" w:cs="Arial"/>
          <w:i/>
          <w:iCs/>
          <w:sz w:val="24"/>
          <w:szCs w:val="24"/>
        </w:rPr>
        <w:t>Alcohol, public health and crime: Global guidance.</w:t>
      </w:r>
      <w:r w:rsidRPr="00204840">
        <w:rPr>
          <w:rFonts w:ascii="Arial" w:hAnsi="Arial" w:cs="Arial"/>
          <w:sz w:val="24"/>
          <w:szCs w:val="24"/>
        </w:rPr>
        <w:t xml:space="preserve"> Geneva: WHO. Available at: </w:t>
      </w:r>
      <w:hyperlink r:id="rId31" w:tgtFrame="_new" w:history="1">
        <w:r w:rsidRPr="00204840">
          <w:rPr>
            <w:rStyle w:val="Hyperlink"/>
            <w:rFonts w:ascii="Arial" w:hAnsi="Arial" w:cs="Arial"/>
            <w:sz w:val="24"/>
            <w:szCs w:val="24"/>
          </w:rPr>
          <w:t>https://www.who.int/publications/i/item/9789240039397</w:t>
        </w:r>
      </w:hyperlink>
      <w:r w:rsidRPr="00204840">
        <w:rPr>
          <w:rFonts w:ascii="Arial" w:hAnsi="Arial" w:cs="Arial"/>
          <w:sz w:val="24"/>
          <w:szCs w:val="24"/>
        </w:rPr>
        <w:t xml:space="preserve"> [Accessed </w:t>
      </w:r>
      <w:r>
        <w:rPr>
          <w:rFonts w:ascii="Arial" w:hAnsi="Arial" w:cs="Arial"/>
          <w:sz w:val="24"/>
          <w:szCs w:val="24"/>
        </w:rPr>
        <w:t xml:space="preserve">13 April </w:t>
      </w:r>
      <w:r w:rsidRPr="00204840">
        <w:rPr>
          <w:rFonts w:ascii="Arial" w:hAnsi="Arial" w:cs="Arial"/>
          <w:sz w:val="24"/>
          <w:szCs w:val="24"/>
        </w:rPr>
        <w:t>2026].</w:t>
      </w:r>
    </w:p>
    <w:p w14:paraId="74794433" w14:textId="77777777" w:rsidR="00204840" w:rsidRPr="00204840" w:rsidRDefault="00204840" w:rsidP="00204840">
      <w:pPr>
        <w:spacing w:line="360" w:lineRule="auto"/>
        <w:jc w:val="both"/>
        <w:rPr>
          <w:rFonts w:ascii="Arial" w:hAnsi="Arial" w:cs="Arial"/>
          <w:sz w:val="24"/>
          <w:szCs w:val="24"/>
        </w:rPr>
      </w:pPr>
      <w:r w:rsidRPr="00204840">
        <w:rPr>
          <w:rFonts w:ascii="Arial" w:hAnsi="Arial" w:cs="Arial"/>
          <w:sz w:val="24"/>
          <w:szCs w:val="24"/>
        </w:rPr>
        <w:t xml:space="preserve">Young, J., 2011. </w:t>
      </w:r>
      <w:r w:rsidRPr="00204840">
        <w:rPr>
          <w:rFonts w:ascii="Arial" w:hAnsi="Arial" w:cs="Arial"/>
          <w:i/>
          <w:iCs/>
          <w:sz w:val="24"/>
          <w:szCs w:val="24"/>
        </w:rPr>
        <w:t>The criminological imagination.</w:t>
      </w:r>
      <w:r w:rsidRPr="00204840">
        <w:rPr>
          <w:rFonts w:ascii="Arial" w:hAnsi="Arial" w:cs="Arial"/>
          <w:sz w:val="24"/>
          <w:szCs w:val="24"/>
        </w:rPr>
        <w:t xml:space="preserve"> Cambridge: Polity.</w:t>
      </w:r>
    </w:p>
    <w:p w14:paraId="0F5FCD16" w14:textId="160291FE" w:rsidR="00BB2BA1" w:rsidRPr="00003E37" w:rsidRDefault="00BB2BA1" w:rsidP="27D6E02E">
      <w:pPr>
        <w:spacing w:line="360" w:lineRule="auto"/>
        <w:jc w:val="both"/>
        <w:rPr>
          <w:rFonts w:ascii="Arial" w:hAnsi="Arial" w:cs="Arial"/>
          <w:sz w:val="24"/>
          <w:szCs w:val="24"/>
        </w:rPr>
      </w:pPr>
    </w:p>
    <w:sectPr w:rsidR="00BB2BA1" w:rsidRPr="00003E37" w:rsidSect="00B304CC">
      <w:footerReference w:type="default" r:id="rId32"/>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0C0EFD7" w14:textId="77777777" w:rsidR="009F171E" w:rsidRDefault="009F171E" w:rsidP="00B304CC">
      <w:pPr>
        <w:spacing w:after="0" w:line="240" w:lineRule="auto"/>
      </w:pPr>
      <w:r>
        <w:separator/>
      </w:r>
    </w:p>
  </w:endnote>
  <w:endnote w:type="continuationSeparator" w:id="0">
    <w:p w14:paraId="66D948FE" w14:textId="77777777" w:rsidR="009F171E" w:rsidRDefault="009F171E" w:rsidP="00B304C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56398359"/>
      <w:docPartObj>
        <w:docPartGallery w:val="Page Numbers (Bottom of Page)"/>
        <w:docPartUnique/>
      </w:docPartObj>
    </w:sdtPr>
    <w:sdtEndPr>
      <w:rPr>
        <w:noProof/>
      </w:rPr>
    </w:sdtEndPr>
    <w:sdtContent>
      <w:p w14:paraId="324867F7" w14:textId="2A42829A" w:rsidR="00B304CC" w:rsidRDefault="00B304CC">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4535CD1" w14:textId="77777777" w:rsidR="00B304CC" w:rsidRDefault="00B304C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6100F09" w14:textId="77777777" w:rsidR="009F171E" w:rsidRDefault="009F171E" w:rsidP="00B304CC">
      <w:pPr>
        <w:spacing w:after="0" w:line="240" w:lineRule="auto"/>
      </w:pPr>
      <w:r>
        <w:separator/>
      </w:r>
    </w:p>
  </w:footnote>
  <w:footnote w:type="continuationSeparator" w:id="0">
    <w:p w14:paraId="50EED443" w14:textId="77777777" w:rsidR="009F171E" w:rsidRDefault="009F171E" w:rsidP="00B304C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A5C013B"/>
    <w:multiLevelType w:val="multilevel"/>
    <w:tmpl w:val="DAA8E9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51171E87"/>
    <w:multiLevelType w:val="multilevel"/>
    <w:tmpl w:val="B7E45A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56385AB7"/>
    <w:multiLevelType w:val="multilevel"/>
    <w:tmpl w:val="D47057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77AC5BE6"/>
    <w:multiLevelType w:val="multilevel"/>
    <w:tmpl w:val="8B861F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710522241">
    <w:abstractNumId w:val="1"/>
  </w:num>
  <w:num w:numId="2" w16cid:durableId="140536066">
    <w:abstractNumId w:val="2"/>
  </w:num>
  <w:num w:numId="3" w16cid:durableId="1582569102">
    <w:abstractNumId w:val="0"/>
  </w:num>
  <w:num w:numId="4" w16cid:durableId="197428772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E3565"/>
    <w:rsid w:val="00003E37"/>
    <w:rsid w:val="000E3565"/>
    <w:rsid w:val="00204840"/>
    <w:rsid w:val="00207AC5"/>
    <w:rsid w:val="003A6646"/>
    <w:rsid w:val="004C390C"/>
    <w:rsid w:val="00601303"/>
    <w:rsid w:val="00646F6E"/>
    <w:rsid w:val="00730B63"/>
    <w:rsid w:val="007524CA"/>
    <w:rsid w:val="008331E0"/>
    <w:rsid w:val="008363BA"/>
    <w:rsid w:val="008554F0"/>
    <w:rsid w:val="009F171E"/>
    <w:rsid w:val="00A01ACE"/>
    <w:rsid w:val="00AB2F92"/>
    <w:rsid w:val="00AE6E46"/>
    <w:rsid w:val="00B0136B"/>
    <w:rsid w:val="00B304CC"/>
    <w:rsid w:val="00BB2BA1"/>
    <w:rsid w:val="00C10AFC"/>
    <w:rsid w:val="00C8073A"/>
    <w:rsid w:val="00D75F90"/>
    <w:rsid w:val="00DF4305"/>
    <w:rsid w:val="00E91C2F"/>
    <w:rsid w:val="00EC312F"/>
    <w:rsid w:val="00FA421F"/>
    <w:rsid w:val="012303C0"/>
    <w:rsid w:val="019C9B90"/>
    <w:rsid w:val="03E9EE8A"/>
    <w:rsid w:val="03ED8EEF"/>
    <w:rsid w:val="03EE032D"/>
    <w:rsid w:val="04118C1B"/>
    <w:rsid w:val="0486B538"/>
    <w:rsid w:val="04C310DD"/>
    <w:rsid w:val="04D21E10"/>
    <w:rsid w:val="0526CEBB"/>
    <w:rsid w:val="07C4AF94"/>
    <w:rsid w:val="08D053F4"/>
    <w:rsid w:val="09B58684"/>
    <w:rsid w:val="09CE0CC1"/>
    <w:rsid w:val="0A258C4D"/>
    <w:rsid w:val="0AA8D0FF"/>
    <w:rsid w:val="0CEAA0FA"/>
    <w:rsid w:val="0DB78BE6"/>
    <w:rsid w:val="0F463A5C"/>
    <w:rsid w:val="11D3DAFD"/>
    <w:rsid w:val="14310409"/>
    <w:rsid w:val="149055A7"/>
    <w:rsid w:val="14F340C7"/>
    <w:rsid w:val="153DE6D9"/>
    <w:rsid w:val="161DF2C7"/>
    <w:rsid w:val="171DD1DC"/>
    <w:rsid w:val="18942059"/>
    <w:rsid w:val="1A2E07BA"/>
    <w:rsid w:val="1B0A6B92"/>
    <w:rsid w:val="1BF5123E"/>
    <w:rsid w:val="1C0AA65B"/>
    <w:rsid w:val="1C51ADF6"/>
    <w:rsid w:val="1CC3D501"/>
    <w:rsid w:val="1D4C29AE"/>
    <w:rsid w:val="1E93613D"/>
    <w:rsid w:val="1FD9D7B4"/>
    <w:rsid w:val="1FDB8462"/>
    <w:rsid w:val="212E1BD2"/>
    <w:rsid w:val="23742A06"/>
    <w:rsid w:val="2723FFE2"/>
    <w:rsid w:val="27D6E02E"/>
    <w:rsid w:val="2BC85F58"/>
    <w:rsid w:val="2C3CAB27"/>
    <w:rsid w:val="30719EE2"/>
    <w:rsid w:val="319E148A"/>
    <w:rsid w:val="333B7927"/>
    <w:rsid w:val="339AF3C6"/>
    <w:rsid w:val="370B35BA"/>
    <w:rsid w:val="39A397BA"/>
    <w:rsid w:val="3D27EFF5"/>
    <w:rsid w:val="3F2A224A"/>
    <w:rsid w:val="3FC27EEA"/>
    <w:rsid w:val="410E748A"/>
    <w:rsid w:val="42147DD4"/>
    <w:rsid w:val="428663BD"/>
    <w:rsid w:val="42B08CE6"/>
    <w:rsid w:val="43CA04DD"/>
    <w:rsid w:val="45DF01F0"/>
    <w:rsid w:val="470C4320"/>
    <w:rsid w:val="48BB30F8"/>
    <w:rsid w:val="4942387C"/>
    <w:rsid w:val="494B4D76"/>
    <w:rsid w:val="4AD70975"/>
    <w:rsid w:val="4B285D1E"/>
    <w:rsid w:val="4BA04183"/>
    <w:rsid w:val="4C5A46F7"/>
    <w:rsid w:val="4CFDE04D"/>
    <w:rsid w:val="4D487F37"/>
    <w:rsid w:val="4D980DDF"/>
    <w:rsid w:val="4E042FF2"/>
    <w:rsid w:val="525772C6"/>
    <w:rsid w:val="5385A27B"/>
    <w:rsid w:val="53BDA13E"/>
    <w:rsid w:val="57A73177"/>
    <w:rsid w:val="58709EC6"/>
    <w:rsid w:val="587AA130"/>
    <w:rsid w:val="59523F5F"/>
    <w:rsid w:val="5A49AAA1"/>
    <w:rsid w:val="5B937017"/>
    <w:rsid w:val="5C6E1BC8"/>
    <w:rsid w:val="5CF7E71E"/>
    <w:rsid w:val="5E33BE9B"/>
    <w:rsid w:val="5F001109"/>
    <w:rsid w:val="5FEDF075"/>
    <w:rsid w:val="606AE53E"/>
    <w:rsid w:val="61AA6FEC"/>
    <w:rsid w:val="6369A4B9"/>
    <w:rsid w:val="63D99A4D"/>
    <w:rsid w:val="64198698"/>
    <w:rsid w:val="6460D571"/>
    <w:rsid w:val="6690E5F9"/>
    <w:rsid w:val="66D0E444"/>
    <w:rsid w:val="66FA1843"/>
    <w:rsid w:val="6706C116"/>
    <w:rsid w:val="67F83F1C"/>
    <w:rsid w:val="680F042A"/>
    <w:rsid w:val="68C0836D"/>
    <w:rsid w:val="6904D014"/>
    <w:rsid w:val="6948E9FB"/>
    <w:rsid w:val="699E3765"/>
    <w:rsid w:val="69A8C51B"/>
    <w:rsid w:val="6A706AF8"/>
    <w:rsid w:val="6B3FB7E7"/>
    <w:rsid w:val="6C370EED"/>
    <w:rsid w:val="6C9E705C"/>
    <w:rsid w:val="6E0798C9"/>
    <w:rsid w:val="6E43D3D5"/>
    <w:rsid w:val="6E903A1F"/>
    <w:rsid w:val="70EB97A6"/>
    <w:rsid w:val="75288702"/>
    <w:rsid w:val="75D14D52"/>
    <w:rsid w:val="76DC1ABD"/>
    <w:rsid w:val="7770DCE1"/>
    <w:rsid w:val="7841CDBF"/>
    <w:rsid w:val="78C5F9A0"/>
    <w:rsid w:val="79E625DE"/>
    <w:rsid w:val="7B001737"/>
    <w:rsid w:val="7BC76576"/>
    <w:rsid w:val="7BEC8344"/>
    <w:rsid w:val="7C140444"/>
    <w:rsid w:val="7C686ABF"/>
    <w:rsid w:val="7D1A9B00"/>
    <w:rsid w:val="7D69CD9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EC30AB"/>
  <w15:chartTrackingRefBased/>
  <w15:docId w15:val="{4D86D274-E77C-400D-A0F8-3225F05B01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E356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E356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E356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E356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E356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E356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E356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E356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E356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E356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E356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E356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E356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E356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E356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E356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E356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E3565"/>
    <w:rPr>
      <w:rFonts w:eastAsiaTheme="majorEastAsia" w:cstheme="majorBidi"/>
      <w:color w:val="272727" w:themeColor="text1" w:themeTint="D8"/>
    </w:rPr>
  </w:style>
  <w:style w:type="paragraph" w:styleId="Title">
    <w:name w:val="Title"/>
    <w:basedOn w:val="Normal"/>
    <w:next w:val="Normal"/>
    <w:link w:val="TitleChar"/>
    <w:uiPriority w:val="10"/>
    <w:qFormat/>
    <w:rsid w:val="000E356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E356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E356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E356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E3565"/>
    <w:pPr>
      <w:spacing w:before="160"/>
      <w:jc w:val="center"/>
    </w:pPr>
    <w:rPr>
      <w:i/>
      <w:iCs/>
      <w:color w:val="404040" w:themeColor="text1" w:themeTint="BF"/>
    </w:rPr>
  </w:style>
  <w:style w:type="character" w:customStyle="1" w:styleId="QuoteChar">
    <w:name w:val="Quote Char"/>
    <w:basedOn w:val="DefaultParagraphFont"/>
    <w:link w:val="Quote"/>
    <w:uiPriority w:val="29"/>
    <w:rsid w:val="000E3565"/>
    <w:rPr>
      <w:i/>
      <w:iCs/>
      <w:color w:val="404040" w:themeColor="text1" w:themeTint="BF"/>
    </w:rPr>
  </w:style>
  <w:style w:type="paragraph" w:styleId="ListParagraph">
    <w:name w:val="List Paragraph"/>
    <w:basedOn w:val="Normal"/>
    <w:uiPriority w:val="34"/>
    <w:qFormat/>
    <w:rsid w:val="000E3565"/>
    <w:pPr>
      <w:ind w:left="720"/>
      <w:contextualSpacing/>
    </w:pPr>
  </w:style>
  <w:style w:type="character" w:styleId="IntenseEmphasis">
    <w:name w:val="Intense Emphasis"/>
    <w:basedOn w:val="DefaultParagraphFont"/>
    <w:uiPriority w:val="21"/>
    <w:qFormat/>
    <w:rsid w:val="000E3565"/>
    <w:rPr>
      <w:i/>
      <w:iCs/>
      <w:color w:val="0F4761" w:themeColor="accent1" w:themeShade="BF"/>
    </w:rPr>
  </w:style>
  <w:style w:type="paragraph" w:styleId="IntenseQuote">
    <w:name w:val="Intense Quote"/>
    <w:basedOn w:val="Normal"/>
    <w:next w:val="Normal"/>
    <w:link w:val="IntenseQuoteChar"/>
    <w:uiPriority w:val="30"/>
    <w:qFormat/>
    <w:rsid w:val="000E356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E3565"/>
    <w:rPr>
      <w:i/>
      <w:iCs/>
      <w:color w:val="0F4761" w:themeColor="accent1" w:themeShade="BF"/>
    </w:rPr>
  </w:style>
  <w:style w:type="character" w:styleId="IntenseReference">
    <w:name w:val="Intense Reference"/>
    <w:basedOn w:val="DefaultParagraphFont"/>
    <w:uiPriority w:val="32"/>
    <w:qFormat/>
    <w:rsid w:val="000E3565"/>
    <w:rPr>
      <w:b/>
      <w:bCs/>
      <w:smallCaps/>
      <w:color w:val="0F4761" w:themeColor="accent1" w:themeShade="BF"/>
      <w:spacing w:val="5"/>
    </w:rPr>
  </w:style>
  <w:style w:type="paragraph" w:styleId="NormalWeb">
    <w:name w:val="Normal (Web)"/>
    <w:basedOn w:val="Normal"/>
    <w:uiPriority w:val="99"/>
    <w:semiHidden/>
    <w:unhideWhenUsed/>
    <w:rsid w:val="000E3565"/>
    <w:rPr>
      <w:rFonts w:ascii="Times New Roman" w:hAnsi="Times New Roman" w:cs="Times New Roman"/>
      <w:sz w:val="24"/>
      <w:szCs w:val="24"/>
    </w:rPr>
  </w:style>
  <w:style w:type="paragraph" w:styleId="NoSpacing">
    <w:name w:val="No Spacing"/>
    <w:link w:val="NoSpacingChar"/>
    <w:uiPriority w:val="1"/>
    <w:qFormat/>
    <w:rsid w:val="00B304CC"/>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B304CC"/>
    <w:rPr>
      <w:rFonts w:eastAsiaTheme="minorEastAsia"/>
      <w:kern w:val="0"/>
      <w:lang w:val="en-US"/>
      <w14:ligatures w14:val="none"/>
    </w:rPr>
  </w:style>
  <w:style w:type="paragraph" w:styleId="Header">
    <w:name w:val="header"/>
    <w:basedOn w:val="Normal"/>
    <w:link w:val="HeaderChar"/>
    <w:uiPriority w:val="99"/>
    <w:unhideWhenUsed/>
    <w:rsid w:val="00B304CC"/>
    <w:pPr>
      <w:tabs>
        <w:tab w:val="center" w:pos="4513"/>
        <w:tab w:val="right" w:pos="9026"/>
      </w:tabs>
      <w:spacing w:after="0" w:line="240" w:lineRule="auto"/>
    </w:pPr>
  </w:style>
  <w:style w:type="character" w:customStyle="1" w:styleId="HeaderChar">
    <w:name w:val="Header Char"/>
    <w:basedOn w:val="DefaultParagraphFont"/>
    <w:link w:val="Header"/>
    <w:uiPriority w:val="99"/>
    <w:rsid w:val="00B304CC"/>
  </w:style>
  <w:style w:type="paragraph" w:styleId="Footer">
    <w:name w:val="footer"/>
    <w:basedOn w:val="Normal"/>
    <w:link w:val="FooterChar"/>
    <w:uiPriority w:val="99"/>
    <w:unhideWhenUsed/>
    <w:rsid w:val="00B304CC"/>
    <w:pPr>
      <w:tabs>
        <w:tab w:val="center" w:pos="4513"/>
        <w:tab w:val="right" w:pos="9026"/>
      </w:tabs>
      <w:spacing w:after="0" w:line="240" w:lineRule="auto"/>
    </w:pPr>
  </w:style>
  <w:style w:type="character" w:customStyle="1" w:styleId="FooterChar">
    <w:name w:val="Footer Char"/>
    <w:basedOn w:val="DefaultParagraphFont"/>
    <w:link w:val="Footer"/>
    <w:uiPriority w:val="99"/>
    <w:rsid w:val="00B304CC"/>
  </w:style>
  <w:style w:type="paragraph" w:customStyle="1" w:styleId="paragraph">
    <w:name w:val="paragraph"/>
    <w:basedOn w:val="Normal"/>
    <w:rsid w:val="00730B63"/>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customStyle="1" w:styleId="normaltextrun">
    <w:name w:val="normaltextrun"/>
    <w:basedOn w:val="DefaultParagraphFont"/>
    <w:rsid w:val="00730B63"/>
  </w:style>
  <w:style w:type="character" w:customStyle="1" w:styleId="eop">
    <w:name w:val="eop"/>
    <w:basedOn w:val="DefaultParagraphFont"/>
    <w:rsid w:val="00730B63"/>
  </w:style>
  <w:style w:type="character" w:styleId="Hyperlink">
    <w:name w:val="Hyperlink"/>
    <w:basedOn w:val="DefaultParagraphFont"/>
    <w:uiPriority w:val="99"/>
    <w:unhideWhenUsed/>
    <w:rsid w:val="0AA8D0FF"/>
    <w:rPr>
      <w:color w:val="467886"/>
      <w:u w:val="single"/>
    </w:rPr>
  </w:style>
  <w:style w:type="character" w:styleId="UnresolvedMention">
    <w:name w:val="Unresolved Mention"/>
    <w:basedOn w:val="DefaultParagraphFont"/>
    <w:uiPriority w:val="99"/>
    <w:semiHidden/>
    <w:unhideWhenUsed/>
    <w:rsid w:val="00D75F90"/>
    <w:rPr>
      <w:color w:val="605E5C"/>
      <w:shd w:val="clear" w:color="auto" w:fill="E1DFDD"/>
    </w:r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aic.gov.au/publications/youth-justice" TargetMode="External"/><Relationship Id="rId18" Type="http://schemas.openxmlformats.org/officeDocument/2006/relationships/hyperlink" Target="https://www.justiceinspectorates.gov.uk/hmicfrs/reports/" TargetMode="External"/><Relationship Id="rId26" Type="http://schemas.openxmlformats.org/officeDocument/2006/relationships/hyperlink" Target="https://www.ons.gov.uk/peoplepopulationandcommunity/crimeandjustice" TargetMode="External"/><Relationship Id="rId3" Type="http://schemas.openxmlformats.org/officeDocument/2006/relationships/customXml" Target="../customXml/item3.xml"/><Relationship Id="rId21" Type="http://schemas.openxmlformats.org/officeDocument/2006/relationships/hyperlink" Target="https://www.lawsociety.org.uk/topics/reports/access-to-justice-for-vulnerable-victims" TargetMode="External"/><Relationship Id="rId34" Type="http://schemas.openxmlformats.org/officeDocument/2006/relationships/theme" Target="theme/theme1.xml"/><Relationship Id="rId7" Type="http://schemas.openxmlformats.org/officeDocument/2006/relationships/webSettings" Target="webSettings.xml"/><Relationship Id="rId12" Type="http://schemas.openxmlformats.org/officeDocument/2006/relationships/hyperlink" Target="https://www.ageuk.org.uk/information-advice/health-wellbeing/abuse-neglect/" TargetMode="External"/><Relationship Id="rId17" Type="http://schemas.openxmlformats.org/officeDocument/2006/relationships/hyperlink" Target="https://www.gov.uk/government/publications/child-victims-of-exploitation" TargetMode="External"/><Relationship Id="rId25" Type="http://schemas.openxmlformats.org/officeDocument/2006/relationships/hyperlink" Target="https://www.nspcc.org.uk/preventing-abuse/child-protection/" TargetMode="External"/><Relationship Id="rId33"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www.emcdda.europa.eu/publications" TargetMode="External"/><Relationship Id="rId20" Type="http://schemas.openxmlformats.org/officeDocument/2006/relationships/hyperlink" Target="https://committees.parliament.uk/publications/39910/documents/194384/default/" TargetMode="External"/><Relationship Id="rId29" Type="http://schemas.openxmlformats.org/officeDocument/2006/relationships/hyperlink" Target="https://www.stonewall.org.uk/resources/lgbtq-experiences-crime-and-justice"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gov.uk/government/publications/acmd-reducing-drug-related-harms" TargetMode="External"/><Relationship Id="rId24" Type="http://schemas.openxmlformats.org/officeDocument/2006/relationships/hyperlink" Target="https://www.england.nhs.uk/justice-health/liaison-and-diversion/" TargetMode="External"/><Relationship Id="rId32" Type="http://schemas.openxmlformats.org/officeDocument/2006/relationships/footer" Target="footer1.xml"/><Relationship Id="rId5" Type="http://schemas.openxmlformats.org/officeDocument/2006/relationships/styles" Target="styles.xml"/><Relationship Id="rId15" Type="http://schemas.openxmlformats.org/officeDocument/2006/relationships/hyperlink" Target="https://www.cps.gov.uk/publications/annual-report-victims" TargetMode="External"/><Relationship Id="rId23" Type="http://schemas.openxmlformats.org/officeDocument/2006/relationships/hyperlink" Target="https://www.nao.org.uk/report/geographic-disparities-in-rehabilitation/" TargetMode="External"/><Relationship Id="rId28" Type="http://schemas.openxmlformats.org/officeDocument/2006/relationships/hyperlink" Target="https://www.gov.uk/government/publications/substance-misuse-and-victimisation" TargetMode="External"/><Relationship Id="rId10" Type="http://schemas.openxmlformats.org/officeDocument/2006/relationships/image" Target="media/image1.png"/><Relationship Id="rId19" Type="http://schemas.openxmlformats.org/officeDocument/2006/relationships/hyperlink" Target="https://www.gov.uk/government/statistics/stop-and-search" TargetMode="External"/><Relationship Id="rId31" Type="http://schemas.openxmlformats.org/officeDocument/2006/relationships/hyperlink" Target="https://www.who.int/publications/i/item/9789240039397"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ccsa.ca/harm-reduction-and-drug-policy" TargetMode="External"/><Relationship Id="rId22" Type="http://schemas.openxmlformats.org/officeDocument/2006/relationships/hyperlink" Target="https://www.gov.uk/government/publications/victims-code-evaluation" TargetMode="External"/><Relationship Id="rId27" Type="http://schemas.openxmlformats.org/officeDocument/2006/relationships/hyperlink" Target="https://www.prisonreformtrust.org.uk/projects/mental-health" TargetMode="External"/><Relationship Id="rId30" Type="http://schemas.openxmlformats.org/officeDocument/2006/relationships/hyperlink" Target="https://victimscommissioner.org.uk/publication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C692D30F6D5C64CABDFF0BDF08A3501" ma:contentTypeVersion="6" ma:contentTypeDescription="Create a new document." ma:contentTypeScope="" ma:versionID="63c4ed9d1c96b4547591d2a99834e5a1">
  <xsd:schema xmlns:xsd="http://www.w3.org/2001/XMLSchema" xmlns:xs="http://www.w3.org/2001/XMLSchema" xmlns:p="http://schemas.microsoft.com/office/2006/metadata/properties" xmlns:ns2="f4770729-68ee-4e1e-a757-d7b8c23c3985" xmlns:ns3="c9669272-fe8d-41e9-a030-a18459a136e8" targetNamespace="http://schemas.microsoft.com/office/2006/metadata/properties" ma:root="true" ma:fieldsID="ec9d2419d8112ea65b4d72f9d1bf8adf" ns2:_="" ns3:_="">
    <xsd:import namespace="f4770729-68ee-4e1e-a757-d7b8c23c3985"/>
    <xsd:import namespace="c9669272-fe8d-41e9-a030-a18459a136e8"/>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4770729-68ee-4e1e-a757-d7b8c23c398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9669272-fe8d-41e9-a030-a18459a136e8"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83BA2B37-68E4-4DA9-B26C-375FF449C53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4770729-68ee-4e1e-a757-d7b8c23c3985"/>
    <ds:schemaRef ds:uri="c9669272-fe8d-41e9-a030-a18459a136e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1A457B7-F16E-4333-AA5D-29F08E8304F2}">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F4E1CBA2-33B2-4137-9FF4-9CCF88F0A6D1}">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19</Pages>
  <Words>6434</Words>
  <Characters>36676</Characters>
  <Application>Microsoft Office Word</Application>
  <DocSecurity>0</DocSecurity>
  <Lines>305</Lines>
  <Paragraphs>86</Paragraphs>
  <ScaleCrop>false</ScaleCrop>
  <Company/>
  <LinksUpToDate>false</LinksUpToDate>
  <CharactersWithSpaces>43024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Module:	Contemporary Issues in Criminal Justice Module code:	BMCJ7005D</dc:subject>
  <dc:creator>Ceri Marie Jones (1806930)</dc:creator>
  <cp:keywords/>
  <dc:description/>
  <cp:lastModifiedBy>Ceri Marie Jones (1806930)</cp:lastModifiedBy>
  <cp:revision>2</cp:revision>
  <dcterms:created xsi:type="dcterms:W3CDTF">2026-04-22T18:23:00Z</dcterms:created>
  <dcterms:modified xsi:type="dcterms:W3CDTF">2026-04-22T18:23:00Z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acd91979-b71d-4d85-904d-439dfd49e0d5</vt:lpwstr>
  </property>
  <property fmtid="{D5CDD505-2E9C-101B-9397-08002B2CF9AE}" pid="3" name="ContentTypeId">
    <vt:lpwstr>0x0101008C692D30F6D5C64CABDFF0BDF08A3501</vt:lpwstr>
  </property>
</Properties>
</file>