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157"/>
        <w:spacing w:before="1540" w:after="240"/>
        <w:jc w:val="center"/>
        <w:rPr>
          <w:color w:val="4472c4"/>
        </w:rPr>
      </w:pPr>
      <w:r>
        <w:rPr>
          <w:noProof/>
          <w:color w:val="4472c4"/>
        </w:rPr>
        <w:drawing>
          <wp:inline distL="0" distT="0" distB="0" distR="0">
            <wp:extent cx="1417320" cy="750898"/>
            <wp:effectExtent l="0" t="0" r="0" b="0"/>
            <wp:docPr id="1026" name="Picture 14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43"/>
                    <pic:cNvPicPr/>
                  </pic:nvPicPr>
                  <pic:blipFill>
                    <a:blip r:embed="rId2" cstate="print">
                      <a:duotone>
                        <a:srgbClr val="1f4a97"/>
                        <a:srgbClr val="ffffff"/>
                      </a:duotone>
                    </a:blip>
                    <a:srcRect l="0" t="0" r="0" b="0"/>
                    <a:stretch/>
                  </pic:blipFill>
                  <pic:spPr>
                    <a:xfrm rot="0">
                      <a:off x="0" y="0"/>
                      <a:ext cx="1417320" cy="750898"/>
                    </a:xfrm>
                    <a:prstGeom prst="rect"/>
                    <a:ln>
                      <a:noFill/>
                    </a:ln>
                  </pic:spPr>
                </pic:pic>
              </a:graphicData>
            </a:graphic>
          </wp:inline>
        </w:drawing>
      </w:r>
    </w:p>
    <w:p>
      <w:pPr>
        <w:pStyle w:val="style157"/>
        <w:pBdr>
          <w:top w:val="single" w:sz="6" w:space="6" w:color="4472c4"/>
          <w:bottom w:val="single" w:sz="6" w:space="6" w:color="4472c4"/>
        </w:pBdr>
        <w:spacing w:after="240"/>
        <w:jc w:val="center"/>
        <w:rPr>
          <w:rFonts w:ascii="Calibri Light" w:cs="宋体" w:eastAsia="宋体" w:hAnsi="Calibri Light"/>
          <w:caps/>
          <w:color w:val="4472c4"/>
          <w:sz w:val="80"/>
          <w:szCs w:val="80"/>
        </w:rPr>
      </w:pPr>
      <w:r>
        <w:rPr>
          <w:rFonts w:ascii="Calibri Light" w:cs="宋体" w:eastAsia="宋体" w:hAnsi="Calibri Light"/>
          <w:caps/>
          <w:color w:val="4472c4"/>
          <w:sz w:val="72"/>
          <w:szCs w:val="72"/>
        </w:rPr>
        <w:t>lcbb6002 international financial management: assignment 1</w:t>
      </w:r>
    </w:p>
    <w:p>
      <w:pPr>
        <w:pStyle w:val="style157"/>
        <w:jc w:val="left"/>
        <w:rPr>
          <w:color w:val="4472c4"/>
          <w:sz w:val="28"/>
          <w:szCs w:val="28"/>
        </w:rPr>
      </w:pPr>
    </w:p>
    <w:p>
      <w:pPr>
        <w:pStyle w:val="style157"/>
        <w:spacing w:before="480"/>
        <w:jc w:val="center"/>
        <w:rPr>
          <w:color w:val="4472c4"/>
        </w:rPr>
      </w:pPr>
      <w:r>
        <w:rPr>
          <w:noProof/>
          <w:color w:val="4472c4"/>
        </w:rPr>
        <mc:AlternateContent>
          <mc:Choice Requires="wps">
            <w:drawing>
              <wp:anchor distT="0" distB="0" distL="0" distR="0" simplePos="false" relativeHeight="2" behindDoc="false" locked="false" layoutInCell="true" allowOverlap="true">
                <wp:simplePos x="0" y="0"/>
                <wp:positionH relativeFrom="margin">
                  <wp:align>center</wp:align>
                </wp:positionH>
                <wp:positionV relativeFrom="page">
                  <wp14:pctPosVOffset>85000</wp14:pctPosVOffset>
                </wp:positionV>
                <wp:extent cx="6553200" cy="557784"/>
                <wp:effectExtent l="0" t="0" r="0" b="12700"/>
                <wp:wrapNone/>
                <wp:docPr id="1027" name="Text Box 14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553200" cy="557784"/>
                        </a:xfrm>
                        <a:prstGeom prst="rect"/>
                        <a:ln>
                          <a:noFill/>
                        </a:ln>
                      </wps:spPr>
                      <wps:txbx id="1027">
                        <w:txbxContent>
                          <w:p>
                            <w:pPr>
                              <w:pStyle w:val="style157"/>
                              <w:spacing w:after="40"/>
                              <w:jc w:val="center"/>
                              <w:rPr>
                                <w:caps/>
                                <w:color w:val="4472c4"/>
                                <w:sz w:val="28"/>
                                <w:szCs w:val="28"/>
                              </w:rPr>
                            </w:pPr>
                            <w:r>
                              <w:rPr>
                                <w:caps/>
                                <w:color w:val="4472c4"/>
                                <w:sz w:val="28"/>
                                <w:szCs w:val="28"/>
                              </w:rPr>
                              <w:t xml:space="preserve">student id: </w:t>
                            </w:r>
                            <w:r>
                              <w:t xml:space="preserve"> </w:t>
                            </w:r>
                            <w:r>
                              <w:rPr>
                                <w:caps/>
                                <w:color w:val="4472c4"/>
                                <w:sz w:val="28"/>
                                <w:szCs w:val="28"/>
                              </w:rPr>
                              <w:t>1916961</w:t>
                            </w:r>
                          </w:p>
                          <w:p>
                            <w:pPr>
                              <w:pStyle w:val="style157"/>
                              <w:jc w:val="center"/>
                              <w:rPr>
                                <w:color w:val="4472c4"/>
                              </w:rPr>
                            </w:pPr>
                            <w:r>
                              <w:rPr>
                                <w:caps/>
                                <w:color w:val="4472c4"/>
                              </w:rPr>
                              <w:t>student name:</w:t>
                            </w:r>
                            <w:r>
                              <w:rPr>
                                <w:caps/>
                                <w:color w:val="4472c4"/>
                              </w:rPr>
                              <w:t xml:space="preserve"> </w:t>
                            </w:r>
                            <w:r>
                              <w:rPr>
                                <w:caps/>
                                <w:color w:val="4472c4"/>
                              </w:rPr>
                              <w:t>Angel Rachev</w:t>
                            </w:r>
                          </w:p>
                        </w:txbxContent>
                      </wps:txbx>
                      <wps:bodyPr lIns="0" rIns="0" tIns="0" bIns="0" vert="horz" anchor="b" wrap="square">
                        <a:prstTxWarp prst="textNoShape"/>
                        <a:spAutoFit/>
                      </wps:bodyPr>
                    </wps:wsp>
                  </a:graphicData>
                </a:graphic>
                <wp14:sizeRelH relativeFrom="margin">
                  <wp14:pctWidth>100000</wp14:pctWidth>
                </wp14:sizeRelH>
                <wp14:sizeRelV relativeFrom="margin">
                  <wp14:pctHeight>0</wp14:pctHeight>
                </wp14:sizeRelV>
              </wp:anchor>
            </w:drawing>
          </mc:Choice>
          <mc:Fallback>
            <w:pict>
              <v:rect id="1027" filled="f" stroked="f" style="position:absolute;margin-left:0.0pt;margin-top:0.0pt;width:516.0pt;height:43.92pt;z-index:2;mso-top-percent:850;mso-position-horizontal:center;mso-position-horizontal-relative:margin;mso-position-vertical-relative:page;mso-width-percent:1000;mso-height-percent:0;mso-width-relative:margin;mso-height-relative:margin;mso-wrap-distance-left:0.0pt;mso-wrap-distance-right:0.0pt;visibility:visible;v-text-anchor:bottom;">
                <v:stroke on="f" weight="0.5pt"/>
                <v:fill/>
                <v:textbox inset="0.0pt,0.0pt,0.0pt,0.0pt" style="mso-fit-shape-to-text:true;">
                  <w:txbxContent>
                    <w:p>
                      <w:pPr>
                        <w:pStyle w:val="style157"/>
                        <w:spacing w:after="40"/>
                        <w:jc w:val="center"/>
                        <w:rPr>
                          <w:caps/>
                          <w:color w:val="4472c4"/>
                          <w:sz w:val="28"/>
                          <w:szCs w:val="28"/>
                        </w:rPr>
                      </w:pPr>
                      <w:r>
                        <w:rPr>
                          <w:caps/>
                          <w:color w:val="4472c4"/>
                          <w:sz w:val="28"/>
                          <w:szCs w:val="28"/>
                        </w:rPr>
                        <w:t xml:space="preserve">student id: </w:t>
                      </w:r>
                      <w:r>
                        <w:t xml:space="preserve"> </w:t>
                      </w:r>
                      <w:r>
                        <w:rPr>
                          <w:caps/>
                          <w:color w:val="4472c4"/>
                          <w:sz w:val="28"/>
                          <w:szCs w:val="28"/>
                        </w:rPr>
                        <w:t>1916961</w:t>
                      </w:r>
                    </w:p>
                    <w:p>
                      <w:pPr>
                        <w:pStyle w:val="style157"/>
                        <w:jc w:val="center"/>
                        <w:rPr>
                          <w:color w:val="4472c4"/>
                        </w:rPr>
                      </w:pPr>
                      <w:r>
                        <w:rPr>
                          <w:caps/>
                          <w:color w:val="4472c4"/>
                        </w:rPr>
                        <w:t>student name:</w:t>
                      </w:r>
                      <w:r>
                        <w:rPr>
                          <w:caps/>
                          <w:color w:val="4472c4"/>
                        </w:rPr>
                        <w:t xml:space="preserve"> </w:t>
                      </w:r>
                      <w:r>
                        <w:rPr>
                          <w:caps/>
                          <w:color w:val="4472c4"/>
                        </w:rPr>
                        <w:t>Angel Rachev</w:t>
                      </w:r>
                    </w:p>
                  </w:txbxContent>
                </v:textbox>
              </v:rect>
            </w:pict>
          </mc:Fallback>
        </mc:AlternateContent>
      </w:r>
      <w:r>
        <w:rPr>
          <w:noProof/>
          <w:color w:val="4472c4"/>
        </w:rPr>
        <w:drawing>
          <wp:inline distL="0" distT="0" distB="0" distR="0">
            <wp:extent cx="758952" cy="478932"/>
            <wp:effectExtent l="0" t="0" r="3175" b="0"/>
            <wp:docPr id="1028" name="Picture 14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44"/>
                    <pic:cNvPicPr/>
                  </pic:nvPicPr>
                  <pic:blipFill>
                    <a:blip r:embed="rId3" cstate="print">
                      <a:duotone>
                        <a:srgbClr val="1f4a97"/>
                        <a:srgbClr val="ffffff"/>
                      </a:duotone>
                    </a:blip>
                    <a:srcRect l="0" t="0" r="0" b="0"/>
                    <a:stretch/>
                  </pic:blipFill>
                  <pic:spPr>
                    <a:xfrm rot="0">
                      <a:off x="0" y="0"/>
                      <a:ext cx="758952" cy="478932"/>
                    </a:xfrm>
                    <a:prstGeom prst="rect"/>
                  </pic:spPr>
                </pic:pic>
              </a:graphicData>
            </a:graphic>
          </wp:inline>
        </w:drawing>
      </w:r>
    </w:p>
    <w:p>
      <w:pPr>
        <w:pStyle w:val="style0"/>
        <w:spacing w:after="0" w:lineRule="auto" w:line="240"/>
        <w:rPr/>
      </w:pPr>
      <w:r>
        <w:br w:type="page"/>
      </w:r>
    </w:p>
    <w:p>
      <w:pPr>
        <w:pStyle w:val="style266"/>
        <w:rPr/>
      </w:pPr>
      <w:r>
        <w:t>Table of Contents</w:t>
      </w:r>
    </w:p>
    <w:p>
      <w:pPr>
        <w:pStyle w:val="style19"/>
        <w:tabs>
          <w:tab w:val="right" w:leader="dot" w:pos="9016"/>
        </w:tabs>
        <w:rPr>
          <w:rFonts w:cs="宋体" w:eastAsia="宋体"/>
          <w:b w:val="false"/>
          <w:bCs w:val="false"/>
          <w:i w:val="false"/>
          <w:iCs w:val="false"/>
          <w:noProof/>
          <w:lang w:eastAsia="en-GB"/>
        </w:rPr>
      </w:pPr>
      <w:r>
        <w:rPr>
          <w:b w:val="false"/>
          <w:bCs w:val="false"/>
        </w:rPr>
        <w:fldChar w:fldCharType="begin"/>
      </w:r>
      <w:r>
        <w:instrText xml:space="preserve"> TOC \o "1-3" \h \z \u </w:instrText>
      </w:r>
      <w:r>
        <w:rPr>
          <w:b w:val="false"/>
          <w:bCs w:val="false"/>
        </w:rPr>
        <w:fldChar w:fldCharType="separate"/>
      </w:r>
      <w:r>
        <w:rPr/>
        <w:fldChar w:fldCharType="begin"/>
      </w:r>
      <w:r>
        <w:instrText xml:space="preserve"> HYPERLINK \l "_Toc102506399"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_Toc102506399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"_Toc102506400" </w:instrText>
      </w:r>
      <w:r>
        <w:rPr/>
        <w:fldChar w:fldCharType="separate"/>
      </w:r>
      <w:r>
        <w:rPr>
          <w:rStyle w:val="style85"/>
          <w:noProof/>
        </w:rPr>
        <w:t>International Financial Management Overview</w:t>
      </w:r>
      <w:r>
        <w:rPr>
          <w:noProof/>
          <w:webHidden/>
        </w:rPr>
        <w:tab/>
      </w:r>
      <w:r>
        <w:rPr>
          <w:noProof/>
          <w:webHidden/>
        </w:rPr>
        <w:fldChar w:fldCharType="begin"/>
      </w:r>
      <w:r>
        <w:rPr>
          <w:noProof/>
          <w:webHidden/>
        </w:rPr>
        <w:instrText xml:space="preserve"> PAGEREF _Toc102506400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"_Toc102506401" </w:instrText>
      </w:r>
      <w:r>
        <w:rPr/>
        <w:fldChar w:fldCharType="separate"/>
      </w:r>
      <w:r>
        <w:rPr>
          <w:rStyle w:val="style85"/>
          <w:noProof/>
        </w:rPr>
        <w:t>Nestle Organisation Overview</w:t>
      </w:r>
      <w:r>
        <w:rPr>
          <w:noProof/>
          <w:webHidden/>
        </w:rPr>
        <w:tab/>
      </w:r>
      <w:r>
        <w:rPr>
          <w:noProof/>
          <w:webHidden/>
        </w:rPr>
        <w:fldChar w:fldCharType="begin"/>
      </w:r>
      <w:r>
        <w:rPr>
          <w:noProof/>
          <w:webHidden/>
        </w:rPr>
        <w:instrText xml:space="preserve"> PAGEREF _Toc102506401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"_Toc102506402" </w:instrText>
      </w:r>
      <w:r>
        <w:rPr/>
        <w:fldChar w:fldCharType="separate"/>
      </w:r>
      <w:r>
        <w:rPr>
          <w:rStyle w:val="style85"/>
          <w:noProof/>
        </w:rPr>
        <w:t>Application of International Financial Management in Nestle</w:t>
      </w:r>
      <w:r>
        <w:rPr>
          <w:noProof/>
          <w:webHidden/>
        </w:rPr>
        <w:tab/>
      </w:r>
      <w:r>
        <w:rPr>
          <w:noProof/>
          <w:webHidden/>
        </w:rPr>
        <w:fldChar w:fldCharType="begin"/>
      </w:r>
      <w:r>
        <w:rPr>
          <w:noProof/>
          <w:webHidden/>
        </w:rPr>
        <w:instrText xml:space="preserve"> PAGEREF _Toc102506402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"_Toc102506403" </w:instrText>
      </w:r>
      <w:r>
        <w:rPr/>
        <w:fldChar w:fldCharType="separate"/>
      </w:r>
      <w:r>
        <w:rPr>
          <w:rStyle w:val="style85"/>
          <w:noProof/>
        </w:rPr>
        <w:t>Importance of International Financial Management in Nestle</w:t>
      </w:r>
      <w:r>
        <w:rPr>
          <w:noProof/>
          <w:webHidden/>
        </w:rPr>
        <w:tab/>
      </w:r>
      <w:r>
        <w:rPr>
          <w:noProof/>
          <w:webHidden/>
        </w:rPr>
        <w:fldChar w:fldCharType="begin"/>
      </w:r>
      <w:r>
        <w:rPr>
          <w:noProof/>
          <w:webHidden/>
        </w:rPr>
        <w:instrText xml:space="preserve"> PAGEREF _Toc102506403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"_Toc102506404" </w:instrText>
      </w:r>
      <w:r>
        <w:rPr/>
        <w:fldChar w:fldCharType="separate"/>
      </w:r>
      <w:r>
        <w:rPr>
          <w:rStyle w:val="style85"/>
          <w:noProof/>
        </w:rPr>
        <w:t>Challenges in International Financial Management</w:t>
      </w:r>
      <w:r>
        <w:rPr>
          <w:noProof/>
          <w:webHidden/>
        </w:rPr>
        <w:tab/>
      </w:r>
      <w:r>
        <w:rPr>
          <w:noProof/>
          <w:webHidden/>
        </w:rPr>
        <w:fldChar w:fldCharType="begin"/>
      </w:r>
      <w:r>
        <w:rPr>
          <w:noProof/>
          <w:webHidden/>
        </w:rPr>
        <w:instrText xml:space="preserve"> PAGEREF _Toc102506404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"_Toc102506405" </w:instrText>
      </w:r>
      <w:r>
        <w:rPr/>
        <w:fldChar w:fldCharType="separate"/>
      </w:r>
      <w:r>
        <w:rPr>
          <w:rStyle w:val="style85"/>
          <w:noProof/>
        </w:rPr>
        <w:t>Overview</w:t>
      </w:r>
      <w:r>
        <w:rPr>
          <w:noProof/>
          <w:webHidden/>
        </w:rPr>
        <w:tab/>
      </w:r>
      <w:r>
        <w:rPr>
          <w:noProof/>
          <w:webHidden/>
        </w:rPr>
        <w:fldChar w:fldCharType="begin"/>
      </w:r>
      <w:r>
        <w:rPr>
          <w:noProof/>
          <w:webHidden/>
        </w:rPr>
        <w:instrText xml:space="preserve"> PAGEREF _Toc102506405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"_Toc102506406" </w:instrText>
      </w:r>
      <w:r>
        <w:rPr/>
        <w:fldChar w:fldCharType="separate"/>
      </w:r>
      <w:r>
        <w:rPr>
          <w:rStyle w:val="style85"/>
          <w:noProof/>
        </w:rPr>
        <w:t>Management of Risks</w:t>
      </w:r>
      <w:r>
        <w:rPr>
          <w:noProof/>
          <w:webHidden/>
        </w:rPr>
        <w:tab/>
      </w:r>
      <w:r>
        <w:rPr>
          <w:noProof/>
          <w:webHidden/>
        </w:rPr>
        <w:fldChar w:fldCharType="begin"/>
      </w:r>
      <w:r>
        <w:rPr>
          <w:noProof/>
          <w:webHidden/>
        </w:rPr>
        <w:instrText xml:space="preserve"> PAGEREF _Toc102506406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"_Toc102506407" </w:instrText>
      </w:r>
      <w:r>
        <w:rPr/>
        <w:fldChar w:fldCharType="separate"/>
      </w:r>
      <w:r>
        <w:rPr>
          <w:rStyle w:val="style85"/>
          <w:noProof/>
        </w:rPr>
        <w:t>Management of Foreign Exchange</w:t>
      </w:r>
      <w:r>
        <w:rPr>
          <w:noProof/>
          <w:webHidden/>
        </w:rPr>
        <w:tab/>
      </w:r>
      <w:r>
        <w:rPr>
          <w:noProof/>
          <w:webHidden/>
        </w:rPr>
        <w:fldChar w:fldCharType="begin"/>
      </w:r>
      <w:r>
        <w:rPr>
          <w:noProof/>
          <w:webHidden/>
        </w:rPr>
        <w:instrText xml:space="preserve"> PAGEREF _Toc102506407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"_Toc102506408" </w:instrText>
      </w:r>
      <w:r>
        <w:rPr/>
        <w:fldChar w:fldCharType="separate"/>
      </w:r>
      <w:r>
        <w:rPr>
          <w:rStyle w:val="style85"/>
          <w:noProof/>
        </w:rPr>
        <w:t>Management in Fluctuation of Currency</w:t>
      </w:r>
      <w:r>
        <w:rPr>
          <w:noProof/>
          <w:webHidden/>
        </w:rPr>
        <w:tab/>
      </w:r>
      <w:r>
        <w:rPr>
          <w:noProof/>
          <w:webHidden/>
        </w:rPr>
        <w:fldChar w:fldCharType="begin"/>
      </w:r>
      <w:r>
        <w:rPr>
          <w:noProof/>
          <w:webHidden/>
        </w:rPr>
        <w:instrText xml:space="preserve"> PAGEREF _Toc102506408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"_Toc102506409" </w:instrText>
      </w:r>
      <w:r>
        <w:rPr/>
        <w:fldChar w:fldCharType="separate"/>
      </w:r>
      <w:r>
        <w:rPr>
          <w:rStyle w:val="style85"/>
          <w:noProof/>
        </w:rPr>
        <w:t>Management of Regulation in Banking</w:t>
      </w:r>
      <w:r>
        <w:rPr>
          <w:noProof/>
          <w:webHidden/>
        </w:rPr>
        <w:tab/>
      </w:r>
      <w:r>
        <w:rPr>
          <w:noProof/>
          <w:webHidden/>
        </w:rPr>
        <w:fldChar w:fldCharType="begin"/>
      </w:r>
      <w:r>
        <w:rPr>
          <w:noProof/>
          <w:webHidden/>
        </w:rPr>
        <w:instrText xml:space="preserve"> PAGEREF _Toc102506409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cs="宋体" w:eastAsia="宋体"/>
          <w:b w:val="false"/>
          <w:bCs w:val="false"/>
          <w:noProof/>
          <w:sz w:val="24"/>
          <w:szCs w:val="24"/>
          <w:lang w:eastAsia="en-GB"/>
        </w:rPr>
      </w:pPr>
      <w:r>
        <w:rPr/>
        <w:fldChar w:fldCharType="begin"/>
      </w:r>
      <w:r>
        <w:instrText xml:space="preserve"> HYPERLINK \l "_Toc102506410" </w:instrText>
      </w:r>
      <w:r>
        <w:rPr/>
        <w:fldChar w:fldCharType="separate"/>
      </w:r>
      <w:r>
        <w:rPr>
          <w:rStyle w:val="style85"/>
          <w:noProof/>
        </w:rPr>
        <w:t>General Rapid Changes in the Economic Environment</w:t>
      </w:r>
      <w:r>
        <w:rPr>
          <w:noProof/>
          <w:webHidden/>
        </w:rPr>
        <w:tab/>
      </w:r>
      <w:r>
        <w:rPr>
          <w:noProof/>
          <w:webHidden/>
        </w:rPr>
        <w:fldChar w:fldCharType="begin"/>
      </w:r>
      <w:r>
        <w:rPr>
          <w:noProof/>
          <w:webHidden/>
        </w:rPr>
        <w:instrText xml:space="preserve"> PAGEREF _Toc102506410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"_Toc102506411" </w:instrText>
      </w:r>
      <w:r>
        <w:rPr/>
        <w:fldChar w:fldCharType="separate"/>
      </w:r>
      <w:r>
        <w:rPr>
          <w:rStyle w:val="style85"/>
          <w:noProof/>
        </w:rPr>
        <w:t>Recommendations</w:t>
      </w:r>
      <w:r>
        <w:rPr>
          <w:noProof/>
          <w:webHidden/>
        </w:rPr>
        <w:tab/>
      </w:r>
      <w:r>
        <w:rPr>
          <w:noProof/>
          <w:webHidden/>
        </w:rPr>
        <w:fldChar w:fldCharType="begin"/>
      </w:r>
      <w:r>
        <w:rPr>
          <w:noProof/>
          <w:webHidden/>
        </w:rPr>
        <w:instrText xml:space="preserve"> PAGEREF _Toc102506411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"_Toc102506412"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_Toc102506412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cs="宋体" w:eastAsia="宋体"/>
          <w:b w:val="false"/>
          <w:bCs w:val="false"/>
          <w:i w:val="false"/>
          <w:iCs w:val="false"/>
          <w:noProof/>
          <w:lang w:eastAsia="en-GB"/>
        </w:rPr>
      </w:pPr>
      <w:r>
        <w:rPr/>
        <w:fldChar w:fldCharType="begin"/>
      </w:r>
      <w:r>
        <w:instrText xml:space="preserve"> HYPERLINK \l "_Toc102506413"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_Toc102506413 \h </w:instrText>
      </w:r>
      <w:r>
        <w:rPr>
          <w:noProof/>
          <w:webHidden/>
        </w:rPr>
        <w:fldChar w:fldCharType="separate"/>
      </w:r>
      <w:r>
        <w:rPr>
          <w:noProof/>
          <w:webHidden/>
        </w:rPr>
        <w:t>9</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0" w:name="_Toc102506399"/>
    <w:p>
      <w:pPr>
        <w:pStyle w:val="style1"/>
        <w:rPr/>
      </w:pPr>
      <w:r>
        <w:t>Introduction</w:t>
      </w:r>
      <w:bookmarkEnd w:id="0"/>
    </w:p>
    <w:p>
      <w:pPr>
        <w:pStyle w:val="style0"/>
        <w:rPr/>
      </w:pPr>
      <w:r>
        <w:t>IFM, or international financial management focuses on managing the global business climate along with the latest things and challenges in the global business industry. The monetary administration of each nation is different in the light of different monetary forms, different political circumstances, defective business sectors and the expansion of open doors. The main reason for this report is to rank the importance of the international financial management in business, as well as to examine the effect of global change on the Global Monetary Administration.</w:t>
      </w:r>
    </w:p>
    <w:p>
      <w:pPr>
        <w:pStyle w:val="style0"/>
        <w:rPr/>
      </w:pPr>
      <w:r>
        <w:t>To focus on the issues of the Global Monetary Administration, we have chosen Settle worldwide to address its problems with the monetary administration, including the political scope and moral misconduct of financial supporters. In addition, the Settle Organization also faces some gambling difficulties and oversight problems and unknown trade rates that affect the association's performance globally. The business report has made various proposals to address the issues of the IFM of the Nestle Organization and to offer explicit procedures for promotion and speculation to address these issues.</w:t>
      </w:r>
    </w:p>
    <w:bookmarkStart w:id="1" w:name="_Toc102506400"/>
    <w:p>
      <w:pPr>
        <w:pStyle w:val="style1"/>
        <w:rPr/>
      </w:pPr>
      <w:r>
        <w:t>International Financial Management</w:t>
      </w:r>
      <w:r>
        <w:t xml:space="preserve"> Overview</w:t>
      </w:r>
      <w:bookmarkEnd w:id="1"/>
    </w:p>
    <w:p>
      <w:pPr>
        <w:pStyle w:val="style0"/>
        <w:rPr/>
      </w:pPr>
      <w:r>
        <w:t xml:space="preserve">The peculiarities of progression and mechanical progress brought the World Monetary Administration to market when different nations opened their entrances to each other for business and exchange. The IFM is concentrating on maintaining the association's monetary activities </w:t>
      </w:r>
      <w:r>
        <w:t>in order to</w:t>
      </w:r>
      <w:r>
        <w:t xml:space="preserve"> deal with the available open doors according to assets. Monetary administration is the peculiarities of arranging, sorting, </w:t>
      </w:r>
      <w:r>
        <w:t>coordinating</w:t>
      </w:r>
      <w:r>
        <w:t xml:space="preserve"> and controlling the monetary tasks of the association decisively, as well as applying administrative standards to the monetary exercises of the association (Madura, 2020). The monetary administration has a critical impact in dealing with the monetary strategies of the association and the achievement of monetary objectives in the light of achieving the ideal objectives for the volume of transactions and maintaining the focus of the inventory for the association. The course of the World Monetary Administration includes the sections on monetary preparation, capital design and monetary control.</w:t>
      </w:r>
    </w:p>
    <w:p>
      <w:pPr>
        <w:pStyle w:val="style0"/>
        <w:rPr/>
      </w:pPr>
      <w:r>
        <w:t>In this avant-garde business, the global monetary administration is vital to the monetary training of associations and helps provide foci for the use and design of assets to regulate major monetary choices (Madura, 2020). In addition, the monetary administration provides additional financial stability and encourages the workforce to work on reputable productivity.</w:t>
      </w:r>
    </w:p>
    <w:bookmarkStart w:id="2" w:name="_Toc102506401"/>
    <w:p>
      <w:pPr>
        <w:pStyle w:val="style1"/>
        <w:rPr/>
      </w:pPr>
      <w:r>
        <w:t>Nestle Organisation Overview</w:t>
      </w:r>
      <w:bookmarkEnd w:id="2"/>
    </w:p>
    <w:p>
      <w:pPr>
        <w:pStyle w:val="style0"/>
        <w:rPr/>
      </w:pPr>
      <w:r>
        <w:t>Nestle is a well-founded and remarkable global organization that has been providing nutritious and healthy products to its customers for some time</w:t>
      </w:r>
      <w:r>
        <w:t xml:space="preserve"> (</w:t>
      </w:r>
      <w:r>
        <w:t>Kherchi</w:t>
      </w:r>
      <w:r>
        <w:t xml:space="preserve">, </w:t>
      </w:r>
      <w:r>
        <w:t>Fellague</w:t>
      </w:r>
      <w:r>
        <w:t xml:space="preserve"> and </w:t>
      </w:r>
      <w:r>
        <w:t>Haddou</w:t>
      </w:r>
      <w:r>
        <w:t>, 2019)</w:t>
      </w:r>
      <w:r>
        <w:t xml:space="preserve">. In the food business, the Nestle Organization is central, with thousands of employees in more than 20 different countries. </w:t>
      </w:r>
      <w:r>
        <w:t>Products include Kit K</w:t>
      </w:r>
      <w:r>
        <w:t>at</w:t>
      </w:r>
      <w:r>
        <w:t xml:space="preserve"> </w:t>
      </w:r>
      <w:r>
        <w:t xml:space="preserve">and </w:t>
      </w:r>
      <w:r>
        <w:t xml:space="preserve">Nescafe </w:t>
      </w:r>
      <w:r>
        <w:t>which are</w:t>
      </w:r>
      <w:r>
        <w:t xml:space="preserve"> the most famous food brands of Nestle (Shapiro and </w:t>
      </w:r>
      <w:r>
        <w:t>Hanouna</w:t>
      </w:r>
      <w:r>
        <w:t xml:space="preserve">, 2019). </w:t>
      </w:r>
      <w:r>
        <w:t>Nestle</w:t>
      </w:r>
      <w:r>
        <w:t xml:space="preserve"> is the largest food exporter on the planet, constantly trading over 345 million euros in groceries for almost 70 different nations around the world. With the help of globalization, technology is persistently expanding its business practices at various stages in the world</w:t>
      </w:r>
      <w:r>
        <w:t xml:space="preserve"> (</w:t>
      </w:r>
      <w:r>
        <w:t>Kherchi</w:t>
      </w:r>
      <w:r>
        <w:t xml:space="preserve">, </w:t>
      </w:r>
      <w:r>
        <w:t>Fellague</w:t>
      </w:r>
      <w:r>
        <w:t xml:space="preserve"> and </w:t>
      </w:r>
      <w:r>
        <w:t>Haddou</w:t>
      </w:r>
      <w:r>
        <w:t>, 2019)</w:t>
      </w:r>
      <w:r>
        <w:t>.</w:t>
      </w:r>
    </w:p>
    <w:bookmarkStart w:id="3" w:name="_Toc102506402"/>
    <w:p>
      <w:pPr>
        <w:pStyle w:val="style1"/>
        <w:rPr/>
      </w:pPr>
      <w:r>
        <w:t xml:space="preserve">Application of </w:t>
      </w:r>
      <w:r>
        <w:t xml:space="preserve">International Financial Management </w:t>
      </w:r>
      <w:r>
        <w:t>in</w:t>
      </w:r>
      <w:r>
        <w:t xml:space="preserve"> Nestle</w:t>
      </w:r>
      <w:bookmarkEnd w:id="3"/>
    </w:p>
    <w:p>
      <w:pPr>
        <w:pStyle w:val="style0"/>
        <w:rPr/>
      </w:pPr>
      <w:r>
        <w:t xml:space="preserve">The Nestle and its international financial management approach depends on the combination of the organization's cash statements that appear under Nestle monetary wealth and place of money. </w:t>
      </w:r>
      <w:r>
        <w:t>Nestle</w:t>
      </w:r>
      <w:r>
        <w:t xml:space="preserve"> has been strengthening its image reputation for quite some time, making its monetary activities more solid than ever and implementing basic money strategies. Globally, the public is focusing on consolidations and acquisitions to keep up with its monetary administration by expanding business exercises in distant lands, which will accelerate the development and monetary implementation of Nestle successfully </w:t>
      </w:r>
      <w:r>
        <w:t>(</w:t>
      </w:r>
      <w:r>
        <w:t>Umurzakov</w:t>
      </w:r>
      <w:r>
        <w:t>, 2017)</w:t>
      </w:r>
      <w:r>
        <w:t>.</w:t>
      </w:r>
    </w:p>
    <w:p>
      <w:pPr>
        <w:pStyle w:val="style0"/>
        <w:rPr/>
      </w:pPr>
      <w:r>
        <w:t xml:space="preserve">Consolidations and acquisitions are Nestle compelling techniques to make its customers more respected than its competitors in terms of monetary administration and to offer customers the opportunity to purchase parts of the organization's entire industry. To put it bluntly, </w:t>
      </w:r>
      <w:r>
        <w:t>the</w:t>
      </w:r>
      <w:r>
        <w:t xml:space="preserve"> business organisation is focused on developing its monetary wealth on the development of business sectors in stages around the world, joining its current action plan with various organizations to further develop its life cycle and build business methodologies. even more reasonable </w:t>
      </w:r>
      <w:r>
        <w:t>(</w:t>
      </w:r>
      <w:r>
        <w:t>Umurzakov</w:t>
      </w:r>
      <w:r>
        <w:t>, 2017)</w:t>
      </w:r>
      <w:r>
        <w:t xml:space="preserve">. </w:t>
      </w:r>
      <w:r>
        <w:t xml:space="preserve">The capacity and capabilities of the </w:t>
      </w:r>
      <w:r>
        <w:t>Nestle business organisation</w:t>
      </w:r>
      <w:r>
        <w:t xml:space="preserve"> are competent to continue to operate in the global business sectors, which also requires the legitimate monetary administration to hold a stable monetary exhibition globally that will enable the organization to produce greater benefits for more. -short period of time.</w:t>
      </w:r>
    </w:p>
    <w:bookmarkStart w:id="4" w:name="_Toc102506403"/>
    <w:p>
      <w:pPr>
        <w:pStyle w:val="style1"/>
        <w:rPr/>
      </w:pPr>
      <w:r>
        <w:t>Importance of International Financial Management in Nestle</w:t>
      </w:r>
      <w:bookmarkEnd w:id="4"/>
    </w:p>
    <w:p>
      <w:pPr>
        <w:pStyle w:val="style0"/>
        <w:rPr/>
      </w:pPr>
      <w:r>
        <w:t xml:space="preserve">The significance of international financial management is of crucial nature for any global organization, as it is the central element of any fruitful business that must be sent to the world market to achieve certain progress and development. The IFM is working together to improve the Nestle Organization as it upgrades the cash recording and cash administration of the Settle assembly and creation cycles </w:t>
      </w:r>
      <w:r>
        <w:t>(</w:t>
      </w:r>
      <w:r>
        <w:t>Pirson</w:t>
      </w:r>
      <w:r>
        <w:t xml:space="preserve"> and Turnbull, 2011)</w:t>
      </w:r>
      <w:r>
        <w:t xml:space="preserve">. </w:t>
      </w:r>
      <w:r>
        <w:t>Globalization is linked to the course of the World Monetary Administration and on the grounds that globalization procedures put different open doors for global organizations to go to other global business sectors to work globally and keep up with their monetary activities. For the subsequent monetary implementation and monetary well-being of an association, the administration needs to focus on the World Monetary Administration and the procedures for moderating gambling related to these elements.</w:t>
      </w:r>
    </w:p>
    <w:p>
      <w:pPr>
        <w:pStyle w:val="style0"/>
        <w:rPr/>
      </w:pPr>
      <w:r>
        <w:t>Some of the problems and issues related to global monetary administration that most global organizations face in their business climate are outlined below. There are also several systems for global organizations to address these threats and control the problem.</w:t>
      </w:r>
    </w:p>
    <w:bookmarkStart w:id="5" w:name="_Toc102506404"/>
    <w:p>
      <w:pPr>
        <w:pStyle w:val="style1"/>
        <w:rPr/>
      </w:pPr>
      <w:r>
        <w:t>Challenges in International Financial Management</w:t>
      </w:r>
      <w:bookmarkEnd w:id="5"/>
    </w:p>
    <w:bookmarkStart w:id="6" w:name="_Toc102506405"/>
    <w:p>
      <w:pPr>
        <w:pStyle w:val="style2"/>
        <w:rPr/>
      </w:pPr>
      <w:r>
        <w:t>Overview</w:t>
      </w:r>
      <w:bookmarkEnd w:id="6"/>
    </w:p>
    <w:p>
      <w:pPr>
        <w:pStyle w:val="style0"/>
        <w:rPr/>
      </w:pPr>
      <w:r>
        <w:t>The global monetary scene is changing rapidly, making various moves and challenges for global organizations to work effortlessly in global business sectors. The company Nestle in this context faces some problems with monetary administration in dealing with gambling and connecting with customers at stages around the world, which is the effect on its monetary well-being and administrative tasks (Jones, 2018). The problems of the world monetary administration are related to the lack of legal preparation and planning in the monetary tasks of Nestle. The main issues of monetary administration addressed by Nestle are:</w:t>
      </w:r>
    </w:p>
    <w:p>
      <w:pPr>
        <w:pStyle w:val="style0"/>
        <w:rPr/>
      </w:pPr>
      <w:r>
        <w:t>• Risk the challenges of managers</w:t>
      </w:r>
    </w:p>
    <w:p>
      <w:pPr>
        <w:pStyle w:val="style0"/>
        <w:rPr/>
      </w:pPr>
      <w:r>
        <w:t>• unknown trade rates</w:t>
      </w:r>
    </w:p>
    <w:p>
      <w:pPr>
        <w:pStyle w:val="style0"/>
        <w:rPr/>
      </w:pPr>
      <w:r>
        <w:t>• Banking guidelines</w:t>
      </w:r>
    </w:p>
    <w:p>
      <w:pPr>
        <w:pStyle w:val="style0"/>
        <w:rPr/>
      </w:pPr>
      <w:r>
        <w:t>• Risk in money trading</w:t>
      </w:r>
    </w:p>
    <w:p>
      <w:pPr>
        <w:pStyle w:val="style0"/>
        <w:rPr/>
      </w:pPr>
      <w:r>
        <w:t>• Different financial circumstances</w:t>
      </w:r>
    </w:p>
    <w:bookmarkStart w:id="7" w:name="_Toc102506406"/>
    <w:p>
      <w:pPr>
        <w:pStyle w:val="style2"/>
        <w:rPr/>
      </w:pPr>
      <w:r>
        <w:t>Management of Risks</w:t>
      </w:r>
      <w:bookmarkEnd w:id="7"/>
    </w:p>
    <w:p>
      <w:pPr>
        <w:pStyle w:val="style0"/>
        <w:rPr/>
      </w:pPr>
      <w:r>
        <w:t xml:space="preserve">The' risk is seen as the significant difficulties of the World Monetary Administration addressed by the company. For example, </w:t>
      </w:r>
      <w:r>
        <w:t>in the event that</w:t>
      </w:r>
      <w:r>
        <w:t xml:space="preserve"> the business needs to receive several deliveries for the creation or need to sell several items abroad, there is an exceptional gambling of excessive costs due to expansion in emerging economies (Jones, 2018). The demand for emergencies in emerging business sectors has many problems or problems with Nestle's practices when it comes to international financial management and is also reducing the viability of globalization.</w:t>
      </w:r>
    </w:p>
    <w:p>
      <w:pPr>
        <w:pStyle w:val="style0"/>
        <w:rPr/>
      </w:pPr>
      <w:r>
        <w:t xml:space="preserve">However, the </w:t>
      </w:r>
      <w:r>
        <w:t>more sound</w:t>
      </w:r>
      <w:r>
        <w:t xml:space="preserve"> monetary records, which represent the better monetary well-being and monetary performance of the association, which requires a superior monetary approach, is to manage the various administrative matters in the World Monetary Administration. The Nestle administration is additionally faced with the problems of high adaptability of rates of return, which makes an exceptional bet on the world market and, moreover, the potential dangers affect only the monetary well-being of Nestle, which are consequences of unilateral characteristics in the world economy</w:t>
      </w:r>
      <w:r>
        <w:t xml:space="preserve"> (</w:t>
      </w:r>
      <w:r>
        <w:t>Yazlyuk</w:t>
      </w:r>
      <w:r>
        <w:t xml:space="preserve"> et al., 2018)</w:t>
      </w:r>
      <w:r>
        <w:t xml:space="preserve">. </w:t>
      </w:r>
      <w:r>
        <w:t>Monetary manageability creates monetary and other administrative issues or gambling difficulties in addition to the IFM principles of Nestle.</w:t>
      </w:r>
    </w:p>
    <w:bookmarkStart w:id="8" w:name="_Toc102506407"/>
    <w:p>
      <w:pPr>
        <w:pStyle w:val="style2"/>
        <w:rPr/>
      </w:pPr>
      <w:r>
        <w:t>Management of Foreign Exchange</w:t>
      </w:r>
      <w:bookmarkEnd w:id="8"/>
      <w:r>
        <w:t xml:space="preserve"> </w:t>
      </w:r>
    </w:p>
    <w:p>
      <w:pPr>
        <w:pStyle w:val="style0"/>
        <w:rPr/>
      </w:pPr>
      <w:r>
        <w:t xml:space="preserve">The dynamics of unfamiliar trade rates further pose an incredible threat to the company's IFM as globalized economies in this cutting-edge world drive changes in the standard for conversion, helping to create large gambling and monetary </w:t>
      </w:r>
      <w:r>
        <w:t>monetary</w:t>
      </w:r>
      <w:r>
        <w:t xml:space="preserve"> challenges. Settle needs to assess the value of domestic money before focusing on the global market, which creates challenges and problems in managing unknown forms of money </w:t>
      </w:r>
      <w:r>
        <w:t>(</w:t>
      </w:r>
      <w:r>
        <w:t>Yazlyuk</w:t>
      </w:r>
      <w:r>
        <w:t xml:space="preserve"> et al., 2018)</w:t>
      </w:r>
      <w:r>
        <w:t xml:space="preserve">. </w:t>
      </w:r>
      <w:r>
        <w:t>It is also important to note that unfamiliar commercial markets are undergoing constant change that is adversely affecting Nestle's globalization and monetary stability, as it is associated with slow performance and slow business development, which is undesirable for Settle's monetary administration.</w:t>
      </w:r>
    </w:p>
    <w:p>
      <w:pPr>
        <w:pStyle w:val="style0"/>
        <w:rPr/>
      </w:pPr>
      <w:r>
        <w:t xml:space="preserve">The company </w:t>
      </w:r>
      <w:r>
        <w:t>has to</w:t>
      </w:r>
      <w:r>
        <w:t xml:space="preserve"> fund its </w:t>
      </w:r>
      <w:r>
        <w:t>endeavors</w:t>
      </w:r>
      <w:r>
        <w:t xml:space="preserve"> as it plays out the business movement in the global business sectors, as it creates problems in the World Monetary Administration for the organization due to fluctuations in emerging economies. Fluctuating commercial interest rates are the targets behind higher lending fees in emerging economies, which is a challenge to tackle Settle (</w:t>
      </w:r>
      <w:r>
        <w:t>Pavithran</w:t>
      </w:r>
      <w:r>
        <w:t xml:space="preserve"> et al., 2020). To focus on rapidly changing unknown trade rates and variations in emerging economies, executives need to examine the unknown trade market to stay away from IFM-related questions about trade interest rates.</w:t>
      </w:r>
    </w:p>
    <w:bookmarkStart w:id="9" w:name="_Toc102506408"/>
    <w:p>
      <w:pPr>
        <w:pStyle w:val="style2"/>
        <w:rPr/>
      </w:pPr>
      <w:r>
        <w:t>Management in Fluctuation of Currency</w:t>
      </w:r>
      <w:bookmarkEnd w:id="9"/>
    </w:p>
    <w:p>
      <w:pPr>
        <w:pStyle w:val="style0"/>
        <w:rPr/>
      </w:pPr>
      <w:r>
        <w:t xml:space="preserve">The risk of money trading is also an incredible threat to Nestle's monetary stability in global business sectors, as it is a challenge to maintain business tasks with volatile unknown forms of money that are fixed directly on the global exchange of any global organization </w:t>
      </w:r>
      <w:r>
        <w:t>(</w:t>
      </w:r>
      <w:r>
        <w:t>Alam</w:t>
      </w:r>
      <w:r>
        <w:t>, 2019)</w:t>
      </w:r>
      <w:r>
        <w:t xml:space="preserve">. A significant part of the unknown funds are the receivables and liabilities they require and the consequence of changes in money exchange rates, which directly affect the monetary administration of global organizations. The business organisation on board </w:t>
      </w:r>
      <w:r>
        <w:t>has to</w:t>
      </w:r>
      <w:r>
        <w:t xml:space="preserve"> deal with various issues and problems in dealing with gambling related to interest in money trading, as this limits the organization's business tasks with unknown nations due to an obstacle to tackling the risk of money trading.</w:t>
      </w:r>
    </w:p>
    <w:p>
      <w:pPr>
        <w:pStyle w:val="style0"/>
        <w:rPr/>
      </w:pPr>
      <w:r>
        <w:t xml:space="preserve">Dealing with interest rate gambling requires different methodologies such as repayment, </w:t>
      </w:r>
      <w:r>
        <w:t>valuation</w:t>
      </w:r>
      <w:r>
        <w:t xml:space="preserve"> and forward agreements. Getting rid of the unknown business address and arranging the executive </w:t>
      </w:r>
      <w:r>
        <w:t>centers</w:t>
      </w:r>
      <w:r>
        <w:t xml:space="preserve"> around the settlement method to deal with receivables or deal with receivables properly, which bypasses the unknown risk of money trading (</w:t>
      </w:r>
      <w:r>
        <w:t>Ameliawati</w:t>
      </w:r>
      <w:r>
        <w:t xml:space="preserve"> and </w:t>
      </w:r>
      <w:r>
        <w:t>Setiyani</w:t>
      </w:r>
      <w:r>
        <w:t>, 2018</w:t>
      </w:r>
      <w:r>
        <w:t>) .</w:t>
      </w:r>
      <w:r>
        <w:t xml:space="preserve"> On the other hand, the strategy for sending contracts to control the income of the Settle Organization supports the monetary administration of the association, as well as reduces the organization's openness to the variety of scales of transformation and fluctuations in emerging economies.</w:t>
      </w:r>
    </w:p>
    <w:bookmarkStart w:id="10" w:name="_Toc102506409"/>
    <w:p>
      <w:pPr>
        <w:pStyle w:val="style2"/>
        <w:rPr/>
      </w:pPr>
      <w:r>
        <w:t>Management of Regulation in Banking</w:t>
      </w:r>
      <w:bookmarkEnd w:id="10"/>
    </w:p>
    <w:p>
      <w:pPr>
        <w:pStyle w:val="style0"/>
        <w:rPr/>
      </w:pPr>
      <w:r>
        <w:t xml:space="preserve">Not at all like the local money administration in Nestle, it has to manage the issues of the principles </w:t>
      </w:r>
      <w:r>
        <w:t>in regards to</w:t>
      </w:r>
      <w:r>
        <w:t xml:space="preserve"> international financial management, which are also related to financial foundations, together with their guidelines and guidelines that create problems when working with Nestle funds. The global monetary administration, operated by Nestle organizations, must manage the agreements of various and progress banks to play the global stock market, for example, World Financial Assets and the World Bank are the ones that maintain and control Settle's global money issues in global business sectors and emerging economies (</w:t>
      </w:r>
      <w:r>
        <w:t>Pavithran</w:t>
      </w:r>
      <w:r>
        <w:t xml:space="preserve"> et al., 2020). Adherence to the guidelines and guidelines of these banks is crucial for global organizations that influence their global monetary administration.</w:t>
      </w:r>
    </w:p>
    <w:p>
      <w:pPr>
        <w:pStyle w:val="style0"/>
        <w:rPr/>
      </w:pPr>
      <w:r>
        <w:t xml:space="preserve">Following financial principles and guidelines is extremely essential for global organizations, as it is quite difficult for large organizations to work with their patients as instructed by monetary or banking institutions. The business organisation needs to focus on major change projects to stay away from the more dangerous business sectors </w:t>
      </w:r>
      <w:r>
        <w:t>(</w:t>
      </w:r>
      <w:r>
        <w:t>Vithessonthi</w:t>
      </w:r>
      <w:r>
        <w:t xml:space="preserve"> and </w:t>
      </w:r>
      <w:r>
        <w:t>Kumarasinghe</w:t>
      </w:r>
      <w:r>
        <w:t>, 2016)</w:t>
      </w:r>
      <w:r>
        <w:t xml:space="preserve">. </w:t>
      </w:r>
      <w:r>
        <w:t>The principles of IFM requires appropriate methodologies and strategies supported by the IMF and the World Bank to enter emerging economies and conduct business practice.</w:t>
      </w:r>
    </w:p>
    <w:bookmarkStart w:id="11" w:name="_Toc102506410"/>
    <w:p>
      <w:pPr>
        <w:pStyle w:val="style2"/>
        <w:rPr/>
      </w:pPr>
      <w:r>
        <w:t>General Rapid Changes in the Economic Environment</w:t>
      </w:r>
      <w:bookmarkEnd w:id="11"/>
    </w:p>
    <w:p>
      <w:pPr>
        <w:pStyle w:val="style0"/>
        <w:rPr/>
      </w:pPr>
      <w:r>
        <w:t>The diverse economic setting poses an incredible threat to Nestle's monetary administration also on the grounds that it is a challenge to operate in a globalized climate without reasonable resources. With a diverse monetary climate, the business organisation must be accountable to the different nations with which the organization conducts business exercises due to the different world policies and social standards of each country, which requires appropriate monetary administration (</w:t>
      </w:r>
      <w:r>
        <w:t>Ameliawati</w:t>
      </w:r>
      <w:r>
        <w:t xml:space="preserve"> and </w:t>
      </w:r>
      <w:r>
        <w:t>Setiyani</w:t>
      </w:r>
      <w:r>
        <w:t>, 2018). In addition, the conditions of duty and exchange systems of each nation are different, which requires a decent monetary climate to do the exercises for business tasks and the global scene.</w:t>
      </w:r>
    </w:p>
    <w:p>
      <w:pPr>
        <w:pStyle w:val="style0"/>
        <w:rPr/>
      </w:pPr>
      <w:r>
        <w:t xml:space="preserve">When working with global funds, there is a stark contrast between the conditions for recognition, as the local monetary administration has different degrees of exchange systems and credit conditions. Settle needs to focus on its day-to-day monetary administration whenever organizations are involved in developing exchange strategies that businesses pursue worldwide. A sound monetary structure and financial balance are essential for establishing procedures for managing the different monetary climate. </w:t>
      </w:r>
      <w:r>
        <w:t>So</w:t>
      </w:r>
      <w:r>
        <w:t xml:space="preserve"> the diverse monetary climate and political scope affecting the financial balance are crucial to Nestle's monetary administration.</w:t>
      </w:r>
    </w:p>
    <w:bookmarkStart w:id="12" w:name="_Toc102506411"/>
    <w:p>
      <w:pPr>
        <w:pStyle w:val="style1"/>
        <w:rPr/>
      </w:pPr>
      <w:r>
        <w:t>Recommendations</w:t>
      </w:r>
      <w:bookmarkEnd w:id="12"/>
    </w:p>
    <w:p>
      <w:pPr>
        <w:pStyle w:val="style0"/>
        <w:rPr/>
      </w:pPr>
      <w:r>
        <w:t xml:space="preserve">There are some suggestions for Nestle organizations to address the issues and problems in the in terms of IFM. The international financial managerial part in any organisation is extremely important for any global organization, as it supports the </w:t>
      </w:r>
      <w:r>
        <w:t xml:space="preserve">organization in effectively controlling monetary activities and improving the skills of the organization's </w:t>
      </w:r>
      <w:r>
        <w:t>center</w:t>
      </w:r>
      <w:r>
        <w:t xml:space="preserve"> in the pursuit of convincing monetary elections</w:t>
      </w:r>
      <w:r>
        <w:t xml:space="preserve"> (Sanjaya et al., 2020)</w:t>
      </w:r>
      <w:r>
        <w:t xml:space="preserve">. </w:t>
      </w:r>
      <w:r>
        <w:t>The IFM further builds on the opposite course of capital raising and risk supervision in an association, agreeing on successful conclusions for risk enterprises on consolidations and acquisitions or restructuring the current action plan with viable monetary procedures to include the determinants of monetary administration that erase the subtleties of the world market. Some of the powerful proposals for the organization of settlement are as follows:</w:t>
      </w:r>
    </w:p>
    <w:p>
      <w:pPr>
        <w:pStyle w:val="style0"/>
        <w:rPr/>
      </w:pPr>
      <w:r>
        <w:t xml:space="preserve">• The IFM can focus on the procedure for maintaining work with the Working Capital Administration along with the IFM method, as they are tightly interconnected and support the association in making successful monetary choices related to the present and </w:t>
      </w:r>
      <w:r>
        <w:t xml:space="preserve">long </w:t>
      </w:r>
      <w:r>
        <w:t>term</w:t>
      </w:r>
      <w:r>
        <w:t xml:space="preserve"> liquidity and capital support of the association </w:t>
      </w:r>
      <w:r>
        <w:t>(Sanjaya et al., 2020)</w:t>
      </w:r>
      <w:r>
        <w:t xml:space="preserve">. </w:t>
      </w:r>
      <w:r>
        <w:t>In addition, the choice of a working capital administration is also the value of the association, which will help Settle kill the intricacies of choosing a venture and satisfy the motivation behind the IFM, working with business activities virtually without complexity.</w:t>
      </w:r>
    </w:p>
    <w:p>
      <w:pPr>
        <w:pStyle w:val="style0"/>
        <w:rPr/>
      </w:pPr>
      <w:r>
        <w:t xml:space="preserve">• In addition, </w:t>
      </w:r>
      <w:r>
        <w:t>Nestle</w:t>
      </w:r>
      <w:r>
        <w:t xml:space="preserve"> monetary choices should focus on its action plan and defined monetary objectives, which will help the association's administration pursue viable monetary choices while balancing its income and maintaining productivity. More visible income can be generated by resetting viable speculation choices in the light of capital design and the ideal combination of working capital and maintenance capital that kills managers' challenges. One of the most powerful choices for the Settle organization is to take advantage of the chance to support value that has less gambling in revenue </w:t>
      </w:r>
      <w:r>
        <w:t>and also</w:t>
      </w:r>
      <w:r>
        <w:t xml:space="preserve"> leads to high productivity and good relief from various types of hazards (</w:t>
      </w:r>
      <w:r>
        <w:t>Kembauw</w:t>
      </w:r>
      <w:r>
        <w:t xml:space="preserve"> et al., 2020). The value of funding costs also underscores the maintenance of a commitment that controls the harmony between the IFM and the threat to the association's board, </w:t>
      </w:r>
      <w:r>
        <w:t>and also</w:t>
      </w:r>
      <w:r>
        <w:t xml:space="preserve"> maintains a strategic distance from cost risk issues.</w:t>
      </w:r>
    </w:p>
    <w:p>
      <w:pPr>
        <w:pStyle w:val="style0"/>
        <w:rPr/>
      </w:pPr>
      <w:r>
        <w:t xml:space="preserve">• Using the procedure to </w:t>
      </w:r>
      <w:r>
        <w:t>successfully and productively deal with business achievements</w:t>
      </w:r>
      <w:r>
        <w:t xml:space="preserve"> will play a vital role in achieving a significant level of Nestle's IFM with powerful answers to every question and problem at the individual and authoritative level. The money exhibition and the place of money of Settle must be broken down by comparison with the current goals and objectives of the monetary unit, and this will decide the difference between goals and achievements (</w:t>
      </w:r>
      <w:r>
        <w:t>Kembauw</w:t>
      </w:r>
      <w:r>
        <w:t xml:space="preserve"> et al., 2020). Public administration can undoubtedly make public or global monetary choices with the assistance of the IFM.</w:t>
      </w:r>
    </w:p>
    <w:p>
      <w:pPr>
        <w:pStyle w:val="style0"/>
        <w:rPr/>
      </w:pPr>
    </w:p>
    <w:p>
      <w:pPr>
        <w:pStyle w:val="style0"/>
        <w:rPr/>
      </w:pPr>
    </w:p>
    <w:bookmarkStart w:id="13" w:name="_Toc102506412"/>
    <w:p>
      <w:pPr>
        <w:pStyle w:val="style1"/>
        <w:rPr/>
      </w:pPr>
      <w:r>
        <w:t>Conclusion</w:t>
      </w:r>
      <w:bookmarkEnd w:id="13"/>
    </w:p>
    <w:p>
      <w:pPr>
        <w:pStyle w:val="style0"/>
        <w:rPr/>
      </w:pPr>
      <w:r>
        <w:t>This report inspects the importance of the IFM, focusing on issues addressed by the Nestle business organization in its monetary administration in stages around the world. In addition, this report clearly characterizes the importance of the IFM in overseeing viable and productive business choices for the settlement organization through various systems and strategies. Rapid globalization and the changing monetary emergency and business climate require insurmountable monetary administration without difficulty, as they effectively support business tasks. The IFM further controls the income of an association by regulating the money market in managing the monetary complexities of emerging economies.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4" w:name="_Toc102506413"/>
    <w:p>
      <w:pPr>
        <w:pStyle w:val="style1"/>
        <w:rPr/>
      </w:pPr>
      <w:r>
        <w:t>References</w:t>
      </w:r>
      <w:bookmarkEnd w:id="14"/>
    </w:p>
    <w:p>
      <w:pPr>
        <w:pStyle w:val="style0"/>
        <w:rPr/>
      </w:pPr>
      <w:r>
        <w:t>Alam</w:t>
      </w:r>
      <w:r>
        <w:t xml:space="preserve">, I. (2019). Role of International Financial Integration on Financial Market Development of Euro Area Countries. </w:t>
      </w:r>
      <w:r>
        <w:rPr>
          <w:i/>
          <w:iCs/>
        </w:rPr>
        <w:t>International Journal of Science and Management Studies (IJSMS)</w:t>
      </w:r>
      <w:r>
        <w:t>, pp.91–100.</w:t>
      </w:r>
    </w:p>
    <w:p>
      <w:pPr>
        <w:pStyle w:val="style0"/>
        <w:rPr/>
      </w:pPr>
      <w:r>
        <w:t>Ameliawati</w:t>
      </w:r>
      <w:r>
        <w:t xml:space="preserve">, M., &amp; </w:t>
      </w:r>
      <w:r>
        <w:t>Setiyani</w:t>
      </w:r>
      <w:r>
        <w:t>, R. (2018). The influence of financial attitude, financial</w:t>
      </w:r>
      <w:r>
        <w:t xml:space="preserve"> </w:t>
      </w:r>
      <w:r>
        <w:t>socialization, and financial experience to financial management behaviour with financial</w:t>
      </w:r>
      <w:r>
        <w:t xml:space="preserve"> </w:t>
      </w:r>
      <w:r>
        <w:t xml:space="preserve">literacy as the mediation variable. </w:t>
      </w:r>
      <w:r>
        <w:rPr>
          <w:i/>
          <w:iCs/>
        </w:rPr>
        <w:t>KnE</w:t>
      </w:r>
      <w:r>
        <w:rPr>
          <w:i/>
          <w:iCs/>
        </w:rPr>
        <w:t xml:space="preserve"> Social Sciences</w:t>
      </w:r>
      <w:r>
        <w:t>, 811-832.</w:t>
      </w:r>
    </w:p>
    <w:p>
      <w:pPr>
        <w:pStyle w:val="style0"/>
        <w:rPr/>
      </w:pPr>
      <w:r>
        <w:t xml:space="preserve">Jones, B. (2018). </w:t>
      </w:r>
      <w:r>
        <w:rPr>
          <w:i/>
          <w:iCs/>
        </w:rPr>
        <w:t>Central Bank Reserve Management and International Financial</w:t>
      </w:r>
      <w:r>
        <w:rPr>
          <w:i/>
          <w:iCs/>
        </w:rPr>
        <w:t xml:space="preserve"> </w:t>
      </w:r>
      <w:r>
        <w:rPr>
          <w:i/>
          <w:iCs/>
        </w:rPr>
        <w:t>Stability-Some Post-Crisis Reflections</w:t>
      </w:r>
      <w:r>
        <w:t>.</w:t>
      </w:r>
    </w:p>
    <w:p>
      <w:pPr>
        <w:pStyle w:val="style0"/>
        <w:rPr/>
      </w:pPr>
      <w:r>
        <w:t>Kembauw</w:t>
      </w:r>
      <w:r>
        <w:t xml:space="preserve">, E., Munawar, A., </w:t>
      </w:r>
      <w:r>
        <w:t>Purwanto</w:t>
      </w:r>
      <w:r>
        <w:t xml:space="preserve">, M. R., </w:t>
      </w:r>
      <w:r>
        <w:t>Budiasih</w:t>
      </w:r>
      <w:r>
        <w:t xml:space="preserve">, Y., &amp; </w:t>
      </w:r>
      <w:r>
        <w:t>Utami</w:t>
      </w:r>
      <w:r>
        <w:t>, Y. (2020).</w:t>
      </w:r>
      <w:r>
        <w:t xml:space="preserve"> </w:t>
      </w:r>
      <w:r>
        <w:t xml:space="preserve">Strategies of Financial Management Quality Control in Business. </w:t>
      </w:r>
      <w:r>
        <w:rPr>
          <w:i/>
          <w:iCs/>
        </w:rPr>
        <w:t>TEST Engineering &amp;</w:t>
      </w:r>
      <w:r>
        <w:rPr>
          <w:i/>
          <w:iCs/>
        </w:rPr>
        <w:t xml:space="preserve"> </w:t>
      </w:r>
      <w:r>
        <w:rPr>
          <w:i/>
          <w:iCs/>
        </w:rPr>
        <w:t>Management</w:t>
      </w:r>
      <w:r>
        <w:t>, 82, 16256-16266.</w:t>
      </w:r>
    </w:p>
    <w:p>
      <w:pPr>
        <w:pStyle w:val="style0"/>
        <w:rPr/>
      </w:pPr>
      <w:r>
        <w:t>Kherchi</w:t>
      </w:r>
      <w:r>
        <w:t xml:space="preserve">, I., </w:t>
      </w:r>
      <w:r>
        <w:t>Fellague</w:t>
      </w:r>
      <w:r>
        <w:t xml:space="preserve">, M. and </w:t>
      </w:r>
      <w:r>
        <w:t>Haddou</w:t>
      </w:r>
      <w:r>
        <w:t xml:space="preserve">, S.A. (2019). How Nestle Applied Shared Value Creation </w:t>
      </w:r>
      <w:r>
        <w:t>In</w:t>
      </w:r>
      <w:r>
        <w:t xml:space="preserve"> Agriculture Sector Achieving Sustainable Agriculture And Making More Profit ‘Nestle Model’. </w:t>
      </w:r>
      <w:r>
        <w:rPr>
          <w:i/>
          <w:iCs/>
        </w:rPr>
        <w:t>Management &amp; Economics Research Journal</w:t>
      </w:r>
      <w:r>
        <w:t>, 1(</w:t>
      </w:r>
      <w:r>
        <w:rPr>
          <w:b/>
          <w:bCs/>
        </w:rPr>
        <w:t>3</w:t>
      </w:r>
      <w:r>
        <w:t xml:space="preserve">), pp.12–26. </w:t>
      </w:r>
    </w:p>
    <w:p>
      <w:pPr>
        <w:pStyle w:val="style0"/>
        <w:rPr/>
      </w:pPr>
      <w:r>
        <w:t xml:space="preserve">Madura, J. (2020). </w:t>
      </w:r>
      <w:r>
        <w:rPr>
          <w:i/>
          <w:iCs/>
        </w:rPr>
        <w:t>International financial management</w:t>
      </w:r>
      <w:r>
        <w:t>. Cengage Learning.</w:t>
      </w:r>
    </w:p>
    <w:p>
      <w:pPr>
        <w:pStyle w:val="style0"/>
        <w:rPr/>
      </w:pPr>
      <w:r>
        <w:t>Pavithran</w:t>
      </w:r>
      <w:r>
        <w:t xml:space="preserve">, A., Selvam, M., &amp; </w:t>
      </w:r>
      <w:r>
        <w:t>Miencha</w:t>
      </w:r>
      <w:r>
        <w:t>, I. O. (2020). Impact of transition to International</w:t>
      </w:r>
      <w:r>
        <w:t xml:space="preserve"> </w:t>
      </w:r>
      <w:r>
        <w:t xml:space="preserve">Financial Reporting Standards: Empirical Evidence from India. </w:t>
      </w:r>
      <w:r>
        <w:rPr>
          <w:i/>
          <w:iCs/>
        </w:rPr>
        <w:t>International Journal of</w:t>
      </w:r>
      <w:r>
        <w:rPr>
          <w:i/>
          <w:iCs/>
        </w:rPr>
        <w:t xml:space="preserve"> </w:t>
      </w:r>
      <w:r>
        <w:rPr>
          <w:i/>
          <w:iCs/>
        </w:rPr>
        <w:t>Advanced Science and Technology</w:t>
      </w:r>
      <w:r>
        <w:t>, 29, 2229-2243.</w:t>
      </w:r>
    </w:p>
    <w:p>
      <w:pPr>
        <w:pStyle w:val="style0"/>
        <w:rPr/>
      </w:pPr>
      <w:r>
        <w:t>Pirson</w:t>
      </w:r>
      <w:r>
        <w:t xml:space="preserve">, M. and Turnbull, S. (2011). Corporate Governance, Risk Management, and the Financial Crisis: An Information Processing View. </w:t>
      </w:r>
      <w:r>
        <w:rPr>
          <w:i/>
          <w:iCs/>
        </w:rPr>
        <w:t>Corporate Governance: An International Review</w:t>
      </w:r>
      <w:r>
        <w:t>, 19(</w:t>
      </w:r>
      <w:r>
        <w:rPr>
          <w:b/>
          <w:bCs/>
        </w:rPr>
        <w:t>5</w:t>
      </w:r>
      <w:r>
        <w:t>), pp.459–470.</w:t>
      </w:r>
    </w:p>
    <w:p>
      <w:pPr>
        <w:pStyle w:val="style0"/>
        <w:rPr/>
      </w:pPr>
      <w:r>
        <w:t xml:space="preserve">Sanjaya, S., </w:t>
      </w:r>
      <w:r>
        <w:t>Yulia</w:t>
      </w:r>
      <w:r>
        <w:t xml:space="preserve">, Y., </w:t>
      </w:r>
      <w:r>
        <w:t>Elfiswandi</w:t>
      </w:r>
      <w:r>
        <w:t xml:space="preserve">, </w:t>
      </w:r>
      <w:r>
        <w:t>Melmusi</w:t>
      </w:r>
      <w:r>
        <w:t xml:space="preserve">, Z. and </w:t>
      </w:r>
      <w:r>
        <w:t>Suretno</w:t>
      </w:r>
      <w:r>
        <w:t xml:space="preserve">, F. (2020). Factors influencing equity fund performance: evidence from Indonesia. </w:t>
      </w:r>
      <w:r>
        <w:rPr>
          <w:i/>
          <w:iCs/>
        </w:rPr>
        <w:t>Investment Management and Financial Innovations</w:t>
      </w:r>
      <w:r>
        <w:t>, 17(</w:t>
      </w:r>
      <w:r>
        <w:rPr>
          <w:b/>
          <w:bCs/>
        </w:rPr>
        <w:t>1</w:t>
      </w:r>
      <w:r>
        <w:t xml:space="preserve">), pp.156–164. </w:t>
      </w:r>
    </w:p>
    <w:p>
      <w:pPr>
        <w:pStyle w:val="style0"/>
        <w:rPr/>
      </w:pPr>
      <w:r>
        <w:t xml:space="preserve">Shapiro, A. C., &amp; </w:t>
      </w:r>
      <w:r>
        <w:t>Hanouna</w:t>
      </w:r>
      <w:r>
        <w:t xml:space="preserve">, P. (2019). </w:t>
      </w:r>
      <w:r>
        <w:rPr>
          <w:i/>
          <w:iCs/>
        </w:rPr>
        <w:t>Multinational financial management</w:t>
      </w:r>
      <w:r>
        <w:t>. John Wiley</w:t>
      </w:r>
      <w:r>
        <w:t xml:space="preserve"> </w:t>
      </w:r>
      <w:r>
        <w:t>&amp; Sons.</w:t>
      </w:r>
    </w:p>
    <w:p>
      <w:pPr>
        <w:pStyle w:val="style0"/>
        <w:rPr/>
      </w:pPr>
      <w:r>
        <w:t>Umurzakov</w:t>
      </w:r>
      <w:r>
        <w:t xml:space="preserve">, S. (2017). Business Process Management in Financial and Non-Financial Institutions: Payment Process Modelling in Financial Flows Management. </w:t>
      </w:r>
      <w:r>
        <w:rPr>
          <w:i/>
          <w:iCs/>
        </w:rPr>
        <w:t>INTERNATIONAL JOURNAL OF MANAGEMENT SCIENCE AND BUSINESS ADMINISTRATION</w:t>
      </w:r>
      <w:r>
        <w:t>, 3(</w:t>
      </w:r>
      <w:r>
        <w:rPr>
          <w:b/>
          <w:bCs/>
        </w:rPr>
        <w:t>5</w:t>
      </w:r>
      <w:r>
        <w:t xml:space="preserve">), pp.50–5. </w:t>
      </w:r>
    </w:p>
    <w:p>
      <w:pPr>
        <w:pStyle w:val="style0"/>
        <w:rPr/>
      </w:pPr>
      <w:r>
        <w:t>Vithessonthi</w:t>
      </w:r>
      <w:r>
        <w:t xml:space="preserve">, C. and </w:t>
      </w:r>
      <w:r>
        <w:t>Kumarasinghe</w:t>
      </w:r>
      <w:r>
        <w:t xml:space="preserve">, S. (2016). Financial development, international trade integration, and stock market integration: Evidence from Asia. </w:t>
      </w:r>
      <w:r>
        <w:rPr>
          <w:i/>
          <w:iCs/>
        </w:rPr>
        <w:t>Journal of Multinational Financial Management</w:t>
      </w:r>
      <w:r>
        <w:t>, 35, pp.79–92.</w:t>
      </w:r>
    </w:p>
    <w:p>
      <w:pPr>
        <w:pStyle w:val="style0"/>
        <w:rPr/>
      </w:pPr>
      <w:r>
        <w:t>Yazlyuk</w:t>
      </w:r>
      <w:r>
        <w:t xml:space="preserve">, B., </w:t>
      </w:r>
      <w:r>
        <w:t>Guley</w:t>
      </w:r>
      <w:r>
        <w:t xml:space="preserve">, A., </w:t>
      </w:r>
      <w:r>
        <w:t>Brukhanskyi</w:t>
      </w:r>
      <w:r>
        <w:t xml:space="preserve">, R., </w:t>
      </w:r>
      <w:r>
        <w:t>Shovkoplias</w:t>
      </w:r>
      <w:r>
        <w:t xml:space="preserve">, H. and </w:t>
      </w:r>
      <w:r>
        <w:t>Shvydka</w:t>
      </w:r>
      <w:r>
        <w:t xml:space="preserve">, T. (2018). Basic principles of financial markets regulation and legal aspects of the legislative </w:t>
      </w:r>
      <w:r>
        <w:t xml:space="preserve">requirements. </w:t>
      </w:r>
      <w:r>
        <w:rPr>
          <w:i/>
          <w:iCs/>
        </w:rPr>
        <w:t>Investment Management and Financial Innovations</w:t>
      </w:r>
      <w:r>
        <w:t>, 15(</w:t>
      </w:r>
      <w:r>
        <w:rPr>
          <w:b/>
          <w:bCs/>
        </w:rPr>
        <w:t>1</w:t>
      </w:r>
      <w:r>
        <w:t>), pp.337–349.</w:t>
      </w:r>
    </w:p>
    <w:sectPr>
      <w:footerReference w:type="even" r:id="rId4"/>
      <w:footerReference w:type="default" r:id="rId5"/>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cc"/>
    <w:family w:val="swiss"/>
    <w:pitch w:val="variable"/>
    <w:sig w:usb0="E0002AFF" w:usb1="C000ACFF" w:usb2="00000009" w:usb3="00000000" w:csb0="000001FF" w:csb1="00000000"/>
  </w:font>
  <w:font w:name="Times New Roman">
    <w:altName w:val="Times New Roman"/>
    <w:panose1 w:val="02020603050004020304"/>
    <w:charset w:val="cc"/>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43" w:usb2="00000009" w:usb3="00000000" w:csb0="000001FF" w:csb1="00000000"/>
  </w:font>
  <w:font w:name="Calibri Light">
    <w:altName w:val="Calibri Light"/>
    <w:panose1 w:val="020f0302020002030204"/>
    <w:charset w:val="cc"/>
    <w:family w:val="swiss"/>
    <w:pitch w:val="variable"/>
    <w:sig w:usb0="E0002A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end"/>
    </w:r>
  </w:p>
  <w:p>
    <w:pPr>
      <w:pStyle w:val="style32"/>
      <w:ind w:right="360"/>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separate"/>
    </w:r>
    <w:r>
      <w:rPr>
        <w:rStyle w:val="style41"/>
        <w:noProof/>
      </w:rPr>
      <w:t>1</w:t>
    </w:r>
    <w:r>
      <w:rPr>
        <w:rStyle w:val="style41"/>
      </w:rPr>
      <w:fldChar w:fldCharType="end"/>
    </w:r>
  </w:p>
  <w:p>
    <w:pPr>
      <w:pStyle w:val="style32"/>
      <w:ind w:right="36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4"/>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4"/>
        <w:szCs w:val="24"/>
        <w:lang w:val="en-GB" w:bidi="ar-SA" w:eastAsia="en-US"/>
      </w:rPr>
    </w:rPrDefault>
    <w:pPrDefault>
      <w:pPr/>
    </w:pPrDefault>
  </w:docDefaults>
  <w:style w:type="paragraph" w:default="1" w:styleId="style0">
    <w:name w:val="Normal"/>
    <w:next w:val="style0"/>
    <w:qFormat/>
    <w:pPr>
      <w:spacing w:after="200" w:lineRule="auto" w:line="276"/>
    </w:pPr>
    <w:rPr>
      <w:rFonts w:ascii="Arial" w:hAnsi="Arial"/>
      <w:szCs w:val="22"/>
    </w:rPr>
  </w:style>
  <w:style w:type="paragraph" w:styleId="style1">
    <w:name w:val="heading 1"/>
    <w:basedOn w:val="style0"/>
    <w:next w:val="style0"/>
    <w:link w:val="style4098"/>
    <w:qFormat/>
    <w:uiPriority w:val="9"/>
    <w:pPr>
      <w:keepNext/>
      <w:keepLines/>
      <w:spacing w:before="240" w:after="0"/>
      <w:outlineLvl w:val="0"/>
    </w:pPr>
    <w:rPr>
      <w:rFonts w:ascii="Calibri Light" w:cs="宋体" w:eastAsia="宋体" w:hAnsi="Calibri Light"/>
      <w:color w:val="2f5496"/>
      <w:sz w:val="32"/>
      <w:szCs w:val="32"/>
    </w:rPr>
  </w:style>
  <w:style w:type="paragraph" w:styleId="style2">
    <w:name w:val="heading 2"/>
    <w:basedOn w:val="style0"/>
    <w:next w:val="style0"/>
    <w:link w:val="style4099"/>
    <w:qFormat/>
    <w:uiPriority w:val="9"/>
    <w:pPr>
      <w:keepNext/>
      <w:keepLines/>
      <w:spacing w:before="40" w:after="0"/>
      <w:outlineLvl w:val="1"/>
    </w:pPr>
    <w:rPr>
      <w:rFonts w:ascii="Calibri Light" w:cs="宋体" w:eastAsia="宋体" w:hAnsi="Calibri Light"/>
      <w:color w:val="2f5496"/>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7">
    <w:name w:val="No Spacing"/>
    <w:next w:val="style157"/>
    <w:link w:val="style4097"/>
    <w:qFormat/>
    <w:uiPriority w:val="1"/>
    <w:pPr/>
    <w:rPr>
      <w:rFonts w:eastAsia="宋体"/>
      <w:sz w:val="22"/>
      <w:szCs w:val="22"/>
      <w:lang w:val="en-US" w:eastAsia="zh-CN"/>
    </w:rPr>
  </w:style>
  <w:style w:type="character" w:customStyle="1" w:styleId="style4097">
    <w:name w:val="No Spacing Char"/>
    <w:basedOn w:val="style65"/>
    <w:next w:val="style4097"/>
    <w:link w:val="style157"/>
    <w:uiPriority w:val="1"/>
    <w:rPr>
      <w:rFonts w:eastAsia="宋体"/>
      <w:sz w:val="22"/>
      <w:szCs w:val="22"/>
      <w:lang w:val="en-US" w:eastAsia="zh-CN"/>
    </w:rPr>
  </w:style>
  <w:style w:type="character" w:customStyle="1" w:styleId="style4098">
    <w:name w:val="Heading 1 Char_c4446c89-32af-4214-82d5-a9fe16a82fed"/>
    <w:basedOn w:val="style65"/>
    <w:next w:val="style4098"/>
    <w:link w:val="style1"/>
    <w:uiPriority w:val="9"/>
    <w:rPr>
      <w:rFonts w:ascii="Calibri Light" w:cs="宋体" w:eastAsia="宋体" w:hAnsi="Calibri Light"/>
      <w:color w:val="2f5496"/>
      <w:sz w:val="32"/>
      <w:szCs w:val="32"/>
    </w:rPr>
  </w:style>
  <w:style w:type="character" w:customStyle="1" w:styleId="style4099">
    <w:name w:val="Heading 2 Char_9489b294-441d-4182-8e59-8e027a59579c"/>
    <w:basedOn w:val="style65"/>
    <w:next w:val="style4099"/>
    <w:link w:val="style2"/>
    <w:uiPriority w:val="9"/>
    <w:rPr>
      <w:rFonts w:ascii="Calibri Light" w:cs="宋体" w:eastAsia="宋体" w:hAnsi="Calibri Light"/>
      <w:color w:val="2f5496"/>
      <w:sz w:val="26"/>
      <w:szCs w:val="26"/>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a09d47cd-f8cb-422b-9074-4922f5d5e378"/>
    <w:basedOn w:val="style65"/>
    <w:next w:val="style4100"/>
    <w:link w:val="style32"/>
    <w:uiPriority w:val="99"/>
    <w:rPr>
      <w:rFonts w:ascii="Arial" w:hAnsi="Arial"/>
      <w:szCs w:val="22"/>
    </w:rPr>
  </w:style>
  <w:style w:type="character" w:styleId="style41">
    <w:name w:val="page number"/>
    <w:basedOn w:val="style65"/>
    <w:next w:val="style41"/>
    <w:uiPriority w:val="99"/>
  </w:style>
  <w:style w:type="paragraph" w:styleId="style266">
    <w:name w:val="TOC Heading"/>
    <w:basedOn w:val="style1"/>
    <w:next w:val="style0"/>
    <w:qFormat/>
    <w:uiPriority w:val="39"/>
    <w:pPr>
      <w:spacing w:before="480"/>
      <w:outlineLvl w:val="9"/>
    </w:pPr>
    <w:rPr>
      <w:b/>
      <w:bCs/>
      <w:sz w:val="28"/>
      <w:szCs w:val="28"/>
      <w:lang w:val="en-US"/>
    </w:rPr>
  </w:style>
  <w:style w:type="paragraph" w:styleId="style19">
    <w:name w:val="toc 1"/>
    <w:basedOn w:val="style0"/>
    <w:next w:val="style0"/>
    <w:uiPriority w:val="39"/>
    <w:pPr>
      <w:spacing w:before="120" w:after="0"/>
    </w:pPr>
    <w:rPr>
      <w:rFonts w:ascii="Calibri" w:cs="Calibri" w:hAnsi="Calibri"/>
      <w:b/>
      <w:bCs/>
      <w:i/>
      <w:iCs/>
      <w:szCs w:val="24"/>
    </w:rPr>
  </w:style>
  <w:style w:type="paragraph" w:styleId="style20">
    <w:name w:val="toc 2"/>
    <w:basedOn w:val="style0"/>
    <w:next w:val="style0"/>
    <w:uiPriority w:val="39"/>
    <w:pPr>
      <w:spacing w:before="120" w:after="0"/>
      <w:ind w:left="240"/>
    </w:pPr>
    <w:rPr>
      <w:rFonts w:ascii="Calibri" w:cs="Calibri" w:hAnsi="Calibri"/>
      <w:b/>
      <w:bCs/>
      <w:sz w:val="22"/>
    </w:rPr>
  </w:style>
  <w:style w:type="character" w:styleId="style85">
    <w:name w:val="Hyperlink"/>
    <w:basedOn w:val="style65"/>
    <w:next w:val="style85"/>
    <w:uiPriority w:val="99"/>
    <w:rPr>
      <w:color w:val="0563c1"/>
      <w:u w:val="single"/>
    </w:rPr>
  </w:style>
  <w:style w:type="paragraph" w:styleId="style21">
    <w:name w:val="toc 3"/>
    <w:basedOn w:val="style0"/>
    <w:next w:val="style0"/>
    <w:uiPriority w:val="39"/>
    <w:pPr>
      <w:spacing w:after="0"/>
      <w:ind w:left="480"/>
    </w:pPr>
    <w:rPr>
      <w:rFonts w:ascii="Calibri" w:cs="Calibri" w:hAnsi="Calibri"/>
      <w:sz w:val="20"/>
      <w:szCs w:val="20"/>
    </w:rPr>
  </w:style>
  <w:style w:type="paragraph" w:styleId="style22">
    <w:name w:val="toc 4"/>
    <w:basedOn w:val="style0"/>
    <w:next w:val="style0"/>
    <w:uiPriority w:val="39"/>
    <w:pPr>
      <w:spacing w:after="0"/>
      <w:ind w:left="720"/>
    </w:pPr>
    <w:rPr>
      <w:rFonts w:ascii="Calibri" w:cs="Calibri" w:hAnsi="Calibri"/>
      <w:sz w:val="20"/>
      <w:szCs w:val="20"/>
    </w:rPr>
  </w:style>
  <w:style w:type="paragraph" w:styleId="style23">
    <w:name w:val="toc 5"/>
    <w:basedOn w:val="style0"/>
    <w:next w:val="style0"/>
    <w:uiPriority w:val="39"/>
    <w:pPr>
      <w:spacing w:after="0"/>
      <w:ind w:left="960"/>
    </w:pPr>
    <w:rPr>
      <w:rFonts w:ascii="Calibri" w:cs="Calibri" w:hAnsi="Calibri"/>
      <w:sz w:val="20"/>
      <w:szCs w:val="20"/>
    </w:rPr>
  </w:style>
  <w:style w:type="paragraph" w:styleId="style24">
    <w:name w:val="toc 6"/>
    <w:basedOn w:val="style0"/>
    <w:next w:val="style0"/>
    <w:uiPriority w:val="39"/>
    <w:pPr>
      <w:spacing w:after="0"/>
      <w:ind w:left="1200"/>
    </w:pPr>
    <w:rPr>
      <w:rFonts w:ascii="Calibri" w:cs="Calibri" w:hAnsi="Calibri"/>
      <w:sz w:val="20"/>
      <w:szCs w:val="20"/>
    </w:rPr>
  </w:style>
  <w:style w:type="paragraph" w:styleId="style25">
    <w:name w:val="toc 7"/>
    <w:basedOn w:val="style0"/>
    <w:next w:val="style0"/>
    <w:uiPriority w:val="39"/>
    <w:pPr>
      <w:spacing w:after="0"/>
      <w:ind w:left="1440"/>
    </w:pPr>
    <w:rPr>
      <w:rFonts w:ascii="Calibri" w:cs="Calibri" w:hAnsi="Calibri"/>
      <w:sz w:val="20"/>
      <w:szCs w:val="20"/>
    </w:rPr>
  </w:style>
  <w:style w:type="paragraph" w:styleId="style26">
    <w:name w:val="toc 8"/>
    <w:basedOn w:val="style0"/>
    <w:next w:val="style0"/>
    <w:uiPriority w:val="39"/>
    <w:pPr>
      <w:spacing w:after="0"/>
      <w:ind w:left="1680"/>
    </w:pPr>
    <w:rPr>
      <w:rFonts w:ascii="Calibri" w:cs="Calibri" w:hAnsi="Calibri"/>
      <w:sz w:val="20"/>
      <w:szCs w:val="20"/>
    </w:rPr>
  </w:style>
  <w:style w:type="paragraph" w:styleId="style27">
    <w:name w:val="toc 9"/>
    <w:basedOn w:val="style0"/>
    <w:next w:val="style0"/>
    <w:uiPriority w:val="39"/>
    <w:pPr>
      <w:spacing w:after="0"/>
      <w:ind w:left="1920"/>
    </w:pPr>
    <w:rPr>
      <w:rFonts w:ascii="Calibri" w:cs="Calibri" w:hAnsi="Calibri"/>
      <w:sz w:val="20"/>
      <w:szCs w:val="20"/>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11" Type="http://schemas.openxmlformats.org/officeDocument/2006/relationships/customXml" Target="../customXml/item2.xml"/><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2.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overPageProperties xmlns="http://schemas.microsoft.com/office/2006/coverPageProps">
  <PublishDate>student id: </PublishDate>
  <Abstract/>
  <CompanyAddress/>
  <CompanyPhone/>
  <CompanyFax/>
  <CompanyEmail/>
</CoverPageProperties>
</file>

<file path=customXml/itemProps1.xml><?xml version="1.0" encoding="utf-8"?>
<ds:datastoreItem xmlns:ds="http://schemas.openxmlformats.org/officeDocument/2006/customXml" ds:itemID="{7468A085-5651-3740-81F7-A11910453A6D}">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3015</Words>
  <Pages>11</Pages>
  <Characters>17899</Characters>
  <Application>WPS Office</Application>
  <DocSecurity>0</DocSecurity>
  <Paragraphs>123</Paragraphs>
  <ScaleCrop>false</ScaleCrop>
  <Company>student name:</Company>
  <LinksUpToDate>false</LinksUpToDate>
  <CharactersWithSpaces>20842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2022-05-03T21:51:26Z</dcterms:created>
  <dc:creator>Dari-Anna A Kuseva</dc:creator>
  <lastModifiedBy>M2101K6G</lastModifiedBy>
  <dcterms:modified xsi:type="dcterms:W3CDTF">2022-05-03T21:51:26Z</dcterms:modified>
  <revision>5</revision>
  <dc:subject>Module Leader:</dc:subject>
  <dc:title>lcbb6002 international financial management: assignment 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0e83ba6543a948ec94faa77f369cb956</vt:lpwstr>
  </property>
</Properties>
</file>