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2E5913" w14:textId="46B18190" w:rsidR="00CA6E13" w:rsidRDefault="00CA6E13" w:rsidP="00CA6E13">
      <w:pPr>
        <w:jc w:val="center"/>
        <w:rPr>
          <w:b/>
          <w:bCs/>
          <w:sz w:val="28"/>
          <w:szCs w:val="28"/>
          <w:u w:val="single"/>
        </w:rPr>
      </w:pPr>
      <w:r w:rsidRPr="001641CD">
        <w:rPr>
          <w:b/>
          <w:bCs/>
          <w:sz w:val="28"/>
          <w:szCs w:val="28"/>
          <w:u w:val="single"/>
        </w:rPr>
        <w:t xml:space="preserve">Reform </w:t>
      </w:r>
      <w:proofErr w:type="gramStart"/>
      <w:r w:rsidRPr="001641CD">
        <w:rPr>
          <w:b/>
          <w:bCs/>
          <w:sz w:val="28"/>
          <w:szCs w:val="28"/>
          <w:u w:val="single"/>
        </w:rPr>
        <w:t>Of</w:t>
      </w:r>
      <w:proofErr w:type="gramEnd"/>
      <w:r w:rsidRPr="001641CD">
        <w:rPr>
          <w:b/>
          <w:bCs/>
          <w:sz w:val="28"/>
          <w:szCs w:val="28"/>
          <w:u w:val="single"/>
        </w:rPr>
        <w:t xml:space="preserve"> The Non-Fatal Offences Against The Person</w:t>
      </w:r>
      <w:r>
        <w:rPr>
          <w:b/>
          <w:bCs/>
          <w:sz w:val="28"/>
          <w:szCs w:val="28"/>
          <w:u w:val="single"/>
        </w:rPr>
        <w:t xml:space="preserve"> Act 1861</w:t>
      </w:r>
    </w:p>
    <w:p w14:paraId="22C45B7D" w14:textId="71E8AC5B" w:rsidR="00CA6E13" w:rsidRDefault="00CA6E13" w:rsidP="00CA6E13">
      <w:pPr>
        <w:jc w:val="center"/>
        <w:rPr>
          <w:b/>
          <w:bCs/>
          <w:sz w:val="28"/>
          <w:szCs w:val="28"/>
          <w:u w:val="single"/>
        </w:rPr>
      </w:pPr>
      <w:r>
        <w:rPr>
          <w:b/>
          <w:bCs/>
          <w:sz w:val="28"/>
          <w:szCs w:val="28"/>
          <w:u w:val="single"/>
        </w:rPr>
        <w:t>By Adnan Faisal Shamsdin - 1806587</w:t>
      </w:r>
    </w:p>
    <w:p w14:paraId="704A3E1F" w14:textId="77777777" w:rsidR="00CA6E13" w:rsidRDefault="00CA6E13" w:rsidP="00CF2DFA">
      <w:pPr>
        <w:spacing w:after="0" w:line="276" w:lineRule="auto"/>
        <w:rPr>
          <w:rFonts w:ascii="Arial" w:eastAsia="Times New Roman" w:hAnsi="Arial" w:cs="Arial"/>
          <w:lang w:eastAsia="en-GB"/>
        </w:rPr>
      </w:pPr>
    </w:p>
    <w:p w14:paraId="4764909A" w14:textId="77777777" w:rsidR="00CA6E13" w:rsidRDefault="00CA6E13" w:rsidP="00CF2DFA">
      <w:pPr>
        <w:spacing w:after="0" w:line="276" w:lineRule="auto"/>
        <w:rPr>
          <w:rFonts w:ascii="Arial" w:eastAsia="Times New Roman" w:hAnsi="Arial" w:cs="Arial"/>
          <w:lang w:eastAsia="en-GB"/>
        </w:rPr>
      </w:pPr>
    </w:p>
    <w:p w14:paraId="011179AF" w14:textId="6B3E12CF" w:rsidR="00A53651" w:rsidRPr="009177F5" w:rsidRDefault="00184AE9" w:rsidP="00CF2DFA">
      <w:pPr>
        <w:spacing w:after="0" w:line="276" w:lineRule="auto"/>
        <w:rPr>
          <w:rFonts w:ascii="Arial" w:eastAsia="Times New Roman" w:hAnsi="Arial" w:cs="Arial"/>
          <w:lang w:eastAsia="en-GB"/>
        </w:rPr>
      </w:pPr>
      <w:r w:rsidRPr="009177F5">
        <w:rPr>
          <w:rFonts w:ascii="Arial" w:eastAsia="Times New Roman" w:hAnsi="Arial" w:cs="Arial"/>
          <w:lang w:eastAsia="en-GB"/>
        </w:rPr>
        <w:t xml:space="preserve">To commit None-fatal offences means to administrate body harm to an individual that does not result in death. None-fatal offences can be any of the </w:t>
      </w:r>
      <w:r w:rsidR="00A53651" w:rsidRPr="009177F5">
        <w:rPr>
          <w:rFonts w:ascii="Arial" w:eastAsia="Times New Roman" w:hAnsi="Arial" w:cs="Arial"/>
          <w:lang w:eastAsia="en-GB"/>
        </w:rPr>
        <w:t>following:</w:t>
      </w:r>
      <w:r w:rsidRPr="009177F5">
        <w:rPr>
          <w:rFonts w:ascii="Arial" w:eastAsia="Times New Roman" w:hAnsi="Arial" w:cs="Arial"/>
          <w:lang w:eastAsia="en-GB"/>
        </w:rPr>
        <w:t xml:space="preserve"> assault, grievous bodily harm with intent (GBH</w:t>
      </w:r>
      <w:r w:rsidR="00A53651" w:rsidRPr="009177F5">
        <w:rPr>
          <w:rFonts w:ascii="Arial" w:eastAsia="Times New Roman" w:hAnsi="Arial" w:cs="Arial"/>
          <w:lang w:eastAsia="en-GB"/>
        </w:rPr>
        <w:t xml:space="preserve">), </w:t>
      </w:r>
      <w:r w:rsidRPr="009177F5">
        <w:rPr>
          <w:rFonts w:ascii="Arial" w:eastAsia="Times New Roman" w:hAnsi="Arial" w:cs="Arial"/>
          <w:lang w:eastAsia="en-GB"/>
        </w:rPr>
        <w:t>battery,</w:t>
      </w:r>
      <w:r w:rsidR="00A53651" w:rsidRPr="009177F5">
        <w:rPr>
          <w:rFonts w:ascii="Arial" w:eastAsia="Times New Roman" w:hAnsi="Arial" w:cs="Arial"/>
          <w:lang w:eastAsia="en-GB"/>
        </w:rPr>
        <w:t xml:space="preserve"> wounding, administrating</w:t>
      </w:r>
      <w:r w:rsidRPr="009177F5">
        <w:rPr>
          <w:rFonts w:ascii="Arial" w:eastAsia="Times New Roman" w:hAnsi="Arial" w:cs="Arial"/>
          <w:lang w:eastAsia="en-GB"/>
        </w:rPr>
        <w:t xml:space="preserve"> poisoning into a </w:t>
      </w:r>
      <w:r w:rsidR="00C6347C" w:rsidRPr="009177F5">
        <w:rPr>
          <w:rFonts w:ascii="Arial" w:eastAsia="Times New Roman" w:hAnsi="Arial" w:cs="Arial"/>
          <w:lang w:eastAsia="en-GB"/>
        </w:rPr>
        <w:t>person’s</w:t>
      </w:r>
      <w:r w:rsidRPr="009177F5">
        <w:rPr>
          <w:rFonts w:ascii="Arial" w:eastAsia="Times New Roman" w:hAnsi="Arial" w:cs="Arial"/>
          <w:lang w:eastAsia="en-GB"/>
        </w:rPr>
        <w:t xml:space="preserve"> body directly or indirectly, fluids such as acid and more. </w:t>
      </w:r>
      <w:r w:rsidR="00A53651" w:rsidRPr="009177F5">
        <w:rPr>
          <w:rFonts w:ascii="Arial" w:eastAsia="Times New Roman" w:hAnsi="Arial" w:cs="Arial"/>
          <w:lang w:eastAsia="en-GB"/>
        </w:rPr>
        <w:t xml:space="preserve">To commit assault, a person is showing intentions or recklessness to commit an unlawful act that they know will cause damage to an individual, usually an innocent party. </w:t>
      </w:r>
    </w:p>
    <w:p w14:paraId="4522CABD" w14:textId="77777777" w:rsidR="00A53651" w:rsidRPr="009177F5" w:rsidRDefault="00A53651" w:rsidP="00CF2DFA">
      <w:pPr>
        <w:spacing w:after="0" w:line="276" w:lineRule="auto"/>
        <w:rPr>
          <w:rFonts w:ascii="Arial" w:eastAsia="Times New Roman" w:hAnsi="Arial" w:cs="Arial"/>
          <w:lang w:eastAsia="en-GB"/>
        </w:rPr>
      </w:pPr>
    </w:p>
    <w:p w14:paraId="0509AB00" w14:textId="24BDB923" w:rsidR="007A0871" w:rsidRPr="009177F5" w:rsidRDefault="00A53651" w:rsidP="00CF2DFA">
      <w:pPr>
        <w:spacing w:after="0" w:line="276" w:lineRule="auto"/>
        <w:rPr>
          <w:rFonts w:ascii="Arial" w:eastAsia="Times New Roman" w:hAnsi="Arial" w:cs="Arial"/>
          <w:lang w:eastAsia="en-GB"/>
        </w:rPr>
      </w:pPr>
      <w:r w:rsidRPr="009177F5">
        <w:rPr>
          <w:rFonts w:ascii="Arial" w:eastAsia="Times New Roman" w:hAnsi="Arial" w:cs="Arial"/>
          <w:lang w:eastAsia="en-GB"/>
        </w:rPr>
        <w:t xml:space="preserve">To see the extent to which a crime is, you must check the chain of causation. This is established </w:t>
      </w:r>
      <w:r w:rsidR="00C6347C" w:rsidRPr="009177F5">
        <w:rPr>
          <w:rFonts w:ascii="Arial" w:eastAsia="Times New Roman" w:hAnsi="Arial" w:cs="Arial"/>
          <w:lang w:eastAsia="en-GB"/>
        </w:rPr>
        <w:t>by Mens</w:t>
      </w:r>
      <w:r w:rsidRPr="009177F5">
        <w:rPr>
          <w:rFonts w:ascii="Arial" w:eastAsia="Times New Roman" w:hAnsi="Arial" w:cs="Arial"/>
          <w:lang w:eastAsia="en-GB"/>
        </w:rPr>
        <w:t xml:space="preserve"> Rea, a </w:t>
      </w:r>
      <w:r w:rsidR="00C6347C" w:rsidRPr="009177F5">
        <w:rPr>
          <w:rFonts w:ascii="Arial" w:eastAsia="Times New Roman" w:hAnsi="Arial" w:cs="Arial"/>
          <w:lang w:eastAsia="en-GB"/>
        </w:rPr>
        <w:t>Latin</w:t>
      </w:r>
      <w:r w:rsidRPr="009177F5">
        <w:rPr>
          <w:rFonts w:ascii="Arial" w:eastAsia="Times New Roman" w:hAnsi="Arial" w:cs="Arial"/>
          <w:lang w:eastAsia="en-GB"/>
        </w:rPr>
        <w:t xml:space="preserve"> word that means </w:t>
      </w:r>
      <w:r w:rsidR="007A0871" w:rsidRPr="009177F5">
        <w:rPr>
          <w:rFonts w:ascii="Arial" w:eastAsia="Times New Roman" w:hAnsi="Arial" w:cs="Arial"/>
          <w:lang w:eastAsia="en-GB"/>
        </w:rPr>
        <w:t>for a person to have “guilty mind” though this varies depending on the intent and recklessness of the person. Actus Reus comes into act if the individual accused voluntarily commits a crime,</w:t>
      </w:r>
      <w:r w:rsidR="007A0871" w:rsidRPr="009177F5">
        <w:rPr>
          <w:rFonts w:ascii="Arial" w:hAnsi="Arial" w:cs="Arial"/>
          <w:shd w:val="clear" w:color="auto" w:fill="FFFFFF"/>
        </w:rPr>
        <w:t xml:space="preserve"> as opposed to the mental state of the accused</w:t>
      </w:r>
      <w:r w:rsidR="00981DD4">
        <w:rPr>
          <w:rFonts w:ascii="Arial" w:hAnsi="Arial" w:cs="Arial"/>
          <w:shd w:val="clear" w:color="auto" w:fill="FFFFFF"/>
        </w:rPr>
        <w:t>.</w:t>
      </w:r>
      <w:r w:rsidR="007A0871" w:rsidRPr="009177F5">
        <w:rPr>
          <w:rFonts w:ascii="Arial" w:eastAsia="Times New Roman" w:hAnsi="Arial" w:cs="Arial"/>
          <w:lang w:eastAsia="en-GB"/>
        </w:rPr>
        <w:t xml:space="preserve"> </w:t>
      </w:r>
      <w:r w:rsidR="007A0871" w:rsidRPr="009177F5">
        <w:rPr>
          <w:rFonts w:ascii="Arial" w:eastAsia="Times New Roman" w:hAnsi="Arial" w:cs="Arial"/>
          <w:i/>
          <w:iCs/>
          <w:lang w:eastAsia="en-GB"/>
        </w:rPr>
        <w:t>Actus reus</w:t>
      </w:r>
      <w:r w:rsidR="007A0871" w:rsidRPr="009177F5">
        <w:rPr>
          <w:rFonts w:ascii="Arial" w:eastAsia="Times New Roman" w:hAnsi="Arial" w:cs="Arial"/>
          <w:lang w:eastAsia="en-GB"/>
        </w:rPr>
        <w:t xml:space="preserve">: </w:t>
      </w:r>
      <w:r w:rsidR="007A0871" w:rsidRPr="009177F5">
        <w:rPr>
          <w:rFonts w:ascii="Arial" w:eastAsia="Times New Roman" w:hAnsi="Arial" w:cs="Arial"/>
          <w:i/>
          <w:iCs/>
          <w:lang w:eastAsia="en-GB"/>
        </w:rPr>
        <w:t xml:space="preserve">“an act which is more than merely preparatory to the commission of the offence” </w:t>
      </w:r>
      <w:r w:rsidR="007A0871" w:rsidRPr="009177F5">
        <w:rPr>
          <w:rFonts w:ascii="Arial" w:eastAsia="Times New Roman" w:hAnsi="Arial" w:cs="Arial"/>
          <w:i/>
          <w:iCs/>
          <w:cs/>
          <w:lang w:eastAsia="en-GB" w:bidi="mr-IN"/>
        </w:rPr>
        <w:t>–</w:t>
      </w:r>
      <w:r w:rsidR="007A0871" w:rsidRPr="009177F5">
        <w:rPr>
          <w:rFonts w:ascii="Arial" w:eastAsia="Times New Roman" w:hAnsi="Arial" w:cs="Arial"/>
          <w:lang w:eastAsia="en-GB"/>
        </w:rPr>
        <w:t xml:space="preserve"> S. 1(1)</w:t>
      </w:r>
      <w:r w:rsidR="007A0871" w:rsidRPr="009177F5">
        <w:rPr>
          <w:rFonts w:ascii="Arial" w:eastAsia="Times New Roman" w:hAnsi="Arial" w:cs="Arial"/>
          <w:i/>
          <w:iCs/>
          <w:lang w:eastAsia="en-GB"/>
        </w:rPr>
        <w:t xml:space="preserve"> </w:t>
      </w:r>
      <w:r w:rsidR="007A0871" w:rsidRPr="009177F5">
        <w:rPr>
          <w:rFonts w:ascii="Arial" w:eastAsia="Times New Roman" w:hAnsi="Arial" w:cs="Arial"/>
          <w:lang w:eastAsia="en-GB"/>
        </w:rPr>
        <w:t>Criminal Attempts Act 198</w:t>
      </w:r>
      <w:r w:rsidR="00981DD4">
        <w:rPr>
          <w:rFonts w:ascii="Arial" w:eastAsia="Times New Roman" w:hAnsi="Arial" w:cs="Arial"/>
          <w:lang w:eastAsia="en-GB"/>
        </w:rPr>
        <w:t>1</w:t>
      </w:r>
      <w:r w:rsidR="007A0871" w:rsidRPr="009177F5">
        <w:rPr>
          <w:rFonts w:ascii="Arial" w:eastAsia="Times New Roman" w:hAnsi="Arial" w:cs="Arial"/>
          <w:lang w:eastAsia="en-GB"/>
        </w:rPr>
        <w:t xml:space="preserve">. </w:t>
      </w:r>
    </w:p>
    <w:p w14:paraId="362A9071" w14:textId="19F41E4A" w:rsidR="000179EE" w:rsidRPr="009177F5" w:rsidRDefault="000179EE" w:rsidP="00CF2DFA">
      <w:pPr>
        <w:spacing w:after="0" w:line="276" w:lineRule="auto"/>
        <w:rPr>
          <w:rFonts w:ascii="Arial" w:eastAsia="Times New Roman" w:hAnsi="Arial" w:cs="Arial"/>
          <w:lang w:eastAsia="en-GB"/>
        </w:rPr>
      </w:pPr>
    </w:p>
    <w:p w14:paraId="76C63404" w14:textId="0F8B6C63" w:rsidR="000179EE" w:rsidRPr="009177F5" w:rsidRDefault="000179EE" w:rsidP="00CF2DFA">
      <w:pPr>
        <w:pStyle w:val="p1"/>
        <w:spacing w:before="0" w:beforeAutospacing="0" w:after="0" w:afterAutospacing="0" w:line="276" w:lineRule="auto"/>
        <w:rPr>
          <w:rStyle w:val="s1"/>
          <w:rFonts w:ascii="Arial" w:hAnsi="Arial" w:cs="Arial"/>
        </w:rPr>
      </w:pPr>
      <w:r w:rsidRPr="009177F5">
        <w:rPr>
          <w:rStyle w:val="s1"/>
          <w:rFonts w:ascii="Arial" w:hAnsi="Arial" w:cs="Arial"/>
        </w:rPr>
        <w:t xml:space="preserve">The following cases are good examples of both Actus Reus and Mens rea, in the case of R v Saunders 1573 the defendant attempted to murder his wife, he poisoned an apple with arsenic. Unfortunately, after taking a single bite herself, the wife fed the apple to the victim (their daughter) this resulted in her death. After further investigation, it was found that the apple had been tampered with. the court held that the man was liable for the murder and death of his daughter, not the wife as she was unaware and bite the apple herself. The defendant was unfaithful outside his marriage and wanted to marry another woman, though his intensions were to kill his wife he ended up killing his daughter. This case is an example of bodily harm that was attempt of murder. Applying Mens Rea, the recklessness and full awareness was included. The guilty mind had taken full action on his thoughts and showed intentions. </w:t>
      </w:r>
    </w:p>
    <w:p w14:paraId="25782427" w14:textId="0D0FA2A5" w:rsidR="000179EE" w:rsidRPr="009177F5" w:rsidRDefault="000179EE" w:rsidP="00CF2DFA">
      <w:pPr>
        <w:pStyle w:val="p1"/>
        <w:spacing w:before="0" w:beforeAutospacing="0" w:after="0" w:afterAutospacing="0" w:line="276" w:lineRule="auto"/>
        <w:rPr>
          <w:rStyle w:val="s1"/>
          <w:rFonts w:ascii="Arial" w:hAnsi="Arial" w:cs="Arial"/>
        </w:rPr>
      </w:pPr>
    </w:p>
    <w:p w14:paraId="2CC666A7" w14:textId="72C9B973" w:rsidR="000179EE" w:rsidRPr="009177F5" w:rsidRDefault="00707A98" w:rsidP="00CF2DFA">
      <w:pPr>
        <w:shd w:val="clear" w:color="auto" w:fill="FFFFFF"/>
        <w:spacing w:before="100" w:beforeAutospacing="1" w:after="100" w:afterAutospacing="1" w:line="276" w:lineRule="auto"/>
        <w:rPr>
          <w:rFonts w:ascii="Arial" w:eastAsia="Times New Roman" w:hAnsi="Arial" w:cs="Arial"/>
          <w:lang w:eastAsia="en-GB"/>
        </w:rPr>
      </w:pPr>
      <w:r w:rsidRPr="009177F5">
        <w:rPr>
          <w:rFonts w:ascii="Arial" w:eastAsia="Times New Roman" w:hAnsi="Arial" w:cs="Arial"/>
          <w:lang w:eastAsia="en-GB"/>
        </w:rPr>
        <w:t xml:space="preserve">In the case of R v Miller (1983), the defendant was illegally living in a house (squatting) during his stay he fell asleep whilst smoking the mattress lit of fire. The defendant’s careless behaviour led to a fire breakout, instead of putting extinguishing the fire when he suddenly woke up, he chose to ignore and placed himself on another mattress located in another room and continued his sleep. His actions led to the house completely be damaged as the fire took over. The House of Lords held, that the defendant was in fact responsible for the fire, and it was in his duty to put the fire out. As soon as he had awoken to the flames, he should have tried to minimise the effects of his action. The defendant chose otherwise and therefore his failure to perform his duty, he was charged and convicted of criminal damage.  Looking at the chain of causation, this case indicates the Actus Reus principle, the defendant caused damages to the property and could have potentially caused bodily harm to another individual had they been in the surrounding or within the property itself. The defendant’s physical element of the crime was visibly clear. </w:t>
      </w:r>
    </w:p>
    <w:p w14:paraId="453AAB30" w14:textId="77777777" w:rsidR="000179EE" w:rsidRPr="009177F5" w:rsidRDefault="000179EE" w:rsidP="00CF2DFA">
      <w:pPr>
        <w:spacing w:after="0" w:line="276" w:lineRule="auto"/>
        <w:rPr>
          <w:rFonts w:ascii="Arial" w:eastAsia="Times New Roman" w:hAnsi="Arial" w:cs="Arial"/>
          <w:lang w:eastAsia="en-GB"/>
        </w:rPr>
      </w:pPr>
    </w:p>
    <w:p w14:paraId="79C4289F" w14:textId="77777777" w:rsidR="008A5438" w:rsidRPr="009177F5" w:rsidRDefault="008A5438" w:rsidP="00CF2DFA">
      <w:pPr>
        <w:spacing w:after="0" w:line="276" w:lineRule="auto"/>
        <w:rPr>
          <w:rFonts w:ascii="Arial" w:eastAsia="Times New Roman" w:hAnsi="Arial" w:cs="Arial"/>
          <w:lang w:eastAsia="en-GB"/>
        </w:rPr>
      </w:pPr>
    </w:p>
    <w:p w14:paraId="63A36282" w14:textId="1CBF80FD" w:rsidR="007A0871" w:rsidRPr="009177F5" w:rsidRDefault="007A0D0E" w:rsidP="00CF2DFA">
      <w:pPr>
        <w:spacing w:after="0" w:line="276" w:lineRule="auto"/>
        <w:rPr>
          <w:rFonts w:ascii="Arial" w:eastAsia="Times New Roman" w:hAnsi="Arial" w:cs="Arial"/>
          <w:lang w:eastAsia="en-GB"/>
        </w:rPr>
      </w:pPr>
      <w:r w:rsidRPr="009177F5">
        <w:rPr>
          <w:rFonts w:ascii="Arial" w:eastAsia="Times New Roman" w:hAnsi="Arial" w:cs="Arial"/>
          <w:lang w:eastAsia="en-GB"/>
        </w:rPr>
        <w:t xml:space="preserve">The following two Non-Fatal offences though under the same sector have different meanings, for </w:t>
      </w:r>
      <w:r w:rsidR="00FD455E" w:rsidRPr="009177F5">
        <w:rPr>
          <w:rFonts w:ascii="Arial" w:eastAsia="Times New Roman" w:hAnsi="Arial" w:cs="Arial"/>
          <w:lang w:eastAsia="en-GB"/>
        </w:rPr>
        <w:t>instance.</w:t>
      </w:r>
      <w:r w:rsidRPr="009177F5">
        <w:rPr>
          <w:rFonts w:ascii="Arial" w:eastAsia="Times New Roman" w:hAnsi="Arial" w:cs="Arial"/>
          <w:lang w:eastAsia="en-GB"/>
        </w:rPr>
        <w:t xml:space="preserve"> </w:t>
      </w:r>
      <w:r w:rsidR="00FD455E" w:rsidRPr="009177F5">
        <w:rPr>
          <w:rFonts w:ascii="Arial" w:eastAsia="Times New Roman" w:hAnsi="Arial" w:cs="Arial"/>
          <w:lang w:eastAsia="en-GB"/>
        </w:rPr>
        <w:t xml:space="preserve"> </w:t>
      </w:r>
      <w:r w:rsidRPr="009177F5">
        <w:rPr>
          <w:rFonts w:ascii="Arial" w:eastAsia="Times New Roman" w:hAnsi="Arial" w:cs="Arial"/>
          <w:lang w:eastAsia="en-GB"/>
        </w:rPr>
        <w:t>To commit an a</w:t>
      </w:r>
      <w:r w:rsidR="00C6347C" w:rsidRPr="009177F5">
        <w:rPr>
          <w:rFonts w:ascii="Arial" w:eastAsia="Times New Roman" w:hAnsi="Arial" w:cs="Arial"/>
          <w:lang w:eastAsia="en-GB"/>
        </w:rPr>
        <w:t>ssaul</w:t>
      </w:r>
      <w:r w:rsidRPr="009177F5">
        <w:rPr>
          <w:rFonts w:ascii="Arial" w:eastAsia="Times New Roman" w:hAnsi="Arial" w:cs="Arial"/>
          <w:lang w:eastAsia="en-GB"/>
        </w:rPr>
        <w:t>t, it</w:t>
      </w:r>
      <w:r w:rsidR="00C6347C" w:rsidRPr="009177F5">
        <w:rPr>
          <w:rFonts w:ascii="Arial" w:eastAsia="Times New Roman" w:hAnsi="Arial" w:cs="Arial"/>
          <w:lang w:eastAsia="en-GB"/>
        </w:rPr>
        <w:t xml:space="preserve"> can be a verbal or physical attack that can cause harm to another. A threat of any kind, for example, using your body to show aggressive physical actions can be taken as a threat of causing physical damage putting the individual in instant danger can lead to a conviction.</w:t>
      </w:r>
      <w:r w:rsidR="00FD455E" w:rsidRPr="009177F5">
        <w:rPr>
          <w:rFonts w:ascii="Arial" w:eastAsia="Times New Roman" w:hAnsi="Arial" w:cs="Arial"/>
          <w:lang w:eastAsia="en-GB"/>
        </w:rPr>
        <w:t xml:space="preserve"> </w:t>
      </w:r>
      <w:r w:rsidRPr="009177F5">
        <w:rPr>
          <w:rFonts w:ascii="Arial" w:eastAsia="Times New Roman" w:hAnsi="Arial" w:cs="Arial"/>
          <w:lang w:eastAsia="en-GB"/>
        </w:rPr>
        <w:t>To commit b</w:t>
      </w:r>
      <w:r w:rsidR="00C6347C" w:rsidRPr="009177F5">
        <w:rPr>
          <w:rFonts w:ascii="Arial" w:eastAsia="Times New Roman" w:hAnsi="Arial" w:cs="Arial"/>
          <w:lang w:eastAsia="en-GB"/>
        </w:rPr>
        <w:t>attery</w:t>
      </w:r>
      <w:r w:rsidRPr="009177F5">
        <w:rPr>
          <w:rFonts w:ascii="Arial" w:eastAsia="Times New Roman" w:hAnsi="Arial" w:cs="Arial"/>
          <w:lang w:eastAsia="en-GB"/>
        </w:rPr>
        <w:t xml:space="preserve">, </w:t>
      </w:r>
      <w:r w:rsidR="00C6347C" w:rsidRPr="009177F5">
        <w:rPr>
          <w:rFonts w:ascii="Arial" w:eastAsia="Times New Roman" w:hAnsi="Arial" w:cs="Arial"/>
          <w:lang w:eastAsia="en-GB"/>
        </w:rPr>
        <w:t xml:space="preserve">you must be in direct </w:t>
      </w:r>
      <w:r w:rsidRPr="009177F5">
        <w:rPr>
          <w:rFonts w:ascii="Arial" w:eastAsia="Times New Roman" w:hAnsi="Arial" w:cs="Arial"/>
          <w:lang w:eastAsia="en-GB"/>
        </w:rPr>
        <w:t xml:space="preserve">physical </w:t>
      </w:r>
      <w:r w:rsidR="00C6347C" w:rsidRPr="009177F5">
        <w:rPr>
          <w:rFonts w:ascii="Arial" w:eastAsia="Times New Roman" w:hAnsi="Arial" w:cs="Arial"/>
          <w:lang w:eastAsia="en-GB"/>
        </w:rPr>
        <w:t xml:space="preserve">contact with </w:t>
      </w:r>
      <w:r w:rsidRPr="009177F5">
        <w:rPr>
          <w:rFonts w:ascii="Arial" w:eastAsia="Times New Roman" w:hAnsi="Arial" w:cs="Arial"/>
          <w:lang w:eastAsia="en-GB"/>
        </w:rPr>
        <w:t>t</w:t>
      </w:r>
      <w:r w:rsidR="00C6347C" w:rsidRPr="009177F5">
        <w:rPr>
          <w:rFonts w:ascii="Arial" w:eastAsia="Times New Roman" w:hAnsi="Arial" w:cs="Arial"/>
          <w:lang w:eastAsia="en-GB"/>
        </w:rPr>
        <w:t xml:space="preserve">he </w:t>
      </w:r>
      <w:r w:rsidRPr="009177F5">
        <w:rPr>
          <w:rFonts w:ascii="Arial" w:eastAsia="Times New Roman" w:hAnsi="Arial" w:cs="Arial"/>
          <w:lang w:eastAsia="en-GB"/>
        </w:rPr>
        <w:t>individual</w:t>
      </w:r>
      <w:r w:rsidR="00C6347C" w:rsidRPr="009177F5">
        <w:rPr>
          <w:rFonts w:ascii="Arial" w:eastAsia="Times New Roman" w:hAnsi="Arial" w:cs="Arial"/>
          <w:lang w:eastAsia="en-GB"/>
        </w:rPr>
        <w:t>, a direct</w:t>
      </w:r>
      <w:r w:rsidRPr="009177F5">
        <w:rPr>
          <w:rFonts w:ascii="Arial" w:eastAsia="Times New Roman" w:hAnsi="Arial" w:cs="Arial"/>
          <w:lang w:eastAsia="en-GB"/>
        </w:rPr>
        <w:t xml:space="preserve"> blow (punch) is an offence, any kind of unconsented touching that is being administrated by force is classed as assault. </w:t>
      </w:r>
    </w:p>
    <w:p w14:paraId="1EC204AD" w14:textId="384C056B" w:rsidR="007A0871" w:rsidRPr="009177F5" w:rsidRDefault="007A0871" w:rsidP="00CF2DFA">
      <w:pPr>
        <w:spacing w:after="0" w:line="276" w:lineRule="auto"/>
        <w:rPr>
          <w:rFonts w:ascii="Arial" w:eastAsia="Times New Roman" w:hAnsi="Arial" w:cs="Arial"/>
          <w:lang w:eastAsia="en-GB"/>
        </w:rPr>
      </w:pPr>
    </w:p>
    <w:p w14:paraId="2CE10653" w14:textId="77777777" w:rsidR="00B624C3" w:rsidRPr="009177F5" w:rsidRDefault="00B624C3" w:rsidP="00CF2DFA">
      <w:pPr>
        <w:pStyle w:val="p2"/>
        <w:spacing w:before="0" w:beforeAutospacing="0" w:after="0" w:afterAutospacing="0" w:line="276" w:lineRule="auto"/>
        <w:rPr>
          <w:rFonts w:ascii="Arial" w:hAnsi="Arial" w:cs="Arial"/>
        </w:rPr>
      </w:pPr>
    </w:p>
    <w:p w14:paraId="389B62DC" w14:textId="49EDAAB5" w:rsidR="00B624C3" w:rsidRPr="009177F5" w:rsidRDefault="00B624C3" w:rsidP="00CF2DFA">
      <w:pPr>
        <w:pStyle w:val="p1"/>
        <w:spacing w:before="0" w:beforeAutospacing="0" w:after="0" w:afterAutospacing="0" w:line="276" w:lineRule="auto"/>
        <w:rPr>
          <w:rStyle w:val="s1"/>
          <w:rFonts w:ascii="Arial" w:hAnsi="Arial" w:cs="Arial"/>
        </w:rPr>
      </w:pPr>
      <w:r w:rsidRPr="009177F5">
        <w:rPr>
          <w:rStyle w:val="s1"/>
          <w:rFonts w:ascii="Arial" w:hAnsi="Arial" w:cs="Arial"/>
        </w:rPr>
        <w:t xml:space="preserve">In the case of, R v </w:t>
      </w:r>
      <w:proofErr w:type="spellStart"/>
      <w:r w:rsidRPr="009177F5">
        <w:rPr>
          <w:rStyle w:val="s1"/>
          <w:rFonts w:ascii="Arial" w:hAnsi="Arial" w:cs="Arial"/>
        </w:rPr>
        <w:t>Bollom</w:t>
      </w:r>
      <w:proofErr w:type="spellEnd"/>
      <w:r w:rsidRPr="009177F5">
        <w:rPr>
          <w:rStyle w:val="s1"/>
          <w:rFonts w:ascii="Arial" w:hAnsi="Arial" w:cs="Arial"/>
        </w:rPr>
        <w:t xml:space="preserve"> 2004, the defendant assaulted his partners daughter, the infant was injured with numerous bruises and grazes. The defendant was convicted of GBH under s.18 OAPA 1861. The defendant appealed that the injuries to the </w:t>
      </w:r>
      <w:r w:rsidR="005B54E2" w:rsidRPr="009177F5">
        <w:rPr>
          <w:rStyle w:val="s1"/>
          <w:rFonts w:ascii="Arial" w:hAnsi="Arial" w:cs="Arial"/>
        </w:rPr>
        <w:t>17-month-old</w:t>
      </w:r>
      <w:r w:rsidRPr="009177F5">
        <w:rPr>
          <w:rStyle w:val="s1"/>
          <w:rFonts w:ascii="Arial" w:hAnsi="Arial" w:cs="Arial"/>
        </w:rPr>
        <w:t xml:space="preserve"> girl were not life-threatening or serious for him to be convicted of GBH. The defendant also argues that the victims age should not be taken into consideration and his conviction be removed.  </w:t>
      </w:r>
    </w:p>
    <w:p w14:paraId="10B0182F" w14:textId="77777777" w:rsidR="00B624C3" w:rsidRPr="009177F5" w:rsidRDefault="00B624C3" w:rsidP="00CF2DFA">
      <w:pPr>
        <w:pStyle w:val="p1"/>
        <w:spacing w:before="0" w:beforeAutospacing="0" w:after="0" w:afterAutospacing="0" w:line="276" w:lineRule="auto"/>
        <w:rPr>
          <w:rStyle w:val="s1"/>
          <w:rFonts w:ascii="Arial" w:hAnsi="Arial" w:cs="Arial"/>
        </w:rPr>
      </w:pPr>
    </w:p>
    <w:p w14:paraId="1FE95E59" w14:textId="2ED4FE1B" w:rsidR="005C40A9" w:rsidRPr="009177F5" w:rsidRDefault="00B624C3" w:rsidP="00CF2DFA">
      <w:pPr>
        <w:pStyle w:val="p1"/>
        <w:spacing w:before="0" w:beforeAutospacing="0" w:after="0" w:afterAutospacing="0" w:line="276" w:lineRule="auto"/>
        <w:rPr>
          <w:rStyle w:val="s1"/>
          <w:rFonts w:ascii="Arial" w:eastAsia="Times New Roman" w:hAnsi="Arial" w:cs="Arial"/>
        </w:rPr>
      </w:pPr>
      <w:r w:rsidRPr="009177F5">
        <w:rPr>
          <w:rStyle w:val="s1"/>
          <w:rFonts w:ascii="Arial" w:hAnsi="Arial" w:cs="Arial"/>
        </w:rPr>
        <w:t xml:space="preserve">It was jury held, that they are in full right to take the victims age into account as it shows their </w:t>
      </w:r>
      <w:r w:rsidR="005B54E2" w:rsidRPr="009177F5">
        <w:rPr>
          <w:rStyle w:val="s1"/>
          <w:rFonts w:ascii="Arial" w:hAnsi="Arial" w:cs="Arial"/>
        </w:rPr>
        <w:t>vulnerability</w:t>
      </w:r>
      <w:r w:rsidRPr="009177F5">
        <w:rPr>
          <w:rStyle w:val="s1"/>
          <w:rFonts w:ascii="Arial" w:hAnsi="Arial" w:cs="Arial"/>
        </w:rPr>
        <w:t xml:space="preserve">. However, with further medical examination, the report stated that the attack on the infant was not from one attack but from previous events that could not be accounted </w:t>
      </w:r>
      <w:r w:rsidR="005B54E2" w:rsidRPr="009177F5">
        <w:rPr>
          <w:rStyle w:val="s1"/>
          <w:rFonts w:ascii="Arial" w:hAnsi="Arial" w:cs="Arial"/>
        </w:rPr>
        <w:t>for</w:t>
      </w:r>
      <w:r w:rsidRPr="009177F5">
        <w:rPr>
          <w:rStyle w:val="s1"/>
          <w:rFonts w:ascii="Arial" w:hAnsi="Arial" w:cs="Arial"/>
        </w:rPr>
        <w:t xml:space="preserve">, this </w:t>
      </w:r>
      <w:r w:rsidR="005B54E2" w:rsidRPr="009177F5">
        <w:rPr>
          <w:rStyle w:val="s1"/>
          <w:rFonts w:ascii="Arial" w:hAnsi="Arial" w:cs="Arial"/>
        </w:rPr>
        <w:t>led</w:t>
      </w:r>
      <w:r w:rsidRPr="009177F5">
        <w:rPr>
          <w:rStyle w:val="s1"/>
          <w:rFonts w:ascii="Arial" w:hAnsi="Arial" w:cs="Arial"/>
        </w:rPr>
        <w:t xml:space="preserve"> to the GBH </w:t>
      </w:r>
      <w:r w:rsidR="005B54E2" w:rsidRPr="009177F5">
        <w:rPr>
          <w:rStyle w:val="s1"/>
          <w:rFonts w:ascii="Arial" w:hAnsi="Arial" w:cs="Arial"/>
        </w:rPr>
        <w:t>conviction</w:t>
      </w:r>
      <w:r w:rsidRPr="009177F5">
        <w:rPr>
          <w:rStyle w:val="s1"/>
          <w:rFonts w:ascii="Arial" w:hAnsi="Arial" w:cs="Arial"/>
        </w:rPr>
        <w:t xml:space="preserve"> to be removed, though the defendant was </w:t>
      </w:r>
      <w:r w:rsidR="005B54E2" w:rsidRPr="009177F5">
        <w:rPr>
          <w:rStyle w:val="s1"/>
          <w:rFonts w:ascii="Arial" w:hAnsi="Arial" w:cs="Arial"/>
        </w:rPr>
        <w:t>convicted</w:t>
      </w:r>
      <w:r w:rsidRPr="009177F5">
        <w:rPr>
          <w:rStyle w:val="s1"/>
          <w:rFonts w:ascii="Arial" w:hAnsi="Arial" w:cs="Arial"/>
        </w:rPr>
        <w:t xml:space="preserve"> under the </w:t>
      </w:r>
      <w:r w:rsidR="005B54E2" w:rsidRPr="009177F5">
        <w:rPr>
          <w:rStyle w:val="s1"/>
          <w:rFonts w:ascii="Arial" w:hAnsi="Arial" w:cs="Arial"/>
        </w:rPr>
        <w:t>grounds</w:t>
      </w:r>
      <w:r w:rsidRPr="009177F5">
        <w:rPr>
          <w:rStyle w:val="s1"/>
          <w:rFonts w:ascii="Arial" w:hAnsi="Arial" w:cs="Arial"/>
        </w:rPr>
        <w:t xml:space="preserve"> of actual </w:t>
      </w:r>
      <w:r w:rsidR="005B54E2" w:rsidRPr="009177F5">
        <w:rPr>
          <w:rStyle w:val="s1"/>
          <w:rFonts w:ascii="Arial" w:hAnsi="Arial" w:cs="Arial"/>
        </w:rPr>
        <w:t>bodily</w:t>
      </w:r>
      <w:r w:rsidRPr="009177F5">
        <w:rPr>
          <w:rStyle w:val="s1"/>
          <w:rFonts w:ascii="Arial" w:hAnsi="Arial" w:cs="Arial"/>
        </w:rPr>
        <w:t xml:space="preserve"> harm (ABH) </w:t>
      </w:r>
      <w:r w:rsidRPr="009177F5">
        <w:rPr>
          <w:rFonts w:ascii="Arial" w:hAnsi="Arial" w:cs="Arial"/>
          <w:shd w:val="clear" w:color="auto" w:fill="FFFFFF"/>
        </w:rPr>
        <w:t>under the Offences Against the Person Act 1861</w:t>
      </w:r>
      <w:r w:rsidRPr="009177F5">
        <w:rPr>
          <w:rStyle w:val="FootnoteReference"/>
          <w:rFonts w:ascii="Arial" w:hAnsi="Arial" w:cs="Arial"/>
          <w:shd w:val="clear" w:color="auto" w:fill="FFFFFF"/>
        </w:rPr>
        <w:footnoteReference w:id="1"/>
      </w:r>
      <w:r w:rsidRPr="009177F5">
        <w:rPr>
          <w:rStyle w:val="s1"/>
          <w:rFonts w:ascii="Arial" w:hAnsi="Arial" w:cs="Arial"/>
        </w:rPr>
        <w:t xml:space="preserve">. ABH has a </w:t>
      </w:r>
      <w:r w:rsidR="005B54E2" w:rsidRPr="009177F5">
        <w:rPr>
          <w:rStyle w:val="s1"/>
          <w:rFonts w:ascii="Arial" w:hAnsi="Arial" w:cs="Arial"/>
        </w:rPr>
        <w:t>conviction</w:t>
      </w:r>
      <w:r w:rsidRPr="009177F5">
        <w:rPr>
          <w:rStyle w:val="s1"/>
          <w:rFonts w:ascii="Arial" w:hAnsi="Arial" w:cs="Arial"/>
        </w:rPr>
        <w:t xml:space="preserve"> timeline of only 5 years with a fine (not necessary) as the victim suffered from injuries </w:t>
      </w:r>
      <w:r w:rsidR="005C40A9" w:rsidRPr="009177F5">
        <w:rPr>
          <w:rStyle w:val="s1"/>
          <w:rFonts w:ascii="Arial" w:hAnsi="Arial" w:cs="Arial"/>
        </w:rPr>
        <w:t>were not severe enough to be considered as GBH</w:t>
      </w:r>
      <w:r w:rsidRPr="009177F5">
        <w:rPr>
          <w:rStyle w:val="s1"/>
          <w:rFonts w:ascii="Arial" w:hAnsi="Arial" w:cs="Arial"/>
        </w:rPr>
        <w:t xml:space="preserve">. </w:t>
      </w:r>
      <w:r w:rsidR="005C40A9" w:rsidRPr="009177F5">
        <w:rPr>
          <w:rFonts w:ascii="Arial" w:hAnsi="Arial" w:cs="Arial"/>
        </w:rPr>
        <w:t xml:space="preserve">Judge, </w:t>
      </w:r>
      <w:r w:rsidRPr="009177F5">
        <w:rPr>
          <w:rStyle w:val="s1"/>
          <w:rFonts w:ascii="Arial" w:hAnsi="Arial" w:cs="Arial"/>
        </w:rPr>
        <w:t>Fulford J</w:t>
      </w:r>
      <w:r w:rsidR="005C40A9" w:rsidRPr="009177F5">
        <w:rPr>
          <w:rStyle w:val="s1"/>
          <w:rFonts w:ascii="Arial" w:hAnsi="Arial" w:cs="Arial"/>
        </w:rPr>
        <w:t xml:space="preserve">, stated: </w:t>
      </w:r>
      <w:r w:rsidRPr="009177F5">
        <w:rPr>
          <w:rStyle w:val="s1"/>
          <w:rFonts w:ascii="Arial" w:hAnsi="Arial" w:cs="Arial"/>
        </w:rPr>
        <w:t xml:space="preserve">" He suggests the age, health or any other particular factors relating to the person harmed should be ignored when deciding whether the injuries amounted to really serious harm. We are unable to accept that proposition. To use this case as an example, these injuries on a </w:t>
      </w:r>
      <w:r w:rsidR="005B54E2" w:rsidRPr="009177F5">
        <w:rPr>
          <w:rStyle w:val="s1"/>
          <w:rFonts w:ascii="Arial" w:hAnsi="Arial" w:cs="Arial"/>
        </w:rPr>
        <w:t>6-foot</w:t>
      </w:r>
      <w:r w:rsidRPr="009177F5">
        <w:rPr>
          <w:rStyle w:val="s1"/>
          <w:rFonts w:ascii="Arial" w:hAnsi="Arial" w:cs="Arial"/>
        </w:rPr>
        <w:t xml:space="preserve"> adult in the fullness of health would be less serious than on, for instance, an elderly or unwell person, on someone who was physically or psychiatrically vulnerable or, as here, on a very young child. In deciding whether injuries are grievous, an assessment </w:t>
      </w:r>
      <w:r w:rsidR="005B54E2" w:rsidRPr="009177F5">
        <w:rPr>
          <w:rStyle w:val="s1"/>
          <w:rFonts w:ascii="Arial" w:hAnsi="Arial" w:cs="Arial"/>
        </w:rPr>
        <w:t>must</w:t>
      </w:r>
      <w:r w:rsidRPr="009177F5">
        <w:rPr>
          <w:rStyle w:val="s1"/>
          <w:rFonts w:ascii="Arial" w:hAnsi="Arial" w:cs="Arial"/>
        </w:rPr>
        <w:t xml:space="preserve"> be made of, amongst other things, the effect of the harm on the </w:t>
      </w:r>
      <w:r w:rsidR="005B54E2" w:rsidRPr="009177F5">
        <w:rPr>
          <w:rStyle w:val="s1"/>
          <w:rFonts w:ascii="Arial" w:hAnsi="Arial" w:cs="Arial"/>
        </w:rPr>
        <w:t>individual</w:t>
      </w:r>
      <w:r w:rsidRPr="009177F5">
        <w:rPr>
          <w:rStyle w:val="s1"/>
          <w:rFonts w:ascii="Arial" w:hAnsi="Arial" w:cs="Arial"/>
        </w:rPr>
        <w:t xml:space="preserve">. </w:t>
      </w:r>
      <w:r w:rsidR="000905D4">
        <w:rPr>
          <w:rStyle w:val="s1"/>
          <w:rFonts w:ascii="Arial" w:hAnsi="Arial" w:cs="Arial"/>
        </w:rPr>
        <w:t>“</w:t>
      </w:r>
      <w:r w:rsidRPr="009177F5">
        <w:rPr>
          <w:rStyle w:val="s1"/>
          <w:rFonts w:ascii="Arial" w:hAnsi="Arial" w:cs="Arial"/>
        </w:rPr>
        <w:t>We have no doubt that in determining the gravity of these injuries, it was necessary to consider them in their real context.</w:t>
      </w:r>
      <w:r w:rsidR="00981DD4" w:rsidRPr="009177F5">
        <w:rPr>
          <w:rStyle w:val="s1"/>
          <w:rFonts w:ascii="Arial" w:hAnsi="Arial" w:cs="Arial"/>
        </w:rPr>
        <w:t xml:space="preserve"> </w:t>
      </w:r>
      <w:r w:rsidRPr="009177F5">
        <w:rPr>
          <w:rStyle w:val="s1"/>
          <w:rFonts w:ascii="Arial" w:hAnsi="Arial" w:cs="Arial"/>
        </w:rPr>
        <w:t>"</w:t>
      </w:r>
      <w:r w:rsidR="005C40A9" w:rsidRPr="009177F5">
        <w:rPr>
          <w:rStyle w:val="s1"/>
          <w:rFonts w:ascii="Arial" w:hAnsi="Arial" w:cs="Arial"/>
        </w:rPr>
        <w:t xml:space="preserve"> This statement demonstrates, the </w:t>
      </w:r>
      <w:r w:rsidR="005B54E2" w:rsidRPr="009177F5">
        <w:rPr>
          <w:rStyle w:val="s1"/>
          <w:rFonts w:ascii="Arial" w:hAnsi="Arial" w:cs="Arial"/>
        </w:rPr>
        <w:t>defendant’s</w:t>
      </w:r>
      <w:r w:rsidR="005C40A9" w:rsidRPr="009177F5">
        <w:rPr>
          <w:rStyle w:val="s1"/>
          <w:rFonts w:ascii="Arial" w:hAnsi="Arial" w:cs="Arial"/>
        </w:rPr>
        <w:t xml:space="preserve"> loss in their appeal, his actions were to be accountable for, his mental state was not as fault nor did he show remorse for his attack on the victim. Though the attack was non-fatal the offence was serious enough to cause serious damages. The following </w:t>
      </w:r>
      <w:r w:rsidR="005C40A9" w:rsidRPr="009177F5">
        <w:rPr>
          <w:rFonts w:ascii="Arial" w:eastAsia="Times New Roman" w:hAnsi="Arial" w:cs="Arial"/>
        </w:rPr>
        <w:t>OAPA 1861 Act is listed under the non-fatal offences. Under Section 47, the offence of committing ABH</w:t>
      </w:r>
      <w:r w:rsidR="005C40A9" w:rsidRPr="009177F5">
        <w:rPr>
          <w:rStyle w:val="FootnoteReference"/>
          <w:rFonts w:ascii="Arial" w:eastAsia="Times New Roman" w:hAnsi="Arial" w:cs="Arial"/>
        </w:rPr>
        <w:footnoteReference w:id="2"/>
      </w:r>
      <w:r w:rsidR="005C40A9" w:rsidRPr="009177F5">
        <w:rPr>
          <w:rFonts w:ascii="Arial" w:eastAsia="Times New Roman" w:hAnsi="Arial" w:cs="Arial"/>
        </w:rPr>
        <w:t xml:space="preserve">, and under Section 20 Inflicting bodily injury, with or without weapon. These two acts can apply to the case has the defendant has committed ABH without a weapon and conflicted damage. </w:t>
      </w:r>
    </w:p>
    <w:p w14:paraId="520E99F7" w14:textId="39268192" w:rsidR="005C40A9" w:rsidRPr="009177F5" w:rsidRDefault="005C40A9" w:rsidP="00CF2DFA">
      <w:pPr>
        <w:pStyle w:val="p1"/>
        <w:spacing w:before="0" w:beforeAutospacing="0" w:after="0" w:afterAutospacing="0" w:line="276" w:lineRule="auto"/>
        <w:rPr>
          <w:rStyle w:val="s1"/>
          <w:rFonts w:ascii="Arial" w:hAnsi="Arial" w:cs="Arial"/>
        </w:rPr>
      </w:pPr>
    </w:p>
    <w:p w14:paraId="4098FA62" w14:textId="70E9991E" w:rsidR="00637CA5" w:rsidRPr="009177F5" w:rsidRDefault="00637CA5" w:rsidP="00CF2DFA">
      <w:pPr>
        <w:pStyle w:val="p1"/>
        <w:spacing w:before="0" w:beforeAutospacing="0" w:after="0" w:afterAutospacing="0" w:line="276" w:lineRule="auto"/>
        <w:rPr>
          <w:rStyle w:val="s1"/>
          <w:rFonts w:ascii="Arial" w:hAnsi="Arial" w:cs="Arial"/>
        </w:rPr>
      </w:pPr>
      <w:r w:rsidRPr="009177F5">
        <w:rPr>
          <w:rStyle w:val="s1"/>
          <w:rFonts w:ascii="Arial" w:hAnsi="Arial" w:cs="Arial"/>
        </w:rPr>
        <w:t xml:space="preserve">Similarly, in </w:t>
      </w:r>
      <w:r w:rsidR="00F52083" w:rsidRPr="009177F5">
        <w:rPr>
          <w:rStyle w:val="s1"/>
          <w:rFonts w:ascii="Arial" w:hAnsi="Arial" w:cs="Arial"/>
        </w:rPr>
        <w:t xml:space="preserve">another </w:t>
      </w:r>
      <w:r w:rsidR="008644AB" w:rsidRPr="009177F5">
        <w:rPr>
          <w:rStyle w:val="s1"/>
          <w:rFonts w:ascii="Arial" w:hAnsi="Arial" w:cs="Arial"/>
        </w:rPr>
        <w:t>case, R</w:t>
      </w:r>
      <w:r w:rsidRPr="009177F5">
        <w:rPr>
          <w:rStyle w:val="s1"/>
          <w:rFonts w:ascii="Arial" w:hAnsi="Arial" w:cs="Arial"/>
        </w:rPr>
        <w:t xml:space="preserve"> v Miller 1954, the defendant was accused of rape by his wife who was filing for a divorce, the defendant attacked his wife by slamming her onto the ground and then proceeded to engaged in sexual intercourse with the claimant without consent. </w:t>
      </w:r>
    </w:p>
    <w:p w14:paraId="69F57A39" w14:textId="095ECC6E" w:rsidR="00637CA5" w:rsidRPr="009177F5" w:rsidRDefault="00637CA5" w:rsidP="00CF2DFA">
      <w:pPr>
        <w:pStyle w:val="p1"/>
        <w:spacing w:before="0" w:beforeAutospacing="0" w:after="0" w:afterAutospacing="0" w:line="276" w:lineRule="auto"/>
        <w:rPr>
          <w:rStyle w:val="s1"/>
          <w:rFonts w:ascii="Arial" w:hAnsi="Arial" w:cs="Arial"/>
        </w:rPr>
      </w:pPr>
    </w:p>
    <w:p w14:paraId="51298F47" w14:textId="2DDDA0E3" w:rsidR="00637CA5" w:rsidRPr="009177F5" w:rsidRDefault="00637CA5" w:rsidP="00CF2DFA">
      <w:pPr>
        <w:pStyle w:val="p1"/>
        <w:spacing w:before="0" w:beforeAutospacing="0" w:after="0" w:afterAutospacing="0" w:line="276" w:lineRule="auto"/>
        <w:rPr>
          <w:rFonts w:ascii="Arial" w:hAnsi="Arial" w:cs="Arial"/>
        </w:rPr>
      </w:pPr>
      <w:r w:rsidRPr="009177F5">
        <w:rPr>
          <w:rStyle w:val="s1"/>
          <w:rFonts w:ascii="Arial" w:hAnsi="Arial" w:cs="Arial"/>
        </w:rPr>
        <w:lastRenderedPageBreak/>
        <w:t xml:space="preserve">The court held, that the defendant will be charged for his assault. He was charged with rape and actual BDH, though opposed under s.47 OAPA 1861. The defendant argues that </w:t>
      </w:r>
      <w:r w:rsidR="005B54E2" w:rsidRPr="009177F5">
        <w:rPr>
          <w:rStyle w:val="s1"/>
          <w:rFonts w:ascii="Arial" w:hAnsi="Arial" w:cs="Arial"/>
        </w:rPr>
        <w:t>their</w:t>
      </w:r>
      <w:r w:rsidRPr="009177F5">
        <w:rPr>
          <w:rStyle w:val="s1"/>
          <w:rFonts w:ascii="Arial" w:hAnsi="Arial" w:cs="Arial"/>
        </w:rPr>
        <w:t xml:space="preserve"> marriage was still existing and that was sufficient consent. Therefore, his </w:t>
      </w:r>
      <w:r w:rsidR="005B54E2" w:rsidRPr="009177F5">
        <w:rPr>
          <w:rStyle w:val="s1"/>
          <w:rFonts w:ascii="Arial" w:hAnsi="Arial" w:cs="Arial"/>
        </w:rPr>
        <w:t>wife’s</w:t>
      </w:r>
      <w:r w:rsidRPr="009177F5">
        <w:rPr>
          <w:rStyle w:val="s1"/>
          <w:rFonts w:ascii="Arial" w:hAnsi="Arial" w:cs="Arial"/>
        </w:rPr>
        <w:t xml:space="preserve"> sudden shock is not </w:t>
      </w:r>
      <w:r w:rsidR="005B54E2" w:rsidRPr="009177F5">
        <w:rPr>
          <w:rStyle w:val="s1"/>
          <w:rFonts w:ascii="Arial" w:hAnsi="Arial" w:cs="Arial"/>
        </w:rPr>
        <w:t>sufficient</w:t>
      </w:r>
      <w:r w:rsidRPr="009177F5">
        <w:rPr>
          <w:rStyle w:val="s1"/>
          <w:rFonts w:ascii="Arial" w:hAnsi="Arial" w:cs="Arial"/>
        </w:rPr>
        <w:t xml:space="preserve"> to allow him to be charged with bodily injury. Nevertheless, the marital consent argument was to be overruled in the case of</w:t>
      </w:r>
      <w:r w:rsidR="00285120" w:rsidRPr="009177F5">
        <w:rPr>
          <w:rStyle w:val="s1"/>
          <w:rFonts w:ascii="Arial" w:hAnsi="Arial" w:cs="Arial"/>
        </w:rPr>
        <w:t xml:space="preserve"> R v Miller (1954).</w:t>
      </w:r>
      <w:r w:rsidRPr="009177F5">
        <w:rPr>
          <w:rStyle w:val="s1"/>
          <w:rFonts w:ascii="Arial" w:hAnsi="Arial" w:cs="Arial"/>
          <w:u w:val="single"/>
        </w:rPr>
        <w:t xml:space="preserve"> </w:t>
      </w:r>
      <w:r w:rsidR="00CA6E13" w:rsidRPr="009177F5">
        <w:rPr>
          <w:rStyle w:val="s1"/>
          <w:rFonts w:ascii="Arial" w:hAnsi="Arial" w:cs="Arial"/>
        </w:rPr>
        <w:t>However,</w:t>
      </w:r>
      <w:r w:rsidRPr="009177F5">
        <w:rPr>
          <w:rStyle w:val="s1"/>
          <w:rFonts w:ascii="Arial" w:hAnsi="Arial" w:cs="Arial"/>
        </w:rPr>
        <w:t xml:space="preserve"> </w:t>
      </w:r>
      <w:r w:rsidR="00EE2253" w:rsidRPr="009177F5">
        <w:rPr>
          <w:rStyle w:val="s1"/>
          <w:rFonts w:ascii="Arial" w:hAnsi="Arial" w:cs="Arial"/>
        </w:rPr>
        <w:t xml:space="preserve">this allowed the </w:t>
      </w:r>
      <w:r w:rsidR="005B54E2" w:rsidRPr="009177F5">
        <w:rPr>
          <w:rStyle w:val="s1"/>
          <w:rFonts w:ascii="Arial" w:hAnsi="Arial" w:cs="Arial"/>
        </w:rPr>
        <w:t>defendant</w:t>
      </w:r>
      <w:r w:rsidR="00EE2253" w:rsidRPr="009177F5">
        <w:rPr>
          <w:rStyle w:val="s1"/>
          <w:rFonts w:ascii="Arial" w:hAnsi="Arial" w:cs="Arial"/>
        </w:rPr>
        <w:t xml:space="preserve"> to only be convicted of ABH as the grounds were strong enough to prove that there was sufficient intention to </w:t>
      </w:r>
      <w:r w:rsidR="00CA6E13" w:rsidRPr="009177F5">
        <w:rPr>
          <w:rStyle w:val="s1"/>
          <w:rFonts w:ascii="Arial" w:hAnsi="Arial" w:cs="Arial"/>
        </w:rPr>
        <w:t>harm,</w:t>
      </w:r>
      <w:r w:rsidR="00EE2253" w:rsidRPr="009177F5">
        <w:rPr>
          <w:rStyle w:val="s1"/>
          <w:rFonts w:ascii="Arial" w:hAnsi="Arial" w:cs="Arial"/>
        </w:rPr>
        <w:t xml:space="preserve"> but no </w:t>
      </w:r>
      <w:r w:rsidR="005B54E2" w:rsidRPr="009177F5">
        <w:rPr>
          <w:rStyle w:val="s1"/>
          <w:rFonts w:ascii="Arial" w:hAnsi="Arial" w:cs="Arial"/>
        </w:rPr>
        <w:t>conviction</w:t>
      </w:r>
      <w:r w:rsidR="00EE2253" w:rsidRPr="009177F5">
        <w:rPr>
          <w:rStyle w:val="s1"/>
          <w:rFonts w:ascii="Arial" w:hAnsi="Arial" w:cs="Arial"/>
        </w:rPr>
        <w:t xml:space="preserve"> of rape was to be charged. </w:t>
      </w:r>
      <w:r w:rsidR="00EE2253" w:rsidRPr="009177F5">
        <w:rPr>
          <w:rFonts w:ascii="Arial" w:hAnsi="Arial" w:cs="Arial"/>
        </w:rPr>
        <w:t xml:space="preserve">Judge Lynsky, </w:t>
      </w:r>
      <w:r w:rsidR="00EE2253" w:rsidRPr="009177F5">
        <w:rPr>
          <w:rStyle w:val="s1"/>
          <w:rFonts w:ascii="Arial" w:hAnsi="Arial" w:cs="Arial"/>
        </w:rPr>
        <w:t xml:space="preserve">stated that </w:t>
      </w:r>
      <w:r w:rsidRPr="009177F5">
        <w:rPr>
          <w:rStyle w:val="s1"/>
          <w:rFonts w:ascii="Arial" w:hAnsi="Arial" w:cs="Arial"/>
        </w:rPr>
        <w:t>"Actual bodily harm includes any hurt or injury calculated to interfere with the health or comfort of the victim</w:t>
      </w:r>
      <w:r w:rsidR="00EE2253" w:rsidRPr="009177F5">
        <w:rPr>
          <w:rStyle w:val="FootnoteReference"/>
          <w:rFonts w:ascii="Arial" w:hAnsi="Arial" w:cs="Arial"/>
        </w:rPr>
        <w:footnoteReference w:id="3"/>
      </w:r>
      <w:r w:rsidRPr="009177F5">
        <w:rPr>
          <w:rStyle w:val="s1"/>
          <w:rFonts w:ascii="Arial" w:hAnsi="Arial" w:cs="Arial"/>
        </w:rPr>
        <w:t>"</w:t>
      </w:r>
    </w:p>
    <w:p w14:paraId="1545A033" w14:textId="69CBF307" w:rsidR="00637CA5" w:rsidRPr="009177F5" w:rsidRDefault="00637CA5" w:rsidP="00CF2DFA">
      <w:pPr>
        <w:pStyle w:val="p1"/>
        <w:spacing w:before="0" w:beforeAutospacing="0" w:after="0" w:afterAutospacing="0" w:line="276" w:lineRule="auto"/>
        <w:rPr>
          <w:rStyle w:val="s1"/>
          <w:rFonts w:ascii="Arial" w:hAnsi="Arial" w:cs="Arial"/>
        </w:rPr>
      </w:pPr>
    </w:p>
    <w:p w14:paraId="60C304D7" w14:textId="79A389FD" w:rsidR="005B54E2" w:rsidRPr="009177F5" w:rsidRDefault="00E87E48" w:rsidP="00CF2DFA">
      <w:pPr>
        <w:pStyle w:val="p1"/>
        <w:spacing w:before="0" w:beforeAutospacing="0" w:after="0" w:afterAutospacing="0" w:line="276" w:lineRule="auto"/>
        <w:rPr>
          <w:rStyle w:val="s1"/>
          <w:rFonts w:ascii="Arial" w:hAnsi="Arial" w:cs="Arial"/>
        </w:rPr>
      </w:pPr>
      <w:r w:rsidRPr="009177F5">
        <w:rPr>
          <w:rStyle w:val="s1"/>
          <w:rFonts w:ascii="Arial" w:hAnsi="Arial" w:cs="Arial"/>
        </w:rPr>
        <w:t xml:space="preserve">Moreover, </w:t>
      </w:r>
      <w:r w:rsidR="005B54E2" w:rsidRPr="009177F5">
        <w:rPr>
          <w:rStyle w:val="s1"/>
          <w:rFonts w:ascii="Arial" w:hAnsi="Arial" w:cs="Arial"/>
        </w:rPr>
        <w:t>similarly</w:t>
      </w:r>
      <w:r w:rsidRPr="009177F5">
        <w:rPr>
          <w:rStyle w:val="s1"/>
          <w:rFonts w:ascii="Arial" w:hAnsi="Arial" w:cs="Arial"/>
        </w:rPr>
        <w:t xml:space="preserve"> in the case of R v Constanza 1997, the defendant sent over 800 threatening letters to an </w:t>
      </w:r>
      <w:r w:rsidR="005B54E2" w:rsidRPr="009177F5">
        <w:rPr>
          <w:rStyle w:val="s1"/>
          <w:rFonts w:ascii="Arial" w:hAnsi="Arial" w:cs="Arial"/>
        </w:rPr>
        <w:t>ex-colleague</w:t>
      </w:r>
      <w:r w:rsidRPr="009177F5">
        <w:rPr>
          <w:rStyle w:val="s1"/>
          <w:rFonts w:ascii="Arial" w:hAnsi="Arial" w:cs="Arial"/>
        </w:rPr>
        <w:t xml:space="preserve"> over 20 months. The defendant continues the harassment by writing </w:t>
      </w:r>
      <w:r w:rsidR="005B54E2" w:rsidRPr="009177F5">
        <w:rPr>
          <w:rStyle w:val="s1"/>
          <w:rFonts w:ascii="Arial" w:hAnsi="Arial" w:cs="Arial"/>
        </w:rPr>
        <w:t xml:space="preserve">insulting words the house door, stole items of clothing’s from her property and continuously kept tabs on her by driving past her property. The victim results of the constant harassment suffered from depression. The court held, the defendant’s conviction was to be upheld, he was to be charged with ABH under s.47 OAPA 1861. The reasoning the court gave, was amounted to the harassment being so severe that there was no need of physical contact for him to be charged, as the victim was in severe fear that her harasser could become violent at any moment.  despite the defendant argued that the letters in no way assault. The judges involved in the case overruled the defendant’s appeal. </w:t>
      </w:r>
    </w:p>
    <w:p w14:paraId="7DAC14CD" w14:textId="1CEC8384" w:rsidR="00E87E48" w:rsidRPr="009177F5" w:rsidRDefault="00E87E48" w:rsidP="00CF2DFA">
      <w:pPr>
        <w:pStyle w:val="p1"/>
        <w:spacing w:before="0" w:beforeAutospacing="0" w:after="0" w:afterAutospacing="0" w:line="276" w:lineRule="auto"/>
        <w:rPr>
          <w:rStyle w:val="s1"/>
          <w:rFonts w:ascii="Arial" w:hAnsi="Arial" w:cs="Arial"/>
        </w:rPr>
      </w:pPr>
      <w:r w:rsidRPr="009177F5">
        <w:rPr>
          <w:rStyle w:val="s1"/>
          <w:rFonts w:ascii="Arial" w:hAnsi="Arial" w:cs="Arial"/>
        </w:rPr>
        <w:t xml:space="preserve">As a </w:t>
      </w:r>
      <w:r w:rsidR="004E3081" w:rsidRPr="009177F5">
        <w:rPr>
          <w:rStyle w:val="s1"/>
          <w:rFonts w:ascii="Arial" w:hAnsi="Arial" w:cs="Arial"/>
        </w:rPr>
        <w:t>result,</w:t>
      </w:r>
      <w:r w:rsidRPr="009177F5">
        <w:rPr>
          <w:rStyle w:val="s1"/>
          <w:rFonts w:ascii="Arial" w:hAnsi="Arial" w:cs="Arial"/>
        </w:rPr>
        <w:t xml:space="preserve"> she suffered clinical depression. He was charged with </w:t>
      </w:r>
      <w:r w:rsidR="004E3081" w:rsidRPr="009177F5">
        <w:rPr>
          <w:rStyle w:val="s1"/>
          <w:rFonts w:ascii="Arial" w:hAnsi="Arial" w:cs="Arial"/>
        </w:rPr>
        <w:t>the</w:t>
      </w:r>
      <w:r w:rsidRPr="009177F5">
        <w:rPr>
          <w:rStyle w:val="s1"/>
          <w:rFonts w:ascii="Arial" w:hAnsi="Arial" w:cs="Arial"/>
        </w:rPr>
        <w:t xml:space="preserve"> defendant contended that words alone could not amount to an assault and that the letters could not amount to an assault as there was no immediacy.</w:t>
      </w:r>
    </w:p>
    <w:p w14:paraId="387E1A99" w14:textId="717BE586" w:rsidR="008E2C08" w:rsidRPr="009177F5" w:rsidRDefault="008E2C08" w:rsidP="00CF2DFA">
      <w:pPr>
        <w:pStyle w:val="p1"/>
        <w:spacing w:before="0" w:beforeAutospacing="0" w:after="0" w:afterAutospacing="0" w:line="276" w:lineRule="auto"/>
        <w:rPr>
          <w:rStyle w:val="s1"/>
          <w:rFonts w:ascii="Arial" w:hAnsi="Arial" w:cs="Arial"/>
        </w:rPr>
      </w:pPr>
    </w:p>
    <w:p w14:paraId="5B890DA4" w14:textId="11F1B64F" w:rsidR="00915CA7" w:rsidRPr="009177F5" w:rsidRDefault="00423A4A" w:rsidP="00CF2DFA">
      <w:pPr>
        <w:shd w:val="clear" w:color="auto" w:fill="FFFFFF"/>
        <w:spacing w:after="0" w:line="276" w:lineRule="auto"/>
        <w:textAlignment w:val="top"/>
        <w:rPr>
          <w:rStyle w:val="s1"/>
          <w:rFonts w:ascii="Arial" w:hAnsi="Arial" w:cs="Arial"/>
        </w:rPr>
      </w:pPr>
      <w:r w:rsidRPr="009177F5">
        <w:rPr>
          <w:rFonts w:ascii="Arial" w:eastAsia="Times New Roman" w:hAnsi="Arial" w:cs="Arial"/>
          <w:lang w:eastAsia="en-GB"/>
        </w:rPr>
        <w:t xml:space="preserve">Corresponding with the previous case </w:t>
      </w:r>
      <w:r w:rsidR="008644AB" w:rsidRPr="009177F5">
        <w:rPr>
          <w:rFonts w:ascii="Arial" w:eastAsia="Times New Roman" w:hAnsi="Arial" w:cs="Arial"/>
          <w:lang w:eastAsia="en-GB"/>
        </w:rPr>
        <w:t>of,</w:t>
      </w:r>
      <w:r w:rsidR="008644AB" w:rsidRPr="009177F5">
        <w:rPr>
          <w:rStyle w:val="s1"/>
          <w:rFonts w:ascii="Arial" w:hAnsi="Arial" w:cs="Arial"/>
        </w:rPr>
        <w:t xml:space="preserve"> R</w:t>
      </w:r>
      <w:r w:rsidRPr="009177F5">
        <w:rPr>
          <w:rStyle w:val="s1"/>
          <w:rFonts w:ascii="Arial" w:hAnsi="Arial" w:cs="Arial"/>
        </w:rPr>
        <w:t xml:space="preserve"> v Miller 1954, in the case of R v Burstow 1997, both parties were in a romantic but short relationship, the victim had ended their </w:t>
      </w:r>
      <w:r w:rsidR="008644AB" w:rsidRPr="009177F5">
        <w:rPr>
          <w:rStyle w:val="s1"/>
          <w:rFonts w:ascii="Arial" w:hAnsi="Arial" w:cs="Arial"/>
        </w:rPr>
        <w:t>relationship</w:t>
      </w:r>
      <w:r w:rsidRPr="009177F5">
        <w:rPr>
          <w:rStyle w:val="s1"/>
          <w:rFonts w:ascii="Arial" w:hAnsi="Arial" w:cs="Arial"/>
        </w:rPr>
        <w:t xml:space="preserve"> on her own will. The defendant unable to accept the decision of her </w:t>
      </w:r>
      <w:r w:rsidR="008644AB" w:rsidRPr="009177F5">
        <w:rPr>
          <w:rStyle w:val="s1"/>
          <w:rFonts w:ascii="Arial" w:hAnsi="Arial" w:cs="Arial"/>
        </w:rPr>
        <w:t>ex-partner</w:t>
      </w:r>
      <w:r w:rsidRPr="009177F5">
        <w:rPr>
          <w:rStyle w:val="s1"/>
          <w:rFonts w:ascii="Arial" w:hAnsi="Arial" w:cs="Arial"/>
        </w:rPr>
        <w:t xml:space="preserve">, he started to harass her for a long period of 8 months. </w:t>
      </w:r>
      <w:r w:rsidR="00915CA7" w:rsidRPr="009177F5">
        <w:rPr>
          <w:rStyle w:val="s1"/>
          <w:rFonts w:ascii="Arial" w:hAnsi="Arial" w:cs="Arial"/>
        </w:rPr>
        <w:t xml:space="preserve">The harassment is the following, </w:t>
      </w:r>
      <w:r w:rsidR="008644AB" w:rsidRPr="009177F5">
        <w:rPr>
          <w:rStyle w:val="s1"/>
          <w:rFonts w:ascii="Arial" w:hAnsi="Arial" w:cs="Arial"/>
        </w:rPr>
        <w:t>silent</w:t>
      </w:r>
      <w:r w:rsidR="00915CA7" w:rsidRPr="009177F5">
        <w:rPr>
          <w:rStyle w:val="s1"/>
          <w:rFonts w:ascii="Arial" w:hAnsi="Arial" w:cs="Arial"/>
        </w:rPr>
        <w:t xml:space="preserve"> phone calls, which also turned to verbal abuse, sent threatening notes to her neighbouring </w:t>
      </w:r>
      <w:r w:rsidR="008644AB" w:rsidRPr="009177F5">
        <w:rPr>
          <w:rStyle w:val="s1"/>
          <w:rFonts w:ascii="Arial" w:hAnsi="Arial" w:cs="Arial"/>
        </w:rPr>
        <w:t>houses, showing</w:t>
      </w:r>
      <w:r w:rsidR="00915CA7" w:rsidRPr="009177F5">
        <w:rPr>
          <w:rStyle w:val="s1"/>
          <w:rFonts w:ascii="Arial" w:hAnsi="Arial" w:cs="Arial"/>
        </w:rPr>
        <w:t xml:space="preserve"> up at the </w:t>
      </w:r>
      <w:r w:rsidR="008644AB" w:rsidRPr="009177F5">
        <w:rPr>
          <w:rStyle w:val="s1"/>
          <w:rFonts w:ascii="Arial" w:hAnsi="Arial" w:cs="Arial"/>
        </w:rPr>
        <w:t>defendant’s</w:t>
      </w:r>
      <w:r w:rsidR="00915CA7" w:rsidRPr="009177F5">
        <w:rPr>
          <w:rStyle w:val="s1"/>
          <w:rFonts w:ascii="Arial" w:hAnsi="Arial" w:cs="Arial"/>
        </w:rPr>
        <w:t xml:space="preserve"> house and even took pictures of her without her consent and her awareness. As the </w:t>
      </w:r>
      <w:r w:rsidR="008644AB" w:rsidRPr="009177F5">
        <w:rPr>
          <w:rStyle w:val="s1"/>
          <w:rFonts w:ascii="Arial" w:hAnsi="Arial" w:cs="Arial"/>
        </w:rPr>
        <w:t>defendant’s</w:t>
      </w:r>
      <w:r w:rsidR="00915CA7" w:rsidRPr="009177F5">
        <w:rPr>
          <w:rStyle w:val="s1"/>
          <w:rFonts w:ascii="Arial" w:hAnsi="Arial" w:cs="Arial"/>
        </w:rPr>
        <w:t xml:space="preserve"> behaviour started to progress the victim suffered from depression and other illnesses.</w:t>
      </w:r>
    </w:p>
    <w:p w14:paraId="45D58B84" w14:textId="77777777" w:rsidR="00915CA7" w:rsidRPr="009177F5" w:rsidRDefault="00915CA7" w:rsidP="00CF2DFA">
      <w:pPr>
        <w:shd w:val="clear" w:color="auto" w:fill="FFFFFF"/>
        <w:spacing w:after="0" w:line="276" w:lineRule="auto"/>
        <w:textAlignment w:val="top"/>
        <w:rPr>
          <w:rStyle w:val="s1"/>
          <w:rFonts w:ascii="Arial" w:hAnsi="Arial" w:cs="Arial"/>
        </w:rPr>
      </w:pPr>
    </w:p>
    <w:p w14:paraId="613B945C" w14:textId="6CED0904" w:rsidR="00915CA7" w:rsidRPr="009177F5" w:rsidRDefault="00915CA7" w:rsidP="00CF2DFA">
      <w:pPr>
        <w:shd w:val="clear" w:color="auto" w:fill="FFFFFF"/>
        <w:spacing w:after="0" w:line="276" w:lineRule="auto"/>
        <w:textAlignment w:val="top"/>
        <w:rPr>
          <w:rFonts w:ascii="Arial" w:hAnsi="Arial" w:cs="Arial"/>
        </w:rPr>
      </w:pPr>
      <w:r w:rsidRPr="009177F5">
        <w:rPr>
          <w:rFonts w:ascii="Arial" w:hAnsi="Arial" w:cs="Arial"/>
          <w:shd w:val="clear" w:color="auto" w:fill="FFFFFF"/>
        </w:rPr>
        <w:t xml:space="preserve">The </w:t>
      </w:r>
      <w:r w:rsidRPr="009177F5">
        <w:rPr>
          <w:rFonts w:ascii="Arial" w:hAnsi="Arial" w:cs="Arial"/>
        </w:rPr>
        <w:t xml:space="preserve">House of Lords held, </w:t>
      </w:r>
      <w:r w:rsidRPr="009177F5">
        <w:rPr>
          <w:rStyle w:val="s1"/>
          <w:rFonts w:ascii="Arial" w:hAnsi="Arial" w:cs="Arial"/>
        </w:rPr>
        <w:t xml:space="preserve">this case brought up the following to questions for the court: </w:t>
      </w:r>
      <w:r w:rsidR="00423A4A" w:rsidRPr="009177F5">
        <w:rPr>
          <w:rStyle w:val="s1"/>
          <w:rFonts w:ascii="Arial" w:hAnsi="Arial" w:cs="Arial"/>
        </w:rPr>
        <w:t xml:space="preserve"> whether </w:t>
      </w:r>
      <w:r w:rsidRPr="009177F5">
        <w:rPr>
          <w:rStyle w:val="s1"/>
          <w:rFonts w:ascii="Arial" w:hAnsi="Arial" w:cs="Arial"/>
        </w:rPr>
        <w:t xml:space="preserve">the </w:t>
      </w:r>
      <w:r w:rsidR="00423A4A" w:rsidRPr="009177F5">
        <w:rPr>
          <w:rStyle w:val="s1"/>
          <w:rFonts w:ascii="Arial" w:hAnsi="Arial" w:cs="Arial"/>
        </w:rPr>
        <w:t xml:space="preserve">psychiatric injury </w:t>
      </w:r>
      <w:r w:rsidR="008644AB" w:rsidRPr="009177F5">
        <w:rPr>
          <w:rStyle w:val="s1"/>
          <w:rFonts w:ascii="Arial" w:hAnsi="Arial" w:cs="Arial"/>
        </w:rPr>
        <w:t>suffered</w:t>
      </w:r>
      <w:r w:rsidRPr="009177F5">
        <w:rPr>
          <w:rStyle w:val="s1"/>
          <w:rFonts w:ascii="Arial" w:hAnsi="Arial" w:cs="Arial"/>
        </w:rPr>
        <w:t xml:space="preserve"> by the victim was </w:t>
      </w:r>
      <w:r w:rsidR="008644AB" w:rsidRPr="009177F5">
        <w:rPr>
          <w:rStyle w:val="s1"/>
          <w:rFonts w:ascii="Arial" w:hAnsi="Arial" w:cs="Arial"/>
        </w:rPr>
        <w:t>sufficient</w:t>
      </w:r>
      <w:r w:rsidRPr="009177F5">
        <w:rPr>
          <w:rStyle w:val="s1"/>
          <w:rFonts w:ascii="Arial" w:hAnsi="Arial" w:cs="Arial"/>
        </w:rPr>
        <w:t xml:space="preserve"> to</w:t>
      </w:r>
      <w:r w:rsidR="00423A4A" w:rsidRPr="009177F5">
        <w:rPr>
          <w:rStyle w:val="s1"/>
          <w:rFonts w:ascii="Arial" w:hAnsi="Arial" w:cs="Arial"/>
        </w:rPr>
        <w:t xml:space="preserve"> amount to bodily harm </w:t>
      </w:r>
      <w:r w:rsidRPr="009177F5">
        <w:rPr>
          <w:rStyle w:val="s1"/>
          <w:rFonts w:ascii="Arial" w:hAnsi="Arial" w:cs="Arial"/>
        </w:rPr>
        <w:t xml:space="preserve">(BH) </w:t>
      </w:r>
      <w:r w:rsidR="00423A4A" w:rsidRPr="009177F5">
        <w:rPr>
          <w:rStyle w:val="s1"/>
          <w:rFonts w:ascii="Arial" w:hAnsi="Arial" w:cs="Arial"/>
        </w:rPr>
        <w:t>under the OAPA 1861 </w:t>
      </w:r>
      <w:r w:rsidRPr="009177F5">
        <w:rPr>
          <w:rStyle w:val="s1"/>
          <w:rFonts w:ascii="Arial" w:hAnsi="Arial" w:cs="Arial"/>
        </w:rPr>
        <w:t xml:space="preserve">it was </w:t>
      </w:r>
      <w:r w:rsidR="008644AB" w:rsidRPr="009177F5">
        <w:rPr>
          <w:rStyle w:val="s1"/>
          <w:rFonts w:ascii="Arial" w:hAnsi="Arial" w:cs="Arial"/>
        </w:rPr>
        <w:t>ruled</w:t>
      </w:r>
      <w:r w:rsidRPr="009177F5">
        <w:rPr>
          <w:rStyle w:val="s1"/>
          <w:rFonts w:ascii="Arial" w:hAnsi="Arial" w:cs="Arial"/>
        </w:rPr>
        <w:t xml:space="preserve"> that </w:t>
      </w:r>
      <w:r w:rsidRPr="009177F5">
        <w:rPr>
          <w:rFonts w:ascii="Arial" w:hAnsi="Arial" w:cs="Arial"/>
        </w:rPr>
        <w:t xml:space="preserve">that psychiatric injury was </w:t>
      </w:r>
      <w:r w:rsidR="008644AB" w:rsidRPr="009177F5">
        <w:rPr>
          <w:rFonts w:ascii="Arial" w:hAnsi="Arial" w:cs="Arial"/>
        </w:rPr>
        <w:t>sufficient</w:t>
      </w:r>
      <w:r w:rsidRPr="009177F5">
        <w:rPr>
          <w:rFonts w:ascii="Arial" w:hAnsi="Arial" w:cs="Arial"/>
        </w:rPr>
        <w:t xml:space="preserve"> to accepted in court. </w:t>
      </w:r>
      <w:r w:rsidRPr="009177F5">
        <w:rPr>
          <w:rStyle w:val="s1"/>
          <w:rFonts w:ascii="Arial" w:hAnsi="Arial" w:cs="Arial"/>
        </w:rPr>
        <w:t xml:space="preserve">Second being whether an </w:t>
      </w:r>
      <w:r w:rsidR="008644AB" w:rsidRPr="009177F5">
        <w:rPr>
          <w:rStyle w:val="s1"/>
          <w:rFonts w:ascii="Arial" w:hAnsi="Arial" w:cs="Arial"/>
        </w:rPr>
        <w:t>individual</w:t>
      </w:r>
      <w:r w:rsidRPr="009177F5">
        <w:rPr>
          <w:rStyle w:val="s1"/>
          <w:rFonts w:ascii="Arial" w:hAnsi="Arial" w:cs="Arial"/>
        </w:rPr>
        <w:t xml:space="preserve"> causing the harassment (defendant) was liable for their actions under </w:t>
      </w:r>
      <w:r w:rsidR="00423A4A" w:rsidRPr="009177F5">
        <w:rPr>
          <w:rStyle w:val="s1"/>
          <w:rFonts w:ascii="Arial" w:hAnsi="Arial" w:cs="Arial"/>
        </w:rPr>
        <w:t>s.20</w:t>
      </w:r>
      <w:r w:rsidRPr="009177F5">
        <w:rPr>
          <w:rStyle w:val="s1"/>
          <w:rFonts w:ascii="Arial" w:hAnsi="Arial" w:cs="Arial"/>
        </w:rPr>
        <w:t xml:space="preserve">, despite their being no direct bodily harm. The following </w:t>
      </w:r>
      <w:r w:rsidR="008644AB" w:rsidRPr="009177F5">
        <w:rPr>
          <w:rStyle w:val="s1"/>
          <w:rFonts w:ascii="Arial" w:hAnsi="Arial" w:cs="Arial"/>
        </w:rPr>
        <w:t>case R</w:t>
      </w:r>
      <w:r w:rsidRPr="009177F5">
        <w:rPr>
          <w:rFonts w:ascii="Arial" w:hAnsi="Arial" w:cs="Arial"/>
          <w:shd w:val="clear" w:color="auto" w:fill="FFFFFF"/>
        </w:rPr>
        <w:t xml:space="preserve"> v </w:t>
      </w:r>
      <w:r w:rsidRPr="009177F5">
        <w:rPr>
          <w:rStyle w:val="Emphasis"/>
          <w:rFonts w:ascii="Arial" w:hAnsi="Arial" w:cs="Arial"/>
          <w:i w:val="0"/>
          <w:iCs w:val="0"/>
          <w:shd w:val="clear" w:color="auto" w:fill="FFFFFF"/>
        </w:rPr>
        <w:t xml:space="preserve">Chan </w:t>
      </w:r>
      <w:proofErr w:type="spellStart"/>
      <w:r w:rsidRPr="009177F5">
        <w:rPr>
          <w:rStyle w:val="Emphasis"/>
          <w:rFonts w:ascii="Arial" w:hAnsi="Arial" w:cs="Arial"/>
          <w:i w:val="0"/>
          <w:iCs w:val="0"/>
          <w:shd w:val="clear" w:color="auto" w:fill="FFFFFF"/>
        </w:rPr>
        <w:t>Fook</w:t>
      </w:r>
      <w:proofErr w:type="spellEnd"/>
      <w:r w:rsidRPr="009177F5">
        <w:rPr>
          <w:rFonts w:ascii="Arial" w:hAnsi="Arial" w:cs="Arial"/>
          <w:shd w:val="clear" w:color="auto" w:fill="FFFFFF"/>
        </w:rPr>
        <w:t> [1994]</w:t>
      </w:r>
      <w:r w:rsidRPr="009177F5">
        <w:rPr>
          <w:rStyle w:val="FootnoteReference"/>
          <w:rFonts w:ascii="Arial" w:hAnsi="Arial" w:cs="Arial"/>
          <w:shd w:val="clear" w:color="auto" w:fill="FFFFFF"/>
        </w:rPr>
        <w:footnoteReference w:id="4"/>
      </w:r>
      <w:r w:rsidRPr="009177F5">
        <w:rPr>
          <w:rFonts w:ascii="Arial" w:hAnsi="Arial" w:cs="Arial"/>
          <w:shd w:val="clear" w:color="auto" w:fill="FFFFFF"/>
        </w:rPr>
        <w:t xml:space="preserve"> was applied</w:t>
      </w:r>
      <w:r w:rsidR="008644AB" w:rsidRPr="009177F5">
        <w:rPr>
          <w:rFonts w:ascii="Arial" w:hAnsi="Arial" w:cs="Arial"/>
          <w:shd w:val="clear" w:color="auto" w:fill="FFFFFF"/>
        </w:rPr>
        <w:t xml:space="preserve"> and it was ruled that</w:t>
      </w:r>
      <w:r w:rsidR="008644AB" w:rsidRPr="009177F5">
        <w:rPr>
          <w:rFonts w:ascii="Arial" w:hAnsi="Arial" w:cs="Arial"/>
        </w:rPr>
        <w:t xml:space="preserve"> the effects of the defendant’s harassment was to be considered as BH, s. 18, s. 20 and s. 47 of the OAPA was applied. </w:t>
      </w:r>
    </w:p>
    <w:p w14:paraId="0C746912" w14:textId="68EF810C" w:rsidR="008644AB" w:rsidRPr="009177F5" w:rsidRDefault="008644AB" w:rsidP="00CF2DFA">
      <w:pPr>
        <w:pStyle w:val="p1"/>
        <w:spacing w:before="0" w:beforeAutospacing="0" w:after="0" w:afterAutospacing="0" w:line="276" w:lineRule="auto"/>
        <w:rPr>
          <w:rFonts w:ascii="Arial" w:hAnsi="Arial" w:cs="Arial"/>
        </w:rPr>
      </w:pPr>
    </w:p>
    <w:p w14:paraId="087F1B17" w14:textId="6F9A1083" w:rsidR="008644AB" w:rsidRPr="009177F5" w:rsidRDefault="008644AB" w:rsidP="00CF2DFA">
      <w:pPr>
        <w:pStyle w:val="p1"/>
        <w:spacing w:before="0" w:beforeAutospacing="0" w:after="0" w:afterAutospacing="0" w:line="276" w:lineRule="auto"/>
        <w:rPr>
          <w:rFonts w:ascii="Arial" w:hAnsi="Arial" w:cs="Arial"/>
        </w:rPr>
      </w:pPr>
      <w:r w:rsidRPr="009177F5">
        <w:rPr>
          <w:rFonts w:ascii="Arial" w:hAnsi="Arial" w:cs="Arial"/>
        </w:rPr>
        <w:t xml:space="preserve">Regarding the previous two cases regarding harassment, any kind of phycological illness effective the victim due to the defendant’s behaviour can be considered as bodily harm in the eyes of the law and court. It is not necessary nor required that physical touch must be involved for the conviction to take place. </w:t>
      </w:r>
    </w:p>
    <w:p w14:paraId="7CC4E6BD" w14:textId="77777777" w:rsidR="008644AB" w:rsidRPr="009177F5" w:rsidRDefault="008644AB" w:rsidP="00CF2DFA">
      <w:pPr>
        <w:pStyle w:val="p1"/>
        <w:spacing w:before="0" w:beforeAutospacing="0" w:after="0" w:afterAutospacing="0" w:line="276" w:lineRule="auto"/>
        <w:rPr>
          <w:rFonts w:ascii="Arial" w:hAnsi="Arial" w:cs="Arial"/>
        </w:rPr>
      </w:pPr>
    </w:p>
    <w:p w14:paraId="39722F23" w14:textId="4233F0C3" w:rsidR="0050297A" w:rsidRPr="009177F5" w:rsidRDefault="008644AB" w:rsidP="00CF2DFA">
      <w:pPr>
        <w:pStyle w:val="p1"/>
        <w:spacing w:before="0" w:beforeAutospacing="0" w:after="0" w:afterAutospacing="0" w:line="276" w:lineRule="auto"/>
        <w:rPr>
          <w:rFonts w:ascii="Arial" w:hAnsi="Arial" w:cs="Arial"/>
        </w:rPr>
      </w:pPr>
      <w:r w:rsidRPr="009177F5">
        <w:rPr>
          <w:rFonts w:ascii="Arial" w:hAnsi="Arial" w:cs="Arial"/>
        </w:rPr>
        <w:t xml:space="preserve">In conclusion, </w:t>
      </w:r>
      <w:r w:rsidRPr="009177F5">
        <w:rPr>
          <w:rFonts w:ascii="Arial" w:eastAsia="Times New Roman" w:hAnsi="Arial" w:cs="Arial"/>
        </w:rPr>
        <w:t>any</w:t>
      </w:r>
      <w:r w:rsidR="005C40A9" w:rsidRPr="009177F5">
        <w:rPr>
          <w:rFonts w:ascii="Arial" w:eastAsia="Times New Roman" w:hAnsi="Arial" w:cs="Arial"/>
        </w:rPr>
        <w:t xml:space="preserve"> non-fatal offences in the act are essential to the criminal justice system, therefore having a reform would bring more efficiency to how a case is concluded and give better precedent for future cases.</w:t>
      </w:r>
      <w:r w:rsidR="00285120" w:rsidRPr="009177F5">
        <w:rPr>
          <w:rFonts w:ascii="Arial" w:eastAsia="Times New Roman" w:hAnsi="Arial" w:cs="Arial"/>
        </w:rPr>
        <w:t xml:space="preserve"> </w:t>
      </w:r>
      <w:r w:rsidRPr="009177F5">
        <w:rPr>
          <w:rFonts w:ascii="Arial" w:eastAsia="Times New Roman" w:hAnsi="Arial" w:cs="Arial"/>
        </w:rPr>
        <w:t xml:space="preserve">Overall, the language of the document is </w:t>
      </w:r>
      <w:r w:rsidR="0050297A" w:rsidRPr="009177F5">
        <w:rPr>
          <w:rFonts w:ascii="Arial" w:eastAsia="Times New Roman" w:hAnsi="Arial" w:cs="Arial"/>
        </w:rPr>
        <w:t>obscure, the document is outdated and does not necessarily apply to the modern day and age we are in now. The 21</w:t>
      </w:r>
      <w:r w:rsidR="0050297A" w:rsidRPr="009177F5">
        <w:rPr>
          <w:rFonts w:ascii="Arial" w:eastAsia="Times New Roman" w:hAnsi="Arial" w:cs="Arial"/>
          <w:vertAlign w:val="superscript"/>
        </w:rPr>
        <w:t>st</w:t>
      </w:r>
      <w:r w:rsidR="0050297A" w:rsidRPr="009177F5">
        <w:rPr>
          <w:rFonts w:ascii="Arial" w:eastAsia="Times New Roman" w:hAnsi="Arial" w:cs="Arial"/>
        </w:rPr>
        <w:t xml:space="preserve"> century has progressed a lot with its development and crime rates are higher than in the times of 1500 and 1900s. moreover, many mental elements of the offenses are not clear neither expressed correctly, this effect any external elements of the offence in question.  Whereas the Law Commission report of 2015 suggests that modifying old documents and legal statues that are still being applied should be modified with the Home office 1998 draft bill, this is to overthrow the outmoded OAPA 1861. Doing this would allow a new and better understanding of aggressive bodily harm, so that cases can be handed directly and sufficiently. This would be able to function well in the magistrate courts with a sentence of 12 months. This could also build stronger on those individuals who seriously harm another with rape, physical harm a</w:t>
      </w:r>
      <w:r w:rsidR="00285120" w:rsidRPr="009177F5">
        <w:rPr>
          <w:rFonts w:ascii="Arial" w:eastAsia="Times New Roman" w:hAnsi="Arial" w:cs="Arial"/>
        </w:rPr>
        <w:t>n</w:t>
      </w:r>
      <w:r w:rsidR="0050297A" w:rsidRPr="009177F5">
        <w:rPr>
          <w:rFonts w:ascii="Arial" w:eastAsia="Times New Roman" w:hAnsi="Arial" w:cs="Arial"/>
        </w:rPr>
        <w:t xml:space="preserve">d threats with a punishment that could be 10 years behind bars in prison, with anyone who is a reoffending criminal to face more time. The act lacks in logical structure and the hierarchy of the violent offences being committed is in constant confusion and conflict. This can be prevented for an easy </w:t>
      </w:r>
      <w:r w:rsidR="0063438E" w:rsidRPr="009177F5">
        <w:rPr>
          <w:rFonts w:ascii="Arial" w:eastAsia="Times New Roman" w:hAnsi="Arial" w:cs="Arial"/>
        </w:rPr>
        <w:t xml:space="preserve">judgment in the coming future. </w:t>
      </w:r>
    </w:p>
    <w:p w14:paraId="012779F8" w14:textId="55C2DEDF" w:rsidR="00C46A36" w:rsidRDefault="00C46A36" w:rsidP="008644AB">
      <w:pPr>
        <w:spacing w:line="276" w:lineRule="auto"/>
        <w:rPr>
          <w:rFonts w:ascii="Arial" w:hAnsi="Arial" w:cs="Arial"/>
          <w:b/>
          <w:bCs/>
          <w:sz w:val="24"/>
          <w:szCs w:val="24"/>
        </w:rPr>
      </w:pPr>
    </w:p>
    <w:p w14:paraId="02827C54" w14:textId="27CF248C" w:rsidR="00844C89" w:rsidRDefault="0064198E" w:rsidP="008644AB">
      <w:pPr>
        <w:spacing w:line="276" w:lineRule="auto"/>
        <w:rPr>
          <w:rFonts w:ascii="Arial" w:hAnsi="Arial" w:cs="Arial"/>
          <w:b/>
          <w:bCs/>
          <w:sz w:val="24"/>
          <w:szCs w:val="24"/>
          <w:u w:val="single"/>
        </w:rPr>
      </w:pPr>
      <w:r>
        <w:rPr>
          <w:rFonts w:ascii="Arial" w:hAnsi="Arial" w:cs="Arial"/>
          <w:b/>
          <w:bCs/>
          <w:sz w:val="24"/>
          <w:szCs w:val="24"/>
          <w:u w:val="single"/>
        </w:rPr>
        <w:t>Bibliography:</w:t>
      </w:r>
    </w:p>
    <w:p w14:paraId="1AD267DC" w14:textId="50B9DD62" w:rsidR="00844C89" w:rsidRDefault="00844C89" w:rsidP="008644AB">
      <w:pPr>
        <w:spacing w:line="276" w:lineRule="auto"/>
        <w:rPr>
          <w:rFonts w:ascii="Arial" w:hAnsi="Arial" w:cs="Arial"/>
          <w:sz w:val="24"/>
          <w:szCs w:val="24"/>
        </w:rPr>
      </w:pPr>
      <w:r>
        <w:rPr>
          <w:rFonts w:ascii="Arial" w:hAnsi="Arial" w:cs="Arial"/>
          <w:sz w:val="24"/>
          <w:szCs w:val="24"/>
        </w:rPr>
        <w:t>Homicide Act 1957</w:t>
      </w:r>
    </w:p>
    <w:p w14:paraId="1778045C" w14:textId="056EE03B" w:rsidR="00844C89" w:rsidRDefault="00844C89" w:rsidP="008644AB">
      <w:pPr>
        <w:spacing w:line="276" w:lineRule="auto"/>
        <w:rPr>
          <w:rFonts w:ascii="Arial" w:hAnsi="Arial" w:cs="Arial"/>
          <w:sz w:val="24"/>
          <w:szCs w:val="24"/>
        </w:rPr>
      </w:pPr>
      <w:r>
        <w:rPr>
          <w:rFonts w:ascii="Arial" w:hAnsi="Arial" w:cs="Arial"/>
          <w:sz w:val="24"/>
          <w:szCs w:val="24"/>
        </w:rPr>
        <w:t>Actus Reus</w:t>
      </w:r>
    </w:p>
    <w:p w14:paraId="5E6A1C94" w14:textId="099CF2EE" w:rsidR="00844C89" w:rsidRDefault="00844C89" w:rsidP="008644AB">
      <w:pPr>
        <w:spacing w:line="276" w:lineRule="auto"/>
        <w:rPr>
          <w:rFonts w:ascii="Arial" w:hAnsi="Arial" w:cs="Arial"/>
          <w:sz w:val="24"/>
          <w:szCs w:val="24"/>
        </w:rPr>
      </w:pPr>
      <w:r>
        <w:rPr>
          <w:rFonts w:ascii="Arial" w:hAnsi="Arial" w:cs="Arial"/>
          <w:sz w:val="24"/>
          <w:szCs w:val="24"/>
        </w:rPr>
        <w:t>Criminal Attempts Act 1957</w:t>
      </w:r>
    </w:p>
    <w:p w14:paraId="27853FF7" w14:textId="72EFFF53" w:rsidR="00D71066" w:rsidRDefault="00D71066" w:rsidP="008644AB">
      <w:pPr>
        <w:spacing w:line="276" w:lineRule="auto"/>
        <w:rPr>
          <w:rFonts w:ascii="Arial" w:hAnsi="Arial" w:cs="Arial"/>
          <w:sz w:val="24"/>
          <w:szCs w:val="24"/>
        </w:rPr>
      </w:pPr>
      <w:r>
        <w:rPr>
          <w:rFonts w:ascii="Arial" w:hAnsi="Arial" w:cs="Arial"/>
          <w:sz w:val="24"/>
          <w:szCs w:val="24"/>
        </w:rPr>
        <w:t>OAPA 1861</w:t>
      </w:r>
    </w:p>
    <w:p w14:paraId="7C22FFCC" w14:textId="3864565C" w:rsidR="00D71066" w:rsidRDefault="00D71066" w:rsidP="008644AB">
      <w:pPr>
        <w:spacing w:line="276" w:lineRule="auto"/>
        <w:rPr>
          <w:rFonts w:ascii="Arial" w:hAnsi="Arial" w:cs="Arial"/>
          <w:sz w:val="24"/>
          <w:szCs w:val="24"/>
        </w:rPr>
      </w:pPr>
      <w:r>
        <w:rPr>
          <w:rFonts w:ascii="Arial" w:hAnsi="Arial" w:cs="Arial"/>
          <w:sz w:val="24"/>
          <w:szCs w:val="24"/>
        </w:rPr>
        <w:t>s.47 ABH</w:t>
      </w:r>
    </w:p>
    <w:p w14:paraId="47A31B94" w14:textId="404A7625" w:rsidR="00D71066" w:rsidRDefault="00D71066" w:rsidP="008644AB">
      <w:pPr>
        <w:spacing w:line="276" w:lineRule="auto"/>
        <w:rPr>
          <w:rFonts w:ascii="Arial" w:hAnsi="Arial" w:cs="Arial"/>
          <w:sz w:val="24"/>
          <w:szCs w:val="24"/>
        </w:rPr>
      </w:pPr>
      <w:r>
        <w:rPr>
          <w:rFonts w:ascii="Arial" w:hAnsi="Arial" w:cs="Arial"/>
          <w:sz w:val="24"/>
          <w:szCs w:val="24"/>
        </w:rPr>
        <w:t>s.20 ABH</w:t>
      </w:r>
    </w:p>
    <w:p w14:paraId="03A33905" w14:textId="77777777" w:rsidR="00916C9E" w:rsidRDefault="00916C9E" w:rsidP="008644AB">
      <w:pPr>
        <w:spacing w:line="276" w:lineRule="auto"/>
        <w:rPr>
          <w:rFonts w:ascii="Arial" w:hAnsi="Arial" w:cs="Arial"/>
          <w:sz w:val="24"/>
          <w:szCs w:val="24"/>
        </w:rPr>
      </w:pPr>
    </w:p>
    <w:p w14:paraId="06706CA6" w14:textId="3FC80008" w:rsidR="00844C89" w:rsidRDefault="00844C89" w:rsidP="008644AB">
      <w:pPr>
        <w:spacing w:line="276" w:lineRule="auto"/>
        <w:rPr>
          <w:rFonts w:ascii="Arial" w:hAnsi="Arial" w:cs="Arial"/>
          <w:sz w:val="24"/>
          <w:szCs w:val="24"/>
        </w:rPr>
      </w:pPr>
      <w:r w:rsidRPr="0064198E">
        <w:rPr>
          <w:rFonts w:ascii="Arial" w:hAnsi="Arial" w:cs="Arial"/>
          <w:i/>
          <w:iCs/>
          <w:sz w:val="24"/>
          <w:szCs w:val="24"/>
        </w:rPr>
        <w:t>R v Saunders</w:t>
      </w:r>
      <w:r w:rsidR="00D71066">
        <w:rPr>
          <w:rFonts w:ascii="Arial" w:hAnsi="Arial" w:cs="Arial"/>
          <w:i/>
          <w:iCs/>
          <w:sz w:val="24"/>
          <w:szCs w:val="24"/>
        </w:rPr>
        <w:t xml:space="preserve"> </w:t>
      </w:r>
      <w:r w:rsidR="00D71066">
        <w:rPr>
          <w:rFonts w:ascii="Arial" w:hAnsi="Arial" w:cs="Arial"/>
          <w:sz w:val="24"/>
          <w:szCs w:val="24"/>
        </w:rPr>
        <w:t xml:space="preserve">(1573) 2 </w:t>
      </w:r>
      <w:proofErr w:type="spellStart"/>
      <w:r w:rsidR="00D71066">
        <w:rPr>
          <w:rFonts w:ascii="Arial" w:hAnsi="Arial" w:cs="Arial"/>
          <w:sz w:val="24"/>
          <w:szCs w:val="24"/>
        </w:rPr>
        <w:t>Plowd</w:t>
      </w:r>
      <w:proofErr w:type="spellEnd"/>
      <w:r w:rsidR="00D71066">
        <w:rPr>
          <w:rFonts w:ascii="Arial" w:hAnsi="Arial" w:cs="Arial"/>
          <w:sz w:val="24"/>
          <w:szCs w:val="24"/>
        </w:rPr>
        <w:t xml:space="preserve"> 473</w:t>
      </w:r>
    </w:p>
    <w:p w14:paraId="76B6101D" w14:textId="35E7A3B6" w:rsidR="00D71066" w:rsidRDefault="00D71066" w:rsidP="008644AB">
      <w:pPr>
        <w:spacing w:line="276" w:lineRule="auto"/>
        <w:rPr>
          <w:rFonts w:ascii="Arial" w:hAnsi="Arial" w:cs="Arial"/>
          <w:sz w:val="24"/>
          <w:szCs w:val="24"/>
        </w:rPr>
      </w:pPr>
      <w:r>
        <w:rPr>
          <w:rFonts w:ascii="Arial" w:hAnsi="Arial" w:cs="Arial"/>
          <w:i/>
          <w:iCs/>
          <w:sz w:val="24"/>
          <w:szCs w:val="24"/>
        </w:rPr>
        <w:t xml:space="preserve">R v Miller </w:t>
      </w:r>
      <w:r>
        <w:rPr>
          <w:rFonts w:ascii="Arial" w:hAnsi="Arial" w:cs="Arial"/>
          <w:sz w:val="24"/>
          <w:szCs w:val="24"/>
        </w:rPr>
        <w:t>(1983) 2 AC 161 House of Lords</w:t>
      </w:r>
    </w:p>
    <w:p w14:paraId="1280456D" w14:textId="065397BA" w:rsidR="00D71066" w:rsidRDefault="00D71066" w:rsidP="008644AB">
      <w:pPr>
        <w:spacing w:line="276" w:lineRule="auto"/>
        <w:rPr>
          <w:rFonts w:ascii="Arial" w:hAnsi="Arial" w:cs="Arial"/>
          <w:sz w:val="24"/>
          <w:szCs w:val="24"/>
        </w:rPr>
      </w:pPr>
      <w:r>
        <w:rPr>
          <w:rFonts w:ascii="Arial" w:hAnsi="Arial" w:cs="Arial"/>
          <w:i/>
          <w:iCs/>
          <w:sz w:val="24"/>
          <w:szCs w:val="24"/>
        </w:rPr>
        <w:t xml:space="preserve">R v </w:t>
      </w:r>
      <w:proofErr w:type="spellStart"/>
      <w:r>
        <w:rPr>
          <w:rFonts w:ascii="Arial" w:hAnsi="Arial" w:cs="Arial"/>
          <w:i/>
          <w:iCs/>
          <w:sz w:val="24"/>
          <w:szCs w:val="24"/>
        </w:rPr>
        <w:t>Bollom</w:t>
      </w:r>
      <w:proofErr w:type="spellEnd"/>
      <w:r>
        <w:rPr>
          <w:rFonts w:ascii="Arial" w:hAnsi="Arial" w:cs="Arial"/>
          <w:i/>
          <w:iCs/>
          <w:sz w:val="24"/>
          <w:szCs w:val="24"/>
        </w:rPr>
        <w:t xml:space="preserve"> </w:t>
      </w:r>
      <w:r>
        <w:rPr>
          <w:rFonts w:ascii="Arial" w:hAnsi="Arial" w:cs="Arial"/>
          <w:sz w:val="24"/>
          <w:szCs w:val="24"/>
        </w:rPr>
        <w:t>(2004) 2 Cr App R 6</w:t>
      </w:r>
    </w:p>
    <w:p w14:paraId="58531C5B" w14:textId="77777777" w:rsidR="00D71066" w:rsidRDefault="00D71066" w:rsidP="008644AB">
      <w:pPr>
        <w:spacing w:line="276" w:lineRule="auto"/>
        <w:rPr>
          <w:rFonts w:ascii="Arial" w:hAnsi="Arial" w:cs="Arial"/>
          <w:sz w:val="24"/>
          <w:szCs w:val="24"/>
        </w:rPr>
      </w:pPr>
      <w:r>
        <w:rPr>
          <w:rFonts w:ascii="Arial" w:hAnsi="Arial" w:cs="Arial"/>
          <w:i/>
          <w:iCs/>
          <w:sz w:val="24"/>
          <w:szCs w:val="24"/>
        </w:rPr>
        <w:t xml:space="preserve">R v Constanza </w:t>
      </w:r>
      <w:r>
        <w:rPr>
          <w:rFonts w:ascii="Arial" w:hAnsi="Arial" w:cs="Arial"/>
          <w:sz w:val="24"/>
          <w:szCs w:val="24"/>
        </w:rPr>
        <w:t>(1997) Crim LR 576.</w:t>
      </w:r>
    </w:p>
    <w:p w14:paraId="4FF07B02" w14:textId="2935CCD1" w:rsidR="00D71066" w:rsidRDefault="00D71066" w:rsidP="008644AB">
      <w:pPr>
        <w:spacing w:line="276" w:lineRule="auto"/>
        <w:rPr>
          <w:rFonts w:ascii="Arial" w:hAnsi="Arial" w:cs="Arial"/>
          <w:i/>
          <w:iCs/>
          <w:sz w:val="24"/>
          <w:szCs w:val="24"/>
        </w:rPr>
      </w:pPr>
      <w:r w:rsidRPr="00D71066">
        <w:rPr>
          <w:rFonts w:ascii="Arial" w:hAnsi="Arial" w:cs="Arial"/>
          <w:i/>
          <w:iCs/>
          <w:sz w:val="24"/>
          <w:szCs w:val="24"/>
        </w:rPr>
        <w:t>R v Burstow</w:t>
      </w:r>
      <w:r>
        <w:rPr>
          <w:rFonts w:ascii="Arial" w:hAnsi="Arial" w:cs="Arial"/>
          <w:sz w:val="24"/>
          <w:szCs w:val="24"/>
        </w:rPr>
        <w:t xml:space="preserve"> (1997) UKHL House OF Lords (Considered at same time a R v Ireland)</w:t>
      </w:r>
      <w:r>
        <w:rPr>
          <w:rFonts w:ascii="Arial" w:hAnsi="Arial" w:cs="Arial"/>
          <w:i/>
          <w:iCs/>
          <w:sz w:val="24"/>
          <w:szCs w:val="24"/>
        </w:rPr>
        <w:t xml:space="preserve"> </w:t>
      </w:r>
    </w:p>
    <w:p w14:paraId="3C57E283" w14:textId="6520507A" w:rsidR="00D71066" w:rsidRPr="00D71066" w:rsidRDefault="00D71066" w:rsidP="008644AB">
      <w:pPr>
        <w:spacing w:line="276" w:lineRule="auto"/>
        <w:rPr>
          <w:rFonts w:ascii="Arial" w:hAnsi="Arial" w:cs="Arial"/>
          <w:sz w:val="24"/>
          <w:szCs w:val="24"/>
        </w:rPr>
      </w:pPr>
      <w:r>
        <w:rPr>
          <w:rFonts w:ascii="Arial" w:hAnsi="Arial" w:cs="Arial"/>
          <w:i/>
          <w:iCs/>
          <w:sz w:val="24"/>
          <w:szCs w:val="24"/>
        </w:rPr>
        <w:t xml:space="preserve">R V Chan </w:t>
      </w:r>
      <w:proofErr w:type="spellStart"/>
      <w:r>
        <w:rPr>
          <w:rFonts w:ascii="Arial" w:hAnsi="Arial" w:cs="Arial"/>
          <w:i/>
          <w:iCs/>
          <w:sz w:val="24"/>
          <w:szCs w:val="24"/>
        </w:rPr>
        <w:t>Fook</w:t>
      </w:r>
      <w:proofErr w:type="spellEnd"/>
      <w:r>
        <w:rPr>
          <w:rFonts w:ascii="Arial" w:hAnsi="Arial" w:cs="Arial"/>
          <w:i/>
          <w:iCs/>
          <w:sz w:val="24"/>
          <w:szCs w:val="24"/>
        </w:rPr>
        <w:t xml:space="preserve"> </w:t>
      </w:r>
      <w:r>
        <w:rPr>
          <w:rFonts w:ascii="Arial" w:hAnsi="Arial" w:cs="Arial"/>
          <w:sz w:val="24"/>
          <w:szCs w:val="24"/>
        </w:rPr>
        <w:t xml:space="preserve">(1994) 1 WLR 689 Court </w:t>
      </w:r>
      <w:proofErr w:type="gramStart"/>
      <w:r>
        <w:rPr>
          <w:rFonts w:ascii="Arial" w:hAnsi="Arial" w:cs="Arial"/>
          <w:sz w:val="24"/>
          <w:szCs w:val="24"/>
        </w:rPr>
        <w:t>Of</w:t>
      </w:r>
      <w:proofErr w:type="gramEnd"/>
      <w:r>
        <w:rPr>
          <w:rFonts w:ascii="Arial" w:hAnsi="Arial" w:cs="Arial"/>
          <w:sz w:val="24"/>
          <w:szCs w:val="24"/>
        </w:rPr>
        <w:t xml:space="preserve"> Appeal</w:t>
      </w:r>
    </w:p>
    <w:sectPr w:rsidR="00D71066" w:rsidRPr="00D7106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CE2918" w14:textId="77777777" w:rsidR="00BC355A" w:rsidRDefault="00BC355A" w:rsidP="00A53651">
      <w:pPr>
        <w:spacing w:after="0" w:line="240" w:lineRule="auto"/>
      </w:pPr>
      <w:r>
        <w:separator/>
      </w:r>
    </w:p>
  </w:endnote>
  <w:endnote w:type="continuationSeparator" w:id="0">
    <w:p w14:paraId="56973C4E" w14:textId="77777777" w:rsidR="00BC355A" w:rsidRDefault="00BC355A" w:rsidP="00A536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C42553" w14:textId="77777777" w:rsidR="00BC355A" w:rsidRDefault="00BC355A" w:rsidP="00A53651">
      <w:pPr>
        <w:spacing w:after="0" w:line="240" w:lineRule="auto"/>
      </w:pPr>
      <w:r>
        <w:separator/>
      </w:r>
    </w:p>
  </w:footnote>
  <w:footnote w:type="continuationSeparator" w:id="0">
    <w:p w14:paraId="2CC90323" w14:textId="77777777" w:rsidR="00BC355A" w:rsidRDefault="00BC355A" w:rsidP="00A53651">
      <w:pPr>
        <w:spacing w:after="0" w:line="240" w:lineRule="auto"/>
      </w:pPr>
      <w:r>
        <w:continuationSeparator/>
      </w:r>
    </w:p>
  </w:footnote>
  <w:footnote w:id="1">
    <w:p w14:paraId="01BFDABE" w14:textId="5A582563" w:rsidR="004708F8" w:rsidRDefault="004708F8">
      <w:pPr>
        <w:pStyle w:val="FootnoteText"/>
      </w:pPr>
    </w:p>
  </w:footnote>
  <w:footnote w:id="2">
    <w:p w14:paraId="49BE2DD1" w14:textId="182D7AA6" w:rsidR="004708F8" w:rsidRDefault="004708F8">
      <w:pPr>
        <w:pStyle w:val="FootnoteText"/>
      </w:pPr>
    </w:p>
  </w:footnote>
  <w:footnote w:id="3">
    <w:p w14:paraId="5BAEA3F9" w14:textId="2DD60F9E" w:rsidR="004708F8" w:rsidRDefault="004708F8">
      <w:pPr>
        <w:pStyle w:val="FootnoteText"/>
      </w:pPr>
    </w:p>
  </w:footnote>
  <w:footnote w:id="4">
    <w:p w14:paraId="6FCF0A39" w14:textId="64A80D74" w:rsidR="00915CA7" w:rsidRDefault="00915CA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F04F7A"/>
    <w:multiLevelType w:val="multilevel"/>
    <w:tmpl w:val="8ECEF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BB57AF"/>
    <w:multiLevelType w:val="hybridMultilevel"/>
    <w:tmpl w:val="D8524B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00655F"/>
    <w:multiLevelType w:val="hybridMultilevel"/>
    <w:tmpl w:val="5F42BD26"/>
    <w:lvl w:ilvl="0" w:tplc="0114CC2E">
      <w:start w:val="1"/>
      <w:numFmt w:val="bullet"/>
      <w:lvlText w:val="•"/>
      <w:lvlJc w:val="left"/>
      <w:pPr>
        <w:tabs>
          <w:tab w:val="num" w:pos="720"/>
        </w:tabs>
        <w:ind w:left="720" w:hanging="360"/>
      </w:pPr>
      <w:rPr>
        <w:rFonts w:ascii="Arial" w:hAnsi="Arial" w:hint="default"/>
      </w:rPr>
    </w:lvl>
    <w:lvl w:ilvl="1" w:tplc="A7B2F408" w:tentative="1">
      <w:start w:val="1"/>
      <w:numFmt w:val="bullet"/>
      <w:lvlText w:val="•"/>
      <w:lvlJc w:val="left"/>
      <w:pPr>
        <w:tabs>
          <w:tab w:val="num" w:pos="1440"/>
        </w:tabs>
        <w:ind w:left="1440" w:hanging="360"/>
      </w:pPr>
      <w:rPr>
        <w:rFonts w:ascii="Arial" w:hAnsi="Arial" w:hint="default"/>
      </w:rPr>
    </w:lvl>
    <w:lvl w:ilvl="2" w:tplc="69204E00" w:tentative="1">
      <w:start w:val="1"/>
      <w:numFmt w:val="bullet"/>
      <w:lvlText w:val="•"/>
      <w:lvlJc w:val="left"/>
      <w:pPr>
        <w:tabs>
          <w:tab w:val="num" w:pos="2160"/>
        </w:tabs>
        <w:ind w:left="2160" w:hanging="360"/>
      </w:pPr>
      <w:rPr>
        <w:rFonts w:ascii="Arial" w:hAnsi="Arial" w:hint="default"/>
      </w:rPr>
    </w:lvl>
    <w:lvl w:ilvl="3" w:tplc="AA4A76F4" w:tentative="1">
      <w:start w:val="1"/>
      <w:numFmt w:val="bullet"/>
      <w:lvlText w:val="•"/>
      <w:lvlJc w:val="left"/>
      <w:pPr>
        <w:tabs>
          <w:tab w:val="num" w:pos="2880"/>
        </w:tabs>
        <w:ind w:left="2880" w:hanging="360"/>
      </w:pPr>
      <w:rPr>
        <w:rFonts w:ascii="Arial" w:hAnsi="Arial" w:hint="default"/>
      </w:rPr>
    </w:lvl>
    <w:lvl w:ilvl="4" w:tplc="D6D68782" w:tentative="1">
      <w:start w:val="1"/>
      <w:numFmt w:val="bullet"/>
      <w:lvlText w:val="•"/>
      <w:lvlJc w:val="left"/>
      <w:pPr>
        <w:tabs>
          <w:tab w:val="num" w:pos="3600"/>
        </w:tabs>
        <w:ind w:left="3600" w:hanging="360"/>
      </w:pPr>
      <w:rPr>
        <w:rFonts w:ascii="Arial" w:hAnsi="Arial" w:hint="default"/>
      </w:rPr>
    </w:lvl>
    <w:lvl w:ilvl="5" w:tplc="0834EDBE" w:tentative="1">
      <w:start w:val="1"/>
      <w:numFmt w:val="bullet"/>
      <w:lvlText w:val="•"/>
      <w:lvlJc w:val="left"/>
      <w:pPr>
        <w:tabs>
          <w:tab w:val="num" w:pos="4320"/>
        </w:tabs>
        <w:ind w:left="4320" w:hanging="360"/>
      </w:pPr>
      <w:rPr>
        <w:rFonts w:ascii="Arial" w:hAnsi="Arial" w:hint="default"/>
      </w:rPr>
    </w:lvl>
    <w:lvl w:ilvl="6" w:tplc="45E4BEE8" w:tentative="1">
      <w:start w:val="1"/>
      <w:numFmt w:val="bullet"/>
      <w:lvlText w:val="•"/>
      <w:lvlJc w:val="left"/>
      <w:pPr>
        <w:tabs>
          <w:tab w:val="num" w:pos="5040"/>
        </w:tabs>
        <w:ind w:left="5040" w:hanging="360"/>
      </w:pPr>
      <w:rPr>
        <w:rFonts w:ascii="Arial" w:hAnsi="Arial" w:hint="default"/>
      </w:rPr>
    </w:lvl>
    <w:lvl w:ilvl="7" w:tplc="77F8E35E" w:tentative="1">
      <w:start w:val="1"/>
      <w:numFmt w:val="bullet"/>
      <w:lvlText w:val="•"/>
      <w:lvlJc w:val="left"/>
      <w:pPr>
        <w:tabs>
          <w:tab w:val="num" w:pos="5760"/>
        </w:tabs>
        <w:ind w:left="5760" w:hanging="360"/>
      </w:pPr>
      <w:rPr>
        <w:rFonts w:ascii="Arial" w:hAnsi="Arial" w:hint="default"/>
      </w:rPr>
    </w:lvl>
    <w:lvl w:ilvl="8" w:tplc="141AB00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691"/>
    <w:rsid w:val="000179EE"/>
    <w:rsid w:val="000769B4"/>
    <w:rsid w:val="000905D4"/>
    <w:rsid w:val="00184AE9"/>
    <w:rsid w:val="002125FA"/>
    <w:rsid w:val="00285120"/>
    <w:rsid w:val="00423A4A"/>
    <w:rsid w:val="0046645B"/>
    <w:rsid w:val="004708F8"/>
    <w:rsid w:val="004B1F9F"/>
    <w:rsid w:val="004E3081"/>
    <w:rsid w:val="0050297A"/>
    <w:rsid w:val="005B54E2"/>
    <w:rsid w:val="005C40A9"/>
    <w:rsid w:val="0063438E"/>
    <w:rsid w:val="00637CA5"/>
    <w:rsid w:val="0064198E"/>
    <w:rsid w:val="00707A98"/>
    <w:rsid w:val="00787747"/>
    <w:rsid w:val="007A0871"/>
    <w:rsid w:val="007A0D0E"/>
    <w:rsid w:val="007E3691"/>
    <w:rsid w:val="00844C89"/>
    <w:rsid w:val="008644AB"/>
    <w:rsid w:val="008A5438"/>
    <w:rsid w:val="008E2C08"/>
    <w:rsid w:val="00915CA7"/>
    <w:rsid w:val="00916C9E"/>
    <w:rsid w:val="009177F5"/>
    <w:rsid w:val="00981DD4"/>
    <w:rsid w:val="00A53651"/>
    <w:rsid w:val="00B624C3"/>
    <w:rsid w:val="00BC29AE"/>
    <w:rsid w:val="00BC355A"/>
    <w:rsid w:val="00C46A36"/>
    <w:rsid w:val="00C6347C"/>
    <w:rsid w:val="00CA6E13"/>
    <w:rsid w:val="00CF2DFA"/>
    <w:rsid w:val="00D71066"/>
    <w:rsid w:val="00E87E48"/>
    <w:rsid w:val="00EE2253"/>
    <w:rsid w:val="00F52083"/>
    <w:rsid w:val="00FD45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0A804"/>
  <w15:chartTrackingRefBased/>
  <w15:docId w15:val="{C94B68DB-61B8-43E2-8E71-0FBBA471B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8774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87747"/>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semiHidden/>
    <w:unhideWhenUsed/>
    <w:rsid w:val="00787747"/>
    <w:rPr>
      <w:color w:val="0000FF"/>
      <w:u w:val="single"/>
    </w:rPr>
  </w:style>
  <w:style w:type="character" w:customStyle="1" w:styleId="gd">
    <w:name w:val="gd"/>
    <w:basedOn w:val="DefaultParagraphFont"/>
    <w:rsid w:val="00787747"/>
  </w:style>
  <w:style w:type="character" w:customStyle="1" w:styleId="g3">
    <w:name w:val="g3"/>
    <w:basedOn w:val="DefaultParagraphFont"/>
    <w:rsid w:val="00787747"/>
  </w:style>
  <w:style w:type="character" w:customStyle="1" w:styleId="hb">
    <w:name w:val="hb"/>
    <w:basedOn w:val="DefaultParagraphFont"/>
    <w:rsid w:val="00787747"/>
  </w:style>
  <w:style w:type="character" w:customStyle="1" w:styleId="g2">
    <w:name w:val="g2"/>
    <w:basedOn w:val="DefaultParagraphFont"/>
    <w:rsid w:val="00787747"/>
  </w:style>
  <w:style w:type="paragraph" w:styleId="FootnoteText">
    <w:name w:val="footnote text"/>
    <w:basedOn w:val="Normal"/>
    <w:link w:val="FootnoteTextChar"/>
    <w:semiHidden/>
    <w:unhideWhenUsed/>
    <w:rsid w:val="00A53651"/>
    <w:pPr>
      <w:suppressAutoHyphens/>
      <w:autoSpaceDN w:val="0"/>
      <w:spacing w:after="0" w:line="240" w:lineRule="auto"/>
    </w:pPr>
    <w:rPr>
      <w:rFonts w:ascii="Calibri" w:eastAsia="Calibri" w:hAnsi="Calibri" w:cs="Arial"/>
      <w:sz w:val="20"/>
      <w:szCs w:val="20"/>
    </w:rPr>
  </w:style>
  <w:style w:type="character" w:customStyle="1" w:styleId="FootnoteTextChar">
    <w:name w:val="Footnote Text Char"/>
    <w:basedOn w:val="DefaultParagraphFont"/>
    <w:link w:val="FootnoteText"/>
    <w:semiHidden/>
    <w:rsid w:val="00A53651"/>
    <w:rPr>
      <w:rFonts w:ascii="Calibri" w:eastAsia="Calibri" w:hAnsi="Calibri" w:cs="Arial"/>
      <w:sz w:val="20"/>
      <w:szCs w:val="20"/>
    </w:rPr>
  </w:style>
  <w:style w:type="character" w:styleId="FootnoteReference">
    <w:name w:val="footnote reference"/>
    <w:basedOn w:val="DefaultParagraphFont"/>
    <w:semiHidden/>
    <w:unhideWhenUsed/>
    <w:rsid w:val="00A53651"/>
    <w:rPr>
      <w:position w:val="0"/>
      <w:vertAlign w:val="superscript"/>
    </w:rPr>
  </w:style>
  <w:style w:type="paragraph" w:customStyle="1" w:styleId="p1">
    <w:name w:val="p1"/>
    <w:basedOn w:val="Normal"/>
    <w:rsid w:val="00B624C3"/>
    <w:pPr>
      <w:spacing w:before="100" w:beforeAutospacing="1" w:after="100" w:afterAutospacing="1" w:line="240" w:lineRule="auto"/>
    </w:pPr>
    <w:rPr>
      <w:rFonts w:ascii="Calibri" w:eastAsiaTheme="minorEastAsia" w:hAnsi="Calibri" w:cs="Times New Roman"/>
      <w:lang w:eastAsia="en-GB"/>
    </w:rPr>
  </w:style>
  <w:style w:type="paragraph" w:customStyle="1" w:styleId="p2">
    <w:name w:val="p2"/>
    <w:basedOn w:val="Normal"/>
    <w:rsid w:val="00B624C3"/>
    <w:pPr>
      <w:spacing w:before="100" w:beforeAutospacing="1" w:after="100" w:afterAutospacing="1" w:line="240" w:lineRule="auto"/>
    </w:pPr>
    <w:rPr>
      <w:rFonts w:ascii="Calibri" w:eastAsiaTheme="minorEastAsia" w:hAnsi="Calibri" w:cs="Times New Roman"/>
      <w:lang w:eastAsia="en-GB"/>
    </w:rPr>
  </w:style>
  <w:style w:type="character" w:customStyle="1" w:styleId="s1">
    <w:name w:val="s1"/>
    <w:basedOn w:val="DefaultParagraphFont"/>
    <w:rsid w:val="00B624C3"/>
  </w:style>
  <w:style w:type="paragraph" w:styleId="NormalWeb">
    <w:name w:val="Normal (Web)"/>
    <w:basedOn w:val="Normal"/>
    <w:uiPriority w:val="99"/>
    <w:semiHidden/>
    <w:unhideWhenUsed/>
    <w:rsid w:val="000179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179EE"/>
    <w:rPr>
      <w:b/>
      <w:bCs/>
    </w:rPr>
  </w:style>
  <w:style w:type="character" w:styleId="Emphasis">
    <w:name w:val="Emphasis"/>
    <w:basedOn w:val="DefaultParagraphFont"/>
    <w:uiPriority w:val="20"/>
    <w:qFormat/>
    <w:rsid w:val="00915CA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2114284">
      <w:bodyDiv w:val="1"/>
      <w:marLeft w:val="0"/>
      <w:marRight w:val="0"/>
      <w:marTop w:val="0"/>
      <w:marBottom w:val="0"/>
      <w:divBdr>
        <w:top w:val="none" w:sz="0" w:space="0" w:color="auto"/>
        <w:left w:val="none" w:sz="0" w:space="0" w:color="auto"/>
        <w:bottom w:val="none" w:sz="0" w:space="0" w:color="auto"/>
        <w:right w:val="none" w:sz="0" w:space="0" w:color="auto"/>
      </w:divBdr>
    </w:div>
    <w:div w:id="494027960">
      <w:bodyDiv w:val="1"/>
      <w:marLeft w:val="0"/>
      <w:marRight w:val="0"/>
      <w:marTop w:val="0"/>
      <w:marBottom w:val="0"/>
      <w:divBdr>
        <w:top w:val="none" w:sz="0" w:space="0" w:color="auto"/>
        <w:left w:val="none" w:sz="0" w:space="0" w:color="auto"/>
        <w:bottom w:val="none" w:sz="0" w:space="0" w:color="auto"/>
        <w:right w:val="none" w:sz="0" w:space="0" w:color="auto"/>
      </w:divBdr>
    </w:div>
    <w:div w:id="495921115">
      <w:bodyDiv w:val="1"/>
      <w:marLeft w:val="0"/>
      <w:marRight w:val="0"/>
      <w:marTop w:val="0"/>
      <w:marBottom w:val="0"/>
      <w:divBdr>
        <w:top w:val="none" w:sz="0" w:space="0" w:color="auto"/>
        <w:left w:val="none" w:sz="0" w:space="0" w:color="auto"/>
        <w:bottom w:val="none" w:sz="0" w:space="0" w:color="auto"/>
        <w:right w:val="none" w:sz="0" w:space="0" w:color="auto"/>
      </w:divBdr>
      <w:divsChild>
        <w:div w:id="53623092">
          <w:marLeft w:val="547"/>
          <w:marRight w:val="0"/>
          <w:marTop w:val="154"/>
          <w:marBottom w:val="0"/>
          <w:divBdr>
            <w:top w:val="none" w:sz="0" w:space="0" w:color="auto"/>
            <w:left w:val="none" w:sz="0" w:space="0" w:color="auto"/>
            <w:bottom w:val="none" w:sz="0" w:space="0" w:color="auto"/>
            <w:right w:val="none" w:sz="0" w:space="0" w:color="auto"/>
          </w:divBdr>
        </w:div>
      </w:divsChild>
    </w:div>
    <w:div w:id="808518617">
      <w:bodyDiv w:val="1"/>
      <w:marLeft w:val="0"/>
      <w:marRight w:val="0"/>
      <w:marTop w:val="0"/>
      <w:marBottom w:val="0"/>
      <w:divBdr>
        <w:top w:val="none" w:sz="0" w:space="0" w:color="auto"/>
        <w:left w:val="none" w:sz="0" w:space="0" w:color="auto"/>
        <w:bottom w:val="none" w:sz="0" w:space="0" w:color="auto"/>
        <w:right w:val="none" w:sz="0" w:space="0" w:color="auto"/>
      </w:divBdr>
    </w:div>
    <w:div w:id="814418369">
      <w:bodyDiv w:val="1"/>
      <w:marLeft w:val="0"/>
      <w:marRight w:val="0"/>
      <w:marTop w:val="0"/>
      <w:marBottom w:val="0"/>
      <w:divBdr>
        <w:top w:val="none" w:sz="0" w:space="0" w:color="auto"/>
        <w:left w:val="none" w:sz="0" w:space="0" w:color="auto"/>
        <w:bottom w:val="none" w:sz="0" w:space="0" w:color="auto"/>
        <w:right w:val="none" w:sz="0" w:space="0" w:color="auto"/>
      </w:divBdr>
    </w:div>
    <w:div w:id="1088815231">
      <w:bodyDiv w:val="1"/>
      <w:marLeft w:val="0"/>
      <w:marRight w:val="0"/>
      <w:marTop w:val="0"/>
      <w:marBottom w:val="0"/>
      <w:divBdr>
        <w:top w:val="none" w:sz="0" w:space="0" w:color="auto"/>
        <w:left w:val="none" w:sz="0" w:space="0" w:color="auto"/>
        <w:bottom w:val="none" w:sz="0" w:space="0" w:color="auto"/>
        <w:right w:val="none" w:sz="0" w:space="0" w:color="auto"/>
      </w:divBdr>
    </w:div>
    <w:div w:id="1346403337">
      <w:bodyDiv w:val="1"/>
      <w:marLeft w:val="0"/>
      <w:marRight w:val="0"/>
      <w:marTop w:val="0"/>
      <w:marBottom w:val="0"/>
      <w:divBdr>
        <w:top w:val="none" w:sz="0" w:space="0" w:color="auto"/>
        <w:left w:val="none" w:sz="0" w:space="0" w:color="auto"/>
        <w:bottom w:val="none" w:sz="0" w:space="0" w:color="auto"/>
        <w:right w:val="none" w:sz="0" w:space="0" w:color="auto"/>
      </w:divBdr>
    </w:div>
    <w:div w:id="1550191804">
      <w:bodyDiv w:val="1"/>
      <w:marLeft w:val="0"/>
      <w:marRight w:val="0"/>
      <w:marTop w:val="0"/>
      <w:marBottom w:val="0"/>
      <w:divBdr>
        <w:top w:val="none" w:sz="0" w:space="0" w:color="auto"/>
        <w:left w:val="none" w:sz="0" w:space="0" w:color="auto"/>
        <w:bottom w:val="none" w:sz="0" w:space="0" w:color="auto"/>
        <w:right w:val="none" w:sz="0" w:space="0" w:color="auto"/>
      </w:divBdr>
      <w:divsChild>
        <w:div w:id="1737390240">
          <w:marLeft w:val="0"/>
          <w:marRight w:val="0"/>
          <w:marTop w:val="0"/>
          <w:marBottom w:val="0"/>
          <w:divBdr>
            <w:top w:val="none" w:sz="0" w:space="0" w:color="auto"/>
            <w:left w:val="none" w:sz="0" w:space="0" w:color="auto"/>
            <w:bottom w:val="none" w:sz="0" w:space="0" w:color="auto"/>
            <w:right w:val="none" w:sz="0" w:space="0" w:color="auto"/>
          </w:divBdr>
          <w:divsChild>
            <w:div w:id="850800045">
              <w:marLeft w:val="0"/>
              <w:marRight w:val="0"/>
              <w:marTop w:val="0"/>
              <w:marBottom w:val="0"/>
              <w:divBdr>
                <w:top w:val="single" w:sz="2" w:space="0" w:color="EFEFEF"/>
                <w:left w:val="none" w:sz="0" w:space="0" w:color="auto"/>
                <w:bottom w:val="none" w:sz="0" w:space="0" w:color="auto"/>
                <w:right w:val="none" w:sz="0" w:space="0" w:color="auto"/>
              </w:divBdr>
              <w:divsChild>
                <w:div w:id="897012616">
                  <w:marLeft w:val="0"/>
                  <w:marRight w:val="0"/>
                  <w:marTop w:val="0"/>
                  <w:marBottom w:val="0"/>
                  <w:divBdr>
                    <w:top w:val="single" w:sz="6" w:space="0" w:color="auto"/>
                    <w:left w:val="none" w:sz="0" w:space="0" w:color="auto"/>
                    <w:bottom w:val="none" w:sz="0" w:space="0" w:color="auto"/>
                    <w:right w:val="none" w:sz="0" w:space="0" w:color="auto"/>
                  </w:divBdr>
                  <w:divsChild>
                    <w:div w:id="508326691">
                      <w:marLeft w:val="0"/>
                      <w:marRight w:val="0"/>
                      <w:marTop w:val="0"/>
                      <w:marBottom w:val="0"/>
                      <w:divBdr>
                        <w:top w:val="none" w:sz="0" w:space="0" w:color="auto"/>
                        <w:left w:val="none" w:sz="0" w:space="0" w:color="auto"/>
                        <w:bottom w:val="none" w:sz="0" w:space="0" w:color="auto"/>
                        <w:right w:val="none" w:sz="0" w:space="0" w:color="auto"/>
                      </w:divBdr>
                      <w:divsChild>
                        <w:div w:id="346056769">
                          <w:marLeft w:val="0"/>
                          <w:marRight w:val="0"/>
                          <w:marTop w:val="0"/>
                          <w:marBottom w:val="0"/>
                          <w:divBdr>
                            <w:top w:val="none" w:sz="0" w:space="0" w:color="auto"/>
                            <w:left w:val="none" w:sz="0" w:space="0" w:color="auto"/>
                            <w:bottom w:val="none" w:sz="0" w:space="0" w:color="auto"/>
                            <w:right w:val="none" w:sz="0" w:space="0" w:color="auto"/>
                          </w:divBdr>
                          <w:divsChild>
                            <w:div w:id="632366500">
                              <w:marLeft w:val="0"/>
                              <w:marRight w:val="0"/>
                              <w:marTop w:val="0"/>
                              <w:marBottom w:val="0"/>
                              <w:divBdr>
                                <w:top w:val="none" w:sz="0" w:space="0" w:color="auto"/>
                                <w:left w:val="none" w:sz="0" w:space="0" w:color="auto"/>
                                <w:bottom w:val="none" w:sz="0" w:space="0" w:color="auto"/>
                                <w:right w:val="none" w:sz="0" w:space="0" w:color="auto"/>
                              </w:divBdr>
                              <w:divsChild>
                                <w:div w:id="397098743">
                                  <w:marLeft w:val="0"/>
                                  <w:marRight w:val="0"/>
                                  <w:marTop w:val="0"/>
                                  <w:marBottom w:val="0"/>
                                  <w:divBdr>
                                    <w:top w:val="none" w:sz="0" w:space="0" w:color="auto"/>
                                    <w:left w:val="none" w:sz="0" w:space="0" w:color="auto"/>
                                    <w:bottom w:val="none" w:sz="0" w:space="0" w:color="auto"/>
                                    <w:right w:val="none" w:sz="0" w:space="0" w:color="auto"/>
                                  </w:divBdr>
                                  <w:divsChild>
                                    <w:div w:id="86579132">
                                      <w:marLeft w:val="0"/>
                                      <w:marRight w:val="0"/>
                                      <w:marTop w:val="0"/>
                                      <w:marBottom w:val="0"/>
                                      <w:divBdr>
                                        <w:top w:val="none" w:sz="0" w:space="0" w:color="auto"/>
                                        <w:left w:val="none" w:sz="0" w:space="0" w:color="auto"/>
                                        <w:bottom w:val="none" w:sz="0" w:space="0" w:color="auto"/>
                                        <w:right w:val="none" w:sz="0" w:space="0" w:color="auto"/>
                                      </w:divBdr>
                                      <w:divsChild>
                                        <w:div w:id="138226658">
                                          <w:marLeft w:val="0"/>
                                          <w:marRight w:val="0"/>
                                          <w:marTop w:val="0"/>
                                          <w:marBottom w:val="0"/>
                                          <w:divBdr>
                                            <w:top w:val="none" w:sz="0" w:space="0" w:color="auto"/>
                                            <w:left w:val="none" w:sz="0" w:space="0" w:color="auto"/>
                                            <w:bottom w:val="none" w:sz="0" w:space="0" w:color="auto"/>
                                            <w:right w:val="none" w:sz="0" w:space="0" w:color="auto"/>
                                          </w:divBdr>
                                          <w:divsChild>
                                            <w:div w:id="1247379131">
                                              <w:marLeft w:val="0"/>
                                              <w:marRight w:val="0"/>
                                              <w:marTop w:val="120"/>
                                              <w:marBottom w:val="0"/>
                                              <w:divBdr>
                                                <w:top w:val="none" w:sz="0" w:space="0" w:color="auto"/>
                                                <w:left w:val="none" w:sz="0" w:space="0" w:color="auto"/>
                                                <w:bottom w:val="none" w:sz="0" w:space="0" w:color="auto"/>
                                                <w:right w:val="none" w:sz="0" w:space="0" w:color="auto"/>
                                              </w:divBdr>
                                              <w:divsChild>
                                                <w:div w:id="1525747201">
                                                  <w:marLeft w:val="0"/>
                                                  <w:marRight w:val="0"/>
                                                  <w:marTop w:val="0"/>
                                                  <w:marBottom w:val="0"/>
                                                  <w:divBdr>
                                                    <w:top w:val="none" w:sz="0" w:space="0" w:color="auto"/>
                                                    <w:left w:val="none" w:sz="0" w:space="0" w:color="auto"/>
                                                    <w:bottom w:val="none" w:sz="0" w:space="0" w:color="auto"/>
                                                    <w:right w:val="none" w:sz="0" w:space="0" w:color="auto"/>
                                                  </w:divBdr>
                                                  <w:divsChild>
                                                    <w:div w:id="1819683098">
                                                      <w:marLeft w:val="0"/>
                                                      <w:marRight w:val="0"/>
                                                      <w:marTop w:val="0"/>
                                                      <w:marBottom w:val="0"/>
                                                      <w:divBdr>
                                                        <w:top w:val="none" w:sz="0" w:space="0" w:color="auto"/>
                                                        <w:left w:val="none" w:sz="0" w:space="0" w:color="auto"/>
                                                        <w:bottom w:val="none" w:sz="0" w:space="0" w:color="auto"/>
                                                        <w:right w:val="none" w:sz="0" w:space="0" w:color="auto"/>
                                                      </w:divBdr>
                                                      <w:divsChild>
                                                        <w:div w:id="882599194">
                                                          <w:marLeft w:val="0"/>
                                                          <w:marRight w:val="0"/>
                                                          <w:marTop w:val="0"/>
                                                          <w:marBottom w:val="0"/>
                                                          <w:divBdr>
                                                            <w:top w:val="none" w:sz="0" w:space="0" w:color="auto"/>
                                                            <w:left w:val="none" w:sz="0" w:space="0" w:color="auto"/>
                                                            <w:bottom w:val="none" w:sz="0" w:space="0" w:color="auto"/>
                                                            <w:right w:val="none" w:sz="0" w:space="0" w:color="auto"/>
                                                          </w:divBdr>
                                                        </w:div>
                                                        <w:div w:id="1243023505">
                                                          <w:marLeft w:val="0"/>
                                                          <w:marRight w:val="0"/>
                                                          <w:marTop w:val="0"/>
                                                          <w:marBottom w:val="0"/>
                                                          <w:divBdr>
                                                            <w:top w:val="none" w:sz="0" w:space="0" w:color="auto"/>
                                                            <w:left w:val="none" w:sz="0" w:space="0" w:color="auto"/>
                                                            <w:bottom w:val="none" w:sz="0" w:space="0" w:color="auto"/>
                                                            <w:right w:val="none" w:sz="0" w:space="0" w:color="auto"/>
                                                          </w:divBdr>
                                                          <w:divsChild>
                                                            <w:div w:id="11583083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156390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03809215">
                                                              <w:marLeft w:val="0"/>
                                                              <w:marRight w:val="0"/>
                                                              <w:marTop w:val="0"/>
                                                              <w:marBottom w:val="0"/>
                                                              <w:divBdr>
                                                                <w:top w:val="none" w:sz="0" w:space="0" w:color="auto"/>
                                                                <w:left w:val="none" w:sz="0" w:space="0" w:color="auto"/>
                                                                <w:bottom w:val="none" w:sz="0" w:space="0" w:color="auto"/>
                                                                <w:right w:val="none" w:sz="0" w:space="0" w:color="auto"/>
                                                              </w:divBdr>
                                                              <w:divsChild>
                                                                <w:div w:id="553467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64006083">
          <w:marLeft w:val="0"/>
          <w:marRight w:val="0"/>
          <w:marTop w:val="0"/>
          <w:marBottom w:val="0"/>
          <w:divBdr>
            <w:top w:val="none" w:sz="0" w:space="0" w:color="auto"/>
            <w:left w:val="none" w:sz="0" w:space="0" w:color="auto"/>
            <w:bottom w:val="none" w:sz="0" w:space="0" w:color="auto"/>
            <w:right w:val="none" w:sz="0" w:space="0" w:color="auto"/>
          </w:divBdr>
          <w:divsChild>
            <w:div w:id="4408455">
              <w:marLeft w:val="0"/>
              <w:marRight w:val="0"/>
              <w:marTop w:val="0"/>
              <w:marBottom w:val="0"/>
              <w:divBdr>
                <w:top w:val="single" w:sz="2" w:space="0" w:color="EFEFEF"/>
                <w:left w:val="none" w:sz="0" w:space="0" w:color="auto"/>
                <w:bottom w:val="none" w:sz="0" w:space="0" w:color="auto"/>
                <w:right w:val="none" w:sz="0" w:space="0" w:color="auto"/>
              </w:divBdr>
              <w:divsChild>
                <w:div w:id="7101900">
                  <w:marLeft w:val="0"/>
                  <w:marRight w:val="0"/>
                  <w:marTop w:val="0"/>
                  <w:marBottom w:val="0"/>
                  <w:divBdr>
                    <w:top w:val="single" w:sz="6" w:space="0" w:color="auto"/>
                    <w:left w:val="none" w:sz="0" w:space="0" w:color="auto"/>
                    <w:bottom w:val="none" w:sz="0" w:space="0" w:color="auto"/>
                    <w:right w:val="none" w:sz="0" w:space="0" w:color="auto"/>
                  </w:divBdr>
                  <w:divsChild>
                    <w:div w:id="1030835886">
                      <w:marLeft w:val="0"/>
                      <w:marRight w:val="0"/>
                      <w:marTop w:val="0"/>
                      <w:marBottom w:val="0"/>
                      <w:divBdr>
                        <w:top w:val="none" w:sz="0" w:space="0" w:color="auto"/>
                        <w:left w:val="none" w:sz="0" w:space="0" w:color="auto"/>
                        <w:bottom w:val="none" w:sz="0" w:space="0" w:color="auto"/>
                        <w:right w:val="none" w:sz="0" w:space="0" w:color="auto"/>
                      </w:divBdr>
                      <w:divsChild>
                        <w:div w:id="871770336">
                          <w:marLeft w:val="0"/>
                          <w:marRight w:val="0"/>
                          <w:marTop w:val="0"/>
                          <w:marBottom w:val="0"/>
                          <w:divBdr>
                            <w:top w:val="none" w:sz="0" w:space="0" w:color="auto"/>
                            <w:left w:val="none" w:sz="0" w:space="0" w:color="auto"/>
                            <w:bottom w:val="none" w:sz="0" w:space="0" w:color="auto"/>
                            <w:right w:val="none" w:sz="0" w:space="0" w:color="auto"/>
                          </w:divBdr>
                          <w:divsChild>
                            <w:div w:id="769396321">
                              <w:marLeft w:val="0"/>
                              <w:marRight w:val="0"/>
                              <w:marTop w:val="0"/>
                              <w:marBottom w:val="0"/>
                              <w:divBdr>
                                <w:top w:val="none" w:sz="0" w:space="0" w:color="auto"/>
                                <w:left w:val="none" w:sz="0" w:space="0" w:color="auto"/>
                                <w:bottom w:val="none" w:sz="0" w:space="0" w:color="auto"/>
                                <w:right w:val="none" w:sz="0" w:space="0" w:color="auto"/>
                              </w:divBdr>
                              <w:divsChild>
                                <w:div w:id="607277156">
                                  <w:marLeft w:val="0"/>
                                  <w:marRight w:val="0"/>
                                  <w:marTop w:val="0"/>
                                  <w:marBottom w:val="0"/>
                                  <w:divBdr>
                                    <w:top w:val="none" w:sz="0" w:space="0" w:color="auto"/>
                                    <w:left w:val="none" w:sz="0" w:space="0" w:color="auto"/>
                                    <w:bottom w:val="none" w:sz="0" w:space="0" w:color="auto"/>
                                    <w:right w:val="none" w:sz="0" w:space="0" w:color="auto"/>
                                  </w:divBdr>
                                  <w:divsChild>
                                    <w:div w:id="1052464825">
                                      <w:marLeft w:val="0"/>
                                      <w:marRight w:val="0"/>
                                      <w:marTop w:val="0"/>
                                      <w:marBottom w:val="0"/>
                                      <w:divBdr>
                                        <w:top w:val="none" w:sz="0" w:space="0" w:color="auto"/>
                                        <w:left w:val="none" w:sz="0" w:space="0" w:color="auto"/>
                                        <w:bottom w:val="none" w:sz="0" w:space="0" w:color="auto"/>
                                        <w:right w:val="none" w:sz="0" w:space="0" w:color="auto"/>
                                      </w:divBdr>
                                    </w:div>
                                  </w:divsChild>
                                </w:div>
                                <w:div w:id="1612929518">
                                  <w:marLeft w:val="0"/>
                                  <w:marRight w:val="0"/>
                                  <w:marTop w:val="0"/>
                                  <w:marBottom w:val="0"/>
                                  <w:divBdr>
                                    <w:top w:val="none" w:sz="0" w:space="0" w:color="auto"/>
                                    <w:left w:val="none" w:sz="0" w:space="0" w:color="auto"/>
                                    <w:bottom w:val="none" w:sz="0" w:space="0" w:color="auto"/>
                                    <w:right w:val="none" w:sz="0" w:space="0" w:color="auto"/>
                                  </w:divBdr>
                                  <w:divsChild>
                                    <w:div w:id="1501265030">
                                      <w:marLeft w:val="0"/>
                                      <w:marRight w:val="0"/>
                                      <w:marTop w:val="0"/>
                                      <w:marBottom w:val="0"/>
                                      <w:divBdr>
                                        <w:top w:val="none" w:sz="0" w:space="0" w:color="auto"/>
                                        <w:left w:val="none" w:sz="0" w:space="0" w:color="auto"/>
                                        <w:bottom w:val="none" w:sz="0" w:space="0" w:color="auto"/>
                                        <w:right w:val="none" w:sz="0" w:space="0" w:color="auto"/>
                                      </w:divBdr>
                                      <w:divsChild>
                                        <w:div w:id="255094999">
                                          <w:marLeft w:val="0"/>
                                          <w:marRight w:val="0"/>
                                          <w:marTop w:val="0"/>
                                          <w:marBottom w:val="0"/>
                                          <w:divBdr>
                                            <w:top w:val="none" w:sz="0" w:space="0" w:color="auto"/>
                                            <w:left w:val="none" w:sz="0" w:space="0" w:color="auto"/>
                                            <w:bottom w:val="none" w:sz="0" w:space="0" w:color="auto"/>
                                            <w:right w:val="none" w:sz="0" w:space="0" w:color="auto"/>
                                          </w:divBdr>
                                        </w:div>
                                        <w:div w:id="417021050">
                                          <w:marLeft w:val="300"/>
                                          <w:marRight w:val="0"/>
                                          <w:marTop w:val="0"/>
                                          <w:marBottom w:val="0"/>
                                          <w:divBdr>
                                            <w:top w:val="none" w:sz="0" w:space="0" w:color="auto"/>
                                            <w:left w:val="none" w:sz="0" w:space="0" w:color="auto"/>
                                            <w:bottom w:val="none" w:sz="0" w:space="0" w:color="auto"/>
                                            <w:right w:val="none" w:sz="0" w:space="0" w:color="auto"/>
                                          </w:divBdr>
                                        </w:div>
                                        <w:div w:id="1042679623">
                                          <w:marLeft w:val="300"/>
                                          <w:marRight w:val="0"/>
                                          <w:marTop w:val="0"/>
                                          <w:marBottom w:val="0"/>
                                          <w:divBdr>
                                            <w:top w:val="none" w:sz="0" w:space="0" w:color="auto"/>
                                            <w:left w:val="none" w:sz="0" w:space="0" w:color="auto"/>
                                            <w:bottom w:val="none" w:sz="0" w:space="0" w:color="auto"/>
                                            <w:right w:val="none" w:sz="0" w:space="0" w:color="auto"/>
                                          </w:divBdr>
                                        </w:div>
                                        <w:div w:id="1038747299">
                                          <w:marLeft w:val="0"/>
                                          <w:marRight w:val="0"/>
                                          <w:marTop w:val="0"/>
                                          <w:marBottom w:val="0"/>
                                          <w:divBdr>
                                            <w:top w:val="none" w:sz="0" w:space="0" w:color="auto"/>
                                            <w:left w:val="none" w:sz="0" w:space="0" w:color="auto"/>
                                            <w:bottom w:val="none" w:sz="0" w:space="0" w:color="auto"/>
                                            <w:right w:val="none" w:sz="0" w:space="0" w:color="auto"/>
                                          </w:divBdr>
                                        </w:div>
                                        <w:div w:id="393698110">
                                          <w:marLeft w:val="60"/>
                                          <w:marRight w:val="0"/>
                                          <w:marTop w:val="0"/>
                                          <w:marBottom w:val="0"/>
                                          <w:divBdr>
                                            <w:top w:val="none" w:sz="0" w:space="0" w:color="auto"/>
                                            <w:left w:val="none" w:sz="0" w:space="0" w:color="auto"/>
                                            <w:bottom w:val="none" w:sz="0" w:space="0" w:color="auto"/>
                                            <w:right w:val="none" w:sz="0" w:space="0" w:color="auto"/>
                                          </w:divBdr>
                                        </w:div>
                                      </w:divsChild>
                                    </w:div>
                                    <w:div w:id="1640068190">
                                      <w:marLeft w:val="0"/>
                                      <w:marRight w:val="0"/>
                                      <w:marTop w:val="0"/>
                                      <w:marBottom w:val="0"/>
                                      <w:divBdr>
                                        <w:top w:val="none" w:sz="0" w:space="0" w:color="auto"/>
                                        <w:left w:val="none" w:sz="0" w:space="0" w:color="auto"/>
                                        <w:bottom w:val="none" w:sz="0" w:space="0" w:color="auto"/>
                                        <w:right w:val="none" w:sz="0" w:space="0" w:color="auto"/>
                                      </w:divBdr>
                                      <w:divsChild>
                                        <w:div w:id="1471053278">
                                          <w:marLeft w:val="0"/>
                                          <w:marRight w:val="0"/>
                                          <w:marTop w:val="120"/>
                                          <w:marBottom w:val="0"/>
                                          <w:divBdr>
                                            <w:top w:val="none" w:sz="0" w:space="0" w:color="auto"/>
                                            <w:left w:val="none" w:sz="0" w:space="0" w:color="auto"/>
                                            <w:bottom w:val="none" w:sz="0" w:space="0" w:color="auto"/>
                                            <w:right w:val="none" w:sz="0" w:space="0" w:color="auto"/>
                                          </w:divBdr>
                                          <w:divsChild>
                                            <w:div w:id="688069002">
                                              <w:marLeft w:val="0"/>
                                              <w:marRight w:val="0"/>
                                              <w:marTop w:val="0"/>
                                              <w:marBottom w:val="0"/>
                                              <w:divBdr>
                                                <w:top w:val="none" w:sz="0" w:space="0" w:color="auto"/>
                                                <w:left w:val="none" w:sz="0" w:space="0" w:color="auto"/>
                                                <w:bottom w:val="none" w:sz="0" w:space="0" w:color="auto"/>
                                                <w:right w:val="none" w:sz="0" w:space="0" w:color="auto"/>
                                              </w:divBdr>
                                              <w:divsChild>
                                                <w:div w:id="252668780">
                                                  <w:marLeft w:val="0"/>
                                                  <w:marRight w:val="0"/>
                                                  <w:marTop w:val="0"/>
                                                  <w:marBottom w:val="0"/>
                                                  <w:divBdr>
                                                    <w:top w:val="none" w:sz="0" w:space="0" w:color="auto"/>
                                                    <w:left w:val="none" w:sz="0" w:space="0" w:color="auto"/>
                                                    <w:bottom w:val="none" w:sz="0" w:space="0" w:color="auto"/>
                                                    <w:right w:val="none" w:sz="0" w:space="0" w:color="auto"/>
                                                  </w:divBdr>
                                                  <w:divsChild>
                                                    <w:div w:id="1418475732">
                                                      <w:marLeft w:val="0"/>
                                                      <w:marRight w:val="0"/>
                                                      <w:marTop w:val="0"/>
                                                      <w:marBottom w:val="0"/>
                                                      <w:divBdr>
                                                        <w:top w:val="none" w:sz="0" w:space="0" w:color="auto"/>
                                                        <w:left w:val="none" w:sz="0" w:space="0" w:color="auto"/>
                                                        <w:bottom w:val="none" w:sz="0" w:space="0" w:color="auto"/>
                                                        <w:right w:val="none" w:sz="0" w:space="0" w:color="auto"/>
                                                      </w:divBdr>
                                                    </w:div>
                                                    <w:div w:id="1231648036">
                                                      <w:marLeft w:val="0"/>
                                                      <w:marRight w:val="0"/>
                                                      <w:marTop w:val="30"/>
                                                      <w:marBottom w:val="0"/>
                                                      <w:divBdr>
                                                        <w:top w:val="none" w:sz="0" w:space="0" w:color="auto"/>
                                                        <w:left w:val="none" w:sz="0" w:space="0" w:color="auto"/>
                                                        <w:bottom w:val="none" w:sz="0" w:space="0" w:color="auto"/>
                                                        <w:right w:val="none" w:sz="0" w:space="0" w:color="auto"/>
                                                      </w:divBdr>
                                                      <w:divsChild>
                                                        <w:div w:id="116493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85840883">
      <w:bodyDiv w:val="1"/>
      <w:marLeft w:val="0"/>
      <w:marRight w:val="0"/>
      <w:marTop w:val="0"/>
      <w:marBottom w:val="0"/>
      <w:divBdr>
        <w:top w:val="none" w:sz="0" w:space="0" w:color="auto"/>
        <w:left w:val="none" w:sz="0" w:space="0" w:color="auto"/>
        <w:bottom w:val="none" w:sz="0" w:space="0" w:color="auto"/>
        <w:right w:val="none" w:sz="0" w:space="0" w:color="auto"/>
      </w:divBdr>
      <w:divsChild>
        <w:div w:id="869612781">
          <w:marLeft w:val="0"/>
          <w:marRight w:val="0"/>
          <w:marTop w:val="0"/>
          <w:marBottom w:val="0"/>
          <w:divBdr>
            <w:top w:val="none" w:sz="0" w:space="0" w:color="auto"/>
            <w:left w:val="none" w:sz="0" w:space="0" w:color="auto"/>
            <w:bottom w:val="none" w:sz="0" w:space="0" w:color="auto"/>
            <w:right w:val="none" w:sz="0" w:space="0" w:color="auto"/>
          </w:divBdr>
          <w:divsChild>
            <w:div w:id="146986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2AADA-0A4E-4AB4-9A63-BBD65462A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1774</Words>
  <Characters>10118</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 Mei</dc:creator>
  <cp:keywords/>
  <dc:description/>
  <cp:lastModifiedBy>Adnan Faisal Shamsdin (1806587)</cp:lastModifiedBy>
  <cp:revision>7</cp:revision>
  <dcterms:created xsi:type="dcterms:W3CDTF">2021-03-05T21:02:00Z</dcterms:created>
  <dcterms:modified xsi:type="dcterms:W3CDTF">2021-03-05T22:18:00Z</dcterms:modified>
</cp:coreProperties>
</file>