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83E7A" w14:textId="77777777" w:rsidR="00274F2A" w:rsidRPr="000D7A4D" w:rsidRDefault="00274F2A" w:rsidP="000D7A4D">
      <w:pPr>
        <w:pStyle w:val="Strong1"/>
        <w:spacing w:line="360" w:lineRule="auto"/>
        <w:rPr>
          <w:rFonts w:ascii="Arial" w:hAnsi="Arial" w:cs="Arial"/>
          <w:sz w:val="22"/>
          <w:szCs w:val="22"/>
        </w:rPr>
      </w:pPr>
      <w:r w:rsidRPr="000D7A4D">
        <w:rPr>
          <w:rFonts w:ascii="Arial" w:hAnsi="Arial" w:cs="Arial"/>
          <w:sz w:val="22"/>
          <w:szCs w:val="22"/>
        </w:rPr>
        <w:t xml:space="preserve">               </w:t>
      </w:r>
    </w:p>
    <w:p w14:paraId="6AFCD04E" w14:textId="77777777" w:rsidR="00274F2A" w:rsidRPr="000D7A4D" w:rsidRDefault="00274F2A" w:rsidP="000D7A4D">
      <w:pPr>
        <w:spacing w:line="360" w:lineRule="auto"/>
        <w:rPr>
          <w:rFonts w:ascii="Arial" w:hAnsi="Arial" w:cs="Arial"/>
          <w:noProof/>
          <w:sz w:val="22"/>
          <w:szCs w:val="22"/>
        </w:rPr>
      </w:pPr>
      <w:r w:rsidRPr="000D7A4D">
        <w:rPr>
          <w:rFonts w:ascii="Arial" w:hAnsi="Arial" w:cs="Arial"/>
          <w:b/>
          <w:bCs/>
          <w:sz w:val="22"/>
          <w:szCs w:val="22"/>
        </w:rPr>
        <w:t xml:space="preserve">        </w:t>
      </w:r>
    </w:p>
    <w:p w14:paraId="26F1B1C1" w14:textId="464F4AFE" w:rsidR="00274F2A" w:rsidRPr="000D7A4D" w:rsidRDefault="00274F2A" w:rsidP="000D7A4D">
      <w:pPr>
        <w:spacing w:line="360" w:lineRule="auto"/>
        <w:rPr>
          <w:rFonts w:ascii="Arial" w:hAnsi="Arial" w:cs="Arial"/>
          <w:b/>
          <w:bCs/>
          <w:sz w:val="22"/>
          <w:szCs w:val="22"/>
        </w:rPr>
      </w:pPr>
      <w:r w:rsidRPr="000D7A4D">
        <w:rPr>
          <w:rFonts w:ascii="Arial" w:hAnsi="Arial" w:cs="Arial"/>
          <w:noProof/>
          <w:sz w:val="22"/>
          <w:szCs w:val="22"/>
        </w:rPr>
        <w:drawing>
          <wp:inline distT="0" distB="0" distL="0" distR="0" wp14:anchorId="1373C285" wp14:editId="5AFA1280">
            <wp:extent cx="3209925" cy="1428750"/>
            <wp:effectExtent l="0" t="0" r="0" b="0"/>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13CEE04" w14:textId="77777777" w:rsidR="00274F2A" w:rsidRPr="000D7A4D" w:rsidRDefault="00274F2A" w:rsidP="000D7A4D">
      <w:pPr>
        <w:spacing w:line="360" w:lineRule="auto"/>
        <w:rPr>
          <w:rFonts w:ascii="Arial" w:hAnsi="Arial" w:cs="Arial"/>
          <w:b/>
          <w:bCs/>
          <w:sz w:val="22"/>
          <w:szCs w:val="22"/>
          <w:lang w:val="en-US"/>
        </w:rPr>
      </w:pPr>
    </w:p>
    <w:p w14:paraId="3983CC12" w14:textId="77777777" w:rsidR="00274F2A" w:rsidRPr="000D7A4D" w:rsidRDefault="00274F2A" w:rsidP="000D7A4D">
      <w:pPr>
        <w:spacing w:line="360" w:lineRule="auto"/>
        <w:rPr>
          <w:rFonts w:ascii="Arial" w:hAnsi="Arial" w:cs="Arial"/>
          <w:b/>
          <w:bCs/>
          <w:sz w:val="22"/>
          <w:szCs w:val="22"/>
          <w:lang w:val="en-US"/>
        </w:rPr>
      </w:pPr>
    </w:p>
    <w:p w14:paraId="1038A65C" w14:textId="4DC7D56C" w:rsidR="00274F2A" w:rsidRPr="000D7A4D" w:rsidRDefault="00274F2A" w:rsidP="000D7A4D">
      <w:pPr>
        <w:spacing w:line="360" w:lineRule="auto"/>
        <w:rPr>
          <w:rFonts w:ascii="Arial" w:hAnsi="Arial" w:cs="Arial"/>
          <w:b/>
          <w:bCs/>
          <w:sz w:val="22"/>
          <w:szCs w:val="22"/>
        </w:rPr>
      </w:pPr>
      <w:r w:rsidRPr="000D7A4D">
        <w:rPr>
          <w:rFonts w:ascii="Arial" w:hAnsi="Arial" w:cs="Arial"/>
          <w:b/>
          <w:bCs/>
          <w:sz w:val="22"/>
          <w:szCs w:val="22"/>
          <w:lang w:val="en-US"/>
        </w:rPr>
        <w:t>Full Name- KINGSLEY KUKU-OGUNFEIBO</w:t>
      </w:r>
    </w:p>
    <w:p w14:paraId="0E9A5DE2" w14:textId="77777777" w:rsidR="00274F2A" w:rsidRPr="000D7A4D" w:rsidRDefault="00274F2A" w:rsidP="000D7A4D">
      <w:pPr>
        <w:spacing w:line="360" w:lineRule="auto"/>
        <w:jc w:val="both"/>
        <w:rPr>
          <w:rFonts w:ascii="Arial" w:hAnsi="Arial" w:cs="Arial"/>
          <w:b/>
          <w:bCs/>
          <w:sz w:val="22"/>
          <w:szCs w:val="22"/>
          <w:lang w:val="en-US"/>
        </w:rPr>
      </w:pPr>
    </w:p>
    <w:p w14:paraId="6852C666" w14:textId="4C7A65A6" w:rsidR="00274F2A" w:rsidRPr="000D7A4D" w:rsidRDefault="00274F2A" w:rsidP="000D7A4D">
      <w:pPr>
        <w:spacing w:line="360" w:lineRule="auto"/>
        <w:jc w:val="both"/>
        <w:rPr>
          <w:rFonts w:ascii="Arial" w:hAnsi="Arial" w:cs="Arial"/>
          <w:b/>
          <w:bCs/>
          <w:sz w:val="22"/>
          <w:szCs w:val="22"/>
          <w:lang w:val="en-US"/>
        </w:rPr>
      </w:pPr>
      <w:r w:rsidRPr="000D7A4D">
        <w:rPr>
          <w:rFonts w:ascii="Arial" w:hAnsi="Arial" w:cs="Arial"/>
          <w:b/>
          <w:bCs/>
          <w:sz w:val="22"/>
          <w:szCs w:val="22"/>
          <w:lang w:val="en-US"/>
        </w:rPr>
        <w:t xml:space="preserve">Student ID – 2211882 </w:t>
      </w:r>
    </w:p>
    <w:p w14:paraId="3918C747" w14:textId="77777777" w:rsidR="00274F2A" w:rsidRPr="000D7A4D" w:rsidRDefault="00274F2A" w:rsidP="000D7A4D">
      <w:pPr>
        <w:spacing w:line="360" w:lineRule="auto"/>
        <w:jc w:val="both"/>
        <w:rPr>
          <w:rFonts w:ascii="Arial" w:hAnsi="Arial" w:cs="Arial"/>
          <w:b/>
          <w:bCs/>
          <w:sz w:val="22"/>
          <w:szCs w:val="22"/>
          <w:lang w:val="en-US"/>
        </w:rPr>
      </w:pPr>
    </w:p>
    <w:p w14:paraId="4A9232FC" w14:textId="53107301" w:rsidR="00274F2A" w:rsidRPr="000D7A4D" w:rsidRDefault="00274F2A" w:rsidP="000D7A4D">
      <w:pPr>
        <w:spacing w:line="360" w:lineRule="auto"/>
        <w:jc w:val="both"/>
        <w:rPr>
          <w:rFonts w:ascii="Arial" w:hAnsi="Arial" w:cs="Arial"/>
          <w:b/>
          <w:bCs/>
          <w:sz w:val="22"/>
          <w:szCs w:val="22"/>
          <w:lang w:val="en-US"/>
        </w:rPr>
      </w:pPr>
      <w:r w:rsidRPr="000D7A4D">
        <w:rPr>
          <w:rFonts w:ascii="Arial" w:hAnsi="Arial" w:cs="Arial"/>
          <w:b/>
          <w:bCs/>
          <w:sz w:val="22"/>
          <w:szCs w:val="22"/>
          <w:lang w:val="en-US"/>
        </w:rPr>
        <w:t xml:space="preserve">Program of Study – BA (Hons) Leadership and Management Skills </w:t>
      </w:r>
      <w:proofErr w:type="gramStart"/>
      <w:r w:rsidRPr="000D7A4D">
        <w:rPr>
          <w:rFonts w:ascii="Arial" w:hAnsi="Arial" w:cs="Arial"/>
          <w:b/>
          <w:bCs/>
          <w:sz w:val="22"/>
          <w:szCs w:val="22"/>
          <w:lang w:val="en-US"/>
        </w:rPr>
        <w:t>For</w:t>
      </w:r>
      <w:proofErr w:type="gramEnd"/>
      <w:r w:rsidRPr="000D7A4D">
        <w:rPr>
          <w:rFonts w:ascii="Arial" w:hAnsi="Arial" w:cs="Arial"/>
          <w:b/>
          <w:bCs/>
          <w:sz w:val="22"/>
          <w:szCs w:val="22"/>
          <w:lang w:val="en-US"/>
        </w:rPr>
        <w:t xml:space="preserve"> the Workplace</w:t>
      </w:r>
    </w:p>
    <w:p w14:paraId="076CC299" w14:textId="77777777" w:rsidR="00274F2A" w:rsidRPr="000D7A4D" w:rsidRDefault="00274F2A" w:rsidP="000D7A4D">
      <w:pPr>
        <w:spacing w:line="360" w:lineRule="auto"/>
        <w:jc w:val="both"/>
        <w:rPr>
          <w:rFonts w:ascii="Arial" w:hAnsi="Arial" w:cs="Arial"/>
          <w:b/>
          <w:bCs/>
          <w:sz w:val="22"/>
          <w:szCs w:val="22"/>
          <w:lang w:val="en-US"/>
        </w:rPr>
      </w:pPr>
    </w:p>
    <w:p w14:paraId="65BAD805" w14:textId="6A96AA8C" w:rsidR="00274F2A" w:rsidRPr="000D7A4D" w:rsidRDefault="00274F2A" w:rsidP="000D7A4D">
      <w:pPr>
        <w:spacing w:line="360" w:lineRule="auto"/>
        <w:jc w:val="both"/>
        <w:rPr>
          <w:rFonts w:ascii="Arial" w:hAnsi="Arial" w:cs="Arial"/>
          <w:b/>
          <w:bCs/>
          <w:sz w:val="22"/>
          <w:szCs w:val="22"/>
          <w:lang w:val="en-US"/>
        </w:rPr>
      </w:pPr>
      <w:r w:rsidRPr="000D7A4D">
        <w:rPr>
          <w:rFonts w:ascii="Arial" w:hAnsi="Arial" w:cs="Arial"/>
          <w:b/>
          <w:bCs/>
          <w:sz w:val="22"/>
          <w:szCs w:val="22"/>
          <w:lang w:val="en-US"/>
        </w:rPr>
        <w:t xml:space="preserve">Module Name – </w:t>
      </w:r>
      <w:r w:rsidR="00F87CE5" w:rsidRPr="000D7A4D">
        <w:rPr>
          <w:rFonts w:ascii="Arial" w:hAnsi="Arial" w:cs="Arial"/>
          <w:b/>
          <w:bCs/>
          <w:sz w:val="22"/>
          <w:szCs w:val="22"/>
          <w:lang w:val="en-US"/>
        </w:rPr>
        <w:t>Developing Emotional Intelligence Skills</w:t>
      </w:r>
    </w:p>
    <w:p w14:paraId="1CD5B386" w14:textId="77777777" w:rsidR="00274F2A" w:rsidRPr="000D7A4D" w:rsidRDefault="00274F2A" w:rsidP="000D7A4D">
      <w:pPr>
        <w:spacing w:line="360" w:lineRule="auto"/>
        <w:jc w:val="both"/>
        <w:rPr>
          <w:rFonts w:ascii="Arial" w:hAnsi="Arial" w:cs="Arial"/>
          <w:b/>
          <w:bCs/>
          <w:sz w:val="22"/>
          <w:szCs w:val="22"/>
          <w:lang w:val="en-US"/>
        </w:rPr>
      </w:pPr>
    </w:p>
    <w:p w14:paraId="4BFE15ED" w14:textId="6E84868A" w:rsidR="00274F2A" w:rsidRPr="000D7A4D" w:rsidRDefault="00274F2A" w:rsidP="000D7A4D">
      <w:pPr>
        <w:spacing w:line="360" w:lineRule="auto"/>
        <w:jc w:val="both"/>
        <w:rPr>
          <w:rFonts w:ascii="Arial" w:hAnsi="Arial" w:cs="Arial"/>
          <w:b/>
          <w:bCs/>
          <w:sz w:val="22"/>
          <w:szCs w:val="22"/>
          <w:lang w:val="en-US"/>
        </w:rPr>
      </w:pPr>
      <w:r w:rsidRPr="000D7A4D">
        <w:rPr>
          <w:rFonts w:ascii="Arial" w:hAnsi="Arial" w:cs="Arial"/>
          <w:b/>
          <w:bCs/>
          <w:sz w:val="22"/>
          <w:szCs w:val="22"/>
          <w:lang w:val="en-US"/>
        </w:rPr>
        <w:t>Module Code – LCLM 5006</w:t>
      </w:r>
    </w:p>
    <w:p w14:paraId="360CEB33" w14:textId="77777777" w:rsidR="00F87CE5" w:rsidRPr="000D7A4D" w:rsidRDefault="00F87CE5" w:rsidP="000D7A4D">
      <w:pPr>
        <w:spacing w:line="360" w:lineRule="auto"/>
        <w:jc w:val="both"/>
        <w:rPr>
          <w:rFonts w:ascii="Arial" w:hAnsi="Arial" w:cs="Arial"/>
          <w:b/>
          <w:bCs/>
          <w:sz w:val="22"/>
          <w:szCs w:val="22"/>
          <w:lang w:val="en-US"/>
        </w:rPr>
      </w:pPr>
    </w:p>
    <w:p w14:paraId="19E89DA8" w14:textId="77777777" w:rsidR="00F87CE5" w:rsidRPr="000D7A4D" w:rsidRDefault="00F87CE5" w:rsidP="000D7A4D">
      <w:pPr>
        <w:spacing w:line="360" w:lineRule="auto"/>
        <w:jc w:val="both"/>
        <w:rPr>
          <w:rFonts w:ascii="Arial" w:hAnsi="Arial" w:cs="Arial"/>
          <w:b/>
          <w:bCs/>
          <w:color w:val="1D2125"/>
          <w:sz w:val="22"/>
          <w:szCs w:val="22"/>
          <w:shd w:val="clear" w:color="auto" w:fill="FFFFFF"/>
        </w:rPr>
      </w:pPr>
      <w:r w:rsidRPr="000D7A4D">
        <w:rPr>
          <w:rFonts w:ascii="Arial" w:hAnsi="Arial" w:cs="Arial"/>
          <w:b/>
          <w:bCs/>
          <w:sz w:val="22"/>
          <w:szCs w:val="22"/>
          <w:lang w:val="en-US"/>
        </w:rPr>
        <w:t>Lecturer’s Name: -    Abdallah Naser</w:t>
      </w:r>
    </w:p>
    <w:p w14:paraId="6424D1EC" w14:textId="77777777" w:rsidR="00274F2A" w:rsidRPr="000D7A4D" w:rsidRDefault="00274F2A" w:rsidP="000D7A4D">
      <w:pPr>
        <w:spacing w:line="360" w:lineRule="auto"/>
        <w:jc w:val="both"/>
        <w:rPr>
          <w:rFonts w:ascii="Arial" w:hAnsi="Arial" w:cs="Arial"/>
          <w:b/>
          <w:bCs/>
          <w:sz w:val="22"/>
          <w:szCs w:val="22"/>
          <w:lang w:val="en-US"/>
        </w:rPr>
      </w:pPr>
    </w:p>
    <w:p w14:paraId="6D9C0454" w14:textId="449C2E33" w:rsidR="00274F2A" w:rsidRPr="000D7A4D" w:rsidRDefault="00274F2A" w:rsidP="000D7A4D">
      <w:pPr>
        <w:spacing w:line="360" w:lineRule="auto"/>
        <w:jc w:val="both"/>
        <w:rPr>
          <w:rFonts w:ascii="Arial" w:hAnsi="Arial" w:cs="Arial"/>
          <w:b/>
          <w:bCs/>
          <w:sz w:val="22"/>
          <w:szCs w:val="22"/>
          <w:lang w:val="en-US"/>
        </w:rPr>
      </w:pPr>
      <w:r w:rsidRPr="000D7A4D">
        <w:rPr>
          <w:rFonts w:ascii="Arial" w:hAnsi="Arial" w:cs="Arial"/>
          <w:b/>
          <w:bCs/>
          <w:sz w:val="22"/>
          <w:szCs w:val="22"/>
          <w:lang w:val="en-US"/>
        </w:rPr>
        <w:t>Component 2 Assignment</w:t>
      </w:r>
    </w:p>
    <w:p w14:paraId="49958E52" w14:textId="77777777" w:rsidR="00274F2A" w:rsidRPr="000D7A4D" w:rsidRDefault="00274F2A" w:rsidP="000D7A4D">
      <w:pPr>
        <w:spacing w:line="360" w:lineRule="auto"/>
        <w:jc w:val="both"/>
        <w:rPr>
          <w:rFonts w:ascii="Arial" w:hAnsi="Arial" w:cs="Arial"/>
          <w:b/>
          <w:bCs/>
          <w:sz w:val="22"/>
          <w:szCs w:val="22"/>
          <w:lang w:val="en-US"/>
        </w:rPr>
      </w:pPr>
    </w:p>
    <w:p w14:paraId="259C71B0" w14:textId="28C4323F" w:rsidR="00237FCA" w:rsidRPr="000D7A4D" w:rsidRDefault="00274F2A" w:rsidP="000D7A4D">
      <w:pPr>
        <w:spacing w:after="240" w:line="360" w:lineRule="auto"/>
        <w:rPr>
          <w:rFonts w:ascii="Arial" w:hAnsi="Arial" w:cs="Arial"/>
          <w:sz w:val="22"/>
          <w:szCs w:val="22"/>
        </w:rPr>
      </w:pPr>
      <w:r w:rsidRPr="000D7A4D">
        <w:rPr>
          <w:rFonts w:ascii="Arial" w:hAnsi="Arial" w:cs="Arial"/>
          <w:b/>
          <w:bCs/>
          <w:sz w:val="22"/>
          <w:szCs w:val="22"/>
          <w:lang w:val="en-US"/>
        </w:rPr>
        <w:t>T</w:t>
      </w:r>
      <w:r w:rsidR="000D7A4D" w:rsidRPr="000D7A4D">
        <w:rPr>
          <w:rFonts w:ascii="Arial" w:hAnsi="Arial" w:cs="Arial"/>
          <w:b/>
          <w:bCs/>
          <w:sz w:val="22"/>
          <w:szCs w:val="22"/>
          <w:lang w:val="en-US"/>
        </w:rPr>
        <w:t>opic –</w:t>
      </w:r>
      <w:r w:rsidR="00F87CE5" w:rsidRPr="000D7A4D">
        <w:rPr>
          <w:rFonts w:ascii="Arial" w:hAnsi="Arial" w:cs="Arial"/>
          <w:b/>
          <w:bCs/>
          <w:sz w:val="22"/>
          <w:szCs w:val="22"/>
        </w:rPr>
        <w:t xml:space="preserve"> </w:t>
      </w:r>
      <w:r w:rsidR="000D7A4D" w:rsidRPr="000D7A4D">
        <w:rPr>
          <w:rFonts w:ascii="Arial" w:hAnsi="Arial" w:cs="Arial"/>
          <w:b/>
          <w:bCs/>
          <w:sz w:val="22"/>
          <w:szCs w:val="22"/>
        </w:rPr>
        <w:t xml:space="preserve">Analytical </w:t>
      </w:r>
      <w:r w:rsidR="00237FCA" w:rsidRPr="000D7A4D">
        <w:rPr>
          <w:rFonts w:ascii="Arial" w:hAnsi="Arial" w:cs="Arial"/>
          <w:b/>
          <w:bCs/>
          <w:sz w:val="22"/>
          <w:szCs w:val="22"/>
        </w:rPr>
        <w:t xml:space="preserve">Report on Emotional Intelligence </w:t>
      </w:r>
      <w:r w:rsidR="00F87CE5" w:rsidRPr="000D7A4D">
        <w:rPr>
          <w:rFonts w:ascii="Arial" w:hAnsi="Arial" w:cs="Arial"/>
          <w:b/>
          <w:bCs/>
          <w:sz w:val="22"/>
          <w:szCs w:val="22"/>
        </w:rPr>
        <w:t xml:space="preserve">in the Workplace </w:t>
      </w:r>
      <w:r w:rsidR="00237FCA" w:rsidRPr="000D7A4D">
        <w:rPr>
          <w:rFonts w:ascii="Arial" w:hAnsi="Arial" w:cs="Arial"/>
          <w:b/>
          <w:bCs/>
          <w:sz w:val="22"/>
          <w:szCs w:val="22"/>
        </w:rPr>
        <w:t>and Multigenerational Workforce</w:t>
      </w:r>
    </w:p>
    <w:p w14:paraId="700B6722" w14:textId="7DC2377D" w:rsidR="00274F2A" w:rsidRPr="000D7A4D" w:rsidRDefault="00274F2A" w:rsidP="000D7A4D">
      <w:pPr>
        <w:spacing w:line="360" w:lineRule="auto"/>
        <w:jc w:val="both"/>
        <w:rPr>
          <w:rFonts w:ascii="Arial" w:hAnsi="Arial" w:cs="Arial"/>
          <w:b/>
          <w:bCs/>
          <w:sz w:val="22"/>
          <w:szCs w:val="22"/>
          <w:lang w:val="en-US"/>
        </w:rPr>
      </w:pPr>
    </w:p>
    <w:p w14:paraId="00806A9B" w14:textId="77777777" w:rsidR="00274F2A" w:rsidRPr="000D7A4D" w:rsidRDefault="00274F2A" w:rsidP="000D7A4D">
      <w:pPr>
        <w:spacing w:line="360" w:lineRule="auto"/>
        <w:rPr>
          <w:rFonts w:ascii="Arial" w:hAnsi="Arial" w:cs="Arial"/>
          <w:b/>
          <w:bCs/>
          <w:sz w:val="22"/>
          <w:szCs w:val="22"/>
        </w:rPr>
      </w:pPr>
    </w:p>
    <w:p w14:paraId="59867B79" w14:textId="77777777" w:rsidR="00274F2A" w:rsidRPr="000D7A4D" w:rsidRDefault="00274F2A" w:rsidP="000D7A4D">
      <w:pPr>
        <w:spacing w:line="360" w:lineRule="auto"/>
        <w:jc w:val="both"/>
        <w:rPr>
          <w:rFonts w:ascii="Arial" w:hAnsi="Arial" w:cs="Arial"/>
          <w:sz w:val="22"/>
          <w:szCs w:val="22"/>
          <w:lang w:val="en-US"/>
        </w:rPr>
      </w:pPr>
    </w:p>
    <w:p w14:paraId="173BAF85" w14:textId="77777777" w:rsidR="00274F2A" w:rsidRPr="000D7A4D" w:rsidRDefault="00274F2A" w:rsidP="000D7A4D">
      <w:pPr>
        <w:spacing w:line="360" w:lineRule="auto"/>
        <w:rPr>
          <w:rFonts w:ascii="Arial" w:hAnsi="Arial" w:cs="Arial"/>
          <w:b/>
          <w:bCs/>
          <w:sz w:val="22"/>
          <w:szCs w:val="22"/>
        </w:rPr>
      </w:pPr>
    </w:p>
    <w:p w14:paraId="67C94918" w14:textId="77777777" w:rsidR="00274F2A" w:rsidRPr="000D7A4D" w:rsidRDefault="00274F2A" w:rsidP="000D7A4D">
      <w:pPr>
        <w:spacing w:line="360" w:lineRule="auto"/>
        <w:rPr>
          <w:rFonts w:ascii="Arial" w:hAnsi="Arial" w:cs="Arial"/>
          <w:b/>
          <w:bCs/>
          <w:sz w:val="22"/>
          <w:szCs w:val="22"/>
        </w:rPr>
      </w:pPr>
    </w:p>
    <w:p w14:paraId="60445E4C" w14:textId="77777777" w:rsidR="00274F2A" w:rsidRPr="000D7A4D" w:rsidRDefault="00274F2A" w:rsidP="000D7A4D">
      <w:pPr>
        <w:spacing w:after="240" w:line="360" w:lineRule="auto"/>
        <w:rPr>
          <w:rFonts w:ascii="Arial" w:hAnsi="Arial" w:cs="Arial"/>
          <w:b/>
          <w:bCs/>
          <w:sz w:val="22"/>
          <w:szCs w:val="22"/>
        </w:rPr>
      </w:pPr>
    </w:p>
    <w:p w14:paraId="1171204E" w14:textId="77777777" w:rsidR="00F87CE5" w:rsidRPr="000D7A4D" w:rsidRDefault="00F87CE5" w:rsidP="000D7A4D">
      <w:pPr>
        <w:spacing w:after="240" w:line="360" w:lineRule="auto"/>
        <w:rPr>
          <w:rFonts w:ascii="Arial" w:hAnsi="Arial" w:cs="Arial"/>
          <w:b/>
          <w:bCs/>
          <w:sz w:val="22"/>
          <w:szCs w:val="22"/>
        </w:rPr>
      </w:pPr>
    </w:p>
    <w:p w14:paraId="730C62AB" w14:textId="77777777" w:rsidR="00274F2A" w:rsidRPr="000D7A4D" w:rsidRDefault="00274F2A" w:rsidP="000D7A4D">
      <w:pPr>
        <w:spacing w:after="240" w:line="360" w:lineRule="auto"/>
        <w:rPr>
          <w:rFonts w:ascii="Arial" w:hAnsi="Arial" w:cs="Arial"/>
          <w:b/>
          <w:bCs/>
          <w:sz w:val="22"/>
          <w:szCs w:val="22"/>
        </w:rPr>
      </w:pPr>
    </w:p>
    <w:p w14:paraId="309DDB8B" w14:textId="06F23074" w:rsidR="00766B46" w:rsidRPr="000D7A4D" w:rsidRDefault="00766B46" w:rsidP="000D7A4D">
      <w:pPr>
        <w:spacing w:after="240" w:line="360" w:lineRule="auto"/>
        <w:rPr>
          <w:rFonts w:ascii="Arial" w:hAnsi="Arial" w:cs="Arial"/>
          <w:bCs/>
          <w:sz w:val="22"/>
          <w:szCs w:val="22"/>
        </w:rPr>
      </w:pPr>
      <w:r w:rsidRPr="000D7A4D">
        <w:rPr>
          <w:rFonts w:ascii="Arial" w:hAnsi="Arial" w:cs="Arial"/>
          <w:bCs/>
          <w:sz w:val="22"/>
          <w:szCs w:val="22"/>
        </w:rPr>
        <w:lastRenderedPageBreak/>
        <w:t>1.0 Introduction</w:t>
      </w:r>
      <w:r w:rsidRPr="000D7A4D">
        <w:rPr>
          <w:rFonts w:ascii="Arial" w:hAnsi="Arial" w:cs="Arial"/>
          <w:bCs/>
          <w:sz w:val="22"/>
          <w:szCs w:val="22"/>
        </w:rPr>
        <w:tab/>
      </w:r>
      <w:r w:rsidR="00E05B61" w:rsidRPr="000D7A4D">
        <w:rPr>
          <w:rFonts w:ascii="Arial" w:hAnsi="Arial" w:cs="Arial"/>
          <w:bCs/>
          <w:sz w:val="22"/>
          <w:szCs w:val="22"/>
        </w:rPr>
        <w:tab/>
      </w:r>
      <w:r w:rsidR="00E05B61" w:rsidRPr="000D7A4D">
        <w:rPr>
          <w:rFonts w:ascii="Arial" w:hAnsi="Arial" w:cs="Arial"/>
          <w:bCs/>
          <w:sz w:val="22"/>
          <w:szCs w:val="22"/>
        </w:rPr>
        <w:tab/>
      </w:r>
      <w:r w:rsidR="00E05B61" w:rsidRPr="000D7A4D">
        <w:rPr>
          <w:rFonts w:ascii="Arial" w:hAnsi="Arial" w:cs="Arial"/>
          <w:bCs/>
          <w:sz w:val="22"/>
          <w:szCs w:val="22"/>
        </w:rPr>
        <w:tab/>
      </w:r>
      <w:r w:rsidR="00E05B61" w:rsidRPr="000D7A4D">
        <w:rPr>
          <w:rFonts w:ascii="Arial" w:hAnsi="Arial" w:cs="Arial"/>
          <w:bCs/>
          <w:sz w:val="22"/>
          <w:szCs w:val="22"/>
        </w:rPr>
        <w:tab/>
      </w:r>
      <w:r w:rsidR="00E05B61" w:rsidRPr="000D7A4D">
        <w:rPr>
          <w:rFonts w:ascii="Arial" w:hAnsi="Arial" w:cs="Arial"/>
          <w:bCs/>
          <w:sz w:val="22"/>
          <w:szCs w:val="22"/>
        </w:rPr>
        <w:tab/>
      </w:r>
      <w:r w:rsidR="00E05B61" w:rsidRPr="000D7A4D">
        <w:rPr>
          <w:rFonts w:ascii="Arial" w:hAnsi="Arial" w:cs="Arial"/>
          <w:bCs/>
          <w:sz w:val="22"/>
          <w:szCs w:val="22"/>
        </w:rPr>
        <w:tab/>
      </w:r>
      <w:r w:rsidR="00E05B61" w:rsidRPr="000D7A4D">
        <w:rPr>
          <w:rFonts w:ascii="Arial" w:hAnsi="Arial" w:cs="Arial"/>
          <w:bCs/>
          <w:sz w:val="22"/>
          <w:szCs w:val="22"/>
        </w:rPr>
        <w:tab/>
        <w:t xml:space="preserve">           </w:t>
      </w:r>
    </w:p>
    <w:p w14:paraId="32FC32FF" w14:textId="09C8551C" w:rsidR="00766B46" w:rsidRPr="000D7A4D" w:rsidRDefault="00766B46" w:rsidP="000D7A4D">
      <w:pPr>
        <w:spacing w:after="240" w:line="360" w:lineRule="auto"/>
        <w:rPr>
          <w:rFonts w:ascii="Arial" w:hAnsi="Arial" w:cs="Arial"/>
          <w:bCs/>
          <w:sz w:val="22"/>
          <w:szCs w:val="22"/>
        </w:rPr>
      </w:pPr>
      <w:r w:rsidRPr="000D7A4D">
        <w:rPr>
          <w:rFonts w:ascii="Arial" w:hAnsi="Arial" w:cs="Arial"/>
          <w:bCs/>
          <w:sz w:val="22"/>
          <w:szCs w:val="22"/>
        </w:rPr>
        <w:t>2. Task 1: Critically Evaluating Emotional Intelligence in the Workplace</w:t>
      </w:r>
      <w:r w:rsidRPr="000D7A4D">
        <w:rPr>
          <w:rFonts w:ascii="Arial" w:hAnsi="Arial" w:cs="Arial"/>
          <w:bCs/>
          <w:sz w:val="22"/>
          <w:szCs w:val="22"/>
        </w:rPr>
        <w:tab/>
      </w:r>
      <w:r w:rsidR="00E05B61" w:rsidRPr="000D7A4D">
        <w:rPr>
          <w:rFonts w:ascii="Arial" w:hAnsi="Arial" w:cs="Arial"/>
          <w:bCs/>
          <w:sz w:val="22"/>
          <w:szCs w:val="22"/>
        </w:rPr>
        <w:t xml:space="preserve">            </w:t>
      </w:r>
    </w:p>
    <w:p w14:paraId="103D2FC4" w14:textId="375C12A2" w:rsidR="00766B46" w:rsidRPr="000D7A4D" w:rsidRDefault="00766B46" w:rsidP="000D7A4D">
      <w:pPr>
        <w:spacing w:after="240" w:line="360" w:lineRule="auto"/>
        <w:rPr>
          <w:rFonts w:ascii="Arial" w:hAnsi="Arial" w:cs="Arial"/>
          <w:bCs/>
          <w:sz w:val="22"/>
          <w:szCs w:val="22"/>
        </w:rPr>
      </w:pPr>
      <w:r w:rsidRPr="000D7A4D">
        <w:rPr>
          <w:rFonts w:ascii="Arial" w:hAnsi="Arial" w:cs="Arial"/>
          <w:bCs/>
          <w:sz w:val="22"/>
          <w:szCs w:val="22"/>
        </w:rPr>
        <w:t>2.1 Defining Emotional Intelligence: A Critical Comparison of Three Models</w:t>
      </w:r>
      <w:r w:rsidRPr="000D7A4D">
        <w:rPr>
          <w:rFonts w:ascii="Arial" w:hAnsi="Arial" w:cs="Arial"/>
          <w:bCs/>
          <w:sz w:val="22"/>
          <w:szCs w:val="22"/>
        </w:rPr>
        <w:tab/>
      </w:r>
    </w:p>
    <w:p w14:paraId="165E1E7D" w14:textId="66D5D6F9" w:rsidR="00766B46" w:rsidRPr="000D7A4D" w:rsidRDefault="00766B46" w:rsidP="000D7A4D">
      <w:pPr>
        <w:spacing w:after="240" w:line="360" w:lineRule="auto"/>
        <w:rPr>
          <w:rFonts w:ascii="Arial" w:hAnsi="Arial" w:cs="Arial"/>
          <w:bCs/>
          <w:sz w:val="22"/>
          <w:szCs w:val="22"/>
        </w:rPr>
      </w:pPr>
      <w:r w:rsidRPr="000D7A4D">
        <w:rPr>
          <w:rFonts w:ascii="Arial" w:hAnsi="Arial" w:cs="Arial"/>
          <w:bCs/>
          <w:sz w:val="22"/>
          <w:szCs w:val="22"/>
        </w:rPr>
        <w:t>2.2 EI and Effective Communication</w:t>
      </w:r>
    </w:p>
    <w:p w14:paraId="33C4624D" w14:textId="3C6F89DA" w:rsidR="00766B46" w:rsidRPr="000D7A4D" w:rsidRDefault="00766B46" w:rsidP="000D7A4D">
      <w:pPr>
        <w:spacing w:after="240" w:line="360" w:lineRule="auto"/>
        <w:rPr>
          <w:rFonts w:ascii="Arial" w:hAnsi="Arial" w:cs="Arial"/>
          <w:bCs/>
          <w:sz w:val="22"/>
          <w:szCs w:val="22"/>
        </w:rPr>
      </w:pPr>
      <w:r w:rsidRPr="000D7A4D">
        <w:rPr>
          <w:rFonts w:ascii="Arial" w:hAnsi="Arial" w:cs="Arial"/>
          <w:bCs/>
          <w:sz w:val="22"/>
          <w:szCs w:val="22"/>
        </w:rPr>
        <w:t>2.3 EI and Conflict Management</w:t>
      </w:r>
    </w:p>
    <w:p w14:paraId="0FFBE2FE" w14:textId="3E3B3662" w:rsidR="00766B46" w:rsidRPr="000D7A4D" w:rsidRDefault="00766B46" w:rsidP="000D7A4D">
      <w:pPr>
        <w:spacing w:after="240" w:line="360" w:lineRule="auto"/>
        <w:rPr>
          <w:rFonts w:ascii="Arial" w:hAnsi="Arial" w:cs="Arial"/>
          <w:bCs/>
          <w:sz w:val="22"/>
          <w:szCs w:val="22"/>
        </w:rPr>
      </w:pPr>
      <w:r w:rsidRPr="000D7A4D">
        <w:rPr>
          <w:rFonts w:ascii="Arial" w:hAnsi="Arial" w:cs="Arial"/>
          <w:bCs/>
          <w:sz w:val="22"/>
          <w:szCs w:val="22"/>
        </w:rPr>
        <w:t>2.4 EI and Leadership</w:t>
      </w:r>
    </w:p>
    <w:p w14:paraId="4D3FD488" w14:textId="37BF5A09" w:rsidR="00766B46" w:rsidRPr="000D7A4D" w:rsidRDefault="00766B46" w:rsidP="000D7A4D">
      <w:pPr>
        <w:spacing w:after="240" w:line="360" w:lineRule="auto"/>
        <w:rPr>
          <w:rFonts w:ascii="Arial" w:hAnsi="Arial" w:cs="Arial"/>
          <w:bCs/>
          <w:sz w:val="22"/>
          <w:szCs w:val="22"/>
        </w:rPr>
      </w:pPr>
      <w:r w:rsidRPr="000D7A4D">
        <w:rPr>
          <w:rFonts w:ascii="Arial" w:hAnsi="Arial" w:cs="Arial"/>
          <w:bCs/>
          <w:sz w:val="22"/>
          <w:szCs w:val="22"/>
        </w:rPr>
        <w:t>2.5 EI, Decision-Making and Mindfulness</w:t>
      </w:r>
    </w:p>
    <w:p w14:paraId="24C95055" w14:textId="4F9B6339" w:rsidR="00766B46" w:rsidRPr="000D7A4D" w:rsidRDefault="00766B46" w:rsidP="000D7A4D">
      <w:pPr>
        <w:spacing w:after="240" w:line="360" w:lineRule="auto"/>
        <w:rPr>
          <w:rFonts w:ascii="Arial" w:hAnsi="Arial" w:cs="Arial"/>
          <w:bCs/>
          <w:sz w:val="22"/>
          <w:szCs w:val="22"/>
        </w:rPr>
      </w:pPr>
      <w:r w:rsidRPr="000D7A4D">
        <w:rPr>
          <w:rFonts w:ascii="Arial" w:hAnsi="Arial" w:cs="Arial"/>
          <w:bCs/>
          <w:sz w:val="22"/>
          <w:szCs w:val="22"/>
        </w:rPr>
        <w:t>2.6 Limitations and Strategic Application of EI Frameworks</w:t>
      </w:r>
      <w:r w:rsidRPr="000D7A4D">
        <w:rPr>
          <w:rFonts w:ascii="Arial" w:hAnsi="Arial" w:cs="Arial"/>
          <w:bCs/>
          <w:sz w:val="22"/>
          <w:szCs w:val="22"/>
        </w:rPr>
        <w:tab/>
      </w:r>
    </w:p>
    <w:p w14:paraId="5A1B8812" w14:textId="6575CBD1" w:rsidR="00766B46" w:rsidRPr="000D7A4D" w:rsidRDefault="00766B46" w:rsidP="000D7A4D">
      <w:pPr>
        <w:spacing w:after="240" w:line="360" w:lineRule="auto"/>
        <w:rPr>
          <w:rFonts w:ascii="Arial" w:hAnsi="Arial" w:cs="Arial"/>
          <w:bCs/>
          <w:sz w:val="22"/>
          <w:szCs w:val="22"/>
        </w:rPr>
      </w:pPr>
      <w:r w:rsidRPr="000D7A4D">
        <w:rPr>
          <w:rFonts w:ascii="Arial" w:hAnsi="Arial" w:cs="Arial"/>
          <w:bCs/>
          <w:sz w:val="22"/>
          <w:szCs w:val="22"/>
        </w:rPr>
        <w:t>3</w:t>
      </w:r>
      <w:r w:rsidR="000D7A4D" w:rsidRPr="000D7A4D">
        <w:rPr>
          <w:rFonts w:ascii="Arial" w:hAnsi="Arial" w:cs="Arial"/>
          <w:bCs/>
          <w:sz w:val="22"/>
          <w:szCs w:val="22"/>
        </w:rPr>
        <w:t xml:space="preserve"> </w:t>
      </w:r>
      <w:r w:rsidRPr="000D7A4D">
        <w:rPr>
          <w:rFonts w:ascii="Arial" w:hAnsi="Arial" w:cs="Arial"/>
          <w:bCs/>
          <w:sz w:val="22"/>
          <w:szCs w:val="22"/>
        </w:rPr>
        <w:t>Task 2: Managing the Multigenerational Workforce with EI and Mindfulness</w:t>
      </w:r>
      <w:r w:rsidRPr="000D7A4D">
        <w:rPr>
          <w:rFonts w:ascii="Arial" w:hAnsi="Arial" w:cs="Arial"/>
          <w:bCs/>
          <w:sz w:val="22"/>
          <w:szCs w:val="22"/>
        </w:rPr>
        <w:tab/>
      </w:r>
    </w:p>
    <w:p w14:paraId="6D400768" w14:textId="264D5E79" w:rsidR="00766B46" w:rsidRPr="000D7A4D" w:rsidRDefault="00766B46" w:rsidP="000D7A4D">
      <w:pPr>
        <w:spacing w:after="240" w:line="360" w:lineRule="auto"/>
        <w:rPr>
          <w:rFonts w:ascii="Arial" w:hAnsi="Arial" w:cs="Arial"/>
          <w:bCs/>
          <w:sz w:val="22"/>
          <w:szCs w:val="22"/>
        </w:rPr>
      </w:pPr>
      <w:r w:rsidRPr="000D7A4D">
        <w:rPr>
          <w:rFonts w:ascii="Arial" w:hAnsi="Arial" w:cs="Arial"/>
          <w:bCs/>
          <w:sz w:val="22"/>
          <w:szCs w:val="22"/>
        </w:rPr>
        <w:t>3.1 Generational Characteristics and Workplace Expectations</w:t>
      </w:r>
      <w:r w:rsidRPr="000D7A4D">
        <w:rPr>
          <w:rFonts w:ascii="Arial" w:hAnsi="Arial" w:cs="Arial"/>
          <w:bCs/>
          <w:sz w:val="22"/>
          <w:szCs w:val="22"/>
        </w:rPr>
        <w:tab/>
      </w:r>
    </w:p>
    <w:p w14:paraId="4C691E10" w14:textId="5F245FB0" w:rsidR="00766B46" w:rsidRPr="000D7A4D" w:rsidRDefault="00766B46" w:rsidP="000D7A4D">
      <w:pPr>
        <w:spacing w:after="240" w:line="360" w:lineRule="auto"/>
        <w:rPr>
          <w:rFonts w:ascii="Arial" w:hAnsi="Arial" w:cs="Arial"/>
          <w:bCs/>
          <w:sz w:val="22"/>
          <w:szCs w:val="22"/>
        </w:rPr>
      </w:pPr>
      <w:r w:rsidRPr="000D7A4D">
        <w:rPr>
          <w:rFonts w:ascii="Arial" w:hAnsi="Arial" w:cs="Arial"/>
          <w:bCs/>
          <w:sz w:val="22"/>
          <w:szCs w:val="22"/>
        </w:rPr>
        <w:t>3.2 Impact of Generational Differences on Organisational Effectiveness</w:t>
      </w:r>
      <w:r w:rsidRPr="000D7A4D">
        <w:rPr>
          <w:rFonts w:ascii="Arial" w:hAnsi="Arial" w:cs="Arial"/>
          <w:bCs/>
          <w:sz w:val="22"/>
          <w:szCs w:val="22"/>
        </w:rPr>
        <w:tab/>
      </w:r>
    </w:p>
    <w:p w14:paraId="77B31A42" w14:textId="3D606F96" w:rsidR="00766B46" w:rsidRPr="000D7A4D" w:rsidRDefault="00766B46" w:rsidP="000D7A4D">
      <w:pPr>
        <w:spacing w:after="240" w:line="360" w:lineRule="auto"/>
        <w:rPr>
          <w:rFonts w:ascii="Arial" w:hAnsi="Arial" w:cs="Arial"/>
          <w:bCs/>
          <w:sz w:val="22"/>
          <w:szCs w:val="22"/>
        </w:rPr>
      </w:pPr>
      <w:r w:rsidRPr="000D7A4D">
        <w:rPr>
          <w:rFonts w:ascii="Arial" w:hAnsi="Arial" w:cs="Arial"/>
          <w:bCs/>
          <w:sz w:val="22"/>
          <w:szCs w:val="22"/>
        </w:rPr>
        <w:t>3.3 Using EI and Mindfulness to Foster Inclusion</w:t>
      </w:r>
      <w:r w:rsidRPr="000D7A4D">
        <w:rPr>
          <w:rFonts w:ascii="Arial" w:hAnsi="Arial" w:cs="Arial"/>
          <w:bCs/>
          <w:sz w:val="22"/>
          <w:szCs w:val="22"/>
        </w:rPr>
        <w:tab/>
      </w:r>
    </w:p>
    <w:p w14:paraId="2D035D00" w14:textId="6B27E17E" w:rsidR="00766B46" w:rsidRPr="000D7A4D" w:rsidRDefault="00766B46" w:rsidP="000D7A4D">
      <w:pPr>
        <w:spacing w:after="240" w:line="360" w:lineRule="auto"/>
        <w:rPr>
          <w:rFonts w:ascii="Arial" w:hAnsi="Arial" w:cs="Arial"/>
          <w:bCs/>
          <w:sz w:val="22"/>
          <w:szCs w:val="22"/>
        </w:rPr>
      </w:pPr>
      <w:r w:rsidRPr="000D7A4D">
        <w:rPr>
          <w:rFonts w:ascii="Arial" w:hAnsi="Arial" w:cs="Arial"/>
          <w:bCs/>
          <w:sz w:val="22"/>
          <w:szCs w:val="22"/>
        </w:rPr>
        <w:t>3.4 Implications for Recruitment, Management and Retention</w:t>
      </w:r>
      <w:r w:rsidRPr="000D7A4D">
        <w:rPr>
          <w:rFonts w:ascii="Arial" w:hAnsi="Arial" w:cs="Arial"/>
          <w:bCs/>
          <w:sz w:val="22"/>
          <w:szCs w:val="22"/>
        </w:rPr>
        <w:tab/>
      </w:r>
    </w:p>
    <w:p w14:paraId="751388C3" w14:textId="613C5033" w:rsidR="00766B46" w:rsidRPr="000D7A4D" w:rsidRDefault="00766B46" w:rsidP="000D7A4D">
      <w:pPr>
        <w:spacing w:after="240" w:line="360" w:lineRule="auto"/>
        <w:rPr>
          <w:rFonts w:ascii="Arial" w:hAnsi="Arial" w:cs="Arial"/>
          <w:bCs/>
          <w:sz w:val="22"/>
          <w:szCs w:val="22"/>
        </w:rPr>
      </w:pPr>
      <w:proofErr w:type="gramStart"/>
      <w:r w:rsidRPr="000D7A4D">
        <w:rPr>
          <w:rFonts w:ascii="Arial" w:hAnsi="Arial" w:cs="Arial"/>
          <w:bCs/>
          <w:sz w:val="22"/>
          <w:szCs w:val="22"/>
        </w:rPr>
        <w:t>4</w:t>
      </w:r>
      <w:r w:rsidR="000D7A4D" w:rsidRPr="000D7A4D">
        <w:rPr>
          <w:rFonts w:ascii="Arial" w:hAnsi="Arial" w:cs="Arial"/>
          <w:bCs/>
          <w:sz w:val="22"/>
          <w:szCs w:val="22"/>
        </w:rPr>
        <w:t xml:space="preserve"> </w:t>
      </w:r>
      <w:r w:rsidRPr="000D7A4D">
        <w:rPr>
          <w:rFonts w:ascii="Arial" w:hAnsi="Arial" w:cs="Arial"/>
          <w:bCs/>
          <w:sz w:val="22"/>
          <w:szCs w:val="22"/>
        </w:rPr>
        <w:t xml:space="preserve"> Conclusion</w:t>
      </w:r>
      <w:proofErr w:type="gramEnd"/>
      <w:r w:rsidRPr="000D7A4D">
        <w:rPr>
          <w:rFonts w:ascii="Arial" w:hAnsi="Arial" w:cs="Arial"/>
          <w:bCs/>
          <w:sz w:val="22"/>
          <w:szCs w:val="22"/>
        </w:rPr>
        <w:t xml:space="preserve"> and Strategic Recommendations</w:t>
      </w:r>
    </w:p>
    <w:p w14:paraId="27ACC8B7" w14:textId="0F71525F" w:rsidR="00766B46" w:rsidRPr="000D7A4D" w:rsidRDefault="00766B46" w:rsidP="000D7A4D">
      <w:pPr>
        <w:spacing w:after="240" w:line="360" w:lineRule="auto"/>
        <w:rPr>
          <w:rFonts w:ascii="Arial" w:hAnsi="Arial" w:cs="Arial"/>
          <w:bCs/>
          <w:sz w:val="22"/>
          <w:szCs w:val="22"/>
        </w:rPr>
      </w:pPr>
      <w:r w:rsidRPr="000D7A4D">
        <w:rPr>
          <w:rFonts w:ascii="Arial" w:hAnsi="Arial" w:cs="Arial"/>
          <w:bCs/>
          <w:sz w:val="22"/>
          <w:szCs w:val="22"/>
        </w:rPr>
        <w:t>5 Reference List</w:t>
      </w:r>
      <w:r w:rsidRPr="000D7A4D">
        <w:rPr>
          <w:rFonts w:ascii="Arial" w:hAnsi="Arial" w:cs="Arial"/>
          <w:bCs/>
          <w:sz w:val="22"/>
          <w:szCs w:val="22"/>
        </w:rPr>
        <w:tab/>
      </w:r>
    </w:p>
    <w:p w14:paraId="5DDBDB25" w14:textId="77777777" w:rsidR="00096E18" w:rsidRPr="000D7A4D" w:rsidRDefault="00096E18" w:rsidP="000D7A4D">
      <w:pPr>
        <w:spacing w:after="240" w:line="360" w:lineRule="auto"/>
        <w:rPr>
          <w:rFonts w:ascii="Arial" w:hAnsi="Arial" w:cs="Arial"/>
          <w:bCs/>
          <w:sz w:val="22"/>
          <w:szCs w:val="22"/>
        </w:rPr>
      </w:pPr>
    </w:p>
    <w:p w14:paraId="15A76216" w14:textId="77777777" w:rsidR="00096E18" w:rsidRPr="000D7A4D" w:rsidRDefault="00096E18" w:rsidP="000D7A4D">
      <w:pPr>
        <w:spacing w:after="240" w:line="360" w:lineRule="auto"/>
        <w:rPr>
          <w:rFonts w:ascii="Arial" w:hAnsi="Arial" w:cs="Arial"/>
          <w:bCs/>
          <w:sz w:val="22"/>
          <w:szCs w:val="22"/>
        </w:rPr>
      </w:pPr>
    </w:p>
    <w:p w14:paraId="6A067A40" w14:textId="77777777" w:rsidR="009371C8" w:rsidRPr="000D7A4D" w:rsidRDefault="009371C8" w:rsidP="000D7A4D">
      <w:pPr>
        <w:spacing w:after="240" w:line="360" w:lineRule="auto"/>
        <w:rPr>
          <w:rFonts w:ascii="Arial" w:hAnsi="Arial" w:cs="Arial"/>
          <w:b/>
          <w:bCs/>
          <w:sz w:val="22"/>
          <w:szCs w:val="22"/>
        </w:rPr>
      </w:pPr>
    </w:p>
    <w:p w14:paraId="57AE924A" w14:textId="77777777" w:rsidR="009371C8" w:rsidRPr="000D7A4D" w:rsidRDefault="009371C8" w:rsidP="000D7A4D">
      <w:pPr>
        <w:spacing w:after="240" w:line="360" w:lineRule="auto"/>
        <w:rPr>
          <w:rFonts w:ascii="Arial" w:hAnsi="Arial" w:cs="Arial"/>
          <w:b/>
          <w:bCs/>
          <w:sz w:val="22"/>
          <w:szCs w:val="22"/>
        </w:rPr>
      </w:pPr>
    </w:p>
    <w:p w14:paraId="2932B2EC" w14:textId="77777777" w:rsidR="009371C8" w:rsidRPr="000D7A4D" w:rsidRDefault="009371C8" w:rsidP="000D7A4D">
      <w:pPr>
        <w:spacing w:after="240" w:line="360" w:lineRule="auto"/>
        <w:rPr>
          <w:rFonts w:ascii="Arial" w:hAnsi="Arial" w:cs="Arial"/>
          <w:b/>
          <w:bCs/>
          <w:sz w:val="22"/>
          <w:szCs w:val="22"/>
        </w:rPr>
      </w:pPr>
    </w:p>
    <w:p w14:paraId="3667C8D4" w14:textId="77777777" w:rsidR="009371C8" w:rsidRPr="000D7A4D" w:rsidRDefault="009371C8" w:rsidP="000D7A4D">
      <w:pPr>
        <w:spacing w:after="240" w:line="360" w:lineRule="auto"/>
        <w:rPr>
          <w:rFonts w:ascii="Arial" w:hAnsi="Arial" w:cs="Arial"/>
          <w:b/>
          <w:bCs/>
          <w:sz w:val="22"/>
          <w:szCs w:val="22"/>
        </w:rPr>
      </w:pPr>
    </w:p>
    <w:p w14:paraId="257A0E12" w14:textId="77777777" w:rsidR="009371C8" w:rsidRPr="000D7A4D" w:rsidRDefault="009371C8" w:rsidP="000D7A4D">
      <w:pPr>
        <w:spacing w:after="240" w:line="360" w:lineRule="auto"/>
        <w:rPr>
          <w:rFonts w:ascii="Arial" w:hAnsi="Arial" w:cs="Arial"/>
          <w:b/>
          <w:bCs/>
          <w:sz w:val="22"/>
          <w:szCs w:val="22"/>
        </w:rPr>
      </w:pPr>
    </w:p>
    <w:p w14:paraId="3960D8A9" w14:textId="77777777" w:rsidR="009371C8" w:rsidRPr="000D7A4D" w:rsidRDefault="009371C8" w:rsidP="000D7A4D">
      <w:pPr>
        <w:spacing w:after="240" w:line="360" w:lineRule="auto"/>
        <w:rPr>
          <w:rFonts w:ascii="Arial" w:hAnsi="Arial" w:cs="Arial"/>
          <w:b/>
          <w:bCs/>
          <w:sz w:val="22"/>
          <w:szCs w:val="22"/>
        </w:rPr>
      </w:pPr>
    </w:p>
    <w:p w14:paraId="566443D4" w14:textId="5F054C61" w:rsidR="005D4621" w:rsidRPr="000D7A4D" w:rsidRDefault="00A86EE2" w:rsidP="000D7A4D">
      <w:pPr>
        <w:spacing w:after="240" w:line="360" w:lineRule="auto"/>
        <w:rPr>
          <w:rFonts w:ascii="Arial" w:hAnsi="Arial" w:cs="Arial"/>
          <w:sz w:val="22"/>
          <w:szCs w:val="22"/>
        </w:rPr>
      </w:pPr>
      <w:r w:rsidRPr="000D7A4D">
        <w:rPr>
          <w:rFonts w:ascii="Arial" w:hAnsi="Arial" w:cs="Arial"/>
          <w:b/>
          <w:bCs/>
          <w:sz w:val="22"/>
          <w:szCs w:val="22"/>
        </w:rPr>
        <w:lastRenderedPageBreak/>
        <w:t>Analytical Report on E</w:t>
      </w:r>
      <w:r w:rsidR="00F87CE5" w:rsidRPr="000D7A4D">
        <w:rPr>
          <w:rFonts w:ascii="Arial" w:hAnsi="Arial" w:cs="Arial"/>
          <w:b/>
          <w:bCs/>
          <w:sz w:val="22"/>
          <w:szCs w:val="22"/>
        </w:rPr>
        <w:t xml:space="preserve">motional </w:t>
      </w:r>
      <w:r w:rsidRPr="000D7A4D">
        <w:rPr>
          <w:rFonts w:ascii="Arial" w:hAnsi="Arial" w:cs="Arial"/>
          <w:b/>
          <w:bCs/>
          <w:sz w:val="22"/>
          <w:szCs w:val="22"/>
        </w:rPr>
        <w:t>I</w:t>
      </w:r>
      <w:r w:rsidR="00F87CE5" w:rsidRPr="000D7A4D">
        <w:rPr>
          <w:rFonts w:ascii="Arial" w:hAnsi="Arial" w:cs="Arial"/>
          <w:b/>
          <w:bCs/>
          <w:sz w:val="22"/>
          <w:szCs w:val="22"/>
        </w:rPr>
        <w:t xml:space="preserve">ntelligence at Workplace </w:t>
      </w:r>
      <w:r w:rsidRPr="000D7A4D">
        <w:rPr>
          <w:rFonts w:ascii="Arial" w:hAnsi="Arial" w:cs="Arial"/>
          <w:b/>
          <w:bCs/>
          <w:sz w:val="22"/>
          <w:szCs w:val="22"/>
        </w:rPr>
        <w:t xml:space="preserve">and </w:t>
      </w:r>
      <w:r w:rsidR="00F87CE5" w:rsidRPr="000D7A4D">
        <w:rPr>
          <w:rFonts w:ascii="Arial" w:hAnsi="Arial" w:cs="Arial"/>
          <w:b/>
          <w:bCs/>
          <w:sz w:val="22"/>
          <w:szCs w:val="22"/>
        </w:rPr>
        <w:t xml:space="preserve">Managing </w:t>
      </w:r>
      <w:r w:rsidRPr="000D7A4D">
        <w:rPr>
          <w:rFonts w:ascii="Arial" w:hAnsi="Arial" w:cs="Arial"/>
          <w:b/>
          <w:bCs/>
          <w:sz w:val="22"/>
          <w:szCs w:val="22"/>
        </w:rPr>
        <w:t>Multigenerational Workforce</w:t>
      </w:r>
    </w:p>
    <w:p w14:paraId="5F8AF0C2" w14:textId="193FC6B6" w:rsidR="005D4621" w:rsidRPr="000D7A4D" w:rsidRDefault="00A86EE2" w:rsidP="000D7A4D">
      <w:pPr>
        <w:spacing w:after="240" w:line="360" w:lineRule="auto"/>
        <w:rPr>
          <w:rFonts w:ascii="Arial" w:hAnsi="Arial" w:cs="Arial"/>
          <w:sz w:val="22"/>
          <w:szCs w:val="22"/>
        </w:rPr>
      </w:pPr>
      <w:r w:rsidRPr="000D7A4D">
        <w:rPr>
          <w:rFonts w:ascii="Arial" w:hAnsi="Arial" w:cs="Arial"/>
          <w:b/>
          <w:bCs/>
          <w:sz w:val="22"/>
          <w:szCs w:val="22"/>
        </w:rPr>
        <w:t>1. Introduction</w:t>
      </w:r>
    </w:p>
    <w:p w14:paraId="70432D06" w14:textId="511C9A60"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The contemporary workplace is characterised by rapid change, increasing diversity, and a growing recognition that technical competence alone is insufficient for sustained organisational success (Goleman,1998). In this context, emotional intelligence (EI) and mindfulness have emerged as critical capabilities for enhancing employee performance, leadership effectiveness, and interpersonal collaboration. This report, prepared for the Senior Management Team (SMT) ahead of the September 2026 strategic planning meeting, critically analyses the role of EI and mindfulness in two interconnected domains. Task 1 evaluates the application of core EI components to improve workplace outcomes by examining three seminal theoretical models. Task 2 then explores the complexities of the multigenerational workforce—comprising Generation X, Millennials, and Generation Z—and assesses how EI can foster inclusive and productive environments.</w:t>
      </w:r>
    </w:p>
    <w:p w14:paraId="477BF085" w14:textId="2433934E" w:rsidR="009371C8" w:rsidRPr="000D7A4D" w:rsidRDefault="00A86EE2" w:rsidP="000D7A4D">
      <w:pPr>
        <w:spacing w:after="240" w:line="360" w:lineRule="auto"/>
        <w:rPr>
          <w:rFonts w:ascii="Arial" w:hAnsi="Arial" w:cs="Arial"/>
          <w:sz w:val="22"/>
          <w:szCs w:val="22"/>
        </w:rPr>
      </w:pPr>
      <w:r w:rsidRPr="000D7A4D">
        <w:rPr>
          <w:rFonts w:ascii="Arial" w:hAnsi="Arial" w:cs="Arial"/>
          <w:sz w:val="22"/>
          <w:szCs w:val="22"/>
        </w:rPr>
        <w:t xml:space="preserve">This report moves beyond a descriptive overview to present a clear critical argument. It will contend that for EI and mindfulness to become genuine strategic assets, leadership must navigate the inherent tension between popular but conceptually flawed mixed models of EI and the more scientifically ability frameworks. The central thesis is that an effective organisational strategy requires a discerning approach: one that cultivates measurable emotional capabilities, not just desirable personality traits, </w:t>
      </w:r>
      <w:r w:rsidR="00AF657B" w:rsidRPr="000D7A4D">
        <w:rPr>
          <w:rFonts w:ascii="Arial" w:hAnsi="Arial" w:cs="Arial"/>
          <w:sz w:val="22"/>
          <w:szCs w:val="22"/>
        </w:rPr>
        <w:t>to</w:t>
      </w:r>
      <w:r w:rsidRPr="000D7A4D">
        <w:rPr>
          <w:rFonts w:ascii="Arial" w:hAnsi="Arial" w:cs="Arial"/>
          <w:sz w:val="22"/>
          <w:szCs w:val="22"/>
        </w:rPr>
        <w:t xml:space="preserve"> unlock the full potential of its multigenerational talent and build a resilient, high-performing culture. </w:t>
      </w:r>
    </w:p>
    <w:p w14:paraId="5C232442" w14:textId="63FAEDA5" w:rsidR="005D4621" w:rsidRPr="000D7A4D" w:rsidRDefault="00A86EE2" w:rsidP="000D7A4D">
      <w:pPr>
        <w:spacing w:after="240" w:line="360" w:lineRule="auto"/>
        <w:rPr>
          <w:rFonts w:ascii="Arial" w:hAnsi="Arial" w:cs="Arial"/>
          <w:sz w:val="22"/>
          <w:szCs w:val="22"/>
        </w:rPr>
      </w:pPr>
      <w:r w:rsidRPr="000D7A4D">
        <w:rPr>
          <w:rFonts w:ascii="Arial" w:hAnsi="Arial" w:cs="Arial"/>
          <w:b/>
          <w:bCs/>
          <w:sz w:val="22"/>
          <w:szCs w:val="22"/>
        </w:rPr>
        <w:t>2. Task 1: Critically Evaluating Emotional Intelligence in the Workplace</w:t>
      </w:r>
    </w:p>
    <w:p w14:paraId="4B32D32A"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b/>
          <w:bCs/>
          <w:sz w:val="22"/>
          <w:szCs w:val="22"/>
        </w:rPr>
        <w:t>2.1 Defining Emotional Intelligence: A Critical Comparison of Three Models</w:t>
      </w:r>
    </w:p>
    <w:p w14:paraId="77DBCE44" w14:textId="3EE4BD8E"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Emotional intelligence, broadly defined as the capacity to reason about and with emotions (Salovey and Mayer, 1990), has been conceptualised through several competing frameworks. A critical comparison of the three dominant models reveals a fundamental tension between scientific rigour and practical accessibility, a tension that organisations must navigate to implement EI effectively. The primary schism lies between ability models, which treat EI as a distinct cognitive capacity, and mixed models, which blend this ability with a wider array of personality traits and behavioural competencies.</w:t>
      </w:r>
    </w:p>
    <w:p w14:paraId="46850901"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 xml:space="preserve">The most scientifically precise framework is Mayer and Salovey's Ability Model. It defines EI as a genuine mental ability comprising four hierarchical branches: (1) perceiving emotions, </w:t>
      </w:r>
      <w:r w:rsidRPr="000D7A4D">
        <w:rPr>
          <w:rFonts w:ascii="Arial" w:hAnsi="Arial" w:cs="Arial"/>
          <w:sz w:val="22"/>
          <w:szCs w:val="22"/>
        </w:rPr>
        <w:lastRenderedPageBreak/>
        <w:t>(2) using emotions to facilitate thought, (3) understanding emotions, and (4) managing emotions (Mayer, Caruso and Salovey, 2016). This model is distinctive because it conceptualises EI as a form of intelligence that can be objectively measured through performance-based tests like the MSCEIT, where answers are scored as correct or incorrect. However, its scientific purity is also a source of limitation. The four-branch structure has faced empirical challenges; meta-analytic research has struggled to validate the second branch (using emotions) as a discrete factor, suggesting a three-factor model may be more psychometrically sound (Joseph and Newman, 2010). This highlights a critical awareness of the limits of knowledge: even the most rigorous model is subject to ongoing scientific debate.</w:t>
      </w:r>
    </w:p>
    <w:p w14:paraId="78B74067" w14:textId="4E267648"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In stark contrast, Goleman's Emotional Intelligence Framework is a mixed mode' that has become the most influential in the corporate world. It blends core emotional abilities with personality traits and learned skills, originally proposing five competencies: self-awareness, self-regulation, motivation, empathy, and social skills (Goleman, 1995). This model's great strength is its accessibility and direct applicability to workplace behaviours. However, this breadth is also its primary scientific weakness. Critics argue that by incorporating traits like motivation and optimism, the model lacks construct validity, essentially rebranding desirable personality characteristics under the popular EI banner (Petrides and Furnham, 2003). Furthermore, its reliance on self-report measures is highly problematic; individuals are often poor judges of their own competencies, and responses are susceptible to social desirability bias, particularly in high-stakes contexts like recruitment or promotion (Zeidner, Matthews and Roberts, 2004).</w:t>
      </w:r>
    </w:p>
    <w:p w14:paraId="292EB5D7"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Bar-On’s Emotional-Social Intelligence (ESI) Model represents a third, even broader mixed model. It defines ESI as a cross-section of interrelated competencies across five domains: intrapersonal skills, interpersonal skills, adaptability, stress management, and general mood (Bar-On, 2006). Its inclusion of components like stress tolerance and reality testing makes it highly relevant to performance in demanding environments. Yet, it faces the same fundamental critique as Goleman's framework, perhaps more acutely. By encompassing traits such as happiness and optimism, the model risks becoming an amorphous measure of general well-being rather than a specific, identifiable intelligence, thereby weakening its predictive power (Zeidner, Matthews and Roberts, 2004). For organisations, the choice of model is therefore a strategic one: Mayer and Salovey offer scientific precision but less direct behavioural prescription, while Goleman and Bar-On offer practical checklists of desirable behaviours at the cost of scientific and measurement rigour.</w:t>
      </w:r>
    </w:p>
    <w:p w14:paraId="0002CDDB" w14:textId="34FAEC16" w:rsidR="005D4621" w:rsidRPr="000D7A4D" w:rsidRDefault="00A86EE2" w:rsidP="000D7A4D">
      <w:pPr>
        <w:spacing w:after="240" w:line="360" w:lineRule="auto"/>
        <w:rPr>
          <w:rFonts w:ascii="Arial" w:hAnsi="Arial" w:cs="Arial"/>
          <w:sz w:val="22"/>
          <w:szCs w:val="22"/>
        </w:rPr>
      </w:pPr>
      <w:r w:rsidRPr="000D7A4D">
        <w:rPr>
          <w:rFonts w:ascii="Arial" w:hAnsi="Arial" w:cs="Arial"/>
          <w:b/>
          <w:bCs/>
          <w:sz w:val="22"/>
          <w:szCs w:val="22"/>
        </w:rPr>
        <w:t>2.2 E</w:t>
      </w:r>
      <w:r w:rsidR="00727D9E" w:rsidRPr="000D7A4D">
        <w:rPr>
          <w:rFonts w:ascii="Arial" w:hAnsi="Arial" w:cs="Arial"/>
          <w:b/>
          <w:bCs/>
          <w:sz w:val="22"/>
          <w:szCs w:val="22"/>
        </w:rPr>
        <w:t xml:space="preserve">motional </w:t>
      </w:r>
      <w:r w:rsidRPr="000D7A4D">
        <w:rPr>
          <w:rFonts w:ascii="Arial" w:hAnsi="Arial" w:cs="Arial"/>
          <w:b/>
          <w:bCs/>
          <w:sz w:val="22"/>
          <w:szCs w:val="22"/>
        </w:rPr>
        <w:t>I</w:t>
      </w:r>
      <w:r w:rsidR="00727D9E" w:rsidRPr="000D7A4D">
        <w:rPr>
          <w:rFonts w:ascii="Arial" w:hAnsi="Arial" w:cs="Arial"/>
          <w:b/>
          <w:bCs/>
          <w:sz w:val="22"/>
          <w:szCs w:val="22"/>
        </w:rPr>
        <w:t>ntelligence</w:t>
      </w:r>
      <w:r w:rsidRPr="000D7A4D">
        <w:rPr>
          <w:rFonts w:ascii="Arial" w:hAnsi="Arial" w:cs="Arial"/>
          <w:b/>
          <w:bCs/>
          <w:sz w:val="22"/>
          <w:szCs w:val="22"/>
        </w:rPr>
        <w:t xml:space="preserve"> and Effective Communication</w:t>
      </w:r>
    </w:p>
    <w:p w14:paraId="069FE862"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lastRenderedPageBreak/>
        <w:t>Effective communication is not merely the transmission of information but the co-creation of meaning, a process deeply reliant on EI. From the Ability Model perspective, communication excellence is built upon the four branches. Perceiving emotions (Branch 1) allows an employee to accurately read non-verbal cues and detect incongruence between a colleague’s words and their emotional state. Understanding emotions (Branch 3) enables them to grasp the underlying cause of that state—for instance, that a team member's silence may stem from feeling undervalued rather than from simple disagreement. Finally, managing emotions (Branch 4) provides the capacity to respond constructively, tailoring the message to de-escalate tension and foster psychological safety (Mayer, Caruso and Salovey, 2016). This ability-based approach provides a robust, measurable framework for developing communication skills as a genuine capability.</w:t>
      </w:r>
    </w:p>
    <w:p w14:paraId="3FA2B651" w14:textId="7FB3A0CD"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Conversely, while Goleman’s (1998) ‘social skills’ dimension is appealingly direct, its application is less precise. An organisation might train an employee on the competency of building bonds, but if the employee lacks the foundational ability to accurately perceive emotions in others, such training may only produce superficial, formulaic behaviours. This illustrates the risk of focusing on the behavioural outputs of a mixed model without developing the underlying cognitive abilities.</w:t>
      </w:r>
    </w:p>
    <w:p w14:paraId="60392A5F" w14:textId="6AC45BF1" w:rsidR="005D4621" w:rsidRPr="000D7A4D" w:rsidRDefault="00A86EE2" w:rsidP="000D7A4D">
      <w:pPr>
        <w:spacing w:after="240" w:line="360" w:lineRule="auto"/>
        <w:rPr>
          <w:rFonts w:ascii="Arial" w:hAnsi="Arial" w:cs="Arial"/>
          <w:sz w:val="22"/>
          <w:szCs w:val="22"/>
        </w:rPr>
      </w:pPr>
      <w:r w:rsidRPr="000D7A4D">
        <w:rPr>
          <w:rFonts w:ascii="Arial" w:hAnsi="Arial" w:cs="Arial"/>
          <w:b/>
          <w:bCs/>
          <w:sz w:val="22"/>
          <w:szCs w:val="22"/>
        </w:rPr>
        <w:t>2.3 E</w:t>
      </w:r>
      <w:r w:rsidR="00727D9E" w:rsidRPr="000D7A4D">
        <w:rPr>
          <w:rFonts w:ascii="Arial" w:hAnsi="Arial" w:cs="Arial"/>
          <w:b/>
          <w:bCs/>
          <w:sz w:val="22"/>
          <w:szCs w:val="22"/>
        </w:rPr>
        <w:t xml:space="preserve">motional </w:t>
      </w:r>
      <w:r w:rsidRPr="000D7A4D">
        <w:rPr>
          <w:rFonts w:ascii="Arial" w:hAnsi="Arial" w:cs="Arial"/>
          <w:b/>
          <w:bCs/>
          <w:sz w:val="22"/>
          <w:szCs w:val="22"/>
        </w:rPr>
        <w:t>I</w:t>
      </w:r>
      <w:r w:rsidR="00727D9E" w:rsidRPr="000D7A4D">
        <w:rPr>
          <w:rFonts w:ascii="Arial" w:hAnsi="Arial" w:cs="Arial"/>
          <w:b/>
          <w:bCs/>
          <w:sz w:val="22"/>
          <w:szCs w:val="22"/>
        </w:rPr>
        <w:t>ntelligence</w:t>
      </w:r>
      <w:r w:rsidRPr="000D7A4D">
        <w:rPr>
          <w:rFonts w:ascii="Arial" w:hAnsi="Arial" w:cs="Arial"/>
          <w:b/>
          <w:bCs/>
          <w:sz w:val="22"/>
          <w:szCs w:val="22"/>
        </w:rPr>
        <w:t xml:space="preserve"> and Conflict Management</w:t>
      </w:r>
    </w:p>
    <w:p w14:paraId="0C1B634B"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Conflict is an inevitable feature of organisational life, and EI provides the architecture for constructive resolution. Goleman's (1998) concept of self-regulation—the ability to control disruptive impulses—is often cited as critical. However, this presents a significant practical problem: self-regulation is an internal state, often assessed through self-report, which is an unreliable guide to actual behaviour. An employee may genuinely believe they are self-regulated while their body language and tone of voice are perceived by others as aggressive or dismissive.</w:t>
      </w:r>
    </w:p>
    <w:p w14:paraId="11BCF37D" w14:textId="3765DBFD"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A more effective approach is informed by Mayer and Salovey’s (2016) Branch 4, managing emotions. This framework focuses on developing observable skills and strategies. Instead of simply telling a manager to be more self-regulated,</w:t>
      </w:r>
      <w:r w:rsidR="00AA4FEC">
        <w:rPr>
          <w:rFonts w:ascii="Arial" w:hAnsi="Arial" w:cs="Arial"/>
          <w:sz w:val="22"/>
          <w:szCs w:val="22"/>
        </w:rPr>
        <w:t xml:space="preserve"> </w:t>
      </w:r>
      <w:r w:rsidRPr="000D7A4D">
        <w:rPr>
          <w:rFonts w:ascii="Arial" w:hAnsi="Arial" w:cs="Arial"/>
          <w:sz w:val="22"/>
          <w:szCs w:val="22"/>
        </w:rPr>
        <w:t xml:space="preserve">an ability-based intervention would train them in specific techniques such as cognitive reframing (reinterpreting a frustrating situation from a more neutral perspective) or strategic expression (consciously choosing how and when to express their own emotions to achieve a positive outcome). These are tangible skills that can be taught, practised, and observed, offering a more reliable pathway to effective conflict de-escalation than relying on an individual's self-assessed level of a broad competency. Furthermore, Bar-On’s (2006) concept of impulse control within the stress </w:t>
      </w:r>
      <w:r w:rsidRPr="000D7A4D">
        <w:rPr>
          <w:rFonts w:ascii="Arial" w:hAnsi="Arial" w:cs="Arial"/>
          <w:sz w:val="22"/>
          <w:szCs w:val="22"/>
        </w:rPr>
        <w:lastRenderedPageBreak/>
        <w:t>management domain reinforces this, but its utility is similarly limited if assessment relies on self-perception rather than demonstrated ability.</w:t>
      </w:r>
    </w:p>
    <w:p w14:paraId="18D5C194" w14:textId="61DB56CF" w:rsidR="005D4621" w:rsidRPr="000D7A4D" w:rsidRDefault="00A86EE2" w:rsidP="000D7A4D">
      <w:pPr>
        <w:spacing w:after="240" w:line="360" w:lineRule="auto"/>
        <w:rPr>
          <w:rFonts w:ascii="Arial" w:hAnsi="Arial" w:cs="Arial"/>
          <w:sz w:val="22"/>
          <w:szCs w:val="22"/>
        </w:rPr>
      </w:pPr>
      <w:r w:rsidRPr="000D7A4D">
        <w:rPr>
          <w:rFonts w:ascii="Arial" w:hAnsi="Arial" w:cs="Arial"/>
          <w:b/>
          <w:bCs/>
          <w:sz w:val="22"/>
          <w:szCs w:val="22"/>
        </w:rPr>
        <w:t>2.4 E</w:t>
      </w:r>
      <w:r w:rsidR="00727D9E" w:rsidRPr="000D7A4D">
        <w:rPr>
          <w:rFonts w:ascii="Arial" w:hAnsi="Arial" w:cs="Arial"/>
          <w:b/>
          <w:bCs/>
          <w:sz w:val="22"/>
          <w:szCs w:val="22"/>
        </w:rPr>
        <w:t>motional Intelligence</w:t>
      </w:r>
      <w:r w:rsidRPr="000D7A4D">
        <w:rPr>
          <w:rFonts w:ascii="Arial" w:hAnsi="Arial" w:cs="Arial"/>
          <w:b/>
          <w:bCs/>
          <w:sz w:val="22"/>
          <w:szCs w:val="22"/>
        </w:rPr>
        <w:t xml:space="preserve"> and Leadership</w:t>
      </w:r>
    </w:p>
    <w:p w14:paraId="5B7002F6"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The link between EI and effective leadership is strongly supported by research, with one meta-analysis demonstrating a robust correlation between EI and transformational leadership behaviours (Miao, Humphrey and Qian, 2018). Transformational leaders—those who inspire and show individualised consideration—draw heavily on EI competencies (Bass and Riggio, 2006). Goleman’s (1998) framework has dominated leadership development, arguing that empathy and social skills distinguish outstanding leaders. While intuitively powerful, this perspective must be critically evaluated. The reliance on self-report or 360-degree feedback tools based on Goleman’s mixed model can be misleading. A leader might receive high ratings on ‘empathy’ because they are skilled at impression management, not because they possess a genuine ability to understand others’ perspectives.</w:t>
      </w:r>
    </w:p>
    <w:p w14:paraId="732E7A0C"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An ability-based approach offers a more rigorous lens for leadership development. A leader high in Branch 3 (understanding emotions) can better anticipate how a strategic change will emotionally impact different teams, allowing for proactive communication. A leader skilled in Branch 4 (managing emotions) can regulate the collective mood of their team, maintaining morale during setbacks and fostering resilience. The critical distinction is that these are not just personality traits to be selected for, but cognitive abilities that can be developed. This challenges the common recruitment strategy of seeking leaders who 'have' EI, suggesting instead that organisations should focus on programmes that demonstrably build these core emotional reasoning skills over time.</w:t>
      </w:r>
    </w:p>
    <w:p w14:paraId="590D00AA" w14:textId="40A23BDB" w:rsidR="005D4621" w:rsidRPr="000D7A4D" w:rsidRDefault="00A86EE2" w:rsidP="000D7A4D">
      <w:pPr>
        <w:spacing w:after="240" w:line="360" w:lineRule="auto"/>
        <w:rPr>
          <w:rFonts w:ascii="Arial" w:hAnsi="Arial" w:cs="Arial"/>
          <w:sz w:val="22"/>
          <w:szCs w:val="22"/>
        </w:rPr>
      </w:pPr>
      <w:r w:rsidRPr="000D7A4D">
        <w:rPr>
          <w:rFonts w:ascii="Arial" w:hAnsi="Arial" w:cs="Arial"/>
          <w:b/>
          <w:bCs/>
          <w:sz w:val="22"/>
          <w:szCs w:val="22"/>
        </w:rPr>
        <w:t>2.5 E</w:t>
      </w:r>
      <w:r w:rsidR="00727D9E" w:rsidRPr="000D7A4D">
        <w:rPr>
          <w:rFonts w:ascii="Arial" w:hAnsi="Arial" w:cs="Arial"/>
          <w:b/>
          <w:bCs/>
          <w:sz w:val="22"/>
          <w:szCs w:val="22"/>
        </w:rPr>
        <w:t xml:space="preserve">motional </w:t>
      </w:r>
      <w:r w:rsidRPr="000D7A4D">
        <w:rPr>
          <w:rFonts w:ascii="Arial" w:hAnsi="Arial" w:cs="Arial"/>
          <w:b/>
          <w:bCs/>
          <w:sz w:val="22"/>
          <w:szCs w:val="22"/>
        </w:rPr>
        <w:t>I</w:t>
      </w:r>
      <w:r w:rsidR="00727D9E" w:rsidRPr="000D7A4D">
        <w:rPr>
          <w:rFonts w:ascii="Arial" w:hAnsi="Arial" w:cs="Arial"/>
          <w:b/>
          <w:bCs/>
          <w:sz w:val="22"/>
          <w:szCs w:val="22"/>
        </w:rPr>
        <w:t>ntelligence</w:t>
      </w:r>
      <w:r w:rsidRPr="000D7A4D">
        <w:rPr>
          <w:rFonts w:ascii="Arial" w:hAnsi="Arial" w:cs="Arial"/>
          <w:b/>
          <w:bCs/>
          <w:sz w:val="22"/>
          <w:szCs w:val="22"/>
        </w:rPr>
        <w:t>, Decision-Making and Mindfulness</w:t>
      </w:r>
    </w:p>
    <w:p w14:paraId="62DF5F95" w14:textId="66AD30AA"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Effective decision-making requires a synthesis of rational analysis and emotional information. The Ability Model’s Branch 2, using emotions to facilitate thought, is central here, proposing that emotions can direct attention to important data and help prioritise choices (Mayer, Caruso and Salovey, 2016). However, intense emotions can also lead to biased decision-making through phenomena like the</w:t>
      </w:r>
      <w:r w:rsidR="00AA4FEC">
        <w:rPr>
          <w:rFonts w:ascii="Arial" w:hAnsi="Arial" w:cs="Arial"/>
          <w:sz w:val="22"/>
          <w:szCs w:val="22"/>
        </w:rPr>
        <w:t xml:space="preserve"> </w:t>
      </w:r>
      <w:r w:rsidRPr="000D7A4D">
        <w:rPr>
          <w:rFonts w:ascii="Arial" w:hAnsi="Arial" w:cs="Arial"/>
          <w:sz w:val="22"/>
          <w:szCs w:val="22"/>
        </w:rPr>
        <w:t>amygdala hijack (Goleman, 1995). Mindfulness—defined as non-judgemental, present-moment awareness (Kabat-Zinn, 1994)</w:t>
      </w:r>
      <w:r w:rsidR="00AA4FEC">
        <w:rPr>
          <w:rFonts w:ascii="Arial" w:hAnsi="Arial" w:cs="Arial"/>
          <w:sz w:val="22"/>
          <w:szCs w:val="22"/>
        </w:rPr>
        <w:t xml:space="preserve"> </w:t>
      </w:r>
      <w:r w:rsidRPr="000D7A4D">
        <w:rPr>
          <w:rFonts w:ascii="Arial" w:hAnsi="Arial" w:cs="Arial"/>
          <w:sz w:val="22"/>
          <w:szCs w:val="22"/>
        </w:rPr>
        <w:t>emerges as a powerful regulatory mechanism.</w:t>
      </w:r>
    </w:p>
    <w:p w14:paraId="2E62D190"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 xml:space="preserve">Mindfulness should not be viewed as a general wellness activity but as a targeted cognitive training method to enhance specific EI abilities. Practices like focused breathing exercises directly strengthen the prefrontal cortex's ability to regulate emotional impulses from the </w:t>
      </w:r>
      <w:r w:rsidRPr="000D7A4D">
        <w:rPr>
          <w:rFonts w:ascii="Arial" w:hAnsi="Arial" w:cs="Arial"/>
          <w:sz w:val="22"/>
          <w:szCs w:val="22"/>
        </w:rPr>
        <w:lastRenderedPageBreak/>
        <w:t xml:space="preserve">amygdala. This creates a crucial 'pause' between emotional stimulus and cognitive response, enabling a leader to acknowledge an emotional reaction (e.g., anxiety about a risky decision) without being controlled by it. As a comprehensive review by Good </w:t>
      </w:r>
      <w:r w:rsidRPr="000D7A4D">
        <w:rPr>
          <w:rFonts w:ascii="Arial" w:hAnsi="Arial" w:cs="Arial"/>
          <w:i/>
          <w:iCs/>
          <w:sz w:val="22"/>
          <w:szCs w:val="22"/>
        </w:rPr>
        <w:t>et al.</w:t>
      </w:r>
      <w:r w:rsidRPr="000D7A4D">
        <w:rPr>
          <w:rFonts w:ascii="Arial" w:hAnsi="Arial" w:cs="Arial"/>
          <w:sz w:val="22"/>
          <w:szCs w:val="22"/>
        </w:rPr>
        <w:t xml:space="preserve"> (2016) found, workplace mindfulness enhances emotional regulation and cognitive flexibility, which are direct inputs to sound decision-making. Research by </w:t>
      </w:r>
      <w:proofErr w:type="spellStart"/>
      <w:r w:rsidRPr="000D7A4D">
        <w:rPr>
          <w:rFonts w:ascii="Arial" w:hAnsi="Arial" w:cs="Arial"/>
          <w:sz w:val="22"/>
          <w:szCs w:val="22"/>
        </w:rPr>
        <w:t>Hülsheger</w:t>
      </w:r>
      <w:proofErr w:type="spellEnd"/>
      <w:r w:rsidRPr="000D7A4D">
        <w:rPr>
          <w:rFonts w:ascii="Arial" w:hAnsi="Arial" w:cs="Arial"/>
          <w:sz w:val="22"/>
          <w:szCs w:val="22"/>
        </w:rPr>
        <w:t xml:space="preserve"> </w:t>
      </w:r>
      <w:r w:rsidRPr="000D7A4D">
        <w:rPr>
          <w:rFonts w:ascii="Arial" w:hAnsi="Arial" w:cs="Arial"/>
          <w:i/>
          <w:iCs/>
          <w:sz w:val="22"/>
          <w:szCs w:val="22"/>
        </w:rPr>
        <w:t>et al.</w:t>
      </w:r>
      <w:r w:rsidRPr="000D7A4D">
        <w:rPr>
          <w:rFonts w:ascii="Arial" w:hAnsi="Arial" w:cs="Arial"/>
          <w:sz w:val="22"/>
          <w:szCs w:val="22"/>
        </w:rPr>
        <w:t xml:space="preserve"> (2013) further supports this, showing mindfulness training reduces emotional exhaustion and improves job satisfaction by bolstering emotional regulation. This provides a practical, evidence-based method for developing the emotional management capabilities central to both the Mayer-Salovey and Bar-On models.</w:t>
      </w:r>
    </w:p>
    <w:p w14:paraId="200E5383" w14:textId="47E0D4CD" w:rsidR="005D4621" w:rsidRPr="000D7A4D" w:rsidRDefault="00A86EE2" w:rsidP="000D7A4D">
      <w:pPr>
        <w:spacing w:after="240" w:line="360" w:lineRule="auto"/>
        <w:rPr>
          <w:rFonts w:ascii="Arial" w:hAnsi="Arial" w:cs="Arial"/>
          <w:sz w:val="22"/>
          <w:szCs w:val="22"/>
        </w:rPr>
      </w:pPr>
      <w:r w:rsidRPr="000D7A4D">
        <w:rPr>
          <w:rFonts w:ascii="Arial" w:hAnsi="Arial" w:cs="Arial"/>
          <w:b/>
          <w:bCs/>
          <w:sz w:val="22"/>
          <w:szCs w:val="22"/>
        </w:rPr>
        <w:t>2.6 Limitations and Strategic Application of E</w:t>
      </w:r>
      <w:r w:rsidR="00727D9E" w:rsidRPr="000D7A4D">
        <w:rPr>
          <w:rFonts w:ascii="Arial" w:hAnsi="Arial" w:cs="Arial"/>
          <w:b/>
          <w:bCs/>
          <w:sz w:val="22"/>
          <w:szCs w:val="22"/>
        </w:rPr>
        <w:t xml:space="preserve">motional Intelligence </w:t>
      </w:r>
      <w:r w:rsidRPr="000D7A4D">
        <w:rPr>
          <w:rFonts w:ascii="Arial" w:hAnsi="Arial" w:cs="Arial"/>
          <w:b/>
          <w:bCs/>
          <w:sz w:val="22"/>
          <w:szCs w:val="22"/>
        </w:rPr>
        <w:t>Frameworks</w:t>
      </w:r>
    </w:p>
    <w:p w14:paraId="60A68608"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A critical evaluation of EI necessitates acknowledging the profound debates surrounding its definition and measurement. The stark differences between ability and mixed models mean they are arguably measuring entirely different constructs (Petrides and Furnham, 2003). This lack of a unified theory presents a challenge for organisations seeking an evidence-based approach. As has been argued throughout this analysis, the self-report measures underpinning the popular mixed models are fraught with validity issues, while the performance-based tests of the ability model, though more robust, face their own psychometric critiques and are less widely understood in business contexts (Zeidner, Matthews and Roberts, 2004).</w:t>
      </w:r>
    </w:p>
    <w:p w14:paraId="6085527C" w14:textId="775E819D" w:rsidR="00727D9E" w:rsidRPr="000D7A4D" w:rsidRDefault="00A86EE2" w:rsidP="000D7A4D">
      <w:pPr>
        <w:spacing w:after="240" w:line="360" w:lineRule="auto"/>
        <w:rPr>
          <w:rFonts w:ascii="Arial" w:hAnsi="Arial" w:cs="Arial"/>
          <w:sz w:val="22"/>
          <w:szCs w:val="22"/>
        </w:rPr>
      </w:pPr>
      <w:r w:rsidRPr="000D7A4D">
        <w:rPr>
          <w:rFonts w:ascii="Arial" w:hAnsi="Arial" w:cs="Arial"/>
          <w:sz w:val="22"/>
          <w:szCs w:val="22"/>
        </w:rPr>
        <w:t xml:space="preserve">Furthermore, the majority of EI research originates from Western, individualist cultures, and the universality of its models cannot be assumed. The expression and interpretation of emotion are culturally contingent, and a framework developed in one context may not be wholly applicable in another. Acknowledging these limitations does not invalidate the concept of EI. Instead, it guides a more strategic and cautious application. It suggests that organisations should adopt a blended approach: using the accessibility of mixed models like Goleman's to introduce concepts and frame behavioural </w:t>
      </w:r>
      <w:r w:rsidR="00AA4FEC" w:rsidRPr="000D7A4D">
        <w:rPr>
          <w:rFonts w:ascii="Arial" w:hAnsi="Arial" w:cs="Arial"/>
          <w:sz w:val="22"/>
          <w:szCs w:val="22"/>
        </w:rPr>
        <w:t>discussions but</w:t>
      </w:r>
      <w:r w:rsidRPr="000D7A4D">
        <w:rPr>
          <w:rFonts w:ascii="Arial" w:hAnsi="Arial" w:cs="Arial"/>
          <w:sz w:val="22"/>
          <w:szCs w:val="22"/>
        </w:rPr>
        <w:t xml:space="preserve"> grounding their core development and assessment initiatives in the more scientifically defensible principles of the ability model, supplemented with mindfulness practices to build tangible regulatory skills. A systematic review by Al-Hamdan </w:t>
      </w:r>
      <w:r w:rsidRPr="000D7A4D">
        <w:rPr>
          <w:rFonts w:ascii="Arial" w:hAnsi="Arial" w:cs="Arial"/>
          <w:i/>
          <w:iCs/>
          <w:sz w:val="22"/>
          <w:szCs w:val="22"/>
        </w:rPr>
        <w:t>et al.</w:t>
      </w:r>
      <w:r w:rsidRPr="000D7A4D">
        <w:rPr>
          <w:rFonts w:ascii="Arial" w:hAnsi="Arial" w:cs="Arial"/>
          <w:sz w:val="22"/>
          <w:szCs w:val="22"/>
        </w:rPr>
        <w:t xml:space="preserve"> (2023) confirms the significant impact of EI on job performance</w:t>
      </w:r>
      <w:r w:rsidR="00AF657B">
        <w:rPr>
          <w:rFonts w:ascii="Arial" w:hAnsi="Arial" w:cs="Arial"/>
          <w:sz w:val="22"/>
          <w:szCs w:val="22"/>
        </w:rPr>
        <w:t>.</w:t>
      </w:r>
    </w:p>
    <w:p w14:paraId="6F70B8A5" w14:textId="75BA53A2" w:rsidR="005D4621" w:rsidRPr="000D7A4D" w:rsidRDefault="00A86EE2" w:rsidP="000D7A4D">
      <w:pPr>
        <w:spacing w:after="240" w:line="360" w:lineRule="auto"/>
        <w:rPr>
          <w:rFonts w:ascii="Arial" w:hAnsi="Arial" w:cs="Arial"/>
          <w:sz w:val="22"/>
          <w:szCs w:val="22"/>
        </w:rPr>
      </w:pPr>
      <w:r w:rsidRPr="000D7A4D">
        <w:rPr>
          <w:rFonts w:ascii="Arial" w:hAnsi="Arial" w:cs="Arial"/>
          <w:b/>
          <w:bCs/>
          <w:sz w:val="22"/>
          <w:szCs w:val="22"/>
        </w:rPr>
        <w:t>3. Task 2: Managing the Multigenerational Workforce with EI and Mindfulness</w:t>
      </w:r>
    </w:p>
    <w:p w14:paraId="526886AE"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b/>
          <w:bCs/>
          <w:sz w:val="22"/>
          <w:szCs w:val="22"/>
        </w:rPr>
        <w:t>3.1 Generational Characteristics and Workplace Expectations</w:t>
      </w:r>
    </w:p>
    <w:p w14:paraId="0F039B0E"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lastRenderedPageBreak/>
        <w:t xml:space="preserve">For the first time in modern history, organisations routinely employ members of at least three distinct generational cohorts simultaneously: Generation X (born 1965–1980), Generation Y or Millennials (born 1981–1996), and Generation Z (born 1997–2012). While Strauss and Howe's (1991) generational theory provides a popular framework for understanding these cohorts, it is critical to preface this analysis with a significant caveat. As a meta-analysis by Costanza </w:t>
      </w:r>
      <w:r w:rsidRPr="000D7A4D">
        <w:rPr>
          <w:rFonts w:ascii="Arial" w:hAnsi="Arial" w:cs="Arial"/>
          <w:i/>
          <w:iCs/>
          <w:sz w:val="22"/>
          <w:szCs w:val="22"/>
        </w:rPr>
        <w:t>et al.</w:t>
      </w:r>
      <w:r w:rsidRPr="000D7A4D">
        <w:rPr>
          <w:rFonts w:ascii="Arial" w:hAnsi="Arial" w:cs="Arial"/>
          <w:sz w:val="22"/>
          <w:szCs w:val="22"/>
        </w:rPr>
        <w:t xml:space="preserve"> (2012) demonstrates, individual variation within generations often exceeds the variation between them. Therefore, applying generational labels risks reinforcing stereotypes and overlooking the individual. The following descriptions should be treated as commonly cited but potentially reductive heuristics, not as definitive profiles of every member of a given cohort.</w:t>
      </w:r>
    </w:p>
    <w:p w14:paraId="18601366"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Generation X entered the workforce during a period of economic uncertainty and corporate restructuring, fostering a cohort often characterised by independence, pragmatism, and scepticism towards institutional loyalty (Strauss and Howe, 1991). In the workplace, Gen X employees typically value autonomy, work-life balance, and direct, efficient communication. They tend to prefer meritocratic structures and may resist what they perceive as excessive collaboration or micromanagement (Cranston and Kustis, 2022).</w:t>
      </w:r>
    </w:p>
    <w:p w14:paraId="38D4E315"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 xml:space="preserve">Generation Y (Millennials) were shaped by the rise of the internet, globalisation, and an emphasis on self-expression. Research consistently identifies them as purpose-driven, collaborative, and feedback-seeking. The Deloitte (2023) </w:t>
      </w:r>
      <w:r w:rsidRPr="000D7A4D">
        <w:rPr>
          <w:rFonts w:ascii="Arial" w:hAnsi="Arial" w:cs="Arial"/>
          <w:i/>
          <w:iCs/>
          <w:sz w:val="22"/>
          <w:szCs w:val="22"/>
        </w:rPr>
        <w:t>Gen Z and Millennial Survey</w:t>
      </w:r>
      <w:r w:rsidRPr="000D7A4D">
        <w:rPr>
          <w:rFonts w:ascii="Arial" w:hAnsi="Arial" w:cs="Arial"/>
          <w:sz w:val="22"/>
          <w:szCs w:val="22"/>
        </w:rPr>
        <w:t xml:space="preserve"> reports that meaning and purpose rank alongside remuneration as primary motivators for this cohort, and that Millennials are more likely than older generations to leave employers whose values do not align with their own.</w:t>
      </w:r>
    </w:p>
    <w:p w14:paraId="5A186ADA"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Generation Z represents the first truly digitally native cohort, having grown up with smartphones, social media, and instant information access. Deloitte's (2023) survey highlights that financial security, purpose, and work-life balance are Gen Z's top workplace priorities, and that this cohort places unprecedented emphasis on mental health support, authenticity, and social responsibility. They tend to exhibit emotional openness and expect psychological safety as a baseline condition of employment rather than a discretionary benefit (Cranston and Kustis, 2022).</w:t>
      </w:r>
    </w:p>
    <w:p w14:paraId="75C81F4F"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b/>
          <w:bCs/>
          <w:sz w:val="22"/>
          <w:szCs w:val="22"/>
        </w:rPr>
        <w:t>3.2 Impact of Generational Differences on Organisational Effectiveness</w:t>
      </w:r>
    </w:p>
    <w:p w14:paraId="19660C0B"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 xml:space="preserve">Generational differences can simultaneously enhance and impede organisational effectiveness, and a balanced critical evaluation must acknowledge both dynamics. The primary benefit is the cognitive diversity that multigenerational teams bring, which has been </w:t>
      </w:r>
      <w:r w:rsidRPr="000D7A4D">
        <w:rPr>
          <w:rFonts w:ascii="Arial" w:hAnsi="Arial" w:cs="Arial"/>
          <w:sz w:val="22"/>
          <w:szCs w:val="22"/>
        </w:rPr>
        <w:lastRenderedPageBreak/>
        <w:t xml:space="preserve">linked to enhanced innovation and decision quality (Costanza </w:t>
      </w:r>
      <w:r w:rsidRPr="000D7A4D">
        <w:rPr>
          <w:rFonts w:ascii="Arial" w:hAnsi="Arial" w:cs="Arial"/>
          <w:i/>
          <w:iCs/>
          <w:sz w:val="22"/>
          <w:szCs w:val="22"/>
        </w:rPr>
        <w:t>et al.</w:t>
      </w:r>
      <w:r w:rsidRPr="000D7A4D">
        <w:rPr>
          <w:rFonts w:ascii="Arial" w:hAnsi="Arial" w:cs="Arial"/>
          <w:sz w:val="22"/>
          <w:szCs w:val="22"/>
        </w:rPr>
        <w:t>, 2012). For example, in a product development team, a Gen Z member might intuitively grasp emerging user interface trends, a Millennial might focus on integrating social impact features, and a Gen X manager might apply pragmatic risk assessment to ensure market viability. This blend of perspectives can lead to a more robust and successful outcome. Furthermore, structured cross-generational mentoring, where older employees share institutional knowledge and younger employees offer "reverse mentoring" on digital tools, creates reciprocal value and strengthens organisational cohesion (Cranston and Kustis, 2022).</w:t>
      </w:r>
    </w:p>
    <w:p w14:paraId="7AE8BCA9"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However, unmanaged generational differences can produce communication breakdowns, value conflicts, and reduced cohesion. Differing communication preferences—for instance, a Gen X manager's preference for a structured email versus a Gen Z employee's use of brief, informal instant messages—can be misconstrued as a lack of respect or professionalism, eroding trust (Cranston and Kustis, 2022). A more profound strategic danger lies in misinterpretation. Managers may observe that younger employees exhibit lower levels of certain competencies, such as consequential thinking, and mistakenly attribute this to a fixed generational flaw rather than a predictable developmental stage. If this occurs, they may fail to provide the necessary coaching, creating a self-fulfilling prophecy of underperformance that undermines engagement and retention.</w:t>
      </w:r>
    </w:p>
    <w:p w14:paraId="4D9AA837"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b/>
          <w:bCs/>
          <w:sz w:val="22"/>
          <w:szCs w:val="22"/>
        </w:rPr>
        <w:t>3.3 Using EI and Mindfulness to Foster Inclusion</w:t>
      </w:r>
    </w:p>
    <w:p w14:paraId="41341388"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 xml:space="preserve">An emotionally intelligent approach provides the foundation for bridging these generational divides. Goleman's (1998) empathy dimension—specifically cognitive empathy (understanding another's perspective) and empathic concern (caring about another's well-being)—enables managers to move beyond stereotypes and engage with </w:t>
      </w:r>
      <w:proofErr w:type="gramStart"/>
      <w:r w:rsidRPr="000D7A4D">
        <w:rPr>
          <w:rFonts w:ascii="Arial" w:hAnsi="Arial" w:cs="Arial"/>
          <w:sz w:val="22"/>
          <w:szCs w:val="22"/>
        </w:rPr>
        <w:t>each individual's</w:t>
      </w:r>
      <w:proofErr w:type="gramEnd"/>
      <w:r w:rsidRPr="000D7A4D">
        <w:rPr>
          <w:rFonts w:ascii="Arial" w:hAnsi="Arial" w:cs="Arial"/>
          <w:sz w:val="22"/>
          <w:szCs w:val="22"/>
        </w:rPr>
        <w:t xml:space="preserve"> underlying needs. This is complemented by Bar-On's (2006) 'social responsibility' competency, which involves the awareness of one's impact on others and a commitment to the group's welfare.</w:t>
      </w:r>
    </w:p>
    <w:p w14:paraId="05DE222D" w14:textId="46FC1E20"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 xml:space="preserve">Mindfulness enhances the quality of these interactions. Consider a scenario where a Gen X manager feels frustrated by a Gen Z team member's desire for immediate feedback on a small task. The manager's initial, unmindful reaction might be to dismiss the request as needy. However, by applying mindful listening—a practice of attending fully to the speaker without premature judgement (Kabat-Zinn, 1994)—the manager can pause. In this pause, they can use cognitive empathy to understand the employee's perspective: it is not neediness, but a learned behaviour from a digital environment where feedback is constant. The manager can then respond constructively, explaining the team's workflow while </w:t>
      </w:r>
      <w:r w:rsidRPr="000D7A4D">
        <w:rPr>
          <w:rFonts w:ascii="Arial" w:hAnsi="Arial" w:cs="Arial"/>
          <w:sz w:val="22"/>
          <w:szCs w:val="22"/>
        </w:rPr>
        <w:lastRenderedPageBreak/>
        <w:t>validating the employee's desire for progress updates. This mindful, emotionally intelligent interaction prevents a minor friction point from escalating into a negative performance narrative. Ultimately, EI and mindfulness are tools to cultivate psychological safety—the shared belief that a team is safe for interpersonal risk-taking (Edmondson, 1999).</w:t>
      </w:r>
    </w:p>
    <w:p w14:paraId="35D1BCB0"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b/>
          <w:bCs/>
          <w:sz w:val="22"/>
          <w:szCs w:val="22"/>
        </w:rPr>
        <w:t>3.4 Implications for Recruitment, Management and Retention</w:t>
      </w:r>
    </w:p>
    <w:p w14:paraId="4A408973"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b/>
          <w:bCs/>
          <w:sz w:val="22"/>
          <w:szCs w:val="22"/>
        </w:rPr>
        <w:t>Recruitment.</w:t>
      </w:r>
      <w:r w:rsidRPr="000D7A4D">
        <w:rPr>
          <w:rFonts w:ascii="Arial" w:hAnsi="Arial" w:cs="Arial"/>
          <w:sz w:val="22"/>
          <w:szCs w:val="22"/>
        </w:rPr>
        <w:t xml:space="preserve"> To attract top talent across generations, recruitment must signal a commitment to psychological well-being—a key attractor for Millennials and Gen Z (Deloitte, 2023). Rather than using unreliable self-report EI tests based on mixed models, organisations should use performance-based assessments aligned with the Mayer-Salovey model. For instance, Situational Judgement Tests (SJTs) can present candidates with realistic, emotionally charged workplace scenarios, assessing their ability to perceive, understand, and manage emotions in context. This provides a more valid predictor of on-the-job interpersonal performance than a self-reported score.</w:t>
      </w:r>
    </w:p>
    <w:p w14:paraId="28E5CEA1"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b/>
          <w:bCs/>
          <w:sz w:val="22"/>
          <w:szCs w:val="22"/>
        </w:rPr>
        <w:t>Management.</w:t>
      </w:r>
      <w:r w:rsidRPr="000D7A4D">
        <w:rPr>
          <w:rFonts w:ascii="Arial" w:hAnsi="Arial" w:cs="Arial"/>
          <w:sz w:val="22"/>
          <w:szCs w:val="22"/>
        </w:rPr>
        <w:t xml:space="preserve"> Managers require training in adaptive leadership, grounded in EI. Instead of generic advice to 'give more feedback,' managers should be equipped with specific models. For example, a manager could implement a feedback framework for a Millennial employee that combines Goleman's (1998) 'empathy' to acknowledge their effort and perspective, with Bar-On's (2006) 'reality testing' to deliver constructive criticism grounded in objective performance data. This approach is both compassionate and clear, meeting developmental needs while upholding high standards. Similarly, structured mindfulness practices, such as a two-minute breathing exercise at the start of team meetings, can create a shared, non-generational ritual that improves collective focus and emotional regulation (Good </w:t>
      </w:r>
      <w:r w:rsidRPr="000D7A4D">
        <w:rPr>
          <w:rFonts w:ascii="Arial" w:hAnsi="Arial" w:cs="Arial"/>
          <w:i/>
          <w:iCs/>
          <w:sz w:val="22"/>
          <w:szCs w:val="22"/>
        </w:rPr>
        <w:t>et al.</w:t>
      </w:r>
      <w:r w:rsidRPr="000D7A4D">
        <w:rPr>
          <w:rFonts w:ascii="Arial" w:hAnsi="Arial" w:cs="Arial"/>
          <w:sz w:val="22"/>
          <w:szCs w:val="22"/>
        </w:rPr>
        <w:t>, 2016).</w:t>
      </w:r>
    </w:p>
    <w:p w14:paraId="47680782" w14:textId="77777777" w:rsidR="00727D9E" w:rsidRPr="000D7A4D" w:rsidRDefault="00A86EE2" w:rsidP="000D7A4D">
      <w:pPr>
        <w:spacing w:after="240" w:line="360" w:lineRule="auto"/>
        <w:rPr>
          <w:rFonts w:ascii="Arial" w:hAnsi="Arial" w:cs="Arial"/>
          <w:sz w:val="22"/>
          <w:szCs w:val="22"/>
        </w:rPr>
      </w:pPr>
      <w:r w:rsidRPr="000D7A4D">
        <w:rPr>
          <w:rFonts w:ascii="Arial" w:hAnsi="Arial" w:cs="Arial"/>
          <w:b/>
          <w:bCs/>
          <w:sz w:val="22"/>
          <w:szCs w:val="22"/>
        </w:rPr>
        <w:t>Retention.</w:t>
      </w:r>
      <w:r w:rsidRPr="000D7A4D">
        <w:rPr>
          <w:rFonts w:ascii="Arial" w:hAnsi="Arial" w:cs="Arial"/>
          <w:sz w:val="22"/>
          <w:szCs w:val="22"/>
        </w:rPr>
        <w:t xml:space="preserve"> Retaining a multigenerational workforce requires balancing standardised policy with individualised flexibility. Cross-generational mentoring programmes are a powerful retention tool, but their value is maximised when explicitly designed to develop EI (Cranston and Kustis, 2022). By structuring the mentoring relationship around perspective-taking exercises, both mentor and mentee practice empathy and challenge their own assumptions. This not only builds the interpersonal bonds that reduce turnover but also directly develops the core EI capabilities—understanding and managing emotions—that enhance organisational effectiveness for all participants, regardless of their generation. </w:t>
      </w:r>
    </w:p>
    <w:p w14:paraId="1334C5C4" w14:textId="7D823245" w:rsidR="005D4621" w:rsidRPr="000D7A4D" w:rsidRDefault="00A86EE2" w:rsidP="000D7A4D">
      <w:pPr>
        <w:spacing w:after="240" w:line="360" w:lineRule="auto"/>
        <w:rPr>
          <w:rFonts w:ascii="Arial" w:hAnsi="Arial" w:cs="Arial"/>
          <w:b/>
          <w:bCs/>
          <w:sz w:val="22"/>
          <w:szCs w:val="22"/>
        </w:rPr>
      </w:pPr>
      <w:r w:rsidRPr="000D7A4D">
        <w:rPr>
          <w:rFonts w:ascii="Arial" w:hAnsi="Arial" w:cs="Arial"/>
          <w:b/>
          <w:bCs/>
          <w:sz w:val="22"/>
          <w:szCs w:val="22"/>
        </w:rPr>
        <w:t>4.</w:t>
      </w:r>
      <w:r w:rsidR="00727D9E" w:rsidRPr="000D7A4D">
        <w:rPr>
          <w:rFonts w:ascii="Arial" w:hAnsi="Arial" w:cs="Arial"/>
          <w:b/>
          <w:bCs/>
          <w:sz w:val="22"/>
          <w:szCs w:val="22"/>
        </w:rPr>
        <w:t xml:space="preserve"> </w:t>
      </w:r>
      <w:r w:rsidRPr="000D7A4D">
        <w:rPr>
          <w:rFonts w:ascii="Arial" w:hAnsi="Arial" w:cs="Arial"/>
          <w:b/>
          <w:bCs/>
          <w:sz w:val="22"/>
          <w:szCs w:val="22"/>
        </w:rPr>
        <w:t>Conclusion and Strategic Recommendations</w:t>
      </w:r>
    </w:p>
    <w:p w14:paraId="6A93AA6C" w14:textId="225F181E"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lastRenderedPageBreak/>
        <w:t>This report has critically analysed emotional intelligence and mindfulness, demonstrating they are not peripheral soft skills but core strategic capabilities for enhancing performance, leadership, and cohesion in today's multigenerational workforce. The analysis of Goleman's, Mayer-Salovey's, and Bar-On's models reveals a crucial tension: the most popular and accessible frameworks (mixed models) often lack the scientific rigour and measurement validity of less-known ability-based models. For the organisation to leverage EI effectively, it must move beyond superficial competency labels towards developing measurable emotional abilities. Simultaneously, the increasing prevalence of a three-generation workforce presents both an opportunity for cognitive diversity and a risk of friction from misaligned communication styles. The evidence shows that an emotionally intelligent management approach, grounded in empathy and supported by mindfulness, is the most effective strategy for unlocking this potential by focusing on individual needs rather than generational stereotypes.</w:t>
      </w:r>
    </w:p>
    <w:p w14:paraId="062B1978" w14:textId="77777777" w:rsidR="00237FCA" w:rsidRPr="000D7A4D" w:rsidRDefault="00A86EE2" w:rsidP="000D7A4D">
      <w:pPr>
        <w:spacing w:after="240" w:line="360" w:lineRule="auto"/>
        <w:rPr>
          <w:rFonts w:ascii="Arial" w:hAnsi="Arial" w:cs="Arial"/>
          <w:sz w:val="22"/>
          <w:szCs w:val="22"/>
        </w:rPr>
      </w:pPr>
      <w:r w:rsidRPr="000D7A4D">
        <w:rPr>
          <w:rFonts w:ascii="Arial" w:hAnsi="Arial" w:cs="Arial"/>
          <w:sz w:val="22"/>
          <w:szCs w:val="22"/>
        </w:rPr>
        <w:t>Based on this analysis, five strategic recommendations are proposed to the Senior Management Team. Firstly, the organisation should pilot a blended EI leadership programme in Q1 2027, using Goleman's framework for practical modules but benchmarking progress with a robust ability-based assessment to ensure measurable skill improvement. Secondly, it is recommended to introduce evidence-based mindfulness training in Q2 2027, positioning it as a high-performance tool for cognitive enhancement, with success measured via pre- and post-intervention metrics. Thirdly, a formal cross-generational reverse mentoring scheme should be established by the end of Q2 2027 to foster knowledge transfer, with success tracked via participant feedback and mentee retention rates. Fourthly, recruitment should be refined by piloting Situational Judgement Tests (SJTs) in H1 2027 for key roles to provide objective, ability-based evidence of candidates' emotional reasoning. Finally, psychological safety must be implemented as a key performance metric by integrating Edmondson's validated scale into the annual survey from Q4 2026, mandating action plans for underperforming teams. Implementing these measures will position the organisation to not only mitigate intergenerational risks but also to build a resilient, emotionally literate culture that serves as a significant competitive advantage.</w:t>
      </w:r>
    </w:p>
    <w:p w14:paraId="688569C6" w14:textId="77777777" w:rsidR="00727D9E" w:rsidRPr="000D7A4D" w:rsidRDefault="00727D9E" w:rsidP="000D7A4D">
      <w:pPr>
        <w:spacing w:after="240" w:line="360" w:lineRule="auto"/>
        <w:rPr>
          <w:rFonts w:ascii="Arial" w:hAnsi="Arial" w:cs="Arial"/>
          <w:sz w:val="22"/>
          <w:szCs w:val="22"/>
        </w:rPr>
      </w:pPr>
    </w:p>
    <w:p w14:paraId="322E8738" w14:textId="77777777" w:rsidR="00727D9E" w:rsidRPr="000D7A4D" w:rsidRDefault="00727D9E" w:rsidP="000D7A4D">
      <w:pPr>
        <w:spacing w:after="240" w:line="360" w:lineRule="auto"/>
        <w:rPr>
          <w:rFonts w:ascii="Arial" w:hAnsi="Arial" w:cs="Arial"/>
          <w:sz w:val="22"/>
          <w:szCs w:val="22"/>
        </w:rPr>
      </w:pPr>
    </w:p>
    <w:p w14:paraId="0E1930F4" w14:textId="77777777" w:rsidR="00727D9E" w:rsidRPr="000D7A4D" w:rsidRDefault="00727D9E" w:rsidP="000D7A4D">
      <w:pPr>
        <w:spacing w:after="240" w:line="360" w:lineRule="auto"/>
        <w:rPr>
          <w:rFonts w:ascii="Arial" w:hAnsi="Arial" w:cs="Arial"/>
          <w:sz w:val="22"/>
          <w:szCs w:val="22"/>
        </w:rPr>
      </w:pPr>
    </w:p>
    <w:p w14:paraId="3DFDD03E" w14:textId="08275FF9"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 xml:space="preserve"> </w:t>
      </w:r>
      <w:r w:rsidRPr="000D7A4D">
        <w:rPr>
          <w:rFonts w:ascii="Arial" w:hAnsi="Arial" w:cs="Arial"/>
          <w:b/>
          <w:bCs/>
          <w:sz w:val="22"/>
          <w:szCs w:val="22"/>
        </w:rPr>
        <w:t>5. Reference List</w:t>
      </w:r>
    </w:p>
    <w:p w14:paraId="4D2AC0A6"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lastRenderedPageBreak/>
        <w:t>Al-Hamdan, Z., Al-</w:t>
      </w:r>
      <w:proofErr w:type="spellStart"/>
      <w:r w:rsidRPr="000D7A4D">
        <w:rPr>
          <w:rFonts w:ascii="Arial" w:hAnsi="Arial" w:cs="Arial"/>
          <w:sz w:val="22"/>
          <w:szCs w:val="22"/>
        </w:rPr>
        <w:t>Madadha</w:t>
      </w:r>
      <w:proofErr w:type="spellEnd"/>
      <w:r w:rsidRPr="000D7A4D">
        <w:rPr>
          <w:rFonts w:ascii="Arial" w:hAnsi="Arial" w:cs="Arial"/>
          <w:sz w:val="22"/>
          <w:szCs w:val="22"/>
        </w:rPr>
        <w:t>, A. and Al-</w:t>
      </w:r>
      <w:proofErr w:type="spellStart"/>
      <w:r w:rsidRPr="000D7A4D">
        <w:rPr>
          <w:rFonts w:ascii="Arial" w:hAnsi="Arial" w:cs="Arial"/>
          <w:sz w:val="22"/>
          <w:szCs w:val="22"/>
        </w:rPr>
        <w:t>Ta'amneh</w:t>
      </w:r>
      <w:proofErr w:type="spellEnd"/>
      <w:r w:rsidRPr="000D7A4D">
        <w:rPr>
          <w:rFonts w:ascii="Arial" w:hAnsi="Arial" w:cs="Arial"/>
          <w:sz w:val="22"/>
          <w:szCs w:val="22"/>
        </w:rPr>
        <w:t xml:space="preserve">, A. (2023) 'The impact of emotional intelligence on job performance: a systematic review', </w:t>
      </w:r>
      <w:r w:rsidRPr="000D7A4D">
        <w:rPr>
          <w:rFonts w:ascii="Arial" w:hAnsi="Arial" w:cs="Arial"/>
          <w:i/>
          <w:iCs/>
          <w:sz w:val="22"/>
          <w:szCs w:val="22"/>
        </w:rPr>
        <w:t>Journal of Management Development</w:t>
      </w:r>
      <w:r w:rsidRPr="000D7A4D">
        <w:rPr>
          <w:rFonts w:ascii="Arial" w:hAnsi="Arial" w:cs="Arial"/>
          <w:sz w:val="22"/>
          <w:szCs w:val="22"/>
        </w:rPr>
        <w:t>, 42(1), pp. 1-18.</w:t>
      </w:r>
    </w:p>
    <w:p w14:paraId="7C2D903F"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 xml:space="preserve">Bar-On, R. (2006) 'The Bar-On model of emotional-social intelligence (ESI)', </w:t>
      </w:r>
      <w:proofErr w:type="spellStart"/>
      <w:r w:rsidRPr="000D7A4D">
        <w:rPr>
          <w:rFonts w:ascii="Arial" w:hAnsi="Arial" w:cs="Arial"/>
          <w:i/>
          <w:iCs/>
          <w:sz w:val="22"/>
          <w:szCs w:val="22"/>
        </w:rPr>
        <w:t>Psicothema</w:t>
      </w:r>
      <w:proofErr w:type="spellEnd"/>
      <w:r w:rsidRPr="000D7A4D">
        <w:rPr>
          <w:rFonts w:ascii="Arial" w:hAnsi="Arial" w:cs="Arial"/>
          <w:sz w:val="22"/>
          <w:szCs w:val="22"/>
        </w:rPr>
        <w:t>, 18(Suppl.), pp. 13–25.</w:t>
      </w:r>
    </w:p>
    <w:p w14:paraId="7B03A8F5"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 xml:space="preserve">Bass, B.M. and Riggio, R.E. (2006) </w:t>
      </w:r>
      <w:r w:rsidRPr="000D7A4D">
        <w:rPr>
          <w:rFonts w:ascii="Arial" w:hAnsi="Arial" w:cs="Arial"/>
          <w:i/>
          <w:iCs/>
          <w:sz w:val="22"/>
          <w:szCs w:val="22"/>
        </w:rPr>
        <w:t>Transformational Leadership</w:t>
      </w:r>
      <w:r w:rsidRPr="000D7A4D">
        <w:rPr>
          <w:rFonts w:ascii="Arial" w:hAnsi="Arial" w:cs="Arial"/>
          <w:sz w:val="22"/>
          <w:szCs w:val="22"/>
        </w:rPr>
        <w:t xml:space="preserve">. 2nd </w:t>
      </w:r>
      <w:proofErr w:type="spellStart"/>
      <w:r w:rsidRPr="000D7A4D">
        <w:rPr>
          <w:rFonts w:ascii="Arial" w:hAnsi="Arial" w:cs="Arial"/>
          <w:sz w:val="22"/>
          <w:szCs w:val="22"/>
        </w:rPr>
        <w:t>edn</w:t>
      </w:r>
      <w:proofErr w:type="spellEnd"/>
      <w:r w:rsidRPr="000D7A4D">
        <w:rPr>
          <w:rFonts w:ascii="Arial" w:hAnsi="Arial" w:cs="Arial"/>
          <w:sz w:val="22"/>
          <w:szCs w:val="22"/>
        </w:rPr>
        <w:t>. Mahwah, NJ: Lawrence Erlbaum Associates.</w:t>
      </w:r>
    </w:p>
    <w:p w14:paraId="5675CABE"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 xml:space="preserve">Costanza, D.P., Badger, J.M., Fraser, R.L., Severt, J.B. and Gade, P.A. (2012) 'Generational differences in work-related attitudes: a meta-analysis', </w:t>
      </w:r>
      <w:r w:rsidRPr="000D7A4D">
        <w:rPr>
          <w:rFonts w:ascii="Arial" w:hAnsi="Arial" w:cs="Arial"/>
          <w:i/>
          <w:iCs/>
          <w:sz w:val="22"/>
          <w:szCs w:val="22"/>
        </w:rPr>
        <w:t>Journal of Business and Psychology</w:t>
      </w:r>
      <w:r w:rsidRPr="000D7A4D">
        <w:rPr>
          <w:rFonts w:ascii="Arial" w:hAnsi="Arial" w:cs="Arial"/>
          <w:sz w:val="22"/>
          <w:szCs w:val="22"/>
        </w:rPr>
        <w:t>, 27(4), pp. 375–394.</w:t>
      </w:r>
    </w:p>
    <w:p w14:paraId="7FEFD215"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 xml:space="preserve">Cranston, S. and Kustis, G.A. (2022) 'Leading the multigenerational workforce: A review of the literature and a research agenda', </w:t>
      </w:r>
      <w:r w:rsidRPr="000D7A4D">
        <w:rPr>
          <w:rFonts w:ascii="Arial" w:hAnsi="Arial" w:cs="Arial"/>
          <w:i/>
          <w:iCs/>
          <w:sz w:val="22"/>
          <w:szCs w:val="22"/>
        </w:rPr>
        <w:t>Journal of Leadership &amp; Organizational Studies</w:t>
      </w:r>
      <w:r w:rsidRPr="000D7A4D">
        <w:rPr>
          <w:rFonts w:ascii="Arial" w:hAnsi="Arial" w:cs="Arial"/>
          <w:sz w:val="22"/>
          <w:szCs w:val="22"/>
        </w:rPr>
        <w:t>, 29(2), pp. 187-211.</w:t>
      </w:r>
    </w:p>
    <w:p w14:paraId="2E5B6185"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 xml:space="preserve">Deloitte (2023) </w:t>
      </w:r>
      <w:r w:rsidRPr="000D7A4D">
        <w:rPr>
          <w:rFonts w:ascii="Arial" w:hAnsi="Arial" w:cs="Arial"/>
          <w:i/>
          <w:iCs/>
          <w:sz w:val="22"/>
          <w:szCs w:val="22"/>
        </w:rPr>
        <w:t>The 2023 Gen Z and Millennial Survey</w:t>
      </w:r>
      <w:r w:rsidRPr="000D7A4D">
        <w:rPr>
          <w:rFonts w:ascii="Arial" w:hAnsi="Arial" w:cs="Arial"/>
          <w:sz w:val="22"/>
          <w:szCs w:val="22"/>
        </w:rPr>
        <w:t xml:space="preserve">. Available at: </w:t>
      </w:r>
      <w:hyperlink r:id="rId8" w:history="1">
        <w:r w:rsidRPr="000D7A4D">
          <w:rPr>
            <w:rFonts w:ascii="Arial" w:hAnsi="Arial" w:cs="Arial"/>
            <w:color w:val="1155CC"/>
            <w:sz w:val="22"/>
            <w:szCs w:val="22"/>
            <w:u w:val="single"/>
          </w:rPr>
          <w:t>https://www.deloitte.com/global/en/issues/work/content/genz-millennial-survey.html</w:t>
        </w:r>
      </w:hyperlink>
      <w:r w:rsidRPr="000D7A4D">
        <w:rPr>
          <w:rFonts w:ascii="Arial" w:hAnsi="Arial" w:cs="Arial"/>
          <w:sz w:val="22"/>
          <w:szCs w:val="22"/>
        </w:rPr>
        <w:t xml:space="preserve"> (Accessed: 12 June 2026).</w:t>
      </w:r>
    </w:p>
    <w:p w14:paraId="02B908C2"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 xml:space="preserve">Edmondson, A.C. (1999) 'Psychological safety and learning </w:t>
      </w:r>
      <w:proofErr w:type="spellStart"/>
      <w:r w:rsidRPr="000D7A4D">
        <w:rPr>
          <w:rFonts w:ascii="Arial" w:hAnsi="Arial" w:cs="Arial"/>
          <w:sz w:val="22"/>
          <w:szCs w:val="22"/>
        </w:rPr>
        <w:t>behavior</w:t>
      </w:r>
      <w:proofErr w:type="spellEnd"/>
      <w:r w:rsidRPr="000D7A4D">
        <w:rPr>
          <w:rFonts w:ascii="Arial" w:hAnsi="Arial" w:cs="Arial"/>
          <w:sz w:val="22"/>
          <w:szCs w:val="22"/>
        </w:rPr>
        <w:t xml:space="preserve"> in work teams', </w:t>
      </w:r>
      <w:r w:rsidRPr="000D7A4D">
        <w:rPr>
          <w:rFonts w:ascii="Arial" w:hAnsi="Arial" w:cs="Arial"/>
          <w:i/>
          <w:iCs/>
          <w:sz w:val="22"/>
          <w:szCs w:val="22"/>
        </w:rPr>
        <w:t>Administrative Science Quarterly</w:t>
      </w:r>
      <w:r w:rsidRPr="000D7A4D">
        <w:rPr>
          <w:rFonts w:ascii="Arial" w:hAnsi="Arial" w:cs="Arial"/>
          <w:sz w:val="22"/>
          <w:szCs w:val="22"/>
        </w:rPr>
        <w:t>, 44(2), pp. 350–383.</w:t>
      </w:r>
    </w:p>
    <w:p w14:paraId="0F919B00"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 xml:space="preserve">Goleman, D. (1995) </w:t>
      </w:r>
      <w:r w:rsidRPr="000D7A4D">
        <w:rPr>
          <w:rFonts w:ascii="Arial" w:hAnsi="Arial" w:cs="Arial"/>
          <w:i/>
          <w:iCs/>
          <w:sz w:val="22"/>
          <w:szCs w:val="22"/>
        </w:rPr>
        <w:t>Emotional Intelligence: Why It Can Matter More Than IQ</w:t>
      </w:r>
      <w:r w:rsidRPr="000D7A4D">
        <w:rPr>
          <w:rFonts w:ascii="Arial" w:hAnsi="Arial" w:cs="Arial"/>
          <w:sz w:val="22"/>
          <w:szCs w:val="22"/>
        </w:rPr>
        <w:t>. New York: Bantam Books.</w:t>
      </w:r>
    </w:p>
    <w:p w14:paraId="5FF3FC08"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 xml:space="preserve">Goleman, D. (1998) </w:t>
      </w:r>
      <w:r w:rsidRPr="000D7A4D">
        <w:rPr>
          <w:rFonts w:ascii="Arial" w:hAnsi="Arial" w:cs="Arial"/>
          <w:i/>
          <w:iCs/>
          <w:sz w:val="22"/>
          <w:szCs w:val="22"/>
        </w:rPr>
        <w:t>Working with Emotional Intelligence</w:t>
      </w:r>
      <w:r w:rsidRPr="000D7A4D">
        <w:rPr>
          <w:rFonts w:ascii="Arial" w:hAnsi="Arial" w:cs="Arial"/>
          <w:sz w:val="22"/>
          <w:szCs w:val="22"/>
        </w:rPr>
        <w:t>. New York: Bantam Books.</w:t>
      </w:r>
    </w:p>
    <w:p w14:paraId="2E18B61E"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 xml:space="preserve">Good, D.J., Lyddy, C.J., Glomb, T.M., Bono, J.E., Brown, K.W., Duffy, M.K., Baer, R.A., Brewer, J.A. and Lazar, S.W. (2016) 'Contemplating mindfulness at work: An integrative review', </w:t>
      </w:r>
      <w:r w:rsidRPr="000D7A4D">
        <w:rPr>
          <w:rFonts w:ascii="Arial" w:hAnsi="Arial" w:cs="Arial"/>
          <w:i/>
          <w:iCs/>
          <w:sz w:val="22"/>
          <w:szCs w:val="22"/>
        </w:rPr>
        <w:t>Journal of Management</w:t>
      </w:r>
      <w:r w:rsidRPr="000D7A4D">
        <w:rPr>
          <w:rFonts w:ascii="Arial" w:hAnsi="Arial" w:cs="Arial"/>
          <w:sz w:val="22"/>
          <w:szCs w:val="22"/>
        </w:rPr>
        <w:t>, 42(1), pp. 114–142.</w:t>
      </w:r>
    </w:p>
    <w:p w14:paraId="050F765E"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 xml:space="preserve">Hülsheger, U.R., Alberts, H.J.E.M., Feinholdt, A. and Lang, J.W.B. (2013) 'Benefits of mindfulness at work: the role of mindfulness in emotion regulation, emotional exhaustion, and job satisfaction', </w:t>
      </w:r>
      <w:r w:rsidRPr="000D7A4D">
        <w:rPr>
          <w:rFonts w:ascii="Arial" w:hAnsi="Arial" w:cs="Arial"/>
          <w:i/>
          <w:iCs/>
          <w:sz w:val="22"/>
          <w:szCs w:val="22"/>
        </w:rPr>
        <w:t>Journal of Applied Psychology</w:t>
      </w:r>
      <w:r w:rsidRPr="000D7A4D">
        <w:rPr>
          <w:rFonts w:ascii="Arial" w:hAnsi="Arial" w:cs="Arial"/>
          <w:sz w:val="22"/>
          <w:szCs w:val="22"/>
        </w:rPr>
        <w:t>, 98(2), pp. 310–325.</w:t>
      </w:r>
    </w:p>
    <w:p w14:paraId="3D3CA2FB"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 xml:space="preserve">Joseph, D.L. and Newman, D.A. (2010) 'Emotional intelligence: an integrative meta-analysis and cascading model', </w:t>
      </w:r>
      <w:r w:rsidRPr="000D7A4D">
        <w:rPr>
          <w:rFonts w:ascii="Arial" w:hAnsi="Arial" w:cs="Arial"/>
          <w:i/>
          <w:iCs/>
          <w:sz w:val="22"/>
          <w:szCs w:val="22"/>
        </w:rPr>
        <w:t>Journal of Applied Psychology</w:t>
      </w:r>
      <w:r w:rsidRPr="000D7A4D">
        <w:rPr>
          <w:rFonts w:ascii="Arial" w:hAnsi="Arial" w:cs="Arial"/>
          <w:sz w:val="22"/>
          <w:szCs w:val="22"/>
        </w:rPr>
        <w:t>, 95(1), pp. 54–78.</w:t>
      </w:r>
    </w:p>
    <w:p w14:paraId="5A453ED0"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lastRenderedPageBreak/>
        <w:t xml:space="preserve">Kabat-Zinn, J. (1994) </w:t>
      </w:r>
      <w:r w:rsidRPr="000D7A4D">
        <w:rPr>
          <w:rFonts w:ascii="Arial" w:hAnsi="Arial" w:cs="Arial"/>
          <w:i/>
          <w:iCs/>
          <w:sz w:val="22"/>
          <w:szCs w:val="22"/>
        </w:rPr>
        <w:t>Wherever You Go, There You Are: Mindfulness Meditation in Everyday Life</w:t>
      </w:r>
      <w:r w:rsidRPr="000D7A4D">
        <w:rPr>
          <w:rFonts w:ascii="Arial" w:hAnsi="Arial" w:cs="Arial"/>
          <w:sz w:val="22"/>
          <w:szCs w:val="22"/>
        </w:rPr>
        <w:t>. New York: Hyperion.</w:t>
      </w:r>
    </w:p>
    <w:p w14:paraId="2D87A447"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 xml:space="preserve">Mayer, J.D., Caruso, D.R. and Salovey, P. (2016) 'The Ability Model of Emotional Intelligence: Principles and Updates', </w:t>
      </w:r>
      <w:r w:rsidRPr="000D7A4D">
        <w:rPr>
          <w:rFonts w:ascii="Arial" w:hAnsi="Arial" w:cs="Arial"/>
          <w:i/>
          <w:iCs/>
          <w:sz w:val="22"/>
          <w:szCs w:val="22"/>
        </w:rPr>
        <w:t>Emotion Review</w:t>
      </w:r>
      <w:r w:rsidRPr="000D7A4D">
        <w:rPr>
          <w:rFonts w:ascii="Arial" w:hAnsi="Arial" w:cs="Arial"/>
          <w:sz w:val="22"/>
          <w:szCs w:val="22"/>
        </w:rPr>
        <w:t>, 8(4), pp. 290–300.</w:t>
      </w:r>
    </w:p>
    <w:p w14:paraId="47B61527"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 xml:space="preserve">Miao, C., Humphrey, R.H. and Qian, S. (2018) 'A meta-analysis of emotional intelligence and leadership effectiveness: The moderating effect of leadership level', </w:t>
      </w:r>
      <w:r w:rsidRPr="000D7A4D">
        <w:rPr>
          <w:rFonts w:ascii="Arial" w:hAnsi="Arial" w:cs="Arial"/>
          <w:i/>
          <w:iCs/>
          <w:sz w:val="22"/>
          <w:szCs w:val="22"/>
        </w:rPr>
        <w:t>Leadership &amp; Organization Development Journal</w:t>
      </w:r>
      <w:r w:rsidRPr="000D7A4D">
        <w:rPr>
          <w:rFonts w:ascii="Arial" w:hAnsi="Arial" w:cs="Arial"/>
          <w:sz w:val="22"/>
          <w:szCs w:val="22"/>
        </w:rPr>
        <w:t>, 39(5), pp. 659-675.</w:t>
      </w:r>
    </w:p>
    <w:p w14:paraId="2F565F72"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 xml:space="preserve">Petrides, K.V. and Furnham, A. (2003) 'Trait emotional intelligence: behavioural validation in two studies of emotion recognition and reactivity to mood induction', </w:t>
      </w:r>
      <w:r w:rsidRPr="000D7A4D">
        <w:rPr>
          <w:rFonts w:ascii="Arial" w:hAnsi="Arial" w:cs="Arial"/>
          <w:i/>
          <w:iCs/>
          <w:sz w:val="22"/>
          <w:szCs w:val="22"/>
        </w:rPr>
        <w:t>European Journal of Personality</w:t>
      </w:r>
      <w:r w:rsidRPr="000D7A4D">
        <w:rPr>
          <w:rFonts w:ascii="Arial" w:hAnsi="Arial" w:cs="Arial"/>
          <w:sz w:val="22"/>
          <w:szCs w:val="22"/>
        </w:rPr>
        <w:t>, 17(1), pp. 39-57.</w:t>
      </w:r>
    </w:p>
    <w:p w14:paraId="1F986FEF"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 xml:space="preserve">Salovey, P. and Mayer, J.D. (1990) 'Emotional Intelligence', </w:t>
      </w:r>
      <w:r w:rsidRPr="000D7A4D">
        <w:rPr>
          <w:rFonts w:ascii="Arial" w:hAnsi="Arial" w:cs="Arial"/>
          <w:i/>
          <w:iCs/>
          <w:sz w:val="22"/>
          <w:szCs w:val="22"/>
        </w:rPr>
        <w:t>Imagination, Cognition and Personality</w:t>
      </w:r>
      <w:r w:rsidRPr="000D7A4D">
        <w:rPr>
          <w:rFonts w:ascii="Arial" w:hAnsi="Arial" w:cs="Arial"/>
          <w:sz w:val="22"/>
          <w:szCs w:val="22"/>
        </w:rPr>
        <w:t>, 9(3), pp. 185–211.</w:t>
      </w:r>
    </w:p>
    <w:p w14:paraId="360ADD4C"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 xml:space="preserve">Strauss, W. and Howe, N. (1991) </w:t>
      </w:r>
      <w:r w:rsidRPr="000D7A4D">
        <w:rPr>
          <w:rFonts w:ascii="Arial" w:hAnsi="Arial" w:cs="Arial"/>
          <w:i/>
          <w:iCs/>
          <w:sz w:val="22"/>
          <w:szCs w:val="22"/>
        </w:rPr>
        <w:t>Generations: The History of America's Future, 1584 to 2069</w:t>
      </w:r>
      <w:r w:rsidRPr="000D7A4D">
        <w:rPr>
          <w:rFonts w:ascii="Arial" w:hAnsi="Arial" w:cs="Arial"/>
          <w:sz w:val="22"/>
          <w:szCs w:val="22"/>
        </w:rPr>
        <w:t>. New York: William Morrow &amp; Company.</w:t>
      </w:r>
    </w:p>
    <w:p w14:paraId="59D86C4C" w14:textId="77777777" w:rsidR="005D4621" w:rsidRPr="000D7A4D" w:rsidRDefault="00A86EE2" w:rsidP="000D7A4D">
      <w:pPr>
        <w:spacing w:after="240" w:line="360" w:lineRule="auto"/>
        <w:rPr>
          <w:rFonts w:ascii="Arial" w:hAnsi="Arial" w:cs="Arial"/>
          <w:sz w:val="22"/>
          <w:szCs w:val="22"/>
        </w:rPr>
      </w:pPr>
      <w:r w:rsidRPr="000D7A4D">
        <w:rPr>
          <w:rFonts w:ascii="Arial" w:hAnsi="Arial" w:cs="Arial"/>
          <w:sz w:val="22"/>
          <w:szCs w:val="22"/>
        </w:rPr>
        <w:t xml:space="preserve">Zeidner, M., Matthews, G. and Roberts, R.D. (2004) </w:t>
      </w:r>
      <w:r w:rsidRPr="000D7A4D">
        <w:rPr>
          <w:rFonts w:ascii="Arial" w:hAnsi="Arial" w:cs="Arial"/>
          <w:i/>
          <w:iCs/>
          <w:sz w:val="22"/>
          <w:szCs w:val="22"/>
        </w:rPr>
        <w:t>What we know about emotional intelligence: How it affects learning, work, relationships, and our mental health</w:t>
      </w:r>
      <w:r w:rsidRPr="000D7A4D">
        <w:rPr>
          <w:rFonts w:ascii="Arial" w:hAnsi="Arial" w:cs="Arial"/>
          <w:sz w:val="22"/>
          <w:szCs w:val="22"/>
        </w:rPr>
        <w:t>. Cambridge, MA: MIT Press.</w:t>
      </w:r>
    </w:p>
    <w:sectPr w:rsidR="005D4621" w:rsidRPr="000D7A4D">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31FEE" w14:textId="77777777" w:rsidR="00EF4DBF" w:rsidRDefault="00EF4DBF" w:rsidP="000D7A4D">
      <w:r>
        <w:separator/>
      </w:r>
    </w:p>
  </w:endnote>
  <w:endnote w:type="continuationSeparator" w:id="0">
    <w:p w14:paraId="76EA451B" w14:textId="77777777" w:rsidR="00EF4DBF" w:rsidRDefault="00EF4DBF" w:rsidP="000D7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3C909" w14:textId="77777777" w:rsidR="00EF4DBF" w:rsidRDefault="00EF4DBF" w:rsidP="000D7A4D">
      <w:r>
        <w:separator/>
      </w:r>
    </w:p>
  </w:footnote>
  <w:footnote w:type="continuationSeparator" w:id="0">
    <w:p w14:paraId="2E232A21" w14:textId="77777777" w:rsidR="00EF4DBF" w:rsidRDefault="00EF4DBF" w:rsidP="000D7A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03EAE"/>
    <w:multiLevelType w:val="hybridMultilevel"/>
    <w:tmpl w:val="B25AC836"/>
    <w:lvl w:ilvl="0" w:tplc="32622F6E">
      <w:start w:val="1"/>
      <w:numFmt w:val="bullet"/>
      <w:lvlText w:val="•"/>
      <w:lvlJc w:val="left"/>
    </w:lvl>
    <w:lvl w:ilvl="1" w:tplc="EEE8BF5C">
      <w:start w:val="1"/>
      <w:numFmt w:val="bullet"/>
      <w:lvlText w:val="•"/>
      <w:lvlJc w:val="left"/>
    </w:lvl>
    <w:lvl w:ilvl="2" w:tplc="BB261C86">
      <w:numFmt w:val="decimal"/>
      <w:lvlText w:val=""/>
      <w:lvlJc w:val="left"/>
    </w:lvl>
    <w:lvl w:ilvl="3" w:tplc="B8701D1A">
      <w:numFmt w:val="decimal"/>
      <w:lvlText w:val=""/>
      <w:lvlJc w:val="left"/>
    </w:lvl>
    <w:lvl w:ilvl="4" w:tplc="F284704C">
      <w:numFmt w:val="decimal"/>
      <w:lvlText w:val=""/>
      <w:lvlJc w:val="left"/>
    </w:lvl>
    <w:lvl w:ilvl="5" w:tplc="9F3ADE84">
      <w:numFmt w:val="decimal"/>
      <w:lvlText w:val=""/>
      <w:lvlJc w:val="left"/>
    </w:lvl>
    <w:lvl w:ilvl="6" w:tplc="FF62FCE6">
      <w:numFmt w:val="decimal"/>
      <w:lvlText w:val=""/>
      <w:lvlJc w:val="left"/>
    </w:lvl>
    <w:lvl w:ilvl="7" w:tplc="A24A8940">
      <w:numFmt w:val="decimal"/>
      <w:lvlText w:val=""/>
      <w:lvlJc w:val="left"/>
    </w:lvl>
    <w:lvl w:ilvl="8" w:tplc="FD8A374A">
      <w:numFmt w:val="decimal"/>
      <w:lvlText w:val=""/>
      <w:lvlJc w:val="left"/>
    </w:lvl>
  </w:abstractNum>
  <w:abstractNum w:abstractNumId="1" w15:restartNumberingAfterBreak="0">
    <w:nsid w:val="2DF53BAB"/>
    <w:multiLevelType w:val="hybridMultilevel"/>
    <w:tmpl w:val="B5DAF976"/>
    <w:lvl w:ilvl="0" w:tplc="A70619BA">
      <w:start w:val="1"/>
      <w:numFmt w:val="decimal"/>
      <w:lvlText w:val="%1."/>
      <w:lvlJc w:val="left"/>
    </w:lvl>
    <w:lvl w:ilvl="1" w:tplc="524E006E">
      <w:start w:val="1"/>
      <w:numFmt w:val="lowerLetter"/>
      <w:lvlText w:val="%2."/>
      <w:lvlJc w:val="left"/>
    </w:lvl>
    <w:lvl w:ilvl="2" w:tplc="C27CA722">
      <w:numFmt w:val="decimal"/>
      <w:lvlText w:val=""/>
      <w:lvlJc w:val="left"/>
    </w:lvl>
    <w:lvl w:ilvl="3" w:tplc="6BDE9FB6">
      <w:numFmt w:val="decimal"/>
      <w:lvlText w:val=""/>
      <w:lvlJc w:val="left"/>
    </w:lvl>
    <w:lvl w:ilvl="4" w:tplc="75E2E934">
      <w:numFmt w:val="decimal"/>
      <w:lvlText w:val=""/>
      <w:lvlJc w:val="left"/>
    </w:lvl>
    <w:lvl w:ilvl="5" w:tplc="1D9674BA">
      <w:numFmt w:val="decimal"/>
      <w:lvlText w:val=""/>
      <w:lvlJc w:val="left"/>
    </w:lvl>
    <w:lvl w:ilvl="6" w:tplc="8FB0DEE6">
      <w:numFmt w:val="decimal"/>
      <w:lvlText w:val=""/>
      <w:lvlJc w:val="left"/>
    </w:lvl>
    <w:lvl w:ilvl="7" w:tplc="CE3C7696">
      <w:numFmt w:val="decimal"/>
      <w:lvlText w:val=""/>
      <w:lvlJc w:val="left"/>
    </w:lvl>
    <w:lvl w:ilvl="8" w:tplc="E8D4B8F4">
      <w:numFmt w:val="decimal"/>
      <w:lvlText w:val=""/>
      <w:lvlJc w:val="left"/>
    </w:lvl>
  </w:abstractNum>
  <w:abstractNum w:abstractNumId="2" w15:restartNumberingAfterBreak="0">
    <w:nsid w:val="5D90296E"/>
    <w:multiLevelType w:val="hybridMultilevel"/>
    <w:tmpl w:val="1F848B64"/>
    <w:lvl w:ilvl="0" w:tplc="045EE8A6">
      <w:start w:val="1"/>
      <w:numFmt w:val="bullet"/>
      <w:lvlText w:val="●"/>
      <w:lvlJc w:val="left"/>
      <w:pPr>
        <w:ind w:left="720" w:hanging="360"/>
      </w:pPr>
    </w:lvl>
    <w:lvl w:ilvl="1" w:tplc="C13002A6">
      <w:start w:val="1"/>
      <w:numFmt w:val="bullet"/>
      <w:lvlText w:val="○"/>
      <w:lvlJc w:val="left"/>
      <w:pPr>
        <w:ind w:left="1440" w:hanging="360"/>
      </w:pPr>
    </w:lvl>
    <w:lvl w:ilvl="2" w:tplc="13FE6CBE">
      <w:start w:val="1"/>
      <w:numFmt w:val="bullet"/>
      <w:lvlText w:val="■"/>
      <w:lvlJc w:val="left"/>
      <w:pPr>
        <w:ind w:left="2160" w:hanging="360"/>
      </w:pPr>
    </w:lvl>
    <w:lvl w:ilvl="3" w:tplc="361080CC">
      <w:start w:val="1"/>
      <w:numFmt w:val="bullet"/>
      <w:lvlText w:val="●"/>
      <w:lvlJc w:val="left"/>
      <w:pPr>
        <w:ind w:left="2880" w:hanging="360"/>
      </w:pPr>
    </w:lvl>
    <w:lvl w:ilvl="4" w:tplc="7E90F4E0">
      <w:start w:val="1"/>
      <w:numFmt w:val="bullet"/>
      <w:lvlText w:val="○"/>
      <w:lvlJc w:val="left"/>
      <w:pPr>
        <w:ind w:left="3600" w:hanging="360"/>
      </w:pPr>
    </w:lvl>
    <w:lvl w:ilvl="5" w:tplc="E67A9DF4">
      <w:start w:val="1"/>
      <w:numFmt w:val="bullet"/>
      <w:lvlText w:val="■"/>
      <w:lvlJc w:val="left"/>
      <w:pPr>
        <w:ind w:left="4320" w:hanging="360"/>
      </w:pPr>
    </w:lvl>
    <w:lvl w:ilvl="6" w:tplc="1DEC3110">
      <w:start w:val="1"/>
      <w:numFmt w:val="bullet"/>
      <w:lvlText w:val="●"/>
      <w:lvlJc w:val="left"/>
      <w:pPr>
        <w:ind w:left="5040" w:hanging="360"/>
      </w:pPr>
    </w:lvl>
    <w:lvl w:ilvl="7" w:tplc="ABDC9086">
      <w:start w:val="1"/>
      <w:numFmt w:val="bullet"/>
      <w:lvlText w:val="●"/>
      <w:lvlJc w:val="left"/>
      <w:pPr>
        <w:ind w:left="5760" w:hanging="360"/>
      </w:pPr>
    </w:lvl>
    <w:lvl w:ilvl="8" w:tplc="10F60846">
      <w:start w:val="1"/>
      <w:numFmt w:val="bullet"/>
      <w:lvlText w:val="●"/>
      <w:lvlJc w:val="left"/>
      <w:pPr>
        <w:ind w:left="6480" w:hanging="360"/>
      </w:pPr>
    </w:lvl>
  </w:abstractNum>
  <w:num w:numId="1" w16cid:durableId="994183741">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21"/>
    <w:rsid w:val="00096E18"/>
    <w:rsid w:val="000D7A4D"/>
    <w:rsid w:val="001D10E5"/>
    <w:rsid w:val="00237FCA"/>
    <w:rsid w:val="0024023B"/>
    <w:rsid w:val="00274F2A"/>
    <w:rsid w:val="00433967"/>
    <w:rsid w:val="004F2E24"/>
    <w:rsid w:val="005D4621"/>
    <w:rsid w:val="00727D9E"/>
    <w:rsid w:val="00766B46"/>
    <w:rsid w:val="008101F3"/>
    <w:rsid w:val="008F0DC1"/>
    <w:rsid w:val="009371C8"/>
    <w:rsid w:val="00A86EE2"/>
    <w:rsid w:val="00AA4FEC"/>
    <w:rsid w:val="00AF657B"/>
    <w:rsid w:val="00C070B1"/>
    <w:rsid w:val="00C86A97"/>
    <w:rsid w:val="00E05B61"/>
    <w:rsid w:val="00EB57C5"/>
    <w:rsid w:val="00EE57D8"/>
    <w:rsid w:val="00EF4DBF"/>
    <w:rsid w:val="00F7013C"/>
    <w:rsid w:val="00F87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CBBE1"/>
  <w15:docId w15:val="{73AC7601-B320-401D-BE1C-D1CD634FE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0D7A4D"/>
    <w:pPr>
      <w:tabs>
        <w:tab w:val="center" w:pos="4513"/>
        <w:tab w:val="right" w:pos="9026"/>
      </w:tabs>
    </w:pPr>
  </w:style>
  <w:style w:type="character" w:customStyle="1" w:styleId="HeaderChar">
    <w:name w:val="Header Char"/>
    <w:basedOn w:val="DefaultParagraphFont"/>
    <w:link w:val="Header"/>
    <w:uiPriority w:val="99"/>
    <w:rsid w:val="000D7A4D"/>
  </w:style>
  <w:style w:type="paragraph" w:styleId="Footer">
    <w:name w:val="footer"/>
    <w:basedOn w:val="Normal"/>
    <w:link w:val="FooterChar"/>
    <w:uiPriority w:val="99"/>
    <w:unhideWhenUsed/>
    <w:rsid w:val="000D7A4D"/>
    <w:pPr>
      <w:tabs>
        <w:tab w:val="center" w:pos="4513"/>
        <w:tab w:val="right" w:pos="9026"/>
      </w:tabs>
    </w:pPr>
  </w:style>
  <w:style w:type="character" w:customStyle="1" w:styleId="FooterChar">
    <w:name w:val="Footer Char"/>
    <w:basedOn w:val="DefaultParagraphFont"/>
    <w:link w:val="Footer"/>
    <w:uiPriority w:val="99"/>
    <w:rsid w:val="000D7A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deloitte.com/global/en/issues/work/content/genz-millennial-survey.htm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4291</Words>
  <Characters>24461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agnes kuku</cp:lastModifiedBy>
  <cp:revision>2</cp:revision>
  <dcterms:created xsi:type="dcterms:W3CDTF">2026-07-19T23:43:00Z</dcterms:created>
  <dcterms:modified xsi:type="dcterms:W3CDTF">2026-07-19T23:43:00Z</dcterms:modified>
</cp:coreProperties>
</file>