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25AD2A5" w14:textId="77777777" w:rsidR="00135025" w:rsidRDefault="00BC1CC4" w:rsidP="001F7514">
      <w:pPr>
        <w:spacing w:line="480" w:lineRule="auto"/>
        <w:jc w:val="center"/>
        <w:rPr>
          <w:rFonts w:ascii="Times New Roman" w:hAnsi="Times New Roman" w:cs="Times New Roman"/>
          <w:sz w:val="24"/>
          <w:szCs w:val="24"/>
          <w:u w:val="single"/>
        </w:rPr>
      </w:pPr>
      <w:r>
        <w:rPr>
          <w:rFonts w:ascii="Times New Roman" w:hAnsi="Times New Roman" w:cs="Times New Roman"/>
          <w:sz w:val="24"/>
          <w:szCs w:val="24"/>
          <w:u w:val="single"/>
        </w:rPr>
        <w:t>Differences in status between Greeks and native Egyptians in Ptolemaic Egypt.</w:t>
      </w:r>
    </w:p>
    <w:p w14:paraId="714FB8C3" w14:textId="77777777" w:rsidR="00BC1CC4" w:rsidRDefault="00BC1CC4" w:rsidP="001F7514">
      <w:pPr>
        <w:spacing w:line="480" w:lineRule="auto"/>
        <w:jc w:val="center"/>
        <w:rPr>
          <w:rFonts w:ascii="Times New Roman" w:hAnsi="Times New Roman" w:cs="Times New Roman"/>
          <w:sz w:val="24"/>
          <w:szCs w:val="24"/>
          <w:u w:val="single"/>
        </w:rPr>
      </w:pPr>
    </w:p>
    <w:p w14:paraId="041BA506" w14:textId="106DB16D" w:rsidR="007909D3" w:rsidRDefault="001F7514"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Christian Habicht’s 1958 study “of the Hellenistic </w:t>
      </w:r>
      <w:r>
        <w:rPr>
          <w:rFonts w:ascii="Times New Roman" w:hAnsi="Times New Roman" w:cs="Times New Roman"/>
          <w:i/>
          <w:sz w:val="24"/>
          <w:szCs w:val="24"/>
        </w:rPr>
        <w:t>herrschende Gedellschaft</w:t>
      </w:r>
      <w:r>
        <w:rPr>
          <w:rFonts w:ascii="Times New Roman" w:hAnsi="Times New Roman" w:cs="Times New Roman"/>
          <w:sz w:val="24"/>
          <w:szCs w:val="24"/>
        </w:rPr>
        <w:t>’ started a line of research has posited that power within the Hellenistic court system was limited to Graeco-Macedonian elites.</w:t>
      </w:r>
      <w:r>
        <w:rPr>
          <w:rStyle w:val="FootnoteReference"/>
          <w:rFonts w:ascii="Times New Roman" w:hAnsi="Times New Roman" w:cs="Times New Roman"/>
          <w:sz w:val="24"/>
          <w:szCs w:val="24"/>
        </w:rPr>
        <w:footnoteReference w:id="1"/>
      </w:r>
      <w:r>
        <w:rPr>
          <w:rFonts w:ascii="Times New Roman" w:hAnsi="Times New Roman" w:cs="Times New Roman"/>
          <w:sz w:val="24"/>
          <w:szCs w:val="24"/>
        </w:rPr>
        <w:t xml:space="preserve"> This elite class consisted of the king and his ‘friends’, and the courts created by the successors following the death of Alexander generally followed “the relatively informal Macedonian institution of the king’s companions and defined by a Hellenic ethnic and cultural exclusivity”.</w:t>
      </w:r>
      <w:r>
        <w:rPr>
          <w:rStyle w:val="FootnoteReference"/>
          <w:rFonts w:ascii="Times New Roman" w:hAnsi="Times New Roman" w:cs="Times New Roman"/>
          <w:sz w:val="24"/>
          <w:szCs w:val="24"/>
        </w:rPr>
        <w:footnoteReference w:id="2"/>
      </w:r>
      <w:r>
        <w:rPr>
          <w:rFonts w:ascii="Times New Roman" w:hAnsi="Times New Roman" w:cs="Times New Roman"/>
          <w:sz w:val="24"/>
          <w:szCs w:val="24"/>
        </w:rPr>
        <w:t xml:space="preserve"> </w:t>
      </w:r>
      <w:r w:rsidR="00306A9A">
        <w:rPr>
          <w:rFonts w:ascii="Times New Roman" w:hAnsi="Times New Roman" w:cs="Times New Roman"/>
          <w:sz w:val="24"/>
          <w:szCs w:val="24"/>
        </w:rPr>
        <w:t>Adler writes that at the time of colonisation, the Greeks had “a strong sense of separate identity”, maintained through various institutions.</w:t>
      </w:r>
      <w:r w:rsidR="00306A9A">
        <w:rPr>
          <w:rStyle w:val="FootnoteReference"/>
          <w:rFonts w:ascii="Times New Roman" w:hAnsi="Times New Roman" w:cs="Times New Roman"/>
          <w:sz w:val="24"/>
          <w:szCs w:val="24"/>
        </w:rPr>
        <w:footnoteReference w:id="3"/>
      </w:r>
      <w:r w:rsidR="00306A9A">
        <w:rPr>
          <w:rFonts w:ascii="Times New Roman" w:hAnsi="Times New Roman" w:cs="Times New Roman"/>
          <w:sz w:val="24"/>
          <w:szCs w:val="24"/>
        </w:rPr>
        <w:t xml:space="preserve"> </w:t>
      </w:r>
      <w:r w:rsidR="00287A58">
        <w:rPr>
          <w:rFonts w:ascii="Times New Roman" w:hAnsi="Times New Roman" w:cs="Times New Roman"/>
          <w:sz w:val="24"/>
          <w:szCs w:val="24"/>
        </w:rPr>
        <w:t>However Fischer-Bovet argues that the Ptolemaic court was multi-ethnic and “successful at integrating socially and ethnically diverse populations.”</w:t>
      </w:r>
      <w:r w:rsidR="00287A58">
        <w:rPr>
          <w:rStyle w:val="FootnoteReference"/>
          <w:rFonts w:ascii="Times New Roman" w:hAnsi="Times New Roman" w:cs="Times New Roman"/>
          <w:sz w:val="24"/>
          <w:szCs w:val="24"/>
        </w:rPr>
        <w:footnoteReference w:id="4"/>
      </w:r>
      <w:r w:rsidR="00287A58">
        <w:rPr>
          <w:rFonts w:ascii="Times New Roman" w:hAnsi="Times New Roman" w:cs="Times New Roman"/>
          <w:sz w:val="24"/>
          <w:szCs w:val="24"/>
        </w:rPr>
        <w:t xml:space="preserve"> This definitely seems to more accurately describe the </w:t>
      </w:r>
      <w:r w:rsidR="00C31673">
        <w:rPr>
          <w:rFonts w:ascii="Times New Roman" w:hAnsi="Times New Roman" w:cs="Times New Roman"/>
          <w:sz w:val="24"/>
          <w:szCs w:val="24"/>
        </w:rPr>
        <w:t>reality of at least the later Ptolemaic court.</w:t>
      </w:r>
      <w:r w:rsidR="00287A58">
        <w:rPr>
          <w:rFonts w:ascii="Times New Roman" w:hAnsi="Times New Roman" w:cs="Times New Roman"/>
          <w:sz w:val="24"/>
          <w:szCs w:val="24"/>
        </w:rPr>
        <w:t xml:space="preserve"> </w:t>
      </w:r>
      <w:r>
        <w:rPr>
          <w:rFonts w:ascii="Times New Roman" w:hAnsi="Times New Roman" w:cs="Times New Roman"/>
          <w:sz w:val="24"/>
          <w:szCs w:val="24"/>
        </w:rPr>
        <w:t>Gabriel Herman’s 1997 article</w:t>
      </w:r>
      <w:r w:rsidR="00844EA9">
        <w:rPr>
          <w:rFonts w:ascii="Times New Roman" w:hAnsi="Times New Roman" w:cs="Times New Roman"/>
          <w:sz w:val="24"/>
          <w:szCs w:val="24"/>
        </w:rPr>
        <w:t xml:space="preserve"> ‘The Court Society of the Hellenistic Age’ </w:t>
      </w:r>
      <w:r w:rsidR="00A40F4E">
        <w:rPr>
          <w:rFonts w:ascii="Times New Roman" w:hAnsi="Times New Roman" w:cs="Times New Roman"/>
          <w:sz w:val="24"/>
          <w:szCs w:val="24"/>
        </w:rPr>
        <w:t>is also an important study, being an “analysis of the Hellenistic court as a social milieu”.</w:t>
      </w:r>
      <w:r w:rsidR="00A40F4E">
        <w:rPr>
          <w:rStyle w:val="FootnoteReference"/>
          <w:rFonts w:ascii="Times New Roman" w:hAnsi="Times New Roman" w:cs="Times New Roman"/>
          <w:sz w:val="24"/>
          <w:szCs w:val="24"/>
        </w:rPr>
        <w:footnoteReference w:id="5"/>
      </w:r>
      <w:r w:rsidR="00A40F4E">
        <w:rPr>
          <w:rFonts w:ascii="Times New Roman" w:hAnsi="Times New Roman" w:cs="Times New Roman"/>
          <w:sz w:val="24"/>
          <w:szCs w:val="24"/>
        </w:rPr>
        <w:t xml:space="preserve"> The social aspect of the court, in particular the relationships and interactions between the king and his courtiers, is especially pertinent to the topic of this essay</w:t>
      </w:r>
      <w:r w:rsidR="00C54465">
        <w:rPr>
          <w:rFonts w:ascii="Times New Roman" w:hAnsi="Times New Roman" w:cs="Times New Roman"/>
          <w:sz w:val="24"/>
          <w:szCs w:val="24"/>
        </w:rPr>
        <w:t xml:space="preserve"> when considering the inclusion of native Egyptian elites into this, supposedly, exclusive court system</w:t>
      </w:r>
      <w:r w:rsidR="00A40F4E">
        <w:rPr>
          <w:rFonts w:ascii="Times New Roman" w:hAnsi="Times New Roman" w:cs="Times New Roman"/>
          <w:sz w:val="24"/>
          <w:szCs w:val="24"/>
        </w:rPr>
        <w:t xml:space="preserve">, and is something that I will return to below. </w:t>
      </w:r>
    </w:p>
    <w:p w14:paraId="31328220" w14:textId="27544243" w:rsidR="00A874B2" w:rsidRDefault="00A874B2"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Hellenistic courts were ‘spaces’, </w:t>
      </w:r>
      <w:r w:rsidR="0070418F">
        <w:rPr>
          <w:rFonts w:ascii="Times New Roman" w:hAnsi="Times New Roman" w:cs="Times New Roman"/>
          <w:sz w:val="24"/>
          <w:szCs w:val="24"/>
        </w:rPr>
        <w:t>consisting of the king and his courtiers, and the physical dwellings that they lived and operated in, that were the products of “human activity and … of social relations”.</w:t>
      </w:r>
      <w:r w:rsidR="0070418F">
        <w:rPr>
          <w:rStyle w:val="FootnoteReference"/>
          <w:rFonts w:ascii="Times New Roman" w:hAnsi="Times New Roman" w:cs="Times New Roman"/>
          <w:sz w:val="24"/>
          <w:szCs w:val="24"/>
        </w:rPr>
        <w:footnoteReference w:id="6"/>
      </w:r>
      <w:r w:rsidR="0070418F">
        <w:rPr>
          <w:rFonts w:ascii="Times New Roman" w:hAnsi="Times New Roman" w:cs="Times New Roman"/>
          <w:sz w:val="24"/>
          <w:szCs w:val="24"/>
        </w:rPr>
        <w:t xml:space="preserve"> </w:t>
      </w:r>
      <w:r w:rsidR="00A47B69">
        <w:rPr>
          <w:rFonts w:ascii="Times New Roman" w:hAnsi="Times New Roman" w:cs="Times New Roman"/>
          <w:sz w:val="24"/>
          <w:szCs w:val="24"/>
        </w:rPr>
        <w:t>They were the physical and conceptual manifestations of social relations, economics, politics, and administration.</w:t>
      </w:r>
      <w:r w:rsidR="00A47B69">
        <w:rPr>
          <w:rStyle w:val="FootnoteReference"/>
          <w:rFonts w:ascii="Times New Roman" w:hAnsi="Times New Roman" w:cs="Times New Roman"/>
          <w:sz w:val="24"/>
          <w:szCs w:val="24"/>
        </w:rPr>
        <w:footnoteReference w:id="7"/>
      </w:r>
      <w:r w:rsidR="00A47B69">
        <w:rPr>
          <w:rFonts w:ascii="Times New Roman" w:hAnsi="Times New Roman" w:cs="Times New Roman"/>
          <w:sz w:val="24"/>
          <w:szCs w:val="24"/>
        </w:rPr>
        <w:t xml:space="preserve"> As such, the courts could be</w:t>
      </w:r>
      <w:r w:rsidR="009010E2">
        <w:rPr>
          <w:rFonts w:ascii="Times New Roman" w:hAnsi="Times New Roman" w:cs="Times New Roman"/>
          <w:sz w:val="24"/>
          <w:szCs w:val="24"/>
        </w:rPr>
        <w:t xml:space="preserve"> described as </w:t>
      </w:r>
      <w:r w:rsidR="009010E2">
        <w:rPr>
          <w:rFonts w:ascii="Times New Roman" w:hAnsi="Times New Roman" w:cs="Times New Roman"/>
          <w:sz w:val="24"/>
          <w:szCs w:val="24"/>
        </w:rPr>
        <w:lastRenderedPageBreak/>
        <w:t>“overblown households” that were “derived from and produced by Alexander’s massive, violent, primitive accumulation and domination of space”</w:t>
      </w:r>
      <w:r w:rsidR="009010E2">
        <w:rPr>
          <w:rStyle w:val="FootnoteReference"/>
          <w:rFonts w:ascii="Times New Roman" w:hAnsi="Times New Roman" w:cs="Times New Roman"/>
          <w:sz w:val="24"/>
          <w:szCs w:val="24"/>
        </w:rPr>
        <w:footnoteReference w:id="8"/>
      </w:r>
      <w:r w:rsidR="00A73F9F">
        <w:rPr>
          <w:rFonts w:ascii="Times New Roman" w:hAnsi="Times New Roman" w:cs="Times New Roman"/>
          <w:sz w:val="24"/>
          <w:szCs w:val="24"/>
        </w:rPr>
        <w:t xml:space="preserve">, which facilitated the expression, creation, and maintenance of status of the elites. </w:t>
      </w:r>
      <w:r w:rsidR="00FC7B1E">
        <w:rPr>
          <w:rFonts w:ascii="Times New Roman" w:hAnsi="Times New Roman" w:cs="Times New Roman"/>
          <w:sz w:val="24"/>
          <w:szCs w:val="24"/>
        </w:rPr>
        <w:t xml:space="preserve">This web of relations was the basis for maintaining power: they created links of dependency and loyalty between king and courtier. </w:t>
      </w:r>
      <w:r w:rsidR="00B86D61">
        <w:rPr>
          <w:rFonts w:ascii="Times New Roman" w:hAnsi="Times New Roman" w:cs="Times New Roman"/>
          <w:sz w:val="24"/>
          <w:szCs w:val="24"/>
        </w:rPr>
        <w:t>The king would supply his court of elites with material rewards and honour (including titles), appeasing their desire for the prestige that accompanied royal connections, and in return they would se</w:t>
      </w:r>
      <w:r w:rsidR="00A72221">
        <w:rPr>
          <w:rFonts w:ascii="Times New Roman" w:hAnsi="Times New Roman" w:cs="Times New Roman"/>
          <w:sz w:val="24"/>
          <w:szCs w:val="24"/>
        </w:rPr>
        <w:t>rve the state and remain loyal.</w:t>
      </w:r>
      <w:r w:rsidR="00A72221">
        <w:rPr>
          <w:rStyle w:val="FootnoteReference"/>
          <w:rFonts w:ascii="Times New Roman" w:hAnsi="Times New Roman" w:cs="Times New Roman"/>
          <w:sz w:val="24"/>
          <w:szCs w:val="24"/>
        </w:rPr>
        <w:footnoteReference w:id="9"/>
      </w:r>
      <w:r w:rsidR="00A72221">
        <w:rPr>
          <w:rFonts w:ascii="Times New Roman" w:hAnsi="Times New Roman" w:cs="Times New Roman"/>
          <w:sz w:val="24"/>
          <w:szCs w:val="24"/>
        </w:rPr>
        <w:t xml:space="preserve"> </w:t>
      </w:r>
    </w:p>
    <w:p w14:paraId="667EBD6F" w14:textId="6646C9CD" w:rsidR="00B14B97" w:rsidRDefault="00B14B97" w:rsidP="001F7514">
      <w:pPr>
        <w:spacing w:line="480" w:lineRule="auto"/>
        <w:rPr>
          <w:rFonts w:ascii="Times New Roman" w:hAnsi="Times New Roman" w:cs="Times New Roman"/>
          <w:sz w:val="24"/>
          <w:szCs w:val="24"/>
        </w:rPr>
      </w:pPr>
      <w:r>
        <w:rPr>
          <w:rFonts w:ascii="Times New Roman" w:hAnsi="Times New Roman" w:cs="Times New Roman"/>
          <w:sz w:val="24"/>
          <w:szCs w:val="24"/>
        </w:rPr>
        <w:t>The rule of the first Ptolemies was rife with “racial domination”, and when you also take into account the subjugation of the Egyptian traditions and culture by Cleomenes as Satrap, the native Egyptian elites were left with a “most unhappy impression”.</w:t>
      </w:r>
      <w:r>
        <w:rPr>
          <w:rStyle w:val="FootnoteReference"/>
          <w:rFonts w:ascii="Times New Roman" w:hAnsi="Times New Roman" w:cs="Times New Roman"/>
          <w:sz w:val="24"/>
          <w:szCs w:val="24"/>
        </w:rPr>
        <w:footnoteReference w:id="10"/>
      </w:r>
      <w:r>
        <w:rPr>
          <w:rFonts w:ascii="Times New Roman" w:hAnsi="Times New Roman" w:cs="Times New Roman"/>
          <w:sz w:val="24"/>
          <w:szCs w:val="24"/>
        </w:rPr>
        <w:t xml:space="preserve"> It was exactly these people that “had the position and influence to resist”.</w:t>
      </w:r>
      <w:r>
        <w:rPr>
          <w:rStyle w:val="FootnoteReference"/>
          <w:rFonts w:ascii="Times New Roman" w:hAnsi="Times New Roman" w:cs="Times New Roman"/>
          <w:sz w:val="24"/>
          <w:szCs w:val="24"/>
        </w:rPr>
        <w:footnoteReference w:id="11"/>
      </w:r>
      <w:r>
        <w:rPr>
          <w:rFonts w:ascii="Times New Roman" w:hAnsi="Times New Roman" w:cs="Times New Roman"/>
          <w:sz w:val="24"/>
          <w:szCs w:val="24"/>
        </w:rPr>
        <w:t xml:space="preserve"> These factors likely led to ‘resentment’ amongst the native Egyptians.</w:t>
      </w:r>
      <w:r>
        <w:rPr>
          <w:rStyle w:val="FootnoteReference"/>
          <w:rFonts w:ascii="Times New Roman" w:hAnsi="Times New Roman" w:cs="Times New Roman"/>
          <w:sz w:val="24"/>
          <w:szCs w:val="24"/>
        </w:rPr>
        <w:footnoteReference w:id="12"/>
      </w:r>
      <w:r>
        <w:rPr>
          <w:rFonts w:ascii="Times New Roman" w:hAnsi="Times New Roman" w:cs="Times New Roman"/>
          <w:sz w:val="24"/>
          <w:szCs w:val="24"/>
        </w:rPr>
        <w:t xml:space="preserve"> </w:t>
      </w:r>
      <w:r w:rsidR="00140349">
        <w:rPr>
          <w:rFonts w:ascii="Times New Roman" w:hAnsi="Times New Roman" w:cs="Times New Roman"/>
          <w:sz w:val="24"/>
          <w:szCs w:val="24"/>
        </w:rPr>
        <w:t>This resentment led to a series of resistances and revolts, with religion being a major driving force.</w:t>
      </w:r>
      <w:r w:rsidR="00140349">
        <w:rPr>
          <w:rStyle w:val="FootnoteReference"/>
          <w:rFonts w:ascii="Times New Roman" w:hAnsi="Times New Roman" w:cs="Times New Roman"/>
          <w:sz w:val="24"/>
          <w:szCs w:val="24"/>
        </w:rPr>
        <w:footnoteReference w:id="13"/>
      </w:r>
      <w:r w:rsidR="00AD2E36">
        <w:rPr>
          <w:rFonts w:ascii="Times New Roman" w:hAnsi="Times New Roman" w:cs="Times New Roman"/>
          <w:sz w:val="24"/>
          <w:szCs w:val="24"/>
        </w:rPr>
        <w:t xml:space="preserve"> </w:t>
      </w:r>
    </w:p>
    <w:p w14:paraId="79B6E5FB" w14:textId="77777777" w:rsidR="00A72221" w:rsidRDefault="00A72221" w:rsidP="001F7514">
      <w:pPr>
        <w:spacing w:line="480" w:lineRule="auto"/>
        <w:rPr>
          <w:rFonts w:ascii="Times New Roman" w:hAnsi="Times New Roman" w:cs="Times New Roman"/>
          <w:sz w:val="24"/>
          <w:szCs w:val="24"/>
        </w:rPr>
      </w:pPr>
    </w:p>
    <w:p w14:paraId="78A1BEA6" w14:textId="3D63ABD2" w:rsidR="00A72221" w:rsidRDefault="00A72221"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Ptolemaic court in Egypt underwent significant changes between the third and first centuries, resulting in a system that did not </w:t>
      </w:r>
      <w:r w:rsidR="00EB3FA3">
        <w:rPr>
          <w:rFonts w:ascii="Times New Roman" w:hAnsi="Times New Roman" w:cs="Times New Roman"/>
          <w:sz w:val="24"/>
          <w:szCs w:val="24"/>
        </w:rPr>
        <w:t xml:space="preserve">follow the typical model that I have outlined above. </w:t>
      </w:r>
      <w:r w:rsidR="00DE519A">
        <w:rPr>
          <w:rFonts w:ascii="Times New Roman" w:hAnsi="Times New Roman" w:cs="Times New Roman"/>
          <w:sz w:val="24"/>
          <w:szCs w:val="24"/>
        </w:rPr>
        <w:t>This model was perhaps an ‘ideal’, that power and rule would remain solely in the hands on the incoming Graeco-Macedonian’s, which could to some degree apply to the reality of the</w:t>
      </w:r>
      <w:r w:rsidR="008B689B">
        <w:rPr>
          <w:rFonts w:ascii="Times New Roman" w:hAnsi="Times New Roman" w:cs="Times New Roman"/>
          <w:sz w:val="24"/>
          <w:szCs w:val="24"/>
        </w:rPr>
        <w:t xml:space="preserve"> third century Ptolemaic court. But an ‘ideal’ is not o</w:t>
      </w:r>
      <w:r w:rsidR="009B1A66">
        <w:rPr>
          <w:rFonts w:ascii="Times New Roman" w:hAnsi="Times New Roman" w:cs="Times New Roman"/>
          <w:sz w:val="24"/>
          <w:szCs w:val="24"/>
        </w:rPr>
        <w:t>ften applicable to the</w:t>
      </w:r>
      <w:r w:rsidR="008B689B">
        <w:rPr>
          <w:rFonts w:ascii="Times New Roman" w:hAnsi="Times New Roman" w:cs="Times New Roman"/>
          <w:sz w:val="24"/>
          <w:szCs w:val="24"/>
        </w:rPr>
        <w:t xml:space="preserve"> ruling</w:t>
      </w:r>
      <w:r w:rsidR="002D2565">
        <w:rPr>
          <w:rFonts w:ascii="Times New Roman" w:hAnsi="Times New Roman" w:cs="Times New Roman"/>
          <w:sz w:val="24"/>
          <w:szCs w:val="24"/>
        </w:rPr>
        <w:t xml:space="preserve"> of</w:t>
      </w:r>
      <w:r w:rsidR="008B689B">
        <w:rPr>
          <w:rFonts w:ascii="Times New Roman" w:hAnsi="Times New Roman" w:cs="Times New Roman"/>
          <w:sz w:val="24"/>
          <w:szCs w:val="24"/>
        </w:rPr>
        <w:t xml:space="preserve"> a state</w:t>
      </w:r>
      <w:r w:rsidR="009B1A66">
        <w:rPr>
          <w:rFonts w:ascii="Times New Roman" w:hAnsi="Times New Roman" w:cs="Times New Roman"/>
          <w:sz w:val="24"/>
          <w:szCs w:val="24"/>
        </w:rPr>
        <w:t xml:space="preserve">, and in the case of Ptolemaic Egypt a change to the prevailing system was necessary </w:t>
      </w:r>
      <w:r w:rsidR="009B1A66">
        <w:rPr>
          <w:rFonts w:ascii="Times New Roman" w:hAnsi="Times New Roman" w:cs="Times New Roman"/>
          <w:sz w:val="24"/>
          <w:szCs w:val="24"/>
        </w:rPr>
        <w:lastRenderedPageBreak/>
        <w:t>to deal with decline and threat</w:t>
      </w:r>
      <w:r w:rsidR="008B689B">
        <w:rPr>
          <w:rFonts w:ascii="Times New Roman" w:hAnsi="Times New Roman" w:cs="Times New Roman"/>
          <w:sz w:val="24"/>
          <w:szCs w:val="24"/>
        </w:rPr>
        <w:t>.</w:t>
      </w:r>
      <w:r w:rsidR="009B1A66">
        <w:rPr>
          <w:rStyle w:val="FootnoteReference"/>
          <w:rFonts w:ascii="Times New Roman" w:hAnsi="Times New Roman" w:cs="Times New Roman"/>
          <w:sz w:val="24"/>
          <w:szCs w:val="24"/>
        </w:rPr>
        <w:footnoteReference w:id="14"/>
      </w:r>
      <w:r w:rsidR="00306A9A">
        <w:rPr>
          <w:rFonts w:ascii="Times New Roman" w:hAnsi="Times New Roman" w:cs="Times New Roman"/>
          <w:sz w:val="24"/>
          <w:szCs w:val="24"/>
        </w:rPr>
        <w:t xml:space="preserve"> </w:t>
      </w:r>
      <w:r w:rsidR="00DE519A">
        <w:rPr>
          <w:rFonts w:ascii="Times New Roman" w:hAnsi="Times New Roman" w:cs="Times New Roman"/>
          <w:sz w:val="24"/>
          <w:szCs w:val="24"/>
        </w:rPr>
        <w:t>The transformation of the court</w:t>
      </w:r>
      <w:r w:rsidR="008B689B">
        <w:rPr>
          <w:rFonts w:ascii="Times New Roman" w:hAnsi="Times New Roman" w:cs="Times New Roman"/>
          <w:sz w:val="24"/>
          <w:szCs w:val="24"/>
        </w:rPr>
        <w:t xml:space="preserve">, to incorporate native Egyptian elites into the fold, </w:t>
      </w:r>
      <w:r w:rsidR="00DE519A">
        <w:rPr>
          <w:rFonts w:ascii="Times New Roman" w:hAnsi="Times New Roman" w:cs="Times New Roman"/>
          <w:sz w:val="24"/>
          <w:szCs w:val="24"/>
        </w:rPr>
        <w:t>started in the early second century</w:t>
      </w:r>
      <w:r w:rsidR="009B1A66">
        <w:rPr>
          <w:rFonts w:ascii="Times New Roman" w:hAnsi="Times New Roman" w:cs="Times New Roman"/>
          <w:sz w:val="24"/>
          <w:szCs w:val="24"/>
        </w:rPr>
        <w:t xml:space="preserve"> under the reign of Ptolemy V Epiphanes, which ultimately resulted in the incorporation of the native Egyptian elites to the hierarchy of the court system as ‘kinsmen’, or </w:t>
      </w:r>
      <w:r w:rsidR="009B1A66">
        <w:rPr>
          <w:rFonts w:ascii="Times New Roman" w:hAnsi="Times New Roman" w:cs="Times New Roman"/>
          <w:i/>
          <w:sz w:val="24"/>
          <w:szCs w:val="24"/>
        </w:rPr>
        <w:t>syngenes</w:t>
      </w:r>
      <w:r w:rsidR="009B1A66">
        <w:rPr>
          <w:rFonts w:ascii="Times New Roman" w:hAnsi="Times New Roman" w:cs="Times New Roman"/>
          <w:sz w:val="24"/>
          <w:szCs w:val="24"/>
        </w:rPr>
        <w:t xml:space="preserve">. </w:t>
      </w:r>
    </w:p>
    <w:p w14:paraId="701BD8DE" w14:textId="77777777" w:rsidR="005517F1" w:rsidRPr="005517F1" w:rsidRDefault="002D2565"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first changes </w:t>
      </w:r>
      <w:r w:rsidR="00F03237">
        <w:rPr>
          <w:rFonts w:ascii="Times New Roman" w:hAnsi="Times New Roman" w:cs="Times New Roman"/>
          <w:sz w:val="24"/>
          <w:szCs w:val="24"/>
        </w:rPr>
        <w:t xml:space="preserve">to the court related to an expansion, beyond the kings immediate circle to include Graeco-Macdeonian elites living and operating outside of the city (in the </w:t>
      </w:r>
      <w:r w:rsidR="00F03237">
        <w:rPr>
          <w:rFonts w:ascii="Times New Roman" w:hAnsi="Times New Roman" w:cs="Times New Roman"/>
          <w:i/>
          <w:sz w:val="24"/>
          <w:szCs w:val="24"/>
        </w:rPr>
        <w:t>chora</w:t>
      </w:r>
      <w:r w:rsidR="00F03237">
        <w:rPr>
          <w:rFonts w:ascii="Times New Roman" w:hAnsi="Times New Roman" w:cs="Times New Roman"/>
          <w:sz w:val="24"/>
          <w:szCs w:val="24"/>
        </w:rPr>
        <w:t>) at “regional and local levels”.</w:t>
      </w:r>
      <w:r w:rsidR="00F03237">
        <w:rPr>
          <w:rStyle w:val="FootnoteReference"/>
          <w:rFonts w:ascii="Times New Roman" w:hAnsi="Times New Roman" w:cs="Times New Roman"/>
          <w:sz w:val="24"/>
          <w:szCs w:val="24"/>
        </w:rPr>
        <w:footnoteReference w:id="15"/>
      </w:r>
      <w:r w:rsidR="00F03237">
        <w:rPr>
          <w:rFonts w:ascii="Times New Roman" w:hAnsi="Times New Roman" w:cs="Times New Roman"/>
          <w:sz w:val="24"/>
          <w:szCs w:val="24"/>
        </w:rPr>
        <w:t xml:space="preserve"> </w:t>
      </w:r>
      <w:r w:rsidR="00A11D51">
        <w:rPr>
          <w:rFonts w:ascii="Times New Roman" w:hAnsi="Times New Roman" w:cs="Times New Roman"/>
          <w:sz w:val="24"/>
          <w:szCs w:val="24"/>
        </w:rPr>
        <w:t>Leon Mooren views the changes as “aimed primarily at the bureaucracy” with the aim “to strengthen the connections between the king and his officials by extending the honor of court titles to them”.</w:t>
      </w:r>
      <w:r w:rsidR="00A11D51">
        <w:rPr>
          <w:rStyle w:val="FootnoteReference"/>
          <w:rFonts w:ascii="Times New Roman" w:hAnsi="Times New Roman" w:cs="Times New Roman"/>
          <w:sz w:val="24"/>
          <w:szCs w:val="24"/>
        </w:rPr>
        <w:footnoteReference w:id="16"/>
      </w:r>
      <w:r w:rsidR="00A11D51">
        <w:rPr>
          <w:rFonts w:ascii="Times New Roman" w:hAnsi="Times New Roman" w:cs="Times New Roman"/>
          <w:sz w:val="24"/>
          <w:szCs w:val="24"/>
        </w:rPr>
        <w:t xml:space="preserve"> As well as this, Ian Moyer describes how the court “had just emerged from a period of intrigue and conflict centred on tensions between an “inner” and “outer” court”.</w:t>
      </w:r>
      <w:r w:rsidR="00A11D51">
        <w:rPr>
          <w:rStyle w:val="FootnoteReference"/>
          <w:rFonts w:ascii="Times New Roman" w:hAnsi="Times New Roman" w:cs="Times New Roman"/>
          <w:sz w:val="24"/>
          <w:szCs w:val="24"/>
        </w:rPr>
        <w:footnoteReference w:id="17"/>
      </w:r>
      <w:r w:rsidR="00A11D51">
        <w:rPr>
          <w:rFonts w:ascii="Times New Roman" w:hAnsi="Times New Roman" w:cs="Times New Roman"/>
          <w:sz w:val="24"/>
          <w:szCs w:val="24"/>
        </w:rPr>
        <w:t xml:space="preserve"> </w:t>
      </w:r>
      <w:r w:rsidR="00F03237">
        <w:rPr>
          <w:rFonts w:ascii="Times New Roman" w:hAnsi="Times New Roman" w:cs="Times New Roman"/>
          <w:sz w:val="24"/>
          <w:szCs w:val="24"/>
        </w:rPr>
        <w:t>This transformation of the court included the development of a new hierarchy system. The new titles that came about as part of this process</w:t>
      </w:r>
      <w:r w:rsidR="00A11D51">
        <w:rPr>
          <w:rFonts w:ascii="Times New Roman" w:hAnsi="Times New Roman" w:cs="Times New Roman"/>
          <w:sz w:val="24"/>
          <w:szCs w:val="24"/>
        </w:rPr>
        <w:t xml:space="preserve"> helped to </w:t>
      </w:r>
      <w:r w:rsidR="000C6EE2">
        <w:rPr>
          <w:rFonts w:ascii="Times New Roman" w:hAnsi="Times New Roman" w:cs="Times New Roman"/>
          <w:sz w:val="24"/>
          <w:szCs w:val="24"/>
        </w:rPr>
        <w:t>create cohesion and reduce friction between those elites who were in the city of Alexandria in close physical proximity to the king, and those who undertook administrative and military functions outside of the city and “were only intermittently in his [the king] presence”.</w:t>
      </w:r>
      <w:r w:rsidR="000C6EE2">
        <w:rPr>
          <w:rStyle w:val="FootnoteReference"/>
          <w:rFonts w:ascii="Times New Roman" w:hAnsi="Times New Roman" w:cs="Times New Roman"/>
          <w:sz w:val="24"/>
          <w:szCs w:val="24"/>
        </w:rPr>
        <w:footnoteReference w:id="18"/>
      </w:r>
      <w:r w:rsidR="000C6EE2">
        <w:rPr>
          <w:rFonts w:ascii="Times New Roman" w:hAnsi="Times New Roman" w:cs="Times New Roman"/>
          <w:sz w:val="24"/>
          <w:szCs w:val="24"/>
        </w:rPr>
        <w:t xml:space="preserve"> </w:t>
      </w:r>
      <w:r w:rsidR="005517F1">
        <w:rPr>
          <w:rFonts w:ascii="Times New Roman" w:hAnsi="Times New Roman" w:cs="Times New Roman"/>
          <w:sz w:val="24"/>
          <w:szCs w:val="24"/>
        </w:rPr>
        <w:t xml:space="preserve"> </w:t>
      </w:r>
    </w:p>
    <w:p w14:paraId="775BB282" w14:textId="4B0EEDC0" w:rsidR="002D2565" w:rsidRDefault="001474A6"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Within this hierarchy system, there is evidence for native Egyptian elites holding the title of </w:t>
      </w:r>
      <w:r>
        <w:rPr>
          <w:rFonts w:ascii="Times New Roman" w:hAnsi="Times New Roman" w:cs="Times New Roman"/>
          <w:i/>
          <w:sz w:val="24"/>
          <w:szCs w:val="24"/>
        </w:rPr>
        <w:t>syngenes</w:t>
      </w:r>
      <w:r>
        <w:rPr>
          <w:rFonts w:ascii="Times New Roman" w:hAnsi="Times New Roman" w:cs="Times New Roman"/>
          <w:sz w:val="24"/>
          <w:szCs w:val="24"/>
        </w:rPr>
        <w:t xml:space="preserve">, or ‘kinsmen’. </w:t>
      </w:r>
      <w:r w:rsidR="00E20483">
        <w:rPr>
          <w:rFonts w:ascii="Times New Roman" w:hAnsi="Times New Roman" w:cs="Times New Roman"/>
          <w:sz w:val="24"/>
          <w:szCs w:val="24"/>
        </w:rPr>
        <w:t>The changes were gradual, undergoing “</w:t>
      </w:r>
      <w:r w:rsidR="00E20483">
        <w:rPr>
          <w:rFonts w:ascii="Times New Roman" w:hAnsi="Times New Roman" w:cs="Times New Roman"/>
          <w:i/>
          <w:sz w:val="24"/>
          <w:szCs w:val="24"/>
        </w:rPr>
        <w:t>ad hoc</w:t>
      </w:r>
      <w:r w:rsidR="00E20483">
        <w:rPr>
          <w:rFonts w:ascii="Times New Roman" w:hAnsi="Times New Roman" w:cs="Times New Roman"/>
          <w:sz w:val="24"/>
          <w:szCs w:val="24"/>
        </w:rPr>
        <w:t xml:space="preserve"> changes over time”, with the resulting </w:t>
      </w:r>
      <w:r w:rsidR="00E20483">
        <w:rPr>
          <w:rFonts w:ascii="Times New Roman" w:hAnsi="Times New Roman" w:cs="Times New Roman"/>
          <w:i/>
          <w:sz w:val="24"/>
          <w:szCs w:val="24"/>
        </w:rPr>
        <w:t>syngenes</w:t>
      </w:r>
      <w:r w:rsidR="00E20483">
        <w:rPr>
          <w:rFonts w:ascii="Times New Roman" w:hAnsi="Times New Roman" w:cs="Times New Roman"/>
          <w:sz w:val="24"/>
          <w:szCs w:val="24"/>
        </w:rPr>
        <w:t xml:space="preserve"> titles first being attested during the reign of Ptolemy VI Philometor.</w:t>
      </w:r>
      <w:r w:rsidR="00E20483">
        <w:rPr>
          <w:rStyle w:val="FootnoteReference"/>
          <w:rFonts w:ascii="Times New Roman" w:hAnsi="Times New Roman" w:cs="Times New Roman"/>
          <w:sz w:val="24"/>
          <w:szCs w:val="24"/>
        </w:rPr>
        <w:footnoteReference w:id="19"/>
      </w:r>
      <w:r w:rsidR="00E20483">
        <w:rPr>
          <w:rFonts w:ascii="Times New Roman" w:hAnsi="Times New Roman" w:cs="Times New Roman"/>
          <w:sz w:val="24"/>
          <w:szCs w:val="24"/>
        </w:rPr>
        <w:t xml:space="preserve"> </w:t>
      </w:r>
      <w:r w:rsidR="005517F1">
        <w:rPr>
          <w:rFonts w:ascii="Times New Roman" w:hAnsi="Times New Roman" w:cs="Times New Roman"/>
          <w:sz w:val="24"/>
          <w:szCs w:val="24"/>
        </w:rPr>
        <w:t>Given the previous discussion on the earlier exclusionary nature of the court, why did this change</w:t>
      </w:r>
      <w:r w:rsidR="00B5200F">
        <w:rPr>
          <w:rFonts w:ascii="Times New Roman" w:hAnsi="Times New Roman" w:cs="Times New Roman"/>
          <w:sz w:val="24"/>
          <w:szCs w:val="24"/>
        </w:rPr>
        <w:t xml:space="preserve"> to include ‘outsiders’</w:t>
      </w:r>
      <w:r w:rsidR="00B5200F">
        <w:rPr>
          <w:rStyle w:val="FootnoteReference"/>
          <w:rFonts w:ascii="Times New Roman" w:hAnsi="Times New Roman" w:cs="Times New Roman"/>
          <w:sz w:val="24"/>
          <w:szCs w:val="24"/>
        </w:rPr>
        <w:footnoteReference w:id="20"/>
      </w:r>
      <w:r w:rsidR="005517F1">
        <w:rPr>
          <w:rFonts w:ascii="Times New Roman" w:hAnsi="Times New Roman" w:cs="Times New Roman"/>
          <w:sz w:val="24"/>
          <w:szCs w:val="24"/>
        </w:rPr>
        <w:t xml:space="preserve"> occur? Moyer describes this inclusion as creating </w:t>
      </w:r>
      <w:r w:rsidR="005517F1">
        <w:rPr>
          <w:rFonts w:ascii="Times New Roman" w:hAnsi="Times New Roman" w:cs="Times New Roman"/>
          <w:sz w:val="24"/>
          <w:szCs w:val="24"/>
        </w:rPr>
        <w:lastRenderedPageBreak/>
        <w:t>a “transcultural space” that was “critical for maintaining the power of the Ptolemaic state”.</w:t>
      </w:r>
      <w:r w:rsidR="005517F1">
        <w:rPr>
          <w:rStyle w:val="FootnoteReference"/>
          <w:rFonts w:ascii="Times New Roman" w:hAnsi="Times New Roman" w:cs="Times New Roman"/>
          <w:sz w:val="24"/>
          <w:szCs w:val="24"/>
        </w:rPr>
        <w:footnoteReference w:id="21"/>
      </w:r>
      <w:r w:rsidR="005517F1">
        <w:rPr>
          <w:rFonts w:ascii="Times New Roman" w:hAnsi="Times New Roman" w:cs="Times New Roman"/>
          <w:sz w:val="24"/>
          <w:szCs w:val="24"/>
        </w:rPr>
        <w:t xml:space="preserve"> </w:t>
      </w:r>
      <w:r w:rsidR="00B5200F">
        <w:rPr>
          <w:rFonts w:ascii="Times New Roman" w:hAnsi="Times New Roman" w:cs="Times New Roman"/>
          <w:sz w:val="24"/>
          <w:szCs w:val="24"/>
        </w:rPr>
        <w:t xml:space="preserve">The expansion of the court system permeated into the </w:t>
      </w:r>
      <w:r w:rsidR="00B5200F">
        <w:rPr>
          <w:rFonts w:ascii="Times New Roman" w:hAnsi="Times New Roman" w:cs="Times New Roman"/>
          <w:i/>
          <w:sz w:val="24"/>
          <w:szCs w:val="24"/>
        </w:rPr>
        <w:t>chora</w:t>
      </w:r>
      <w:r w:rsidR="00B5200F">
        <w:rPr>
          <w:rFonts w:ascii="Times New Roman" w:hAnsi="Times New Roman" w:cs="Times New Roman"/>
          <w:sz w:val="24"/>
          <w:szCs w:val="24"/>
        </w:rPr>
        <w:t xml:space="preserve"> where the Hellenistic influence ha</w:t>
      </w:r>
      <w:r w:rsidR="00F54263">
        <w:rPr>
          <w:rFonts w:ascii="Times New Roman" w:hAnsi="Times New Roman" w:cs="Times New Roman"/>
          <w:sz w:val="24"/>
          <w:szCs w:val="24"/>
        </w:rPr>
        <w:t>d</w:t>
      </w:r>
      <w:r w:rsidR="00B5200F">
        <w:rPr>
          <w:rFonts w:ascii="Times New Roman" w:hAnsi="Times New Roman" w:cs="Times New Roman"/>
          <w:sz w:val="24"/>
          <w:szCs w:val="24"/>
        </w:rPr>
        <w:t xml:space="preserve"> thus far been “the most gradual and had met the most resistance”.</w:t>
      </w:r>
      <w:r w:rsidR="00B5200F">
        <w:rPr>
          <w:rStyle w:val="FootnoteReference"/>
          <w:rFonts w:ascii="Times New Roman" w:hAnsi="Times New Roman" w:cs="Times New Roman"/>
          <w:sz w:val="24"/>
          <w:szCs w:val="24"/>
        </w:rPr>
        <w:footnoteReference w:id="22"/>
      </w:r>
      <w:r w:rsidR="00B5200F">
        <w:rPr>
          <w:rFonts w:ascii="Times New Roman" w:hAnsi="Times New Roman" w:cs="Times New Roman"/>
          <w:sz w:val="24"/>
          <w:szCs w:val="24"/>
        </w:rPr>
        <w:t xml:space="preserve"> </w:t>
      </w:r>
      <w:r w:rsidR="00E20483">
        <w:rPr>
          <w:rFonts w:ascii="Times New Roman" w:hAnsi="Times New Roman" w:cs="Times New Roman"/>
          <w:sz w:val="24"/>
          <w:szCs w:val="24"/>
        </w:rPr>
        <w:t>At the time of these changes, the Ptolemaic state was “in a weak position and facing various threats, including a m</w:t>
      </w:r>
      <w:r w:rsidR="0028103E">
        <w:rPr>
          <w:rFonts w:ascii="Times New Roman" w:hAnsi="Times New Roman" w:cs="Times New Roman"/>
          <w:sz w:val="24"/>
          <w:szCs w:val="24"/>
        </w:rPr>
        <w:t>a</w:t>
      </w:r>
      <w:r w:rsidR="00E20483">
        <w:rPr>
          <w:rFonts w:ascii="Times New Roman" w:hAnsi="Times New Roman" w:cs="Times New Roman"/>
          <w:sz w:val="24"/>
          <w:szCs w:val="24"/>
        </w:rPr>
        <w:t>jor revolt in Upper Egypt”.</w:t>
      </w:r>
      <w:r w:rsidR="00E20483">
        <w:rPr>
          <w:rStyle w:val="FootnoteReference"/>
          <w:rFonts w:ascii="Times New Roman" w:hAnsi="Times New Roman" w:cs="Times New Roman"/>
          <w:sz w:val="24"/>
          <w:szCs w:val="24"/>
        </w:rPr>
        <w:footnoteReference w:id="23"/>
      </w:r>
      <w:r w:rsidR="00E20483">
        <w:rPr>
          <w:rFonts w:ascii="Times New Roman" w:hAnsi="Times New Roman" w:cs="Times New Roman"/>
          <w:sz w:val="24"/>
          <w:szCs w:val="24"/>
        </w:rPr>
        <w:t xml:space="preserve"> In C. Fischer-Bovet’s 2015 article ‘Social Unrest and Ethnic Coexistence in Ptolemaic Egypt and the Seleucid Empire’, she explains the concept of ‘mediators’: locals were integrated into the administration and military systems of the Ptolemaic and Seleucid courts to “facilitate the balancing of solidarities”, and create links of trust between locals and the new governing group.</w:t>
      </w:r>
      <w:r w:rsidR="00E20483">
        <w:rPr>
          <w:rStyle w:val="FootnoteReference"/>
          <w:rFonts w:ascii="Times New Roman" w:hAnsi="Times New Roman" w:cs="Times New Roman"/>
          <w:sz w:val="24"/>
          <w:szCs w:val="24"/>
        </w:rPr>
        <w:footnoteReference w:id="24"/>
      </w:r>
      <w:r w:rsidR="00E20483">
        <w:rPr>
          <w:rFonts w:ascii="Times New Roman" w:hAnsi="Times New Roman" w:cs="Times New Roman"/>
          <w:sz w:val="24"/>
          <w:szCs w:val="24"/>
        </w:rPr>
        <w:t xml:space="preserve"> </w:t>
      </w:r>
      <w:r w:rsidR="00F54263">
        <w:rPr>
          <w:rFonts w:ascii="Times New Roman" w:hAnsi="Times New Roman" w:cs="Times New Roman"/>
          <w:sz w:val="24"/>
          <w:szCs w:val="24"/>
        </w:rPr>
        <w:t>With local peoples holding posts at the local level, and being integrated into the Hellenistic court system, they could play “the role of mediators between villagers and the central power”.</w:t>
      </w:r>
      <w:r w:rsidR="00F54263">
        <w:rPr>
          <w:rStyle w:val="FootnoteReference"/>
          <w:rFonts w:ascii="Times New Roman" w:hAnsi="Times New Roman" w:cs="Times New Roman"/>
          <w:sz w:val="24"/>
          <w:szCs w:val="24"/>
        </w:rPr>
        <w:footnoteReference w:id="25"/>
      </w:r>
      <w:r w:rsidR="00E20483">
        <w:rPr>
          <w:rFonts w:ascii="Times New Roman" w:hAnsi="Times New Roman" w:cs="Times New Roman"/>
          <w:sz w:val="24"/>
          <w:szCs w:val="24"/>
        </w:rPr>
        <w:t xml:space="preserve"> </w:t>
      </w:r>
    </w:p>
    <w:p w14:paraId="16C3AA95" w14:textId="58D18D39" w:rsidR="00381DE7" w:rsidRDefault="00381DE7" w:rsidP="001F7514">
      <w:pPr>
        <w:spacing w:line="480" w:lineRule="auto"/>
        <w:rPr>
          <w:rFonts w:ascii="Times New Roman" w:hAnsi="Times New Roman" w:cs="Times New Roman"/>
          <w:sz w:val="24"/>
          <w:szCs w:val="24"/>
        </w:rPr>
      </w:pPr>
      <w:r>
        <w:rPr>
          <w:rFonts w:ascii="Times New Roman" w:hAnsi="Times New Roman" w:cs="Times New Roman"/>
          <w:sz w:val="24"/>
          <w:szCs w:val="24"/>
        </w:rPr>
        <w:t>Tensions within Ptolemaic Egypt had reached a peak under the reign of Ptolemy VIII.</w:t>
      </w:r>
      <w:r>
        <w:rPr>
          <w:rStyle w:val="FootnoteReference"/>
          <w:rFonts w:ascii="Times New Roman" w:hAnsi="Times New Roman" w:cs="Times New Roman"/>
          <w:sz w:val="24"/>
          <w:szCs w:val="24"/>
        </w:rPr>
        <w:footnoteReference w:id="26"/>
      </w:r>
      <w:r>
        <w:rPr>
          <w:rFonts w:ascii="Times New Roman" w:hAnsi="Times New Roman" w:cs="Times New Roman"/>
          <w:sz w:val="24"/>
          <w:szCs w:val="24"/>
        </w:rPr>
        <w:t xml:space="preserve"> </w:t>
      </w:r>
      <w:r w:rsidR="00F80A5A">
        <w:rPr>
          <w:rFonts w:ascii="Times New Roman" w:hAnsi="Times New Roman" w:cs="Times New Roman"/>
          <w:sz w:val="24"/>
          <w:szCs w:val="24"/>
        </w:rPr>
        <w:t xml:space="preserve">Adler argues that it was his ‘levelling of the playing field’ between the Graeco-Macedonians and the Egyptians that ended “race-based imperialism”, </w:t>
      </w:r>
      <w:r w:rsidR="00D94E0F">
        <w:rPr>
          <w:rFonts w:ascii="Times New Roman" w:hAnsi="Times New Roman" w:cs="Times New Roman"/>
          <w:sz w:val="24"/>
          <w:szCs w:val="24"/>
        </w:rPr>
        <w:t xml:space="preserve">encouraged </w:t>
      </w:r>
      <w:r w:rsidR="00F80A5A">
        <w:rPr>
          <w:rFonts w:ascii="Times New Roman" w:hAnsi="Times New Roman" w:cs="Times New Roman"/>
          <w:sz w:val="24"/>
          <w:szCs w:val="24"/>
        </w:rPr>
        <w:t>the advent of “hierarchical, class-based colonialism” that involved the Egyptian people, and helped to stabilise Ptolemaic rule.</w:t>
      </w:r>
      <w:r w:rsidR="00F80A5A">
        <w:rPr>
          <w:rStyle w:val="FootnoteReference"/>
          <w:rFonts w:ascii="Times New Roman" w:hAnsi="Times New Roman" w:cs="Times New Roman"/>
          <w:sz w:val="24"/>
          <w:szCs w:val="24"/>
        </w:rPr>
        <w:footnoteReference w:id="27"/>
      </w:r>
      <w:r w:rsidR="00F80A5A">
        <w:rPr>
          <w:rFonts w:ascii="Times New Roman" w:hAnsi="Times New Roman" w:cs="Times New Roman"/>
          <w:sz w:val="24"/>
          <w:szCs w:val="24"/>
        </w:rPr>
        <w:t xml:space="preserve"> </w:t>
      </w:r>
      <w:r w:rsidR="00EA1890">
        <w:rPr>
          <w:rFonts w:ascii="Times New Roman" w:hAnsi="Times New Roman" w:cs="Times New Roman"/>
          <w:sz w:val="24"/>
          <w:szCs w:val="24"/>
        </w:rPr>
        <w:t>By this time, too, through ‘intermingling and intermarriage’, there was a group of people who identified as “the Alexandrians” who, despite their Greek heritage, would likely also have felt alienated by the race-based imperialism of the third century.</w:t>
      </w:r>
      <w:r w:rsidR="00D94E0F">
        <w:rPr>
          <w:rStyle w:val="FootnoteReference"/>
          <w:rFonts w:ascii="Times New Roman" w:hAnsi="Times New Roman" w:cs="Times New Roman"/>
          <w:sz w:val="24"/>
          <w:szCs w:val="24"/>
        </w:rPr>
        <w:footnoteReference w:id="28"/>
      </w:r>
      <w:r w:rsidR="00EA1890">
        <w:rPr>
          <w:rFonts w:ascii="Times New Roman" w:hAnsi="Times New Roman" w:cs="Times New Roman"/>
          <w:sz w:val="24"/>
          <w:szCs w:val="24"/>
        </w:rPr>
        <w:t xml:space="preserve"> </w:t>
      </w:r>
      <w:r w:rsidR="00D94E0F">
        <w:rPr>
          <w:rFonts w:ascii="Times New Roman" w:hAnsi="Times New Roman" w:cs="Times New Roman"/>
          <w:sz w:val="24"/>
          <w:szCs w:val="24"/>
        </w:rPr>
        <w:t>Earlier, under Ptolemy IV, the native Egyptians were enlisted to aid in the battle at Raphia</w:t>
      </w:r>
      <w:r w:rsidR="00C75A6A">
        <w:rPr>
          <w:rFonts w:ascii="Times New Roman" w:hAnsi="Times New Roman" w:cs="Times New Roman"/>
          <w:sz w:val="24"/>
          <w:szCs w:val="24"/>
        </w:rPr>
        <w:t>, though this had the unintended side effect of boosting their ‘self-esteem’.</w:t>
      </w:r>
      <w:r w:rsidR="00C75A6A">
        <w:rPr>
          <w:rStyle w:val="FootnoteReference"/>
          <w:rFonts w:ascii="Times New Roman" w:hAnsi="Times New Roman" w:cs="Times New Roman"/>
          <w:sz w:val="24"/>
          <w:szCs w:val="24"/>
        </w:rPr>
        <w:footnoteReference w:id="29"/>
      </w:r>
      <w:r w:rsidR="00C75A6A">
        <w:rPr>
          <w:rFonts w:ascii="Times New Roman" w:hAnsi="Times New Roman" w:cs="Times New Roman"/>
          <w:sz w:val="24"/>
          <w:szCs w:val="24"/>
        </w:rPr>
        <w:t xml:space="preserve"> They realised that the supposed </w:t>
      </w:r>
      <w:r w:rsidR="00C75A6A">
        <w:rPr>
          <w:rFonts w:ascii="Times New Roman" w:hAnsi="Times New Roman" w:cs="Times New Roman"/>
          <w:sz w:val="24"/>
          <w:szCs w:val="24"/>
        </w:rPr>
        <w:lastRenderedPageBreak/>
        <w:t>force-based advantage of the Graeco-Macedonians that had prevented them from resisting their rule previously was not because they were “intrinsically superior to them in warfare”, but that they had “[better] tactics and sophisticated weaponry”.</w:t>
      </w:r>
      <w:r w:rsidR="00C75A6A">
        <w:rPr>
          <w:rStyle w:val="FootnoteReference"/>
          <w:rFonts w:ascii="Times New Roman" w:hAnsi="Times New Roman" w:cs="Times New Roman"/>
          <w:sz w:val="24"/>
          <w:szCs w:val="24"/>
        </w:rPr>
        <w:footnoteReference w:id="30"/>
      </w:r>
      <w:r w:rsidR="00C75A6A">
        <w:rPr>
          <w:rFonts w:ascii="Times New Roman" w:hAnsi="Times New Roman" w:cs="Times New Roman"/>
          <w:sz w:val="24"/>
          <w:szCs w:val="24"/>
        </w:rPr>
        <w:t xml:space="preserve"> This shift in attitude likely encouraged the negative impression towards and desire to resist against the new </w:t>
      </w:r>
      <w:r w:rsidR="00BC1919">
        <w:rPr>
          <w:rFonts w:ascii="Times New Roman" w:hAnsi="Times New Roman" w:cs="Times New Roman"/>
          <w:sz w:val="24"/>
          <w:szCs w:val="24"/>
        </w:rPr>
        <w:t>rulers that</w:t>
      </w:r>
      <w:r w:rsidR="00C75A6A">
        <w:rPr>
          <w:rFonts w:ascii="Times New Roman" w:hAnsi="Times New Roman" w:cs="Times New Roman"/>
          <w:sz w:val="24"/>
          <w:szCs w:val="24"/>
        </w:rPr>
        <w:t xml:space="preserve"> I described above, that resulted in this peak of tension under Ptolemy VIII. </w:t>
      </w:r>
    </w:p>
    <w:p w14:paraId="7A239813" w14:textId="5C0E3921" w:rsidR="0049443D" w:rsidRDefault="0049443D" w:rsidP="001F7514">
      <w:pPr>
        <w:spacing w:line="480" w:lineRule="auto"/>
        <w:rPr>
          <w:rFonts w:ascii="Times New Roman" w:hAnsi="Times New Roman" w:cs="Times New Roman"/>
          <w:sz w:val="24"/>
          <w:szCs w:val="24"/>
        </w:rPr>
      </w:pPr>
      <w:r>
        <w:rPr>
          <w:rFonts w:ascii="Times New Roman" w:hAnsi="Times New Roman" w:cs="Times New Roman"/>
          <w:sz w:val="24"/>
          <w:szCs w:val="24"/>
        </w:rPr>
        <w:t>The fallout of these tensions was that the native Egyptians act</w:t>
      </w:r>
      <w:r w:rsidR="00765482">
        <w:rPr>
          <w:rFonts w:ascii="Times New Roman" w:hAnsi="Times New Roman" w:cs="Times New Roman"/>
          <w:sz w:val="24"/>
          <w:szCs w:val="24"/>
        </w:rPr>
        <w:t>ed upon their desire to resist, resulting in a large civil war that saw the “breakaway of Upper Egypt” that was governed by “pharaohs of Nubian origin”.</w:t>
      </w:r>
      <w:r w:rsidR="00765482">
        <w:rPr>
          <w:rStyle w:val="FootnoteReference"/>
          <w:rFonts w:ascii="Times New Roman" w:hAnsi="Times New Roman" w:cs="Times New Roman"/>
          <w:sz w:val="24"/>
          <w:szCs w:val="24"/>
        </w:rPr>
        <w:footnoteReference w:id="31"/>
      </w:r>
      <w:r w:rsidR="00765482">
        <w:rPr>
          <w:rFonts w:ascii="Times New Roman" w:hAnsi="Times New Roman" w:cs="Times New Roman"/>
          <w:sz w:val="24"/>
          <w:szCs w:val="24"/>
        </w:rPr>
        <w:t xml:space="preserve"> </w:t>
      </w:r>
      <w:r w:rsidR="00B60004">
        <w:rPr>
          <w:rFonts w:ascii="Times New Roman" w:hAnsi="Times New Roman" w:cs="Times New Roman"/>
          <w:sz w:val="24"/>
          <w:szCs w:val="24"/>
        </w:rPr>
        <w:t>As well as incorporating native Egyptian elites into the hierarchy of the Ptolemaic court as a solution of reducing racial tensions, Greeks of middle and lower social strata Alexandria were encourage to assimilate and intermarry with the Egyptians</w:t>
      </w:r>
      <w:r w:rsidR="00B60004">
        <w:rPr>
          <w:rStyle w:val="FootnoteReference"/>
          <w:rFonts w:ascii="Times New Roman" w:hAnsi="Times New Roman" w:cs="Times New Roman"/>
          <w:sz w:val="24"/>
          <w:szCs w:val="24"/>
        </w:rPr>
        <w:footnoteReference w:id="32"/>
      </w:r>
      <w:r w:rsidR="00B60004">
        <w:rPr>
          <w:rFonts w:ascii="Times New Roman" w:hAnsi="Times New Roman" w:cs="Times New Roman"/>
          <w:sz w:val="24"/>
          <w:szCs w:val="24"/>
        </w:rPr>
        <w:t xml:space="preserve">, helping to blur the boundaries and </w:t>
      </w:r>
      <w:r w:rsidR="0069392A">
        <w:rPr>
          <w:rFonts w:ascii="Times New Roman" w:hAnsi="Times New Roman" w:cs="Times New Roman"/>
          <w:sz w:val="24"/>
          <w:szCs w:val="24"/>
        </w:rPr>
        <w:t xml:space="preserve">encourage cohesions between the two groups of people. </w:t>
      </w:r>
      <w:r w:rsidR="00D62188">
        <w:rPr>
          <w:rFonts w:ascii="Times New Roman" w:hAnsi="Times New Roman" w:cs="Times New Roman"/>
          <w:sz w:val="24"/>
          <w:szCs w:val="24"/>
        </w:rPr>
        <w:t>Friction following this assimilation was “all political in nature, and no longer the result of racial friction”</w:t>
      </w:r>
      <w:r w:rsidR="00D62188">
        <w:rPr>
          <w:rStyle w:val="FootnoteReference"/>
          <w:rFonts w:ascii="Times New Roman" w:hAnsi="Times New Roman" w:cs="Times New Roman"/>
          <w:sz w:val="24"/>
          <w:szCs w:val="24"/>
        </w:rPr>
        <w:footnoteReference w:id="33"/>
      </w:r>
      <w:r w:rsidR="00D62188">
        <w:rPr>
          <w:rFonts w:ascii="Times New Roman" w:hAnsi="Times New Roman" w:cs="Times New Roman"/>
          <w:sz w:val="24"/>
          <w:szCs w:val="24"/>
        </w:rPr>
        <w:t xml:space="preserve">, a point which Fischer-Bovet argues. </w:t>
      </w:r>
    </w:p>
    <w:p w14:paraId="4453971F" w14:textId="77777777" w:rsidR="00F8735A" w:rsidRDefault="00F54263" w:rsidP="001F7514">
      <w:pPr>
        <w:spacing w:line="480" w:lineRule="auto"/>
        <w:rPr>
          <w:rFonts w:ascii="Times New Roman" w:hAnsi="Times New Roman" w:cs="Times New Roman"/>
          <w:sz w:val="24"/>
          <w:szCs w:val="24"/>
        </w:rPr>
      </w:pPr>
      <w:r>
        <w:rPr>
          <w:rFonts w:ascii="Times New Roman" w:hAnsi="Times New Roman" w:cs="Times New Roman"/>
          <w:sz w:val="24"/>
          <w:szCs w:val="24"/>
        </w:rPr>
        <w:t>Fischer-Bovet puts forward that greater emphasis on socio-economic factors should be made by scholars when looking at why the incoming Graeco-Macedonian ruling class would incorporate local elites into their court system</w:t>
      </w:r>
      <w:r w:rsidR="003B62BA">
        <w:rPr>
          <w:rFonts w:ascii="Times New Roman" w:hAnsi="Times New Roman" w:cs="Times New Roman"/>
          <w:sz w:val="24"/>
          <w:szCs w:val="24"/>
        </w:rPr>
        <w:t>. By forming positive relations between rulers and local elites, who both shared similar socio-economic aspirations, they could enter into a situation that was mutually beneficial.</w:t>
      </w:r>
      <w:r w:rsidR="003B62BA">
        <w:rPr>
          <w:rStyle w:val="FootnoteReference"/>
          <w:rFonts w:ascii="Times New Roman" w:hAnsi="Times New Roman" w:cs="Times New Roman"/>
          <w:sz w:val="24"/>
          <w:szCs w:val="24"/>
        </w:rPr>
        <w:footnoteReference w:id="34"/>
      </w:r>
      <w:r w:rsidR="003B62BA">
        <w:rPr>
          <w:rFonts w:ascii="Times New Roman" w:hAnsi="Times New Roman" w:cs="Times New Roman"/>
          <w:sz w:val="24"/>
          <w:szCs w:val="24"/>
        </w:rPr>
        <w:t xml:space="preserve"> This is a point that is strikingly similar to the discussion above, about the reciprocal relationship in the earlier exclusive Hellenistic courts betw</w:t>
      </w:r>
      <w:r w:rsidR="00242CE2">
        <w:rPr>
          <w:rFonts w:ascii="Times New Roman" w:hAnsi="Times New Roman" w:cs="Times New Roman"/>
          <w:sz w:val="24"/>
          <w:szCs w:val="24"/>
        </w:rPr>
        <w:t xml:space="preserve">een the king and his courtiers. The local elites would </w:t>
      </w:r>
      <w:r w:rsidR="00F8735A">
        <w:rPr>
          <w:rFonts w:ascii="Times New Roman" w:hAnsi="Times New Roman" w:cs="Times New Roman"/>
          <w:sz w:val="24"/>
          <w:szCs w:val="24"/>
        </w:rPr>
        <w:t xml:space="preserve">be able to increase their status, and </w:t>
      </w:r>
      <w:r w:rsidR="00F8735A">
        <w:rPr>
          <w:rFonts w:ascii="Times New Roman" w:hAnsi="Times New Roman" w:cs="Times New Roman"/>
          <w:sz w:val="24"/>
          <w:szCs w:val="24"/>
        </w:rPr>
        <w:lastRenderedPageBreak/>
        <w:t xml:space="preserve">the king would create cross-cultural and cross-ethnic connections in areas of the territory that had not yet been as touched by his influence. </w:t>
      </w:r>
    </w:p>
    <w:p w14:paraId="13DC1ACB" w14:textId="3B16BFAE" w:rsidR="00F54263" w:rsidRDefault="00F8735A"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What this gain in status meant in actuality for the native Egyptian elites is questionable, however, when you consider evidence such as the statues of some of these ‘kinsmen’ in temples around the </w:t>
      </w:r>
      <w:r>
        <w:rPr>
          <w:rFonts w:ascii="Times New Roman" w:hAnsi="Times New Roman" w:cs="Times New Roman"/>
          <w:i/>
          <w:sz w:val="24"/>
          <w:szCs w:val="24"/>
        </w:rPr>
        <w:t>chora</w:t>
      </w:r>
      <w:r>
        <w:rPr>
          <w:rFonts w:ascii="Times New Roman" w:hAnsi="Times New Roman" w:cs="Times New Roman"/>
          <w:sz w:val="24"/>
          <w:szCs w:val="24"/>
        </w:rPr>
        <w:t xml:space="preserve">. </w:t>
      </w:r>
      <w:r w:rsidR="00C170D1">
        <w:rPr>
          <w:rFonts w:ascii="Times New Roman" w:hAnsi="Times New Roman" w:cs="Times New Roman"/>
          <w:sz w:val="24"/>
          <w:szCs w:val="24"/>
        </w:rPr>
        <w:t xml:space="preserve">These statues were of local Egyptian elites who had ascended to one of the highest positions in the Hellenistic court, and depicted them wearing </w:t>
      </w:r>
      <w:r w:rsidR="00C170D1" w:rsidRPr="00C170D1">
        <w:rPr>
          <w:rFonts w:ascii="Times New Roman" w:hAnsi="Times New Roman" w:cs="Times New Roman"/>
          <w:i/>
          <w:sz w:val="24"/>
          <w:szCs w:val="24"/>
        </w:rPr>
        <w:t>mitra</w:t>
      </w:r>
      <w:r w:rsidR="00C170D1">
        <w:rPr>
          <w:rFonts w:ascii="Times New Roman" w:hAnsi="Times New Roman" w:cs="Times New Roman"/>
          <w:sz w:val="24"/>
          <w:szCs w:val="24"/>
        </w:rPr>
        <w:t>, which was similar to the diadem worn by the king.</w:t>
      </w:r>
      <w:r w:rsidR="00C170D1">
        <w:rPr>
          <w:rStyle w:val="FootnoteReference"/>
          <w:rFonts w:ascii="Times New Roman" w:hAnsi="Times New Roman" w:cs="Times New Roman"/>
          <w:sz w:val="24"/>
          <w:szCs w:val="24"/>
        </w:rPr>
        <w:footnoteReference w:id="35"/>
      </w:r>
      <w:r w:rsidR="00C170D1">
        <w:rPr>
          <w:rFonts w:ascii="Times New Roman" w:hAnsi="Times New Roman" w:cs="Times New Roman"/>
          <w:sz w:val="24"/>
          <w:szCs w:val="24"/>
        </w:rPr>
        <w:t xml:space="preserve"> There was also inscriptions in demotic or hieroglyphs that denoted them as ‘kinsmen’. </w:t>
      </w:r>
      <w:r w:rsidR="00717A46">
        <w:rPr>
          <w:rFonts w:ascii="Times New Roman" w:hAnsi="Times New Roman" w:cs="Times New Roman"/>
          <w:sz w:val="24"/>
          <w:szCs w:val="24"/>
        </w:rPr>
        <w:t xml:space="preserve">Would a lower-status person, who made up the majority of the population in the </w:t>
      </w:r>
      <w:r w:rsidR="00717A46">
        <w:rPr>
          <w:rFonts w:ascii="Times New Roman" w:hAnsi="Times New Roman" w:cs="Times New Roman"/>
          <w:i/>
          <w:sz w:val="24"/>
          <w:szCs w:val="24"/>
        </w:rPr>
        <w:t>chora</w:t>
      </w:r>
      <w:r w:rsidR="00717A46">
        <w:rPr>
          <w:rFonts w:ascii="Times New Roman" w:hAnsi="Times New Roman" w:cs="Times New Roman"/>
          <w:sz w:val="24"/>
          <w:szCs w:val="24"/>
        </w:rPr>
        <w:t xml:space="preserve"> have recognised the </w:t>
      </w:r>
      <w:r w:rsidR="00717A46">
        <w:rPr>
          <w:rFonts w:ascii="Times New Roman" w:hAnsi="Times New Roman" w:cs="Times New Roman"/>
          <w:i/>
          <w:sz w:val="24"/>
          <w:szCs w:val="24"/>
        </w:rPr>
        <w:t>mitra</w:t>
      </w:r>
      <w:r w:rsidR="00717A46">
        <w:rPr>
          <w:rFonts w:ascii="Times New Roman" w:hAnsi="Times New Roman" w:cs="Times New Roman"/>
          <w:sz w:val="24"/>
          <w:szCs w:val="24"/>
        </w:rPr>
        <w:t xml:space="preserve">, if they did not live in the city and witness </w:t>
      </w:r>
      <w:r w:rsidR="003F0395">
        <w:rPr>
          <w:rFonts w:ascii="Times New Roman" w:hAnsi="Times New Roman" w:cs="Times New Roman"/>
          <w:sz w:val="24"/>
          <w:szCs w:val="24"/>
        </w:rPr>
        <w:t>the parallel with the clothing of the king</w:t>
      </w:r>
      <w:r w:rsidR="004625FC">
        <w:rPr>
          <w:rFonts w:ascii="Times New Roman" w:hAnsi="Times New Roman" w:cs="Times New Roman"/>
          <w:sz w:val="24"/>
          <w:szCs w:val="24"/>
        </w:rPr>
        <w:t xml:space="preserve"> for themselves</w:t>
      </w:r>
      <w:r w:rsidR="003F0395">
        <w:rPr>
          <w:rFonts w:ascii="Times New Roman" w:hAnsi="Times New Roman" w:cs="Times New Roman"/>
          <w:sz w:val="24"/>
          <w:szCs w:val="24"/>
        </w:rPr>
        <w:t xml:space="preserve">? How many who saw the statues would be able to read the inscriptions and the information they contained about the subject’s privileged position within the court? </w:t>
      </w:r>
      <w:r w:rsidR="009761F4">
        <w:rPr>
          <w:rFonts w:ascii="Times New Roman" w:hAnsi="Times New Roman" w:cs="Times New Roman"/>
          <w:sz w:val="24"/>
          <w:szCs w:val="24"/>
        </w:rPr>
        <w:t>The audience</w:t>
      </w:r>
      <w:r w:rsidR="004625FC">
        <w:rPr>
          <w:rFonts w:ascii="Times New Roman" w:hAnsi="Times New Roman" w:cs="Times New Roman"/>
          <w:sz w:val="24"/>
          <w:szCs w:val="24"/>
        </w:rPr>
        <w:t xml:space="preserve"> that could have fully appreciated this status symbol and what it meant was seemingly fairly limited. </w:t>
      </w:r>
    </w:p>
    <w:p w14:paraId="44A5CA1C" w14:textId="77777777" w:rsidR="0049443D" w:rsidRDefault="0049443D" w:rsidP="001F7514">
      <w:pPr>
        <w:spacing w:line="480" w:lineRule="auto"/>
        <w:rPr>
          <w:rFonts w:ascii="Times New Roman" w:hAnsi="Times New Roman" w:cs="Times New Roman"/>
          <w:sz w:val="24"/>
          <w:szCs w:val="24"/>
        </w:rPr>
      </w:pPr>
    </w:p>
    <w:p w14:paraId="09BDAB30" w14:textId="2D6DEC23" w:rsidR="00D62188" w:rsidRDefault="00795635"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The typical Hellenistic </w:t>
      </w:r>
      <w:r w:rsidR="00E14E65">
        <w:rPr>
          <w:rFonts w:ascii="Times New Roman" w:hAnsi="Times New Roman" w:cs="Times New Roman"/>
          <w:sz w:val="24"/>
          <w:szCs w:val="24"/>
        </w:rPr>
        <w:t>court, which consisted of the king and his courtiers of Graeco-Macedonian origins,</w:t>
      </w:r>
      <w:r>
        <w:rPr>
          <w:rFonts w:ascii="Times New Roman" w:hAnsi="Times New Roman" w:cs="Times New Roman"/>
          <w:sz w:val="24"/>
          <w:szCs w:val="24"/>
        </w:rPr>
        <w:t xml:space="preserve"> was not a model that accurately describes the Ptolemaic court in the third to first centuries BC. </w:t>
      </w:r>
      <w:r w:rsidR="00E14E65">
        <w:rPr>
          <w:rFonts w:ascii="Times New Roman" w:hAnsi="Times New Roman" w:cs="Times New Roman"/>
          <w:sz w:val="24"/>
          <w:szCs w:val="24"/>
        </w:rPr>
        <w:t xml:space="preserve">While in the earlier portion of this time frame it may be true that admittance and incorporation into the ranks of the court hierarchy was limited to the Graeco-Macedonian elite that arrived to rule the area following the death of Alexander the Great, by the second century BC it became necessary to include native Egyptian elites into the system. </w:t>
      </w:r>
      <w:r w:rsidR="00B12B6A">
        <w:rPr>
          <w:rFonts w:ascii="Times New Roman" w:hAnsi="Times New Roman" w:cs="Times New Roman"/>
          <w:sz w:val="24"/>
          <w:szCs w:val="24"/>
        </w:rPr>
        <w:t xml:space="preserve">Ptolemaic rule was under threat </w:t>
      </w:r>
      <w:r w:rsidR="001F37D8">
        <w:rPr>
          <w:rFonts w:ascii="Times New Roman" w:hAnsi="Times New Roman" w:cs="Times New Roman"/>
          <w:sz w:val="24"/>
          <w:szCs w:val="24"/>
        </w:rPr>
        <w:t xml:space="preserve">and through these new relationships between king and native, </w:t>
      </w:r>
      <w:r w:rsidR="003869AC">
        <w:rPr>
          <w:rFonts w:ascii="Times New Roman" w:hAnsi="Times New Roman" w:cs="Times New Roman"/>
          <w:sz w:val="24"/>
          <w:szCs w:val="24"/>
        </w:rPr>
        <w:t xml:space="preserve">a system of mediation could be </w:t>
      </w:r>
      <w:r w:rsidR="003D71CD">
        <w:rPr>
          <w:rFonts w:ascii="Times New Roman" w:hAnsi="Times New Roman" w:cs="Times New Roman"/>
          <w:sz w:val="24"/>
          <w:szCs w:val="24"/>
        </w:rPr>
        <w:t xml:space="preserve">achieved that helped </w:t>
      </w:r>
      <w:r w:rsidR="00535767">
        <w:rPr>
          <w:rFonts w:ascii="Times New Roman" w:hAnsi="Times New Roman" w:cs="Times New Roman"/>
          <w:sz w:val="24"/>
          <w:szCs w:val="24"/>
        </w:rPr>
        <w:t xml:space="preserve">to create links between the local peoples </w:t>
      </w:r>
      <w:r w:rsidR="00535767">
        <w:rPr>
          <w:rFonts w:ascii="Times New Roman" w:hAnsi="Times New Roman" w:cs="Times New Roman"/>
          <w:sz w:val="24"/>
          <w:szCs w:val="24"/>
        </w:rPr>
        <w:lastRenderedPageBreak/>
        <w:t xml:space="preserve">in the </w:t>
      </w:r>
      <w:r w:rsidR="00535767">
        <w:rPr>
          <w:rFonts w:ascii="Times New Roman" w:hAnsi="Times New Roman" w:cs="Times New Roman"/>
          <w:i/>
          <w:sz w:val="24"/>
          <w:szCs w:val="24"/>
        </w:rPr>
        <w:t>chora</w:t>
      </w:r>
      <w:r w:rsidR="00535767">
        <w:rPr>
          <w:rFonts w:ascii="Times New Roman" w:hAnsi="Times New Roman" w:cs="Times New Roman"/>
          <w:sz w:val="24"/>
          <w:szCs w:val="24"/>
        </w:rPr>
        <w:t xml:space="preserve"> and the central authority. </w:t>
      </w:r>
      <w:r w:rsidR="00D62188">
        <w:rPr>
          <w:rFonts w:ascii="Times New Roman" w:hAnsi="Times New Roman" w:cs="Times New Roman"/>
          <w:sz w:val="24"/>
          <w:szCs w:val="24"/>
        </w:rPr>
        <w:t xml:space="preserve">There was also assimilation between those of lower strata following the ‘civil war’ </w:t>
      </w:r>
      <w:r w:rsidR="00CE3777">
        <w:rPr>
          <w:rFonts w:ascii="Times New Roman" w:hAnsi="Times New Roman" w:cs="Times New Roman"/>
          <w:sz w:val="24"/>
          <w:szCs w:val="24"/>
        </w:rPr>
        <w:t xml:space="preserve">which split Egypt, and racial tensions died down. </w:t>
      </w:r>
    </w:p>
    <w:p w14:paraId="0FFC018A" w14:textId="62AFCBB9" w:rsidR="002968B0" w:rsidRDefault="00CE3777"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Greek culture was still the most dominant force, but the events of the second century BC especially </w:t>
      </w:r>
      <w:r w:rsidR="009F64BF">
        <w:rPr>
          <w:rFonts w:ascii="Times New Roman" w:hAnsi="Times New Roman" w:cs="Times New Roman"/>
          <w:sz w:val="24"/>
          <w:szCs w:val="24"/>
        </w:rPr>
        <w:t>meant that being Greek was no longer the only way to achieve</w:t>
      </w:r>
      <w:r w:rsidR="00176E41">
        <w:rPr>
          <w:rFonts w:ascii="Times New Roman" w:hAnsi="Times New Roman" w:cs="Times New Roman"/>
          <w:sz w:val="24"/>
          <w:szCs w:val="24"/>
        </w:rPr>
        <w:t xml:space="preserve"> power.</w:t>
      </w:r>
      <w:r w:rsidR="00176E41">
        <w:rPr>
          <w:rStyle w:val="FootnoteReference"/>
          <w:rFonts w:ascii="Times New Roman" w:hAnsi="Times New Roman" w:cs="Times New Roman"/>
          <w:sz w:val="24"/>
          <w:szCs w:val="24"/>
        </w:rPr>
        <w:footnoteReference w:id="36"/>
      </w:r>
      <w:r w:rsidR="00176E41">
        <w:rPr>
          <w:rFonts w:ascii="Times New Roman" w:hAnsi="Times New Roman" w:cs="Times New Roman"/>
          <w:sz w:val="24"/>
          <w:szCs w:val="24"/>
        </w:rPr>
        <w:t xml:space="preserve"> The result was a “middle class consisting of a mixed race of Egyptian-Greeks” with a desire to maintain the Ptolemaic rule and thus their positions, wealth, and status.</w:t>
      </w:r>
      <w:r w:rsidR="00176E41">
        <w:rPr>
          <w:rStyle w:val="FootnoteReference"/>
          <w:rFonts w:ascii="Times New Roman" w:hAnsi="Times New Roman" w:cs="Times New Roman"/>
          <w:sz w:val="24"/>
          <w:szCs w:val="24"/>
        </w:rPr>
        <w:footnoteReference w:id="37"/>
      </w:r>
    </w:p>
    <w:p w14:paraId="0D276F6C" w14:textId="77777777" w:rsidR="002968B0" w:rsidRDefault="002968B0">
      <w:pPr>
        <w:rPr>
          <w:rFonts w:ascii="Times New Roman" w:hAnsi="Times New Roman" w:cs="Times New Roman"/>
          <w:sz w:val="24"/>
          <w:szCs w:val="24"/>
        </w:rPr>
      </w:pPr>
      <w:r>
        <w:rPr>
          <w:rFonts w:ascii="Times New Roman" w:hAnsi="Times New Roman" w:cs="Times New Roman"/>
          <w:sz w:val="24"/>
          <w:szCs w:val="24"/>
        </w:rPr>
        <w:br w:type="page"/>
      </w:r>
    </w:p>
    <w:p w14:paraId="68781AFA" w14:textId="2C36F06F" w:rsidR="00176E41" w:rsidRDefault="002968B0" w:rsidP="001F7514">
      <w:pPr>
        <w:spacing w:line="480" w:lineRule="auto"/>
        <w:rPr>
          <w:rFonts w:ascii="Times New Roman" w:hAnsi="Times New Roman" w:cs="Times New Roman"/>
          <w:sz w:val="24"/>
          <w:szCs w:val="24"/>
        </w:rPr>
      </w:pPr>
      <w:r>
        <w:rPr>
          <w:rFonts w:ascii="Times New Roman" w:hAnsi="Times New Roman" w:cs="Times New Roman"/>
          <w:sz w:val="24"/>
          <w:szCs w:val="24"/>
          <w:u w:val="single"/>
        </w:rPr>
        <w:lastRenderedPageBreak/>
        <w:t>Bibliography</w:t>
      </w:r>
    </w:p>
    <w:p w14:paraId="73C45245" w14:textId="77777777" w:rsidR="007950C3" w:rsidRPr="009D7027" w:rsidRDefault="007950C3" w:rsidP="001F7514">
      <w:pPr>
        <w:spacing w:line="480" w:lineRule="auto"/>
        <w:rPr>
          <w:rFonts w:ascii="Times New Roman" w:hAnsi="Times New Roman" w:cs="Times New Roman"/>
          <w:sz w:val="24"/>
          <w:szCs w:val="24"/>
        </w:rPr>
      </w:pPr>
    </w:p>
    <w:p w14:paraId="4D9517D4" w14:textId="77777777" w:rsidR="007950C3" w:rsidRDefault="007950C3"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Adler, J. (2005) ‘Governance in Ptolemaic Egypt: From Raphia to Cleopatra VII (217-31 B.C.), Class-Based ‘Colonialism’?’, </w:t>
      </w:r>
      <w:r>
        <w:rPr>
          <w:rFonts w:ascii="Times New Roman" w:hAnsi="Times New Roman" w:cs="Times New Roman"/>
          <w:i/>
          <w:sz w:val="24"/>
          <w:szCs w:val="24"/>
        </w:rPr>
        <w:t>Akroterion</w:t>
      </w:r>
      <w:r>
        <w:rPr>
          <w:rFonts w:ascii="Times New Roman" w:hAnsi="Times New Roman" w:cs="Times New Roman"/>
          <w:sz w:val="24"/>
          <w:szCs w:val="24"/>
        </w:rPr>
        <w:t>, 50, pp. 27-38.</w:t>
      </w:r>
    </w:p>
    <w:p w14:paraId="6BBFF61B" w14:textId="77777777" w:rsidR="007950C3" w:rsidRDefault="007950C3"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Fischer-Bovet, C. (2015) ‘Social Unrest and Ethnic Coexistence in Ptolemaic Egypt and the Seleucid Empire’, </w:t>
      </w:r>
      <w:r>
        <w:rPr>
          <w:rFonts w:ascii="Times New Roman" w:hAnsi="Times New Roman" w:cs="Times New Roman"/>
          <w:i/>
          <w:sz w:val="24"/>
          <w:szCs w:val="24"/>
        </w:rPr>
        <w:t>Past and Present</w:t>
      </w:r>
      <w:r>
        <w:rPr>
          <w:rFonts w:ascii="Times New Roman" w:hAnsi="Times New Roman" w:cs="Times New Roman"/>
          <w:sz w:val="24"/>
          <w:szCs w:val="24"/>
        </w:rPr>
        <w:t>, 229, pp. 3-45.</w:t>
      </w:r>
    </w:p>
    <w:p w14:paraId="3E515EB2" w14:textId="77777777" w:rsidR="007950C3" w:rsidRDefault="007950C3"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Herman, G. (1997) ‘The Court Society of the Hellenistic Age’, in Cartledge, P., Garnsey, P., Gruen, E. (ed.) </w:t>
      </w:r>
      <w:r>
        <w:rPr>
          <w:rFonts w:ascii="Times New Roman" w:hAnsi="Times New Roman" w:cs="Times New Roman"/>
          <w:i/>
          <w:sz w:val="24"/>
          <w:szCs w:val="24"/>
        </w:rPr>
        <w:t>Hellenistic Constructs</w:t>
      </w:r>
      <w:r>
        <w:rPr>
          <w:rFonts w:ascii="Times New Roman" w:hAnsi="Times New Roman" w:cs="Times New Roman"/>
          <w:sz w:val="24"/>
          <w:szCs w:val="24"/>
        </w:rPr>
        <w:t xml:space="preserve">. Berkeley and Los Angeles: University of California Press. </w:t>
      </w:r>
    </w:p>
    <w:p w14:paraId="52AABA4A" w14:textId="77777777" w:rsidR="007950C3" w:rsidRDefault="007950C3" w:rsidP="001F7514">
      <w:pPr>
        <w:spacing w:line="480" w:lineRule="auto"/>
        <w:rPr>
          <w:rFonts w:ascii="Times New Roman" w:hAnsi="Times New Roman" w:cs="Times New Roman"/>
          <w:sz w:val="24"/>
          <w:szCs w:val="24"/>
        </w:rPr>
      </w:pPr>
      <w:r>
        <w:rPr>
          <w:rFonts w:ascii="Times New Roman" w:hAnsi="Times New Roman" w:cs="Times New Roman"/>
          <w:sz w:val="24"/>
          <w:szCs w:val="24"/>
        </w:rPr>
        <w:t xml:space="preserve">Moyer, I. S. (2011) ‘Court, “Chora”, and Culture in Late Ptolemaic Egypt’, </w:t>
      </w:r>
      <w:r>
        <w:rPr>
          <w:rFonts w:ascii="Times New Roman" w:hAnsi="Times New Roman" w:cs="Times New Roman"/>
          <w:i/>
          <w:sz w:val="24"/>
          <w:szCs w:val="24"/>
        </w:rPr>
        <w:t>The American Journal of Philology</w:t>
      </w:r>
      <w:r>
        <w:rPr>
          <w:rFonts w:ascii="Times New Roman" w:hAnsi="Times New Roman" w:cs="Times New Roman"/>
          <w:sz w:val="24"/>
          <w:szCs w:val="24"/>
        </w:rPr>
        <w:t>, 132(1), pp. 15-44.</w:t>
      </w:r>
      <w:bookmarkStart w:id="0" w:name="_GoBack"/>
      <w:bookmarkEnd w:id="0"/>
    </w:p>
    <w:sectPr w:rsidR="007950C3">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46DFC9E" w14:textId="77777777" w:rsidR="007A5F90" w:rsidRDefault="007A5F90" w:rsidP="007909D3">
      <w:pPr>
        <w:spacing w:after="0" w:line="240" w:lineRule="auto"/>
      </w:pPr>
      <w:r>
        <w:separator/>
      </w:r>
    </w:p>
  </w:endnote>
  <w:endnote w:type="continuationSeparator" w:id="0">
    <w:p w14:paraId="553BF7CA" w14:textId="77777777" w:rsidR="007A5F90" w:rsidRDefault="007A5F90" w:rsidP="007909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6878205"/>
      <w:docPartObj>
        <w:docPartGallery w:val="Page Numbers (Bottom of Page)"/>
        <w:docPartUnique/>
      </w:docPartObj>
    </w:sdtPr>
    <w:sdtEndPr>
      <w:rPr>
        <w:noProof/>
      </w:rPr>
    </w:sdtEndPr>
    <w:sdtContent>
      <w:p w14:paraId="33D1C572" w14:textId="2301671B" w:rsidR="007909D3" w:rsidRDefault="007909D3">
        <w:pPr>
          <w:pStyle w:val="Footer"/>
          <w:jc w:val="center"/>
        </w:pPr>
        <w:r>
          <w:fldChar w:fldCharType="begin"/>
        </w:r>
        <w:r>
          <w:instrText xml:space="preserve"> PAGE   \* MERGEFORMAT </w:instrText>
        </w:r>
        <w:r>
          <w:fldChar w:fldCharType="separate"/>
        </w:r>
        <w:r w:rsidR="007950C3">
          <w:rPr>
            <w:noProof/>
          </w:rPr>
          <w:t>1</w:t>
        </w:r>
        <w:r>
          <w:rPr>
            <w:noProof/>
          </w:rPr>
          <w:fldChar w:fldCharType="end"/>
        </w:r>
      </w:p>
    </w:sdtContent>
  </w:sdt>
  <w:p w14:paraId="11906D39" w14:textId="77777777" w:rsidR="007909D3" w:rsidRDefault="007909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247D6BB" w14:textId="77777777" w:rsidR="007A5F90" w:rsidRDefault="007A5F90" w:rsidP="007909D3">
      <w:pPr>
        <w:spacing w:after="0" w:line="240" w:lineRule="auto"/>
      </w:pPr>
      <w:r>
        <w:separator/>
      </w:r>
    </w:p>
  </w:footnote>
  <w:footnote w:type="continuationSeparator" w:id="0">
    <w:p w14:paraId="79F24A89" w14:textId="77777777" w:rsidR="007A5F90" w:rsidRDefault="007A5F90" w:rsidP="007909D3">
      <w:pPr>
        <w:spacing w:after="0" w:line="240" w:lineRule="auto"/>
      </w:pPr>
      <w:r>
        <w:continuationSeparator/>
      </w:r>
    </w:p>
  </w:footnote>
  <w:footnote w:id="1">
    <w:p w14:paraId="0E0DF172" w14:textId="77777777" w:rsidR="001F7514" w:rsidRPr="002968B0" w:rsidRDefault="001F7514">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16</w:t>
      </w:r>
    </w:p>
  </w:footnote>
  <w:footnote w:id="2">
    <w:p w14:paraId="47F45AE9" w14:textId="77777777" w:rsidR="001F7514" w:rsidRPr="002968B0" w:rsidRDefault="001F7514">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16</w:t>
      </w:r>
    </w:p>
  </w:footnote>
  <w:footnote w:id="3">
    <w:p w14:paraId="06752B9B" w14:textId="7150F0F7" w:rsidR="00306A9A" w:rsidRPr="002968B0" w:rsidRDefault="00306A9A">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28</w:t>
      </w:r>
    </w:p>
  </w:footnote>
  <w:footnote w:id="4">
    <w:p w14:paraId="48C4B53C" w14:textId="2E259840" w:rsidR="00287A58" w:rsidRPr="002968B0" w:rsidRDefault="00287A58">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Fischer-Bovet 2015: 3</w:t>
      </w:r>
    </w:p>
  </w:footnote>
  <w:footnote w:id="5">
    <w:p w14:paraId="045074D7" w14:textId="77777777" w:rsidR="00A40F4E" w:rsidRPr="002968B0" w:rsidRDefault="00A40F4E">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17</w:t>
      </w:r>
    </w:p>
  </w:footnote>
  <w:footnote w:id="6">
    <w:p w14:paraId="1D9F0791" w14:textId="77777777" w:rsidR="0070418F" w:rsidRPr="002968B0" w:rsidRDefault="0070418F">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18</w:t>
      </w:r>
    </w:p>
  </w:footnote>
  <w:footnote w:id="7">
    <w:p w14:paraId="78F206A3" w14:textId="77777777" w:rsidR="00A47B69" w:rsidRPr="002968B0" w:rsidRDefault="00A47B69">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18</w:t>
      </w:r>
    </w:p>
  </w:footnote>
  <w:footnote w:id="8">
    <w:p w14:paraId="77F5878F" w14:textId="77777777" w:rsidR="009010E2" w:rsidRPr="002968B0" w:rsidRDefault="009010E2">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18</w:t>
      </w:r>
    </w:p>
  </w:footnote>
  <w:footnote w:id="9">
    <w:p w14:paraId="215E6BF7" w14:textId="77777777" w:rsidR="00A72221" w:rsidRPr="002968B0" w:rsidRDefault="00A72221">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18-19</w:t>
      </w:r>
    </w:p>
  </w:footnote>
  <w:footnote w:id="10">
    <w:p w14:paraId="01AF94E1" w14:textId="0164CC36" w:rsidR="00B14B97" w:rsidRPr="002968B0" w:rsidRDefault="00B14B97">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28-29</w:t>
      </w:r>
    </w:p>
  </w:footnote>
  <w:footnote w:id="11">
    <w:p w14:paraId="58525163" w14:textId="2B8C3030" w:rsidR="00B14B97" w:rsidRPr="002968B0" w:rsidRDefault="00B14B97">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29</w:t>
      </w:r>
    </w:p>
  </w:footnote>
  <w:footnote w:id="12">
    <w:p w14:paraId="7AB19F53" w14:textId="68B056F2" w:rsidR="00B14B97" w:rsidRPr="002968B0" w:rsidRDefault="00B14B97">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29</w:t>
      </w:r>
    </w:p>
  </w:footnote>
  <w:footnote w:id="13">
    <w:p w14:paraId="39959BBE" w14:textId="314EFD1B" w:rsidR="00140349" w:rsidRPr="002968B0" w:rsidRDefault="00140349">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w:t>
      </w:r>
      <w:r w:rsidR="006B3265" w:rsidRPr="002968B0">
        <w:rPr>
          <w:rFonts w:ascii="Times New Roman" w:hAnsi="Times New Roman" w:cs="Times New Roman"/>
        </w:rPr>
        <w:t>29-</w:t>
      </w:r>
      <w:r w:rsidRPr="002968B0">
        <w:rPr>
          <w:rFonts w:ascii="Times New Roman" w:hAnsi="Times New Roman" w:cs="Times New Roman"/>
        </w:rPr>
        <w:t xml:space="preserve">30. With the Egyptians </w:t>
      </w:r>
      <w:r w:rsidR="006B3265" w:rsidRPr="002968B0">
        <w:rPr>
          <w:rFonts w:ascii="Times New Roman" w:hAnsi="Times New Roman" w:cs="Times New Roman"/>
        </w:rPr>
        <w:t xml:space="preserve">believing that their kings were gods themselves, and that these new colonial rulers were ‘arrogant’ to try to insert themselves as kings.  </w:t>
      </w:r>
    </w:p>
  </w:footnote>
  <w:footnote w:id="14">
    <w:p w14:paraId="3E60B5AD" w14:textId="77777777" w:rsidR="009B1A66" w:rsidRPr="002968B0" w:rsidRDefault="009B1A66">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16-17</w:t>
      </w:r>
      <w:r w:rsidR="00B5200F" w:rsidRPr="002968B0">
        <w:rPr>
          <w:rFonts w:ascii="Times New Roman" w:hAnsi="Times New Roman" w:cs="Times New Roman"/>
        </w:rPr>
        <w:t>, 20</w:t>
      </w:r>
    </w:p>
  </w:footnote>
  <w:footnote w:id="15">
    <w:p w14:paraId="1F268A9C" w14:textId="77777777" w:rsidR="00F03237" w:rsidRPr="002968B0" w:rsidRDefault="00F03237">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15-16</w:t>
      </w:r>
    </w:p>
  </w:footnote>
  <w:footnote w:id="16">
    <w:p w14:paraId="24A05791" w14:textId="77777777" w:rsidR="00A11D51" w:rsidRPr="002968B0" w:rsidRDefault="00A11D51">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20</w:t>
      </w:r>
    </w:p>
  </w:footnote>
  <w:footnote w:id="17">
    <w:p w14:paraId="364C27CC" w14:textId="77777777" w:rsidR="00A11D51" w:rsidRPr="002968B0" w:rsidRDefault="00A11D51">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20</w:t>
      </w:r>
    </w:p>
  </w:footnote>
  <w:footnote w:id="18">
    <w:p w14:paraId="229F99F3" w14:textId="77777777" w:rsidR="000C6EE2" w:rsidRPr="002968B0" w:rsidRDefault="000C6EE2">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20</w:t>
      </w:r>
    </w:p>
  </w:footnote>
  <w:footnote w:id="19">
    <w:p w14:paraId="5FE1B4C6" w14:textId="77777777" w:rsidR="00E20483" w:rsidRPr="002968B0" w:rsidRDefault="00E20483">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21</w:t>
      </w:r>
    </w:p>
  </w:footnote>
  <w:footnote w:id="20">
    <w:p w14:paraId="70E1044A" w14:textId="77777777" w:rsidR="00B5200F" w:rsidRPr="002968B0" w:rsidRDefault="00B5200F">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In the sense that they were outsiders to the Graeco-Macedonian elite class. </w:t>
      </w:r>
    </w:p>
  </w:footnote>
  <w:footnote w:id="21">
    <w:p w14:paraId="036E8E76" w14:textId="77777777" w:rsidR="005517F1" w:rsidRPr="002968B0" w:rsidRDefault="005517F1">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15</w:t>
      </w:r>
    </w:p>
  </w:footnote>
  <w:footnote w:id="22">
    <w:p w14:paraId="435BF6D8" w14:textId="77777777" w:rsidR="00B5200F" w:rsidRPr="002968B0" w:rsidRDefault="00B5200F">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16</w:t>
      </w:r>
    </w:p>
  </w:footnote>
  <w:footnote w:id="23">
    <w:p w14:paraId="3A199C3A" w14:textId="77777777" w:rsidR="00E20483" w:rsidRPr="002968B0" w:rsidRDefault="00E20483">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20</w:t>
      </w:r>
    </w:p>
  </w:footnote>
  <w:footnote w:id="24">
    <w:p w14:paraId="038B3C29" w14:textId="77777777" w:rsidR="00E20483" w:rsidRPr="002968B0" w:rsidRDefault="00E20483">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Fischer-Bovet 2015: 9</w:t>
      </w:r>
    </w:p>
  </w:footnote>
  <w:footnote w:id="25">
    <w:p w14:paraId="0F8F9144" w14:textId="77777777" w:rsidR="00F54263" w:rsidRPr="002968B0" w:rsidRDefault="00F54263">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Fischer-Bovet 2015: 37</w:t>
      </w:r>
    </w:p>
  </w:footnote>
  <w:footnote w:id="26">
    <w:p w14:paraId="4807D8A0" w14:textId="6C41AF53" w:rsidR="00381DE7" w:rsidRPr="002968B0" w:rsidRDefault="00381DE7">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27</w:t>
      </w:r>
    </w:p>
  </w:footnote>
  <w:footnote w:id="27">
    <w:p w14:paraId="39DB66A5" w14:textId="58E4287C" w:rsidR="00F80A5A" w:rsidRPr="002968B0" w:rsidRDefault="00F80A5A">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28</w:t>
      </w:r>
    </w:p>
  </w:footnote>
  <w:footnote w:id="28">
    <w:p w14:paraId="6C13C848" w14:textId="7C9B0252" w:rsidR="00D94E0F" w:rsidRPr="002968B0" w:rsidRDefault="00D94E0F">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28</w:t>
      </w:r>
    </w:p>
  </w:footnote>
  <w:footnote w:id="29">
    <w:p w14:paraId="40812469" w14:textId="23A4F890" w:rsidR="00C75A6A" w:rsidRPr="002968B0" w:rsidRDefault="00C75A6A">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30</w:t>
      </w:r>
    </w:p>
  </w:footnote>
  <w:footnote w:id="30">
    <w:p w14:paraId="25E41BA8" w14:textId="579F9D06" w:rsidR="00C75A6A" w:rsidRPr="002968B0" w:rsidRDefault="00C75A6A">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30</w:t>
      </w:r>
    </w:p>
  </w:footnote>
  <w:footnote w:id="31">
    <w:p w14:paraId="4EB63C70" w14:textId="6CECE61F" w:rsidR="00765482" w:rsidRPr="002968B0" w:rsidRDefault="00765482">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31</w:t>
      </w:r>
    </w:p>
  </w:footnote>
  <w:footnote w:id="32">
    <w:p w14:paraId="2EF11613" w14:textId="346539E8" w:rsidR="00B60004" w:rsidRPr="002968B0" w:rsidRDefault="00B60004">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31</w:t>
      </w:r>
    </w:p>
  </w:footnote>
  <w:footnote w:id="33">
    <w:p w14:paraId="28B28387" w14:textId="262F677E" w:rsidR="00D62188" w:rsidRPr="002968B0" w:rsidRDefault="00D62188">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31</w:t>
      </w:r>
    </w:p>
  </w:footnote>
  <w:footnote w:id="34">
    <w:p w14:paraId="292D2768" w14:textId="683A0F31" w:rsidR="003B62BA" w:rsidRPr="002968B0" w:rsidRDefault="003B62BA">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Fischer-Bovet 2015: </w:t>
      </w:r>
      <w:r w:rsidR="00242CE2" w:rsidRPr="002968B0">
        <w:rPr>
          <w:rFonts w:ascii="Times New Roman" w:hAnsi="Times New Roman" w:cs="Times New Roman"/>
        </w:rPr>
        <w:t>31</w:t>
      </w:r>
    </w:p>
  </w:footnote>
  <w:footnote w:id="35">
    <w:p w14:paraId="4BA3940D" w14:textId="74AFA350" w:rsidR="00C170D1" w:rsidRPr="002968B0" w:rsidRDefault="00C170D1">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Moyer 2011: 15</w:t>
      </w:r>
    </w:p>
  </w:footnote>
  <w:footnote w:id="36">
    <w:p w14:paraId="737359DD" w14:textId="034DB848" w:rsidR="00176E41" w:rsidRPr="002968B0" w:rsidRDefault="00176E41">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31</w:t>
      </w:r>
    </w:p>
  </w:footnote>
  <w:footnote w:id="37">
    <w:p w14:paraId="052DEA05" w14:textId="418236D3" w:rsidR="00176E41" w:rsidRPr="002968B0" w:rsidRDefault="00176E41">
      <w:pPr>
        <w:pStyle w:val="FootnoteText"/>
        <w:rPr>
          <w:rFonts w:ascii="Times New Roman" w:hAnsi="Times New Roman" w:cs="Times New Roman"/>
        </w:rPr>
      </w:pPr>
      <w:r w:rsidRPr="002968B0">
        <w:rPr>
          <w:rStyle w:val="FootnoteReference"/>
          <w:rFonts w:ascii="Times New Roman" w:hAnsi="Times New Roman" w:cs="Times New Roman"/>
        </w:rPr>
        <w:footnoteRef/>
      </w:r>
      <w:r w:rsidRPr="002968B0">
        <w:rPr>
          <w:rFonts w:ascii="Times New Roman" w:hAnsi="Times New Roman" w:cs="Times New Roman"/>
        </w:rPr>
        <w:t xml:space="preserve"> Adler 2005: 31</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2AA049" w14:textId="77777777" w:rsidR="007909D3" w:rsidRPr="007909D3" w:rsidRDefault="007909D3">
    <w:pPr>
      <w:pStyle w:val="Header"/>
      <w:rPr>
        <w:rFonts w:ascii="Times New Roman" w:hAnsi="Times New Roman" w:cs="Times New Roman"/>
        <w:sz w:val="20"/>
        <w:szCs w:val="20"/>
      </w:rPr>
    </w:pPr>
    <w:r>
      <w:rPr>
        <w:rFonts w:ascii="Times New Roman" w:hAnsi="Times New Roman" w:cs="Times New Roman"/>
        <w:sz w:val="20"/>
        <w:szCs w:val="20"/>
      </w:rPr>
      <w:tab/>
    </w:r>
    <w:r>
      <w:rPr>
        <w:rFonts w:ascii="Times New Roman" w:hAnsi="Times New Roman" w:cs="Times New Roman"/>
        <w:sz w:val="20"/>
        <w:szCs w:val="20"/>
      </w:rPr>
      <w:tab/>
      <w:t>Eleanor Travers 1500674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CC4"/>
    <w:rsid w:val="000C6EE2"/>
    <w:rsid w:val="00135025"/>
    <w:rsid w:val="00140349"/>
    <w:rsid w:val="001474A6"/>
    <w:rsid w:val="00176E41"/>
    <w:rsid w:val="001F37D8"/>
    <w:rsid w:val="001F7514"/>
    <w:rsid w:val="00242CE2"/>
    <w:rsid w:val="0028103E"/>
    <w:rsid w:val="00282F99"/>
    <w:rsid w:val="00287A58"/>
    <w:rsid w:val="002968B0"/>
    <w:rsid w:val="002D2565"/>
    <w:rsid w:val="00306A9A"/>
    <w:rsid w:val="00381DE7"/>
    <w:rsid w:val="003869AC"/>
    <w:rsid w:val="003B62BA"/>
    <w:rsid w:val="003D71CD"/>
    <w:rsid w:val="003F0395"/>
    <w:rsid w:val="004625FC"/>
    <w:rsid w:val="0049443D"/>
    <w:rsid w:val="004D39F7"/>
    <w:rsid w:val="00535767"/>
    <w:rsid w:val="005517F1"/>
    <w:rsid w:val="005C07C1"/>
    <w:rsid w:val="0069392A"/>
    <w:rsid w:val="006B3265"/>
    <w:rsid w:val="0070418F"/>
    <w:rsid w:val="00717A46"/>
    <w:rsid w:val="00765482"/>
    <w:rsid w:val="007802CB"/>
    <w:rsid w:val="007909D3"/>
    <w:rsid w:val="007950C3"/>
    <w:rsid w:val="00795635"/>
    <w:rsid w:val="007A5F90"/>
    <w:rsid w:val="00844EA9"/>
    <w:rsid w:val="00847D01"/>
    <w:rsid w:val="008B689B"/>
    <w:rsid w:val="008D51A3"/>
    <w:rsid w:val="009010E2"/>
    <w:rsid w:val="009761F4"/>
    <w:rsid w:val="009B1A66"/>
    <w:rsid w:val="009D7027"/>
    <w:rsid w:val="009F64BF"/>
    <w:rsid w:val="00A11D51"/>
    <w:rsid w:val="00A202A7"/>
    <w:rsid w:val="00A40F4E"/>
    <w:rsid w:val="00A47B69"/>
    <w:rsid w:val="00A72221"/>
    <w:rsid w:val="00A73F9F"/>
    <w:rsid w:val="00A874B2"/>
    <w:rsid w:val="00AD2E36"/>
    <w:rsid w:val="00B12B6A"/>
    <w:rsid w:val="00B14B97"/>
    <w:rsid w:val="00B16FC8"/>
    <w:rsid w:val="00B5200F"/>
    <w:rsid w:val="00B60004"/>
    <w:rsid w:val="00B86D61"/>
    <w:rsid w:val="00BC1919"/>
    <w:rsid w:val="00BC1CC4"/>
    <w:rsid w:val="00C170D1"/>
    <w:rsid w:val="00C31673"/>
    <w:rsid w:val="00C409C4"/>
    <w:rsid w:val="00C54465"/>
    <w:rsid w:val="00C75A6A"/>
    <w:rsid w:val="00CE0748"/>
    <w:rsid w:val="00CE3777"/>
    <w:rsid w:val="00D62188"/>
    <w:rsid w:val="00D94E0F"/>
    <w:rsid w:val="00DE519A"/>
    <w:rsid w:val="00E14E65"/>
    <w:rsid w:val="00E20483"/>
    <w:rsid w:val="00EA1890"/>
    <w:rsid w:val="00EB3FA3"/>
    <w:rsid w:val="00EC5078"/>
    <w:rsid w:val="00F03237"/>
    <w:rsid w:val="00F340B8"/>
    <w:rsid w:val="00F54263"/>
    <w:rsid w:val="00F76FB5"/>
    <w:rsid w:val="00F80A5A"/>
    <w:rsid w:val="00F8735A"/>
    <w:rsid w:val="00FC7B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8098B"/>
  <w15:chartTrackingRefBased/>
  <w15:docId w15:val="{E4F837A6-8B38-41C6-B7CA-2A1D3C7AF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9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9D3"/>
  </w:style>
  <w:style w:type="paragraph" w:styleId="Footer">
    <w:name w:val="footer"/>
    <w:basedOn w:val="Normal"/>
    <w:link w:val="FooterChar"/>
    <w:uiPriority w:val="99"/>
    <w:unhideWhenUsed/>
    <w:rsid w:val="007909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9D3"/>
  </w:style>
  <w:style w:type="paragraph" w:styleId="FootnoteText">
    <w:name w:val="footnote text"/>
    <w:basedOn w:val="Normal"/>
    <w:link w:val="FootnoteTextChar"/>
    <w:uiPriority w:val="99"/>
    <w:semiHidden/>
    <w:unhideWhenUsed/>
    <w:rsid w:val="001F751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F7514"/>
    <w:rPr>
      <w:sz w:val="20"/>
      <w:szCs w:val="20"/>
    </w:rPr>
  </w:style>
  <w:style w:type="character" w:styleId="FootnoteReference">
    <w:name w:val="footnote reference"/>
    <w:basedOn w:val="DefaultParagraphFont"/>
    <w:uiPriority w:val="99"/>
    <w:semiHidden/>
    <w:unhideWhenUsed/>
    <w:rsid w:val="001F7514"/>
    <w:rPr>
      <w:vertAlign w:val="superscript"/>
    </w:rPr>
  </w:style>
  <w:style w:type="character" w:styleId="CommentReference">
    <w:name w:val="annotation reference"/>
    <w:basedOn w:val="DefaultParagraphFont"/>
    <w:uiPriority w:val="99"/>
    <w:semiHidden/>
    <w:unhideWhenUsed/>
    <w:rsid w:val="005517F1"/>
    <w:rPr>
      <w:sz w:val="16"/>
      <w:szCs w:val="16"/>
    </w:rPr>
  </w:style>
  <w:style w:type="paragraph" w:styleId="CommentText">
    <w:name w:val="annotation text"/>
    <w:basedOn w:val="Normal"/>
    <w:link w:val="CommentTextChar"/>
    <w:uiPriority w:val="99"/>
    <w:semiHidden/>
    <w:unhideWhenUsed/>
    <w:rsid w:val="005517F1"/>
    <w:pPr>
      <w:spacing w:line="240" w:lineRule="auto"/>
    </w:pPr>
    <w:rPr>
      <w:sz w:val="20"/>
      <w:szCs w:val="20"/>
    </w:rPr>
  </w:style>
  <w:style w:type="character" w:customStyle="1" w:styleId="CommentTextChar">
    <w:name w:val="Comment Text Char"/>
    <w:basedOn w:val="DefaultParagraphFont"/>
    <w:link w:val="CommentText"/>
    <w:uiPriority w:val="99"/>
    <w:semiHidden/>
    <w:rsid w:val="005517F1"/>
    <w:rPr>
      <w:sz w:val="20"/>
      <w:szCs w:val="20"/>
    </w:rPr>
  </w:style>
  <w:style w:type="paragraph" w:styleId="CommentSubject">
    <w:name w:val="annotation subject"/>
    <w:basedOn w:val="CommentText"/>
    <w:next w:val="CommentText"/>
    <w:link w:val="CommentSubjectChar"/>
    <w:uiPriority w:val="99"/>
    <w:semiHidden/>
    <w:unhideWhenUsed/>
    <w:rsid w:val="005517F1"/>
    <w:rPr>
      <w:b/>
      <w:bCs/>
    </w:rPr>
  </w:style>
  <w:style w:type="character" w:customStyle="1" w:styleId="CommentSubjectChar">
    <w:name w:val="Comment Subject Char"/>
    <w:basedOn w:val="CommentTextChar"/>
    <w:link w:val="CommentSubject"/>
    <w:uiPriority w:val="99"/>
    <w:semiHidden/>
    <w:rsid w:val="005517F1"/>
    <w:rPr>
      <w:b/>
      <w:bCs/>
      <w:sz w:val="20"/>
      <w:szCs w:val="20"/>
    </w:rPr>
  </w:style>
  <w:style w:type="paragraph" w:styleId="BalloonText">
    <w:name w:val="Balloon Text"/>
    <w:basedOn w:val="Normal"/>
    <w:link w:val="BalloonTextChar"/>
    <w:uiPriority w:val="99"/>
    <w:semiHidden/>
    <w:unhideWhenUsed/>
    <w:rsid w:val="005517F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7F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94096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5E22"/>
    <w:rsid w:val="00035E22"/>
    <w:rsid w:val="00A023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A4C72D36134D86BEC02B27077046C1">
    <w:name w:val="E1A4C72D36134D86BEC02B27077046C1"/>
    <w:rsid w:val="00035E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E8BDE2-61CF-4874-96E9-1E68635A7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8</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Eleanor Travers (1500674)</dc:creator>
  <cp:keywords/>
  <dc:description/>
  <cp:lastModifiedBy>Eleanor Travers (1500674)</cp:lastModifiedBy>
  <cp:revision>63</cp:revision>
  <dcterms:created xsi:type="dcterms:W3CDTF">2019-06-21T09:49:00Z</dcterms:created>
  <dcterms:modified xsi:type="dcterms:W3CDTF">2019-06-21T21:13:00Z</dcterms:modified>
</cp:coreProperties>
</file>