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Calibri" w:cs="Calibri" w:eastAsia="Calibri" w:hAnsi="Calibri"/>
          <w:sz w:val="21"/>
          <w:szCs w:val="21"/>
        </w:rPr>
      </w:pPr>
      <w:r w:rsidDel="00000000" w:rsidR="00000000" w:rsidRPr="00000000">
        <w:rPr>
          <w:rFonts w:ascii="Calibri" w:cs="Calibri" w:eastAsia="Calibri" w:hAnsi="Calibri"/>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6">
      <w:pPr>
        <w:pStyle w:val="Heading3"/>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Fonts w:ascii="Calibri" w:cs="Calibri" w:eastAsia="Calibri" w:hAnsi="Calibri"/>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For completion by the student</w:t>
            </w:r>
            <w:r w:rsidDel="00000000" w:rsidR="00000000" w:rsidRPr="00000000">
              <w:rPr>
                <w:rFonts w:ascii="Calibri" w:cs="Calibri" w:eastAsia="Calibri" w:hAnsi="Calibri"/>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Student Name: Katherine Azima</w:t>
            </w:r>
          </w:p>
          <w:p w:rsidR="00000000" w:rsidDel="00000000" w:rsidP="00000000" w:rsidRDefault="00000000" w:rsidRPr="00000000" w14:paraId="0000000F">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10">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Student </w:t>
            </w:r>
            <w:r w:rsidDel="00000000" w:rsidR="00000000" w:rsidRPr="00000000">
              <w:rPr>
                <w:rFonts w:ascii="Calibri" w:cs="Calibri" w:eastAsia="Calibri" w:hAnsi="Calibri"/>
                <w:b w:val="1"/>
                <w:u w:val="single"/>
                <w:rtl w:val="0"/>
              </w:rPr>
              <w:t xml:space="preserve">University</w:t>
            </w:r>
            <w:r w:rsidDel="00000000" w:rsidR="00000000" w:rsidRPr="00000000">
              <w:rPr>
                <w:rFonts w:ascii="Calibri" w:cs="Calibri" w:eastAsia="Calibri" w:hAnsi="Calibri"/>
                <w:u w:val="single"/>
                <w:rtl w:val="0"/>
              </w:rPr>
              <w:t xml:space="preserve"> </w:t>
            </w:r>
            <w:r w:rsidDel="00000000" w:rsidR="00000000" w:rsidRPr="00000000">
              <w:rPr>
                <w:rFonts w:ascii="Calibri" w:cs="Calibri" w:eastAsia="Calibri" w:hAnsi="Calibri"/>
                <w:rtl w:val="0"/>
              </w:rPr>
              <w:t xml:space="preserve">Email:</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2219013@student.uwtsd.ac.uk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rFonts w:ascii="Calibri" w:cs="Calibri" w:eastAsia="Calibri" w:hAnsi="Calibri"/>
                <w:b w:val="1"/>
              </w:rPr>
            </w:pPr>
            <w:r w:rsidDel="00000000" w:rsidR="00000000" w:rsidRPr="00000000">
              <w:rPr>
                <w:rFonts w:ascii="Calibri" w:cs="Calibri" w:eastAsia="Calibri" w:hAnsi="Calibri"/>
                <w:b w:val="1"/>
                <w:rtl w:val="0"/>
              </w:rPr>
              <w:t xml:space="preserve">Module code: </w:t>
            </w:r>
          </w:p>
          <w:p w:rsidR="00000000" w:rsidDel="00000000" w:rsidP="00000000" w:rsidRDefault="00000000" w:rsidRPr="00000000" w14:paraId="00000016">
            <w:pPr>
              <w:jc w:val="left"/>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HPCA7015</w:t>
            </w:r>
          </w:p>
          <w:p w:rsidR="00000000" w:rsidDel="00000000" w:rsidP="00000000" w:rsidRDefault="00000000" w:rsidRPr="00000000" w14:paraId="00000017">
            <w:pPr>
              <w:spacing w:line="240" w:lineRule="auto"/>
              <w:ind w:right="34"/>
              <w:rPr>
                <w:rFonts w:ascii="Calibri" w:cs="Calibri" w:eastAsia="Calibri" w:hAnsi="Calibri"/>
                <w:b w:val="1"/>
              </w:rPr>
            </w:pPr>
            <w:r w:rsidDel="00000000" w:rsidR="00000000" w:rsidRPr="00000000">
              <w:rPr>
                <w:rFonts w:ascii="Calibri" w:cs="Calibri" w:eastAsia="Calibri" w:hAnsi="Calibri"/>
                <w:b w:val="1"/>
                <w:rtl w:val="0"/>
              </w:rPr>
              <w:t xml:space="preserve">Module title:</w:t>
            </w:r>
          </w:p>
          <w:p w:rsidR="00000000" w:rsidDel="00000000" w:rsidP="00000000" w:rsidRDefault="00000000" w:rsidRPr="00000000" w14:paraId="00000018">
            <w:pPr>
              <w:jc w:val="left"/>
              <w:rPr>
                <w:rFonts w:ascii="Calibri" w:cs="Calibri" w:eastAsia="Calibri" w:hAnsi="Calibri"/>
              </w:rPr>
            </w:pPr>
            <w:r w:rsidDel="00000000" w:rsidR="00000000" w:rsidRPr="00000000">
              <w:rPr>
                <w:rFonts w:ascii="Calibri" w:cs="Calibri" w:eastAsia="Calibri" w:hAnsi="Calibri"/>
                <w:sz w:val="24"/>
                <w:szCs w:val="24"/>
                <w:highlight w:val="white"/>
                <w:rtl w:val="0"/>
              </w:rPr>
              <w:t xml:space="preserve">Foundations of Cultural </w:t>
              <w:br w:type="textWrapping"/>
              <w:t xml:space="preserve">Astronomy and Astrology</w:t>
            </w:r>
            <w:r w:rsidDel="00000000" w:rsidR="00000000" w:rsidRPr="00000000">
              <w:rPr>
                <w:rtl w:val="0"/>
              </w:rPr>
            </w:r>
          </w:p>
          <w:p w:rsidR="00000000" w:rsidDel="00000000" w:rsidP="00000000" w:rsidRDefault="00000000" w:rsidRPr="00000000" w14:paraId="00000019">
            <w:pPr>
              <w:spacing w:line="240" w:lineRule="auto"/>
              <w:ind w:right="34"/>
              <w:rPr>
                <w:rFonts w:ascii="Calibri" w:cs="Calibri" w:eastAsia="Calibri" w:hAnsi="Calibri"/>
                <w:b w:val="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rFonts w:ascii="Calibri" w:cs="Calibri" w:eastAsia="Calibri" w:hAnsi="Calibri"/>
                <w:b w:val="1"/>
              </w:rPr>
            </w:pPr>
            <w:r w:rsidDel="00000000" w:rsidR="00000000" w:rsidRPr="00000000">
              <w:rPr>
                <w:rFonts w:ascii="Calibri" w:cs="Calibri" w:eastAsia="Calibri" w:hAnsi="Calibri"/>
                <w:b w:val="1"/>
                <w:rtl w:val="0"/>
              </w:rPr>
              <w:t xml:space="preserve">Student ID number:</w:t>
            </w:r>
          </w:p>
          <w:p w:rsidR="00000000" w:rsidDel="00000000" w:rsidP="00000000" w:rsidRDefault="00000000" w:rsidRPr="00000000" w14:paraId="0000001B">
            <w:pPr>
              <w:spacing w:line="240" w:lineRule="auto"/>
              <w:ind w:right="34"/>
              <w:rPr>
                <w:rFonts w:ascii="Calibri" w:cs="Calibri" w:eastAsia="Calibri" w:hAnsi="Calibri"/>
                <w:b w:val="1"/>
              </w:rPr>
            </w:pPr>
            <w:r w:rsidDel="00000000" w:rsidR="00000000" w:rsidRPr="00000000">
              <w:rPr>
                <w:rtl w:val="0"/>
              </w:rPr>
            </w:r>
          </w:p>
          <w:p w:rsidR="00000000" w:rsidDel="00000000" w:rsidP="00000000" w:rsidRDefault="00000000" w:rsidRPr="00000000" w14:paraId="0000001C">
            <w:pPr>
              <w:spacing w:line="240" w:lineRule="auto"/>
              <w:ind w:right="34"/>
              <w:rPr>
                <w:rFonts w:ascii="Calibri" w:cs="Calibri" w:eastAsia="Calibri" w:hAnsi="Calibri"/>
                <w:b w:val="1"/>
              </w:rPr>
            </w:pPr>
            <w:r w:rsidDel="00000000" w:rsidR="00000000" w:rsidRPr="00000000">
              <w:rPr>
                <w:rtl w:val="0"/>
              </w:rPr>
            </w:r>
          </w:p>
          <w:p w:rsidR="00000000" w:rsidDel="00000000" w:rsidP="00000000" w:rsidRDefault="00000000" w:rsidRPr="00000000" w14:paraId="0000001D">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2219013</w:t>
            </w:r>
          </w:p>
        </w:tc>
        <w:tc>
          <w:tcPr>
            <w:vAlign w:val="top"/>
          </w:tcPr>
          <w:p w:rsidR="00000000" w:rsidDel="00000000" w:rsidP="00000000" w:rsidRDefault="00000000" w:rsidRPr="00000000" w14:paraId="00000020">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Educational support needs:</w:t>
            </w:r>
          </w:p>
          <w:p w:rsidR="00000000" w:rsidDel="00000000" w:rsidP="00000000" w:rsidRDefault="00000000" w:rsidRPr="00000000" w14:paraId="00000021">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Yes/No</w:t>
            </w:r>
          </w:p>
          <w:p w:rsidR="00000000" w:rsidDel="00000000" w:rsidP="00000000" w:rsidRDefault="00000000" w:rsidRPr="00000000" w14:paraId="00000022">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3">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4">
            <w:pPr>
              <w:spacing w:line="240" w:lineRule="auto"/>
              <w:ind w:right="34"/>
              <w:rPr>
                <w:rFonts w:ascii="Calibri" w:cs="Calibri" w:eastAsia="Calibri" w:hAnsi="Calibri"/>
                <w:sz w:val="24"/>
                <w:szCs w:val="24"/>
                <w:highlight w:val="white"/>
              </w:rPr>
            </w:pPr>
            <w:r w:rsidDel="00000000" w:rsidR="00000000" w:rsidRPr="00000000">
              <w:rPr>
                <w:rFonts w:ascii="Calibri" w:cs="Calibri" w:eastAsia="Calibri" w:hAnsi="Calibri"/>
                <w:b w:val="1"/>
                <w:rtl w:val="0"/>
              </w:rPr>
              <w:t xml:space="preserve">Assignment title: </w:t>
            </w:r>
            <w:r w:rsidDel="00000000" w:rsidR="00000000" w:rsidRPr="00000000">
              <w:rPr>
                <w:rFonts w:ascii="Calibri" w:cs="Calibri" w:eastAsia="Calibri" w:hAnsi="Calibri"/>
                <w:sz w:val="24"/>
                <w:szCs w:val="24"/>
                <w:highlight w:val="white"/>
                <w:rtl w:val="0"/>
              </w:rPr>
              <w:t xml:space="preserve"> A 3,500 word essay written on a topic within the subject area. </w:t>
            </w:r>
          </w:p>
          <w:p w:rsidR="00000000" w:rsidDel="00000000" w:rsidP="00000000" w:rsidRDefault="00000000" w:rsidRPr="00000000" w14:paraId="00000025">
            <w:pPr>
              <w:spacing w:line="240" w:lineRule="auto"/>
              <w:ind w:right="34"/>
              <w:rPr>
                <w:rFonts w:ascii="Calibri" w:cs="Calibri" w:eastAsia="Calibri" w:hAnsi="Calibri"/>
                <w:i w:val="1"/>
                <w:color w:val="202122"/>
                <w:sz w:val="24"/>
                <w:szCs w:val="24"/>
                <w:highlight w:val="white"/>
              </w:rPr>
            </w:pPr>
            <w:r w:rsidDel="00000000" w:rsidR="00000000" w:rsidRPr="00000000">
              <w:rPr>
                <w:rFonts w:ascii="Calibri" w:cs="Calibri" w:eastAsia="Calibri" w:hAnsi="Calibri"/>
                <w:sz w:val="24"/>
                <w:szCs w:val="24"/>
                <w:rtl w:val="0"/>
              </w:rPr>
              <w:t xml:space="preserve">Compare and contrast two sky myths from two different cultures.</w:t>
            </w:r>
            <w:r w:rsidDel="00000000" w:rsidR="00000000" w:rsidRPr="00000000">
              <w:rPr>
                <w:rtl w:val="0"/>
              </w:rPr>
            </w:r>
          </w:p>
          <w:p w:rsidR="00000000" w:rsidDel="00000000" w:rsidP="00000000" w:rsidRDefault="00000000" w:rsidRPr="00000000" w14:paraId="00000026">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7">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8">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Assignment due date:</w:t>
            </w:r>
            <w:r w:rsidDel="00000000" w:rsidR="00000000" w:rsidRPr="00000000">
              <w:rPr>
                <w:rFonts w:ascii="Calibri" w:cs="Calibri" w:eastAsia="Calibri" w:hAnsi="Calibri"/>
                <w:rtl w:val="0"/>
              </w:rPr>
              <w:t xml:space="preserve"> January 3rd, 2023</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D">
            <w:pPr>
              <w:spacing w:line="240" w:lineRule="auto"/>
              <w:rPr>
                <w:rFonts w:ascii="Calibri" w:cs="Calibri" w:eastAsia="Calibri" w:hAnsi="Calibri"/>
              </w:rPr>
            </w:pPr>
            <w:r w:rsidDel="00000000" w:rsidR="00000000" w:rsidRPr="00000000">
              <w:rPr>
                <w:rFonts w:ascii="Calibri" w:cs="Calibri" w:eastAsia="Calibri" w:hAnsi="Calibri"/>
                <w:rtl w:val="0"/>
              </w:rPr>
              <w:t xml:space="preserve">This assignment is for the       3</w:t>
            </w:r>
            <w:r w:rsidDel="00000000" w:rsidR="00000000" w:rsidRPr="00000000">
              <w:rPr>
                <w:rFonts w:ascii="Calibri" w:cs="Calibri" w:eastAsia="Calibri" w:hAnsi="Calibri"/>
                <w:vertAlign w:val="superscript"/>
                <w:rtl w:val="0"/>
              </w:rPr>
              <w:t xml:space="preserve">dt </w:t>
            </w:r>
            <w:bookmarkStart w:colFirst="0" w:colLast="0" w:name="kix.mfvpnu066aa" w:id="0"/>
            <w:bookmarkEnd w:id="0"/>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32">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I confirm that this is my original work and that I have adhered to the University policy on plagiarism.</w:t>
            </w:r>
          </w:p>
          <w:p w:rsidR="00000000" w:rsidDel="00000000" w:rsidP="00000000" w:rsidRDefault="00000000" w:rsidRPr="00000000" w14:paraId="00000033">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Signed:  Kat Azima</w:t>
            </w:r>
          </w:p>
          <w:p w:rsidR="00000000" w:rsidDel="00000000" w:rsidP="00000000" w:rsidRDefault="00000000" w:rsidRPr="00000000" w14:paraId="00000034">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5">
            <w:pPr>
              <w:spacing w:line="240" w:lineRule="auto"/>
              <w:ind w:right="34"/>
              <w:rPr>
                <w:rFonts w:ascii="Calibri" w:cs="Calibri" w:eastAsia="Calibri" w:hAnsi="Calibri"/>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A">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B">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C">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3D">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1</w:t>
                  </w:r>
                  <w:r w:rsidDel="00000000" w:rsidR="00000000" w:rsidRPr="00000000">
                    <w:rPr>
                      <w:rFonts w:ascii="Calibri" w:cs="Calibri" w:eastAsia="Calibri" w:hAnsi="Calibri"/>
                      <w:sz w:val="20"/>
                      <w:szCs w:val="20"/>
                      <w:vertAlign w:val="superscript"/>
                      <w:rtl w:val="0"/>
                    </w:rPr>
                    <w:t xml:space="preserve">st</w:t>
                  </w:r>
                  <w:r w:rsidDel="00000000" w:rsidR="00000000" w:rsidRPr="00000000">
                    <w:rPr>
                      <w:rFonts w:ascii="Calibri" w:cs="Calibri" w:eastAsia="Calibri" w:hAnsi="Calibri"/>
                      <w:sz w:val="20"/>
                      <w:szCs w:val="20"/>
                      <w:rtl w:val="0"/>
                    </w:rPr>
                    <w:t xml:space="preserve"> Marker’s Provisional mark</w:t>
                  </w:r>
                </w:p>
              </w:tc>
              <w:tc>
                <w:tcPr>
                  <w:vAlign w:val="top"/>
                </w:tcPr>
                <w:p w:rsidR="00000000" w:rsidDel="00000000" w:rsidP="00000000" w:rsidRDefault="00000000" w:rsidRPr="00000000" w14:paraId="0000003E">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0">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2</w:t>
                  </w:r>
                  <w:r w:rsidDel="00000000" w:rsidR="00000000" w:rsidRPr="00000000">
                    <w:rPr>
                      <w:rFonts w:ascii="Calibri" w:cs="Calibri" w:eastAsia="Calibri" w:hAnsi="Calibri"/>
                      <w:sz w:val="20"/>
                      <w:szCs w:val="20"/>
                      <w:vertAlign w:val="superscript"/>
                      <w:rtl w:val="0"/>
                    </w:rPr>
                    <w:t xml:space="preserve">nd</w:t>
                  </w:r>
                  <w:r w:rsidDel="00000000" w:rsidR="00000000" w:rsidRPr="00000000">
                    <w:rPr>
                      <w:rFonts w:ascii="Calibri" w:cs="Calibri" w:eastAsia="Calibri" w:hAnsi="Calibri"/>
                      <w:sz w:val="20"/>
                      <w:szCs w:val="20"/>
                      <w:rtl w:val="0"/>
                    </w:rPr>
                    <w:t xml:space="preserve"> Marker’s/Moderator’s provisional mark</w:t>
                  </w:r>
                </w:p>
              </w:tc>
              <w:tc>
                <w:tcPr>
                  <w:vAlign w:val="top"/>
                </w:tcPr>
                <w:p w:rsidR="00000000" w:rsidDel="00000000" w:rsidP="00000000" w:rsidRDefault="00000000" w:rsidRPr="00000000" w14:paraId="00000041">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3">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External Examiner’s mark (if relevant)</w:t>
                  </w:r>
                </w:p>
              </w:tc>
              <w:tc>
                <w:tcPr>
                  <w:vAlign w:val="top"/>
                </w:tcPr>
                <w:p w:rsidR="00000000" w:rsidDel="00000000" w:rsidP="00000000" w:rsidRDefault="00000000" w:rsidRPr="00000000" w14:paraId="00000044">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5">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6">
                  <w:pPr>
                    <w:spacing w:line="240" w:lineRule="auto"/>
                    <w:rPr>
                      <w:rFonts w:ascii="Calibri" w:cs="Calibri" w:eastAsia="Calibri" w:hAnsi="Calibri"/>
                      <w:sz w:val="20"/>
                      <w:szCs w:val="20"/>
                    </w:rPr>
                  </w:pPr>
                  <w:r w:rsidDel="00000000" w:rsidR="00000000" w:rsidRPr="00000000">
                    <w:rPr>
                      <w:rFonts w:ascii="Calibri" w:cs="Calibri" w:eastAsia="Calibri" w:hAnsi="Calibri"/>
                      <w:b w:val="1"/>
                      <w:sz w:val="20"/>
                      <w:szCs w:val="20"/>
                      <w:rtl w:val="0"/>
                    </w:rPr>
                    <w:t xml:space="preserve">Final Mark</w:t>
                  </w:r>
                  <w:r w:rsidDel="00000000" w:rsidR="00000000" w:rsidRPr="00000000">
                    <w:rPr>
                      <w:rtl w:val="0"/>
                    </w:rPr>
                  </w:r>
                </w:p>
                <w:p w:rsidR="00000000" w:rsidDel="00000000" w:rsidP="00000000" w:rsidRDefault="00000000" w:rsidRPr="00000000" w14:paraId="00000047">
                  <w:pPr>
                    <w:spacing w:line="240" w:lineRule="auto"/>
                    <w:rPr>
                      <w:rFonts w:ascii="Calibri" w:cs="Calibri" w:eastAsia="Calibri" w:hAnsi="Calibri"/>
                      <w:sz w:val="20"/>
                      <w:szCs w:val="20"/>
                    </w:rPr>
                  </w:pPr>
                  <w:r w:rsidDel="00000000" w:rsidR="00000000" w:rsidRPr="00000000">
                    <w:rPr>
                      <w:rtl w:val="0"/>
                    </w:rPr>
                  </w:r>
                </w:p>
              </w:tc>
              <w:tc>
                <w:tcPr>
                  <w:vAlign w:val="top"/>
                </w:tcPr>
                <w:p w:rsidR="00000000" w:rsidDel="00000000" w:rsidP="00000000" w:rsidRDefault="00000000" w:rsidRPr="00000000" w14:paraId="00000048">
                  <w:pPr>
                    <w:spacing w:line="240" w:lineRule="auto"/>
                    <w:rPr>
                      <w:rFonts w:ascii="Calibri" w:cs="Calibri" w:eastAsia="Calibri" w:hAnsi="Calibri"/>
                      <w:sz w:val="20"/>
                      <w:szCs w:val="20"/>
                    </w:rPr>
                  </w:pPr>
                  <w:r w:rsidDel="00000000" w:rsidR="00000000" w:rsidRPr="00000000">
                    <w:rPr>
                      <w:rtl w:val="0"/>
                    </w:rPr>
                  </w:r>
                </w:p>
              </w:tc>
            </w:tr>
          </w:tbl>
          <w:p w:rsidR="00000000" w:rsidDel="00000000" w:rsidP="00000000" w:rsidRDefault="00000000" w:rsidRPr="00000000" w14:paraId="00000049">
            <w:pPr>
              <w:spacing w:line="240" w:lineRule="auto"/>
              <w:ind w:left="142" w:right="34" w:firstLine="0"/>
              <w:rPr>
                <w:rFonts w:ascii="Calibri" w:cs="Calibri" w:eastAsia="Calibri" w:hAnsi="Calibri"/>
              </w:rPr>
            </w:pPr>
            <w:r w:rsidDel="00000000" w:rsidR="00000000" w:rsidRPr="00000000">
              <w:rPr>
                <w:rtl w:val="0"/>
              </w:rPr>
            </w:r>
          </w:p>
          <w:p w:rsidR="00000000" w:rsidDel="00000000" w:rsidP="00000000" w:rsidRDefault="00000000" w:rsidRPr="00000000" w14:paraId="0000004A">
            <w:pPr>
              <w:spacing w:line="240" w:lineRule="auto"/>
              <w:ind w:left="142" w:right="34" w:firstLine="0"/>
              <w:rPr>
                <w:rFonts w:ascii="Calibri" w:cs="Calibri" w:eastAsia="Calibri" w:hAnsi="Calibri"/>
              </w:rPr>
            </w:pPr>
            <w:r w:rsidDel="00000000" w:rsidR="00000000" w:rsidRPr="00000000">
              <w:rPr>
                <w:rFonts w:ascii="Calibri" w:cs="Calibri" w:eastAsia="Calibri" w:hAnsi="Calibri"/>
                <w:b w:val="1"/>
                <w:rtl w:val="0"/>
              </w:rPr>
              <w:t xml:space="preserve">NB.</w:t>
            </w:r>
            <w:r w:rsidDel="00000000" w:rsidR="00000000" w:rsidRPr="00000000">
              <w:rPr>
                <w:rFonts w:ascii="Calibri" w:cs="Calibri" w:eastAsia="Calibri" w:hAnsi="Calibri"/>
                <w:rtl w:val="0"/>
              </w:rPr>
              <w:t xml:space="preserve">  All marks are provisional until confirmed by the Final Examination Board.</w:t>
            </w:r>
          </w:p>
          <w:p w:rsidR="00000000" w:rsidDel="00000000" w:rsidP="00000000" w:rsidRDefault="00000000" w:rsidRPr="00000000" w14:paraId="0000004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C">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E">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0">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For completion by Marker 1 :</w:t>
            </w:r>
            <w:r w:rsidDel="00000000" w:rsidR="00000000" w:rsidRPr="00000000">
              <w:rPr>
                <w:rtl w:val="0"/>
              </w:rPr>
            </w:r>
          </w:p>
          <w:p w:rsidR="00000000" w:rsidDel="00000000" w:rsidP="00000000" w:rsidRDefault="00000000" w:rsidRPr="00000000" w14:paraId="00000051">
            <w:pPr>
              <w:spacing w:after="280" w:before="280" w:line="240" w:lineRule="auto"/>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52">
            <w:pPr>
              <w:spacing w:before="280" w:line="240" w:lineRule="auto"/>
              <w:rPr>
                <w:rFonts w:ascii="Calibri" w:cs="Calibri" w:eastAsia="Calibri" w:hAnsi="Calibri"/>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7">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Marker’s signature:</w:t>
            </w:r>
          </w:p>
        </w:tc>
        <w:tc>
          <w:tcPr>
            <w:gridSpan w:val="2"/>
            <w:vAlign w:val="top"/>
          </w:tcPr>
          <w:p w:rsidR="00000000" w:rsidDel="00000000" w:rsidP="00000000" w:rsidRDefault="00000000" w:rsidRPr="00000000" w14:paraId="0000005A">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Date:</w:t>
            </w:r>
          </w:p>
        </w:tc>
      </w:tr>
      <w:tr>
        <w:trPr>
          <w:cantSplit w:val="0"/>
          <w:tblHeader w:val="0"/>
        </w:trPr>
        <w:tc>
          <w:tcPr>
            <w:gridSpan w:val="5"/>
            <w:vAlign w:val="top"/>
          </w:tcPr>
          <w:p w:rsidR="00000000" w:rsidDel="00000000" w:rsidP="00000000" w:rsidRDefault="00000000" w:rsidRPr="00000000" w14:paraId="0000005C">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D">
            <w:pPr>
              <w:spacing w:line="240" w:lineRule="auto"/>
              <w:ind w:right="-334"/>
              <w:rPr>
                <w:rFonts w:ascii="Calibri" w:cs="Calibri" w:eastAsia="Calibri" w:hAnsi="Calibri"/>
              </w:rPr>
            </w:pPr>
            <w:r w:rsidDel="00000000" w:rsidR="00000000" w:rsidRPr="00000000">
              <w:rPr>
                <w:rFonts w:ascii="Calibri" w:cs="Calibri" w:eastAsia="Calibri" w:hAnsi="Calibri"/>
                <w:b w:val="1"/>
                <w:rtl w:val="0"/>
              </w:rPr>
              <w:t xml:space="preserve">For completion by Marker 2/Moderator:</w:t>
            </w:r>
            <w:r w:rsidDel="00000000" w:rsidR="00000000" w:rsidRPr="00000000">
              <w:rPr>
                <w:rtl w:val="0"/>
              </w:rPr>
            </w:r>
          </w:p>
          <w:p w:rsidR="00000000" w:rsidDel="00000000" w:rsidP="00000000" w:rsidRDefault="00000000" w:rsidRPr="00000000" w14:paraId="0000005E">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F">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60">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1">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2">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3">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4">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5">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6">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Marker’s Signature:</w:t>
            </w:r>
          </w:p>
        </w:tc>
        <w:tc>
          <w:tcPr>
            <w:gridSpan w:val="3"/>
            <w:vAlign w:val="top"/>
          </w:tcPr>
          <w:p w:rsidR="00000000" w:rsidDel="00000000" w:rsidP="00000000" w:rsidRDefault="00000000" w:rsidRPr="00000000" w14:paraId="0000006D">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0">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External Examiner’s comments (if relevant)</w:t>
            </w:r>
            <w:r w:rsidDel="00000000" w:rsidR="00000000" w:rsidRPr="00000000">
              <w:rPr>
                <w:rtl w:val="0"/>
              </w:rPr>
            </w:r>
          </w:p>
          <w:p w:rsidR="00000000" w:rsidDel="00000000" w:rsidP="00000000" w:rsidRDefault="00000000" w:rsidRPr="00000000" w14:paraId="00000071">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2">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3">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4">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5">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A">
            <w:pPr>
              <w:spacing w:line="240" w:lineRule="auto"/>
              <w:rPr>
                <w:rFonts w:ascii="Calibri" w:cs="Calibri" w:eastAsia="Calibri" w:hAnsi="Calibri"/>
              </w:rPr>
            </w:pPr>
            <w:r w:rsidDel="00000000" w:rsidR="00000000" w:rsidRPr="00000000">
              <w:rPr>
                <w:rFonts w:ascii="Calibri" w:cs="Calibri" w:eastAsia="Calibri" w:hAnsi="Calibri"/>
                <w:rtl w:val="0"/>
              </w:rPr>
              <w:t xml:space="preserve">External Examiner’s Signature:</w:t>
            </w:r>
          </w:p>
        </w:tc>
        <w:tc>
          <w:tcPr>
            <w:gridSpan w:val="3"/>
            <w:vAlign w:val="top"/>
          </w:tcPr>
          <w:p w:rsidR="00000000" w:rsidDel="00000000" w:rsidP="00000000" w:rsidRDefault="00000000" w:rsidRPr="00000000" w14:paraId="0000007C">
            <w:pPr>
              <w:spacing w:line="240" w:lineRule="auto"/>
              <w:rPr>
                <w:rFonts w:ascii="Calibri" w:cs="Calibri" w:eastAsia="Calibri" w:hAnsi="Calibri"/>
              </w:rPr>
            </w:pPr>
            <w:r w:rsidDel="00000000" w:rsidR="00000000" w:rsidRPr="00000000">
              <w:rPr>
                <w:rFonts w:ascii="Calibri" w:cs="Calibri" w:eastAsia="Calibri" w:hAnsi="Calibri"/>
                <w:rtl w:val="0"/>
              </w:rPr>
              <w:t xml:space="preserve">Date:</w:t>
            </w:r>
          </w:p>
        </w:tc>
      </w:tr>
    </w:tbl>
    <w:p w:rsidR="00000000" w:rsidDel="00000000" w:rsidP="00000000" w:rsidRDefault="00000000" w:rsidRPr="00000000" w14:paraId="0000007F">
      <w:pPr>
        <w:ind w:left="2160" w:firstLine="720"/>
        <w:jc w:val="left"/>
        <w:rPr>
          <w:rFonts w:ascii="Calibri" w:cs="Calibri" w:eastAsia="Calibri" w:hAnsi="Calibri"/>
          <w:b w:val="1"/>
          <w:sz w:val="24"/>
          <w:szCs w:val="24"/>
          <w:highlight w:val="white"/>
        </w:rPr>
      </w:pPr>
      <w:r w:rsidDel="00000000" w:rsidR="00000000" w:rsidRPr="00000000">
        <w:rPr>
          <w:rtl w:val="0"/>
        </w:rPr>
      </w:r>
    </w:p>
    <w:p w:rsidR="00000000" w:rsidDel="00000000" w:rsidP="00000000" w:rsidRDefault="00000000" w:rsidRPr="00000000" w14:paraId="00000080">
      <w:pPr>
        <w:ind w:left="2160" w:firstLine="720"/>
        <w:jc w:val="left"/>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Katherine Azima – HPCA7015– Essay 3</w:t>
      </w:r>
    </w:p>
    <w:p w:rsidR="00000000" w:rsidDel="00000000" w:rsidP="00000000" w:rsidRDefault="00000000" w:rsidRPr="00000000" w14:paraId="00000081">
      <w:pPr>
        <w:spacing w:line="240" w:lineRule="auto"/>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rtl w:val="0"/>
        </w:rPr>
        <w:t xml:space="preserve">Compare and contrast two sky myths from two different cultures</w:t>
      </w:r>
      <w:r w:rsidDel="00000000" w:rsidR="00000000" w:rsidRPr="00000000">
        <w:rPr>
          <w:rtl w:val="0"/>
        </w:rPr>
      </w:r>
    </w:p>
    <w:p w:rsidR="00000000" w:rsidDel="00000000" w:rsidP="00000000" w:rsidRDefault="00000000" w:rsidRPr="00000000" w14:paraId="00000082">
      <w:pPr>
        <w:jc w:val="center"/>
        <w:rPr>
          <w:rFonts w:ascii="Calibri" w:cs="Calibri" w:eastAsia="Calibri" w:hAnsi="Calibri"/>
          <w:color w:val="202122"/>
          <w:sz w:val="24"/>
          <w:szCs w:val="24"/>
          <w:highlight w:val="white"/>
        </w:rPr>
      </w:pPr>
      <w:r w:rsidDel="00000000" w:rsidR="00000000" w:rsidRPr="00000000">
        <w:rPr>
          <w:rFonts w:ascii="Calibri" w:cs="Calibri" w:eastAsia="Calibri" w:hAnsi="Calibri"/>
          <w:b w:val="1"/>
          <w:sz w:val="24"/>
          <w:szCs w:val="24"/>
          <w:highlight w:val="white"/>
          <w:rtl w:val="0"/>
        </w:rPr>
        <w:t xml:space="preserve">Word Count: </w:t>
      </w:r>
      <w:r w:rsidDel="00000000" w:rsidR="00000000" w:rsidRPr="00000000">
        <w:rPr>
          <w:rtl w:val="0"/>
        </w:rPr>
      </w:r>
    </w:p>
    <w:p w:rsidR="00000000" w:rsidDel="00000000" w:rsidP="00000000" w:rsidRDefault="00000000" w:rsidRPr="00000000" w14:paraId="00000083">
      <w:pPr>
        <w:spacing w:line="240" w:lineRule="auto"/>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84">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The aim of this essay is to critically compare and contrast two sky myths from two different cultures.  It’s first important to become grounded in the theories regarding culture and myth. Both culture and myth have diverse definitions.Raymond Williams defines culture as both ordinary and creative while Terry Eagleton defines culture as created and connected to nature, the landscape and therefore the sky. Culture borrows from the determinism of nature.</w:t>
      </w:r>
      <w:r w:rsidDel="00000000" w:rsidR="00000000" w:rsidRPr="00000000">
        <w:rPr>
          <w:rFonts w:ascii="Calibri" w:cs="Calibri" w:eastAsia="Calibri" w:hAnsi="Calibri"/>
          <w:color w:val="202122"/>
          <w:sz w:val="24"/>
          <w:szCs w:val="24"/>
          <w:highlight w:val="white"/>
          <w:vertAlign w:val="superscript"/>
        </w:rPr>
        <w:footnoteReference w:customMarkFollows="0" w:id="0"/>
      </w:r>
      <w:r w:rsidDel="00000000" w:rsidR="00000000" w:rsidRPr="00000000">
        <w:rPr>
          <w:rFonts w:ascii="Calibri" w:cs="Calibri" w:eastAsia="Calibri" w:hAnsi="Calibri"/>
          <w:color w:val="202122"/>
          <w:sz w:val="24"/>
          <w:szCs w:val="24"/>
          <w:highlight w:val="white"/>
          <w:rtl w:val="0"/>
        </w:rPr>
        <w:t xml:space="preserve"> When we study myth we are studying something that is not only ancient but ubiquitous and found in every culture and civilization as James W. Menzies asserts.</w:t>
      </w:r>
    </w:p>
    <w:p w:rsidR="00000000" w:rsidDel="00000000" w:rsidP="00000000" w:rsidRDefault="00000000" w:rsidRPr="00000000" w14:paraId="00000085">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 Many scholars who write about ‘myth’ contend that it is a loaded and complex word with no single or fixed definition. As Mircea Eliade states ‘From Plato and Fontenelle to Schelling and Bultmass, philosophers and theologians have proposed innumerable definitions of myth.’</w:t>
      </w:r>
      <w:r w:rsidDel="00000000" w:rsidR="00000000" w:rsidRPr="00000000">
        <w:rPr>
          <w:rFonts w:ascii="Calibri" w:cs="Calibri" w:eastAsia="Calibri" w:hAnsi="Calibri"/>
          <w:color w:val="202122"/>
          <w:sz w:val="24"/>
          <w:szCs w:val="24"/>
          <w:highlight w:val="white"/>
          <w:vertAlign w:val="superscript"/>
        </w:rPr>
        <w:footnoteReference w:customMarkFollows="0" w:id="1"/>
      </w:r>
      <w:r w:rsidDel="00000000" w:rsidR="00000000" w:rsidRPr="00000000">
        <w:rPr>
          <w:rFonts w:ascii="Calibri" w:cs="Calibri" w:eastAsia="Calibri" w:hAnsi="Calibri"/>
          <w:color w:val="202122"/>
          <w:sz w:val="24"/>
          <w:szCs w:val="24"/>
          <w:highlight w:val="white"/>
          <w:rtl w:val="0"/>
        </w:rPr>
        <w:t xml:space="preserve">  James W. Menzies similarly notes that ‘the hermeneutical challenges raised by myth are many and complex. Myth is a a word without clear definition or standardised use.’’</w:t>
      </w:r>
      <w:r w:rsidDel="00000000" w:rsidR="00000000" w:rsidRPr="00000000">
        <w:rPr>
          <w:rFonts w:ascii="Calibri" w:cs="Calibri" w:eastAsia="Calibri" w:hAnsi="Calibri"/>
          <w:color w:val="202122"/>
          <w:sz w:val="24"/>
          <w:szCs w:val="24"/>
          <w:highlight w:val="white"/>
          <w:vertAlign w:val="superscript"/>
        </w:rPr>
        <w:footnoteReference w:customMarkFollows="0" w:id="2"/>
      </w:r>
      <w:r w:rsidDel="00000000" w:rsidR="00000000" w:rsidRPr="00000000">
        <w:rPr>
          <w:rFonts w:ascii="Calibri" w:cs="Calibri" w:eastAsia="Calibri" w:hAnsi="Calibri"/>
          <w:color w:val="202122"/>
          <w:sz w:val="24"/>
          <w:szCs w:val="24"/>
          <w:highlight w:val="white"/>
          <w:rtl w:val="0"/>
        </w:rPr>
        <w:t xml:space="preserve"> In regards to the theories of myth,  Robert E. Segal states ‘There  is no study of myth as myth.’</w:t>
      </w:r>
      <w:r w:rsidDel="00000000" w:rsidR="00000000" w:rsidRPr="00000000">
        <w:rPr>
          <w:rFonts w:ascii="Calibri" w:cs="Calibri" w:eastAsia="Calibri" w:hAnsi="Calibri"/>
          <w:color w:val="202122"/>
          <w:sz w:val="24"/>
          <w:szCs w:val="24"/>
          <w:highlight w:val="white"/>
          <w:vertAlign w:val="superscript"/>
        </w:rPr>
        <w:footnoteReference w:customMarkFollows="0" w:id="3"/>
      </w:r>
      <w:r w:rsidDel="00000000" w:rsidR="00000000" w:rsidRPr="00000000">
        <w:rPr>
          <w:rFonts w:ascii="Calibri" w:cs="Calibri" w:eastAsia="Calibri" w:hAnsi="Calibri"/>
          <w:color w:val="202122"/>
          <w:sz w:val="24"/>
          <w:szCs w:val="24"/>
          <w:highlight w:val="white"/>
          <w:rtl w:val="0"/>
        </w:rPr>
        <w:t xml:space="preserve">  Segal says theories of myth are a subset of other disciplines such as anthropology, sociology, psychology, literary criticism, philosophy and religious studies. </w:t>
      </w:r>
    </w:p>
    <w:p w:rsidR="00000000" w:rsidDel="00000000" w:rsidP="00000000" w:rsidRDefault="00000000" w:rsidRPr="00000000" w14:paraId="00000086">
      <w:pPr>
        <w:ind w:left="0"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Historically, as Segal notes, there are some real differences between the nineteenth century and twentieth century theories of myth. Nineteenth century critics of myth dismiss myth as unscientific while twentieth century theories do not abandon myth for science.</w:t>
      </w:r>
      <w:r w:rsidDel="00000000" w:rsidR="00000000" w:rsidRPr="00000000">
        <w:rPr>
          <w:rFonts w:ascii="Calibri" w:cs="Calibri" w:eastAsia="Calibri" w:hAnsi="Calibri"/>
          <w:color w:val="202122"/>
          <w:sz w:val="24"/>
          <w:szCs w:val="24"/>
          <w:highlight w:val="white"/>
          <w:vertAlign w:val="superscript"/>
        </w:rPr>
        <w:footnoteReference w:customMarkFollows="0" w:id="4"/>
      </w:r>
      <w:r w:rsidDel="00000000" w:rsidR="00000000" w:rsidRPr="00000000">
        <w:rPr>
          <w:rFonts w:ascii="Calibri" w:cs="Calibri" w:eastAsia="Calibri" w:hAnsi="Calibri"/>
          <w:color w:val="202122"/>
          <w:sz w:val="24"/>
          <w:szCs w:val="24"/>
          <w:highlight w:val="white"/>
          <w:rtl w:val="0"/>
        </w:rPr>
        <w:t xml:space="preserve"> In the twenty first century, scholars such as Patrick Curry, who writes about the importance of enchantment in modern life says the disenchanters (as in the Weberian enemies of enchantment) ‘like to imagine they have escaped the ambit of metaphor and myth, which they identify with tradition, superstition and error.’</w:t>
      </w:r>
      <w:r w:rsidDel="00000000" w:rsidR="00000000" w:rsidRPr="00000000">
        <w:rPr>
          <w:rFonts w:ascii="Calibri" w:cs="Calibri" w:eastAsia="Calibri" w:hAnsi="Calibri"/>
          <w:color w:val="202122"/>
          <w:sz w:val="24"/>
          <w:szCs w:val="24"/>
          <w:highlight w:val="white"/>
          <w:vertAlign w:val="superscript"/>
        </w:rPr>
        <w:footnoteReference w:customMarkFollows="0" w:id="5"/>
      </w:r>
      <w:r w:rsidDel="00000000" w:rsidR="00000000" w:rsidRPr="00000000">
        <w:rPr>
          <w:rFonts w:ascii="Calibri" w:cs="Calibri" w:eastAsia="Calibri" w:hAnsi="Calibri"/>
          <w:color w:val="202122"/>
          <w:sz w:val="24"/>
          <w:szCs w:val="24"/>
          <w:highlight w:val="white"/>
          <w:rtl w:val="0"/>
        </w:rPr>
        <w:t xml:space="preserve"> </w:t>
      </w:r>
    </w:p>
    <w:p w:rsidR="00000000" w:rsidDel="00000000" w:rsidP="00000000" w:rsidRDefault="00000000" w:rsidRPr="00000000" w14:paraId="00000087">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As Segal states ‘To analyse a myth is to analyse it from the viewpoint of some theory’.</w:t>
      </w:r>
      <w:r w:rsidDel="00000000" w:rsidR="00000000" w:rsidRPr="00000000">
        <w:rPr>
          <w:rFonts w:ascii="Calibri" w:cs="Calibri" w:eastAsia="Calibri" w:hAnsi="Calibri"/>
          <w:color w:val="202122"/>
          <w:sz w:val="24"/>
          <w:szCs w:val="24"/>
          <w:highlight w:val="white"/>
          <w:vertAlign w:val="superscript"/>
        </w:rPr>
        <w:footnoteReference w:customMarkFollows="0" w:id="6"/>
      </w:r>
      <w:r w:rsidDel="00000000" w:rsidR="00000000" w:rsidRPr="00000000">
        <w:rPr>
          <w:rFonts w:ascii="Calibri" w:cs="Calibri" w:eastAsia="Calibri" w:hAnsi="Calibri"/>
          <w:color w:val="202122"/>
          <w:sz w:val="24"/>
          <w:szCs w:val="24"/>
          <w:highlight w:val="white"/>
          <w:rtl w:val="0"/>
        </w:rPr>
        <w:t xml:space="preserve"> Myth therefore is analysed in a specific context. Segal says a way of confirming a theory is to show how well it works to show the theory to be false or limited. Segal outlines three main questions which unite the study of myth across disciplines are the questions asked which include those of origin (why and how myth arises), function (why and how myths persist) and subject matter (the referent of myth). Mircea Eliade's definition of myth will be used to compare and contrast the sun and moon myth. Eliade’s definition defines myth as a ‘sacred history, and hence a “true history,” because it always deals with realities. The cosmogonic myth is “true” because the existence of the World is there to provide it.’</w:t>
      </w:r>
    </w:p>
    <w:p w:rsidR="00000000" w:rsidDel="00000000" w:rsidP="00000000" w:rsidRDefault="00000000" w:rsidRPr="00000000" w14:paraId="00000088">
      <w:pPr>
        <w:ind w:left="0" w:firstLine="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 </w:t>
        <w:tab/>
        <w:t xml:space="preserve">The sky has been the subject of mythology because it’s such an important part of the reality of our existence on earth. The sky, as Gunzberg states, has a voice across cultures because it forms half of our visual world.</w:t>
      </w:r>
      <w:r w:rsidDel="00000000" w:rsidR="00000000" w:rsidRPr="00000000">
        <w:rPr>
          <w:rFonts w:ascii="Calibri" w:cs="Calibri" w:eastAsia="Calibri" w:hAnsi="Calibri"/>
          <w:color w:val="202122"/>
          <w:sz w:val="24"/>
          <w:szCs w:val="24"/>
          <w:highlight w:val="white"/>
          <w:vertAlign w:val="superscript"/>
        </w:rPr>
        <w:footnoteReference w:customMarkFollows="0" w:id="7"/>
      </w:r>
      <w:r w:rsidDel="00000000" w:rsidR="00000000" w:rsidRPr="00000000">
        <w:rPr>
          <w:rFonts w:ascii="Calibri" w:cs="Calibri" w:eastAsia="Calibri" w:hAnsi="Calibri"/>
          <w:color w:val="202122"/>
          <w:sz w:val="24"/>
          <w:szCs w:val="24"/>
          <w:highlight w:val="white"/>
          <w:rtl w:val="0"/>
        </w:rPr>
        <w:t xml:space="preserve"> Cultural studies of the sky as Gunzberg attests is ‘an emerging academic discipline of relevance to the fields of archaeoastronomy, history, art history, cartography, cultural astronomy, cultural astrology and religious studies in anthropology.’ By comparing and contrasting sky myths across two different cultures we initiate the analyses on the commonality of the ‘centrality to the sky in order to understand its relevance in culture.’ Understand the sky and the images perceived within it.</w:t>
      </w:r>
      <w:r w:rsidDel="00000000" w:rsidR="00000000" w:rsidRPr="00000000">
        <w:rPr>
          <w:rFonts w:ascii="Calibri" w:cs="Calibri" w:eastAsia="Calibri" w:hAnsi="Calibri"/>
          <w:color w:val="202122"/>
          <w:sz w:val="24"/>
          <w:szCs w:val="24"/>
          <w:highlight w:val="white"/>
          <w:vertAlign w:val="superscript"/>
        </w:rPr>
        <w:footnoteReference w:customMarkFollows="0" w:id="8"/>
      </w:r>
      <w:r w:rsidDel="00000000" w:rsidR="00000000" w:rsidRPr="00000000">
        <w:rPr>
          <w:rFonts w:ascii="Calibri" w:cs="Calibri" w:eastAsia="Calibri" w:hAnsi="Calibri"/>
          <w:color w:val="202122"/>
          <w:sz w:val="24"/>
          <w:szCs w:val="24"/>
          <w:highlight w:val="white"/>
          <w:rtl w:val="0"/>
        </w:rPr>
        <w:t xml:space="preserve"> Clive Ruggles and Gary Urton state anthropologists are now more seriously interested in how the sky influences broader cosmologies and the relevance of such studies to wider cultural questions.</w:t>
      </w:r>
      <w:r w:rsidDel="00000000" w:rsidR="00000000" w:rsidRPr="00000000">
        <w:rPr>
          <w:rFonts w:ascii="Calibri" w:cs="Calibri" w:eastAsia="Calibri" w:hAnsi="Calibri"/>
          <w:color w:val="202122"/>
          <w:sz w:val="24"/>
          <w:szCs w:val="24"/>
          <w:highlight w:val="white"/>
          <w:vertAlign w:val="superscript"/>
        </w:rPr>
        <w:footnoteReference w:customMarkFollows="0" w:id="9"/>
      </w:r>
      <w:r w:rsidDel="00000000" w:rsidR="00000000" w:rsidRPr="00000000">
        <w:rPr>
          <w:rFonts w:ascii="Calibri" w:cs="Calibri" w:eastAsia="Calibri" w:hAnsi="Calibri"/>
          <w:color w:val="202122"/>
          <w:sz w:val="24"/>
          <w:szCs w:val="24"/>
          <w:highlight w:val="white"/>
          <w:rtl w:val="0"/>
        </w:rPr>
        <w:t xml:space="preserve"> </w:t>
      </w:r>
    </w:p>
    <w:p w:rsidR="00000000" w:rsidDel="00000000" w:rsidP="00000000" w:rsidRDefault="00000000" w:rsidRPr="00000000" w14:paraId="00000089">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The two sky myths compared and contrasted are the Greece and Norse myths about the sun and the moon. The sun and the moon are the most visible moving heavenly bodies in the sky featured in many cultural myths from around the world. As Mircea Eliade states, there is always a central myth ‘a primordial history and this history has a beginning: a cosmogonic myth popper, or a myth that describes the first, germinal stage of the world.’ The Greek myth about the sun and the moon are found in the  </w:t>
      </w:r>
      <w:r w:rsidDel="00000000" w:rsidR="00000000" w:rsidRPr="00000000">
        <w:rPr>
          <w:rFonts w:ascii="Calibri" w:cs="Calibri" w:eastAsia="Calibri" w:hAnsi="Calibri"/>
          <w:i w:val="1"/>
          <w:color w:val="202122"/>
          <w:sz w:val="24"/>
          <w:szCs w:val="24"/>
          <w:highlight w:val="white"/>
          <w:rtl w:val="0"/>
        </w:rPr>
        <w:t xml:space="preserve">The Homeric Hymns</w:t>
      </w:r>
      <w:r w:rsidDel="00000000" w:rsidR="00000000" w:rsidRPr="00000000">
        <w:rPr>
          <w:rFonts w:ascii="Calibri" w:cs="Calibri" w:eastAsia="Calibri" w:hAnsi="Calibri"/>
          <w:color w:val="202122"/>
          <w:sz w:val="24"/>
          <w:szCs w:val="24"/>
          <w:highlight w:val="white"/>
          <w:rtl w:val="0"/>
        </w:rPr>
        <w:t xml:space="preserve"> of Helios</w:t>
      </w:r>
      <w:r w:rsidDel="00000000" w:rsidR="00000000" w:rsidRPr="00000000">
        <w:rPr>
          <w:rFonts w:ascii="Calibri" w:cs="Calibri" w:eastAsia="Calibri" w:hAnsi="Calibri"/>
          <w:color w:val="202122"/>
          <w:sz w:val="24"/>
          <w:szCs w:val="24"/>
          <w:highlight w:val="white"/>
          <w:vertAlign w:val="superscript"/>
        </w:rPr>
        <w:footnoteReference w:customMarkFollows="0" w:id="10"/>
      </w:r>
      <w:r w:rsidDel="00000000" w:rsidR="00000000" w:rsidRPr="00000000">
        <w:rPr>
          <w:rFonts w:ascii="Calibri" w:cs="Calibri" w:eastAsia="Calibri" w:hAnsi="Calibri"/>
          <w:color w:val="202122"/>
          <w:sz w:val="24"/>
          <w:szCs w:val="24"/>
          <w:highlight w:val="white"/>
          <w:rtl w:val="0"/>
        </w:rPr>
        <w:t xml:space="preserve"> and Selene</w:t>
      </w:r>
      <w:r w:rsidDel="00000000" w:rsidR="00000000" w:rsidRPr="00000000">
        <w:rPr>
          <w:rFonts w:ascii="Calibri" w:cs="Calibri" w:eastAsia="Calibri" w:hAnsi="Calibri"/>
          <w:color w:val="202122"/>
          <w:sz w:val="24"/>
          <w:szCs w:val="24"/>
          <w:highlight w:val="white"/>
          <w:vertAlign w:val="superscript"/>
        </w:rPr>
        <w:footnoteReference w:customMarkFollows="0" w:id="11"/>
      </w:r>
      <w:r w:rsidDel="00000000" w:rsidR="00000000" w:rsidRPr="00000000">
        <w:rPr>
          <w:rFonts w:ascii="Calibri" w:cs="Calibri" w:eastAsia="Calibri" w:hAnsi="Calibri"/>
          <w:color w:val="202122"/>
          <w:sz w:val="24"/>
          <w:szCs w:val="24"/>
          <w:highlight w:val="white"/>
          <w:rtl w:val="0"/>
        </w:rPr>
        <w:t xml:space="preserve">. The Norse myth about the sun and the moon is the myth of Mani and Sol in </w:t>
      </w:r>
      <w:r w:rsidDel="00000000" w:rsidR="00000000" w:rsidRPr="00000000">
        <w:rPr>
          <w:rFonts w:ascii="Calibri" w:cs="Calibri" w:eastAsia="Calibri" w:hAnsi="Calibri"/>
          <w:i w:val="1"/>
          <w:color w:val="202122"/>
          <w:sz w:val="24"/>
          <w:szCs w:val="24"/>
          <w:highlight w:val="white"/>
          <w:rtl w:val="0"/>
        </w:rPr>
        <w:t xml:space="preserve">The Prose Edda</w:t>
      </w:r>
      <w:r w:rsidDel="00000000" w:rsidR="00000000" w:rsidRPr="00000000">
        <w:rPr>
          <w:rFonts w:ascii="Calibri" w:cs="Calibri" w:eastAsia="Calibri" w:hAnsi="Calibri"/>
          <w:color w:val="202122"/>
          <w:sz w:val="24"/>
          <w:szCs w:val="24"/>
          <w:highlight w:val="white"/>
          <w:vertAlign w:val="superscript"/>
        </w:rPr>
        <w:footnoteReference w:customMarkFollows="0" w:id="12"/>
      </w:r>
      <w:r w:rsidDel="00000000" w:rsidR="00000000" w:rsidRPr="00000000">
        <w:rPr>
          <w:rFonts w:ascii="Calibri" w:cs="Calibri" w:eastAsia="Calibri" w:hAnsi="Calibri"/>
          <w:color w:val="202122"/>
          <w:sz w:val="24"/>
          <w:szCs w:val="24"/>
          <w:highlight w:val="white"/>
          <w:rtl w:val="0"/>
        </w:rPr>
        <w:t xml:space="preserve">. </w:t>
      </w:r>
    </w:p>
    <w:p w:rsidR="00000000" w:rsidDel="00000000" w:rsidP="00000000" w:rsidRDefault="00000000" w:rsidRPr="00000000" w14:paraId="0000008A">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The Greek myth about Helios and Selene are found in </w:t>
      </w:r>
      <w:r w:rsidDel="00000000" w:rsidR="00000000" w:rsidRPr="00000000">
        <w:rPr>
          <w:rFonts w:ascii="Calibri" w:cs="Calibri" w:eastAsia="Calibri" w:hAnsi="Calibri"/>
          <w:i w:val="1"/>
          <w:color w:val="202122"/>
          <w:sz w:val="24"/>
          <w:szCs w:val="24"/>
          <w:highlight w:val="white"/>
          <w:rtl w:val="0"/>
        </w:rPr>
        <w:t xml:space="preserve">The Homeric Hymns</w:t>
      </w:r>
      <w:r w:rsidDel="00000000" w:rsidR="00000000" w:rsidRPr="00000000">
        <w:rPr>
          <w:rFonts w:ascii="Calibri" w:cs="Calibri" w:eastAsia="Calibri" w:hAnsi="Calibri"/>
          <w:color w:val="202122"/>
          <w:sz w:val="24"/>
          <w:szCs w:val="24"/>
          <w:highlight w:val="white"/>
          <w:rtl w:val="0"/>
        </w:rPr>
        <w:t xml:space="preserve">, a collection of  thirty-three songs that were assumed to be composed by the poet Homer to honour the gods and goddesses of the ancient Greek pantheon.</w:t>
      </w:r>
      <w:r w:rsidDel="00000000" w:rsidR="00000000" w:rsidRPr="00000000">
        <w:rPr>
          <w:rFonts w:ascii="Calibri" w:cs="Calibri" w:eastAsia="Calibri" w:hAnsi="Calibri"/>
          <w:color w:val="202122"/>
          <w:sz w:val="24"/>
          <w:szCs w:val="24"/>
          <w:highlight w:val="white"/>
          <w:vertAlign w:val="superscript"/>
        </w:rPr>
        <w:footnoteReference w:customMarkFollows="0" w:id="13"/>
      </w:r>
      <w:r w:rsidDel="00000000" w:rsidR="00000000" w:rsidRPr="00000000">
        <w:rPr>
          <w:rFonts w:ascii="Calibri" w:cs="Calibri" w:eastAsia="Calibri" w:hAnsi="Calibri"/>
          <w:color w:val="202122"/>
          <w:sz w:val="24"/>
          <w:szCs w:val="24"/>
          <w:highlight w:val="white"/>
          <w:rtl w:val="0"/>
        </w:rPr>
        <w:t xml:space="preserve">  Most of the hymns were written around 700-500 B.C.E.</w:t>
      </w:r>
      <w:r w:rsidDel="00000000" w:rsidR="00000000" w:rsidRPr="00000000">
        <w:rPr>
          <w:rFonts w:ascii="Calibri" w:cs="Calibri" w:eastAsia="Calibri" w:hAnsi="Calibri"/>
          <w:color w:val="202122"/>
          <w:sz w:val="24"/>
          <w:szCs w:val="24"/>
          <w:highlight w:val="white"/>
          <w:vertAlign w:val="superscript"/>
        </w:rPr>
        <w:footnoteReference w:customMarkFollows="0" w:id="14"/>
      </w:r>
      <w:r w:rsidDel="00000000" w:rsidR="00000000" w:rsidRPr="00000000">
        <w:rPr>
          <w:rFonts w:ascii="Calibri" w:cs="Calibri" w:eastAsia="Calibri" w:hAnsi="Calibri"/>
          <w:color w:val="202122"/>
          <w:sz w:val="24"/>
          <w:szCs w:val="24"/>
          <w:highlight w:val="white"/>
          <w:rtl w:val="0"/>
        </w:rPr>
        <w:t xml:space="preserve"> The hymns were meant to be a song of praise to celebrate the gods.</w:t>
      </w:r>
      <w:r w:rsidDel="00000000" w:rsidR="00000000" w:rsidRPr="00000000">
        <w:rPr>
          <w:rFonts w:ascii="Calibri" w:cs="Calibri" w:eastAsia="Calibri" w:hAnsi="Calibri"/>
          <w:color w:val="202122"/>
          <w:sz w:val="24"/>
          <w:szCs w:val="24"/>
          <w:highlight w:val="white"/>
          <w:vertAlign w:val="superscript"/>
        </w:rPr>
        <w:footnoteReference w:customMarkFollows="0" w:id="15"/>
      </w:r>
      <w:r w:rsidDel="00000000" w:rsidR="00000000" w:rsidRPr="00000000">
        <w:rPr>
          <w:rFonts w:ascii="Calibri" w:cs="Calibri" w:eastAsia="Calibri" w:hAnsi="Calibri"/>
          <w:color w:val="202122"/>
          <w:sz w:val="24"/>
          <w:szCs w:val="24"/>
          <w:highlight w:val="white"/>
          <w:rtl w:val="0"/>
        </w:rPr>
        <w:t xml:space="preserve"> </w:t>
      </w:r>
    </w:p>
    <w:p w:rsidR="00000000" w:rsidDel="00000000" w:rsidP="00000000" w:rsidRDefault="00000000" w:rsidRPr="00000000" w14:paraId="0000008B">
      <w:pPr>
        <w:ind w:left="0"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The Norse myth about Sol and Mani was taken from </w:t>
      </w:r>
      <w:r w:rsidDel="00000000" w:rsidR="00000000" w:rsidRPr="00000000">
        <w:rPr>
          <w:rFonts w:ascii="Calibri" w:cs="Calibri" w:eastAsia="Calibri" w:hAnsi="Calibri"/>
          <w:i w:val="1"/>
          <w:color w:val="202122"/>
          <w:sz w:val="24"/>
          <w:szCs w:val="24"/>
          <w:highlight w:val="white"/>
          <w:rtl w:val="0"/>
        </w:rPr>
        <w:t xml:space="preserve">The</w:t>
      </w:r>
      <w:r w:rsidDel="00000000" w:rsidR="00000000" w:rsidRPr="00000000">
        <w:rPr>
          <w:rFonts w:ascii="Calibri" w:cs="Calibri" w:eastAsia="Calibri" w:hAnsi="Calibri"/>
          <w:color w:val="202122"/>
          <w:sz w:val="24"/>
          <w:szCs w:val="24"/>
          <w:highlight w:val="white"/>
          <w:rtl w:val="0"/>
        </w:rPr>
        <w:t xml:space="preserve"> </w:t>
      </w:r>
      <w:r w:rsidDel="00000000" w:rsidR="00000000" w:rsidRPr="00000000">
        <w:rPr>
          <w:rFonts w:ascii="Calibri" w:cs="Calibri" w:eastAsia="Calibri" w:hAnsi="Calibri"/>
          <w:i w:val="1"/>
          <w:color w:val="202122"/>
          <w:sz w:val="24"/>
          <w:szCs w:val="24"/>
          <w:highlight w:val="white"/>
          <w:rtl w:val="0"/>
        </w:rPr>
        <w:t xml:space="preserve">Prose Edda</w:t>
      </w:r>
      <w:r w:rsidDel="00000000" w:rsidR="00000000" w:rsidRPr="00000000">
        <w:rPr>
          <w:rFonts w:ascii="Calibri" w:cs="Calibri" w:eastAsia="Calibri" w:hAnsi="Calibri"/>
          <w:color w:val="202122"/>
          <w:sz w:val="24"/>
          <w:szCs w:val="24"/>
          <w:highlight w:val="white"/>
          <w:rtl w:val="0"/>
        </w:rPr>
        <w:t xml:space="preserve"> assumed to have been written by the Icelandic chieftain Snorri Sturluson</w:t>
      </w:r>
      <w:r w:rsidDel="00000000" w:rsidR="00000000" w:rsidRPr="00000000">
        <w:rPr>
          <w:rFonts w:ascii="Calibri" w:cs="Calibri" w:eastAsia="Calibri" w:hAnsi="Calibri"/>
          <w:color w:val="202122"/>
          <w:sz w:val="24"/>
          <w:szCs w:val="24"/>
          <w:highlight w:val="white"/>
          <w:vertAlign w:val="superscript"/>
        </w:rPr>
        <w:footnoteReference w:customMarkFollows="0" w:id="16"/>
      </w:r>
      <w:r w:rsidDel="00000000" w:rsidR="00000000" w:rsidRPr="00000000">
        <w:rPr>
          <w:rFonts w:ascii="Calibri" w:cs="Calibri" w:eastAsia="Calibri" w:hAnsi="Calibri"/>
          <w:color w:val="202122"/>
          <w:sz w:val="24"/>
          <w:szCs w:val="24"/>
          <w:highlight w:val="white"/>
          <w:rtl w:val="0"/>
        </w:rPr>
        <w:t xml:space="preserve"> and is considered Scandinavia’s most extensive source for Norse mythology compiled in Iceland in the thirteenth century.</w:t>
      </w:r>
      <w:r w:rsidDel="00000000" w:rsidR="00000000" w:rsidRPr="00000000">
        <w:rPr>
          <w:rFonts w:ascii="Calibri" w:cs="Calibri" w:eastAsia="Calibri" w:hAnsi="Calibri"/>
          <w:color w:val="202122"/>
          <w:sz w:val="24"/>
          <w:szCs w:val="24"/>
          <w:highlight w:val="white"/>
          <w:vertAlign w:val="superscript"/>
        </w:rPr>
        <w:footnoteReference w:customMarkFollows="0" w:id="17"/>
      </w:r>
      <w:r w:rsidDel="00000000" w:rsidR="00000000" w:rsidRPr="00000000">
        <w:rPr>
          <w:rFonts w:ascii="Calibri" w:cs="Calibri" w:eastAsia="Calibri" w:hAnsi="Calibri"/>
          <w:color w:val="202122"/>
          <w:sz w:val="24"/>
          <w:szCs w:val="24"/>
          <w:highlight w:val="white"/>
          <w:rtl w:val="0"/>
        </w:rPr>
        <w:t xml:space="preserve"> Similar to the Homeric Hymns, the Prose Edda were intended to be written in the native language and meant to be read aloud so that both literate and non-literate folk could be reached. </w:t>
      </w:r>
      <w:r w:rsidDel="00000000" w:rsidR="00000000" w:rsidRPr="00000000">
        <w:rPr>
          <w:rFonts w:ascii="Calibri" w:cs="Calibri" w:eastAsia="Calibri" w:hAnsi="Calibri"/>
          <w:color w:val="202122"/>
          <w:sz w:val="24"/>
          <w:szCs w:val="24"/>
          <w:highlight w:val="white"/>
          <w:vertAlign w:val="superscript"/>
        </w:rPr>
        <w:footnoteReference w:customMarkFollows="0" w:id="18"/>
      </w:r>
      <w:r w:rsidDel="00000000" w:rsidR="00000000" w:rsidRPr="00000000">
        <w:rPr>
          <w:rFonts w:ascii="Calibri" w:cs="Calibri" w:eastAsia="Calibri" w:hAnsi="Calibri"/>
          <w:color w:val="202122"/>
          <w:sz w:val="24"/>
          <w:szCs w:val="24"/>
          <w:highlight w:val="white"/>
          <w:rtl w:val="0"/>
        </w:rPr>
        <w:t xml:space="preserve"> </w:t>
      </w:r>
    </w:p>
    <w:p w:rsidR="00000000" w:rsidDel="00000000" w:rsidP="00000000" w:rsidRDefault="00000000" w:rsidRPr="00000000" w14:paraId="0000008C">
      <w:pPr>
        <w:ind w:left="0" w:firstLine="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ab/>
        <w:t xml:space="preserve">In the Greek myths of Helios and Selene describe the story of the sun and the moon. Helios, the Greek god of the sun, was the only son of the Titans Hyperion and Theia, also called Euryphaessa. The couple had two daughters Selene the moon and Eos the dawn. Helios, the personification of the Sun, was portrayed as driving a stallion drawn chariot across the sky on a daily basis. Everyday he would rise to the highest point of the heavens and linger there until he would plunge into the ocean yielding the sky to his Titan goddess sister Selene.  She was the goddess of the moon, and also drove every night across the skies. Selene drove the silver moon chariot which was carried by horses with long flowing manes.</w:t>
      </w:r>
    </w:p>
    <w:p w:rsidR="00000000" w:rsidDel="00000000" w:rsidP="00000000" w:rsidRDefault="00000000" w:rsidRPr="00000000" w14:paraId="0000008D">
      <w:pPr>
        <w:ind w:left="0" w:firstLine="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ab/>
        <w:t xml:space="preserve">In the Norse myths,  Mani and Sol were the children of a man named Mundilfari. They were so beautiful that the man named his son Mani (moon) and his daughter Sol (sun). Their father married Sol off to a man named Glen which angered the gods so they placed the siblings up in the heavens. There Sol was made to drive a horse drawn chariot of the sun to illuminate the worlds with burning embers from Muspelheim. In order to cool the horses the gods placed two bellows under their shoulders. It is Mani who guides the path of the moon and controls its waxing and waning. Mani took two children named Bil and Hjuki from the earth and can be seen from earth following Mani. </w:t>
      </w:r>
    </w:p>
    <w:p w:rsidR="00000000" w:rsidDel="00000000" w:rsidP="00000000" w:rsidRDefault="00000000" w:rsidRPr="00000000" w14:paraId="0000008E">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There are similarities that can be drawn from the Greek and the Norse sun and moon myths. Both cultures have devised a myth or story around the sun and the moon. They have  found the sun and moon of enough interest and importance to warrant writing a narrative around them. Both cultures personify the sun and the moon and described as a part of a family and are siblings. Observing the function and relationship of the moon and the sun with the naked eye, ancient civilizations were reflecting the close relationship to help describe the sun and the moon. Both myths describe the sun characters Helios and Sol as driving chariots across the sky. Before cars and aeroplanes, the ancients used the chariot as a means to describe the movement of the heavenly bodies and the speed of the sun moving from east to west across the sky and the waxing and waning of the moon.</w:t>
      </w:r>
    </w:p>
    <w:p w:rsidR="00000000" w:rsidDel="00000000" w:rsidP="00000000" w:rsidRDefault="00000000" w:rsidRPr="00000000" w14:paraId="0000008F">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Some of the key differences between the Greek and Norse myths are the gender of the sun and moon </w:t>
      </w:r>
    </w:p>
    <w:p w:rsidR="00000000" w:rsidDel="00000000" w:rsidP="00000000" w:rsidRDefault="00000000" w:rsidRPr="00000000" w14:paraId="00000090">
      <w:pPr>
        <w:rPr>
          <w:rFonts w:ascii="Calibri" w:cs="Calibri" w:eastAsia="Calibri" w:hAnsi="Calibri"/>
          <w:b w:val="1"/>
          <w:color w:val="202122"/>
          <w:sz w:val="24"/>
          <w:szCs w:val="24"/>
          <w:highlight w:val="white"/>
        </w:rPr>
      </w:pPr>
      <w:r w:rsidDel="00000000" w:rsidR="00000000" w:rsidRPr="00000000">
        <w:rPr>
          <w:rtl w:val="0"/>
        </w:rPr>
      </w:r>
    </w:p>
    <w:p w:rsidR="00000000" w:rsidDel="00000000" w:rsidP="00000000" w:rsidRDefault="00000000" w:rsidRPr="00000000" w14:paraId="00000091">
      <w:pPr>
        <w:rPr>
          <w:rFonts w:ascii="Calibri" w:cs="Calibri" w:eastAsia="Calibri" w:hAnsi="Calibri"/>
          <w:b w:val="1"/>
          <w:color w:val="202122"/>
          <w:sz w:val="24"/>
          <w:szCs w:val="24"/>
          <w:highlight w:val="yellow"/>
        </w:rPr>
      </w:pPr>
      <w:r w:rsidDel="00000000" w:rsidR="00000000" w:rsidRPr="00000000">
        <w:rPr>
          <w:rFonts w:ascii="Calibri" w:cs="Calibri" w:eastAsia="Calibri" w:hAnsi="Calibri"/>
          <w:b w:val="1"/>
          <w:color w:val="202122"/>
          <w:sz w:val="24"/>
          <w:szCs w:val="24"/>
          <w:highlight w:val="yellow"/>
          <w:rtl w:val="0"/>
        </w:rPr>
        <w:t xml:space="preserve">FUNCTION OF THE SKY MYTHS / RELATIONSHIP to CALENDAR AND CALENDAR RITUALS </w:t>
      </w:r>
    </w:p>
    <w:p w:rsidR="00000000" w:rsidDel="00000000" w:rsidP="00000000" w:rsidRDefault="00000000" w:rsidRPr="00000000" w14:paraId="00000092">
      <w:pPr>
        <w:rPr>
          <w:rFonts w:ascii="Calibri" w:cs="Calibri" w:eastAsia="Calibri" w:hAnsi="Calibri"/>
          <w:color w:val="202122"/>
          <w:sz w:val="24"/>
          <w:szCs w:val="24"/>
          <w:highlight w:val="white"/>
        </w:rPr>
      </w:pPr>
      <w:r w:rsidDel="00000000" w:rsidR="00000000" w:rsidRPr="00000000">
        <w:rPr>
          <w:rtl w:val="0"/>
        </w:rPr>
      </w:r>
    </w:p>
    <w:p w:rsidR="00000000" w:rsidDel="00000000" w:rsidP="00000000" w:rsidRDefault="00000000" w:rsidRPr="00000000" w14:paraId="00000093">
      <w:pPr>
        <w:rPr>
          <w:rFonts w:ascii="Calibri" w:cs="Calibri" w:eastAsia="Calibri" w:hAnsi="Calibri"/>
          <w:b w:val="1"/>
          <w:color w:val="202122"/>
          <w:sz w:val="24"/>
          <w:szCs w:val="24"/>
          <w:highlight w:val="yellow"/>
        </w:rPr>
      </w:pPr>
      <w:r w:rsidDel="00000000" w:rsidR="00000000" w:rsidRPr="00000000">
        <w:rPr>
          <w:rFonts w:ascii="Calibri" w:cs="Calibri" w:eastAsia="Calibri" w:hAnsi="Calibri"/>
          <w:b w:val="1"/>
          <w:color w:val="202122"/>
          <w:sz w:val="24"/>
          <w:szCs w:val="24"/>
          <w:highlight w:val="yellow"/>
          <w:rtl w:val="0"/>
        </w:rPr>
        <w:t xml:space="preserve">CONCLUSIONS TO BE DRAWN ABOUT NATURE OF SKY MYTHS</w:t>
      </w:r>
    </w:p>
    <w:p w:rsidR="00000000" w:rsidDel="00000000" w:rsidP="00000000" w:rsidRDefault="00000000" w:rsidRPr="00000000" w14:paraId="00000094">
      <w:pPr>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In conclusion the cultural purpose of the sky myths about the sun and moon are cosmogonic in that it offers an explanation of the sun and moons relationship to each other as well as the reason behind the setting and rising of the sun and and the waxing and waning of the moon. It helps inform people of the why and the how of the heavenly bodies in the sky. </w:t>
      </w:r>
    </w:p>
    <w:p w:rsidR="00000000" w:rsidDel="00000000" w:rsidP="00000000" w:rsidRDefault="00000000" w:rsidRPr="00000000" w14:paraId="00000095">
      <w:pPr>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Myth enchanted, awe wonder </w:t>
      </w:r>
    </w:p>
    <w:p w:rsidR="00000000" w:rsidDel="00000000" w:rsidP="00000000" w:rsidRDefault="00000000" w:rsidRPr="00000000" w14:paraId="00000096">
      <w:pPr>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Myth tells a story </w:t>
      </w:r>
    </w:p>
    <w:p w:rsidR="00000000" w:rsidDel="00000000" w:rsidP="00000000" w:rsidRDefault="00000000" w:rsidRPr="00000000" w14:paraId="00000097">
      <w:pPr>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We do not need to dismiss myth as false </w:t>
      </w:r>
    </w:p>
    <w:p w:rsidR="00000000" w:rsidDel="00000000" w:rsidP="00000000" w:rsidRDefault="00000000" w:rsidRPr="00000000" w14:paraId="00000098">
      <w:pPr>
        <w:rPr>
          <w:rFonts w:ascii="Calibri" w:cs="Calibri" w:eastAsia="Calibri" w:hAnsi="Calibri"/>
          <w:color w:val="202122"/>
          <w:sz w:val="24"/>
          <w:szCs w:val="24"/>
          <w:highlight w:val="white"/>
        </w:rPr>
      </w:pPr>
      <w:r w:rsidDel="00000000" w:rsidR="00000000" w:rsidRPr="00000000">
        <w:rPr>
          <w:rtl w:val="0"/>
        </w:rPr>
      </w:r>
    </w:p>
    <w:p w:rsidR="00000000" w:rsidDel="00000000" w:rsidP="00000000" w:rsidRDefault="00000000" w:rsidRPr="00000000" w14:paraId="00000099">
      <w:pPr>
        <w:rPr>
          <w:rFonts w:ascii="Calibri" w:cs="Calibri" w:eastAsia="Calibri" w:hAnsi="Calibri"/>
          <w:b w:val="1"/>
          <w:color w:val="2021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9A">
      <w:pPr>
        <w:rPr>
          <w:rFonts w:ascii="Calibri" w:cs="Calibri" w:eastAsia="Calibri" w:hAnsi="Calibri"/>
          <w:b w:val="1"/>
          <w:color w:val="202122"/>
          <w:sz w:val="24"/>
          <w:szCs w:val="24"/>
          <w:highlight w:val="white"/>
        </w:rPr>
      </w:pPr>
      <w:r w:rsidDel="00000000" w:rsidR="00000000" w:rsidRPr="00000000">
        <w:rPr>
          <w:rFonts w:ascii="Calibri" w:cs="Calibri" w:eastAsia="Calibri" w:hAnsi="Calibri"/>
          <w:b w:val="1"/>
          <w:color w:val="202122"/>
          <w:sz w:val="24"/>
          <w:szCs w:val="24"/>
          <w:highlight w:val="white"/>
          <w:rtl w:val="0"/>
        </w:rPr>
        <w:t xml:space="preserve">Bibliography</w:t>
      </w:r>
    </w:p>
    <w:p w:rsidR="00000000" w:rsidDel="00000000" w:rsidP="00000000" w:rsidRDefault="00000000" w:rsidRPr="00000000" w14:paraId="0000009B">
      <w:pPr>
        <w:rPr>
          <w:rFonts w:ascii="Calibri" w:cs="Calibri" w:eastAsia="Calibri" w:hAnsi="Calibri"/>
          <w:b w:val="1"/>
          <w:color w:val="202122"/>
          <w:sz w:val="24"/>
          <w:szCs w:val="24"/>
          <w:highlight w:val="white"/>
        </w:rPr>
      </w:pPr>
      <w:r w:rsidDel="00000000" w:rsidR="00000000" w:rsidRPr="00000000">
        <w:rPr>
          <w:rtl w:val="0"/>
        </w:rPr>
      </w:r>
    </w:p>
    <w:p w:rsidR="00000000" w:rsidDel="00000000" w:rsidP="00000000" w:rsidRDefault="00000000" w:rsidRPr="00000000" w14:paraId="0000009C">
      <w:pPr>
        <w:spacing w:line="240" w:lineRule="auto"/>
        <w:rPr>
          <w:i w:val="1"/>
          <w:sz w:val="24"/>
          <w:szCs w:val="24"/>
        </w:rPr>
      </w:pPr>
      <w:r w:rsidDel="00000000" w:rsidR="00000000" w:rsidRPr="00000000">
        <w:rPr>
          <w:rtl w:val="0"/>
        </w:rPr>
      </w:r>
    </w:p>
    <w:p w:rsidR="00000000" w:rsidDel="00000000" w:rsidP="00000000" w:rsidRDefault="00000000" w:rsidRPr="00000000" w14:paraId="0000009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Cashford, Jules and Richardson, Nicholas, T</w:t>
      </w:r>
      <w:r w:rsidDel="00000000" w:rsidR="00000000" w:rsidRPr="00000000">
        <w:rPr>
          <w:rFonts w:ascii="Calibri" w:cs="Calibri" w:eastAsia="Calibri" w:hAnsi="Calibri"/>
          <w:i w:val="1"/>
          <w:sz w:val="24"/>
          <w:szCs w:val="24"/>
          <w:rtl w:val="0"/>
        </w:rPr>
        <w:t xml:space="preserve">he Homeric Hymns, </w:t>
      </w:r>
      <w:r w:rsidDel="00000000" w:rsidR="00000000" w:rsidRPr="00000000">
        <w:rPr>
          <w:rFonts w:ascii="Calibri" w:cs="Calibri" w:eastAsia="Calibri" w:hAnsi="Calibri"/>
          <w:sz w:val="24"/>
          <w:szCs w:val="24"/>
          <w:rtl w:val="0"/>
        </w:rPr>
        <w:t xml:space="preserve">trans. by Jules Cashford,</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(London: Penguin Books, 2003</w:t>
      </w:r>
    </w:p>
    <w:p w:rsidR="00000000" w:rsidDel="00000000" w:rsidP="00000000" w:rsidRDefault="00000000" w:rsidRPr="00000000" w14:paraId="0000009E">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br w:type="textWrapping"/>
        <w:t xml:space="preserve">Curry, Patrick, </w:t>
      </w:r>
      <w:r w:rsidDel="00000000" w:rsidR="00000000" w:rsidRPr="00000000">
        <w:rPr>
          <w:rFonts w:ascii="Calibri" w:cs="Calibri" w:eastAsia="Calibri" w:hAnsi="Calibri"/>
          <w:i w:val="1"/>
          <w:sz w:val="24"/>
          <w:szCs w:val="24"/>
          <w:rtl w:val="0"/>
        </w:rPr>
        <w:t xml:space="preserve">Enchantment. Wonder in Modern Life</w:t>
      </w:r>
      <w:r w:rsidDel="00000000" w:rsidR="00000000" w:rsidRPr="00000000">
        <w:rPr>
          <w:rFonts w:ascii="Calibri" w:cs="Calibri" w:eastAsia="Calibri" w:hAnsi="Calibri"/>
          <w:sz w:val="24"/>
          <w:szCs w:val="24"/>
          <w:rtl w:val="0"/>
        </w:rPr>
        <w:t xml:space="preserve">, (Edinburgh, Floris Books, 2019)</w:t>
      </w:r>
    </w:p>
    <w:p w:rsidR="00000000" w:rsidDel="00000000" w:rsidP="00000000" w:rsidRDefault="00000000" w:rsidRPr="00000000" w14:paraId="0000009F">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0">
      <w:pPr>
        <w:spacing w:line="240" w:lineRule="auto"/>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Eliade, Mircea, Cosmogonic Myth and “Sacred History”, </w:t>
      </w:r>
      <w:r w:rsidDel="00000000" w:rsidR="00000000" w:rsidRPr="00000000">
        <w:rPr>
          <w:rFonts w:ascii="Calibri" w:cs="Calibri" w:eastAsia="Calibri" w:hAnsi="Calibri"/>
          <w:sz w:val="24"/>
          <w:szCs w:val="24"/>
          <w:rtl w:val="0"/>
        </w:rPr>
        <w:t xml:space="preserve">Religious Studies, 2.2</w:t>
      </w:r>
      <w:r w:rsidDel="00000000" w:rsidR="00000000" w:rsidRPr="00000000">
        <w:rPr>
          <w:rFonts w:ascii="Calibri" w:cs="Calibri" w:eastAsia="Calibri" w:hAnsi="Calibri"/>
          <w:i w:val="1"/>
          <w:sz w:val="24"/>
          <w:szCs w:val="24"/>
          <w:rtl w:val="0"/>
        </w:rPr>
        <w:t xml:space="preserve"> (Cambridge: Cambridge University Press, 1967)</w:t>
      </w:r>
    </w:p>
    <w:p w:rsidR="00000000" w:rsidDel="00000000" w:rsidP="00000000" w:rsidRDefault="00000000" w:rsidRPr="00000000" w14:paraId="000000A1">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Gunzberg, Darrelyn, Ed., </w:t>
      </w:r>
      <w:r w:rsidDel="00000000" w:rsidR="00000000" w:rsidRPr="00000000">
        <w:rPr>
          <w:rFonts w:ascii="Calibri" w:cs="Calibri" w:eastAsia="Calibri" w:hAnsi="Calibri"/>
          <w:i w:val="1"/>
          <w:sz w:val="24"/>
          <w:szCs w:val="24"/>
          <w:rtl w:val="0"/>
        </w:rPr>
        <w:t xml:space="preserve">The Imagined Sky. Cultural Perspectives</w:t>
      </w:r>
      <w:r w:rsidDel="00000000" w:rsidR="00000000" w:rsidRPr="00000000">
        <w:rPr>
          <w:rFonts w:ascii="Calibri" w:cs="Calibri" w:eastAsia="Calibri" w:hAnsi="Calibri"/>
          <w:sz w:val="24"/>
          <w:szCs w:val="24"/>
          <w:rtl w:val="0"/>
        </w:rPr>
        <w:t xml:space="preserve">, (South Yorkshire: Equinox Publishing Ltd., 2016)</w:t>
      </w:r>
    </w:p>
    <w:p w:rsidR="00000000" w:rsidDel="00000000" w:rsidP="00000000" w:rsidRDefault="00000000" w:rsidRPr="00000000" w14:paraId="000000A3">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4">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Menzies, James W., </w:t>
      </w:r>
      <w:r w:rsidDel="00000000" w:rsidR="00000000" w:rsidRPr="00000000">
        <w:rPr>
          <w:rFonts w:ascii="Calibri" w:cs="Calibri" w:eastAsia="Calibri" w:hAnsi="Calibri"/>
          <w:i w:val="1"/>
          <w:sz w:val="24"/>
          <w:szCs w:val="24"/>
          <w:rtl w:val="0"/>
        </w:rPr>
        <w:t xml:space="preserve">True Myth : C. S. Lewis and Joseph Campbell on the Veracity of Christianity</w:t>
      </w:r>
      <w:r w:rsidDel="00000000" w:rsidR="00000000" w:rsidRPr="00000000">
        <w:rPr>
          <w:rFonts w:ascii="Calibri" w:cs="Calibri" w:eastAsia="Calibri" w:hAnsi="Calibri"/>
          <w:sz w:val="24"/>
          <w:szCs w:val="24"/>
          <w:rtl w:val="0"/>
        </w:rPr>
        <w:t xml:space="preserve"> (Cambridge, England: The Lutterworth Press, 2015)</w:t>
      </w:r>
    </w:p>
    <w:p w:rsidR="00000000" w:rsidDel="00000000" w:rsidP="00000000" w:rsidRDefault="00000000" w:rsidRPr="00000000" w14:paraId="000000A5">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6">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Ruggles, Clive and Urton, Gary, Eds.,</w:t>
      </w:r>
      <w:r w:rsidDel="00000000" w:rsidR="00000000" w:rsidRPr="00000000">
        <w:rPr>
          <w:rFonts w:ascii="Calibri" w:cs="Calibri" w:eastAsia="Calibri" w:hAnsi="Calibri"/>
          <w:i w:val="1"/>
          <w:sz w:val="24"/>
          <w:szCs w:val="24"/>
          <w:rtl w:val="0"/>
        </w:rPr>
        <w:t xml:space="preserve"> Skywatching in the Ancient World. New Perspectives in Cultural Astronomy</w:t>
      </w:r>
      <w:r w:rsidDel="00000000" w:rsidR="00000000" w:rsidRPr="00000000">
        <w:rPr>
          <w:rFonts w:ascii="Calibri" w:cs="Calibri" w:eastAsia="Calibri" w:hAnsi="Calibri"/>
          <w:sz w:val="24"/>
          <w:szCs w:val="24"/>
          <w:rtl w:val="0"/>
        </w:rPr>
        <w:t xml:space="preserve">, (Colorado: University Press of Colorado, 2007)</w:t>
      </w:r>
    </w:p>
    <w:p w:rsidR="00000000" w:rsidDel="00000000" w:rsidP="00000000" w:rsidRDefault="00000000" w:rsidRPr="00000000" w14:paraId="000000A7">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8">
      <w:pPr>
        <w:spacing w:line="24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Rayor, Diane J., </w:t>
      </w:r>
      <w:r w:rsidDel="00000000" w:rsidR="00000000" w:rsidRPr="00000000">
        <w:rPr>
          <w:rFonts w:ascii="Calibri" w:cs="Calibri" w:eastAsia="Calibri" w:hAnsi="Calibri"/>
          <w:i w:val="1"/>
          <w:sz w:val="24"/>
          <w:szCs w:val="24"/>
          <w:highlight w:val="white"/>
          <w:rtl w:val="0"/>
        </w:rPr>
        <w:t xml:space="preserve">The Homeric Hymns</w:t>
      </w:r>
      <w:r w:rsidDel="00000000" w:rsidR="00000000" w:rsidRPr="00000000">
        <w:rPr>
          <w:rFonts w:ascii="Calibri" w:cs="Calibri" w:eastAsia="Calibri" w:hAnsi="Calibri"/>
          <w:sz w:val="24"/>
          <w:szCs w:val="24"/>
          <w:highlight w:val="white"/>
          <w:rtl w:val="0"/>
        </w:rPr>
        <w:t xml:space="preserve">, trans. by Diane J. Rayor, Updated edition. (Berkeley: University of California Press, 2014)</w:t>
      </w:r>
    </w:p>
    <w:p w:rsidR="00000000" w:rsidDel="00000000" w:rsidP="00000000" w:rsidRDefault="00000000" w:rsidRPr="00000000" w14:paraId="000000A9">
      <w:pPr>
        <w:spacing w:line="240" w:lineRule="auto"/>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AA">
      <w:pPr>
        <w:spacing w:line="24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Segal, Robert E., </w:t>
      </w:r>
      <w:r w:rsidDel="00000000" w:rsidR="00000000" w:rsidRPr="00000000">
        <w:rPr>
          <w:rFonts w:ascii="Calibri" w:cs="Calibri" w:eastAsia="Calibri" w:hAnsi="Calibri"/>
          <w:i w:val="1"/>
          <w:sz w:val="24"/>
          <w:szCs w:val="24"/>
          <w:rtl w:val="0"/>
        </w:rPr>
        <w:t xml:space="preserve">Myth. A Very Short Introduction, </w:t>
      </w:r>
      <w:r w:rsidDel="00000000" w:rsidR="00000000" w:rsidRPr="00000000">
        <w:rPr>
          <w:rFonts w:ascii="Calibri" w:cs="Calibri" w:eastAsia="Calibri" w:hAnsi="Calibri"/>
          <w:sz w:val="24"/>
          <w:szCs w:val="24"/>
          <w:rtl w:val="0"/>
        </w:rPr>
        <w:t xml:space="preserve">(New York, Oxford University Press,</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2004</w:t>
      </w:r>
      <w:r w:rsidDel="00000000" w:rsidR="00000000" w:rsidRPr="00000000">
        <w:rPr>
          <w:rFonts w:ascii="Calibri" w:cs="Calibri" w:eastAsia="Calibri" w:hAnsi="Calibri"/>
          <w:sz w:val="24"/>
          <w:szCs w:val="24"/>
          <w:rtl w:val="0"/>
        </w:rPr>
        <w:t xml:space="preserve">)</w:t>
      </w:r>
      <w:r w:rsidDel="00000000" w:rsidR="00000000" w:rsidRPr="00000000">
        <w:rPr>
          <w:rtl w:val="0"/>
        </w:rPr>
      </w:r>
    </w:p>
    <w:p w:rsidR="00000000" w:rsidDel="00000000" w:rsidP="00000000" w:rsidRDefault="00000000" w:rsidRPr="00000000" w14:paraId="000000AB">
      <w:pPr>
        <w:spacing w:line="240" w:lineRule="auto"/>
        <w:rPr>
          <w:rFonts w:ascii="Calibri" w:cs="Calibri" w:eastAsia="Calibri" w:hAnsi="Calibri"/>
          <w:color w:val="3a3a3a"/>
          <w:sz w:val="24"/>
          <w:szCs w:val="24"/>
          <w:highlight w:val="white"/>
        </w:rPr>
      </w:pPr>
      <w:r w:rsidDel="00000000" w:rsidR="00000000" w:rsidRPr="00000000">
        <w:rPr>
          <w:rtl w:val="0"/>
        </w:rPr>
      </w:r>
    </w:p>
    <w:p w:rsidR="00000000" w:rsidDel="00000000" w:rsidP="00000000" w:rsidRDefault="00000000" w:rsidRPr="00000000" w14:paraId="000000AC">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Sturluson, Snorri, </w:t>
      </w:r>
      <w:r w:rsidDel="00000000" w:rsidR="00000000" w:rsidRPr="00000000">
        <w:rPr>
          <w:rFonts w:ascii="Calibri" w:cs="Calibri" w:eastAsia="Calibri" w:hAnsi="Calibri"/>
          <w:i w:val="1"/>
          <w:sz w:val="24"/>
          <w:szCs w:val="24"/>
          <w:rtl w:val="0"/>
        </w:rPr>
        <w:t xml:space="preserve">The Prose Edda, </w:t>
      </w:r>
      <w:r w:rsidDel="00000000" w:rsidR="00000000" w:rsidRPr="00000000">
        <w:rPr>
          <w:rFonts w:ascii="Calibri" w:cs="Calibri" w:eastAsia="Calibri" w:hAnsi="Calibri"/>
          <w:sz w:val="24"/>
          <w:szCs w:val="24"/>
          <w:rtl w:val="0"/>
        </w:rPr>
        <w:t xml:space="preserve">(London: Penguin Classics, 2005)</w:t>
      </w:r>
    </w:p>
    <w:p w:rsidR="00000000" w:rsidDel="00000000" w:rsidP="00000000" w:rsidRDefault="00000000" w:rsidRPr="00000000" w14:paraId="000000AD">
      <w:pPr>
        <w:spacing w:line="240" w:lineRule="auto"/>
        <w:rPr>
          <w:sz w:val="24"/>
          <w:szCs w:val="24"/>
        </w:rPr>
      </w:pPr>
      <w:r w:rsidDel="00000000" w:rsidR="00000000" w:rsidRPr="00000000">
        <w:rPr>
          <w:rtl w:val="0"/>
        </w:rPr>
      </w:r>
    </w:p>
    <w:p w:rsidR="00000000" w:rsidDel="00000000" w:rsidP="00000000" w:rsidRDefault="00000000" w:rsidRPr="00000000" w14:paraId="000000AE">
      <w:pPr>
        <w:spacing w:line="240" w:lineRule="auto"/>
        <w:rPr>
          <w:sz w:val="24"/>
          <w:szCs w:val="24"/>
        </w:rPr>
      </w:pPr>
      <w:r w:rsidDel="00000000" w:rsidR="00000000" w:rsidRPr="00000000">
        <w:rPr>
          <w:rtl w:val="0"/>
        </w:rPr>
      </w:r>
    </w:p>
    <w:p w:rsidR="00000000" w:rsidDel="00000000" w:rsidP="00000000" w:rsidRDefault="00000000" w:rsidRPr="00000000" w14:paraId="000000AF">
      <w:pPr>
        <w:spacing w:line="240" w:lineRule="auto"/>
        <w:rPr>
          <w:sz w:val="24"/>
          <w:szCs w:val="24"/>
        </w:rPr>
      </w:pPr>
      <w:r w:rsidDel="00000000" w:rsidR="00000000" w:rsidRPr="00000000">
        <w:rPr>
          <w:rtl w:val="0"/>
        </w:rPr>
      </w:r>
    </w:p>
    <w:sectPr>
      <w:headerReference r:id="rId8" w:type="default"/>
      <w:headerReference r:id="rId9" w:type="first"/>
      <w:footerReference r:id="rId10" w:type="default"/>
      <w:footerReference r:id="rId1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rebuchet MS"/>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4">
    <w:pPr>
      <w:ind w:left="0" w:firstLine="0"/>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B5">
    <w:pPr>
      <w:jc w:val="right"/>
      <w:rPr/>
    </w:pPr>
    <w:r w:rsidDel="00000000" w:rsidR="00000000" w:rsidRPr="00000000">
      <w:rPr>
        <w:rFonts w:ascii="Georgia" w:cs="Georgia" w:eastAsia="Georgia" w:hAnsi="Georgia"/>
        <w:sz w:val="21"/>
        <w:szCs w:val="21"/>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4">
    <w:p w:rsidR="00000000" w:rsidDel="00000000" w:rsidP="00000000" w:rsidRDefault="00000000" w:rsidRPr="00000000" w14:paraId="000000B6">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Segal ‘</w:t>
      </w:r>
      <w:r w:rsidDel="00000000" w:rsidR="00000000" w:rsidRPr="00000000">
        <w:rPr>
          <w:i w:val="1"/>
          <w:sz w:val="20"/>
          <w:szCs w:val="20"/>
          <w:rtl w:val="0"/>
        </w:rPr>
        <w:t xml:space="preserve">Myth’, p.3.</w:t>
      </w:r>
    </w:p>
  </w:footnote>
  <w:footnote w:id="6">
    <w:p w:rsidR="00000000" w:rsidDel="00000000" w:rsidP="00000000" w:rsidRDefault="00000000" w:rsidRPr="00000000" w14:paraId="000000B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Segal ‘</w:t>
      </w:r>
      <w:r w:rsidDel="00000000" w:rsidR="00000000" w:rsidRPr="00000000">
        <w:rPr>
          <w:i w:val="1"/>
          <w:sz w:val="20"/>
          <w:szCs w:val="20"/>
          <w:rtl w:val="0"/>
        </w:rPr>
        <w:t xml:space="preserve">Myth’, p.7.</w:t>
      </w:r>
      <w:r w:rsidDel="00000000" w:rsidR="00000000" w:rsidRPr="00000000">
        <w:rPr>
          <w:rtl w:val="0"/>
        </w:rPr>
      </w:r>
    </w:p>
  </w:footnote>
  <w:footnote w:id="13">
    <w:p w:rsidR="00000000" w:rsidDel="00000000" w:rsidP="00000000" w:rsidRDefault="00000000" w:rsidRPr="00000000" w14:paraId="000000B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p.vii.</w:t>
      </w:r>
    </w:p>
  </w:footnote>
  <w:footnote w:id="17">
    <w:p w:rsidR="00000000" w:rsidDel="00000000" w:rsidP="00000000" w:rsidRDefault="00000000" w:rsidRPr="00000000" w14:paraId="000000B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pp. ix-x.</w:t>
      </w:r>
    </w:p>
  </w:footnote>
  <w:footnote w:id="18">
    <w:p w:rsidR="00000000" w:rsidDel="00000000" w:rsidP="00000000" w:rsidRDefault="00000000" w:rsidRPr="00000000" w14:paraId="000000B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pp. x.</w:t>
      </w:r>
    </w:p>
    <w:p w:rsidR="00000000" w:rsidDel="00000000" w:rsidP="00000000" w:rsidRDefault="00000000" w:rsidRPr="00000000" w14:paraId="000000BB">
      <w:pPr>
        <w:spacing w:line="240" w:lineRule="auto"/>
        <w:rPr>
          <w:sz w:val="20"/>
          <w:szCs w:val="20"/>
        </w:rPr>
      </w:pPr>
      <w:r w:rsidDel="00000000" w:rsidR="00000000" w:rsidRPr="00000000">
        <w:rPr>
          <w:rtl w:val="0"/>
        </w:rPr>
      </w:r>
    </w:p>
  </w:footnote>
  <w:footnote w:id="16">
    <w:p w:rsidR="00000000" w:rsidDel="00000000" w:rsidP="00000000" w:rsidRDefault="00000000" w:rsidRPr="00000000" w14:paraId="000000B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 xii.</w:t>
      </w:r>
    </w:p>
  </w:footnote>
  <w:footnote w:id="10">
    <w:p w:rsidR="00000000" w:rsidDel="00000000" w:rsidP="00000000" w:rsidRDefault="00000000" w:rsidRPr="00000000" w14:paraId="000000B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Jules Cashford and Nicholas Richardson, Trans, ‘</w:t>
      </w:r>
      <w:r w:rsidDel="00000000" w:rsidR="00000000" w:rsidRPr="00000000">
        <w:rPr>
          <w:i w:val="1"/>
          <w:sz w:val="20"/>
          <w:szCs w:val="20"/>
          <w:rtl w:val="0"/>
        </w:rPr>
        <w:t xml:space="preserve">The Homeric Hymns’ </w:t>
      </w:r>
      <w:r w:rsidDel="00000000" w:rsidR="00000000" w:rsidRPr="00000000">
        <w:rPr>
          <w:sz w:val="20"/>
          <w:szCs w:val="20"/>
          <w:rtl w:val="0"/>
        </w:rPr>
        <w:t xml:space="preserve">(London: Penguin Books, 2003), pp.142-43.</w:t>
      </w:r>
    </w:p>
  </w:footnote>
  <w:footnote w:id="11">
    <w:p w:rsidR="00000000" w:rsidDel="00000000" w:rsidP="00000000" w:rsidRDefault="00000000" w:rsidRPr="00000000" w14:paraId="000000B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pp. 144-45.</w:t>
      </w:r>
    </w:p>
  </w:footnote>
  <w:footnote w:id="12">
    <w:p w:rsidR="00000000" w:rsidDel="00000000" w:rsidP="00000000" w:rsidRDefault="00000000" w:rsidRPr="00000000" w14:paraId="000000B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Snorri Sturluson, </w:t>
      </w:r>
      <w:r w:rsidDel="00000000" w:rsidR="00000000" w:rsidRPr="00000000">
        <w:rPr>
          <w:i w:val="1"/>
          <w:sz w:val="20"/>
          <w:szCs w:val="20"/>
          <w:rtl w:val="0"/>
        </w:rPr>
        <w:t xml:space="preserve">‘The Prose Edda’, </w:t>
      </w:r>
      <w:r w:rsidDel="00000000" w:rsidR="00000000" w:rsidRPr="00000000">
        <w:rPr>
          <w:sz w:val="20"/>
          <w:szCs w:val="20"/>
          <w:rtl w:val="0"/>
        </w:rPr>
        <w:t xml:space="preserve">(London: Penguin Classics, 2005), pp.19-20</w:t>
      </w:r>
    </w:p>
  </w:footnote>
  <w:footnote w:id="14">
    <w:p w:rsidR="00000000" w:rsidDel="00000000" w:rsidP="00000000" w:rsidRDefault="00000000" w:rsidRPr="00000000" w14:paraId="000000C0">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Diane J. Rayor, </w:t>
      </w:r>
      <w:r w:rsidDel="00000000" w:rsidR="00000000" w:rsidRPr="00000000">
        <w:rPr>
          <w:i w:val="1"/>
          <w:sz w:val="20"/>
          <w:szCs w:val="20"/>
          <w:highlight w:val="white"/>
          <w:rtl w:val="0"/>
        </w:rPr>
        <w:t xml:space="preserve">The Homeric Hymns</w:t>
      </w:r>
      <w:r w:rsidDel="00000000" w:rsidR="00000000" w:rsidRPr="00000000">
        <w:rPr>
          <w:sz w:val="20"/>
          <w:szCs w:val="20"/>
          <w:highlight w:val="white"/>
          <w:rtl w:val="0"/>
        </w:rPr>
        <w:t xml:space="preserve">, trans. by Diane J. Rayor, Updated edition. (Berkeley: University of California Press, 2014), p.2. </w:t>
      </w:r>
      <w:r w:rsidDel="00000000" w:rsidR="00000000" w:rsidRPr="00000000">
        <w:rPr>
          <w:rtl w:val="0"/>
        </w:rPr>
      </w:r>
    </w:p>
  </w:footnote>
  <w:footnote w:id="15">
    <w:p w:rsidR="00000000" w:rsidDel="00000000" w:rsidP="00000000" w:rsidRDefault="00000000" w:rsidRPr="00000000" w14:paraId="000000C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Rayor, </w:t>
      </w:r>
      <w:r w:rsidDel="00000000" w:rsidR="00000000" w:rsidRPr="00000000">
        <w:rPr>
          <w:i w:val="1"/>
          <w:sz w:val="20"/>
          <w:szCs w:val="20"/>
          <w:highlight w:val="white"/>
          <w:rtl w:val="0"/>
        </w:rPr>
        <w:t xml:space="preserve">The Homeric Hymns</w:t>
      </w:r>
      <w:r w:rsidDel="00000000" w:rsidR="00000000" w:rsidRPr="00000000">
        <w:rPr>
          <w:sz w:val="20"/>
          <w:szCs w:val="20"/>
          <w:highlight w:val="white"/>
          <w:rtl w:val="0"/>
        </w:rPr>
        <w:t xml:space="preserve">, p.2. </w:t>
      </w:r>
      <w:r w:rsidDel="00000000" w:rsidR="00000000" w:rsidRPr="00000000">
        <w:rPr>
          <w:rtl w:val="0"/>
        </w:rPr>
      </w:r>
    </w:p>
  </w:footnote>
  <w:footnote w:id="1">
    <w:p w:rsidR="00000000" w:rsidDel="00000000" w:rsidP="00000000" w:rsidRDefault="00000000" w:rsidRPr="00000000" w14:paraId="000000C2">
      <w:pPr>
        <w:spacing w:line="240" w:lineRule="auto"/>
        <w:rPr>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Mircea Eliade, ‘Cosmogonic Myth and “Sacred History”’, </w:t>
      </w:r>
      <w:r w:rsidDel="00000000" w:rsidR="00000000" w:rsidRPr="00000000">
        <w:rPr>
          <w:sz w:val="20"/>
          <w:szCs w:val="20"/>
          <w:rtl w:val="0"/>
        </w:rPr>
        <w:t xml:space="preserve">Religious Studies, 2.2 </w:t>
      </w:r>
      <w:r w:rsidDel="00000000" w:rsidR="00000000" w:rsidRPr="00000000">
        <w:rPr>
          <w:i w:val="1"/>
          <w:sz w:val="20"/>
          <w:szCs w:val="20"/>
          <w:rtl w:val="0"/>
        </w:rPr>
        <w:t xml:space="preserve">(Cambridge: Cambridge University Press, 1967), p. 171</w:t>
      </w:r>
      <w:r w:rsidDel="00000000" w:rsidR="00000000" w:rsidRPr="00000000">
        <w:rPr>
          <w:rtl w:val="0"/>
        </w:rPr>
      </w:r>
    </w:p>
  </w:footnote>
  <w:footnote w:id="2">
    <w:p w:rsidR="00000000" w:rsidDel="00000000" w:rsidP="00000000" w:rsidRDefault="00000000" w:rsidRPr="00000000" w14:paraId="000000C3">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James W. Mezies., ‘</w:t>
      </w:r>
      <w:r w:rsidDel="00000000" w:rsidR="00000000" w:rsidRPr="00000000">
        <w:rPr>
          <w:i w:val="1"/>
          <w:sz w:val="20"/>
          <w:szCs w:val="20"/>
          <w:rtl w:val="0"/>
        </w:rPr>
        <w:t xml:space="preserve">True Myth : C. S. Lewis and Joseph Campbell on the Veracity of Christianity’</w:t>
      </w:r>
      <w:r w:rsidDel="00000000" w:rsidR="00000000" w:rsidRPr="00000000">
        <w:rPr>
          <w:sz w:val="20"/>
          <w:szCs w:val="20"/>
          <w:rtl w:val="0"/>
        </w:rPr>
        <w:t xml:space="preserve"> (Cambridge, England: The Lutterworth Press, 2015) p.23.</w:t>
      </w:r>
      <w:r w:rsidDel="00000000" w:rsidR="00000000" w:rsidRPr="00000000">
        <w:rPr>
          <w:rtl w:val="0"/>
        </w:rPr>
      </w:r>
    </w:p>
  </w:footnote>
  <w:footnote w:id="3">
    <w:p w:rsidR="00000000" w:rsidDel="00000000" w:rsidP="00000000" w:rsidRDefault="00000000" w:rsidRPr="00000000" w14:paraId="000000C4">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Robert E. Segal ‘</w:t>
      </w:r>
      <w:r w:rsidDel="00000000" w:rsidR="00000000" w:rsidRPr="00000000">
        <w:rPr>
          <w:i w:val="1"/>
          <w:sz w:val="20"/>
          <w:szCs w:val="20"/>
          <w:rtl w:val="0"/>
        </w:rPr>
        <w:t xml:space="preserve">Myth. A Very Short Introduction’, (</w:t>
      </w:r>
      <w:r w:rsidDel="00000000" w:rsidR="00000000" w:rsidRPr="00000000">
        <w:rPr>
          <w:sz w:val="20"/>
          <w:szCs w:val="20"/>
          <w:rtl w:val="0"/>
        </w:rPr>
        <w:t xml:space="preserve">New York: Oxford University Press, 2004</w:t>
      </w:r>
      <w:r w:rsidDel="00000000" w:rsidR="00000000" w:rsidRPr="00000000">
        <w:rPr>
          <w:i w:val="1"/>
          <w:sz w:val="20"/>
          <w:szCs w:val="20"/>
          <w:rtl w:val="0"/>
        </w:rPr>
        <w:t xml:space="preserve">), p.1.</w:t>
      </w:r>
    </w:p>
  </w:footnote>
  <w:footnote w:id="5">
    <w:p w:rsidR="00000000" w:rsidDel="00000000" w:rsidP="00000000" w:rsidRDefault="00000000" w:rsidRPr="00000000" w14:paraId="000000C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‘Enchantment. Wonder in Modern Life’, (Edinburgh, Floris Books, 2019) p.90.</w:t>
      </w:r>
    </w:p>
  </w:footnote>
  <w:footnote w:id="0">
    <w:p w:rsidR="00000000" w:rsidDel="00000000" w:rsidP="00000000" w:rsidRDefault="00000000" w:rsidRPr="00000000" w14:paraId="000000C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Bernadette Bradey, ‘</w:t>
      </w:r>
      <w:r w:rsidDel="00000000" w:rsidR="00000000" w:rsidRPr="00000000">
        <w:rPr>
          <w:i w:val="1"/>
          <w:sz w:val="20"/>
          <w:szCs w:val="20"/>
          <w:rtl w:val="0"/>
        </w:rPr>
        <w:t xml:space="preserve">Images in the Heavens: A Cultural Landscape’, </w:t>
      </w:r>
      <w:r w:rsidDel="00000000" w:rsidR="00000000" w:rsidRPr="00000000">
        <w:rPr>
          <w:sz w:val="20"/>
          <w:szCs w:val="20"/>
          <w:rtl w:val="0"/>
        </w:rPr>
        <w:t xml:space="preserve">in Darrelyn Gunzberg, Ed.,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(South Yorkshire: Equinox Publishing Ltd., 2016) p. 235</w:t>
      </w:r>
    </w:p>
  </w:footnote>
  <w:footnote w:id="7">
    <w:p w:rsidR="00000000" w:rsidDel="00000000" w:rsidP="00000000" w:rsidRDefault="00000000" w:rsidRPr="00000000" w14:paraId="000000C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Gunzberg, Ed., ‘</w:t>
      </w:r>
      <w:r w:rsidDel="00000000" w:rsidR="00000000" w:rsidRPr="00000000">
        <w:rPr>
          <w:i w:val="1"/>
          <w:sz w:val="20"/>
          <w:szCs w:val="20"/>
          <w:rtl w:val="0"/>
        </w:rPr>
        <w:t xml:space="preserve">The Imagined Sky’, </w:t>
      </w:r>
      <w:r w:rsidDel="00000000" w:rsidR="00000000" w:rsidRPr="00000000">
        <w:rPr>
          <w:sz w:val="20"/>
          <w:szCs w:val="20"/>
          <w:rtl w:val="0"/>
        </w:rPr>
        <w:t xml:space="preserve">Backcover</w:t>
      </w:r>
    </w:p>
  </w:footnote>
  <w:footnote w:id="8">
    <w:p w:rsidR="00000000" w:rsidDel="00000000" w:rsidP="00000000" w:rsidRDefault="00000000" w:rsidRPr="00000000" w14:paraId="000000C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Darrelyn Gunzberg, Ed.,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(South Yorkshire: Equinox Publishing Ltd., 2016) p. xvii.</w:t>
      </w:r>
    </w:p>
  </w:footnote>
  <w:footnote w:id="9">
    <w:p w:rsidR="00000000" w:rsidDel="00000000" w:rsidP="00000000" w:rsidRDefault="00000000" w:rsidRPr="00000000" w14:paraId="000000C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Clive Ruggles and Gary Urton, Eds., ‘Skywatching in the Ancient World. New Perspectives in Cultural Astronomy’, (Colorado: University Press of Colorado, 2007), p.12.</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0">
    <w:pPr>
      <w:rPr>
        <w:rFonts w:ascii="Trebuchet MS" w:cs="Trebuchet MS" w:eastAsia="Trebuchet MS" w:hAnsi="Trebuchet MS"/>
        <w:sz w:val="24"/>
        <w:szCs w:val="24"/>
      </w:rPr>
    </w:pPr>
    <w:r w:rsidDel="00000000" w:rsidR="00000000" w:rsidRPr="00000000">
      <w:rPr>
        <w:rtl w:val="0"/>
      </w:rPr>
      <w:t xml:space="preserve">Katherine Azima 2219013 </w:t>
      <w:tab/>
      <w:tab/>
    </w:r>
    <w:r w:rsidDel="00000000" w:rsidR="00000000" w:rsidRPr="00000000">
      <w:rPr>
        <w:rtl w:val="0"/>
      </w:rPr>
    </w:r>
  </w:p>
  <w:p w:rsidR="00000000" w:rsidDel="00000000" w:rsidP="00000000" w:rsidRDefault="00000000" w:rsidRPr="00000000" w14:paraId="000000B1">
    <w:pPr>
      <w:rPr/>
    </w:pPr>
    <w:r w:rsidDel="00000000" w:rsidR="00000000" w:rsidRPr="00000000">
      <w:rPr>
        <w:rtl w:val="0"/>
      </w:rPr>
      <w:tab/>
      <w:tab/>
      <w:tab/>
      <w:tab/>
      <w:tab/>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