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D93C7" w14:textId="77777777" w:rsidR="00600295" w:rsidRPr="00AB2652" w:rsidRDefault="00600295" w:rsidP="00AB2652">
      <w:pPr>
        <w:spacing w:line="360" w:lineRule="auto"/>
        <w:jc w:val="lowKashida"/>
        <w:rPr>
          <w:rFonts w:asciiTheme="majorBidi" w:hAnsiTheme="majorBidi" w:cstheme="majorBidi"/>
          <w:lang w:val="en-IN"/>
        </w:rPr>
      </w:pPr>
    </w:p>
    <w:p w14:paraId="6D37EBA3" w14:textId="77777777" w:rsidR="00600295" w:rsidRPr="00AB2652" w:rsidRDefault="00600295" w:rsidP="00AB2652">
      <w:pPr>
        <w:spacing w:line="360" w:lineRule="auto"/>
        <w:jc w:val="lowKashida"/>
        <w:rPr>
          <w:rFonts w:asciiTheme="majorBidi" w:hAnsiTheme="majorBidi" w:cstheme="majorBidi"/>
          <w:lang w:val="en-IN"/>
        </w:rPr>
      </w:pPr>
    </w:p>
    <w:p w14:paraId="398DB39B" w14:textId="77777777" w:rsidR="00E1386D" w:rsidRDefault="00E1386D" w:rsidP="00610344">
      <w:pPr>
        <w:spacing w:line="360" w:lineRule="auto"/>
        <w:jc w:val="center"/>
        <w:rPr>
          <w:rFonts w:asciiTheme="majorBidi" w:hAnsiTheme="majorBidi" w:cstheme="majorBidi"/>
          <w:lang w:val="en-IN"/>
        </w:rPr>
      </w:pPr>
    </w:p>
    <w:p w14:paraId="5004A277" w14:textId="6B0BAA35" w:rsidR="00600295" w:rsidRPr="00AB2652" w:rsidRDefault="004B3725" w:rsidP="00610344">
      <w:pPr>
        <w:spacing w:line="360" w:lineRule="auto"/>
        <w:jc w:val="center"/>
        <w:rPr>
          <w:rFonts w:asciiTheme="majorBidi" w:hAnsiTheme="majorBidi" w:cstheme="majorBidi"/>
          <w:lang w:val="en-IN"/>
        </w:rPr>
      </w:pPr>
      <w:r>
        <w:rPr>
          <w:rFonts w:asciiTheme="majorBidi" w:hAnsiTheme="majorBidi" w:cstheme="majorBidi"/>
          <w:lang w:val="en-IN"/>
        </w:rPr>
        <w:t xml:space="preserve">Object Analysis: </w:t>
      </w:r>
      <w:r w:rsidR="00610344">
        <w:rPr>
          <w:rFonts w:asciiTheme="majorBidi" w:hAnsiTheme="majorBidi" w:cstheme="majorBidi"/>
          <w:lang w:val="en-IN"/>
        </w:rPr>
        <w:t xml:space="preserve">A </w:t>
      </w:r>
      <w:r w:rsidR="00610344" w:rsidRPr="00610344">
        <w:rPr>
          <w:rFonts w:asciiTheme="majorBidi" w:hAnsiTheme="majorBidi" w:cstheme="majorBidi"/>
          <w:lang w:val="en-IN"/>
        </w:rPr>
        <w:t>C̜atalhöyük</w:t>
      </w:r>
      <w:r w:rsidR="00F5271D">
        <w:rPr>
          <w:rFonts w:asciiTheme="majorBidi" w:hAnsiTheme="majorBidi" w:cstheme="majorBidi"/>
          <w:lang w:val="en-IN"/>
        </w:rPr>
        <w:t xml:space="preserve"> </w:t>
      </w:r>
      <w:r w:rsidR="000678FE">
        <w:rPr>
          <w:rFonts w:asciiTheme="majorBidi" w:hAnsiTheme="majorBidi" w:cstheme="majorBidi"/>
          <w:lang w:val="en-IN"/>
        </w:rPr>
        <w:t>Figurine in its Context</w:t>
      </w:r>
    </w:p>
    <w:p w14:paraId="5CD99535" w14:textId="03D330BA" w:rsidR="00600295" w:rsidRPr="00AB2652" w:rsidRDefault="00600295" w:rsidP="00126BAC">
      <w:pPr>
        <w:spacing w:line="360" w:lineRule="auto"/>
        <w:jc w:val="center"/>
        <w:rPr>
          <w:rFonts w:asciiTheme="majorBidi" w:hAnsiTheme="majorBidi" w:cstheme="majorBidi"/>
          <w:lang w:val="en-IN"/>
        </w:rPr>
      </w:pPr>
      <w:r w:rsidRPr="00AB2652">
        <w:rPr>
          <w:rFonts w:asciiTheme="majorBidi" w:hAnsiTheme="majorBidi" w:cstheme="majorBidi"/>
          <w:lang w:val="en-IN"/>
        </w:rPr>
        <w:t>By Thelma Hunsinger</w:t>
      </w:r>
    </w:p>
    <w:p w14:paraId="223DF443" w14:textId="77777777" w:rsidR="00600295" w:rsidRPr="00AB2652" w:rsidRDefault="00600295" w:rsidP="00126BAC">
      <w:pPr>
        <w:spacing w:line="360" w:lineRule="auto"/>
        <w:jc w:val="center"/>
        <w:rPr>
          <w:rFonts w:asciiTheme="majorBidi" w:hAnsiTheme="majorBidi" w:cstheme="majorBidi"/>
          <w:lang w:val="en-IN"/>
        </w:rPr>
      </w:pPr>
    </w:p>
    <w:p w14:paraId="3DD0784B" w14:textId="77777777" w:rsidR="00600295" w:rsidRPr="00AB2652" w:rsidRDefault="00600295" w:rsidP="00126BAC">
      <w:pPr>
        <w:spacing w:line="360" w:lineRule="auto"/>
        <w:jc w:val="center"/>
        <w:rPr>
          <w:rFonts w:asciiTheme="majorBidi" w:hAnsiTheme="majorBidi" w:cstheme="majorBidi"/>
          <w:lang w:val="en-IN"/>
        </w:rPr>
      </w:pPr>
    </w:p>
    <w:p w14:paraId="01A3B9CE" w14:textId="77777777" w:rsidR="00600295" w:rsidRPr="00AB2652" w:rsidRDefault="00600295" w:rsidP="00126BAC">
      <w:pPr>
        <w:spacing w:line="360" w:lineRule="auto"/>
        <w:jc w:val="center"/>
        <w:rPr>
          <w:rFonts w:asciiTheme="majorBidi" w:hAnsiTheme="majorBidi" w:cstheme="majorBidi"/>
          <w:lang w:val="en-IN"/>
        </w:rPr>
      </w:pPr>
    </w:p>
    <w:p w14:paraId="011BBE2D" w14:textId="77777777" w:rsidR="00600295" w:rsidRPr="00AB2652" w:rsidRDefault="00600295" w:rsidP="00126BAC">
      <w:pPr>
        <w:spacing w:line="360" w:lineRule="auto"/>
        <w:jc w:val="center"/>
        <w:rPr>
          <w:rFonts w:asciiTheme="majorBidi" w:hAnsiTheme="majorBidi" w:cstheme="majorBidi"/>
          <w:lang w:val="en-IN"/>
        </w:rPr>
      </w:pPr>
    </w:p>
    <w:p w14:paraId="205B6984" w14:textId="77777777" w:rsidR="00600295" w:rsidRPr="00AB2652" w:rsidRDefault="00600295" w:rsidP="00126BAC">
      <w:pPr>
        <w:spacing w:line="360" w:lineRule="auto"/>
        <w:jc w:val="center"/>
        <w:rPr>
          <w:rFonts w:asciiTheme="majorBidi" w:hAnsiTheme="majorBidi" w:cstheme="majorBidi"/>
          <w:lang w:val="en-IN"/>
        </w:rPr>
      </w:pPr>
    </w:p>
    <w:p w14:paraId="6DEBAF86" w14:textId="77777777" w:rsidR="00600295" w:rsidRPr="00AB2652" w:rsidRDefault="00600295" w:rsidP="00126BAC">
      <w:pPr>
        <w:spacing w:line="360" w:lineRule="auto"/>
        <w:jc w:val="center"/>
        <w:rPr>
          <w:rFonts w:asciiTheme="majorBidi" w:hAnsiTheme="majorBidi" w:cstheme="majorBidi"/>
          <w:lang w:val="en-IN"/>
        </w:rPr>
      </w:pPr>
    </w:p>
    <w:p w14:paraId="05B98C93" w14:textId="77777777" w:rsidR="00600295" w:rsidRPr="00AB2652" w:rsidRDefault="00600295" w:rsidP="00126BAC">
      <w:pPr>
        <w:spacing w:line="360" w:lineRule="auto"/>
        <w:jc w:val="center"/>
        <w:rPr>
          <w:rFonts w:asciiTheme="majorBidi" w:hAnsiTheme="majorBidi" w:cstheme="majorBidi"/>
          <w:lang w:val="en-IN"/>
        </w:rPr>
      </w:pPr>
    </w:p>
    <w:p w14:paraId="3A529A07" w14:textId="15E5F59E" w:rsidR="00600295" w:rsidRPr="00AB2652" w:rsidRDefault="00676804" w:rsidP="00126BAC">
      <w:pPr>
        <w:spacing w:line="360" w:lineRule="auto"/>
        <w:jc w:val="center"/>
        <w:rPr>
          <w:rFonts w:asciiTheme="majorBidi" w:hAnsiTheme="majorBidi" w:cstheme="majorBidi"/>
          <w:lang w:val="en-IN"/>
        </w:rPr>
      </w:pPr>
      <w:r w:rsidRPr="00AB2652">
        <w:rPr>
          <w:rFonts w:asciiTheme="majorBidi" w:hAnsiTheme="majorBidi" w:cstheme="majorBidi"/>
          <w:lang w:val="en-IN"/>
        </w:rPr>
        <w:t>Art and Representation in the Ancient Near East</w:t>
      </w:r>
    </w:p>
    <w:p w14:paraId="0DEBC1FB" w14:textId="054215EB" w:rsidR="00600295" w:rsidRPr="00AB2652" w:rsidRDefault="00676804" w:rsidP="00126BAC">
      <w:pPr>
        <w:spacing w:line="360" w:lineRule="auto"/>
        <w:jc w:val="center"/>
        <w:rPr>
          <w:rFonts w:asciiTheme="majorBidi" w:hAnsiTheme="majorBidi" w:cstheme="majorBidi"/>
          <w:lang w:val="en-IN"/>
        </w:rPr>
      </w:pPr>
      <w:r w:rsidRPr="00AB2652">
        <w:rPr>
          <w:rFonts w:asciiTheme="majorBidi" w:hAnsiTheme="majorBidi" w:cstheme="majorBidi"/>
          <w:lang w:val="en-IN"/>
        </w:rPr>
        <w:t>Natalie Boyd</w:t>
      </w:r>
    </w:p>
    <w:p w14:paraId="287D7FF2" w14:textId="77777777" w:rsidR="00600295" w:rsidRPr="00AB2652" w:rsidRDefault="00600295" w:rsidP="00126BAC">
      <w:pPr>
        <w:spacing w:line="360" w:lineRule="auto"/>
        <w:jc w:val="center"/>
        <w:rPr>
          <w:rFonts w:asciiTheme="majorBidi" w:hAnsiTheme="majorBidi" w:cstheme="majorBidi"/>
          <w:lang w:val="en-IN"/>
        </w:rPr>
      </w:pPr>
      <w:r w:rsidRPr="00AB2652">
        <w:rPr>
          <w:rFonts w:asciiTheme="majorBidi" w:hAnsiTheme="majorBidi" w:cstheme="majorBidi"/>
          <w:lang w:val="en-IN"/>
        </w:rPr>
        <w:t>University of Wales Trinity Saint David</w:t>
      </w:r>
    </w:p>
    <w:p w14:paraId="71A21E82" w14:textId="537E973D" w:rsidR="00600295" w:rsidRPr="00AB2652" w:rsidRDefault="00630E02" w:rsidP="00126BAC">
      <w:pPr>
        <w:spacing w:line="360" w:lineRule="auto"/>
        <w:jc w:val="center"/>
        <w:rPr>
          <w:rFonts w:asciiTheme="majorBidi" w:hAnsiTheme="majorBidi" w:cstheme="majorBidi"/>
          <w:lang w:val="en-IN"/>
        </w:rPr>
      </w:pPr>
      <w:r w:rsidRPr="00AB2652">
        <w:rPr>
          <w:rFonts w:asciiTheme="majorBidi" w:hAnsiTheme="majorBidi" w:cstheme="majorBidi"/>
          <w:lang w:val="en-IN"/>
        </w:rPr>
        <w:t>21</w:t>
      </w:r>
      <w:r w:rsidRPr="00AB2652">
        <w:rPr>
          <w:rFonts w:asciiTheme="majorBidi" w:hAnsiTheme="majorBidi" w:cstheme="majorBidi"/>
          <w:vertAlign w:val="superscript"/>
          <w:lang w:val="en-IN"/>
        </w:rPr>
        <w:t>st</w:t>
      </w:r>
      <w:r w:rsidR="00600295" w:rsidRPr="00AB2652">
        <w:rPr>
          <w:rFonts w:asciiTheme="majorBidi" w:hAnsiTheme="majorBidi" w:cstheme="majorBidi"/>
          <w:lang w:val="en-IN"/>
        </w:rPr>
        <w:t xml:space="preserve"> </w:t>
      </w:r>
      <w:r w:rsidRPr="00AB2652">
        <w:rPr>
          <w:rFonts w:asciiTheme="majorBidi" w:hAnsiTheme="majorBidi" w:cstheme="majorBidi"/>
          <w:lang w:val="en-IN"/>
        </w:rPr>
        <w:t>March</w:t>
      </w:r>
      <w:r w:rsidR="00600295" w:rsidRPr="00AB2652">
        <w:rPr>
          <w:rFonts w:asciiTheme="majorBidi" w:hAnsiTheme="majorBidi" w:cstheme="majorBidi"/>
          <w:lang w:val="en-IN"/>
        </w:rPr>
        <w:t>, 202</w:t>
      </w:r>
      <w:r w:rsidRPr="00AB2652">
        <w:rPr>
          <w:rFonts w:asciiTheme="majorBidi" w:hAnsiTheme="majorBidi" w:cstheme="majorBidi"/>
          <w:lang w:val="en-IN"/>
        </w:rPr>
        <w:t>4</w:t>
      </w:r>
    </w:p>
    <w:p w14:paraId="36B598BE" w14:textId="1D8C7944" w:rsidR="00630E02" w:rsidRPr="00AB2652" w:rsidRDefault="00630E02" w:rsidP="00AB2652">
      <w:pPr>
        <w:spacing w:line="360" w:lineRule="auto"/>
        <w:jc w:val="lowKashida"/>
        <w:rPr>
          <w:rFonts w:asciiTheme="majorBidi" w:hAnsiTheme="majorBidi" w:cstheme="majorBidi"/>
        </w:rPr>
      </w:pPr>
      <w:r w:rsidRPr="00AB2652">
        <w:rPr>
          <w:rFonts w:asciiTheme="majorBidi" w:hAnsiTheme="majorBidi" w:cstheme="majorBidi"/>
        </w:rPr>
        <w:br w:type="page"/>
      </w:r>
    </w:p>
    <w:p w14:paraId="6406B1F8" w14:textId="77777777" w:rsidR="009405B4" w:rsidRPr="009405B4" w:rsidRDefault="009405B4" w:rsidP="00AB2652">
      <w:pPr>
        <w:spacing w:line="360" w:lineRule="auto"/>
        <w:jc w:val="lowKashida"/>
        <w:rPr>
          <w:rFonts w:asciiTheme="majorBidi" w:hAnsiTheme="majorBidi" w:cstheme="majorBidi"/>
          <w:b/>
          <w:bCs/>
          <w:lang w:val="en-IN"/>
        </w:rPr>
      </w:pPr>
      <w:r w:rsidRPr="009405B4">
        <w:rPr>
          <w:rFonts w:asciiTheme="majorBidi" w:hAnsiTheme="majorBidi" w:cstheme="majorBidi"/>
          <w:b/>
          <w:bCs/>
          <w:lang w:val="en-IN"/>
        </w:rPr>
        <w:lastRenderedPageBreak/>
        <w:t>Introduction</w:t>
      </w:r>
    </w:p>
    <w:p w14:paraId="6FE6561A" w14:textId="02C0529F" w:rsidR="009405B4" w:rsidRPr="009405B4" w:rsidRDefault="009251BC" w:rsidP="00AB2652">
      <w:pPr>
        <w:spacing w:line="360" w:lineRule="auto"/>
        <w:jc w:val="lowKashida"/>
        <w:rPr>
          <w:rFonts w:asciiTheme="majorBidi" w:hAnsiTheme="majorBidi" w:cstheme="majorBidi"/>
          <w:lang w:val="en-IN"/>
        </w:rPr>
      </w:pPr>
      <w:r w:rsidRPr="00AB2652">
        <w:rPr>
          <w:rFonts w:asciiTheme="majorBidi" w:hAnsiTheme="majorBidi" w:cstheme="majorBidi"/>
          <w:lang w:val="en-IN"/>
        </w:rPr>
        <w:tab/>
      </w:r>
      <w:r w:rsidR="009405B4" w:rsidRPr="009405B4">
        <w:rPr>
          <w:rFonts w:asciiTheme="majorBidi" w:hAnsiTheme="majorBidi" w:cstheme="majorBidi"/>
          <w:lang w:val="en-IN"/>
        </w:rPr>
        <w:t>The questions of why figurines were made and what they do have been widely discussed in scholarship, with various methodologies and approaches being developed (Bailey, 2005; Joyce, 2007; Meskell, 1998; Ucko, 1968). Anthropomorphic figurines are tangible, three-dimensional representations of the human form, possessing</w:t>
      </w:r>
      <w:r w:rsidR="00247A61" w:rsidRPr="00AB2652">
        <w:rPr>
          <w:rFonts w:asciiTheme="majorBidi" w:hAnsiTheme="majorBidi" w:cstheme="majorBidi"/>
          <w:lang w:val="en-IN"/>
        </w:rPr>
        <w:t xml:space="preserve"> </w:t>
      </w:r>
      <w:r w:rsidR="003F35A7" w:rsidRPr="00AB2652">
        <w:rPr>
          <w:rFonts w:asciiTheme="majorBidi" w:hAnsiTheme="majorBidi" w:cstheme="majorBidi"/>
          <w:lang w:val="en-IN"/>
        </w:rPr>
        <w:t xml:space="preserve">an extensive range of meanings </w:t>
      </w:r>
      <w:r w:rsidR="009405B4" w:rsidRPr="009405B4">
        <w:rPr>
          <w:rFonts w:asciiTheme="majorBidi" w:hAnsiTheme="majorBidi" w:cstheme="majorBidi"/>
          <w:lang w:val="en-IN"/>
        </w:rPr>
        <w:t>that go beyond aspects of gesture, movement, and language. While these figurines resemble humans, they are not precise in their representation of the human form. What is quite interesting about figurines in their representations are the elements that are emphasised and those that are de-emphasised (Joyce, 1993; Kujit</w:t>
      </w:r>
      <w:r w:rsidR="005C2E1B">
        <w:rPr>
          <w:rFonts w:asciiTheme="majorBidi" w:hAnsiTheme="majorBidi" w:cstheme="majorBidi"/>
          <w:lang w:val="en-IN"/>
        </w:rPr>
        <w:t xml:space="preserve"> and Chesson</w:t>
      </w:r>
      <w:r w:rsidR="009405B4" w:rsidRPr="009405B4">
        <w:rPr>
          <w:rFonts w:asciiTheme="majorBidi" w:hAnsiTheme="majorBidi" w:cstheme="majorBidi"/>
          <w:lang w:val="en-IN"/>
        </w:rPr>
        <w:t xml:space="preserve">, 2004). They are deliberate creations reflecting the mental constructs of their creators, and an effective way to help us understand what figurines are and do is to consider all contextual associations and to see how ideas </w:t>
      </w:r>
      <w:r w:rsidR="00D51BEC">
        <w:rPr>
          <w:rFonts w:asciiTheme="majorBidi" w:hAnsiTheme="majorBidi" w:cstheme="majorBidi"/>
          <w:lang w:val="en-IN"/>
        </w:rPr>
        <w:t>conveyed</w:t>
      </w:r>
      <w:r w:rsidR="009405B4" w:rsidRPr="009405B4">
        <w:rPr>
          <w:rFonts w:asciiTheme="majorBidi" w:hAnsiTheme="majorBidi" w:cstheme="majorBidi"/>
          <w:lang w:val="en-IN"/>
        </w:rPr>
        <w:t xml:space="preserve"> by material symbols aided in structuring communities (Hodder, 1991). </w:t>
      </w:r>
    </w:p>
    <w:p w14:paraId="2657E9DE" w14:textId="5EA2C6EA" w:rsidR="00D71DDF" w:rsidRPr="00C87B24" w:rsidRDefault="009251BC" w:rsidP="00C87B24">
      <w:pPr>
        <w:spacing w:line="360" w:lineRule="auto"/>
        <w:jc w:val="lowKashida"/>
        <w:rPr>
          <w:rFonts w:asciiTheme="majorBidi" w:hAnsiTheme="majorBidi" w:cstheme="majorBidi"/>
        </w:rPr>
      </w:pPr>
      <w:r w:rsidRPr="00AB2652">
        <w:rPr>
          <w:rFonts w:asciiTheme="majorBidi" w:hAnsiTheme="majorBidi" w:cstheme="majorBidi"/>
          <w:lang w:val="en-IN"/>
        </w:rPr>
        <w:tab/>
      </w:r>
      <w:r w:rsidR="009405B4" w:rsidRPr="009405B4">
        <w:rPr>
          <w:rFonts w:asciiTheme="majorBidi" w:hAnsiTheme="majorBidi" w:cstheme="majorBidi"/>
          <w:lang w:val="en-IN"/>
        </w:rPr>
        <w:t>The physical and social body are inextricably linked (Knapp</w:t>
      </w:r>
      <w:r w:rsidR="007C5A21">
        <w:rPr>
          <w:rFonts w:asciiTheme="majorBidi" w:hAnsiTheme="majorBidi" w:cstheme="majorBidi"/>
          <w:lang w:val="en-IN"/>
        </w:rPr>
        <w:t xml:space="preserve"> and Meskell</w:t>
      </w:r>
      <w:r w:rsidR="009405B4" w:rsidRPr="009405B4">
        <w:rPr>
          <w:rFonts w:asciiTheme="majorBidi" w:hAnsiTheme="majorBidi" w:cstheme="majorBidi"/>
          <w:lang w:val="en-IN"/>
        </w:rPr>
        <w:t xml:space="preserve">, 1997). Interpersonal relationships in the Neolithic were shaped by competition, cooperation, and negotiation, which were carried out in a variety of ways in everyday life, including both ordinary and ceremonial activities (Bailey, 2008). The rituals associated with their built environment and burials </w:t>
      </w:r>
      <w:r w:rsidR="009405B4" w:rsidRPr="009405B4">
        <w:rPr>
          <w:rFonts w:asciiTheme="majorBidi" w:hAnsiTheme="majorBidi" w:cstheme="majorBidi"/>
        </w:rPr>
        <w:t xml:space="preserve">may have been ways in which pre-literate societies not just stored and passed on information but also negotiated collective memories, social identities, and relationships (Meskell, 2008). The representation of the individual body was paradoxically the essence of the social community (Bailey, 2008). Similarly, figurines too inundated these communities’ visual spaces with distinct representations of the human form, influencing people’s understanding of relationships and identity. Thus, as I begin to discuss a particular figurine, I take into account the broader practices prevalent in </w:t>
      </w:r>
      <w:r w:rsidR="00D43F8E">
        <w:rPr>
          <w:rFonts w:asciiTheme="majorBidi" w:hAnsiTheme="majorBidi" w:cstheme="majorBidi"/>
        </w:rPr>
        <w:t>its</w:t>
      </w:r>
      <w:r w:rsidR="009405B4" w:rsidRPr="009405B4">
        <w:rPr>
          <w:rFonts w:asciiTheme="majorBidi" w:hAnsiTheme="majorBidi" w:cstheme="majorBidi"/>
        </w:rPr>
        <w:t xml:space="preserve"> Neolithic community.</w:t>
      </w:r>
    </w:p>
    <w:p w14:paraId="2F37DABA" w14:textId="215A021E" w:rsidR="00927ABD" w:rsidRDefault="00C87B24" w:rsidP="00C87B24">
      <w:pPr>
        <w:spacing w:line="360" w:lineRule="auto"/>
        <w:jc w:val="lowKashida"/>
        <w:rPr>
          <w:rFonts w:asciiTheme="majorBidi" w:hAnsiTheme="majorBidi" w:cstheme="majorBidi"/>
          <w:lang w:val="en-IN"/>
        </w:rPr>
      </w:pPr>
      <w:r>
        <w:rPr>
          <w:rFonts w:asciiTheme="majorBidi" w:hAnsiTheme="majorBidi" w:cstheme="majorBidi"/>
          <w:lang w:val="en-IN"/>
        </w:rPr>
        <w:tab/>
      </w:r>
      <w:r w:rsidR="0015568D" w:rsidRPr="0015568D">
        <w:rPr>
          <w:rFonts w:asciiTheme="majorBidi" w:hAnsiTheme="majorBidi" w:cstheme="majorBidi"/>
          <w:lang w:val="en-IN"/>
        </w:rPr>
        <w:t>The object being analysed is a skeletal female figurine (12401.X7) unearthed in 2005 during the excavations of C̜atalhöyük, a proto-city Neolithic site in Anatolia, Turkey. C̜atalhöyük was a Pre-Pottery Neolithic (Late PPNB) settlement that continued being inhabited until the beginning of the Chalcolithic (7400 to 6200 BC) and had around 3500 to 8000 inhabitants (Cessford, 2005). The site is famous for its complex belief system</w:t>
      </w:r>
      <w:r w:rsidR="003E0B20">
        <w:rPr>
          <w:rFonts w:asciiTheme="majorBidi" w:hAnsiTheme="majorBidi" w:cstheme="majorBidi"/>
          <w:lang w:val="en-IN"/>
        </w:rPr>
        <w:t>s</w:t>
      </w:r>
      <w:r w:rsidR="0015568D" w:rsidRPr="0015568D">
        <w:rPr>
          <w:rFonts w:asciiTheme="majorBidi" w:hAnsiTheme="majorBidi" w:cstheme="majorBidi"/>
          <w:lang w:val="en-IN"/>
        </w:rPr>
        <w:t xml:space="preserve">, </w:t>
      </w:r>
      <w:r w:rsidR="001C5370">
        <w:rPr>
          <w:rFonts w:asciiTheme="majorBidi" w:hAnsiTheme="majorBidi" w:cstheme="majorBidi"/>
          <w:lang w:val="en-IN"/>
        </w:rPr>
        <w:t xml:space="preserve">which </w:t>
      </w:r>
      <w:r w:rsidR="003E0B20">
        <w:rPr>
          <w:rFonts w:asciiTheme="majorBidi" w:hAnsiTheme="majorBidi" w:cstheme="majorBidi"/>
          <w:lang w:val="en-IN"/>
        </w:rPr>
        <w:t>are</w:t>
      </w:r>
      <w:r w:rsidR="001C5370">
        <w:rPr>
          <w:rFonts w:asciiTheme="majorBidi" w:hAnsiTheme="majorBidi" w:cstheme="majorBidi"/>
          <w:lang w:val="en-IN"/>
        </w:rPr>
        <w:t xml:space="preserve"> </w:t>
      </w:r>
      <w:r w:rsidR="0015568D" w:rsidRPr="0015568D">
        <w:rPr>
          <w:rFonts w:asciiTheme="majorBidi" w:hAnsiTheme="majorBidi" w:cstheme="majorBidi"/>
          <w:lang w:val="en-IN"/>
        </w:rPr>
        <w:t xml:space="preserve">represented in its artwork. </w:t>
      </w:r>
    </w:p>
    <w:p w14:paraId="4A8F4209" w14:textId="7904099B" w:rsidR="003E0B20" w:rsidRDefault="003E0B20" w:rsidP="003E0B20">
      <w:pPr>
        <w:spacing w:line="360" w:lineRule="auto"/>
        <w:jc w:val="center"/>
        <w:rPr>
          <w:rFonts w:asciiTheme="majorBidi" w:hAnsiTheme="majorBidi" w:cstheme="majorBidi"/>
          <w:lang w:val="en-IN"/>
        </w:rPr>
      </w:pPr>
      <w:r w:rsidRPr="00D71DDF">
        <w:rPr>
          <w:rFonts w:asciiTheme="majorBidi" w:hAnsiTheme="majorBidi" w:cstheme="majorBidi"/>
          <w:noProof/>
        </w:rPr>
        <w:lastRenderedPageBreak/>
        <w:drawing>
          <wp:inline distT="0" distB="0" distL="0" distR="0" wp14:anchorId="2AF16F7A" wp14:editId="0B4E7204">
            <wp:extent cx="3955143" cy="2631796"/>
            <wp:effectExtent l="0" t="0" r="7620" b="0"/>
            <wp:docPr id="1532315677" name="Picture 3" descr="Çatalhöyük after the first excavations by James Mellaart and his team (photo: Omar hoftun, CC BY-SA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Çatalhöyük after the first excavations by James Mellaart and his team (photo: Omar hoftun, CC BY-SA 3.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973336" cy="2643902"/>
                    </a:xfrm>
                    <a:prstGeom prst="rect">
                      <a:avLst/>
                    </a:prstGeom>
                    <a:noFill/>
                    <a:ln>
                      <a:noFill/>
                    </a:ln>
                  </pic:spPr>
                </pic:pic>
              </a:graphicData>
            </a:graphic>
          </wp:inline>
        </w:drawing>
      </w:r>
    </w:p>
    <w:p w14:paraId="1D596607" w14:textId="7B0AAD05" w:rsidR="003E0B20" w:rsidRPr="00960635" w:rsidRDefault="003E0B20" w:rsidP="003E0B20">
      <w:pPr>
        <w:spacing w:line="360" w:lineRule="auto"/>
        <w:jc w:val="center"/>
        <w:rPr>
          <w:rFonts w:asciiTheme="majorBidi" w:hAnsiTheme="majorBidi" w:cstheme="majorBidi"/>
          <w:sz w:val="20"/>
          <w:szCs w:val="20"/>
          <w:lang w:val="en-IN"/>
        </w:rPr>
      </w:pPr>
      <w:r w:rsidRPr="00960635">
        <w:rPr>
          <w:rFonts w:asciiTheme="majorBidi" w:hAnsiTheme="majorBidi" w:cstheme="majorBidi"/>
          <w:sz w:val="20"/>
          <w:szCs w:val="20"/>
          <w:lang w:val="en-IN"/>
        </w:rPr>
        <w:t>Figure 1. C̜atalhöyük after the first excavations (Photo credit: Omar Huftun)</w:t>
      </w:r>
    </w:p>
    <w:p w14:paraId="4E37AAC6" w14:textId="33870434" w:rsidR="003E0B20" w:rsidRDefault="003E0B20" w:rsidP="003E0B20">
      <w:pPr>
        <w:spacing w:line="360" w:lineRule="auto"/>
        <w:jc w:val="lowKashida"/>
        <w:rPr>
          <w:rFonts w:asciiTheme="majorBidi" w:hAnsiTheme="majorBidi" w:cstheme="majorBidi"/>
          <w:noProof/>
          <w:lang w:val="en-IN"/>
        </w:rPr>
      </w:pPr>
      <w:r>
        <w:rPr>
          <w:rFonts w:asciiTheme="majorBidi" w:hAnsiTheme="majorBidi" w:cstheme="majorBidi"/>
          <w:lang w:val="en-IN"/>
        </w:rPr>
        <w:tab/>
      </w:r>
      <w:r w:rsidR="00AB2652" w:rsidRPr="00AB2652">
        <w:rPr>
          <w:rFonts w:asciiTheme="majorBidi" w:hAnsiTheme="majorBidi" w:cstheme="majorBidi"/>
          <w:lang w:val="en-IN"/>
        </w:rPr>
        <w:t xml:space="preserve">The palm-sized clay figurine </w:t>
      </w:r>
      <w:r>
        <w:rPr>
          <w:rFonts w:asciiTheme="majorBidi" w:hAnsiTheme="majorBidi" w:cstheme="majorBidi"/>
          <w:lang w:val="en-IN"/>
        </w:rPr>
        <w:t xml:space="preserve">(Figure 2) </w:t>
      </w:r>
      <w:r w:rsidR="00AB2652" w:rsidRPr="00AB2652">
        <w:rPr>
          <w:rFonts w:asciiTheme="majorBidi" w:hAnsiTheme="majorBidi" w:cstheme="majorBidi"/>
          <w:lang w:val="en-IN"/>
        </w:rPr>
        <w:t>is unlike any other recovered at the site in that it has the dual constitution of a human. Its front exhibits characteristics commonly observed in female figurines found in C̜atalhöyük, namely, prominent breasts and stomach. It also shows a naval that is protruding. The figurine has curved, arching shoulders from which come thin and delicate skeletal arms. The fingers, which are defined, rest on the breasts. This gesture is also seen in other figurines found in the area. The back is in sharp contrast to the front; it displays an articulated skeleton with delineated ribs, a spinal cord, a pelvis, and a prominent scapula. Notably, the figurine is headless, and the presence of a dowel hole and the circular depression surrounding it suggest the original inclusion of a separate, removable head that likely fits securely into this curved space. The figurine seems to be in a seated position with its legs crossed in the front.</w:t>
      </w:r>
      <w:r w:rsidRPr="003E0B20">
        <w:rPr>
          <w:rFonts w:asciiTheme="majorBidi" w:hAnsiTheme="majorBidi" w:cstheme="majorBidi"/>
          <w:noProof/>
          <w:lang w:val="en-IN"/>
        </w:rPr>
        <w:t xml:space="preserve"> </w:t>
      </w:r>
    </w:p>
    <w:p w14:paraId="0342F2E5" w14:textId="20D60983" w:rsidR="00AB2652" w:rsidRDefault="003E0B20" w:rsidP="003E0B20">
      <w:pPr>
        <w:spacing w:line="360" w:lineRule="auto"/>
        <w:jc w:val="center"/>
        <w:rPr>
          <w:rFonts w:asciiTheme="majorBidi" w:hAnsiTheme="majorBidi" w:cstheme="majorBidi"/>
          <w:lang w:val="en-IN"/>
        </w:rPr>
      </w:pPr>
      <w:r w:rsidRPr="00AB2652">
        <w:rPr>
          <w:rFonts w:asciiTheme="majorBidi" w:hAnsiTheme="majorBidi" w:cstheme="majorBidi"/>
          <w:noProof/>
          <w:lang w:val="en-IN"/>
        </w:rPr>
        <w:drawing>
          <wp:inline distT="0" distB="0" distL="0" distR="0" wp14:anchorId="1201C9D6" wp14:editId="2860B394">
            <wp:extent cx="5043714" cy="2838137"/>
            <wp:effectExtent l="0" t="0" r="5080" b="635"/>
            <wp:docPr id="128706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06961" name="Picture 128706961"/>
                    <pic:cNvPicPr/>
                  </pic:nvPicPr>
                  <pic:blipFill>
                    <a:blip r:embed="rId6">
                      <a:extLst>
                        <a:ext uri="{28A0092B-C50C-407E-A947-70E740481C1C}">
                          <a14:useLocalDpi xmlns:a14="http://schemas.microsoft.com/office/drawing/2010/main" val="0"/>
                        </a:ext>
                      </a:extLst>
                    </a:blip>
                    <a:stretch>
                      <a:fillRect/>
                    </a:stretch>
                  </pic:blipFill>
                  <pic:spPr>
                    <a:xfrm>
                      <a:off x="0" y="0"/>
                      <a:ext cx="5051872" cy="2842728"/>
                    </a:xfrm>
                    <a:prstGeom prst="rect">
                      <a:avLst/>
                    </a:prstGeom>
                  </pic:spPr>
                </pic:pic>
              </a:graphicData>
            </a:graphic>
          </wp:inline>
        </w:drawing>
      </w:r>
    </w:p>
    <w:p w14:paraId="3114D6DB" w14:textId="4CD37EAF" w:rsidR="00E142F6" w:rsidRPr="00960635" w:rsidRDefault="003E0B20" w:rsidP="003E0B20">
      <w:pPr>
        <w:spacing w:line="360" w:lineRule="auto"/>
        <w:jc w:val="center"/>
        <w:rPr>
          <w:rFonts w:asciiTheme="majorBidi" w:hAnsiTheme="majorBidi" w:cstheme="majorBidi"/>
          <w:sz w:val="20"/>
          <w:szCs w:val="20"/>
          <w:lang w:val="en-IN"/>
        </w:rPr>
      </w:pPr>
      <w:r w:rsidRPr="00960635">
        <w:rPr>
          <w:rFonts w:asciiTheme="majorBidi" w:hAnsiTheme="majorBidi" w:cstheme="majorBidi"/>
          <w:sz w:val="20"/>
          <w:szCs w:val="20"/>
          <w:lang w:val="en-IN"/>
        </w:rPr>
        <w:t xml:space="preserve">Figure 2. Skeletal female figurine (Source: </w:t>
      </w:r>
      <w:r w:rsidRPr="00960635">
        <w:rPr>
          <w:rFonts w:asciiTheme="majorBidi" w:hAnsiTheme="majorBidi" w:cstheme="majorBidi"/>
          <w:sz w:val="20"/>
          <w:szCs w:val="20"/>
        </w:rPr>
        <w:t>Jason Quinlan, 2005)</w:t>
      </w:r>
    </w:p>
    <w:p w14:paraId="50CA9AC6" w14:textId="6F7155BA" w:rsidR="00C87B24" w:rsidRDefault="00AB2652" w:rsidP="003E0B20">
      <w:pPr>
        <w:spacing w:line="360" w:lineRule="auto"/>
        <w:jc w:val="lowKashida"/>
        <w:rPr>
          <w:rFonts w:asciiTheme="majorBidi" w:hAnsiTheme="majorBidi" w:cstheme="majorBidi"/>
        </w:rPr>
      </w:pPr>
      <w:r>
        <w:rPr>
          <w:rFonts w:asciiTheme="majorBidi" w:hAnsiTheme="majorBidi" w:cstheme="majorBidi"/>
          <w:lang w:val="en-IN"/>
        </w:rPr>
        <w:lastRenderedPageBreak/>
        <w:tab/>
      </w:r>
      <w:r w:rsidRPr="00AB2652">
        <w:rPr>
          <w:rFonts w:asciiTheme="majorBidi" w:hAnsiTheme="majorBidi" w:cstheme="majorBidi"/>
          <w:lang w:val="en-IN"/>
        </w:rPr>
        <w:t xml:space="preserve">The figurine was discovered in an ash </w:t>
      </w:r>
      <w:r w:rsidR="00E50840">
        <w:rPr>
          <w:rFonts w:asciiTheme="majorBidi" w:hAnsiTheme="majorBidi" w:cstheme="majorBidi"/>
          <w:lang w:val="en-IN"/>
        </w:rPr>
        <w:t>fill</w:t>
      </w:r>
      <w:r w:rsidRPr="00AB2652">
        <w:rPr>
          <w:rFonts w:asciiTheme="majorBidi" w:hAnsiTheme="majorBidi" w:cstheme="majorBidi"/>
          <w:lang w:val="en-IN"/>
        </w:rPr>
        <w:t xml:space="preserve"> of a house (space 252). </w:t>
      </w:r>
      <w:r w:rsidRPr="00AB2652">
        <w:rPr>
          <w:rFonts w:asciiTheme="majorBidi" w:hAnsiTheme="majorBidi" w:cstheme="majorBidi"/>
        </w:rPr>
        <w:t>This clay figurine is plastered and exhibits signs of secondary burning, as evidenced by the darkened clay and yellow plaster. These traces of burning are particularly noticeable on the front of the figurine, extending from the arms and breasts downwards, as well as diagonally down the sides where the plaster is missing</w:t>
      </w:r>
      <w:r w:rsidR="00E50840" w:rsidRPr="00E50840">
        <w:t xml:space="preserve"> </w:t>
      </w:r>
      <w:r w:rsidR="00E50840">
        <w:t>(</w:t>
      </w:r>
      <w:r w:rsidR="00E50840" w:rsidRPr="00E50840">
        <w:rPr>
          <w:rFonts w:asciiTheme="majorBidi" w:hAnsiTheme="majorBidi" w:cstheme="majorBidi"/>
        </w:rPr>
        <w:t>Meskell</w:t>
      </w:r>
      <w:r w:rsidR="00907906">
        <w:rPr>
          <w:rFonts w:asciiTheme="majorBidi" w:hAnsiTheme="majorBidi" w:cstheme="majorBidi"/>
        </w:rPr>
        <w:t xml:space="preserve"> and Nakamura, 2005</w:t>
      </w:r>
      <w:r w:rsidR="00E50840">
        <w:rPr>
          <w:rFonts w:asciiTheme="majorBidi" w:hAnsiTheme="majorBidi" w:cstheme="majorBidi"/>
        </w:rPr>
        <w:t>)</w:t>
      </w:r>
      <w:r w:rsidRPr="00AB2652">
        <w:rPr>
          <w:rFonts w:asciiTheme="majorBidi" w:hAnsiTheme="majorBidi" w:cstheme="majorBidi"/>
        </w:rPr>
        <w:t xml:space="preserve">. </w:t>
      </w:r>
    </w:p>
    <w:p w14:paraId="5D120010" w14:textId="6D2F808B" w:rsidR="00C35428" w:rsidRDefault="00891A6D" w:rsidP="00891A6D">
      <w:pPr>
        <w:spacing w:line="360" w:lineRule="auto"/>
        <w:jc w:val="center"/>
        <w:rPr>
          <w:rFonts w:asciiTheme="majorBidi" w:hAnsiTheme="majorBidi" w:cstheme="majorBidi"/>
        </w:rPr>
      </w:pPr>
      <w:r>
        <w:rPr>
          <w:rFonts w:asciiTheme="majorBidi" w:hAnsiTheme="majorBidi" w:cstheme="majorBidi"/>
          <w:noProof/>
        </w:rPr>
        <w:drawing>
          <wp:inline distT="0" distB="0" distL="0" distR="0" wp14:anchorId="52633CA5" wp14:editId="79AEFDC9">
            <wp:extent cx="2298700" cy="2540000"/>
            <wp:effectExtent l="0" t="0" r="6350" b="0"/>
            <wp:docPr id="16762378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237879" name="Picture 1676237879"/>
                    <pic:cNvPicPr/>
                  </pic:nvPicPr>
                  <pic:blipFill>
                    <a:blip r:embed="rId7">
                      <a:extLst>
                        <a:ext uri="{28A0092B-C50C-407E-A947-70E740481C1C}">
                          <a14:useLocalDpi xmlns:a14="http://schemas.microsoft.com/office/drawing/2010/main" val="0"/>
                        </a:ext>
                      </a:extLst>
                    </a:blip>
                    <a:stretch>
                      <a:fillRect/>
                    </a:stretch>
                  </pic:blipFill>
                  <pic:spPr>
                    <a:xfrm>
                      <a:off x="0" y="0"/>
                      <a:ext cx="2298700" cy="2540000"/>
                    </a:xfrm>
                    <a:prstGeom prst="rect">
                      <a:avLst/>
                    </a:prstGeom>
                  </pic:spPr>
                </pic:pic>
              </a:graphicData>
            </a:graphic>
          </wp:inline>
        </w:drawing>
      </w:r>
    </w:p>
    <w:p w14:paraId="5F369C7D" w14:textId="7EF02E89" w:rsidR="00891A6D" w:rsidRPr="00960635" w:rsidRDefault="00891A6D" w:rsidP="00891A6D">
      <w:pPr>
        <w:spacing w:line="360" w:lineRule="auto"/>
        <w:jc w:val="center"/>
        <w:rPr>
          <w:rFonts w:asciiTheme="majorBidi" w:hAnsiTheme="majorBidi" w:cstheme="majorBidi"/>
          <w:sz w:val="20"/>
          <w:szCs w:val="20"/>
        </w:rPr>
      </w:pPr>
      <w:r w:rsidRPr="00960635">
        <w:rPr>
          <w:rFonts w:asciiTheme="majorBidi" w:hAnsiTheme="majorBidi" w:cstheme="majorBidi"/>
          <w:sz w:val="20"/>
          <w:szCs w:val="20"/>
        </w:rPr>
        <w:t>Figure 3.</w:t>
      </w:r>
      <w:r w:rsidRPr="00960635">
        <w:rPr>
          <w:rFonts w:asciiTheme="majorBidi" w:hAnsiTheme="majorBidi" w:cstheme="majorBidi"/>
          <w:sz w:val="20"/>
          <w:szCs w:val="20"/>
          <w:lang w:val="en-IN"/>
        </w:rPr>
        <w:t xml:space="preserve"> Side profile of the skeletal female figurine (Source: </w:t>
      </w:r>
      <w:r w:rsidRPr="00960635">
        <w:rPr>
          <w:rFonts w:asciiTheme="majorBidi" w:hAnsiTheme="majorBidi" w:cstheme="majorBidi"/>
          <w:sz w:val="20"/>
          <w:szCs w:val="20"/>
        </w:rPr>
        <w:t>Jason Quinlan, 2005)</w:t>
      </w:r>
    </w:p>
    <w:p w14:paraId="5D20710C" w14:textId="77777777" w:rsidR="00907906" w:rsidRPr="00907906" w:rsidRDefault="00907906" w:rsidP="00907906">
      <w:pPr>
        <w:spacing w:line="360" w:lineRule="auto"/>
        <w:jc w:val="lowKashida"/>
        <w:rPr>
          <w:rFonts w:asciiTheme="majorBidi" w:hAnsiTheme="majorBidi" w:cstheme="majorBidi"/>
          <w:b/>
          <w:bCs/>
          <w:lang w:val="en-IN"/>
        </w:rPr>
      </w:pPr>
      <w:r w:rsidRPr="00907906">
        <w:rPr>
          <w:rFonts w:asciiTheme="majorBidi" w:hAnsiTheme="majorBidi" w:cstheme="majorBidi"/>
          <w:b/>
          <w:bCs/>
          <w:lang w:val="en-IN"/>
        </w:rPr>
        <w:t>Idealised Abundance</w:t>
      </w:r>
    </w:p>
    <w:p w14:paraId="409DCAE0" w14:textId="5621D199" w:rsidR="00907906" w:rsidRPr="00907906" w:rsidRDefault="001E6D62" w:rsidP="00A12031">
      <w:pPr>
        <w:spacing w:line="360" w:lineRule="auto"/>
        <w:jc w:val="lowKashida"/>
        <w:rPr>
          <w:rFonts w:asciiTheme="majorBidi" w:hAnsiTheme="majorBidi" w:cstheme="majorBidi"/>
          <w:lang w:val="en-IN"/>
        </w:rPr>
      </w:pPr>
      <w:r>
        <w:rPr>
          <w:rFonts w:asciiTheme="majorBidi" w:hAnsiTheme="majorBidi" w:cstheme="majorBidi"/>
          <w:lang w:val="en-IN"/>
        </w:rPr>
        <w:tab/>
      </w:r>
      <w:r w:rsidR="00907906" w:rsidRPr="00907906">
        <w:rPr>
          <w:rFonts w:asciiTheme="majorBidi" w:hAnsiTheme="majorBidi" w:cstheme="majorBidi"/>
          <w:lang w:val="en-IN"/>
        </w:rPr>
        <w:t>This figurine has many similar elements to others recovered in C̜atalhöyük</w:t>
      </w:r>
      <w:r w:rsidR="00CE0C88">
        <w:rPr>
          <w:rFonts w:asciiTheme="majorBidi" w:hAnsiTheme="majorBidi" w:cstheme="majorBidi"/>
          <w:lang w:val="en-IN"/>
        </w:rPr>
        <w:t xml:space="preserve"> (Figure </w:t>
      </w:r>
      <w:r w:rsidR="00891A6D">
        <w:rPr>
          <w:rFonts w:asciiTheme="majorBidi" w:hAnsiTheme="majorBidi" w:cstheme="majorBidi"/>
          <w:lang w:val="en-IN"/>
        </w:rPr>
        <w:t>4</w:t>
      </w:r>
      <w:r w:rsidR="00CE0C88">
        <w:rPr>
          <w:rFonts w:asciiTheme="majorBidi" w:hAnsiTheme="majorBidi" w:cstheme="majorBidi"/>
          <w:lang w:val="en-IN"/>
        </w:rPr>
        <w:t>)</w:t>
      </w:r>
      <w:r w:rsidR="00907906" w:rsidRPr="00907906">
        <w:rPr>
          <w:rFonts w:asciiTheme="majorBidi" w:hAnsiTheme="majorBidi" w:cstheme="majorBidi"/>
          <w:lang w:val="en-IN"/>
        </w:rPr>
        <w:t xml:space="preserve">; nonetheless, some qualities mark it as unique, namely, its dual composition as well as the exaggerated proportions of the breasts and stomach. When </w:t>
      </w:r>
      <w:r w:rsidR="00BA1B96" w:rsidRPr="00907906">
        <w:rPr>
          <w:rFonts w:asciiTheme="majorBidi" w:hAnsiTheme="majorBidi" w:cstheme="majorBidi"/>
          <w:lang w:val="en-IN"/>
        </w:rPr>
        <w:t>C̜atalhöyük</w:t>
      </w:r>
      <w:r w:rsidR="00907906" w:rsidRPr="00907906">
        <w:rPr>
          <w:rFonts w:asciiTheme="majorBidi" w:hAnsiTheme="majorBidi" w:cstheme="majorBidi"/>
          <w:lang w:val="en-IN"/>
        </w:rPr>
        <w:t xml:space="preserve"> was first excavated by James Mellart, he was quick to </w:t>
      </w:r>
      <w:r w:rsidR="00EA7449">
        <w:rPr>
          <w:rFonts w:asciiTheme="majorBidi" w:hAnsiTheme="majorBidi" w:cstheme="majorBidi"/>
          <w:lang w:val="en-IN"/>
        </w:rPr>
        <w:t>attach</w:t>
      </w:r>
      <w:r w:rsidR="00907906" w:rsidRPr="00907906">
        <w:rPr>
          <w:rFonts w:asciiTheme="majorBidi" w:hAnsiTheme="majorBidi" w:cstheme="majorBidi"/>
          <w:lang w:val="en-IN"/>
        </w:rPr>
        <w:t xml:space="preserve"> the female figurines with notions of matriarchy and fertility, embracing the mother goddess theory (Mellart, 1967). However, several studies have since cast doubt on these associations (Hodder, 1987; 1990; Meskell, 1995, 1998). Nakamura and Meskell (2009) analysed the figurines at the site quantitatively and contextually and concluded that it is unclear whether they have “protective, magical, and ancestral concerns” (p. 226)  as they lack ritual framing. Additionally, the associations with matriarchy, fertility</w:t>
      </w:r>
      <w:r w:rsidR="009D718C">
        <w:rPr>
          <w:rFonts w:asciiTheme="majorBidi" w:hAnsiTheme="majorBidi" w:cstheme="majorBidi"/>
          <w:lang w:val="en-IN"/>
        </w:rPr>
        <w:t>,</w:t>
      </w:r>
      <w:r w:rsidR="00907906" w:rsidRPr="00907906">
        <w:rPr>
          <w:rFonts w:asciiTheme="majorBidi" w:hAnsiTheme="majorBidi" w:cstheme="majorBidi"/>
          <w:lang w:val="en-IN"/>
        </w:rPr>
        <w:t xml:space="preserve"> and mother goddess worship are now regarded </w:t>
      </w:r>
      <w:r w:rsidR="00126BAC">
        <w:rPr>
          <w:rFonts w:asciiTheme="majorBidi" w:hAnsiTheme="majorBidi" w:cstheme="majorBidi"/>
          <w:lang w:val="en-IN"/>
        </w:rPr>
        <w:t xml:space="preserve">as </w:t>
      </w:r>
      <w:r w:rsidR="00907906" w:rsidRPr="00907906">
        <w:rPr>
          <w:rFonts w:asciiTheme="majorBidi" w:hAnsiTheme="majorBidi" w:cstheme="majorBidi"/>
          <w:lang w:val="en-IN"/>
        </w:rPr>
        <w:t xml:space="preserve">teleological interpretations, given that breasts, buttocks, and bellies are considered quite sexual in today’s world, but this may not have been the case for the inhabitants of </w:t>
      </w:r>
      <w:r w:rsidR="00BA1B96" w:rsidRPr="00BA1B96">
        <w:rPr>
          <w:rFonts w:asciiTheme="majorBidi" w:hAnsiTheme="majorBidi" w:cstheme="majorBidi"/>
          <w:lang w:val="en-IN"/>
        </w:rPr>
        <w:t>C̜atalhöyük</w:t>
      </w:r>
      <w:r w:rsidR="00907906" w:rsidRPr="00907906">
        <w:rPr>
          <w:rFonts w:asciiTheme="majorBidi" w:hAnsiTheme="majorBidi" w:cstheme="majorBidi"/>
          <w:lang w:val="en-IN"/>
        </w:rPr>
        <w:t xml:space="preserve">. Nevertheless, </w:t>
      </w:r>
      <w:r w:rsidR="00CE49FD">
        <w:rPr>
          <w:rFonts w:asciiTheme="majorBidi" w:hAnsiTheme="majorBidi" w:cstheme="majorBidi"/>
          <w:lang w:val="en-IN"/>
        </w:rPr>
        <w:t xml:space="preserve">some studies </w:t>
      </w:r>
      <w:r w:rsidR="00C1076B" w:rsidRPr="00C1076B">
        <w:rPr>
          <w:rFonts w:asciiTheme="majorBidi" w:hAnsiTheme="majorBidi" w:cstheme="majorBidi"/>
        </w:rPr>
        <w:t xml:space="preserve">argue that the mother goddess theory remains a plausible explanation, suggesting that the </w:t>
      </w:r>
      <w:r w:rsidR="009D3E2D">
        <w:rPr>
          <w:rFonts w:asciiTheme="majorBidi" w:hAnsiTheme="majorBidi" w:cstheme="majorBidi"/>
        </w:rPr>
        <w:t xml:space="preserve">gradual </w:t>
      </w:r>
      <w:r w:rsidR="005305E5">
        <w:rPr>
          <w:rFonts w:asciiTheme="majorBidi" w:hAnsiTheme="majorBidi" w:cstheme="majorBidi"/>
        </w:rPr>
        <w:t>withdrawal in the usage of</w:t>
      </w:r>
      <w:r w:rsidR="00C1076B" w:rsidRPr="00C1076B">
        <w:rPr>
          <w:rFonts w:asciiTheme="majorBidi" w:hAnsiTheme="majorBidi" w:cstheme="majorBidi"/>
        </w:rPr>
        <w:t xml:space="preserve"> figurines </w:t>
      </w:r>
      <w:r w:rsidR="009D3E2D">
        <w:rPr>
          <w:rFonts w:asciiTheme="majorBidi" w:hAnsiTheme="majorBidi" w:cstheme="majorBidi"/>
        </w:rPr>
        <w:t>in</w:t>
      </w:r>
      <w:r w:rsidR="00D84100">
        <w:rPr>
          <w:rFonts w:asciiTheme="majorBidi" w:hAnsiTheme="majorBidi" w:cstheme="majorBidi"/>
        </w:rPr>
        <w:t xml:space="preserve"> the</w:t>
      </w:r>
      <w:r w:rsidR="00C1076B" w:rsidRPr="00C1076B">
        <w:rPr>
          <w:rFonts w:asciiTheme="majorBidi" w:hAnsiTheme="majorBidi" w:cstheme="majorBidi"/>
        </w:rPr>
        <w:t xml:space="preserve"> archaeological </w:t>
      </w:r>
      <w:r w:rsidR="00D84100">
        <w:rPr>
          <w:rFonts w:asciiTheme="majorBidi" w:hAnsiTheme="majorBidi" w:cstheme="majorBidi"/>
        </w:rPr>
        <w:t>record</w:t>
      </w:r>
      <w:r w:rsidR="00C1076B" w:rsidRPr="00C1076B">
        <w:rPr>
          <w:rFonts w:asciiTheme="majorBidi" w:hAnsiTheme="majorBidi" w:cstheme="majorBidi"/>
        </w:rPr>
        <w:t xml:space="preserve"> </w:t>
      </w:r>
      <w:r w:rsidR="00907906" w:rsidRPr="00907906">
        <w:rPr>
          <w:rFonts w:asciiTheme="majorBidi" w:hAnsiTheme="majorBidi" w:cstheme="majorBidi"/>
          <w:lang w:val="en-IN"/>
        </w:rPr>
        <w:t>may have something to do with a shift in mother goddess beliefs or social identity (</w:t>
      </w:r>
      <w:r w:rsidR="00A10F30" w:rsidRPr="00907906">
        <w:rPr>
          <w:rFonts w:asciiTheme="majorBidi" w:hAnsiTheme="majorBidi" w:cstheme="majorBidi"/>
          <w:lang w:val="en-IN"/>
        </w:rPr>
        <w:t>Tringham and Conkey, 1998</w:t>
      </w:r>
      <w:r w:rsidR="00A10F30">
        <w:rPr>
          <w:rFonts w:asciiTheme="majorBidi" w:hAnsiTheme="majorBidi" w:cstheme="majorBidi"/>
          <w:lang w:val="en-IN"/>
        </w:rPr>
        <w:t>)</w:t>
      </w:r>
      <w:r w:rsidR="00907906" w:rsidRPr="00907906">
        <w:rPr>
          <w:rFonts w:asciiTheme="majorBidi" w:hAnsiTheme="majorBidi" w:cstheme="majorBidi"/>
          <w:lang w:val="en-IN"/>
        </w:rPr>
        <w:t xml:space="preserve">. </w:t>
      </w:r>
    </w:p>
    <w:p w14:paraId="007CD456" w14:textId="7CB64C32" w:rsidR="00907906" w:rsidRPr="00907906" w:rsidRDefault="001E6D62" w:rsidP="00907906">
      <w:pPr>
        <w:spacing w:line="360" w:lineRule="auto"/>
        <w:jc w:val="lowKashida"/>
        <w:rPr>
          <w:rFonts w:asciiTheme="majorBidi" w:hAnsiTheme="majorBidi" w:cstheme="majorBidi"/>
        </w:rPr>
      </w:pPr>
      <w:r>
        <w:rPr>
          <w:rFonts w:asciiTheme="majorBidi" w:hAnsiTheme="majorBidi" w:cstheme="majorBidi"/>
          <w:lang w:val="en-IN"/>
        </w:rPr>
        <w:tab/>
      </w:r>
      <w:r w:rsidR="00907906" w:rsidRPr="00907906">
        <w:rPr>
          <w:rFonts w:asciiTheme="majorBidi" w:hAnsiTheme="majorBidi" w:cstheme="majorBidi"/>
          <w:lang w:val="en-IN"/>
        </w:rPr>
        <w:t xml:space="preserve">Therefore, while we cannot disregard connections between fertility and the presence of large breasts and stomach, this figurine might indicate a specific focus on abundance. In a report, Boz </w:t>
      </w:r>
      <w:r w:rsidR="00907906" w:rsidRPr="00457F8F">
        <w:rPr>
          <w:rFonts w:asciiTheme="majorBidi" w:hAnsiTheme="majorBidi" w:cstheme="majorBidi"/>
          <w:i/>
          <w:iCs/>
          <w:lang w:val="en-IN"/>
        </w:rPr>
        <w:t>et al.</w:t>
      </w:r>
      <w:r w:rsidR="00907906" w:rsidRPr="00907906">
        <w:rPr>
          <w:rFonts w:asciiTheme="majorBidi" w:hAnsiTheme="majorBidi" w:cstheme="majorBidi"/>
          <w:lang w:val="en-IN"/>
        </w:rPr>
        <w:t xml:space="preserve"> (2006) stated that both men and women at </w:t>
      </w:r>
      <w:r w:rsidR="002906D2" w:rsidRPr="00907906">
        <w:rPr>
          <w:rFonts w:asciiTheme="majorBidi" w:hAnsiTheme="majorBidi" w:cstheme="majorBidi"/>
          <w:lang w:val="en-IN"/>
        </w:rPr>
        <w:t>C̜atalhöyük</w:t>
      </w:r>
      <w:r w:rsidR="00907906" w:rsidRPr="00907906">
        <w:rPr>
          <w:rFonts w:asciiTheme="majorBidi" w:hAnsiTheme="majorBidi" w:cstheme="majorBidi"/>
          <w:lang w:val="en-IN"/>
        </w:rPr>
        <w:t xml:space="preserve"> possessed strong long bones, which are indicative </w:t>
      </w:r>
      <w:r w:rsidR="00907906" w:rsidRPr="00907906">
        <w:rPr>
          <w:rFonts w:asciiTheme="majorBidi" w:hAnsiTheme="majorBidi" w:cstheme="majorBidi"/>
          <w:lang w:val="en-IN"/>
        </w:rPr>
        <w:lastRenderedPageBreak/>
        <w:t>of a high level of activity. They noted that the diets a</w:t>
      </w:r>
      <w:r w:rsidR="00126BAC">
        <w:rPr>
          <w:rFonts w:asciiTheme="majorBidi" w:hAnsiTheme="majorBidi" w:cstheme="majorBidi"/>
          <w:lang w:val="en-IN"/>
        </w:rPr>
        <w:t>nd</w:t>
      </w:r>
      <w:r w:rsidR="00907906" w:rsidRPr="00907906">
        <w:rPr>
          <w:rFonts w:asciiTheme="majorBidi" w:hAnsiTheme="majorBidi" w:cstheme="majorBidi"/>
          <w:lang w:val="en-IN"/>
        </w:rPr>
        <w:t xml:space="preserve"> physical activities </w:t>
      </w:r>
      <w:r w:rsidR="00126BAC">
        <w:rPr>
          <w:rFonts w:asciiTheme="majorBidi" w:hAnsiTheme="majorBidi" w:cstheme="majorBidi"/>
          <w:lang w:val="en-IN"/>
        </w:rPr>
        <w:t>of</w:t>
      </w:r>
      <w:r w:rsidR="00907906" w:rsidRPr="00907906">
        <w:rPr>
          <w:rFonts w:asciiTheme="majorBidi" w:hAnsiTheme="majorBidi" w:cstheme="majorBidi"/>
          <w:lang w:val="en-IN"/>
        </w:rPr>
        <w:t xml:space="preserve"> men and women were not different from each other. </w:t>
      </w:r>
      <w:r w:rsidR="00907906" w:rsidRPr="00907906">
        <w:rPr>
          <w:rFonts w:asciiTheme="majorBidi" w:hAnsiTheme="majorBidi" w:cstheme="majorBidi"/>
        </w:rPr>
        <w:t xml:space="preserve">Moreover, there is no distinction between the sexes in terms of how they were buried and their burial goods (Molleson </w:t>
      </w:r>
      <w:r w:rsidR="00907906" w:rsidRPr="00457F8F">
        <w:rPr>
          <w:rFonts w:asciiTheme="majorBidi" w:hAnsiTheme="majorBidi" w:cstheme="majorBidi"/>
          <w:i/>
          <w:iCs/>
        </w:rPr>
        <w:t>et al.</w:t>
      </w:r>
      <w:r w:rsidR="00481197">
        <w:rPr>
          <w:rFonts w:asciiTheme="majorBidi" w:hAnsiTheme="majorBidi" w:cstheme="majorBidi"/>
          <w:i/>
          <w:iCs/>
        </w:rPr>
        <w:t>,</w:t>
      </w:r>
      <w:r w:rsidR="00907906" w:rsidRPr="00907906">
        <w:rPr>
          <w:rFonts w:asciiTheme="majorBidi" w:hAnsiTheme="majorBidi" w:cstheme="majorBidi"/>
        </w:rPr>
        <w:t xml:space="preserve"> 2005). This is why numerous studies now argue against the presence of matriarchal themes or women’s special status in </w:t>
      </w:r>
      <w:r w:rsidR="002906D2" w:rsidRPr="00907906">
        <w:rPr>
          <w:rFonts w:asciiTheme="majorBidi" w:hAnsiTheme="majorBidi" w:cstheme="majorBidi"/>
          <w:lang w:val="en-IN"/>
        </w:rPr>
        <w:t>C̜atalhöyük</w:t>
      </w:r>
      <w:r w:rsidR="00731FF1">
        <w:rPr>
          <w:rFonts w:asciiTheme="majorBidi" w:hAnsiTheme="majorBidi" w:cstheme="majorBidi"/>
        </w:rPr>
        <w:t xml:space="preserve"> (</w:t>
      </w:r>
      <w:r w:rsidR="00183822">
        <w:rPr>
          <w:rFonts w:asciiTheme="majorBidi" w:hAnsiTheme="majorBidi" w:cstheme="majorBidi"/>
        </w:rPr>
        <w:t xml:space="preserve">Hodder, 1990; </w:t>
      </w:r>
      <w:r w:rsidR="00731FF1">
        <w:rPr>
          <w:rFonts w:asciiTheme="majorBidi" w:hAnsiTheme="majorBidi" w:cstheme="majorBidi"/>
        </w:rPr>
        <w:t xml:space="preserve">Meskell </w:t>
      </w:r>
      <w:r w:rsidR="00731FF1" w:rsidRPr="00457F8F">
        <w:rPr>
          <w:rFonts w:asciiTheme="majorBidi" w:hAnsiTheme="majorBidi" w:cstheme="majorBidi"/>
          <w:i/>
          <w:iCs/>
        </w:rPr>
        <w:t>et al</w:t>
      </w:r>
      <w:r w:rsidR="00731FF1">
        <w:rPr>
          <w:rFonts w:asciiTheme="majorBidi" w:hAnsiTheme="majorBidi" w:cstheme="majorBidi"/>
        </w:rPr>
        <w:t>.</w:t>
      </w:r>
      <w:r w:rsidR="00E73511">
        <w:rPr>
          <w:rFonts w:asciiTheme="majorBidi" w:hAnsiTheme="majorBidi" w:cstheme="majorBidi"/>
        </w:rPr>
        <w:t>,</w:t>
      </w:r>
      <w:r w:rsidR="00731FF1">
        <w:rPr>
          <w:rFonts w:asciiTheme="majorBidi" w:hAnsiTheme="majorBidi" w:cstheme="majorBidi"/>
        </w:rPr>
        <w:t xml:space="preserve"> 2007</w:t>
      </w:r>
      <w:r w:rsidR="00E73511">
        <w:rPr>
          <w:rFonts w:asciiTheme="majorBidi" w:hAnsiTheme="majorBidi" w:cstheme="majorBidi"/>
        </w:rPr>
        <w:t>)</w:t>
      </w:r>
      <w:r w:rsidR="00907906" w:rsidRPr="00907906">
        <w:rPr>
          <w:rFonts w:asciiTheme="majorBidi" w:hAnsiTheme="majorBidi" w:cstheme="majorBidi"/>
        </w:rPr>
        <w:t xml:space="preserve">. </w:t>
      </w:r>
    </w:p>
    <w:p w14:paraId="39E44247" w14:textId="63A6964E" w:rsidR="00A24859" w:rsidRDefault="001E6D62" w:rsidP="00A24859">
      <w:pPr>
        <w:spacing w:line="360" w:lineRule="auto"/>
        <w:jc w:val="lowKashida"/>
        <w:rPr>
          <w:rFonts w:asciiTheme="majorBidi" w:hAnsiTheme="majorBidi" w:cstheme="majorBidi"/>
        </w:rPr>
      </w:pPr>
      <w:r>
        <w:rPr>
          <w:rFonts w:asciiTheme="majorBidi" w:hAnsiTheme="majorBidi" w:cstheme="majorBidi"/>
          <w:lang w:val="en-IN"/>
        </w:rPr>
        <w:tab/>
      </w:r>
      <w:r w:rsidR="00907906" w:rsidRPr="00907906">
        <w:rPr>
          <w:rFonts w:asciiTheme="majorBidi" w:hAnsiTheme="majorBidi" w:cstheme="majorBidi"/>
          <w:lang w:val="en-IN"/>
        </w:rPr>
        <w:t xml:space="preserve">In addition, Molleson </w:t>
      </w:r>
      <w:r w:rsidR="00907906" w:rsidRPr="00457F8F">
        <w:rPr>
          <w:rFonts w:asciiTheme="majorBidi" w:hAnsiTheme="majorBidi" w:cstheme="majorBidi"/>
          <w:i/>
          <w:iCs/>
          <w:lang w:val="en-IN"/>
        </w:rPr>
        <w:t>et al.</w:t>
      </w:r>
      <w:r w:rsidR="00907906" w:rsidRPr="00907906">
        <w:rPr>
          <w:rFonts w:asciiTheme="majorBidi" w:hAnsiTheme="majorBidi" w:cstheme="majorBidi"/>
          <w:lang w:val="en-IN"/>
        </w:rPr>
        <w:t xml:space="preserve"> (2005) studied the prevalence of anaemia in the settlement and found that a significant number of individuals, particularly infants, were anaemic. Besides, the data on skeletal remains do not indicate the presence of obesity among adults in </w:t>
      </w:r>
      <w:r w:rsidR="002906D2" w:rsidRPr="00907906">
        <w:rPr>
          <w:rFonts w:asciiTheme="majorBidi" w:hAnsiTheme="majorBidi" w:cstheme="majorBidi"/>
          <w:lang w:val="en-IN"/>
        </w:rPr>
        <w:t>C̜atalhöyük</w:t>
      </w:r>
      <w:r w:rsidR="00907906" w:rsidRPr="00907906">
        <w:rPr>
          <w:rFonts w:asciiTheme="majorBidi" w:hAnsiTheme="majorBidi" w:cstheme="majorBidi"/>
          <w:lang w:val="en-IN"/>
        </w:rPr>
        <w:t>. Considering these findings, the exaggerated breasts and belly of the figurine may suggest a general concern for excess or abundance</w:t>
      </w:r>
      <w:r w:rsidR="000F08CA">
        <w:rPr>
          <w:rFonts w:asciiTheme="majorBidi" w:hAnsiTheme="majorBidi" w:cstheme="majorBidi"/>
          <w:lang w:val="en-IN"/>
        </w:rPr>
        <w:t xml:space="preserve"> </w:t>
      </w:r>
      <w:r w:rsidR="000F08CA" w:rsidRPr="00907906">
        <w:rPr>
          <w:rFonts w:asciiTheme="majorBidi" w:hAnsiTheme="majorBidi" w:cstheme="majorBidi"/>
          <w:lang w:val="en-IN"/>
        </w:rPr>
        <w:t>(Nakamura and Meskell, 2009)</w:t>
      </w:r>
      <w:r w:rsidR="00907906" w:rsidRPr="00907906">
        <w:rPr>
          <w:rFonts w:asciiTheme="majorBidi" w:hAnsiTheme="majorBidi" w:cstheme="majorBidi"/>
          <w:lang w:val="en-IN"/>
        </w:rPr>
        <w:t>. The traits that are emphasised might have more to do with idealised bodies, materialising a cultural desire or longing for abundance</w:t>
      </w:r>
      <w:r w:rsidR="000F08CA">
        <w:rPr>
          <w:rFonts w:asciiTheme="majorBidi" w:hAnsiTheme="majorBidi" w:cstheme="majorBidi"/>
          <w:lang w:val="en-IN"/>
        </w:rPr>
        <w:t>.</w:t>
      </w:r>
      <w:r w:rsidR="00FE5434">
        <w:rPr>
          <w:rFonts w:asciiTheme="majorBidi" w:hAnsiTheme="majorBidi" w:cstheme="majorBidi"/>
          <w:lang w:val="en-IN"/>
        </w:rPr>
        <w:t xml:space="preserve"> </w:t>
      </w:r>
      <w:r w:rsidR="00907906" w:rsidRPr="00907906">
        <w:rPr>
          <w:rFonts w:asciiTheme="majorBidi" w:hAnsiTheme="majorBidi" w:cstheme="majorBidi"/>
        </w:rPr>
        <w:t>These ideas are compelling, especially given the</w:t>
      </w:r>
      <w:r w:rsidR="00907906" w:rsidRPr="00907906">
        <w:rPr>
          <w:rFonts w:asciiTheme="majorBidi" w:hAnsiTheme="majorBidi" w:cstheme="majorBidi"/>
          <w:lang w:val="en-IN"/>
        </w:rPr>
        <w:t xml:space="preserve"> dual representation of the figurine, that is, the corpulent front versus the skeletal back, highlighting the contrast: abundance and lack or maybe life and death.</w:t>
      </w:r>
      <w:r w:rsidR="00672DF0" w:rsidRPr="00672DF0">
        <w:rPr>
          <w:rFonts w:asciiTheme="majorBidi" w:hAnsiTheme="majorBidi" w:cstheme="majorBidi"/>
          <w:lang w:val="en-IN"/>
        </w:rPr>
        <w:t xml:space="preserve"> </w:t>
      </w:r>
      <w:r w:rsidR="00A24859" w:rsidRPr="00A24859">
        <w:rPr>
          <w:rFonts w:asciiTheme="majorBidi" w:hAnsiTheme="majorBidi" w:cstheme="majorBidi"/>
        </w:rPr>
        <w:t>However, the possibility that this is a d</w:t>
      </w:r>
      <w:r w:rsidR="00F40352">
        <w:rPr>
          <w:rFonts w:asciiTheme="majorBidi" w:hAnsiTheme="majorBidi" w:cstheme="majorBidi"/>
        </w:rPr>
        <w:t>e</w:t>
      </w:r>
      <w:r w:rsidR="00A24859" w:rsidRPr="00A24859">
        <w:rPr>
          <w:rFonts w:asciiTheme="majorBidi" w:hAnsiTheme="majorBidi" w:cstheme="majorBidi"/>
        </w:rPr>
        <w:t>piction of a pregnant woman with an umbilical hernia</w:t>
      </w:r>
      <w:r w:rsidR="00A24859">
        <w:rPr>
          <w:rFonts w:asciiTheme="majorBidi" w:hAnsiTheme="majorBidi" w:cstheme="majorBidi"/>
        </w:rPr>
        <w:t xml:space="preserve"> cannot be ruled out</w:t>
      </w:r>
      <w:r w:rsidR="00363954">
        <w:rPr>
          <w:rFonts w:asciiTheme="majorBidi" w:hAnsiTheme="majorBidi" w:cstheme="majorBidi"/>
        </w:rPr>
        <w:t xml:space="preserve"> </w:t>
      </w:r>
      <w:r w:rsidR="00A24859" w:rsidRPr="00A24859">
        <w:rPr>
          <w:rFonts w:asciiTheme="majorBidi" w:hAnsiTheme="majorBidi" w:cstheme="majorBidi"/>
        </w:rPr>
        <w:t>(Meskell and Nakamura, 2005).</w:t>
      </w:r>
    </w:p>
    <w:p w14:paraId="0F26FD41" w14:textId="5BA3F735" w:rsidR="00402478" w:rsidRDefault="00F75D23" w:rsidP="00480BB8">
      <w:pPr>
        <w:spacing w:line="360" w:lineRule="auto"/>
        <w:jc w:val="center"/>
        <w:rPr>
          <w:rFonts w:asciiTheme="majorBidi" w:hAnsiTheme="majorBidi" w:cstheme="majorBidi"/>
        </w:rPr>
      </w:pPr>
      <w:r>
        <w:rPr>
          <w:rFonts w:asciiTheme="majorBidi" w:hAnsiTheme="majorBidi" w:cstheme="majorBidi"/>
          <w:noProof/>
        </w:rPr>
        <w:drawing>
          <wp:inline distT="0" distB="0" distL="0" distR="0" wp14:anchorId="3C4F8E30" wp14:editId="72AF8BF9">
            <wp:extent cx="2540000" cy="3810000"/>
            <wp:effectExtent l="0" t="0" r="0" b="0"/>
            <wp:docPr id="16928073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807354" name="Picture 169280735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53195" cy="3829793"/>
                    </a:xfrm>
                    <a:prstGeom prst="rect">
                      <a:avLst/>
                    </a:prstGeom>
                  </pic:spPr>
                </pic:pic>
              </a:graphicData>
            </a:graphic>
          </wp:inline>
        </w:drawing>
      </w:r>
    </w:p>
    <w:p w14:paraId="27473B02" w14:textId="34CDA38D" w:rsidR="00F75D23" w:rsidRPr="00960635" w:rsidRDefault="009B48C4" w:rsidP="00480BB8">
      <w:pPr>
        <w:spacing w:line="360" w:lineRule="auto"/>
        <w:jc w:val="center"/>
        <w:rPr>
          <w:rFonts w:asciiTheme="majorBidi" w:hAnsiTheme="majorBidi" w:cstheme="majorBidi"/>
          <w:sz w:val="20"/>
          <w:szCs w:val="20"/>
        </w:rPr>
      </w:pPr>
      <w:r w:rsidRPr="00960635">
        <w:rPr>
          <w:rFonts w:asciiTheme="majorBidi" w:hAnsiTheme="majorBidi" w:cstheme="majorBidi"/>
          <w:sz w:val="20"/>
          <w:szCs w:val="20"/>
        </w:rPr>
        <w:t xml:space="preserve">Figure </w:t>
      </w:r>
      <w:r w:rsidR="00891A6D" w:rsidRPr="00960635">
        <w:rPr>
          <w:rFonts w:asciiTheme="majorBidi" w:hAnsiTheme="majorBidi" w:cstheme="majorBidi"/>
          <w:sz w:val="20"/>
          <w:szCs w:val="20"/>
        </w:rPr>
        <w:t>4</w:t>
      </w:r>
      <w:r w:rsidRPr="00960635">
        <w:rPr>
          <w:rFonts w:asciiTheme="majorBidi" w:hAnsiTheme="majorBidi" w:cstheme="majorBidi"/>
          <w:sz w:val="20"/>
          <w:szCs w:val="20"/>
        </w:rPr>
        <w:t>.</w:t>
      </w:r>
      <w:r w:rsidR="00CE0C88" w:rsidRPr="00960635">
        <w:rPr>
          <w:rFonts w:asciiTheme="majorBidi" w:hAnsiTheme="majorBidi" w:cstheme="majorBidi"/>
          <w:sz w:val="20"/>
          <w:szCs w:val="20"/>
        </w:rPr>
        <w:t xml:space="preserve"> Female figurine </w:t>
      </w:r>
      <w:r w:rsidR="00435D0F" w:rsidRPr="00960635">
        <w:rPr>
          <w:rFonts w:asciiTheme="majorBidi" w:hAnsiTheme="majorBidi" w:cstheme="majorBidi"/>
          <w:sz w:val="20"/>
          <w:szCs w:val="20"/>
        </w:rPr>
        <w:t xml:space="preserve">holding its arms </w:t>
      </w:r>
      <w:r w:rsidR="00F40352" w:rsidRPr="00960635">
        <w:rPr>
          <w:rFonts w:asciiTheme="majorBidi" w:hAnsiTheme="majorBidi" w:cstheme="majorBidi"/>
          <w:sz w:val="20"/>
          <w:szCs w:val="20"/>
        </w:rPr>
        <w:t>to its breasts</w:t>
      </w:r>
      <w:r w:rsidR="00A10B9C" w:rsidRPr="00960635">
        <w:rPr>
          <w:rFonts w:asciiTheme="majorBidi" w:hAnsiTheme="majorBidi" w:cstheme="majorBidi"/>
          <w:sz w:val="20"/>
          <w:szCs w:val="20"/>
        </w:rPr>
        <w:t xml:space="preserve"> </w:t>
      </w:r>
      <w:r w:rsidR="00590ED1" w:rsidRPr="00960635">
        <w:rPr>
          <w:rFonts w:asciiTheme="majorBidi" w:hAnsiTheme="majorBidi" w:cstheme="majorBidi"/>
          <w:sz w:val="20"/>
          <w:szCs w:val="20"/>
        </w:rPr>
        <w:t xml:space="preserve"> </w:t>
      </w:r>
      <w:r w:rsidR="00CE0C88" w:rsidRPr="00960635">
        <w:rPr>
          <w:rFonts w:asciiTheme="majorBidi" w:hAnsiTheme="majorBidi" w:cstheme="majorBidi"/>
          <w:sz w:val="20"/>
          <w:szCs w:val="20"/>
        </w:rPr>
        <w:t>(Image credit: Çatalhöyük Research Project)</w:t>
      </w:r>
    </w:p>
    <w:p w14:paraId="767D93AB" w14:textId="77777777" w:rsidR="00907906" w:rsidRPr="00907906" w:rsidRDefault="00907906" w:rsidP="00907906">
      <w:pPr>
        <w:spacing w:line="360" w:lineRule="auto"/>
        <w:jc w:val="lowKashida"/>
        <w:rPr>
          <w:rFonts w:asciiTheme="majorBidi" w:hAnsiTheme="majorBidi" w:cstheme="majorBidi"/>
          <w:b/>
          <w:bCs/>
          <w:lang w:val="en-IN"/>
        </w:rPr>
      </w:pPr>
      <w:r w:rsidRPr="00907906">
        <w:rPr>
          <w:rFonts w:asciiTheme="majorBidi" w:hAnsiTheme="majorBidi" w:cstheme="majorBidi"/>
          <w:b/>
          <w:bCs/>
          <w:lang w:val="en-IN"/>
        </w:rPr>
        <w:t>Fleshed and Defleshed</w:t>
      </w:r>
    </w:p>
    <w:p w14:paraId="4A970467" w14:textId="554F8DD1" w:rsidR="00907906" w:rsidRDefault="001E6D62" w:rsidP="00541929">
      <w:pPr>
        <w:spacing w:line="360" w:lineRule="auto"/>
        <w:jc w:val="lowKashida"/>
        <w:rPr>
          <w:rFonts w:asciiTheme="majorBidi" w:hAnsiTheme="majorBidi" w:cstheme="majorBidi"/>
          <w:lang w:val="en-IN"/>
        </w:rPr>
      </w:pPr>
      <w:r>
        <w:rPr>
          <w:rFonts w:asciiTheme="majorBidi" w:hAnsiTheme="majorBidi" w:cstheme="majorBidi"/>
          <w:lang w:val="en-IN"/>
        </w:rPr>
        <w:lastRenderedPageBreak/>
        <w:tab/>
      </w:r>
      <w:r w:rsidR="00907906" w:rsidRPr="00907906">
        <w:rPr>
          <w:rFonts w:asciiTheme="majorBidi" w:hAnsiTheme="majorBidi" w:cstheme="majorBidi"/>
          <w:lang w:val="en-IN"/>
        </w:rPr>
        <w:t xml:space="preserve">On the subject of life and death, the inhabitants of </w:t>
      </w:r>
      <w:r w:rsidR="002906D2" w:rsidRPr="00907906">
        <w:rPr>
          <w:rFonts w:asciiTheme="majorBidi" w:hAnsiTheme="majorBidi" w:cstheme="majorBidi"/>
          <w:lang w:val="en-IN"/>
        </w:rPr>
        <w:t>C̜atalhöyük</w:t>
      </w:r>
      <w:r w:rsidR="00907906" w:rsidRPr="00907906">
        <w:rPr>
          <w:rFonts w:asciiTheme="majorBidi" w:hAnsiTheme="majorBidi" w:cstheme="majorBidi"/>
          <w:lang w:val="en-IN"/>
        </w:rPr>
        <w:t xml:space="preserve"> interred their dead beneath platforms in their houses (</w:t>
      </w:r>
      <w:r w:rsidR="00C02523">
        <w:rPr>
          <w:rFonts w:asciiTheme="majorBidi" w:hAnsiTheme="majorBidi" w:cstheme="majorBidi"/>
          <w:lang w:val="en-IN"/>
        </w:rPr>
        <w:t xml:space="preserve">Andrews </w:t>
      </w:r>
      <w:r w:rsidR="00C02523" w:rsidRPr="00457F8F">
        <w:rPr>
          <w:rFonts w:asciiTheme="majorBidi" w:hAnsiTheme="majorBidi" w:cstheme="majorBidi"/>
          <w:i/>
          <w:iCs/>
          <w:lang w:val="en-IN"/>
        </w:rPr>
        <w:t>et al.,</w:t>
      </w:r>
      <w:r w:rsidR="00C02523">
        <w:rPr>
          <w:rFonts w:asciiTheme="majorBidi" w:hAnsiTheme="majorBidi" w:cstheme="majorBidi"/>
          <w:lang w:val="en-IN"/>
        </w:rPr>
        <w:t xml:space="preserve"> 2005; </w:t>
      </w:r>
      <w:r w:rsidR="00907906" w:rsidRPr="00907906">
        <w:rPr>
          <w:rFonts w:asciiTheme="majorBidi" w:hAnsiTheme="majorBidi" w:cstheme="majorBidi"/>
          <w:lang w:val="en-IN"/>
        </w:rPr>
        <w:t>Hodder</w:t>
      </w:r>
      <w:r w:rsidR="003C5CAC">
        <w:rPr>
          <w:rFonts w:asciiTheme="majorBidi" w:hAnsiTheme="majorBidi" w:cstheme="majorBidi"/>
          <w:lang w:val="en-IN"/>
        </w:rPr>
        <w:t xml:space="preserve"> and Pels</w:t>
      </w:r>
      <w:r w:rsidR="00907906" w:rsidRPr="00907906">
        <w:rPr>
          <w:rFonts w:asciiTheme="majorBidi" w:hAnsiTheme="majorBidi" w:cstheme="majorBidi"/>
          <w:lang w:val="en-IN"/>
        </w:rPr>
        <w:t>, 20</w:t>
      </w:r>
      <w:r w:rsidR="003C5CAC">
        <w:rPr>
          <w:rFonts w:asciiTheme="majorBidi" w:hAnsiTheme="majorBidi" w:cstheme="majorBidi"/>
          <w:lang w:val="en-IN"/>
        </w:rPr>
        <w:t>10</w:t>
      </w:r>
      <w:r w:rsidR="00907906" w:rsidRPr="00907906">
        <w:rPr>
          <w:rFonts w:asciiTheme="majorBidi" w:hAnsiTheme="majorBidi" w:cstheme="majorBidi"/>
          <w:lang w:val="en-IN"/>
        </w:rPr>
        <w:t xml:space="preserve">). At times, these burials would encroach upon previous burials, and the inhabitants would use this to retrieve parts of older buried bodies, even if some of them were still decomposing (Molleson </w:t>
      </w:r>
      <w:r w:rsidR="00907906" w:rsidRPr="00457F8F">
        <w:rPr>
          <w:rFonts w:asciiTheme="majorBidi" w:hAnsiTheme="majorBidi" w:cstheme="majorBidi"/>
          <w:i/>
          <w:iCs/>
          <w:lang w:val="en-IN"/>
        </w:rPr>
        <w:t>et al.</w:t>
      </w:r>
      <w:r w:rsidR="00457F8F">
        <w:rPr>
          <w:rFonts w:asciiTheme="majorBidi" w:hAnsiTheme="majorBidi" w:cstheme="majorBidi"/>
          <w:i/>
          <w:iCs/>
          <w:lang w:val="en-IN"/>
        </w:rPr>
        <w:t>,</w:t>
      </w:r>
      <w:r w:rsidR="00907906" w:rsidRPr="00907906">
        <w:rPr>
          <w:rFonts w:asciiTheme="majorBidi" w:hAnsiTheme="majorBidi" w:cstheme="majorBidi"/>
          <w:lang w:val="en-IN"/>
        </w:rPr>
        <w:t xml:space="preserve"> 2005). Additionally, the people of </w:t>
      </w:r>
      <w:r w:rsidR="002906D2" w:rsidRPr="00907906">
        <w:rPr>
          <w:rFonts w:asciiTheme="majorBidi" w:hAnsiTheme="majorBidi" w:cstheme="majorBidi"/>
          <w:lang w:val="en-IN"/>
        </w:rPr>
        <w:t>C̜atalhöyük</w:t>
      </w:r>
      <w:r w:rsidR="00907906" w:rsidRPr="00907906">
        <w:rPr>
          <w:rFonts w:asciiTheme="majorBidi" w:hAnsiTheme="majorBidi" w:cstheme="majorBidi"/>
          <w:lang w:val="en-IN"/>
        </w:rPr>
        <w:t xml:space="preserve"> would retrieve skulls, plaster them, circulate them, and occasionally rebury them</w:t>
      </w:r>
      <w:r w:rsidR="00541929">
        <w:rPr>
          <w:rFonts w:asciiTheme="majorBidi" w:hAnsiTheme="majorBidi" w:cstheme="majorBidi"/>
          <w:lang w:val="en-IN"/>
        </w:rPr>
        <w:t xml:space="preserve"> (</w:t>
      </w:r>
      <w:r w:rsidR="00541929" w:rsidRPr="00F17473">
        <w:rPr>
          <w:rFonts w:asciiTheme="majorBidi" w:hAnsiTheme="majorBidi" w:cstheme="majorBidi"/>
        </w:rPr>
        <w:t>Haddow and Knüsel</w:t>
      </w:r>
      <w:r w:rsidR="00541929">
        <w:rPr>
          <w:rFonts w:asciiTheme="majorBidi" w:hAnsiTheme="majorBidi" w:cstheme="majorBidi"/>
        </w:rPr>
        <w:t>, 2017)</w:t>
      </w:r>
      <w:r w:rsidR="00907906" w:rsidRPr="00907906">
        <w:rPr>
          <w:rFonts w:asciiTheme="majorBidi" w:hAnsiTheme="majorBidi" w:cstheme="majorBidi"/>
          <w:lang w:val="en-IN"/>
        </w:rPr>
        <w:t>. They would plaster animal skulls and bones as well and install them in certain parts of their houses</w:t>
      </w:r>
      <w:r w:rsidR="00D90423">
        <w:rPr>
          <w:rFonts w:asciiTheme="majorBidi" w:hAnsiTheme="majorBidi" w:cstheme="majorBidi"/>
          <w:lang w:val="en-IN"/>
        </w:rPr>
        <w:t xml:space="preserve"> (Figure </w:t>
      </w:r>
      <w:r w:rsidR="00847835">
        <w:rPr>
          <w:rFonts w:asciiTheme="majorBidi" w:hAnsiTheme="majorBidi" w:cstheme="majorBidi"/>
          <w:lang w:val="en-IN"/>
        </w:rPr>
        <w:t>5</w:t>
      </w:r>
      <w:r w:rsidR="00D90423">
        <w:rPr>
          <w:rFonts w:asciiTheme="majorBidi" w:hAnsiTheme="majorBidi" w:cstheme="majorBidi"/>
          <w:lang w:val="en-IN"/>
        </w:rPr>
        <w:t>)</w:t>
      </w:r>
      <w:r w:rsidR="00907906" w:rsidRPr="00907906">
        <w:rPr>
          <w:rFonts w:asciiTheme="majorBidi" w:hAnsiTheme="majorBidi" w:cstheme="majorBidi"/>
          <w:lang w:val="en-IN"/>
        </w:rPr>
        <w:t>. These practices reveal the relationship they had with death, with, as Nakamura and Meskell (2009) explain, “the dual processes of fleshy decay and skeletal durability” (p. 225). These practices may have formed an integral aspect of communal and ritual events, where individual and collective memories were negotiated (Kujit</w:t>
      </w:r>
      <w:r w:rsidR="005C2E1B" w:rsidRPr="005C2E1B">
        <w:rPr>
          <w:rFonts w:asciiTheme="majorBidi" w:hAnsiTheme="majorBidi" w:cstheme="majorBidi"/>
          <w:lang w:val="en-IN"/>
        </w:rPr>
        <w:t xml:space="preserve"> </w:t>
      </w:r>
      <w:r w:rsidR="005C2E1B">
        <w:rPr>
          <w:rFonts w:asciiTheme="majorBidi" w:hAnsiTheme="majorBidi" w:cstheme="majorBidi"/>
          <w:lang w:val="en-IN"/>
        </w:rPr>
        <w:t xml:space="preserve">and </w:t>
      </w:r>
      <w:r w:rsidR="005C2E1B" w:rsidRPr="005C2E1B">
        <w:rPr>
          <w:rFonts w:asciiTheme="majorBidi" w:hAnsiTheme="majorBidi" w:cstheme="majorBidi"/>
          <w:lang w:val="en-IN"/>
        </w:rPr>
        <w:t>Chesson</w:t>
      </w:r>
      <w:r w:rsidR="00907906" w:rsidRPr="00907906">
        <w:rPr>
          <w:rFonts w:asciiTheme="majorBidi" w:hAnsiTheme="majorBidi" w:cstheme="majorBidi"/>
          <w:lang w:val="en-IN"/>
        </w:rPr>
        <w:t xml:space="preserve">, 2004). Perhaps these practices were used as a means of controlling displays of identity within the community or even revealing a desire to energise or placate ancestors (Shults, 2010). Their familiarity and preoccupation with death is evident through the way they plastered or “enfleshed” their spaces and their dead, materialising their desire to link generations and connect the past and the present (Hodder, 2006; Hodder and Meskell, 2011). </w:t>
      </w:r>
    </w:p>
    <w:p w14:paraId="5975C217" w14:textId="49D71CBA" w:rsidR="008D24AA" w:rsidRDefault="008D24AA" w:rsidP="008D24AA">
      <w:pPr>
        <w:spacing w:line="360" w:lineRule="auto"/>
        <w:jc w:val="center"/>
        <w:rPr>
          <w:rFonts w:asciiTheme="majorBidi" w:hAnsiTheme="majorBidi" w:cstheme="majorBidi"/>
          <w:lang w:val="en-IN"/>
        </w:rPr>
      </w:pPr>
      <w:r>
        <w:rPr>
          <w:rFonts w:asciiTheme="majorBidi" w:hAnsiTheme="majorBidi" w:cstheme="majorBidi"/>
          <w:noProof/>
          <w:lang w:val="en-IN"/>
        </w:rPr>
        <w:drawing>
          <wp:inline distT="0" distB="0" distL="0" distR="0" wp14:anchorId="5C75F824" wp14:editId="2FD3F81D">
            <wp:extent cx="5731510" cy="3797935"/>
            <wp:effectExtent l="0" t="0" r="2540" b="0"/>
            <wp:docPr id="17132693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269301" name="Picture 171326930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797935"/>
                    </a:xfrm>
                    <a:prstGeom prst="rect">
                      <a:avLst/>
                    </a:prstGeom>
                  </pic:spPr>
                </pic:pic>
              </a:graphicData>
            </a:graphic>
          </wp:inline>
        </w:drawing>
      </w:r>
    </w:p>
    <w:p w14:paraId="0B8F45FD" w14:textId="4203DEAD" w:rsidR="008D24AA" w:rsidRPr="00960635" w:rsidRDefault="008D24AA" w:rsidP="00CE0C88">
      <w:pPr>
        <w:spacing w:line="360" w:lineRule="auto"/>
        <w:jc w:val="center"/>
        <w:rPr>
          <w:rFonts w:asciiTheme="majorBidi" w:hAnsiTheme="majorBidi" w:cstheme="majorBidi"/>
          <w:sz w:val="20"/>
          <w:szCs w:val="20"/>
          <w:lang w:val="en-IN"/>
        </w:rPr>
      </w:pPr>
      <w:r w:rsidRPr="00960635">
        <w:rPr>
          <w:rFonts w:asciiTheme="majorBidi" w:hAnsiTheme="majorBidi" w:cstheme="majorBidi"/>
          <w:sz w:val="20"/>
          <w:szCs w:val="20"/>
          <w:lang w:val="en-IN"/>
        </w:rPr>
        <w:t xml:space="preserve">Figure </w:t>
      </w:r>
      <w:r w:rsidR="00847835" w:rsidRPr="00960635">
        <w:rPr>
          <w:rFonts w:asciiTheme="majorBidi" w:hAnsiTheme="majorBidi" w:cstheme="majorBidi"/>
          <w:sz w:val="20"/>
          <w:szCs w:val="20"/>
          <w:lang w:val="en-IN"/>
        </w:rPr>
        <w:t>5</w:t>
      </w:r>
      <w:r w:rsidRPr="00960635">
        <w:rPr>
          <w:rFonts w:asciiTheme="majorBidi" w:hAnsiTheme="majorBidi" w:cstheme="majorBidi"/>
          <w:sz w:val="20"/>
          <w:szCs w:val="20"/>
          <w:lang w:val="en-IN"/>
        </w:rPr>
        <w:t xml:space="preserve">. </w:t>
      </w:r>
      <w:r w:rsidR="000B4CE2" w:rsidRPr="00960635">
        <w:rPr>
          <w:rFonts w:asciiTheme="majorBidi" w:hAnsiTheme="majorBidi" w:cstheme="majorBidi"/>
          <w:sz w:val="20"/>
          <w:szCs w:val="20"/>
        </w:rPr>
        <w:t>Bull bucrania installed at the corner of Building 77</w:t>
      </w:r>
      <w:r w:rsidR="0084789C" w:rsidRPr="00960635">
        <w:rPr>
          <w:rFonts w:asciiTheme="majorBidi" w:hAnsiTheme="majorBidi" w:cstheme="majorBidi"/>
          <w:sz w:val="20"/>
          <w:szCs w:val="20"/>
        </w:rPr>
        <w:t>,</w:t>
      </w:r>
      <w:r w:rsidR="0084789C" w:rsidRPr="00960635">
        <w:rPr>
          <w:rFonts w:asciiTheme="majorBidi" w:hAnsiTheme="majorBidi" w:cstheme="majorBidi"/>
          <w:sz w:val="20"/>
          <w:szCs w:val="20"/>
          <w:lang w:val="en-IN"/>
        </w:rPr>
        <w:t xml:space="preserve"> C̜atalhöyük</w:t>
      </w:r>
      <w:r w:rsidR="000B4CE2" w:rsidRPr="00960635">
        <w:rPr>
          <w:rFonts w:asciiTheme="majorBidi" w:hAnsiTheme="majorBidi" w:cstheme="majorBidi"/>
          <w:sz w:val="20"/>
          <w:szCs w:val="20"/>
        </w:rPr>
        <w:t xml:space="preserve"> (</w:t>
      </w:r>
      <w:r w:rsidR="00CE0C88" w:rsidRPr="00960635">
        <w:rPr>
          <w:rFonts w:asciiTheme="majorBidi" w:hAnsiTheme="majorBidi" w:cstheme="majorBidi"/>
          <w:sz w:val="20"/>
          <w:szCs w:val="20"/>
        </w:rPr>
        <w:t>Image credit: Çatalhöyük Research Project</w:t>
      </w:r>
      <w:r w:rsidR="000B4CE2" w:rsidRPr="00960635">
        <w:rPr>
          <w:rFonts w:asciiTheme="majorBidi" w:hAnsiTheme="majorBidi" w:cstheme="majorBidi"/>
          <w:sz w:val="20"/>
          <w:szCs w:val="20"/>
        </w:rPr>
        <w:t>)</w:t>
      </w:r>
    </w:p>
    <w:p w14:paraId="1E90B1DF" w14:textId="7C3BC5A1" w:rsidR="00907906" w:rsidRPr="00907906" w:rsidRDefault="001E6D62" w:rsidP="00907906">
      <w:pPr>
        <w:spacing w:line="360" w:lineRule="auto"/>
        <w:jc w:val="lowKashida"/>
        <w:rPr>
          <w:rFonts w:asciiTheme="majorBidi" w:hAnsiTheme="majorBidi" w:cstheme="majorBidi"/>
          <w:lang w:val="en-IN"/>
        </w:rPr>
      </w:pPr>
      <w:r>
        <w:rPr>
          <w:rFonts w:asciiTheme="majorBidi" w:hAnsiTheme="majorBidi" w:cstheme="majorBidi"/>
          <w:lang w:val="en-IN"/>
        </w:rPr>
        <w:tab/>
      </w:r>
      <w:r w:rsidR="00907906" w:rsidRPr="00907906">
        <w:rPr>
          <w:rFonts w:asciiTheme="majorBidi" w:hAnsiTheme="majorBidi" w:cstheme="majorBidi"/>
          <w:lang w:val="en-IN"/>
        </w:rPr>
        <w:t>This figurine seems to emulate these burial practices to an extent. The creation and emphasis of collective memory in burial practices perhaps help us understand how this figurine was possibly used as a means to mediate the tension between flesh and bone and the individual and communal.</w:t>
      </w:r>
      <w:r w:rsidR="00907906" w:rsidRPr="00907906">
        <w:rPr>
          <w:rFonts w:asciiTheme="majorBidi" w:hAnsiTheme="majorBidi" w:cstheme="majorBidi"/>
        </w:rPr>
        <w:t xml:space="preserve"> </w:t>
      </w:r>
      <w:r w:rsidR="00907906" w:rsidRPr="00907906">
        <w:rPr>
          <w:rFonts w:asciiTheme="majorBidi" w:hAnsiTheme="majorBidi" w:cstheme="majorBidi"/>
          <w:lang w:val="en-IN"/>
        </w:rPr>
        <w:lastRenderedPageBreak/>
        <w:t xml:space="preserve">Additionally, the prominent navel in the figurine is another trait worth mentioning. Navels are found in different forms of media, from figurines and sculptures to stamp seals. Notably, it does not have to be </w:t>
      </w:r>
      <w:r w:rsidR="002A2CAE">
        <w:rPr>
          <w:rFonts w:asciiTheme="majorBidi" w:hAnsiTheme="majorBidi" w:cstheme="majorBidi"/>
          <w:lang w:val="en-IN"/>
        </w:rPr>
        <w:t>associated with</w:t>
      </w:r>
      <w:r w:rsidR="00907906" w:rsidRPr="00907906">
        <w:rPr>
          <w:rFonts w:asciiTheme="majorBidi" w:hAnsiTheme="majorBidi" w:cstheme="majorBidi"/>
          <w:lang w:val="en-IN"/>
        </w:rPr>
        <w:t xml:space="preserve"> fertility but has come to represent the link between the</w:t>
      </w:r>
      <w:r w:rsidR="00C95BB5">
        <w:rPr>
          <w:rFonts w:asciiTheme="majorBidi" w:hAnsiTheme="majorBidi" w:cstheme="majorBidi"/>
          <w:lang w:val="en-IN"/>
        </w:rPr>
        <w:t xml:space="preserve"> </w:t>
      </w:r>
      <w:r w:rsidR="00907906" w:rsidRPr="00907906">
        <w:rPr>
          <w:rFonts w:asciiTheme="majorBidi" w:hAnsiTheme="majorBidi" w:cstheme="majorBidi"/>
          <w:lang w:val="en-IN"/>
        </w:rPr>
        <w:t xml:space="preserve">living and the </w:t>
      </w:r>
      <w:r w:rsidR="00C95BB5">
        <w:rPr>
          <w:rFonts w:asciiTheme="majorBidi" w:hAnsiTheme="majorBidi" w:cstheme="majorBidi"/>
          <w:lang w:val="en-IN"/>
        </w:rPr>
        <w:t xml:space="preserve">generations </w:t>
      </w:r>
      <w:r w:rsidR="006C062D">
        <w:rPr>
          <w:rFonts w:asciiTheme="majorBidi" w:hAnsiTheme="majorBidi" w:cstheme="majorBidi"/>
          <w:lang w:val="en-IN"/>
        </w:rPr>
        <w:t xml:space="preserve">that will follow </w:t>
      </w:r>
      <w:r w:rsidR="00907906" w:rsidRPr="00907906">
        <w:rPr>
          <w:rFonts w:asciiTheme="majorBidi" w:hAnsiTheme="majorBidi" w:cstheme="majorBidi"/>
          <w:lang w:val="en-IN"/>
        </w:rPr>
        <w:t>(Nakamura and Meskell, 2009). It extends beyond the idea of birth, literally and symbolically embodying a connection between th</w:t>
      </w:r>
      <w:r w:rsidR="006C1B65">
        <w:rPr>
          <w:rFonts w:asciiTheme="majorBidi" w:hAnsiTheme="majorBidi" w:cstheme="majorBidi"/>
          <w:lang w:val="en-IN"/>
        </w:rPr>
        <w:t>e</w:t>
      </w:r>
      <w:r w:rsidR="00907906" w:rsidRPr="00907906">
        <w:rPr>
          <w:rFonts w:asciiTheme="majorBidi" w:hAnsiTheme="majorBidi" w:cstheme="majorBidi"/>
          <w:lang w:val="en-IN"/>
        </w:rPr>
        <w:t xml:space="preserve"> past</w:t>
      </w:r>
      <w:r w:rsidR="006C1B65">
        <w:rPr>
          <w:rFonts w:asciiTheme="majorBidi" w:hAnsiTheme="majorBidi" w:cstheme="majorBidi"/>
          <w:lang w:val="en-IN"/>
        </w:rPr>
        <w:t>, present, and future</w:t>
      </w:r>
      <w:r w:rsidR="00907906" w:rsidRPr="00907906">
        <w:rPr>
          <w:rFonts w:asciiTheme="majorBidi" w:hAnsiTheme="majorBidi" w:cstheme="majorBidi"/>
          <w:lang w:val="en-IN"/>
        </w:rPr>
        <w:t xml:space="preserve"> generations.</w:t>
      </w:r>
    </w:p>
    <w:p w14:paraId="3004724F" w14:textId="439B795C" w:rsidR="00907906" w:rsidRPr="00907906" w:rsidRDefault="00907906" w:rsidP="00907906">
      <w:pPr>
        <w:spacing w:line="360" w:lineRule="auto"/>
        <w:jc w:val="lowKashida"/>
        <w:rPr>
          <w:rFonts w:asciiTheme="majorBidi" w:hAnsiTheme="majorBidi" w:cstheme="majorBidi"/>
          <w:b/>
          <w:bCs/>
          <w:lang w:val="en-IN"/>
        </w:rPr>
      </w:pPr>
      <w:r w:rsidRPr="00907906">
        <w:rPr>
          <w:rFonts w:asciiTheme="majorBidi" w:hAnsiTheme="majorBidi" w:cstheme="majorBidi"/>
          <w:b/>
          <w:bCs/>
          <w:lang w:val="en-IN"/>
        </w:rPr>
        <w:t>Headless</w:t>
      </w:r>
    </w:p>
    <w:p w14:paraId="35A20050" w14:textId="017ADAAD" w:rsidR="00907906" w:rsidRDefault="001E6D62" w:rsidP="00907906">
      <w:pPr>
        <w:spacing w:line="360" w:lineRule="auto"/>
        <w:jc w:val="lowKashida"/>
        <w:rPr>
          <w:rFonts w:asciiTheme="majorBidi" w:hAnsiTheme="majorBidi" w:cstheme="majorBidi"/>
        </w:rPr>
      </w:pPr>
      <w:r>
        <w:rPr>
          <w:rFonts w:asciiTheme="majorBidi" w:hAnsiTheme="majorBidi" w:cstheme="majorBidi"/>
        </w:rPr>
        <w:tab/>
      </w:r>
      <w:r w:rsidR="00907906" w:rsidRPr="00907906">
        <w:rPr>
          <w:rFonts w:asciiTheme="majorBidi" w:hAnsiTheme="majorBidi" w:cstheme="majorBidi"/>
        </w:rPr>
        <w:t xml:space="preserve">Certain figurines in </w:t>
      </w:r>
      <w:r w:rsidR="002906D2" w:rsidRPr="00907906">
        <w:rPr>
          <w:rFonts w:asciiTheme="majorBidi" w:hAnsiTheme="majorBidi" w:cstheme="majorBidi"/>
          <w:lang w:val="en-IN"/>
        </w:rPr>
        <w:t>C̜atalhöyük</w:t>
      </w:r>
      <w:r w:rsidR="00907906" w:rsidRPr="00907906">
        <w:rPr>
          <w:rFonts w:asciiTheme="majorBidi" w:hAnsiTheme="majorBidi" w:cstheme="majorBidi"/>
        </w:rPr>
        <w:t xml:space="preserve"> exhibit the intentional breaking of the head. However, this is not the case with our figurine, which possesses a dowel hole and may have been designed to accommodate changing heads. </w:t>
      </w:r>
      <w:r w:rsidR="00907906" w:rsidRPr="00907906">
        <w:rPr>
          <w:rFonts w:asciiTheme="majorBidi" w:hAnsiTheme="majorBidi" w:cstheme="majorBidi"/>
          <w:lang w:val="en-IN"/>
        </w:rPr>
        <w:t xml:space="preserve">The head is commonly seen as a prominent centre of identity (Meksell, 2008). The preoccupation with the removal and curation of skeletal heads among humans and animals is not limited to </w:t>
      </w:r>
      <w:r w:rsidR="002906D2" w:rsidRPr="00907906">
        <w:rPr>
          <w:rFonts w:asciiTheme="majorBidi" w:hAnsiTheme="majorBidi" w:cstheme="majorBidi"/>
          <w:lang w:val="en-IN"/>
        </w:rPr>
        <w:t>C̜atalhöyük</w:t>
      </w:r>
      <w:r w:rsidR="00907906" w:rsidRPr="00907906">
        <w:rPr>
          <w:rFonts w:asciiTheme="majorBidi" w:hAnsiTheme="majorBidi" w:cstheme="majorBidi"/>
          <w:lang w:val="en-IN"/>
        </w:rPr>
        <w:t xml:space="preserve"> but extends to the broader Neolithic community. The</w:t>
      </w:r>
      <w:r w:rsidR="00907906" w:rsidRPr="00907906">
        <w:rPr>
          <w:rFonts w:asciiTheme="majorBidi" w:hAnsiTheme="majorBidi" w:cstheme="majorBidi"/>
        </w:rPr>
        <w:t xml:space="preserve"> capacity to remove and substitute specific heads in figurines allows for the existence of several identities as well as narratives</w:t>
      </w:r>
      <w:r w:rsidR="008C7EF3">
        <w:rPr>
          <w:rFonts w:asciiTheme="majorBidi" w:hAnsiTheme="majorBidi" w:cstheme="majorBidi"/>
        </w:rPr>
        <w:t xml:space="preserve"> and performances</w:t>
      </w:r>
      <w:r w:rsidR="00907906" w:rsidRPr="00907906">
        <w:rPr>
          <w:rFonts w:asciiTheme="majorBidi" w:hAnsiTheme="majorBidi" w:cstheme="majorBidi"/>
        </w:rPr>
        <w:t xml:space="preserve"> (Talalay, 2004). Notably, more figurine bodies with dowel holes have been excavated in comparison to head attachments, possibly suggesting that the heads may have had specific meanings while the bodies were more generic (Meskell, 2008). Thus, this figurine would have the ability to alter identities or display diverse emotions through the changing of heads. This feature, along with the post-cranial practices</w:t>
      </w:r>
      <w:r w:rsidR="000F1392">
        <w:rPr>
          <w:rFonts w:asciiTheme="majorBidi" w:hAnsiTheme="majorBidi" w:cstheme="majorBidi"/>
        </w:rPr>
        <w:t xml:space="preserve"> (e.g. Figure </w:t>
      </w:r>
      <w:r w:rsidR="00847835">
        <w:rPr>
          <w:rFonts w:asciiTheme="majorBidi" w:hAnsiTheme="majorBidi" w:cstheme="majorBidi"/>
        </w:rPr>
        <w:t>6</w:t>
      </w:r>
      <w:r w:rsidR="000F1392">
        <w:rPr>
          <w:rFonts w:asciiTheme="majorBidi" w:hAnsiTheme="majorBidi" w:cstheme="majorBidi"/>
        </w:rPr>
        <w:t>)</w:t>
      </w:r>
      <w:r w:rsidR="00907906" w:rsidRPr="00907906">
        <w:rPr>
          <w:rFonts w:asciiTheme="majorBidi" w:hAnsiTheme="majorBidi" w:cstheme="majorBidi"/>
        </w:rPr>
        <w:t>, highlights the masking of the individual and a focus on the collective identity (Talalay, 2004).</w:t>
      </w:r>
      <w:r w:rsidR="002E6C70">
        <w:rPr>
          <w:rFonts w:asciiTheme="majorBidi" w:hAnsiTheme="majorBidi" w:cstheme="majorBidi"/>
        </w:rPr>
        <w:t xml:space="preserve"> It </w:t>
      </w:r>
      <w:r w:rsidR="00DB5C7E">
        <w:rPr>
          <w:rFonts w:asciiTheme="majorBidi" w:hAnsiTheme="majorBidi" w:cstheme="majorBidi"/>
        </w:rPr>
        <w:t xml:space="preserve">also </w:t>
      </w:r>
      <w:r w:rsidR="009320F4">
        <w:rPr>
          <w:rFonts w:asciiTheme="majorBidi" w:hAnsiTheme="majorBidi" w:cstheme="majorBidi"/>
        </w:rPr>
        <w:t>relates to</w:t>
      </w:r>
      <w:r w:rsidR="00BD77CB">
        <w:rPr>
          <w:rFonts w:asciiTheme="majorBidi" w:hAnsiTheme="majorBidi" w:cstheme="majorBidi"/>
        </w:rPr>
        <w:t xml:space="preserve"> the theme of </w:t>
      </w:r>
      <w:r w:rsidR="00D60381">
        <w:rPr>
          <w:rFonts w:asciiTheme="majorBidi" w:hAnsiTheme="majorBidi" w:cstheme="majorBidi"/>
        </w:rPr>
        <w:t xml:space="preserve">the </w:t>
      </w:r>
      <w:r w:rsidR="00BD77CB">
        <w:rPr>
          <w:rFonts w:asciiTheme="majorBidi" w:hAnsiTheme="majorBidi" w:cstheme="majorBidi"/>
        </w:rPr>
        <w:t>life</w:t>
      </w:r>
      <w:r w:rsidR="00D60381">
        <w:rPr>
          <w:rFonts w:asciiTheme="majorBidi" w:hAnsiTheme="majorBidi" w:cstheme="majorBidi"/>
        </w:rPr>
        <w:t>–</w:t>
      </w:r>
      <w:r w:rsidR="00BD77CB">
        <w:rPr>
          <w:rFonts w:asciiTheme="majorBidi" w:hAnsiTheme="majorBidi" w:cstheme="majorBidi"/>
        </w:rPr>
        <w:t>death continuum</w:t>
      </w:r>
      <w:r w:rsidR="00DB5C7E">
        <w:rPr>
          <w:rFonts w:asciiTheme="majorBidi" w:hAnsiTheme="majorBidi" w:cstheme="majorBidi"/>
        </w:rPr>
        <w:t>.</w:t>
      </w:r>
    </w:p>
    <w:p w14:paraId="7B78CF07" w14:textId="7C46EA71" w:rsidR="00695084" w:rsidRPr="00907906" w:rsidRDefault="00695084" w:rsidP="00695084">
      <w:pPr>
        <w:spacing w:line="360" w:lineRule="auto"/>
        <w:jc w:val="center"/>
        <w:rPr>
          <w:rFonts w:asciiTheme="majorBidi" w:hAnsiTheme="majorBidi" w:cstheme="majorBidi"/>
        </w:rPr>
      </w:pPr>
      <w:r w:rsidRPr="00695084">
        <w:rPr>
          <w:rFonts w:asciiTheme="majorBidi" w:hAnsiTheme="majorBidi" w:cstheme="majorBidi"/>
          <w:noProof/>
        </w:rPr>
        <w:drawing>
          <wp:inline distT="0" distB="0" distL="0" distR="0" wp14:anchorId="793F16E9" wp14:editId="6EB9CA60">
            <wp:extent cx="1799771" cy="2701650"/>
            <wp:effectExtent l="0" t="0" r="0" b="3810"/>
            <wp:docPr id="977429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26716" cy="2742097"/>
                    </a:xfrm>
                    <a:prstGeom prst="rect">
                      <a:avLst/>
                    </a:prstGeom>
                    <a:noFill/>
                    <a:ln>
                      <a:noFill/>
                    </a:ln>
                  </pic:spPr>
                </pic:pic>
              </a:graphicData>
            </a:graphic>
          </wp:inline>
        </w:drawing>
      </w:r>
    </w:p>
    <w:p w14:paraId="63DACB0E" w14:textId="136919E5" w:rsidR="00695084" w:rsidRPr="00960635" w:rsidRDefault="006303D5" w:rsidP="006303D5">
      <w:pPr>
        <w:spacing w:line="360" w:lineRule="auto"/>
        <w:jc w:val="center"/>
        <w:rPr>
          <w:rFonts w:asciiTheme="majorBidi" w:hAnsiTheme="majorBidi" w:cstheme="majorBidi"/>
          <w:sz w:val="20"/>
          <w:szCs w:val="20"/>
          <w:lang w:val="en-IN"/>
        </w:rPr>
      </w:pPr>
      <w:r w:rsidRPr="00960635">
        <w:rPr>
          <w:rFonts w:asciiTheme="majorBidi" w:hAnsiTheme="majorBidi" w:cstheme="majorBidi"/>
          <w:sz w:val="20"/>
          <w:szCs w:val="20"/>
          <w:lang w:val="en-IN"/>
        </w:rPr>
        <w:t xml:space="preserve">Figure </w:t>
      </w:r>
      <w:r w:rsidR="00847835" w:rsidRPr="00960635">
        <w:rPr>
          <w:rFonts w:asciiTheme="majorBidi" w:hAnsiTheme="majorBidi" w:cstheme="majorBidi"/>
          <w:sz w:val="20"/>
          <w:szCs w:val="20"/>
          <w:lang w:val="en-IN"/>
        </w:rPr>
        <w:t>6</w:t>
      </w:r>
      <w:r w:rsidRPr="00960635">
        <w:rPr>
          <w:rFonts w:asciiTheme="majorBidi" w:hAnsiTheme="majorBidi" w:cstheme="majorBidi"/>
          <w:sz w:val="20"/>
          <w:szCs w:val="20"/>
          <w:lang w:val="en-IN"/>
        </w:rPr>
        <w:t xml:space="preserve">. </w:t>
      </w:r>
      <w:r w:rsidR="00D60381" w:rsidRPr="00960635">
        <w:rPr>
          <w:rFonts w:asciiTheme="majorBidi" w:hAnsiTheme="majorBidi" w:cstheme="majorBidi"/>
          <w:sz w:val="20"/>
          <w:szCs w:val="20"/>
          <w:lang w:val="en-IN"/>
        </w:rPr>
        <w:t>The s</w:t>
      </w:r>
      <w:r w:rsidR="0043795A" w:rsidRPr="00960635">
        <w:rPr>
          <w:rFonts w:asciiTheme="majorBidi" w:hAnsiTheme="majorBidi" w:cstheme="majorBidi"/>
          <w:sz w:val="20"/>
          <w:szCs w:val="20"/>
          <w:lang w:val="en-IN"/>
        </w:rPr>
        <w:t>keleton</w:t>
      </w:r>
      <w:r w:rsidR="000A2CEC" w:rsidRPr="00960635">
        <w:rPr>
          <w:rFonts w:asciiTheme="majorBidi" w:hAnsiTheme="majorBidi" w:cstheme="majorBidi"/>
          <w:sz w:val="20"/>
          <w:szCs w:val="20"/>
          <w:lang w:val="en-IN"/>
        </w:rPr>
        <w:t xml:space="preserve"> of a headless </w:t>
      </w:r>
      <w:r w:rsidR="002048C4" w:rsidRPr="00960635">
        <w:rPr>
          <w:rFonts w:asciiTheme="majorBidi" w:hAnsiTheme="majorBidi" w:cstheme="majorBidi"/>
          <w:sz w:val="20"/>
          <w:szCs w:val="20"/>
          <w:lang w:val="en-IN"/>
        </w:rPr>
        <w:t xml:space="preserve">pregnant </w:t>
      </w:r>
      <w:r w:rsidR="000A2CEC" w:rsidRPr="00960635">
        <w:rPr>
          <w:rFonts w:asciiTheme="majorBidi" w:hAnsiTheme="majorBidi" w:cstheme="majorBidi"/>
          <w:sz w:val="20"/>
          <w:szCs w:val="20"/>
          <w:lang w:val="en-IN"/>
        </w:rPr>
        <w:t xml:space="preserve">female </w:t>
      </w:r>
      <w:r w:rsidR="0043795A" w:rsidRPr="00960635">
        <w:rPr>
          <w:rFonts w:asciiTheme="majorBidi" w:hAnsiTheme="majorBidi" w:cstheme="majorBidi"/>
          <w:sz w:val="20"/>
          <w:szCs w:val="20"/>
          <w:lang w:val="en-IN"/>
        </w:rPr>
        <w:t xml:space="preserve">buried </w:t>
      </w:r>
      <w:r w:rsidR="00863EF0" w:rsidRPr="00960635">
        <w:rPr>
          <w:rFonts w:asciiTheme="majorBidi" w:hAnsiTheme="majorBidi" w:cstheme="majorBidi"/>
          <w:sz w:val="20"/>
          <w:szCs w:val="20"/>
          <w:lang w:val="en-IN"/>
        </w:rPr>
        <w:t xml:space="preserve">under the floor of a house </w:t>
      </w:r>
      <w:r w:rsidR="002048C4" w:rsidRPr="00960635">
        <w:rPr>
          <w:rFonts w:asciiTheme="majorBidi" w:hAnsiTheme="majorBidi" w:cstheme="majorBidi"/>
          <w:sz w:val="20"/>
          <w:szCs w:val="20"/>
          <w:lang w:val="en-IN"/>
        </w:rPr>
        <w:t>in C̜atalhöyük</w:t>
      </w:r>
      <w:r w:rsidRPr="00960635">
        <w:rPr>
          <w:rFonts w:ascii="Roboto" w:hAnsi="Roboto"/>
          <w:color w:val="262626"/>
          <w:sz w:val="20"/>
          <w:szCs w:val="20"/>
          <w:shd w:val="clear" w:color="auto" w:fill="FFFFFF"/>
        </w:rPr>
        <w:t xml:space="preserve"> (</w:t>
      </w:r>
      <w:r w:rsidRPr="00960635">
        <w:rPr>
          <w:rFonts w:asciiTheme="majorBidi" w:hAnsiTheme="majorBidi" w:cstheme="majorBidi"/>
          <w:sz w:val="20"/>
          <w:szCs w:val="20"/>
        </w:rPr>
        <w:t>Source: Jason Quinlin. Image courtesy of the Çatalhöyük Research Project.)</w:t>
      </w:r>
    </w:p>
    <w:p w14:paraId="22F2DF12" w14:textId="1AF27E0F" w:rsidR="00907906" w:rsidRPr="00907906" w:rsidRDefault="00907906" w:rsidP="00907906">
      <w:pPr>
        <w:spacing w:line="360" w:lineRule="auto"/>
        <w:jc w:val="lowKashida"/>
        <w:rPr>
          <w:rFonts w:asciiTheme="majorBidi" w:hAnsiTheme="majorBidi" w:cstheme="majorBidi"/>
          <w:b/>
          <w:bCs/>
          <w:lang w:val="en-IN"/>
        </w:rPr>
      </w:pPr>
      <w:r w:rsidRPr="00907906">
        <w:rPr>
          <w:rFonts w:asciiTheme="majorBidi" w:hAnsiTheme="majorBidi" w:cstheme="majorBidi"/>
          <w:b/>
          <w:bCs/>
          <w:lang w:val="en-IN"/>
        </w:rPr>
        <w:t>Shifting States</w:t>
      </w:r>
    </w:p>
    <w:p w14:paraId="5A647F7E" w14:textId="5AFC956A" w:rsidR="00907906" w:rsidRPr="00907906" w:rsidRDefault="001E6D62" w:rsidP="00907906">
      <w:pPr>
        <w:spacing w:line="360" w:lineRule="auto"/>
        <w:jc w:val="lowKashida"/>
        <w:rPr>
          <w:rFonts w:asciiTheme="majorBidi" w:hAnsiTheme="majorBidi" w:cstheme="majorBidi"/>
        </w:rPr>
      </w:pPr>
      <w:r>
        <w:rPr>
          <w:rFonts w:asciiTheme="majorBidi" w:hAnsiTheme="majorBidi" w:cstheme="majorBidi"/>
        </w:rPr>
        <w:tab/>
      </w:r>
      <w:r w:rsidR="00907906" w:rsidRPr="00907906">
        <w:rPr>
          <w:rFonts w:asciiTheme="majorBidi" w:hAnsiTheme="majorBidi" w:cstheme="majorBidi"/>
        </w:rPr>
        <w:t xml:space="preserve">The figurine being discussed in this paper is perhaps one that is exemplary in pulling together all the various concepts elaborated above. Artwork on the walls of </w:t>
      </w:r>
      <w:r w:rsidR="002906D2" w:rsidRPr="00907906">
        <w:rPr>
          <w:rFonts w:asciiTheme="majorBidi" w:hAnsiTheme="majorBidi" w:cstheme="majorBidi"/>
          <w:lang w:val="en-IN"/>
        </w:rPr>
        <w:t>C̜atalhöyük</w:t>
      </w:r>
      <w:r w:rsidR="00907906" w:rsidRPr="00907906">
        <w:rPr>
          <w:rFonts w:asciiTheme="majorBidi" w:hAnsiTheme="majorBidi" w:cstheme="majorBidi"/>
        </w:rPr>
        <w:t xml:space="preserve"> depicts humans and </w:t>
      </w:r>
      <w:r w:rsidR="00907906" w:rsidRPr="00907906">
        <w:rPr>
          <w:rFonts w:asciiTheme="majorBidi" w:hAnsiTheme="majorBidi" w:cstheme="majorBidi"/>
        </w:rPr>
        <w:lastRenderedPageBreak/>
        <w:t xml:space="preserve">animals in motion. However, the representation of figurines is predominantly either seated or standing, showing nonmovement. While this may be the case, figurines are far from static. The figurine being discussed in this paper is an apt example, displaying different bodily states and articulating the tension between the fleshed and enfleshed, the living and the dead (Nakamura and Meskell, 2009). Additionally, through the changing of heads, this figurine demonstrates its ability to change identities. Perhaps the process of detaching and reattaching the head with the body was considered powerful, further underscoring the capacity for such mutations rather than the end states (Meskell </w:t>
      </w:r>
      <w:r w:rsidR="00907906" w:rsidRPr="00457F8F">
        <w:rPr>
          <w:rFonts w:asciiTheme="majorBidi" w:hAnsiTheme="majorBidi" w:cstheme="majorBidi"/>
          <w:i/>
          <w:iCs/>
        </w:rPr>
        <w:t>et al.,</w:t>
      </w:r>
      <w:r w:rsidR="00907906" w:rsidRPr="00907906">
        <w:rPr>
          <w:rFonts w:asciiTheme="majorBidi" w:hAnsiTheme="majorBidi" w:cstheme="majorBidi"/>
        </w:rPr>
        <w:t xml:space="preserve"> 2008).</w:t>
      </w:r>
      <w:r w:rsidR="00992D90">
        <w:rPr>
          <w:rFonts w:asciiTheme="majorBidi" w:hAnsiTheme="majorBidi" w:cstheme="majorBidi"/>
        </w:rPr>
        <w:t xml:space="preserve"> </w:t>
      </w:r>
      <w:r w:rsidR="00525EFA" w:rsidRPr="00525EFA">
        <w:rPr>
          <w:rFonts w:asciiTheme="majorBidi" w:hAnsiTheme="majorBidi" w:cstheme="majorBidi"/>
        </w:rPr>
        <w:t xml:space="preserve">This is consistent with Meksell's </w:t>
      </w:r>
      <w:r w:rsidR="00525EFA">
        <w:rPr>
          <w:rFonts w:asciiTheme="majorBidi" w:hAnsiTheme="majorBidi" w:cstheme="majorBidi"/>
        </w:rPr>
        <w:t xml:space="preserve">(2008) </w:t>
      </w:r>
      <w:r w:rsidR="00525EFA" w:rsidRPr="00525EFA">
        <w:rPr>
          <w:rFonts w:asciiTheme="majorBidi" w:hAnsiTheme="majorBidi" w:cstheme="majorBidi"/>
        </w:rPr>
        <w:t xml:space="preserve">assertion that figurines should be viewed as a </w:t>
      </w:r>
      <w:r w:rsidR="00525EFA">
        <w:rPr>
          <w:rFonts w:asciiTheme="majorBidi" w:hAnsiTheme="majorBidi" w:cstheme="majorBidi"/>
        </w:rPr>
        <w:t>“</w:t>
      </w:r>
      <w:r w:rsidR="00525EFA" w:rsidRPr="00525EFA">
        <w:rPr>
          <w:rFonts w:asciiTheme="majorBidi" w:hAnsiTheme="majorBidi" w:cstheme="majorBidi"/>
        </w:rPr>
        <w:t>process</w:t>
      </w:r>
      <w:r w:rsidR="00525EFA">
        <w:rPr>
          <w:rFonts w:asciiTheme="majorBidi" w:hAnsiTheme="majorBidi" w:cstheme="majorBidi"/>
        </w:rPr>
        <w:t>”</w:t>
      </w:r>
      <w:r w:rsidR="00525EFA" w:rsidRPr="00525EFA">
        <w:rPr>
          <w:rFonts w:asciiTheme="majorBidi" w:hAnsiTheme="majorBidi" w:cstheme="majorBidi"/>
        </w:rPr>
        <w:t xml:space="preserve"> that </w:t>
      </w:r>
      <w:r w:rsidR="00525EFA">
        <w:rPr>
          <w:rFonts w:asciiTheme="majorBidi" w:hAnsiTheme="majorBidi" w:cstheme="majorBidi"/>
        </w:rPr>
        <w:t>considers</w:t>
      </w:r>
      <w:r w:rsidR="00525EFA" w:rsidRPr="00525EFA">
        <w:rPr>
          <w:rFonts w:asciiTheme="majorBidi" w:hAnsiTheme="majorBidi" w:cstheme="majorBidi"/>
        </w:rPr>
        <w:t xml:space="preserve"> the social activities surrounding the figurine rather than just its physical </w:t>
      </w:r>
      <w:r w:rsidR="00525EFA">
        <w:rPr>
          <w:rFonts w:asciiTheme="majorBidi" w:hAnsiTheme="majorBidi" w:cstheme="majorBidi"/>
        </w:rPr>
        <w:t>properties</w:t>
      </w:r>
      <w:r w:rsidR="00525EFA" w:rsidRPr="00525EFA">
        <w:rPr>
          <w:rFonts w:asciiTheme="majorBidi" w:hAnsiTheme="majorBidi" w:cstheme="majorBidi"/>
        </w:rPr>
        <w:t>.</w:t>
      </w:r>
    </w:p>
    <w:p w14:paraId="5C7BE953" w14:textId="77777777" w:rsidR="00907906" w:rsidRPr="00907906" w:rsidRDefault="00907906" w:rsidP="00907906">
      <w:pPr>
        <w:spacing w:line="360" w:lineRule="auto"/>
        <w:jc w:val="lowKashida"/>
        <w:rPr>
          <w:rFonts w:asciiTheme="majorBidi" w:hAnsiTheme="majorBidi" w:cstheme="majorBidi"/>
          <w:b/>
          <w:bCs/>
          <w:lang w:val="en-IN"/>
        </w:rPr>
      </w:pPr>
      <w:r w:rsidRPr="00907906">
        <w:rPr>
          <w:rFonts w:asciiTheme="majorBidi" w:hAnsiTheme="majorBidi" w:cstheme="majorBidi"/>
          <w:b/>
          <w:bCs/>
          <w:lang w:val="en-IN"/>
        </w:rPr>
        <w:t>Conclusion</w:t>
      </w:r>
    </w:p>
    <w:p w14:paraId="18B30C37" w14:textId="58B75925" w:rsidR="00907906" w:rsidRPr="00907906" w:rsidRDefault="001E6D62" w:rsidP="00907906">
      <w:pPr>
        <w:spacing w:line="360" w:lineRule="auto"/>
        <w:jc w:val="lowKashida"/>
        <w:rPr>
          <w:rFonts w:asciiTheme="majorBidi" w:hAnsiTheme="majorBidi" w:cstheme="majorBidi"/>
          <w:lang w:val="en-IN"/>
        </w:rPr>
      </w:pPr>
      <w:r>
        <w:rPr>
          <w:rFonts w:asciiTheme="majorBidi" w:hAnsiTheme="majorBidi" w:cstheme="majorBidi"/>
          <w:lang w:val="en-IN"/>
        </w:rPr>
        <w:tab/>
      </w:r>
      <w:r w:rsidR="00907906" w:rsidRPr="00907906">
        <w:rPr>
          <w:rFonts w:asciiTheme="majorBidi" w:hAnsiTheme="majorBidi" w:cstheme="majorBidi"/>
          <w:lang w:val="en-IN"/>
        </w:rPr>
        <w:t xml:space="preserve">The inhabitants of </w:t>
      </w:r>
      <w:r w:rsidR="002906D2" w:rsidRPr="00907906">
        <w:rPr>
          <w:rFonts w:asciiTheme="majorBidi" w:hAnsiTheme="majorBidi" w:cstheme="majorBidi"/>
          <w:lang w:val="en-IN"/>
        </w:rPr>
        <w:t>C̜atalhöyük</w:t>
      </w:r>
      <w:r w:rsidR="00907906" w:rsidRPr="00907906">
        <w:rPr>
          <w:rFonts w:asciiTheme="majorBidi" w:hAnsiTheme="majorBidi" w:cstheme="majorBidi"/>
          <w:lang w:val="en-IN"/>
        </w:rPr>
        <w:t xml:space="preserve"> resided in communities that were expanding. In response to the shift towards sedentary living, it became necessary to acknowledge and address the changing social structures through the means of limiting and negotiating social differentiations</w:t>
      </w:r>
      <w:r w:rsidR="00907906" w:rsidRPr="00907906">
        <w:rPr>
          <w:rFonts w:asciiTheme="majorBidi" w:hAnsiTheme="majorBidi" w:cstheme="majorBidi"/>
        </w:rPr>
        <w:t xml:space="preserve"> (</w:t>
      </w:r>
      <w:r w:rsidR="00907906" w:rsidRPr="00907906">
        <w:rPr>
          <w:rFonts w:asciiTheme="majorBidi" w:hAnsiTheme="majorBidi" w:cstheme="majorBidi"/>
          <w:lang w:val="en-IN"/>
        </w:rPr>
        <w:t>Goring-Morris and Belfer-Cohen, 2002). Kujit</w:t>
      </w:r>
      <w:r w:rsidR="005C2E1B">
        <w:rPr>
          <w:rFonts w:asciiTheme="majorBidi" w:hAnsiTheme="majorBidi" w:cstheme="majorBidi"/>
          <w:lang w:val="en-IN"/>
        </w:rPr>
        <w:t xml:space="preserve"> and Chesson</w:t>
      </w:r>
      <w:r w:rsidR="00907906" w:rsidRPr="00907906">
        <w:rPr>
          <w:rFonts w:asciiTheme="majorBidi" w:hAnsiTheme="majorBidi" w:cstheme="majorBidi"/>
          <w:lang w:val="en-IN"/>
        </w:rPr>
        <w:t xml:space="preserve"> (2004) state that during this </w:t>
      </w:r>
      <w:r w:rsidR="00D214E1">
        <w:rPr>
          <w:rFonts w:asciiTheme="majorBidi" w:hAnsiTheme="majorBidi" w:cstheme="majorBidi"/>
          <w:lang w:val="en-IN"/>
        </w:rPr>
        <w:t>time</w:t>
      </w:r>
      <w:r w:rsidR="00907906" w:rsidRPr="00907906">
        <w:rPr>
          <w:rFonts w:asciiTheme="majorBidi" w:hAnsiTheme="majorBidi" w:cstheme="majorBidi"/>
          <w:lang w:val="en-IN"/>
        </w:rPr>
        <w:t xml:space="preserve">, </w:t>
      </w:r>
      <w:r w:rsidR="00D214E1">
        <w:rPr>
          <w:rFonts w:asciiTheme="majorBidi" w:hAnsiTheme="majorBidi" w:cstheme="majorBidi"/>
          <w:lang w:val="en-IN"/>
        </w:rPr>
        <w:t xml:space="preserve">the </w:t>
      </w:r>
      <w:r w:rsidR="00907906" w:rsidRPr="00907906">
        <w:rPr>
          <w:rFonts w:asciiTheme="majorBidi" w:hAnsiTheme="majorBidi" w:cstheme="majorBidi"/>
          <w:lang w:val="en-IN"/>
        </w:rPr>
        <w:t>masking of their built environment, burial practices, and figurines</w:t>
      </w:r>
      <w:r w:rsidR="00D214E1">
        <w:rPr>
          <w:rFonts w:asciiTheme="majorBidi" w:hAnsiTheme="majorBidi" w:cstheme="majorBidi"/>
          <w:lang w:val="en-IN"/>
        </w:rPr>
        <w:t xml:space="preserve"> was emphasized</w:t>
      </w:r>
      <w:r w:rsidR="00907906" w:rsidRPr="00907906">
        <w:rPr>
          <w:rFonts w:asciiTheme="majorBidi" w:hAnsiTheme="majorBidi" w:cstheme="majorBidi"/>
          <w:lang w:val="en-IN"/>
        </w:rPr>
        <w:t xml:space="preserve">. These masking practices helped with the creation of idealised social memories of how life </w:t>
      </w:r>
      <w:r w:rsidR="00057DB6">
        <w:rPr>
          <w:rFonts w:asciiTheme="majorBidi" w:hAnsiTheme="majorBidi" w:cstheme="majorBidi"/>
          <w:lang w:val="en-IN"/>
        </w:rPr>
        <w:t>should</w:t>
      </w:r>
      <w:r w:rsidR="00907906" w:rsidRPr="00907906">
        <w:rPr>
          <w:rFonts w:asciiTheme="majorBidi" w:hAnsiTheme="majorBidi" w:cstheme="majorBidi"/>
          <w:lang w:val="en-IN"/>
        </w:rPr>
        <w:t xml:space="preserve"> be. </w:t>
      </w:r>
    </w:p>
    <w:p w14:paraId="27E86583" w14:textId="45B13A57" w:rsidR="00907906" w:rsidRPr="00907906" w:rsidRDefault="001E6D62" w:rsidP="003D75AB">
      <w:pPr>
        <w:spacing w:line="360" w:lineRule="auto"/>
        <w:jc w:val="lowKashida"/>
        <w:rPr>
          <w:rFonts w:asciiTheme="majorBidi" w:hAnsiTheme="majorBidi" w:cstheme="majorBidi"/>
          <w:lang w:val="en-IN"/>
        </w:rPr>
      </w:pPr>
      <w:r>
        <w:rPr>
          <w:rFonts w:asciiTheme="majorBidi" w:hAnsiTheme="majorBidi" w:cstheme="majorBidi"/>
          <w:lang w:val="en-IN"/>
        </w:rPr>
        <w:tab/>
      </w:r>
      <w:r w:rsidR="003D75AB" w:rsidRPr="003D75AB">
        <w:rPr>
          <w:rFonts w:asciiTheme="majorBidi" w:hAnsiTheme="majorBidi" w:cstheme="majorBidi"/>
          <w:lang w:val="en-IN"/>
        </w:rPr>
        <w:t xml:space="preserve">The creation of this figurine was tied to </w:t>
      </w:r>
      <w:r w:rsidR="003D75AB">
        <w:rPr>
          <w:rFonts w:asciiTheme="majorBidi" w:hAnsiTheme="majorBidi" w:cstheme="majorBidi"/>
          <w:lang w:val="en-IN"/>
        </w:rPr>
        <w:t>the complex</w:t>
      </w:r>
      <w:r w:rsidR="003D75AB" w:rsidRPr="003D75AB">
        <w:rPr>
          <w:rFonts w:asciiTheme="majorBidi" w:hAnsiTheme="majorBidi" w:cstheme="majorBidi"/>
          <w:lang w:val="en-IN"/>
        </w:rPr>
        <w:t xml:space="preserve"> belief systems</w:t>
      </w:r>
      <w:r w:rsidR="003D75AB">
        <w:rPr>
          <w:rFonts w:asciiTheme="majorBidi" w:hAnsiTheme="majorBidi" w:cstheme="majorBidi"/>
          <w:lang w:val="en-IN"/>
        </w:rPr>
        <w:t xml:space="preserve"> held by</w:t>
      </w:r>
      <w:r w:rsidR="003D75AB" w:rsidRPr="003D75AB">
        <w:rPr>
          <w:rFonts w:asciiTheme="majorBidi" w:hAnsiTheme="majorBidi" w:cstheme="majorBidi"/>
          <w:lang w:val="en-IN"/>
        </w:rPr>
        <w:t xml:space="preserve"> the inhabitants of C̜atalhöyük</w:t>
      </w:r>
      <w:r w:rsidR="003D75AB">
        <w:rPr>
          <w:rFonts w:asciiTheme="majorBidi" w:hAnsiTheme="majorBidi" w:cstheme="majorBidi"/>
          <w:lang w:val="en-IN"/>
        </w:rPr>
        <w:t>.</w:t>
      </w:r>
      <w:r w:rsidR="003D75AB" w:rsidRPr="003D75AB">
        <w:rPr>
          <w:rFonts w:asciiTheme="majorBidi" w:hAnsiTheme="majorBidi" w:cstheme="majorBidi"/>
          <w:lang w:val="en-IN"/>
        </w:rPr>
        <w:t xml:space="preserve"> </w:t>
      </w:r>
      <w:r w:rsidR="00907906" w:rsidRPr="00907906">
        <w:rPr>
          <w:rFonts w:asciiTheme="majorBidi" w:hAnsiTheme="majorBidi" w:cstheme="majorBidi"/>
          <w:lang w:val="en-IN"/>
        </w:rPr>
        <w:t>In comparing the various practices with this figurine, we are able to get a glimpse of what meaning this figurine held and how it may have been used in this community</w:t>
      </w:r>
      <w:r w:rsidR="006A66E7">
        <w:rPr>
          <w:rFonts w:asciiTheme="majorBidi" w:hAnsiTheme="majorBidi" w:cstheme="majorBidi"/>
          <w:lang w:val="en-IN"/>
        </w:rPr>
        <w:t xml:space="preserve">. </w:t>
      </w:r>
      <w:r w:rsidR="00A2584B">
        <w:rPr>
          <w:rFonts w:asciiTheme="majorBidi" w:hAnsiTheme="majorBidi" w:cstheme="majorBidi"/>
          <w:lang w:val="en-IN"/>
        </w:rPr>
        <w:t xml:space="preserve">Notably, </w:t>
      </w:r>
      <w:r w:rsidR="00907906" w:rsidRPr="00907906">
        <w:rPr>
          <w:rFonts w:asciiTheme="majorBidi" w:hAnsiTheme="majorBidi" w:cstheme="majorBidi"/>
          <w:lang w:val="en-IN"/>
        </w:rPr>
        <w:t>Voigt (200</w:t>
      </w:r>
      <w:r w:rsidR="005B31C2">
        <w:rPr>
          <w:rFonts w:asciiTheme="majorBidi" w:hAnsiTheme="majorBidi" w:cstheme="majorBidi"/>
          <w:lang w:val="en-IN"/>
        </w:rPr>
        <w:t>2</w:t>
      </w:r>
      <w:r w:rsidR="00907906" w:rsidRPr="00907906">
        <w:rPr>
          <w:rFonts w:asciiTheme="majorBidi" w:hAnsiTheme="majorBidi" w:cstheme="majorBidi"/>
          <w:lang w:val="en-IN"/>
        </w:rPr>
        <w:t xml:space="preserve">) states that animals and human figurines should be viewed as a part of one symbolic system, and assigning meaning to one figurine should be done by considering the entire range. To take that even further, in our pursuit of understanding meaning-making, perhaps we are not meant to treat figurines as a separate symbolic system but within the context of the other practices as well. </w:t>
      </w:r>
    </w:p>
    <w:p w14:paraId="125E0B51" w14:textId="77777777" w:rsidR="00907906" w:rsidRPr="00AB2652" w:rsidRDefault="00907906" w:rsidP="00E50840">
      <w:pPr>
        <w:spacing w:line="360" w:lineRule="auto"/>
        <w:jc w:val="lowKashida"/>
        <w:rPr>
          <w:rFonts w:asciiTheme="majorBidi" w:hAnsiTheme="majorBidi" w:cstheme="majorBidi"/>
        </w:rPr>
      </w:pPr>
    </w:p>
    <w:p w14:paraId="0948B914" w14:textId="6BCC5AA0" w:rsidR="00AB2652" w:rsidRPr="005B31C2" w:rsidRDefault="005B31C2" w:rsidP="00AB2652">
      <w:pPr>
        <w:spacing w:line="360" w:lineRule="auto"/>
        <w:jc w:val="lowKashida"/>
        <w:rPr>
          <w:rFonts w:asciiTheme="majorBidi" w:hAnsiTheme="majorBidi" w:cstheme="majorBidi"/>
          <w:b/>
          <w:bCs/>
        </w:rPr>
      </w:pPr>
      <w:r w:rsidRPr="005B31C2">
        <w:rPr>
          <w:rFonts w:asciiTheme="majorBidi" w:hAnsiTheme="majorBidi" w:cstheme="majorBidi"/>
          <w:b/>
          <w:bCs/>
        </w:rPr>
        <w:t>References</w:t>
      </w:r>
    </w:p>
    <w:p w14:paraId="5BC74E04"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Andrews</w:t>
      </w:r>
      <w:r>
        <w:rPr>
          <w:rFonts w:asciiTheme="majorBidi" w:hAnsiTheme="majorBidi" w:cstheme="majorBidi"/>
        </w:rPr>
        <w:t xml:space="preserve"> P.</w:t>
      </w:r>
      <w:r w:rsidRPr="00366378">
        <w:rPr>
          <w:rFonts w:asciiTheme="majorBidi" w:hAnsiTheme="majorBidi" w:cstheme="majorBidi"/>
        </w:rPr>
        <w:t>, Molleson</w:t>
      </w:r>
      <w:r>
        <w:rPr>
          <w:rFonts w:asciiTheme="majorBidi" w:hAnsiTheme="majorBidi" w:cstheme="majorBidi"/>
        </w:rPr>
        <w:t xml:space="preserve"> T.</w:t>
      </w:r>
      <w:r w:rsidRPr="00366378">
        <w:rPr>
          <w:rFonts w:asciiTheme="majorBidi" w:hAnsiTheme="majorBidi" w:cstheme="majorBidi"/>
        </w:rPr>
        <w:t xml:space="preserve"> and Boz,</w:t>
      </w:r>
      <w:r>
        <w:rPr>
          <w:rFonts w:asciiTheme="majorBidi" w:hAnsiTheme="majorBidi" w:cstheme="majorBidi"/>
        </w:rPr>
        <w:t xml:space="preserve"> B. (2005)</w:t>
      </w:r>
      <w:r w:rsidRPr="00366378">
        <w:rPr>
          <w:rFonts w:asciiTheme="majorBidi" w:hAnsiTheme="majorBidi" w:cstheme="majorBidi"/>
        </w:rPr>
        <w:t xml:space="preserve"> ‘The </w:t>
      </w:r>
      <w:r>
        <w:rPr>
          <w:rFonts w:asciiTheme="majorBidi" w:hAnsiTheme="majorBidi" w:cstheme="majorBidi"/>
        </w:rPr>
        <w:t>h</w:t>
      </w:r>
      <w:r w:rsidRPr="00366378">
        <w:rPr>
          <w:rFonts w:asciiTheme="majorBidi" w:hAnsiTheme="majorBidi" w:cstheme="majorBidi"/>
        </w:rPr>
        <w:t xml:space="preserve">uman </w:t>
      </w:r>
      <w:r>
        <w:rPr>
          <w:rFonts w:asciiTheme="majorBidi" w:hAnsiTheme="majorBidi" w:cstheme="majorBidi"/>
        </w:rPr>
        <w:t>b</w:t>
      </w:r>
      <w:r w:rsidRPr="00366378">
        <w:rPr>
          <w:rFonts w:asciiTheme="majorBidi" w:hAnsiTheme="majorBidi" w:cstheme="majorBidi"/>
        </w:rPr>
        <w:t>urials at Çatalhöyük’</w:t>
      </w:r>
      <w:r>
        <w:rPr>
          <w:rFonts w:asciiTheme="majorBidi" w:hAnsiTheme="majorBidi" w:cstheme="majorBidi"/>
        </w:rPr>
        <w:t>,</w:t>
      </w:r>
      <w:r w:rsidRPr="00366378">
        <w:rPr>
          <w:rFonts w:asciiTheme="majorBidi" w:hAnsiTheme="majorBidi" w:cstheme="majorBidi"/>
        </w:rPr>
        <w:t xml:space="preserve"> in </w:t>
      </w:r>
      <w:r>
        <w:rPr>
          <w:rFonts w:asciiTheme="majorBidi" w:hAnsiTheme="majorBidi" w:cstheme="majorBidi"/>
        </w:rPr>
        <w:t xml:space="preserve">Hodder, I. (ed.) </w:t>
      </w:r>
      <w:r w:rsidRPr="009C12C3">
        <w:rPr>
          <w:rFonts w:asciiTheme="majorBidi" w:hAnsiTheme="majorBidi" w:cstheme="majorBidi"/>
          <w:i/>
          <w:iCs/>
        </w:rPr>
        <w:t xml:space="preserve">Inhabiting Çatalhöyük: Reports from the 1995-99 </w:t>
      </w:r>
      <w:r>
        <w:rPr>
          <w:rFonts w:asciiTheme="majorBidi" w:hAnsiTheme="majorBidi" w:cstheme="majorBidi"/>
          <w:i/>
          <w:iCs/>
        </w:rPr>
        <w:t>s</w:t>
      </w:r>
      <w:r w:rsidRPr="009C12C3">
        <w:rPr>
          <w:rFonts w:asciiTheme="majorBidi" w:hAnsiTheme="majorBidi" w:cstheme="majorBidi"/>
          <w:i/>
          <w:iCs/>
        </w:rPr>
        <w:t>eason</w:t>
      </w:r>
      <w:r w:rsidRPr="00366378">
        <w:rPr>
          <w:rFonts w:asciiTheme="majorBidi" w:hAnsiTheme="majorBidi" w:cstheme="majorBidi"/>
        </w:rPr>
        <w:t>,</w:t>
      </w:r>
      <w:r>
        <w:rPr>
          <w:rFonts w:asciiTheme="majorBidi" w:hAnsiTheme="majorBidi" w:cstheme="majorBidi"/>
        </w:rPr>
        <w:t xml:space="preserve"> </w:t>
      </w:r>
      <w:r w:rsidRPr="00366378">
        <w:rPr>
          <w:rFonts w:asciiTheme="majorBidi" w:hAnsiTheme="majorBidi" w:cstheme="majorBidi"/>
        </w:rPr>
        <w:t>Cambridge: McDonald Institute for Archaeological Research &amp; British Institute of Archaeology at Ankara Monograph, pp. 261</w:t>
      </w:r>
      <w:r>
        <w:rPr>
          <w:rFonts w:asciiTheme="majorBidi" w:hAnsiTheme="majorBidi" w:cstheme="majorBidi"/>
          <w:lang w:val="en-IN"/>
        </w:rPr>
        <w:t>–</w:t>
      </w:r>
      <w:r w:rsidRPr="00366378">
        <w:rPr>
          <w:rFonts w:asciiTheme="majorBidi" w:hAnsiTheme="majorBidi" w:cstheme="majorBidi"/>
        </w:rPr>
        <w:t>278</w:t>
      </w:r>
    </w:p>
    <w:p w14:paraId="0808D2F6"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 xml:space="preserve">Bailey, D. (2005) </w:t>
      </w:r>
      <w:r w:rsidRPr="00366378">
        <w:rPr>
          <w:rFonts w:asciiTheme="majorBidi" w:hAnsiTheme="majorBidi" w:cstheme="majorBidi"/>
          <w:i/>
          <w:iCs/>
        </w:rPr>
        <w:t xml:space="preserve">Prehistoric Figurines. Representation and Corporeality in the Neolithic. </w:t>
      </w:r>
      <w:r w:rsidRPr="00366378">
        <w:rPr>
          <w:rFonts w:asciiTheme="majorBidi" w:hAnsiTheme="majorBidi" w:cstheme="majorBidi"/>
        </w:rPr>
        <w:t>London/New York: Routledge.</w:t>
      </w:r>
    </w:p>
    <w:p w14:paraId="5591E33C" w14:textId="77777777" w:rsidR="00397E6E" w:rsidRPr="00366378" w:rsidRDefault="00397E6E" w:rsidP="00FD5DAE">
      <w:pPr>
        <w:spacing w:line="360" w:lineRule="auto"/>
        <w:ind w:left="720" w:hanging="720"/>
        <w:rPr>
          <w:rFonts w:asciiTheme="majorBidi" w:hAnsiTheme="majorBidi" w:cstheme="majorBidi"/>
          <w:lang w:val="en-IN"/>
        </w:rPr>
      </w:pPr>
      <w:r w:rsidRPr="00366378">
        <w:rPr>
          <w:rFonts w:asciiTheme="majorBidi" w:hAnsiTheme="majorBidi" w:cstheme="majorBidi"/>
          <w:lang w:val="en-IN"/>
        </w:rPr>
        <w:t xml:space="preserve">Bailey, D. (2008) </w:t>
      </w:r>
      <w:r>
        <w:rPr>
          <w:rFonts w:asciiTheme="majorBidi" w:hAnsiTheme="majorBidi" w:cstheme="majorBidi"/>
          <w:lang w:val="en-IN"/>
        </w:rPr>
        <w:t>‘</w:t>
      </w:r>
      <w:r w:rsidRPr="00366378">
        <w:rPr>
          <w:rFonts w:asciiTheme="majorBidi" w:hAnsiTheme="majorBidi" w:cstheme="majorBidi"/>
          <w:lang w:val="en-IN"/>
        </w:rPr>
        <w:t>The corporeal politics of being in the Neolithic</w:t>
      </w:r>
      <w:r>
        <w:rPr>
          <w:rFonts w:asciiTheme="majorBidi" w:hAnsiTheme="majorBidi" w:cstheme="majorBidi"/>
          <w:lang w:val="en-IN"/>
        </w:rPr>
        <w:t>’,</w:t>
      </w:r>
      <w:r w:rsidRPr="00366378">
        <w:rPr>
          <w:rFonts w:asciiTheme="majorBidi" w:hAnsiTheme="majorBidi" w:cstheme="majorBidi"/>
          <w:lang w:val="en-IN"/>
        </w:rPr>
        <w:t xml:space="preserve"> </w:t>
      </w:r>
      <w:r>
        <w:rPr>
          <w:rFonts w:asciiTheme="majorBidi" w:hAnsiTheme="majorBidi" w:cstheme="majorBidi"/>
          <w:lang w:val="en-IN"/>
        </w:rPr>
        <w:t>i</w:t>
      </w:r>
      <w:r w:rsidRPr="00366378">
        <w:rPr>
          <w:rFonts w:asciiTheme="majorBidi" w:hAnsiTheme="majorBidi" w:cstheme="majorBidi"/>
          <w:lang w:val="en-IN"/>
        </w:rPr>
        <w:t>n Robb, J. and Boric, D. (eds</w:t>
      </w:r>
      <w:r>
        <w:rPr>
          <w:rFonts w:asciiTheme="majorBidi" w:hAnsiTheme="majorBidi" w:cstheme="majorBidi"/>
          <w:lang w:val="en-IN"/>
        </w:rPr>
        <w:t>.</w:t>
      </w:r>
      <w:r w:rsidRPr="00366378">
        <w:rPr>
          <w:rFonts w:asciiTheme="majorBidi" w:hAnsiTheme="majorBidi" w:cstheme="majorBidi"/>
          <w:lang w:val="en-IN"/>
        </w:rPr>
        <w:t xml:space="preserve">) </w:t>
      </w:r>
      <w:r w:rsidRPr="00F94761">
        <w:rPr>
          <w:rFonts w:asciiTheme="majorBidi" w:hAnsiTheme="majorBidi" w:cstheme="majorBidi"/>
          <w:i/>
          <w:iCs/>
          <w:lang w:val="en-IN"/>
        </w:rPr>
        <w:t>Past Bodies</w:t>
      </w:r>
      <w:r>
        <w:rPr>
          <w:rFonts w:asciiTheme="majorBidi" w:hAnsiTheme="majorBidi" w:cstheme="majorBidi"/>
          <w:lang w:val="en-IN"/>
        </w:rPr>
        <w:t xml:space="preserve">. </w:t>
      </w:r>
      <w:r w:rsidRPr="00366378">
        <w:rPr>
          <w:rFonts w:asciiTheme="majorBidi" w:hAnsiTheme="majorBidi" w:cstheme="majorBidi"/>
          <w:lang w:val="en-IN"/>
        </w:rPr>
        <w:t>Oxford: Oxbow</w:t>
      </w:r>
      <w:r>
        <w:rPr>
          <w:rFonts w:asciiTheme="majorBidi" w:hAnsiTheme="majorBidi" w:cstheme="majorBidi"/>
          <w:lang w:val="en-IN"/>
        </w:rPr>
        <w:t>, pp. 9–18</w:t>
      </w:r>
    </w:p>
    <w:p w14:paraId="58C753A8"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lastRenderedPageBreak/>
        <w:t xml:space="preserve">Boz, B., Hager, L. D., Haddow, S., with contributions by S. Hillson, C.S. Larsen, C. Ruff, M. Pilloud, S. Agarwal, P. Beauchesne, B. Glencross et al. (2006) </w:t>
      </w:r>
      <w:r>
        <w:rPr>
          <w:rFonts w:asciiTheme="majorBidi" w:hAnsiTheme="majorBidi" w:cstheme="majorBidi"/>
        </w:rPr>
        <w:t>‘</w:t>
      </w:r>
      <w:r w:rsidRPr="00366378">
        <w:rPr>
          <w:rFonts w:asciiTheme="majorBidi" w:hAnsiTheme="majorBidi" w:cstheme="majorBidi"/>
        </w:rPr>
        <w:t>Human remains. Archive report on the Catalhöyük season 2006</w:t>
      </w:r>
      <w:r>
        <w:rPr>
          <w:rFonts w:asciiTheme="majorBidi" w:hAnsiTheme="majorBidi" w:cstheme="majorBidi"/>
        </w:rPr>
        <w:t>’,</w:t>
      </w:r>
      <w:r w:rsidRPr="00366378">
        <w:rPr>
          <w:rFonts w:asciiTheme="majorBidi" w:hAnsiTheme="majorBidi" w:cstheme="majorBidi"/>
        </w:rPr>
        <w:t xml:space="preserve"> </w:t>
      </w:r>
      <w:r>
        <w:rPr>
          <w:rFonts w:asciiTheme="majorBidi" w:hAnsiTheme="majorBidi" w:cstheme="majorBidi"/>
        </w:rPr>
        <w:t>Available at:</w:t>
      </w:r>
      <w:r w:rsidRPr="00366378">
        <w:rPr>
          <w:rFonts w:asciiTheme="majorBidi" w:hAnsiTheme="majorBidi" w:cstheme="majorBidi"/>
        </w:rPr>
        <w:t xml:space="preserve"> http://www.catalhoyuk.com.</w:t>
      </w:r>
    </w:p>
    <w:p w14:paraId="71E12C38"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 xml:space="preserve">Goring-Morris, A. and Belfer-Cohen, A. (2002) ‘Symbolic behaviour from the Epipalaeolithic and Early Neolithic of the Near East: Preliminary observations on continuity and change’ in Gebel H.G.K, Hermansen B.D., Hoffman C. (eds.) </w:t>
      </w:r>
      <w:r w:rsidRPr="00366378">
        <w:rPr>
          <w:rFonts w:asciiTheme="majorBidi" w:hAnsiTheme="majorBidi" w:cstheme="majorBidi"/>
          <w:i/>
          <w:iCs/>
        </w:rPr>
        <w:t>Magic practices and ritual in the Near Eastern Neolithic</w:t>
      </w:r>
      <w:r w:rsidRPr="00366378">
        <w:rPr>
          <w:rFonts w:asciiTheme="majorBidi" w:hAnsiTheme="majorBidi" w:cstheme="majorBidi"/>
        </w:rPr>
        <w:t>. Berlin: ex oriente, pp. 67</w:t>
      </w:r>
      <w:r>
        <w:rPr>
          <w:rFonts w:asciiTheme="majorBidi" w:hAnsiTheme="majorBidi" w:cstheme="majorBidi"/>
          <w:lang w:val="en-IN"/>
        </w:rPr>
        <w:t>–</w:t>
      </w:r>
      <w:r w:rsidRPr="00366378">
        <w:rPr>
          <w:rFonts w:asciiTheme="majorBidi" w:hAnsiTheme="majorBidi" w:cstheme="majorBidi"/>
        </w:rPr>
        <w:t>79</w:t>
      </w:r>
    </w:p>
    <w:p w14:paraId="666A5887" w14:textId="77777777" w:rsidR="00397E6E" w:rsidRPr="00366378" w:rsidRDefault="00397E6E" w:rsidP="00FD5DAE">
      <w:pPr>
        <w:spacing w:line="360" w:lineRule="auto"/>
        <w:ind w:left="720" w:hanging="720"/>
        <w:rPr>
          <w:rFonts w:asciiTheme="majorBidi" w:hAnsiTheme="majorBidi" w:cstheme="majorBidi"/>
          <w:lang w:val="en-IN"/>
        </w:rPr>
      </w:pPr>
      <w:bookmarkStart w:id="0" w:name="_Hlk161873400"/>
      <w:r w:rsidRPr="00366378">
        <w:rPr>
          <w:rFonts w:asciiTheme="majorBidi" w:hAnsiTheme="majorBidi" w:cstheme="majorBidi"/>
        </w:rPr>
        <w:t>Haddow</w:t>
      </w:r>
      <w:r>
        <w:rPr>
          <w:rFonts w:asciiTheme="majorBidi" w:hAnsiTheme="majorBidi" w:cstheme="majorBidi"/>
        </w:rPr>
        <w:t>,</w:t>
      </w:r>
      <w:r w:rsidRPr="00366378">
        <w:rPr>
          <w:rFonts w:asciiTheme="majorBidi" w:hAnsiTheme="majorBidi" w:cstheme="majorBidi"/>
        </w:rPr>
        <w:t xml:space="preserve"> S</w:t>
      </w:r>
      <w:r>
        <w:rPr>
          <w:rFonts w:asciiTheme="majorBidi" w:hAnsiTheme="majorBidi" w:cstheme="majorBidi"/>
        </w:rPr>
        <w:t>.</w:t>
      </w:r>
      <w:r w:rsidRPr="00366378">
        <w:rPr>
          <w:rFonts w:asciiTheme="majorBidi" w:hAnsiTheme="majorBidi" w:cstheme="majorBidi"/>
        </w:rPr>
        <w:t xml:space="preserve"> and Knüsel</w:t>
      </w:r>
      <w:bookmarkEnd w:id="0"/>
      <w:r>
        <w:rPr>
          <w:rFonts w:asciiTheme="majorBidi" w:hAnsiTheme="majorBidi" w:cstheme="majorBidi"/>
        </w:rPr>
        <w:t>,</w:t>
      </w:r>
      <w:r w:rsidRPr="00366378">
        <w:rPr>
          <w:rFonts w:asciiTheme="majorBidi" w:hAnsiTheme="majorBidi" w:cstheme="majorBidi"/>
        </w:rPr>
        <w:t xml:space="preserve"> C</w:t>
      </w:r>
      <w:r>
        <w:rPr>
          <w:rFonts w:asciiTheme="majorBidi" w:hAnsiTheme="majorBidi" w:cstheme="majorBidi"/>
        </w:rPr>
        <w:t>. (2017)</w:t>
      </w:r>
      <w:r w:rsidRPr="00366378">
        <w:rPr>
          <w:rFonts w:asciiTheme="majorBidi" w:hAnsiTheme="majorBidi" w:cstheme="majorBidi"/>
        </w:rPr>
        <w:t xml:space="preserve"> ‘Skull </w:t>
      </w:r>
      <w:r>
        <w:rPr>
          <w:rFonts w:asciiTheme="majorBidi" w:hAnsiTheme="majorBidi" w:cstheme="majorBidi"/>
        </w:rPr>
        <w:t>r</w:t>
      </w:r>
      <w:r w:rsidRPr="00366378">
        <w:rPr>
          <w:rFonts w:asciiTheme="majorBidi" w:hAnsiTheme="majorBidi" w:cstheme="majorBidi"/>
        </w:rPr>
        <w:t xml:space="preserve">etrieval and </w:t>
      </w:r>
      <w:r>
        <w:rPr>
          <w:rFonts w:asciiTheme="majorBidi" w:hAnsiTheme="majorBidi" w:cstheme="majorBidi"/>
        </w:rPr>
        <w:t>s</w:t>
      </w:r>
      <w:r w:rsidRPr="00366378">
        <w:rPr>
          <w:rFonts w:asciiTheme="majorBidi" w:hAnsiTheme="majorBidi" w:cstheme="majorBidi"/>
        </w:rPr>
        <w:t xml:space="preserve">econdary </w:t>
      </w:r>
      <w:r>
        <w:rPr>
          <w:rFonts w:asciiTheme="majorBidi" w:hAnsiTheme="majorBidi" w:cstheme="majorBidi"/>
        </w:rPr>
        <w:t>b</w:t>
      </w:r>
      <w:r w:rsidRPr="00366378">
        <w:rPr>
          <w:rFonts w:asciiTheme="majorBidi" w:hAnsiTheme="majorBidi" w:cstheme="majorBidi"/>
        </w:rPr>
        <w:t xml:space="preserve">urial </w:t>
      </w:r>
      <w:r>
        <w:rPr>
          <w:rFonts w:asciiTheme="majorBidi" w:hAnsiTheme="majorBidi" w:cstheme="majorBidi"/>
        </w:rPr>
        <w:t>p</w:t>
      </w:r>
      <w:r w:rsidRPr="00366378">
        <w:rPr>
          <w:rFonts w:asciiTheme="majorBidi" w:hAnsiTheme="majorBidi" w:cstheme="majorBidi"/>
        </w:rPr>
        <w:t xml:space="preserve">ractices in the Neolithic Near East: Recent </w:t>
      </w:r>
      <w:r>
        <w:rPr>
          <w:rFonts w:asciiTheme="majorBidi" w:hAnsiTheme="majorBidi" w:cstheme="majorBidi"/>
        </w:rPr>
        <w:t>i</w:t>
      </w:r>
      <w:r w:rsidRPr="00366378">
        <w:rPr>
          <w:rFonts w:asciiTheme="majorBidi" w:hAnsiTheme="majorBidi" w:cstheme="majorBidi"/>
        </w:rPr>
        <w:t xml:space="preserve">nsights from Çatalhöyük, Turkey’, </w:t>
      </w:r>
      <w:r w:rsidRPr="009D08BB">
        <w:rPr>
          <w:rFonts w:asciiTheme="majorBidi" w:hAnsiTheme="majorBidi" w:cstheme="majorBidi"/>
          <w:i/>
          <w:iCs/>
        </w:rPr>
        <w:t>Bioarchaeology International</w:t>
      </w:r>
      <w:r w:rsidRPr="00366378">
        <w:rPr>
          <w:rFonts w:asciiTheme="majorBidi" w:hAnsiTheme="majorBidi" w:cstheme="majorBidi"/>
        </w:rPr>
        <w:t>, 1</w:t>
      </w:r>
      <w:r>
        <w:rPr>
          <w:rFonts w:asciiTheme="majorBidi" w:hAnsiTheme="majorBidi" w:cstheme="majorBidi"/>
        </w:rPr>
        <w:t>(</w:t>
      </w:r>
      <w:r w:rsidRPr="00366378">
        <w:rPr>
          <w:rFonts w:asciiTheme="majorBidi" w:hAnsiTheme="majorBidi" w:cstheme="majorBidi"/>
        </w:rPr>
        <w:t>1-2</w:t>
      </w:r>
      <w:r>
        <w:rPr>
          <w:rFonts w:asciiTheme="majorBidi" w:hAnsiTheme="majorBidi" w:cstheme="majorBidi"/>
        </w:rPr>
        <w:t>)</w:t>
      </w:r>
      <w:r w:rsidRPr="00366378">
        <w:rPr>
          <w:rFonts w:asciiTheme="majorBidi" w:hAnsiTheme="majorBidi" w:cstheme="majorBidi"/>
        </w:rPr>
        <w:t>, pp.</w:t>
      </w:r>
      <w:r>
        <w:rPr>
          <w:rFonts w:asciiTheme="majorBidi" w:hAnsiTheme="majorBidi" w:cstheme="majorBidi"/>
        </w:rPr>
        <w:t xml:space="preserve"> </w:t>
      </w:r>
      <w:r w:rsidRPr="00366378">
        <w:rPr>
          <w:rFonts w:asciiTheme="majorBidi" w:hAnsiTheme="majorBidi" w:cstheme="majorBidi"/>
        </w:rPr>
        <w:t>52</w:t>
      </w:r>
      <w:r>
        <w:rPr>
          <w:rFonts w:asciiTheme="majorBidi" w:hAnsiTheme="majorBidi" w:cstheme="majorBidi"/>
          <w:lang w:val="en-IN"/>
        </w:rPr>
        <w:t>–</w:t>
      </w:r>
      <w:r w:rsidRPr="00366378">
        <w:rPr>
          <w:rFonts w:asciiTheme="majorBidi" w:hAnsiTheme="majorBidi" w:cstheme="majorBidi"/>
        </w:rPr>
        <w:t>71. https://doi.10.5744/bi.2017.1002</w:t>
      </w:r>
    </w:p>
    <w:p w14:paraId="18D31A5F" w14:textId="77777777" w:rsidR="00397E6E" w:rsidRPr="00366378" w:rsidRDefault="00397E6E" w:rsidP="00FD5DAE">
      <w:pPr>
        <w:spacing w:line="360" w:lineRule="auto"/>
        <w:ind w:left="720" w:hanging="720"/>
        <w:rPr>
          <w:rFonts w:asciiTheme="majorBidi" w:hAnsiTheme="majorBidi" w:cstheme="majorBidi"/>
          <w:lang w:val="en-IN"/>
        </w:rPr>
      </w:pPr>
      <w:r w:rsidRPr="00366378">
        <w:rPr>
          <w:rFonts w:asciiTheme="majorBidi" w:hAnsiTheme="majorBidi" w:cstheme="majorBidi"/>
        </w:rPr>
        <w:t xml:space="preserve">Hodder, I. </w:t>
      </w:r>
      <w:r>
        <w:rPr>
          <w:rFonts w:asciiTheme="majorBidi" w:hAnsiTheme="majorBidi" w:cstheme="majorBidi"/>
        </w:rPr>
        <w:t>(</w:t>
      </w:r>
      <w:r w:rsidRPr="00366378">
        <w:rPr>
          <w:rFonts w:asciiTheme="majorBidi" w:hAnsiTheme="majorBidi" w:cstheme="majorBidi"/>
        </w:rPr>
        <w:t>1987</w:t>
      </w:r>
      <w:r>
        <w:rPr>
          <w:rFonts w:asciiTheme="majorBidi" w:hAnsiTheme="majorBidi" w:cstheme="majorBidi"/>
        </w:rPr>
        <w:t>)</w:t>
      </w:r>
      <w:r w:rsidRPr="00366378">
        <w:rPr>
          <w:rFonts w:asciiTheme="majorBidi" w:hAnsiTheme="majorBidi" w:cstheme="majorBidi"/>
        </w:rPr>
        <w:t xml:space="preserve"> </w:t>
      </w:r>
      <w:r>
        <w:rPr>
          <w:rFonts w:asciiTheme="majorBidi" w:hAnsiTheme="majorBidi" w:cstheme="majorBidi"/>
        </w:rPr>
        <w:t>‘</w:t>
      </w:r>
      <w:r w:rsidRPr="00366378">
        <w:rPr>
          <w:rFonts w:asciiTheme="majorBidi" w:hAnsiTheme="majorBidi" w:cstheme="majorBidi"/>
        </w:rPr>
        <w:t xml:space="preserve">Contextual </w:t>
      </w:r>
      <w:r>
        <w:rPr>
          <w:rFonts w:asciiTheme="majorBidi" w:hAnsiTheme="majorBidi" w:cstheme="majorBidi"/>
        </w:rPr>
        <w:t>a</w:t>
      </w:r>
      <w:r w:rsidRPr="00366378">
        <w:rPr>
          <w:rFonts w:asciiTheme="majorBidi" w:hAnsiTheme="majorBidi" w:cstheme="majorBidi"/>
        </w:rPr>
        <w:t xml:space="preserve">rchaeology: An </w:t>
      </w:r>
      <w:r>
        <w:rPr>
          <w:rFonts w:asciiTheme="majorBidi" w:hAnsiTheme="majorBidi" w:cstheme="majorBidi"/>
        </w:rPr>
        <w:t>i</w:t>
      </w:r>
      <w:r w:rsidRPr="00366378">
        <w:rPr>
          <w:rFonts w:asciiTheme="majorBidi" w:hAnsiTheme="majorBidi" w:cstheme="majorBidi"/>
        </w:rPr>
        <w:t xml:space="preserve">nterpretation of Çatal Hüyük and a </w:t>
      </w:r>
      <w:r>
        <w:rPr>
          <w:rFonts w:asciiTheme="majorBidi" w:hAnsiTheme="majorBidi" w:cstheme="majorBidi"/>
        </w:rPr>
        <w:t>d</w:t>
      </w:r>
      <w:r w:rsidRPr="00366378">
        <w:rPr>
          <w:rFonts w:asciiTheme="majorBidi" w:hAnsiTheme="majorBidi" w:cstheme="majorBidi"/>
        </w:rPr>
        <w:t xml:space="preserve">iscussion of the </w:t>
      </w:r>
      <w:r>
        <w:rPr>
          <w:rFonts w:asciiTheme="majorBidi" w:hAnsiTheme="majorBidi" w:cstheme="majorBidi"/>
        </w:rPr>
        <w:t>o</w:t>
      </w:r>
      <w:r w:rsidRPr="00366378">
        <w:rPr>
          <w:rFonts w:asciiTheme="majorBidi" w:hAnsiTheme="majorBidi" w:cstheme="majorBidi"/>
        </w:rPr>
        <w:t xml:space="preserve">rigins of </w:t>
      </w:r>
      <w:r>
        <w:rPr>
          <w:rFonts w:asciiTheme="majorBidi" w:hAnsiTheme="majorBidi" w:cstheme="majorBidi"/>
        </w:rPr>
        <w:t>a</w:t>
      </w:r>
      <w:r w:rsidRPr="00366378">
        <w:rPr>
          <w:rFonts w:asciiTheme="majorBidi" w:hAnsiTheme="majorBidi" w:cstheme="majorBidi"/>
        </w:rPr>
        <w:t>griculture</w:t>
      </w:r>
      <w:r>
        <w:rPr>
          <w:rFonts w:asciiTheme="majorBidi" w:hAnsiTheme="majorBidi" w:cstheme="majorBidi"/>
        </w:rPr>
        <w:t>’,</w:t>
      </w:r>
      <w:r w:rsidRPr="00366378">
        <w:rPr>
          <w:rFonts w:asciiTheme="majorBidi" w:hAnsiTheme="majorBidi" w:cstheme="majorBidi"/>
        </w:rPr>
        <w:t xml:space="preserve"> </w:t>
      </w:r>
      <w:r w:rsidRPr="00381072">
        <w:rPr>
          <w:rFonts w:asciiTheme="majorBidi" w:hAnsiTheme="majorBidi" w:cstheme="majorBidi"/>
          <w:i/>
          <w:iCs/>
        </w:rPr>
        <w:t>Bulletin of the Institute of Archaeology</w:t>
      </w:r>
      <w:r>
        <w:rPr>
          <w:rFonts w:asciiTheme="majorBidi" w:hAnsiTheme="majorBidi" w:cstheme="majorBidi"/>
          <w:i/>
          <w:iCs/>
        </w:rPr>
        <w:t>,</w:t>
      </w:r>
      <w:r w:rsidRPr="00366378">
        <w:rPr>
          <w:rFonts w:asciiTheme="majorBidi" w:hAnsiTheme="majorBidi" w:cstheme="majorBidi"/>
        </w:rPr>
        <w:t xml:space="preserve"> 24</w:t>
      </w:r>
      <w:r>
        <w:rPr>
          <w:rFonts w:asciiTheme="majorBidi" w:hAnsiTheme="majorBidi" w:cstheme="majorBidi"/>
        </w:rPr>
        <w:t xml:space="preserve">, pp. </w:t>
      </w:r>
      <w:r w:rsidRPr="00366378">
        <w:rPr>
          <w:rFonts w:asciiTheme="majorBidi" w:hAnsiTheme="majorBidi" w:cstheme="majorBidi"/>
        </w:rPr>
        <w:t>43</w:t>
      </w:r>
      <w:r>
        <w:rPr>
          <w:rFonts w:asciiTheme="majorBidi" w:hAnsiTheme="majorBidi" w:cstheme="majorBidi"/>
          <w:lang w:val="en-IN"/>
        </w:rPr>
        <w:t>–</w:t>
      </w:r>
      <w:r w:rsidRPr="00366378">
        <w:rPr>
          <w:rFonts w:asciiTheme="majorBidi" w:hAnsiTheme="majorBidi" w:cstheme="majorBidi"/>
        </w:rPr>
        <w:t>56</w:t>
      </w:r>
    </w:p>
    <w:p w14:paraId="75A7747E"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 xml:space="preserve">Hodder, I. </w:t>
      </w:r>
      <w:r>
        <w:rPr>
          <w:rFonts w:asciiTheme="majorBidi" w:hAnsiTheme="majorBidi" w:cstheme="majorBidi"/>
        </w:rPr>
        <w:t>(</w:t>
      </w:r>
      <w:r w:rsidRPr="00366378">
        <w:rPr>
          <w:rFonts w:asciiTheme="majorBidi" w:hAnsiTheme="majorBidi" w:cstheme="majorBidi"/>
        </w:rPr>
        <w:t>1990</w:t>
      </w:r>
      <w:r>
        <w:rPr>
          <w:rFonts w:asciiTheme="majorBidi" w:hAnsiTheme="majorBidi" w:cstheme="majorBidi"/>
        </w:rPr>
        <w:t>)</w:t>
      </w:r>
      <w:r w:rsidRPr="00366378">
        <w:rPr>
          <w:rFonts w:asciiTheme="majorBidi" w:hAnsiTheme="majorBidi" w:cstheme="majorBidi"/>
        </w:rPr>
        <w:t xml:space="preserve"> </w:t>
      </w:r>
      <w:r w:rsidRPr="00381072">
        <w:rPr>
          <w:rFonts w:asciiTheme="majorBidi" w:hAnsiTheme="majorBidi" w:cstheme="majorBidi"/>
          <w:i/>
          <w:iCs/>
        </w:rPr>
        <w:t>The domestication of Europe: Structure and contingency in Neolithic societies.</w:t>
      </w:r>
      <w:r w:rsidRPr="00366378">
        <w:rPr>
          <w:rFonts w:asciiTheme="majorBidi" w:hAnsiTheme="majorBidi" w:cstheme="majorBidi"/>
        </w:rPr>
        <w:t xml:space="preserve"> </w:t>
      </w:r>
      <w:r>
        <w:rPr>
          <w:rFonts w:asciiTheme="majorBidi" w:hAnsiTheme="majorBidi" w:cstheme="majorBidi"/>
        </w:rPr>
        <w:t xml:space="preserve">Oxford: </w:t>
      </w:r>
      <w:r w:rsidRPr="00366378">
        <w:rPr>
          <w:rFonts w:asciiTheme="majorBidi" w:hAnsiTheme="majorBidi" w:cstheme="majorBidi"/>
        </w:rPr>
        <w:t xml:space="preserve">Basil Blackwell. </w:t>
      </w:r>
    </w:p>
    <w:p w14:paraId="342CF8A4"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Hodder, I</w:t>
      </w:r>
      <w:r>
        <w:rPr>
          <w:rFonts w:asciiTheme="majorBidi" w:hAnsiTheme="majorBidi" w:cstheme="majorBidi"/>
        </w:rPr>
        <w:t>.</w:t>
      </w:r>
      <w:r w:rsidRPr="00366378">
        <w:rPr>
          <w:rFonts w:asciiTheme="majorBidi" w:hAnsiTheme="majorBidi" w:cstheme="majorBidi"/>
        </w:rPr>
        <w:t xml:space="preserve"> </w:t>
      </w:r>
      <w:r>
        <w:rPr>
          <w:rFonts w:asciiTheme="majorBidi" w:hAnsiTheme="majorBidi" w:cstheme="majorBidi"/>
        </w:rPr>
        <w:t>(</w:t>
      </w:r>
      <w:r w:rsidRPr="00366378">
        <w:rPr>
          <w:rFonts w:asciiTheme="majorBidi" w:hAnsiTheme="majorBidi" w:cstheme="majorBidi"/>
        </w:rPr>
        <w:t>1991</w:t>
      </w:r>
      <w:r>
        <w:rPr>
          <w:rFonts w:asciiTheme="majorBidi" w:hAnsiTheme="majorBidi" w:cstheme="majorBidi"/>
        </w:rPr>
        <w:t>)</w:t>
      </w:r>
      <w:r w:rsidRPr="00366378">
        <w:rPr>
          <w:rFonts w:asciiTheme="majorBidi" w:hAnsiTheme="majorBidi" w:cstheme="majorBidi"/>
        </w:rPr>
        <w:t xml:space="preserve"> </w:t>
      </w:r>
      <w:r w:rsidRPr="00666057">
        <w:rPr>
          <w:rFonts w:asciiTheme="majorBidi" w:hAnsiTheme="majorBidi" w:cstheme="majorBidi"/>
          <w:i/>
          <w:iCs/>
        </w:rPr>
        <w:t>Reading the past; Current approaches to interpretations in archaeology, second edition</w:t>
      </w:r>
      <w:r w:rsidRPr="00366378">
        <w:rPr>
          <w:rFonts w:asciiTheme="majorBidi" w:hAnsiTheme="majorBidi" w:cstheme="majorBidi"/>
        </w:rPr>
        <w:t>. Cambridge: Cambridge University Press.</w:t>
      </w:r>
    </w:p>
    <w:p w14:paraId="3C4B7096"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 xml:space="preserve">Hodder, I. </w:t>
      </w:r>
      <w:r>
        <w:rPr>
          <w:rFonts w:asciiTheme="majorBidi" w:hAnsiTheme="majorBidi" w:cstheme="majorBidi"/>
        </w:rPr>
        <w:t>(</w:t>
      </w:r>
      <w:r w:rsidRPr="00366378">
        <w:rPr>
          <w:rFonts w:asciiTheme="majorBidi" w:hAnsiTheme="majorBidi" w:cstheme="majorBidi"/>
        </w:rPr>
        <w:t>2006</w:t>
      </w:r>
      <w:r>
        <w:rPr>
          <w:rFonts w:asciiTheme="majorBidi" w:hAnsiTheme="majorBidi" w:cstheme="majorBidi"/>
        </w:rPr>
        <w:t>)</w:t>
      </w:r>
      <w:r w:rsidRPr="00366378">
        <w:rPr>
          <w:rFonts w:asciiTheme="majorBidi" w:hAnsiTheme="majorBidi" w:cstheme="majorBidi"/>
        </w:rPr>
        <w:t xml:space="preserve"> </w:t>
      </w:r>
      <w:r w:rsidRPr="00381072">
        <w:rPr>
          <w:rFonts w:asciiTheme="majorBidi" w:hAnsiTheme="majorBidi" w:cstheme="majorBidi"/>
          <w:i/>
          <w:iCs/>
        </w:rPr>
        <w:t>The Leopard’s tale: Revealing the mysteries of Çatalhöyük.</w:t>
      </w:r>
      <w:r w:rsidRPr="00366378">
        <w:rPr>
          <w:rFonts w:asciiTheme="majorBidi" w:hAnsiTheme="majorBidi" w:cstheme="majorBidi"/>
        </w:rPr>
        <w:t xml:space="preserve"> London: Thames &amp; Hudson</w:t>
      </w:r>
      <w:r>
        <w:rPr>
          <w:rFonts w:asciiTheme="majorBidi" w:hAnsiTheme="majorBidi" w:cstheme="majorBidi"/>
        </w:rPr>
        <w:t>.</w:t>
      </w:r>
    </w:p>
    <w:p w14:paraId="352B0F7F"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 xml:space="preserve">Hodder, I. and Meskell, L. (2011) ‘A “curious and sometimes a trifle macabre artistry”’, </w:t>
      </w:r>
      <w:r w:rsidRPr="00366378">
        <w:rPr>
          <w:rFonts w:asciiTheme="majorBidi" w:hAnsiTheme="majorBidi" w:cstheme="majorBidi"/>
          <w:i/>
          <w:iCs/>
        </w:rPr>
        <w:t>Current Anthropology</w:t>
      </w:r>
      <w:r w:rsidRPr="00366378">
        <w:rPr>
          <w:rFonts w:asciiTheme="majorBidi" w:hAnsiTheme="majorBidi" w:cstheme="majorBidi"/>
        </w:rPr>
        <w:t>, 52(2), pp. 235</w:t>
      </w:r>
      <w:r>
        <w:rPr>
          <w:rFonts w:asciiTheme="majorBidi" w:hAnsiTheme="majorBidi" w:cstheme="majorBidi"/>
          <w:lang w:val="en-IN"/>
        </w:rPr>
        <w:t>–</w:t>
      </w:r>
      <w:r w:rsidRPr="00366378">
        <w:rPr>
          <w:rFonts w:asciiTheme="majorBidi" w:hAnsiTheme="majorBidi" w:cstheme="majorBidi"/>
        </w:rPr>
        <w:t>263.</w:t>
      </w:r>
    </w:p>
    <w:p w14:paraId="4FFE4F48"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 xml:space="preserve">Hodder, I. and Pels, P. (2010) ‘History houses’, in </w:t>
      </w:r>
      <w:r w:rsidRPr="00366378">
        <w:rPr>
          <w:rFonts w:asciiTheme="majorBidi" w:hAnsiTheme="majorBidi" w:cstheme="majorBidi"/>
          <w:i/>
          <w:iCs/>
        </w:rPr>
        <w:t>Cambridge University Press eBooks</w:t>
      </w:r>
      <w:r w:rsidRPr="00366378">
        <w:rPr>
          <w:rFonts w:asciiTheme="majorBidi" w:hAnsiTheme="majorBidi" w:cstheme="majorBidi"/>
        </w:rPr>
        <w:t>, pp. 163–186. https://doi.org/10.1017/cbo9780511761416.007.</w:t>
      </w:r>
    </w:p>
    <w:p w14:paraId="6A345652" w14:textId="77777777" w:rsidR="00397E6E" w:rsidRPr="00366378" w:rsidRDefault="00397E6E" w:rsidP="00FD5DAE">
      <w:pPr>
        <w:spacing w:line="360" w:lineRule="auto"/>
        <w:ind w:left="720" w:hanging="720"/>
        <w:rPr>
          <w:rFonts w:asciiTheme="majorBidi" w:hAnsiTheme="majorBidi" w:cstheme="majorBidi"/>
        </w:rPr>
      </w:pPr>
      <w:bookmarkStart w:id="1" w:name="_Hlk160974510"/>
      <w:r w:rsidRPr="00366378">
        <w:rPr>
          <w:rFonts w:asciiTheme="majorBidi" w:hAnsiTheme="majorBidi" w:cstheme="majorBidi"/>
          <w:i/>
          <w:iCs/>
        </w:rPr>
        <w:t>Jason Quinlan</w:t>
      </w:r>
      <w:r w:rsidRPr="00366378">
        <w:rPr>
          <w:rFonts w:asciiTheme="majorBidi" w:hAnsiTheme="majorBidi" w:cstheme="majorBidi"/>
        </w:rPr>
        <w:t> (2005</w:t>
      </w:r>
      <w:bookmarkEnd w:id="1"/>
      <w:r w:rsidRPr="00366378">
        <w:rPr>
          <w:rFonts w:asciiTheme="majorBidi" w:hAnsiTheme="majorBidi" w:cstheme="majorBidi"/>
        </w:rPr>
        <w:t>) </w:t>
      </w:r>
      <w:hyperlink r:id="rId11" w:history="1">
        <w:r w:rsidRPr="00366378">
          <w:rPr>
            <w:rStyle w:val="Hyperlink"/>
            <w:rFonts w:asciiTheme="majorBidi" w:hAnsiTheme="majorBidi" w:cstheme="majorBidi"/>
          </w:rPr>
          <w:t>https://jasonquinlan.com/7d80uqzowj51tsrtj9svjavlafmuz3</w:t>
        </w:r>
      </w:hyperlink>
      <w:r w:rsidRPr="00366378">
        <w:rPr>
          <w:rFonts w:asciiTheme="majorBidi" w:hAnsiTheme="majorBidi" w:cstheme="majorBidi"/>
        </w:rPr>
        <w:t>.</w:t>
      </w:r>
    </w:p>
    <w:p w14:paraId="74E06778"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Joyce, R</w:t>
      </w:r>
      <w:r>
        <w:rPr>
          <w:rFonts w:asciiTheme="majorBidi" w:hAnsiTheme="majorBidi" w:cstheme="majorBidi"/>
        </w:rPr>
        <w:t xml:space="preserve">. </w:t>
      </w:r>
      <w:r w:rsidRPr="00366378">
        <w:rPr>
          <w:rFonts w:asciiTheme="majorBidi" w:hAnsiTheme="majorBidi" w:cstheme="majorBidi"/>
        </w:rPr>
        <w:t xml:space="preserve">A. </w:t>
      </w:r>
      <w:r>
        <w:rPr>
          <w:rFonts w:asciiTheme="majorBidi" w:hAnsiTheme="majorBidi" w:cstheme="majorBidi"/>
        </w:rPr>
        <w:t>(</w:t>
      </w:r>
      <w:r w:rsidRPr="00366378">
        <w:rPr>
          <w:rFonts w:asciiTheme="majorBidi" w:hAnsiTheme="majorBidi" w:cstheme="majorBidi"/>
        </w:rPr>
        <w:t>1993</w:t>
      </w:r>
      <w:r>
        <w:rPr>
          <w:rFonts w:asciiTheme="majorBidi" w:hAnsiTheme="majorBidi" w:cstheme="majorBidi"/>
        </w:rPr>
        <w:t>)</w:t>
      </w:r>
      <w:r w:rsidRPr="00366378">
        <w:rPr>
          <w:rFonts w:asciiTheme="majorBidi" w:hAnsiTheme="majorBidi" w:cstheme="majorBidi"/>
        </w:rPr>
        <w:t xml:space="preserve"> </w:t>
      </w:r>
      <w:r>
        <w:rPr>
          <w:rFonts w:asciiTheme="majorBidi" w:hAnsiTheme="majorBidi" w:cstheme="majorBidi"/>
        </w:rPr>
        <w:t>‘</w:t>
      </w:r>
      <w:r w:rsidRPr="00366378">
        <w:rPr>
          <w:rFonts w:asciiTheme="majorBidi" w:hAnsiTheme="majorBidi" w:cstheme="majorBidi"/>
        </w:rPr>
        <w:t xml:space="preserve">Women’s </w:t>
      </w:r>
      <w:r>
        <w:rPr>
          <w:rFonts w:asciiTheme="majorBidi" w:hAnsiTheme="majorBidi" w:cstheme="majorBidi"/>
        </w:rPr>
        <w:t>w</w:t>
      </w:r>
      <w:r w:rsidRPr="00366378">
        <w:rPr>
          <w:rFonts w:asciiTheme="majorBidi" w:hAnsiTheme="majorBidi" w:cstheme="majorBidi"/>
        </w:rPr>
        <w:t xml:space="preserve">ork: Images of </w:t>
      </w:r>
      <w:r>
        <w:rPr>
          <w:rFonts w:asciiTheme="majorBidi" w:hAnsiTheme="majorBidi" w:cstheme="majorBidi"/>
        </w:rPr>
        <w:t>p</w:t>
      </w:r>
      <w:r w:rsidRPr="00366378">
        <w:rPr>
          <w:rFonts w:asciiTheme="majorBidi" w:hAnsiTheme="majorBidi" w:cstheme="majorBidi"/>
        </w:rPr>
        <w:t xml:space="preserve">roduction and </w:t>
      </w:r>
      <w:r>
        <w:rPr>
          <w:rFonts w:asciiTheme="majorBidi" w:hAnsiTheme="majorBidi" w:cstheme="majorBidi"/>
        </w:rPr>
        <w:t>r</w:t>
      </w:r>
      <w:r w:rsidRPr="00366378">
        <w:rPr>
          <w:rFonts w:asciiTheme="majorBidi" w:hAnsiTheme="majorBidi" w:cstheme="majorBidi"/>
        </w:rPr>
        <w:t xml:space="preserve">eproduction in Pre-Hispanic Southern Central America. </w:t>
      </w:r>
      <w:r w:rsidRPr="00060E42">
        <w:rPr>
          <w:rFonts w:asciiTheme="majorBidi" w:hAnsiTheme="majorBidi" w:cstheme="majorBidi"/>
          <w:i/>
          <w:iCs/>
        </w:rPr>
        <w:t>Current Anthropology</w:t>
      </w:r>
      <w:r>
        <w:rPr>
          <w:rFonts w:asciiTheme="majorBidi" w:hAnsiTheme="majorBidi" w:cstheme="majorBidi"/>
          <w:i/>
          <w:iCs/>
        </w:rPr>
        <w:t>,</w:t>
      </w:r>
      <w:r w:rsidRPr="00366378">
        <w:rPr>
          <w:rFonts w:asciiTheme="majorBidi" w:hAnsiTheme="majorBidi" w:cstheme="majorBidi"/>
        </w:rPr>
        <w:t xml:space="preserve"> 34</w:t>
      </w:r>
      <w:r>
        <w:rPr>
          <w:rFonts w:asciiTheme="majorBidi" w:hAnsiTheme="majorBidi" w:cstheme="majorBidi"/>
        </w:rPr>
        <w:t>, pp.</w:t>
      </w:r>
      <w:r w:rsidRPr="00366378">
        <w:rPr>
          <w:rFonts w:asciiTheme="majorBidi" w:hAnsiTheme="majorBidi" w:cstheme="majorBidi"/>
        </w:rPr>
        <w:t xml:space="preserve"> 255</w:t>
      </w:r>
      <w:r>
        <w:rPr>
          <w:rFonts w:asciiTheme="majorBidi" w:hAnsiTheme="majorBidi" w:cstheme="majorBidi"/>
          <w:lang w:val="en-IN"/>
        </w:rPr>
        <w:t>–</w:t>
      </w:r>
      <w:r w:rsidRPr="00366378">
        <w:rPr>
          <w:rFonts w:asciiTheme="majorBidi" w:hAnsiTheme="majorBidi" w:cstheme="majorBidi"/>
        </w:rPr>
        <w:t>74.</w:t>
      </w:r>
    </w:p>
    <w:p w14:paraId="5FEE6512" w14:textId="77777777" w:rsidR="00397E6E" w:rsidRPr="00366378" w:rsidRDefault="00397E6E" w:rsidP="00BE53F5">
      <w:pPr>
        <w:spacing w:line="360" w:lineRule="auto"/>
        <w:ind w:left="720" w:hanging="720"/>
        <w:rPr>
          <w:rFonts w:asciiTheme="majorBidi" w:hAnsiTheme="majorBidi" w:cstheme="majorBidi"/>
        </w:rPr>
      </w:pPr>
      <w:r w:rsidRPr="00366378">
        <w:rPr>
          <w:rFonts w:asciiTheme="majorBidi" w:hAnsiTheme="majorBidi" w:cstheme="majorBidi"/>
        </w:rPr>
        <w:t>Joyce, R</w:t>
      </w:r>
      <w:r>
        <w:rPr>
          <w:rFonts w:asciiTheme="majorBidi" w:hAnsiTheme="majorBidi" w:cstheme="majorBidi"/>
        </w:rPr>
        <w:t>.</w:t>
      </w:r>
      <w:r w:rsidRPr="00366378">
        <w:rPr>
          <w:rFonts w:asciiTheme="majorBidi" w:hAnsiTheme="majorBidi" w:cstheme="majorBidi"/>
        </w:rPr>
        <w:t xml:space="preserve"> A. </w:t>
      </w:r>
      <w:r>
        <w:rPr>
          <w:rFonts w:asciiTheme="majorBidi" w:hAnsiTheme="majorBidi" w:cstheme="majorBidi"/>
        </w:rPr>
        <w:t>(</w:t>
      </w:r>
      <w:r w:rsidRPr="00366378">
        <w:rPr>
          <w:rFonts w:asciiTheme="majorBidi" w:hAnsiTheme="majorBidi" w:cstheme="majorBidi"/>
        </w:rPr>
        <w:t>2007</w:t>
      </w:r>
      <w:r>
        <w:rPr>
          <w:rFonts w:asciiTheme="majorBidi" w:hAnsiTheme="majorBidi" w:cstheme="majorBidi"/>
        </w:rPr>
        <w:t>)</w:t>
      </w:r>
      <w:r w:rsidRPr="00366378">
        <w:rPr>
          <w:rFonts w:asciiTheme="majorBidi" w:hAnsiTheme="majorBidi" w:cstheme="majorBidi"/>
        </w:rPr>
        <w:t xml:space="preserve"> </w:t>
      </w:r>
      <w:r>
        <w:rPr>
          <w:rFonts w:asciiTheme="majorBidi" w:hAnsiTheme="majorBidi" w:cstheme="majorBidi"/>
        </w:rPr>
        <w:t>‘</w:t>
      </w:r>
      <w:r w:rsidRPr="00366378">
        <w:rPr>
          <w:rFonts w:asciiTheme="majorBidi" w:hAnsiTheme="majorBidi" w:cstheme="majorBidi"/>
        </w:rPr>
        <w:t xml:space="preserve">Figurines, </w:t>
      </w:r>
      <w:r>
        <w:rPr>
          <w:rFonts w:asciiTheme="majorBidi" w:hAnsiTheme="majorBidi" w:cstheme="majorBidi"/>
        </w:rPr>
        <w:t>m</w:t>
      </w:r>
      <w:r w:rsidRPr="00366378">
        <w:rPr>
          <w:rFonts w:asciiTheme="majorBidi" w:hAnsiTheme="majorBidi" w:cstheme="majorBidi"/>
        </w:rPr>
        <w:t xml:space="preserve">eaning, and </w:t>
      </w:r>
      <w:r>
        <w:rPr>
          <w:rFonts w:asciiTheme="majorBidi" w:hAnsiTheme="majorBidi" w:cstheme="majorBidi"/>
        </w:rPr>
        <w:t>m</w:t>
      </w:r>
      <w:r w:rsidRPr="00366378">
        <w:rPr>
          <w:rFonts w:asciiTheme="majorBidi" w:hAnsiTheme="majorBidi" w:cstheme="majorBidi"/>
        </w:rPr>
        <w:t>eaning-</w:t>
      </w:r>
      <w:r>
        <w:rPr>
          <w:rFonts w:asciiTheme="majorBidi" w:hAnsiTheme="majorBidi" w:cstheme="majorBidi"/>
        </w:rPr>
        <w:t>m</w:t>
      </w:r>
      <w:r w:rsidRPr="00366378">
        <w:rPr>
          <w:rFonts w:asciiTheme="majorBidi" w:hAnsiTheme="majorBidi" w:cstheme="majorBidi"/>
        </w:rPr>
        <w:t>aking in Early Mesoamerica</w:t>
      </w:r>
      <w:r>
        <w:rPr>
          <w:rFonts w:asciiTheme="majorBidi" w:hAnsiTheme="majorBidi" w:cstheme="majorBidi"/>
        </w:rPr>
        <w:t>’,</w:t>
      </w:r>
      <w:r w:rsidRPr="00366378">
        <w:rPr>
          <w:rFonts w:asciiTheme="majorBidi" w:hAnsiTheme="majorBidi" w:cstheme="majorBidi"/>
        </w:rPr>
        <w:t xml:space="preserve"> </w:t>
      </w:r>
      <w:r>
        <w:rPr>
          <w:rFonts w:asciiTheme="majorBidi" w:hAnsiTheme="majorBidi" w:cstheme="majorBidi"/>
        </w:rPr>
        <w:t>i</w:t>
      </w:r>
      <w:r w:rsidRPr="00366378">
        <w:rPr>
          <w:rFonts w:asciiTheme="majorBidi" w:hAnsiTheme="majorBidi" w:cstheme="majorBidi"/>
        </w:rPr>
        <w:t>n</w:t>
      </w:r>
      <w:r w:rsidRPr="00060E42">
        <w:rPr>
          <w:rFonts w:asciiTheme="majorBidi" w:hAnsiTheme="majorBidi" w:cstheme="majorBidi"/>
        </w:rPr>
        <w:t xml:space="preserve"> Renfrew</w:t>
      </w:r>
      <w:r>
        <w:rPr>
          <w:rFonts w:asciiTheme="majorBidi" w:hAnsiTheme="majorBidi" w:cstheme="majorBidi"/>
        </w:rPr>
        <w:t>, C.</w:t>
      </w:r>
      <w:r w:rsidRPr="00060E42">
        <w:rPr>
          <w:rFonts w:asciiTheme="majorBidi" w:hAnsiTheme="majorBidi" w:cstheme="majorBidi"/>
        </w:rPr>
        <w:t xml:space="preserve"> and Morley</w:t>
      </w:r>
      <w:r>
        <w:rPr>
          <w:rFonts w:asciiTheme="majorBidi" w:hAnsiTheme="majorBidi" w:cstheme="majorBidi"/>
        </w:rPr>
        <w:t xml:space="preserve">, I. (eds.) </w:t>
      </w:r>
      <w:r w:rsidRPr="00056D5E">
        <w:rPr>
          <w:rFonts w:asciiTheme="majorBidi" w:hAnsiTheme="majorBidi" w:cstheme="majorBidi"/>
          <w:i/>
          <w:iCs/>
        </w:rPr>
        <w:t>Material beginnings: A global prehistory of figurative representation</w:t>
      </w:r>
      <w:r>
        <w:rPr>
          <w:rFonts w:asciiTheme="majorBidi" w:hAnsiTheme="majorBidi" w:cstheme="majorBidi"/>
        </w:rPr>
        <w:t>.</w:t>
      </w:r>
      <w:r w:rsidRPr="00366378">
        <w:rPr>
          <w:rFonts w:asciiTheme="majorBidi" w:hAnsiTheme="majorBidi" w:cstheme="majorBidi"/>
        </w:rPr>
        <w:t xml:space="preserve"> McDonald Institute for Archaeological Research, </w:t>
      </w:r>
      <w:r>
        <w:rPr>
          <w:rFonts w:asciiTheme="majorBidi" w:hAnsiTheme="majorBidi" w:cstheme="majorBidi"/>
        </w:rPr>
        <w:t xml:space="preserve">Cambridge: </w:t>
      </w:r>
      <w:r w:rsidRPr="00366378">
        <w:rPr>
          <w:rFonts w:asciiTheme="majorBidi" w:hAnsiTheme="majorBidi" w:cstheme="majorBidi"/>
        </w:rPr>
        <w:t>Cambridge University</w:t>
      </w:r>
      <w:r>
        <w:rPr>
          <w:rFonts w:asciiTheme="majorBidi" w:hAnsiTheme="majorBidi" w:cstheme="majorBidi"/>
        </w:rPr>
        <w:t xml:space="preserve">, pp </w:t>
      </w:r>
      <w:r w:rsidRPr="00BE53F5">
        <w:rPr>
          <w:rFonts w:asciiTheme="majorBidi" w:hAnsiTheme="majorBidi" w:cstheme="majorBidi"/>
        </w:rPr>
        <w:t>107–</w:t>
      </w:r>
      <w:r>
        <w:rPr>
          <w:rFonts w:asciiTheme="majorBidi" w:hAnsiTheme="majorBidi" w:cstheme="majorBidi"/>
        </w:rPr>
        <w:t>1</w:t>
      </w:r>
      <w:r w:rsidRPr="00BE53F5">
        <w:rPr>
          <w:rFonts w:asciiTheme="majorBidi" w:hAnsiTheme="majorBidi" w:cstheme="majorBidi"/>
        </w:rPr>
        <w:t>16.</w:t>
      </w:r>
    </w:p>
    <w:p w14:paraId="57A854C1"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 xml:space="preserve">Knapp, A. B. and Meskell, L. </w:t>
      </w:r>
      <w:r>
        <w:rPr>
          <w:rFonts w:asciiTheme="majorBidi" w:hAnsiTheme="majorBidi" w:cstheme="majorBidi"/>
        </w:rPr>
        <w:t>(</w:t>
      </w:r>
      <w:r w:rsidRPr="00366378">
        <w:rPr>
          <w:rFonts w:asciiTheme="majorBidi" w:hAnsiTheme="majorBidi" w:cstheme="majorBidi"/>
        </w:rPr>
        <w:t>1997</w:t>
      </w:r>
      <w:r>
        <w:rPr>
          <w:rFonts w:asciiTheme="majorBidi" w:hAnsiTheme="majorBidi" w:cstheme="majorBidi"/>
        </w:rPr>
        <w:t>)</w:t>
      </w:r>
      <w:r w:rsidRPr="00366378">
        <w:rPr>
          <w:rFonts w:asciiTheme="majorBidi" w:hAnsiTheme="majorBidi" w:cstheme="majorBidi"/>
        </w:rPr>
        <w:t xml:space="preserve"> </w:t>
      </w:r>
      <w:r>
        <w:rPr>
          <w:rFonts w:asciiTheme="majorBidi" w:hAnsiTheme="majorBidi" w:cstheme="majorBidi"/>
        </w:rPr>
        <w:t>‘</w:t>
      </w:r>
      <w:r w:rsidRPr="00366378">
        <w:rPr>
          <w:rFonts w:asciiTheme="majorBidi" w:hAnsiTheme="majorBidi" w:cstheme="majorBidi"/>
        </w:rPr>
        <w:t xml:space="preserve">Bodies of </w:t>
      </w:r>
      <w:r>
        <w:rPr>
          <w:rFonts w:asciiTheme="majorBidi" w:hAnsiTheme="majorBidi" w:cstheme="majorBidi"/>
        </w:rPr>
        <w:t>e</w:t>
      </w:r>
      <w:r w:rsidRPr="00366378">
        <w:rPr>
          <w:rFonts w:asciiTheme="majorBidi" w:hAnsiTheme="majorBidi" w:cstheme="majorBidi"/>
        </w:rPr>
        <w:t>vidence on Prehistoric Cyprus</w:t>
      </w:r>
      <w:r>
        <w:rPr>
          <w:rFonts w:asciiTheme="majorBidi" w:hAnsiTheme="majorBidi" w:cstheme="majorBidi"/>
        </w:rPr>
        <w:t>’,</w:t>
      </w:r>
      <w:r w:rsidRPr="00366378">
        <w:rPr>
          <w:rFonts w:asciiTheme="majorBidi" w:hAnsiTheme="majorBidi" w:cstheme="majorBidi"/>
        </w:rPr>
        <w:t xml:space="preserve"> </w:t>
      </w:r>
      <w:r w:rsidRPr="003E68FD">
        <w:rPr>
          <w:rFonts w:asciiTheme="majorBidi" w:hAnsiTheme="majorBidi" w:cstheme="majorBidi"/>
          <w:i/>
          <w:iCs/>
        </w:rPr>
        <w:t>Cambridge Archaeological Journal</w:t>
      </w:r>
      <w:r>
        <w:rPr>
          <w:rFonts w:asciiTheme="majorBidi" w:hAnsiTheme="majorBidi" w:cstheme="majorBidi"/>
          <w:i/>
          <w:iCs/>
        </w:rPr>
        <w:t>,</w:t>
      </w:r>
      <w:r w:rsidRPr="003E68FD">
        <w:rPr>
          <w:rFonts w:asciiTheme="majorBidi" w:hAnsiTheme="majorBidi" w:cstheme="majorBidi"/>
          <w:i/>
          <w:iCs/>
        </w:rPr>
        <w:t xml:space="preserve"> </w:t>
      </w:r>
      <w:r w:rsidRPr="00366378">
        <w:rPr>
          <w:rFonts w:asciiTheme="majorBidi" w:hAnsiTheme="majorBidi" w:cstheme="majorBidi"/>
        </w:rPr>
        <w:t>7(2)</w:t>
      </w:r>
      <w:r>
        <w:rPr>
          <w:rFonts w:asciiTheme="majorBidi" w:hAnsiTheme="majorBidi" w:cstheme="majorBidi"/>
        </w:rPr>
        <w:t xml:space="preserve">, pp. </w:t>
      </w:r>
      <w:r w:rsidRPr="00366378">
        <w:rPr>
          <w:rFonts w:asciiTheme="majorBidi" w:hAnsiTheme="majorBidi" w:cstheme="majorBidi"/>
        </w:rPr>
        <w:t>183</w:t>
      </w:r>
      <w:r>
        <w:rPr>
          <w:rFonts w:asciiTheme="majorBidi" w:hAnsiTheme="majorBidi" w:cstheme="majorBidi"/>
          <w:lang w:val="en-IN"/>
        </w:rPr>
        <w:t>–</w:t>
      </w:r>
      <w:r w:rsidRPr="00366378">
        <w:rPr>
          <w:rFonts w:asciiTheme="majorBidi" w:hAnsiTheme="majorBidi" w:cstheme="majorBidi"/>
        </w:rPr>
        <w:t>204.</w:t>
      </w:r>
    </w:p>
    <w:p w14:paraId="6FC85B8F"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lastRenderedPageBreak/>
        <w:t>Kuijt, I</w:t>
      </w:r>
      <w:r>
        <w:rPr>
          <w:rFonts w:asciiTheme="majorBidi" w:hAnsiTheme="majorBidi" w:cstheme="majorBidi"/>
        </w:rPr>
        <w:t>.</w:t>
      </w:r>
      <w:r w:rsidRPr="00366378">
        <w:rPr>
          <w:rFonts w:asciiTheme="majorBidi" w:hAnsiTheme="majorBidi" w:cstheme="majorBidi"/>
        </w:rPr>
        <w:t xml:space="preserve"> </w:t>
      </w:r>
      <w:r>
        <w:rPr>
          <w:rFonts w:asciiTheme="majorBidi" w:hAnsiTheme="majorBidi" w:cstheme="majorBidi"/>
        </w:rPr>
        <w:t>and</w:t>
      </w:r>
      <w:r w:rsidRPr="00366378">
        <w:rPr>
          <w:rFonts w:asciiTheme="majorBidi" w:hAnsiTheme="majorBidi" w:cstheme="majorBidi"/>
        </w:rPr>
        <w:t xml:space="preserve"> Chesson, M. (2004) </w:t>
      </w:r>
      <w:r>
        <w:rPr>
          <w:rFonts w:asciiTheme="majorBidi" w:hAnsiTheme="majorBidi" w:cstheme="majorBidi"/>
        </w:rPr>
        <w:t>‘</w:t>
      </w:r>
      <w:r w:rsidRPr="00366378">
        <w:rPr>
          <w:rFonts w:asciiTheme="majorBidi" w:hAnsiTheme="majorBidi" w:cstheme="majorBidi"/>
        </w:rPr>
        <w:t xml:space="preserve">Lumps of </w:t>
      </w:r>
      <w:r>
        <w:rPr>
          <w:rFonts w:asciiTheme="majorBidi" w:hAnsiTheme="majorBidi" w:cstheme="majorBidi"/>
        </w:rPr>
        <w:t>c</w:t>
      </w:r>
      <w:r w:rsidRPr="00366378">
        <w:rPr>
          <w:rFonts w:asciiTheme="majorBidi" w:hAnsiTheme="majorBidi" w:cstheme="majorBidi"/>
        </w:rPr>
        <w:t xml:space="preserve">lay and </w:t>
      </w:r>
      <w:r>
        <w:rPr>
          <w:rFonts w:asciiTheme="majorBidi" w:hAnsiTheme="majorBidi" w:cstheme="majorBidi"/>
        </w:rPr>
        <w:t>p</w:t>
      </w:r>
      <w:r w:rsidRPr="00366378">
        <w:rPr>
          <w:rFonts w:asciiTheme="majorBidi" w:hAnsiTheme="majorBidi" w:cstheme="majorBidi"/>
        </w:rPr>
        <w:t xml:space="preserve">ieces of </w:t>
      </w:r>
      <w:r>
        <w:rPr>
          <w:rFonts w:asciiTheme="majorBidi" w:hAnsiTheme="majorBidi" w:cstheme="majorBidi"/>
        </w:rPr>
        <w:t>s</w:t>
      </w:r>
      <w:r w:rsidRPr="00366378">
        <w:rPr>
          <w:rFonts w:asciiTheme="majorBidi" w:hAnsiTheme="majorBidi" w:cstheme="majorBidi"/>
        </w:rPr>
        <w:t xml:space="preserve">tone: Ambiguity, </w:t>
      </w:r>
      <w:r>
        <w:rPr>
          <w:rFonts w:asciiTheme="majorBidi" w:hAnsiTheme="majorBidi" w:cstheme="majorBidi"/>
        </w:rPr>
        <w:t>b</w:t>
      </w:r>
      <w:r w:rsidRPr="00366378">
        <w:rPr>
          <w:rFonts w:asciiTheme="majorBidi" w:hAnsiTheme="majorBidi" w:cstheme="majorBidi"/>
        </w:rPr>
        <w:t xml:space="preserve">odies, and </w:t>
      </w:r>
      <w:r>
        <w:rPr>
          <w:rFonts w:asciiTheme="majorBidi" w:hAnsiTheme="majorBidi" w:cstheme="majorBidi"/>
        </w:rPr>
        <w:t>i</w:t>
      </w:r>
      <w:r w:rsidRPr="00366378">
        <w:rPr>
          <w:rFonts w:asciiTheme="majorBidi" w:hAnsiTheme="majorBidi" w:cstheme="majorBidi"/>
        </w:rPr>
        <w:t xml:space="preserve">dentity as </w:t>
      </w:r>
      <w:r>
        <w:rPr>
          <w:rFonts w:asciiTheme="majorBidi" w:hAnsiTheme="majorBidi" w:cstheme="majorBidi"/>
        </w:rPr>
        <w:t>p</w:t>
      </w:r>
      <w:r w:rsidRPr="00366378">
        <w:rPr>
          <w:rFonts w:asciiTheme="majorBidi" w:hAnsiTheme="majorBidi" w:cstheme="majorBidi"/>
        </w:rPr>
        <w:t xml:space="preserve">ortrayed in Neolithic </w:t>
      </w:r>
      <w:r>
        <w:rPr>
          <w:rFonts w:asciiTheme="majorBidi" w:hAnsiTheme="majorBidi" w:cstheme="majorBidi"/>
        </w:rPr>
        <w:t>f</w:t>
      </w:r>
      <w:r w:rsidRPr="00366378">
        <w:rPr>
          <w:rFonts w:asciiTheme="majorBidi" w:hAnsiTheme="majorBidi" w:cstheme="majorBidi"/>
        </w:rPr>
        <w:t>igurines</w:t>
      </w:r>
      <w:r>
        <w:rPr>
          <w:rFonts w:asciiTheme="majorBidi" w:hAnsiTheme="majorBidi" w:cstheme="majorBidi"/>
        </w:rPr>
        <w:t>’,</w:t>
      </w:r>
      <w:r w:rsidRPr="003E68FD">
        <w:t xml:space="preserve"> </w:t>
      </w:r>
      <w:r w:rsidRPr="003E68FD">
        <w:rPr>
          <w:rFonts w:asciiTheme="majorBidi" w:hAnsiTheme="majorBidi" w:cstheme="majorBidi"/>
          <w:i/>
          <w:iCs/>
        </w:rPr>
        <w:t>Archaeologies of the Middle East: Critical Perspectives</w:t>
      </w:r>
      <w:r>
        <w:rPr>
          <w:rFonts w:asciiTheme="majorBidi" w:hAnsiTheme="majorBidi" w:cstheme="majorBidi"/>
        </w:rPr>
        <w:t>,</w:t>
      </w:r>
      <w:r w:rsidRPr="003E68FD">
        <w:rPr>
          <w:rFonts w:asciiTheme="majorBidi" w:hAnsiTheme="majorBidi" w:cstheme="majorBidi"/>
        </w:rPr>
        <w:t xml:space="preserve"> </w:t>
      </w:r>
      <w:r>
        <w:rPr>
          <w:rFonts w:asciiTheme="majorBidi" w:hAnsiTheme="majorBidi" w:cstheme="majorBidi"/>
        </w:rPr>
        <w:t xml:space="preserve">pp. </w:t>
      </w:r>
      <w:r w:rsidRPr="003E68FD">
        <w:rPr>
          <w:rFonts w:asciiTheme="majorBidi" w:hAnsiTheme="majorBidi" w:cstheme="majorBidi"/>
        </w:rPr>
        <w:t>152</w:t>
      </w:r>
      <w:r>
        <w:rPr>
          <w:rFonts w:asciiTheme="majorBidi" w:hAnsiTheme="majorBidi" w:cstheme="majorBidi"/>
          <w:lang w:val="en-IN"/>
        </w:rPr>
        <w:t>–</w:t>
      </w:r>
      <w:r w:rsidRPr="003E68FD">
        <w:rPr>
          <w:rFonts w:asciiTheme="majorBidi" w:hAnsiTheme="majorBidi" w:cstheme="majorBidi"/>
        </w:rPr>
        <w:t>183.</w:t>
      </w:r>
    </w:p>
    <w:p w14:paraId="746D68EB" w14:textId="77777777" w:rsidR="00397E6E" w:rsidRDefault="00397E6E" w:rsidP="00127F2C">
      <w:pPr>
        <w:spacing w:line="360" w:lineRule="auto"/>
        <w:ind w:left="720" w:hanging="720"/>
        <w:rPr>
          <w:rFonts w:asciiTheme="majorBidi" w:hAnsiTheme="majorBidi" w:cstheme="majorBidi"/>
        </w:rPr>
      </w:pPr>
      <w:r w:rsidRPr="00366378">
        <w:rPr>
          <w:rFonts w:asciiTheme="majorBidi" w:hAnsiTheme="majorBidi" w:cstheme="majorBidi"/>
        </w:rPr>
        <w:t xml:space="preserve">Mellaart, J. (1967) </w:t>
      </w:r>
      <w:r w:rsidRPr="00366378">
        <w:rPr>
          <w:rFonts w:asciiTheme="majorBidi" w:hAnsiTheme="majorBidi" w:cstheme="majorBidi"/>
          <w:i/>
          <w:iCs/>
        </w:rPr>
        <w:t xml:space="preserve">Catal Huyuk: A Neolithic </w:t>
      </w:r>
      <w:r>
        <w:rPr>
          <w:rFonts w:asciiTheme="majorBidi" w:hAnsiTheme="majorBidi" w:cstheme="majorBidi"/>
          <w:i/>
          <w:iCs/>
        </w:rPr>
        <w:t>t</w:t>
      </w:r>
      <w:r w:rsidRPr="00366378">
        <w:rPr>
          <w:rFonts w:asciiTheme="majorBidi" w:hAnsiTheme="majorBidi" w:cstheme="majorBidi"/>
          <w:i/>
          <w:iCs/>
        </w:rPr>
        <w:t xml:space="preserve">own in Anatolia. </w:t>
      </w:r>
      <w:r w:rsidRPr="00366378">
        <w:rPr>
          <w:rFonts w:asciiTheme="majorBidi" w:hAnsiTheme="majorBidi" w:cstheme="majorBidi"/>
        </w:rPr>
        <w:t>London: Thames and Hudson.</w:t>
      </w:r>
    </w:p>
    <w:p w14:paraId="245EF5D6"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Meskell, L</w:t>
      </w:r>
      <w:r>
        <w:rPr>
          <w:rFonts w:asciiTheme="majorBidi" w:hAnsiTheme="majorBidi" w:cstheme="majorBidi"/>
        </w:rPr>
        <w:t>.</w:t>
      </w:r>
      <w:r w:rsidRPr="00366378">
        <w:rPr>
          <w:rFonts w:asciiTheme="majorBidi" w:hAnsiTheme="majorBidi" w:cstheme="majorBidi"/>
        </w:rPr>
        <w:t xml:space="preserve"> </w:t>
      </w:r>
      <w:r>
        <w:rPr>
          <w:rFonts w:asciiTheme="majorBidi" w:hAnsiTheme="majorBidi" w:cstheme="majorBidi"/>
        </w:rPr>
        <w:t>(</w:t>
      </w:r>
      <w:r w:rsidRPr="00366378">
        <w:rPr>
          <w:rFonts w:asciiTheme="majorBidi" w:hAnsiTheme="majorBidi" w:cstheme="majorBidi"/>
        </w:rPr>
        <w:t>1998</w:t>
      </w:r>
      <w:r>
        <w:rPr>
          <w:rFonts w:asciiTheme="majorBidi" w:hAnsiTheme="majorBidi" w:cstheme="majorBidi"/>
        </w:rPr>
        <w:t>)</w:t>
      </w:r>
      <w:r w:rsidRPr="00366378">
        <w:rPr>
          <w:rFonts w:asciiTheme="majorBidi" w:hAnsiTheme="majorBidi" w:cstheme="majorBidi"/>
        </w:rPr>
        <w:t xml:space="preserve"> </w:t>
      </w:r>
      <w:r>
        <w:rPr>
          <w:rFonts w:asciiTheme="majorBidi" w:hAnsiTheme="majorBidi" w:cstheme="majorBidi"/>
        </w:rPr>
        <w:t>‘</w:t>
      </w:r>
      <w:r w:rsidRPr="00366378">
        <w:rPr>
          <w:rFonts w:asciiTheme="majorBidi" w:hAnsiTheme="majorBidi" w:cstheme="majorBidi"/>
        </w:rPr>
        <w:t xml:space="preserve">Twin peaks: </w:t>
      </w:r>
      <w:r>
        <w:rPr>
          <w:rFonts w:asciiTheme="majorBidi" w:hAnsiTheme="majorBidi" w:cstheme="majorBidi"/>
        </w:rPr>
        <w:t>T</w:t>
      </w:r>
      <w:r w:rsidRPr="00366378">
        <w:rPr>
          <w:rFonts w:asciiTheme="majorBidi" w:hAnsiTheme="majorBidi" w:cstheme="majorBidi"/>
        </w:rPr>
        <w:t>he archaeologies of Çatalhöyük</w:t>
      </w:r>
      <w:r>
        <w:rPr>
          <w:rFonts w:asciiTheme="majorBidi" w:hAnsiTheme="majorBidi" w:cstheme="majorBidi"/>
        </w:rPr>
        <w:t>’</w:t>
      </w:r>
      <w:r w:rsidRPr="00366378">
        <w:rPr>
          <w:rFonts w:asciiTheme="majorBidi" w:hAnsiTheme="majorBidi" w:cstheme="majorBidi"/>
        </w:rPr>
        <w:t>, in</w:t>
      </w:r>
      <w:r w:rsidRPr="0083463D">
        <w:rPr>
          <w:rFonts w:asciiTheme="majorBidi" w:hAnsiTheme="majorBidi" w:cstheme="majorBidi"/>
        </w:rPr>
        <w:t xml:space="preserve"> Goodison</w:t>
      </w:r>
      <w:r>
        <w:rPr>
          <w:rFonts w:asciiTheme="majorBidi" w:hAnsiTheme="majorBidi" w:cstheme="majorBidi"/>
        </w:rPr>
        <w:t>, L.</w:t>
      </w:r>
      <w:r w:rsidRPr="0083463D">
        <w:rPr>
          <w:rFonts w:asciiTheme="majorBidi" w:hAnsiTheme="majorBidi" w:cstheme="majorBidi"/>
        </w:rPr>
        <w:t xml:space="preserve"> and Christine Morris</w:t>
      </w:r>
      <w:r>
        <w:rPr>
          <w:rFonts w:asciiTheme="majorBidi" w:hAnsiTheme="majorBidi" w:cstheme="majorBidi"/>
        </w:rPr>
        <w:t>, C. (eds.)</w:t>
      </w:r>
      <w:r w:rsidRPr="00366378">
        <w:rPr>
          <w:rFonts w:asciiTheme="majorBidi" w:hAnsiTheme="majorBidi" w:cstheme="majorBidi"/>
        </w:rPr>
        <w:t> </w:t>
      </w:r>
      <w:r w:rsidRPr="00366378">
        <w:rPr>
          <w:rFonts w:asciiTheme="majorBidi" w:hAnsiTheme="majorBidi" w:cstheme="majorBidi"/>
          <w:i/>
          <w:iCs/>
        </w:rPr>
        <w:t xml:space="preserve">Ancient goddesses: </w:t>
      </w:r>
      <w:r>
        <w:rPr>
          <w:rFonts w:asciiTheme="majorBidi" w:hAnsiTheme="majorBidi" w:cstheme="majorBidi"/>
          <w:i/>
          <w:iCs/>
        </w:rPr>
        <w:t>T</w:t>
      </w:r>
      <w:r w:rsidRPr="00366378">
        <w:rPr>
          <w:rFonts w:asciiTheme="majorBidi" w:hAnsiTheme="majorBidi" w:cstheme="majorBidi"/>
          <w:i/>
          <w:iCs/>
        </w:rPr>
        <w:t>he myths and the evidence</w:t>
      </w:r>
      <w:r w:rsidRPr="00366378">
        <w:rPr>
          <w:rFonts w:asciiTheme="majorBidi" w:hAnsiTheme="majorBidi" w:cstheme="majorBidi"/>
        </w:rPr>
        <w:t xml:space="preserve">. London: British Museum Press, </w:t>
      </w:r>
      <w:r>
        <w:rPr>
          <w:rFonts w:asciiTheme="majorBidi" w:hAnsiTheme="majorBidi" w:cstheme="majorBidi"/>
        </w:rPr>
        <w:t xml:space="preserve">pp. </w:t>
      </w:r>
      <w:r w:rsidRPr="00366378">
        <w:rPr>
          <w:rFonts w:asciiTheme="majorBidi" w:hAnsiTheme="majorBidi" w:cstheme="majorBidi"/>
        </w:rPr>
        <w:t>46–62.</w:t>
      </w:r>
    </w:p>
    <w:p w14:paraId="6A09CCF6"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 xml:space="preserve">Meskell, L. and Nakamura, C. (2005) </w:t>
      </w:r>
      <w:r w:rsidRPr="00366378">
        <w:rPr>
          <w:rFonts w:asciiTheme="majorBidi" w:hAnsiTheme="majorBidi" w:cstheme="majorBidi"/>
          <w:i/>
          <w:iCs/>
        </w:rPr>
        <w:t>2005 Figurine Report</w:t>
      </w:r>
      <w:r>
        <w:rPr>
          <w:rFonts w:asciiTheme="majorBidi" w:hAnsiTheme="majorBidi" w:cstheme="majorBidi"/>
          <w:i/>
          <w:iCs/>
        </w:rPr>
        <w:t>-</w:t>
      </w:r>
      <w:r w:rsidRPr="00366378">
        <w:rPr>
          <w:rFonts w:asciiTheme="majorBidi" w:hAnsiTheme="majorBidi" w:cstheme="majorBidi"/>
          <w:i/>
          <w:iCs/>
        </w:rPr>
        <w:t>Carolyn Nakamura and Lynn Meskell Figurines</w:t>
      </w:r>
      <w:r w:rsidRPr="00366378">
        <w:rPr>
          <w:rFonts w:asciiTheme="majorBidi" w:hAnsiTheme="majorBidi" w:cstheme="majorBidi"/>
        </w:rPr>
        <w:t>. [online] Available at: https://web.stanford.edu/group/figurines/cgi-bin/omeka/files/original/3a9c872b8b267c6c8340105277f65e58.pdf [Accessed 15 Mar. 2024].</w:t>
      </w:r>
    </w:p>
    <w:p w14:paraId="1508D861"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 xml:space="preserve">Meskell, L. M. (1995) </w:t>
      </w:r>
      <w:r>
        <w:rPr>
          <w:rFonts w:asciiTheme="majorBidi" w:hAnsiTheme="majorBidi" w:cstheme="majorBidi"/>
        </w:rPr>
        <w:t>‘</w:t>
      </w:r>
      <w:r w:rsidRPr="00366378">
        <w:rPr>
          <w:rFonts w:asciiTheme="majorBidi" w:hAnsiTheme="majorBidi" w:cstheme="majorBidi"/>
        </w:rPr>
        <w:t>Goddesses, Gimbutas, and '</w:t>
      </w:r>
      <w:r>
        <w:rPr>
          <w:rFonts w:asciiTheme="majorBidi" w:hAnsiTheme="majorBidi" w:cstheme="majorBidi"/>
        </w:rPr>
        <w:t>n</w:t>
      </w:r>
      <w:r w:rsidRPr="00366378">
        <w:rPr>
          <w:rFonts w:asciiTheme="majorBidi" w:hAnsiTheme="majorBidi" w:cstheme="majorBidi"/>
        </w:rPr>
        <w:t xml:space="preserve">ew </w:t>
      </w:r>
      <w:r>
        <w:rPr>
          <w:rFonts w:asciiTheme="majorBidi" w:hAnsiTheme="majorBidi" w:cstheme="majorBidi"/>
        </w:rPr>
        <w:t>a</w:t>
      </w:r>
      <w:r w:rsidRPr="00366378">
        <w:rPr>
          <w:rFonts w:asciiTheme="majorBidi" w:hAnsiTheme="majorBidi" w:cstheme="majorBidi"/>
        </w:rPr>
        <w:t xml:space="preserve">ge' </w:t>
      </w:r>
      <w:r>
        <w:rPr>
          <w:rFonts w:asciiTheme="majorBidi" w:hAnsiTheme="majorBidi" w:cstheme="majorBidi"/>
        </w:rPr>
        <w:t>a</w:t>
      </w:r>
      <w:r w:rsidRPr="00366378">
        <w:rPr>
          <w:rFonts w:asciiTheme="majorBidi" w:hAnsiTheme="majorBidi" w:cstheme="majorBidi"/>
        </w:rPr>
        <w:t>rchaeology</w:t>
      </w:r>
      <w:r>
        <w:rPr>
          <w:rFonts w:asciiTheme="majorBidi" w:hAnsiTheme="majorBidi" w:cstheme="majorBidi"/>
        </w:rPr>
        <w:t>’,</w:t>
      </w:r>
      <w:r w:rsidRPr="00366378">
        <w:rPr>
          <w:rFonts w:asciiTheme="majorBidi" w:hAnsiTheme="majorBidi" w:cstheme="majorBidi"/>
        </w:rPr>
        <w:t xml:space="preserve"> </w:t>
      </w:r>
      <w:r w:rsidRPr="00366378">
        <w:rPr>
          <w:rFonts w:asciiTheme="majorBidi" w:hAnsiTheme="majorBidi" w:cstheme="majorBidi"/>
          <w:i/>
          <w:iCs/>
        </w:rPr>
        <w:t xml:space="preserve">Antiquity, </w:t>
      </w:r>
      <w:r w:rsidRPr="00F07BF8">
        <w:rPr>
          <w:rFonts w:asciiTheme="majorBidi" w:hAnsiTheme="majorBidi" w:cstheme="majorBidi"/>
        </w:rPr>
        <w:t>69,</w:t>
      </w:r>
      <w:r w:rsidRPr="00366378">
        <w:rPr>
          <w:rFonts w:asciiTheme="majorBidi" w:hAnsiTheme="majorBidi" w:cstheme="majorBidi"/>
          <w:i/>
          <w:iCs/>
        </w:rPr>
        <w:t xml:space="preserve"> </w:t>
      </w:r>
      <w:r>
        <w:rPr>
          <w:rFonts w:asciiTheme="majorBidi" w:hAnsiTheme="majorBidi" w:cstheme="majorBidi"/>
        </w:rPr>
        <w:t xml:space="preserve">pp. </w:t>
      </w:r>
      <w:r w:rsidRPr="00366378">
        <w:rPr>
          <w:rFonts w:asciiTheme="majorBidi" w:hAnsiTheme="majorBidi" w:cstheme="majorBidi"/>
        </w:rPr>
        <w:t>79–86.</w:t>
      </w:r>
    </w:p>
    <w:p w14:paraId="0F61C101"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 xml:space="preserve">Meskell, L. M. </w:t>
      </w:r>
      <w:r>
        <w:rPr>
          <w:rFonts w:asciiTheme="majorBidi" w:hAnsiTheme="majorBidi" w:cstheme="majorBidi"/>
        </w:rPr>
        <w:t>(</w:t>
      </w:r>
      <w:r w:rsidRPr="00366378">
        <w:rPr>
          <w:rFonts w:asciiTheme="majorBidi" w:hAnsiTheme="majorBidi" w:cstheme="majorBidi"/>
        </w:rPr>
        <w:t>2007</w:t>
      </w:r>
      <w:r>
        <w:rPr>
          <w:rFonts w:asciiTheme="majorBidi" w:hAnsiTheme="majorBidi" w:cstheme="majorBidi"/>
        </w:rPr>
        <w:t>)</w:t>
      </w:r>
      <w:r w:rsidRPr="00366378">
        <w:rPr>
          <w:rFonts w:asciiTheme="majorBidi" w:hAnsiTheme="majorBidi" w:cstheme="majorBidi"/>
        </w:rPr>
        <w:t xml:space="preserve"> </w:t>
      </w:r>
      <w:r>
        <w:rPr>
          <w:rFonts w:asciiTheme="majorBidi" w:hAnsiTheme="majorBidi" w:cstheme="majorBidi"/>
        </w:rPr>
        <w:t>‘</w:t>
      </w:r>
      <w:r w:rsidRPr="00366378">
        <w:rPr>
          <w:rFonts w:asciiTheme="majorBidi" w:hAnsiTheme="majorBidi" w:cstheme="majorBidi"/>
        </w:rPr>
        <w:t>Refiguring the corpus at Çatalhöyük</w:t>
      </w:r>
      <w:r>
        <w:rPr>
          <w:rFonts w:asciiTheme="majorBidi" w:hAnsiTheme="majorBidi" w:cstheme="majorBidi"/>
        </w:rPr>
        <w:t>’,</w:t>
      </w:r>
      <w:r w:rsidRPr="00366378">
        <w:rPr>
          <w:rFonts w:asciiTheme="majorBidi" w:hAnsiTheme="majorBidi" w:cstheme="majorBidi"/>
        </w:rPr>
        <w:t xml:space="preserve"> </w:t>
      </w:r>
      <w:r>
        <w:rPr>
          <w:rFonts w:asciiTheme="majorBidi" w:hAnsiTheme="majorBidi" w:cstheme="majorBidi"/>
        </w:rPr>
        <w:t>i</w:t>
      </w:r>
      <w:r w:rsidRPr="00366378">
        <w:rPr>
          <w:rFonts w:asciiTheme="majorBidi" w:hAnsiTheme="majorBidi" w:cstheme="majorBidi"/>
        </w:rPr>
        <w:t>n</w:t>
      </w:r>
      <w:r w:rsidRPr="00E61056">
        <w:rPr>
          <w:rFonts w:asciiTheme="majorBidi" w:hAnsiTheme="majorBidi" w:cstheme="majorBidi"/>
        </w:rPr>
        <w:t xml:space="preserve"> Renfrew</w:t>
      </w:r>
      <w:r>
        <w:rPr>
          <w:rFonts w:asciiTheme="majorBidi" w:hAnsiTheme="majorBidi" w:cstheme="majorBidi"/>
        </w:rPr>
        <w:t>, A. C.</w:t>
      </w:r>
      <w:r w:rsidRPr="00E61056">
        <w:rPr>
          <w:rFonts w:asciiTheme="majorBidi" w:hAnsiTheme="majorBidi" w:cstheme="majorBidi"/>
        </w:rPr>
        <w:t xml:space="preserve"> and Morley</w:t>
      </w:r>
      <w:r>
        <w:rPr>
          <w:rFonts w:asciiTheme="majorBidi" w:hAnsiTheme="majorBidi" w:cstheme="majorBidi"/>
        </w:rPr>
        <w:t>, I. (eds.)</w:t>
      </w:r>
      <w:r w:rsidRPr="00366378">
        <w:rPr>
          <w:rFonts w:asciiTheme="majorBidi" w:hAnsiTheme="majorBidi" w:cstheme="majorBidi"/>
        </w:rPr>
        <w:t xml:space="preserve"> </w:t>
      </w:r>
      <w:r w:rsidRPr="00356575">
        <w:rPr>
          <w:rFonts w:asciiTheme="majorBidi" w:hAnsiTheme="majorBidi" w:cstheme="majorBidi"/>
          <w:i/>
          <w:iCs/>
        </w:rPr>
        <w:t>Material beginnings: A global prehistory of figurative representation.</w:t>
      </w:r>
      <w:r w:rsidRPr="00366378">
        <w:rPr>
          <w:rFonts w:asciiTheme="majorBidi" w:hAnsiTheme="majorBidi" w:cstheme="majorBidi"/>
        </w:rPr>
        <w:t xml:space="preserve"> Cambridge: McDonald Institute Monographs.</w:t>
      </w:r>
    </w:p>
    <w:p w14:paraId="34360CF2"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 xml:space="preserve">Meskell, L. M. (2008) </w:t>
      </w:r>
      <w:r>
        <w:rPr>
          <w:rFonts w:asciiTheme="majorBidi" w:hAnsiTheme="majorBidi" w:cstheme="majorBidi"/>
        </w:rPr>
        <w:t>‘</w:t>
      </w:r>
      <w:r w:rsidRPr="00366378">
        <w:rPr>
          <w:rFonts w:asciiTheme="majorBidi" w:hAnsiTheme="majorBidi" w:cstheme="majorBidi"/>
        </w:rPr>
        <w:t xml:space="preserve">The nature of the beast: </w:t>
      </w:r>
      <w:r>
        <w:rPr>
          <w:rFonts w:asciiTheme="majorBidi" w:hAnsiTheme="majorBidi" w:cstheme="majorBidi"/>
        </w:rPr>
        <w:t>C</w:t>
      </w:r>
      <w:r w:rsidRPr="00366378">
        <w:rPr>
          <w:rFonts w:asciiTheme="majorBidi" w:hAnsiTheme="majorBidi" w:cstheme="majorBidi"/>
        </w:rPr>
        <w:t>urating animals and ancestors at Çatalhöyük</w:t>
      </w:r>
      <w:r>
        <w:rPr>
          <w:rFonts w:asciiTheme="majorBidi" w:hAnsiTheme="majorBidi" w:cstheme="majorBidi"/>
        </w:rPr>
        <w:t>’,</w:t>
      </w:r>
      <w:r w:rsidRPr="00366378">
        <w:rPr>
          <w:rFonts w:asciiTheme="majorBidi" w:hAnsiTheme="majorBidi" w:cstheme="majorBidi"/>
        </w:rPr>
        <w:t xml:space="preserve"> </w:t>
      </w:r>
      <w:r w:rsidRPr="00356575">
        <w:rPr>
          <w:rFonts w:asciiTheme="majorBidi" w:hAnsiTheme="majorBidi" w:cstheme="majorBidi"/>
          <w:i/>
          <w:iCs/>
        </w:rPr>
        <w:t>World Archaeology</w:t>
      </w:r>
      <w:r w:rsidRPr="00366378">
        <w:rPr>
          <w:rFonts w:asciiTheme="majorBidi" w:hAnsiTheme="majorBidi" w:cstheme="majorBidi"/>
        </w:rPr>
        <w:t xml:space="preserve">, 40(3), </w:t>
      </w:r>
      <w:r>
        <w:rPr>
          <w:rFonts w:asciiTheme="majorBidi" w:hAnsiTheme="majorBidi" w:cstheme="majorBidi"/>
        </w:rPr>
        <w:t xml:space="preserve">pp. </w:t>
      </w:r>
      <w:r w:rsidRPr="00366378">
        <w:rPr>
          <w:rFonts w:asciiTheme="majorBidi" w:hAnsiTheme="majorBidi" w:cstheme="majorBidi"/>
        </w:rPr>
        <w:t>373–389.</w:t>
      </w:r>
    </w:p>
    <w:p w14:paraId="189B61A1" w14:textId="77777777" w:rsidR="00397E6E" w:rsidRDefault="00397E6E" w:rsidP="00AE6E4D">
      <w:pPr>
        <w:spacing w:line="360" w:lineRule="auto"/>
        <w:ind w:left="720" w:hanging="720"/>
        <w:rPr>
          <w:rFonts w:asciiTheme="majorBidi" w:hAnsiTheme="majorBidi" w:cstheme="majorBidi"/>
        </w:rPr>
      </w:pPr>
      <w:r>
        <w:rPr>
          <w:rFonts w:asciiTheme="majorBidi" w:hAnsiTheme="majorBidi" w:cstheme="majorBidi"/>
        </w:rPr>
        <w:t xml:space="preserve">Meskell, L., Nakamura, C., King, R. and Farid, S. (2008) ‘Figured lifeworlds and depositional practices at </w:t>
      </w:r>
      <w:r w:rsidRPr="00F67877">
        <w:rPr>
          <w:rFonts w:asciiTheme="majorBidi" w:hAnsiTheme="majorBidi" w:cstheme="majorBidi"/>
        </w:rPr>
        <w:t>Çatalhöyük</w:t>
      </w:r>
      <w:r>
        <w:rPr>
          <w:rFonts w:asciiTheme="majorBidi" w:hAnsiTheme="majorBidi" w:cstheme="majorBidi"/>
        </w:rPr>
        <w:t>’,</w:t>
      </w:r>
      <w:r w:rsidRPr="00F67877">
        <w:rPr>
          <w:rFonts w:asciiTheme="majorBidi" w:hAnsiTheme="majorBidi" w:cstheme="majorBidi"/>
        </w:rPr>
        <w:t> </w:t>
      </w:r>
      <w:r w:rsidRPr="00F67877">
        <w:rPr>
          <w:rFonts w:asciiTheme="majorBidi" w:hAnsiTheme="majorBidi" w:cstheme="majorBidi"/>
          <w:i/>
          <w:iCs/>
        </w:rPr>
        <w:t>Cambridge Archaeological Journal</w:t>
      </w:r>
      <w:r w:rsidRPr="00F67877">
        <w:rPr>
          <w:rFonts w:asciiTheme="majorBidi" w:hAnsiTheme="majorBidi" w:cstheme="majorBidi"/>
        </w:rPr>
        <w:t>,</w:t>
      </w:r>
      <w:r>
        <w:rPr>
          <w:rFonts w:asciiTheme="majorBidi" w:hAnsiTheme="majorBidi" w:cstheme="majorBidi"/>
        </w:rPr>
        <w:t xml:space="preserve"> </w:t>
      </w:r>
      <w:r w:rsidRPr="00F67877">
        <w:rPr>
          <w:rFonts w:asciiTheme="majorBidi" w:hAnsiTheme="majorBidi" w:cstheme="majorBidi"/>
        </w:rPr>
        <w:t>18, pp</w:t>
      </w:r>
      <w:r>
        <w:rPr>
          <w:rFonts w:asciiTheme="majorBidi" w:hAnsiTheme="majorBidi" w:cstheme="majorBidi"/>
        </w:rPr>
        <w:t>.</w:t>
      </w:r>
      <w:r w:rsidRPr="00F67877">
        <w:rPr>
          <w:rFonts w:asciiTheme="majorBidi" w:hAnsiTheme="majorBidi" w:cstheme="majorBidi"/>
        </w:rPr>
        <w:t> 139</w:t>
      </w:r>
      <w:r>
        <w:rPr>
          <w:rFonts w:asciiTheme="majorBidi" w:hAnsiTheme="majorBidi" w:cstheme="majorBidi"/>
        </w:rPr>
        <w:t>–</w:t>
      </w:r>
      <w:r w:rsidRPr="00F67877">
        <w:rPr>
          <w:rFonts w:asciiTheme="majorBidi" w:hAnsiTheme="majorBidi" w:cstheme="majorBidi"/>
        </w:rPr>
        <w:t>161</w:t>
      </w:r>
      <w:r>
        <w:rPr>
          <w:rFonts w:asciiTheme="majorBidi" w:hAnsiTheme="majorBidi" w:cstheme="majorBidi"/>
        </w:rPr>
        <w:t>.</w:t>
      </w:r>
      <w:r w:rsidRPr="00F67877">
        <w:rPr>
          <w:rFonts w:asciiTheme="majorBidi" w:hAnsiTheme="majorBidi" w:cstheme="majorBidi"/>
        </w:rPr>
        <w:t> doi:10.1017/S095977430800022X</w:t>
      </w:r>
    </w:p>
    <w:p w14:paraId="1BFD1C6E"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 xml:space="preserve">Molleson, T., Andrews, P. </w:t>
      </w:r>
      <w:r>
        <w:rPr>
          <w:rFonts w:asciiTheme="majorBidi" w:hAnsiTheme="majorBidi" w:cstheme="majorBidi"/>
        </w:rPr>
        <w:t xml:space="preserve">and </w:t>
      </w:r>
      <w:r w:rsidRPr="00366378">
        <w:rPr>
          <w:rFonts w:asciiTheme="majorBidi" w:hAnsiTheme="majorBidi" w:cstheme="majorBidi"/>
        </w:rPr>
        <w:t xml:space="preserve"> Boz, B. (2005) </w:t>
      </w:r>
      <w:r>
        <w:rPr>
          <w:rFonts w:asciiTheme="majorBidi" w:hAnsiTheme="majorBidi" w:cstheme="majorBidi"/>
        </w:rPr>
        <w:t>‘</w:t>
      </w:r>
      <w:r w:rsidRPr="00366378">
        <w:rPr>
          <w:rFonts w:asciiTheme="majorBidi" w:hAnsiTheme="majorBidi" w:cstheme="majorBidi"/>
        </w:rPr>
        <w:t>Reconstruction of the Neolithic people of Çatalhöyük</w:t>
      </w:r>
      <w:r>
        <w:rPr>
          <w:rFonts w:asciiTheme="majorBidi" w:hAnsiTheme="majorBidi" w:cstheme="majorBidi"/>
        </w:rPr>
        <w:t>’,</w:t>
      </w:r>
      <w:r w:rsidRPr="00366378">
        <w:rPr>
          <w:rFonts w:asciiTheme="majorBidi" w:hAnsiTheme="majorBidi" w:cstheme="majorBidi"/>
        </w:rPr>
        <w:t xml:space="preserve"> </w:t>
      </w:r>
      <w:r>
        <w:rPr>
          <w:rFonts w:asciiTheme="majorBidi" w:hAnsiTheme="majorBidi" w:cstheme="majorBidi"/>
        </w:rPr>
        <w:t>i</w:t>
      </w:r>
      <w:r w:rsidRPr="00366378">
        <w:rPr>
          <w:rFonts w:asciiTheme="majorBidi" w:hAnsiTheme="majorBidi" w:cstheme="majorBidi"/>
        </w:rPr>
        <w:t>n Hodder</w:t>
      </w:r>
      <w:r>
        <w:rPr>
          <w:rFonts w:asciiTheme="majorBidi" w:hAnsiTheme="majorBidi" w:cstheme="majorBidi"/>
        </w:rPr>
        <w:t>,</w:t>
      </w:r>
      <w:r w:rsidRPr="00366378">
        <w:rPr>
          <w:rFonts w:asciiTheme="majorBidi" w:hAnsiTheme="majorBidi" w:cstheme="majorBidi"/>
        </w:rPr>
        <w:t xml:space="preserve"> </w:t>
      </w:r>
      <w:r>
        <w:rPr>
          <w:rFonts w:asciiTheme="majorBidi" w:hAnsiTheme="majorBidi" w:cstheme="majorBidi"/>
        </w:rPr>
        <w:t xml:space="preserve">I. </w:t>
      </w:r>
      <w:r w:rsidRPr="00366378">
        <w:rPr>
          <w:rFonts w:asciiTheme="majorBidi" w:hAnsiTheme="majorBidi" w:cstheme="majorBidi"/>
        </w:rPr>
        <w:t>(</w:t>
      </w:r>
      <w:r>
        <w:rPr>
          <w:rFonts w:asciiTheme="majorBidi" w:hAnsiTheme="majorBidi" w:cstheme="majorBidi"/>
        </w:rPr>
        <w:t>e</w:t>
      </w:r>
      <w:r w:rsidRPr="00366378">
        <w:rPr>
          <w:rFonts w:asciiTheme="majorBidi" w:hAnsiTheme="majorBidi" w:cstheme="majorBidi"/>
        </w:rPr>
        <w:t xml:space="preserve">d.) </w:t>
      </w:r>
      <w:r w:rsidRPr="00F51469">
        <w:rPr>
          <w:rFonts w:asciiTheme="majorBidi" w:hAnsiTheme="majorBidi" w:cstheme="majorBidi"/>
          <w:i/>
          <w:iCs/>
        </w:rPr>
        <w:t>Inhabiting Çatalhöyük: reports from the 1995–1999 seasons</w:t>
      </w:r>
      <w:r w:rsidRPr="00366378">
        <w:rPr>
          <w:rFonts w:asciiTheme="majorBidi" w:hAnsiTheme="majorBidi" w:cstheme="majorBidi"/>
        </w:rPr>
        <w:t>. Cambridge: McDonald Institute for Archaeological Research.</w:t>
      </w:r>
    </w:p>
    <w:p w14:paraId="5838719D"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 xml:space="preserve">Nakamura, C. </w:t>
      </w:r>
      <w:r>
        <w:rPr>
          <w:rFonts w:asciiTheme="majorBidi" w:hAnsiTheme="majorBidi" w:cstheme="majorBidi"/>
        </w:rPr>
        <w:t>and</w:t>
      </w:r>
      <w:r w:rsidRPr="00366378">
        <w:rPr>
          <w:rFonts w:asciiTheme="majorBidi" w:hAnsiTheme="majorBidi" w:cstheme="majorBidi"/>
        </w:rPr>
        <w:t xml:space="preserve"> Meskell, L. (2009) </w:t>
      </w:r>
      <w:r>
        <w:rPr>
          <w:rFonts w:asciiTheme="majorBidi" w:hAnsiTheme="majorBidi" w:cstheme="majorBidi"/>
        </w:rPr>
        <w:t>‘</w:t>
      </w:r>
      <w:r w:rsidRPr="00366378">
        <w:rPr>
          <w:rFonts w:asciiTheme="majorBidi" w:hAnsiTheme="majorBidi" w:cstheme="majorBidi"/>
        </w:rPr>
        <w:t xml:space="preserve">Articulate </w:t>
      </w:r>
      <w:r>
        <w:rPr>
          <w:rFonts w:asciiTheme="majorBidi" w:hAnsiTheme="majorBidi" w:cstheme="majorBidi"/>
        </w:rPr>
        <w:t>b</w:t>
      </w:r>
      <w:r w:rsidRPr="00366378">
        <w:rPr>
          <w:rFonts w:asciiTheme="majorBidi" w:hAnsiTheme="majorBidi" w:cstheme="majorBidi"/>
        </w:rPr>
        <w:t xml:space="preserve">odies: Forms and </w:t>
      </w:r>
      <w:r>
        <w:rPr>
          <w:rFonts w:asciiTheme="majorBidi" w:hAnsiTheme="majorBidi" w:cstheme="majorBidi"/>
        </w:rPr>
        <w:t>f</w:t>
      </w:r>
      <w:r w:rsidRPr="00366378">
        <w:rPr>
          <w:rFonts w:asciiTheme="majorBidi" w:hAnsiTheme="majorBidi" w:cstheme="majorBidi"/>
        </w:rPr>
        <w:t>igures at Çatalhöyük</w:t>
      </w:r>
      <w:r>
        <w:rPr>
          <w:rFonts w:asciiTheme="majorBidi" w:hAnsiTheme="majorBidi" w:cstheme="majorBidi"/>
        </w:rPr>
        <w:t>’,</w:t>
      </w:r>
      <w:r w:rsidRPr="00366378">
        <w:rPr>
          <w:rFonts w:asciiTheme="majorBidi" w:hAnsiTheme="majorBidi" w:cstheme="majorBidi"/>
        </w:rPr>
        <w:t xml:space="preserve"> </w:t>
      </w:r>
      <w:r w:rsidRPr="00366378">
        <w:rPr>
          <w:rFonts w:asciiTheme="majorBidi" w:hAnsiTheme="majorBidi" w:cstheme="majorBidi"/>
          <w:i/>
          <w:iCs/>
        </w:rPr>
        <w:t xml:space="preserve">Journal of Archaeological Method and Theory, </w:t>
      </w:r>
      <w:r w:rsidRPr="00F15F82">
        <w:rPr>
          <w:rFonts w:asciiTheme="majorBidi" w:hAnsiTheme="majorBidi" w:cstheme="majorBidi"/>
        </w:rPr>
        <w:t>16,</w:t>
      </w:r>
      <w:r w:rsidRPr="00366378">
        <w:rPr>
          <w:rFonts w:asciiTheme="majorBidi" w:hAnsiTheme="majorBidi" w:cstheme="majorBidi"/>
          <w:i/>
          <w:iCs/>
        </w:rPr>
        <w:t xml:space="preserve"> </w:t>
      </w:r>
      <w:r w:rsidRPr="00B32219">
        <w:rPr>
          <w:rFonts w:asciiTheme="majorBidi" w:hAnsiTheme="majorBidi" w:cstheme="majorBidi"/>
        </w:rPr>
        <w:t>pp. 205</w:t>
      </w:r>
      <w:r>
        <w:rPr>
          <w:rFonts w:asciiTheme="majorBidi" w:hAnsiTheme="majorBidi" w:cstheme="majorBidi"/>
          <w:lang w:val="en-IN"/>
        </w:rPr>
        <w:t>–</w:t>
      </w:r>
      <w:r w:rsidRPr="00366378">
        <w:rPr>
          <w:rFonts w:asciiTheme="majorBidi" w:hAnsiTheme="majorBidi" w:cstheme="majorBidi"/>
        </w:rPr>
        <w:t>230.</w:t>
      </w:r>
    </w:p>
    <w:p w14:paraId="086B8315"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Shults, L.</w:t>
      </w:r>
      <w:r>
        <w:rPr>
          <w:rFonts w:asciiTheme="majorBidi" w:hAnsiTheme="majorBidi" w:cstheme="majorBidi"/>
        </w:rPr>
        <w:t xml:space="preserve"> </w:t>
      </w:r>
      <w:r w:rsidRPr="00366378">
        <w:rPr>
          <w:rFonts w:asciiTheme="majorBidi" w:hAnsiTheme="majorBidi" w:cstheme="majorBidi"/>
        </w:rPr>
        <w:t xml:space="preserve">R. (2010) ‘Spiritual entanglement: Transforming religious symbols at Çatalhöyük’ in Hodder, I. (ed.) </w:t>
      </w:r>
      <w:r w:rsidRPr="00366378">
        <w:rPr>
          <w:rFonts w:asciiTheme="majorBidi" w:hAnsiTheme="majorBidi" w:cstheme="majorBidi"/>
          <w:i/>
          <w:iCs/>
        </w:rPr>
        <w:t>Religion in the emergence of civilization: Çatalhöyük as a case study.</w:t>
      </w:r>
      <w:r w:rsidRPr="00366378">
        <w:rPr>
          <w:rFonts w:asciiTheme="majorBidi" w:hAnsiTheme="majorBidi" w:cstheme="majorBidi"/>
        </w:rPr>
        <w:t xml:space="preserve"> Cambridge: Cambridge University Press, pp. 73</w:t>
      </w:r>
      <w:r>
        <w:rPr>
          <w:rFonts w:asciiTheme="majorBidi" w:hAnsiTheme="majorBidi" w:cstheme="majorBidi"/>
          <w:lang w:val="en-IN"/>
        </w:rPr>
        <w:t>–</w:t>
      </w:r>
      <w:r w:rsidRPr="00366378">
        <w:rPr>
          <w:rFonts w:asciiTheme="majorBidi" w:hAnsiTheme="majorBidi" w:cstheme="majorBidi"/>
        </w:rPr>
        <w:t xml:space="preserve">98. Available at: </w:t>
      </w:r>
      <w:hyperlink r:id="rId12" w:history="1">
        <w:r w:rsidRPr="00366378">
          <w:rPr>
            <w:rStyle w:val="Hyperlink"/>
            <w:rFonts w:asciiTheme="majorBidi" w:hAnsiTheme="majorBidi" w:cstheme="majorBidi"/>
          </w:rPr>
          <w:t>https://doi.org/10.1017/CBO9780511761416.003</w:t>
        </w:r>
      </w:hyperlink>
      <w:r w:rsidRPr="00366378">
        <w:rPr>
          <w:rFonts w:asciiTheme="majorBidi" w:hAnsiTheme="majorBidi" w:cstheme="majorBidi"/>
        </w:rPr>
        <w:t>.</w:t>
      </w:r>
    </w:p>
    <w:p w14:paraId="1F907773"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 xml:space="preserve">Talalay, L. </w:t>
      </w:r>
      <w:r>
        <w:rPr>
          <w:rFonts w:asciiTheme="majorBidi" w:hAnsiTheme="majorBidi" w:cstheme="majorBidi"/>
        </w:rPr>
        <w:t>(</w:t>
      </w:r>
      <w:r w:rsidRPr="00366378">
        <w:rPr>
          <w:rFonts w:asciiTheme="majorBidi" w:hAnsiTheme="majorBidi" w:cstheme="majorBidi"/>
        </w:rPr>
        <w:t>2004</w:t>
      </w:r>
      <w:r>
        <w:rPr>
          <w:rFonts w:asciiTheme="majorBidi" w:hAnsiTheme="majorBidi" w:cstheme="majorBidi"/>
        </w:rPr>
        <w:t>)</w:t>
      </w:r>
      <w:r w:rsidRPr="00366378">
        <w:rPr>
          <w:rFonts w:asciiTheme="majorBidi" w:hAnsiTheme="majorBidi" w:cstheme="majorBidi"/>
        </w:rPr>
        <w:t xml:space="preserve"> </w:t>
      </w:r>
      <w:r>
        <w:rPr>
          <w:rFonts w:asciiTheme="majorBidi" w:hAnsiTheme="majorBidi" w:cstheme="majorBidi"/>
        </w:rPr>
        <w:t>‘</w:t>
      </w:r>
      <w:r w:rsidRPr="00366378">
        <w:rPr>
          <w:rFonts w:asciiTheme="majorBidi" w:hAnsiTheme="majorBidi" w:cstheme="majorBidi"/>
        </w:rPr>
        <w:t xml:space="preserve">Heady business: </w:t>
      </w:r>
      <w:r>
        <w:rPr>
          <w:rFonts w:asciiTheme="majorBidi" w:hAnsiTheme="majorBidi" w:cstheme="majorBidi"/>
        </w:rPr>
        <w:t>S</w:t>
      </w:r>
      <w:r w:rsidRPr="00366378">
        <w:rPr>
          <w:rFonts w:asciiTheme="majorBidi" w:hAnsiTheme="majorBidi" w:cstheme="majorBidi"/>
        </w:rPr>
        <w:t xml:space="preserve">kulls, heads and decapitation in Neolithic Anatolia and Greece. </w:t>
      </w:r>
      <w:r w:rsidRPr="00F764BE">
        <w:rPr>
          <w:rFonts w:asciiTheme="majorBidi" w:hAnsiTheme="majorBidi" w:cstheme="majorBidi"/>
          <w:i/>
          <w:iCs/>
        </w:rPr>
        <w:t>Journal of Mediterranean Archaeology</w:t>
      </w:r>
      <w:r w:rsidRPr="00366378">
        <w:rPr>
          <w:rFonts w:asciiTheme="majorBidi" w:hAnsiTheme="majorBidi" w:cstheme="majorBidi"/>
        </w:rPr>
        <w:t>, 17</w:t>
      </w:r>
      <w:r>
        <w:rPr>
          <w:rFonts w:asciiTheme="majorBidi" w:hAnsiTheme="majorBidi" w:cstheme="majorBidi"/>
        </w:rPr>
        <w:t xml:space="preserve">, pp. </w:t>
      </w:r>
      <w:r w:rsidRPr="00366378">
        <w:rPr>
          <w:rFonts w:asciiTheme="majorBidi" w:hAnsiTheme="majorBidi" w:cstheme="majorBidi"/>
        </w:rPr>
        <w:t>139–63.</w:t>
      </w:r>
    </w:p>
    <w:p w14:paraId="044340CF"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lastRenderedPageBreak/>
        <w:t xml:space="preserve">Tringham, R. </w:t>
      </w:r>
      <w:r>
        <w:rPr>
          <w:rFonts w:asciiTheme="majorBidi" w:hAnsiTheme="majorBidi" w:cstheme="majorBidi"/>
        </w:rPr>
        <w:t>and</w:t>
      </w:r>
      <w:r w:rsidRPr="00366378">
        <w:rPr>
          <w:rFonts w:asciiTheme="majorBidi" w:hAnsiTheme="majorBidi" w:cstheme="majorBidi"/>
        </w:rPr>
        <w:t xml:space="preserve"> Conkey, M. (1998) </w:t>
      </w:r>
      <w:r>
        <w:rPr>
          <w:rFonts w:asciiTheme="majorBidi" w:hAnsiTheme="majorBidi" w:cstheme="majorBidi"/>
        </w:rPr>
        <w:t>‘</w:t>
      </w:r>
      <w:r w:rsidRPr="00366378">
        <w:rPr>
          <w:rFonts w:asciiTheme="majorBidi" w:hAnsiTheme="majorBidi" w:cstheme="majorBidi"/>
        </w:rPr>
        <w:t xml:space="preserve">Rethinking </w:t>
      </w:r>
      <w:r>
        <w:rPr>
          <w:rFonts w:asciiTheme="majorBidi" w:hAnsiTheme="majorBidi" w:cstheme="majorBidi"/>
        </w:rPr>
        <w:t>f</w:t>
      </w:r>
      <w:r w:rsidRPr="00366378">
        <w:rPr>
          <w:rFonts w:asciiTheme="majorBidi" w:hAnsiTheme="majorBidi" w:cstheme="majorBidi"/>
        </w:rPr>
        <w:t xml:space="preserve">igurines: A </w:t>
      </w:r>
      <w:r>
        <w:rPr>
          <w:rFonts w:asciiTheme="majorBidi" w:hAnsiTheme="majorBidi" w:cstheme="majorBidi"/>
        </w:rPr>
        <w:t>c</w:t>
      </w:r>
      <w:r w:rsidRPr="00366378">
        <w:rPr>
          <w:rFonts w:asciiTheme="majorBidi" w:hAnsiTheme="majorBidi" w:cstheme="majorBidi"/>
        </w:rPr>
        <w:t xml:space="preserve">ritical </w:t>
      </w:r>
      <w:r>
        <w:rPr>
          <w:rFonts w:asciiTheme="majorBidi" w:hAnsiTheme="majorBidi" w:cstheme="majorBidi"/>
        </w:rPr>
        <w:t>v</w:t>
      </w:r>
      <w:r w:rsidRPr="00366378">
        <w:rPr>
          <w:rFonts w:asciiTheme="majorBidi" w:hAnsiTheme="majorBidi" w:cstheme="majorBidi"/>
        </w:rPr>
        <w:t xml:space="preserve">iew from </w:t>
      </w:r>
      <w:r>
        <w:rPr>
          <w:rFonts w:asciiTheme="majorBidi" w:hAnsiTheme="majorBidi" w:cstheme="majorBidi"/>
        </w:rPr>
        <w:t>a</w:t>
      </w:r>
      <w:r w:rsidRPr="00366378">
        <w:rPr>
          <w:rFonts w:asciiTheme="majorBidi" w:hAnsiTheme="majorBidi" w:cstheme="majorBidi"/>
        </w:rPr>
        <w:t xml:space="preserve">rchaeology of Gimbutas, the 'Goddess' and </w:t>
      </w:r>
      <w:r>
        <w:rPr>
          <w:rFonts w:asciiTheme="majorBidi" w:hAnsiTheme="majorBidi" w:cstheme="majorBidi"/>
        </w:rPr>
        <w:t>p</w:t>
      </w:r>
      <w:r w:rsidRPr="00366378">
        <w:rPr>
          <w:rFonts w:asciiTheme="majorBidi" w:hAnsiTheme="majorBidi" w:cstheme="majorBidi"/>
        </w:rPr>
        <w:t xml:space="preserve">opular </w:t>
      </w:r>
      <w:r>
        <w:rPr>
          <w:rFonts w:asciiTheme="majorBidi" w:hAnsiTheme="majorBidi" w:cstheme="majorBidi"/>
        </w:rPr>
        <w:t>c</w:t>
      </w:r>
      <w:r w:rsidRPr="00366378">
        <w:rPr>
          <w:rFonts w:asciiTheme="majorBidi" w:hAnsiTheme="majorBidi" w:cstheme="majorBidi"/>
        </w:rPr>
        <w:t>ulture</w:t>
      </w:r>
      <w:r>
        <w:rPr>
          <w:rFonts w:asciiTheme="majorBidi" w:hAnsiTheme="majorBidi" w:cstheme="majorBidi"/>
        </w:rPr>
        <w:t>’,</w:t>
      </w:r>
      <w:r w:rsidRPr="00366378">
        <w:rPr>
          <w:rFonts w:asciiTheme="majorBidi" w:hAnsiTheme="majorBidi" w:cstheme="majorBidi"/>
        </w:rPr>
        <w:t xml:space="preserve"> </w:t>
      </w:r>
      <w:r>
        <w:rPr>
          <w:rFonts w:asciiTheme="majorBidi" w:hAnsiTheme="majorBidi" w:cstheme="majorBidi"/>
        </w:rPr>
        <w:t>i</w:t>
      </w:r>
      <w:r w:rsidRPr="00366378">
        <w:rPr>
          <w:rFonts w:asciiTheme="majorBidi" w:hAnsiTheme="majorBidi" w:cstheme="majorBidi"/>
        </w:rPr>
        <w:t xml:space="preserve">n L. Goodison </w:t>
      </w:r>
      <w:r>
        <w:rPr>
          <w:rFonts w:asciiTheme="majorBidi" w:hAnsiTheme="majorBidi" w:cstheme="majorBidi"/>
        </w:rPr>
        <w:t>and</w:t>
      </w:r>
      <w:r w:rsidRPr="00366378">
        <w:rPr>
          <w:rFonts w:asciiTheme="majorBidi" w:hAnsiTheme="majorBidi" w:cstheme="majorBidi"/>
        </w:rPr>
        <w:t xml:space="preserve"> C. Morris (</w:t>
      </w:r>
      <w:r>
        <w:rPr>
          <w:rFonts w:asciiTheme="majorBidi" w:hAnsiTheme="majorBidi" w:cstheme="majorBidi"/>
        </w:rPr>
        <w:t>e</w:t>
      </w:r>
      <w:r w:rsidRPr="00366378">
        <w:rPr>
          <w:rFonts w:asciiTheme="majorBidi" w:hAnsiTheme="majorBidi" w:cstheme="majorBidi"/>
        </w:rPr>
        <w:t xml:space="preserve">ds.) </w:t>
      </w:r>
      <w:r w:rsidRPr="003103C4">
        <w:rPr>
          <w:rFonts w:asciiTheme="majorBidi" w:hAnsiTheme="majorBidi" w:cstheme="majorBidi"/>
          <w:i/>
          <w:iCs/>
        </w:rPr>
        <w:t>Ancient Goddesses: The Myths and the Evidence</w:t>
      </w:r>
      <w:r>
        <w:rPr>
          <w:rFonts w:asciiTheme="majorBidi" w:hAnsiTheme="majorBidi" w:cstheme="majorBidi"/>
        </w:rPr>
        <w:t xml:space="preserve">. </w:t>
      </w:r>
      <w:r w:rsidRPr="00366378">
        <w:rPr>
          <w:rFonts w:asciiTheme="majorBidi" w:hAnsiTheme="majorBidi" w:cstheme="majorBidi"/>
        </w:rPr>
        <w:t>London: British Museum Press</w:t>
      </w:r>
      <w:r>
        <w:rPr>
          <w:rFonts w:asciiTheme="majorBidi" w:hAnsiTheme="majorBidi" w:cstheme="majorBidi"/>
        </w:rPr>
        <w:t>, pp. 22</w:t>
      </w:r>
      <w:r>
        <w:rPr>
          <w:rFonts w:asciiTheme="majorBidi" w:hAnsiTheme="majorBidi" w:cstheme="majorBidi"/>
          <w:lang w:val="en-IN"/>
        </w:rPr>
        <w:t>–45.</w:t>
      </w:r>
    </w:p>
    <w:p w14:paraId="231A0A5C" w14:textId="77777777" w:rsidR="00397E6E" w:rsidRPr="00366378" w:rsidRDefault="00397E6E" w:rsidP="00FD5DAE">
      <w:pPr>
        <w:spacing w:line="360" w:lineRule="auto"/>
        <w:ind w:left="720" w:hanging="720"/>
        <w:rPr>
          <w:rFonts w:asciiTheme="majorBidi" w:hAnsiTheme="majorBidi" w:cstheme="majorBidi"/>
        </w:rPr>
      </w:pPr>
      <w:r w:rsidRPr="00366378">
        <w:rPr>
          <w:rFonts w:asciiTheme="majorBidi" w:hAnsiTheme="majorBidi" w:cstheme="majorBidi"/>
        </w:rPr>
        <w:t xml:space="preserve">Ucko, P. J. (1968) </w:t>
      </w:r>
      <w:r w:rsidRPr="00366378">
        <w:rPr>
          <w:rFonts w:asciiTheme="majorBidi" w:hAnsiTheme="majorBidi" w:cstheme="majorBidi"/>
          <w:i/>
          <w:iCs/>
        </w:rPr>
        <w:t xml:space="preserve">Anthropomorphic </w:t>
      </w:r>
      <w:r>
        <w:rPr>
          <w:rFonts w:asciiTheme="majorBidi" w:hAnsiTheme="majorBidi" w:cstheme="majorBidi"/>
          <w:i/>
          <w:iCs/>
        </w:rPr>
        <w:t>f</w:t>
      </w:r>
      <w:r w:rsidRPr="00366378">
        <w:rPr>
          <w:rFonts w:asciiTheme="majorBidi" w:hAnsiTheme="majorBidi" w:cstheme="majorBidi"/>
          <w:i/>
          <w:iCs/>
        </w:rPr>
        <w:t xml:space="preserve">igurines of </w:t>
      </w:r>
      <w:r>
        <w:rPr>
          <w:rFonts w:asciiTheme="majorBidi" w:hAnsiTheme="majorBidi" w:cstheme="majorBidi"/>
          <w:i/>
          <w:iCs/>
        </w:rPr>
        <w:t>p</w:t>
      </w:r>
      <w:r w:rsidRPr="00366378">
        <w:rPr>
          <w:rFonts w:asciiTheme="majorBidi" w:hAnsiTheme="majorBidi" w:cstheme="majorBidi"/>
          <w:i/>
          <w:iCs/>
        </w:rPr>
        <w:t xml:space="preserve">redynastic Egypt and Neolithic Crete with </w:t>
      </w:r>
      <w:r>
        <w:rPr>
          <w:rFonts w:asciiTheme="majorBidi" w:hAnsiTheme="majorBidi" w:cstheme="majorBidi"/>
          <w:i/>
          <w:iCs/>
        </w:rPr>
        <w:t>c</w:t>
      </w:r>
      <w:r w:rsidRPr="00366378">
        <w:rPr>
          <w:rFonts w:asciiTheme="majorBidi" w:hAnsiTheme="majorBidi" w:cstheme="majorBidi"/>
          <w:i/>
          <w:iCs/>
        </w:rPr>
        <w:t xml:space="preserve">omparative </w:t>
      </w:r>
      <w:r>
        <w:rPr>
          <w:rFonts w:asciiTheme="majorBidi" w:hAnsiTheme="majorBidi" w:cstheme="majorBidi"/>
          <w:i/>
          <w:iCs/>
        </w:rPr>
        <w:t>m</w:t>
      </w:r>
      <w:r w:rsidRPr="00366378">
        <w:rPr>
          <w:rFonts w:asciiTheme="majorBidi" w:hAnsiTheme="majorBidi" w:cstheme="majorBidi"/>
          <w:i/>
          <w:iCs/>
        </w:rPr>
        <w:t xml:space="preserve">aterial from the Prehistoric Near East and Mainland Greece. </w:t>
      </w:r>
      <w:r w:rsidRPr="00366378">
        <w:rPr>
          <w:rFonts w:asciiTheme="majorBidi" w:hAnsiTheme="majorBidi" w:cstheme="majorBidi"/>
        </w:rPr>
        <w:t>London: A. Szmidla.</w:t>
      </w:r>
    </w:p>
    <w:p w14:paraId="390C3800" w14:textId="77777777" w:rsidR="00397E6E" w:rsidRPr="00366378" w:rsidRDefault="00397E6E" w:rsidP="00FD5DAE">
      <w:pPr>
        <w:spacing w:line="360" w:lineRule="auto"/>
        <w:ind w:left="720" w:hanging="720"/>
        <w:rPr>
          <w:rFonts w:asciiTheme="majorBidi" w:hAnsiTheme="majorBidi" w:cstheme="majorBidi"/>
          <w:lang w:val="en-IN"/>
        </w:rPr>
      </w:pPr>
      <w:r w:rsidRPr="00366378">
        <w:rPr>
          <w:rFonts w:asciiTheme="majorBidi" w:hAnsiTheme="majorBidi" w:cstheme="majorBidi"/>
        </w:rPr>
        <w:t>Voigt, M.</w:t>
      </w:r>
      <w:r>
        <w:rPr>
          <w:rFonts w:asciiTheme="majorBidi" w:hAnsiTheme="majorBidi" w:cstheme="majorBidi"/>
        </w:rPr>
        <w:t xml:space="preserve"> </w:t>
      </w:r>
      <w:r w:rsidRPr="00366378">
        <w:rPr>
          <w:rFonts w:asciiTheme="majorBidi" w:hAnsiTheme="majorBidi" w:cstheme="majorBidi"/>
        </w:rPr>
        <w:t xml:space="preserve">M. (2002) </w:t>
      </w:r>
      <w:r>
        <w:rPr>
          <w:rFonts w:asciiTheme="majorBidi" w:hAnsiTheme="majorBidi" w:cstheme="majorBidi"/>
        </w:rPr>
        <w:t>‘</w:t>
      </w:r>
      <w:r w:rsidRPr="00366378">
        <w:rPr>
          <w:rFonts w:asciiTheme="majorBidi" w:hAnsiTheme="majorBidi" w:cstheme="majorBidi"/>
        </w:rPr>
        <w:t xml:space="preserve">Çatal Höyük in </w:t>
      </w:r>
      <w:r>
        <w:rPr>
          <w:rFonts w:asciiTheme="majorBidi" w:hAnsiTheme="majorBidi" w:cstheme="majorBidi"/>
        </w:rPr>
        <w:t>c</w:t>
      </w:r>
      <w:r w:rsidRPr="00366378">
        <w:rPr>
          <w:rFonts w:asciiTheme="majorBidi" w:hAnsiTheme="majorBidi" w:cstheme="majorBidi"/>
        </w:rPr>
        <w:t>ontext</w:t>
      </w:r>
      <w:r>
        <w:rPr>
          <w:rFonts w:asciiTheme="majorBidi" w:hAnsiTheme="majorBidi" w:cstheme="majorBidi"/>
        </w:rPr>
        <w:t>’,</w:t>
      </w:r>
      <w:r w:rsidRPr="00366378">
        <w:rPr>
          <w:rFonts w:asciiTheme="majorBidi" w:hAnsiTheme="majorBidi" w:cstheme="majorBidi"/>
        </w:rPr>
        <w:t xml:space="preserve"> </w:t>
      </w:r>
      <w:r>
        <w:rPr>
          <w:rFonts w:asciiTheme="majorBidi" w:hAnsiTheme="majorBidi" w:cstheme="majorBidi"/>
        </w:rPr>
        <w:t>i</w:t>
      </w:r>
      <w:r w:rsidRPr="00366378">
        <w:rPr>
          <w:rFonts w:asciiTheme="majorBidi" w:hAnsiTheme="majorBidi" w:cstheme="majorBidi"/>
        </w:rPr>
        <w:t>n Kuijt, I. (ed</w:t>
      </w:r>
      <w:r>
        <w:rPr>
          <w:rFonts w:asciiTheme="majorBidi" w:hAnsiTheme="majorBidi" w:cstheme="majorBidi"/>
        </w:rPr>
        <w:t>.</w:t>
      </w:r>
      <w:r w:rsidRPr="00366378">
        <w:rPr>
          <w:rFonts w:asciiTheme="majorBidi" w:hAnsiTheme="majorBidi" w:cstheme="majorBidi"/>
        </w:rPr>
        <w:t xml:space="preserve">) </w:t>
      </w:r>
      <w:r w:rsidRPr="00DB5105">
        <w:rPr>
          <w:rFonts w:asciiTheme="majorBidi" w:hAnsiTheme="majorBidi" w:cstheme="majorBidi"/>
          <w:i/>
          <w:iCs/>
        </w:rPr>
        <w:t xml:space="preserve">Life in Neolithic </w:t>
      </w:r>
      <w:r>
        <w:rPr>
          <w:rFonts w:asciiTheme="majorBidi" w:hAnsiTheme="majorBidi" w:cstheme="majorBidi"/>
          <w:i/>
          <w:iCs/>
        </w:rPr>
        <w:t>f</w:t>
      </w:r>
      <w:r w:rsidRPr="00DB5105">
        <w:rPr>
          <w:rFonts w:asciiTheme="majorBidi" w:hAnsiTheme="majorBidi" w:cstheme="majorBidi"/>
          <w:i/>
          <w:iCs/>
        </w:rPr>
        <w:t xml:space="preserve">arming </w:t>
      </w:r>
      <w:r>
        <w:rPr>
          <w:rFonts w:asciiTheme="majorBidi" w:hAnsiTheme="majorBidi" w:cstheme="majorBidi"/>
          <w:i/>
          <w:iCs/>
        </w:rPr>
        <w:t>c</w:t>
      </w:r>
      <w:r w:rsidRPr="00DB5105">
        <w:rPr>
          <w:rFonts w:asciiTheme="majorBidi" w:hAnsiTheme="majorBidi" w:cstheme="majorBidi"/>
          <w:i/>
          <w:iCs/>
        </w:rPr>
        <w:t>ommunities</w:t>
      </w:r>
      <w:r w:rsidRPr="00366378">
        <w:rPr>
          <w:rFonts w:asciiTheme="majorBidi" w:hAnsiTheme="majorBidi" w:cstheme="majorBidi"/>
        </w:rPr>
        <w:t xml:space="preserve">. Fundamental </w:t>
      </w:r>
      <w:r>
        <w:rPr>
          <w:rFonts w:asciiTheme="majorBidi" w:hAnsiTheme="majorBidi" w:cstheme="majorBidi"/>
        </w:rPr>
        <w:t>i</w:t>
      </w:r>
      <w:r w:rsidRPr="00366378">
        <w:rPr>
          <w:rFonts w:asciiTheme="majorBidi" w:hAnsiTheme="majorBidi" w:cstheme="majorBidi"/>
        </w:rPr>
        <w:t xml:space="preserve">ssues in Archaeology. Springer, Boston, MA. </w:t>
      </w:r>
      <w:r>
        <w:rPr>
          <w:rFonts w:asciiTheme="majorBidi" w:hAnsiTheme="majorBidi" w:cstheme="majorBidi"/>
        </w:rPr>
        <w:t xml:space="preserve">Available at: </w:t>
      </w:r>
      <w:r w:rsidRPr="00366378">
        <w:rPr>
          <w:rFonts w:asciiTheme="majorBidi" w:hAnsiTheme="majorBidi" w:cstheme="majorBidi"/>
        </w:rPr>
        <w:t>https://doi.org/10.1007/0-306-47166-3_11</w:t>
      </w:r>
    </w:p>
    <w:p w14:paraId="1833562F" w14:textId="77777777" w:rsidR="005B31C2" w:rsidRPr="00AB2652" w:rsidRDefault="005B31C2" w:rsidP="00AB2652">
      <w:pPr>
        <w:spacing w:line="360" w:lineRule="auto"/>
        <w:jc w:val="lowKashida"/>
        <w:rPr>
          <w:rFonts w:asciiTheme="majorBidi" w:hAnsiTheme="majorBidi" w:cstheme="majorBidi"/>
        </w:rPr>
      </w:pPr>
    </w:p>
    <w:sectPr w:rsidR="005B31C2" w:rsidRPr="00AB2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U2MrG0NDcxNzU1tDRS0lEKTi0uzszPAykwrwUAgjonYSwAAAA="/>
  </w:docVars>
  <w:rsids>
    <w:rsidRoot w:val="00B00599"/>
    <w:rsid w:val="000232E2"/>
    <w:rsid w:val="000243A9"/>
    <w:rsid w:val="0003351A"/>
    <w:rsid w:val="0005013E"/>
    <w:rsid w:val="000514DA"/>
    <w:rsid w:val="00056D5E"/>
    <w:rsid w:val="00057DB6"/>
    <w:rsid w:val="00060E42"/>
    <w:rsid w:val="000678FE"/>
    <w:rsid w:val="00091388"/>
    <w:rsid w:val="000A2CEC"/>
    <w:rsid w:val="000B4CE2"/>
    <w:rsid w:val="000E2BAF"/>
    <w:rsid w:val="000F08CA"/>
    <w:rsid w:val="000F1392"/>
    <w:rsid w:val="00101344"/>
    <w:rsid w:val="00126BAC"/>
    <w:rsid w:val="00127F2C"/>
    <w:rsid w:val="00142F21"/>
    <w:rsid w:val="0015568D"/>
    <w:rsid w:val="001723F5"/>
    <w:rsid w:val="00183822"/>
    <w:rsid w:val="001C5370"/>
    <w:rsid w:val="001E2869"/>
    <w:rsid w:val="001E6D62"/>
    <w:rsid w:val="002048C4"/>
    <w:rsid w:val="00247A61"/>
    <w:rsid w:val="00251F22"/>
    <w:rsid w:val="0026129B"/>
    <w:rsid w:val="002906D2"/>
    <w:rsid w:val="00296012"/>
    <w:rsid w:val="002A2CAE"/>
    <w:rsid w:val="002C5D85"/>
    <w:rsid w:val="002E6C70"/>
    <w:rsid w:val="00301641"/>
    <w:rsid w:val="003103C4"/>
    <w:rsid w:val="00356575"/>
    <w:rsid w:val="00363954"/>
    <w:rsid w:val="00366378"/>
    <w:rsid w:val="00374311"/>
    <w:rsid w:val="00381072"/>
    <w:rsid w:val="00397E6E"/>
    <w:rsid w:val="003A57CB"/>
    <w:rsid w:val="003C5CAC"/>
    <w:rsid w:val="003D21D6"/>
    <w:rsid w:val="003D75AB"/>
    <w:rsid w:val="003E0B20"/>
    <w:rsid w:val="003E68FD"/>
    <w:rsid w:val="003F0251"/>
    <w:rsid w:val="003F35A7"/>
    <w:rsid w:val="00400A1B"/>
    <w:rsid w:val="00402478"/>
    <w:rsid w:val="00402549"/>
    <w:rsid w:val="004202E3"/>
    <w:rsid w:val="00435D0F"/>
    <w:rsid w:val="0043795A"/>
    <w:rsid w:val="00444CB1"/>
    <w:rsid w:val="00457F8F"/>
    <w:rsid w:val="00473248"/>
    <w:rsid w:val="00480BB8"/>
    <w:rsid w:val="00481197"/>
    <w:rsid w:val="004B3725"/>
    <w:rsid w:val="00525EFA"/>
    <w:rsid w:val="005305E5"/>
    <w:rsid w:val="00541929"/>
    <w:rsid w:val="00565405"/>
    <w:rsid w:val="00590ED1"/>
    <w:rsid w:val="005966BD"/>
    <w:rsid w:val="005A0AFE"/>
    <w:rsid w:val="005B1830"/>
    <w:rsid w:val="005B31C2"/>
    <w:rsid w:val="005C2E1B"/>
    <w:rsid w:val="00600295"/>
    <w:rsid w:val="00610344"/>
    <w:rsid w:val="00611BEB"/>
    <w:rsid w:val="006303D5"/>
    <w:rsid w:val="00630E02"/>
    <w:rsid w:val="00636F79"/>
    <w:rsid w:val="00666057"/>
    <w:rsid w:val="00672228"/>
    <w:rsid w:val="00672DF0"/>
    <w:rsid w:val="00674157"/>
    <w:rsid w:val="00676804"/>
    <w:rsid w:val="00687807"/>
    <w:rsid w:val="00695084"/>
    <w:rsid w:val="006A66E7"/>
    <w:rsid w:val="006C062D"/>
    <w:rsid w:val="006C1B65"/>
    <w:rsid w:val="006F2FDA"/>
    <w:rsid w:val="007001AA"/>
    <w:rsid w:val="00731FF1"/>
    <w:rsid w:val="007A005B"/>
    <w:rsid w:val="007C5A21"/>
    <w:rsid w:val="007D792D"/>
    <w:rsid w:val="007E3EA8"/>
    <w:rsid w:val="007E5139"/>
    <w:rsid w:val="008035B5"/>
    <w:rsid w:val="0083463D"/>
    <w:rsid w:val="008359E8"/>
    <w:rsid w:val="00847835"/>
    <w:rsid w:val="0084789C"/>
    <w:rsid w:val="00852A2C"/>
    <w:rsid w:val="00863458"/>
    <w:rsid w:val="00863EF0"/>
    <w:rsid w:val="00891A6D"/>
    <w:rsid w:val="008C7EF3"/>
    <w:rsid w:val="008D24AA"/>
    <w:rsid w:val="008F40C9"/>
    <w:rsid w:val="00900F9E"/>
    <w:rsid w:val="00907906"/>
    <w:rsid w:val="009251BC"/>
    <w:rsid w:val="00927ABD"/>
    <w:rsid w:val="009320F4"/>
    <w:rsid w:val="009377DE"/>
    <w:rsid w:val="009405B4"/>
    <w:rsid w:val="009436DF"/>
    <w:rsid w:val="00960635"/>
    <w:rsid w:val="00992D90"/>
    <w:rsid w:val="009B48C4"/>
    <w:rsid w:val="009C12C3"/>
    <w:rsid w:val="009D08BB"/>
    <w:rsid w:val="009D3E2D"/>
    <w:rsid w:val="009D718C"/>
    <w:rsid w:val="00A05646"/>
    <w:rsid w:val="00A10B9C"/>
    <w:rsid w:val="00A10F30"/>
    <w:rsid w:val="00A12031"/>
    <w:rsid w:val="00A15D2D"/>
    <w:rsid w:val="00A24859"/>
    <w:rsid w:val="00A2584B"/>
    <w:rsid w:val="00A77B15"/>
    <w:rsid w:val="00A80519"/>
    <w:rsid w:val="00A97716"/>
    <w:rsid w:val="00AB2652"/>
    <w:rsid w:val="00AD2065"/>
    <w:rsid w:val="00AE6E4D"/>
    <w:rsid w:val="00B00599"/>
    <w:rsid w:val="00B10021"/>
    <w:rsid w:val="00B32219"/>
    <w:rsid w:val="00B37C1A"/>
    <w:rsid w:val="00B4754F"/>
    <w:rsid w:val="00B500B3"/>
    <w:rsid w:val="00B559EB"/>
    <w:rsid w:val="00B7203E"/>
    <w:rsid w:val="00B96DF8"/>
    <w:rsid w:val="00BA1B96"/>
    <w:rsid w:val="00BB5380"/>
    <w:rsid w:val="00BC7A49"/>
    <w:rsid w:val="00BD77CB"/>
    <w:rsid w:val="00BE53F5"/>
    <w:rsid w:val="00C02523"/>
    <w:rsid w:val="00C1076B"/>
    <w:rsid w:val="00C35428"/>
    <w:rsid w:val="00C50DE9"/>
    <w:rsid w:val="00C87B24"/>
    <w:rsid w:val="00C951D3"/>
    <w:rsid w:val="00C95BB5"/>
    <w:rsid w:val="00CE0C88"/>
    <w:rsid w:val="00CE49FD"/>
    <w:rsid w:val="00CF2AA5"/>
    <w:rsid w:val="00D214E1"/>
    <w:rsid w:val="00D271FC"/>
    <w:rsid w:val="00D40103"/>
    <w:rsid w:val="00D43F8E"/>
    <w:rsid w:val="00D51BEC"/>
    <w:rsid w:val="00D60381"/>
    <w:rsid w:val="00D71DDF"/>
    <w:rsid w:val="00D84100"/>
    <w:rsid w:val="00D90423"/>
    <w:rsid w:val="00D96A33"/>
    <w:rsid w:val="00DB5105"/>
    <w:rsid w:val="00DB5C7E"/>
    <w:rsid w:val="00DE21B3"/>
    <w:rsid w:val="00E1386D"/>
    <w:rsid w:val="00E142F6"/>
    <w:rsid w:val="00E50840"/>
    <w:rsid w:val="00E61056"/>
    <w:rsid w:val="00E73511"/>
    <w:rsid w:val="00E92910"/>
    <w:rsid w:val="00EA2304"/>
    <w:rsid w:val="00EA7449"/>
    <w:rsid w:val="00ED66B5"/>
    <w:rsid w:val="00F07BF8"/>
    <w:rsid w:val="00F1099A"/>
    <w:rsid w:val="00F15F82"/>
    <w:rsid w:val="00F26875"/>
    <w:rsid w:val="00F40352"/>
    <w:rsid w:val="00F51469"/>
    <w:rsid w:val="00F5271D"/>
    <w:rsid w:val="00F559B0"/>
    <w:rsid w:val="00F67877"/>
    <w:rsid w:val="00F75D23"/>
    <w:rsid w:val="00F764BE"/>
    <w:rsid w:val="00F94761"/>
    <w:rsid w:val="00FD5DAE"/>
    <w:rsid w:val="00FE5434"/>
    <w:rsid w:val="00FE6E9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FEE2E"/>
  <w15:chartTrackingRefBased/>
  <w15:docId w15:val="{2044D624-2C19-4F3F-A17C-31B415227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295"/>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405B4"/>
    <w:rPr>
      <w:sz w:val="16"/>
      <w:szCs w:val="16"/>
    </w:rPr>
  </w:style>
  <w:style w:type="paragraph" w:styleId="CommentText">
    <w:name w:val="annotation text"/>
    <w:basedOn w:val="Normal"/>
    <w:link w:val="CommentTextChar"/>
    <w:uiPriority w:val="99"/>
    <w:semiHidden/>
    <w:unhideWhenUsed/>
    <w:rsid w:val="009405B4"/>
    <w:pPr>
      <w:spacing w:line="240" w:lineRule="auto"/>
    </w:pPr>
    <w:rPr>
      <w:sz w:val="20"/>
      <w:szCs w:val="20"/>
    </w:rPr>
  </w:style>
  <w:style w:type="character" w:customStyle="1" w:styleId="CommentTextChar">
    <w:name w:val="Comment Text Char"/>
    <w:basedOn w:val="DefaultParagraphFont"/>
    <w:link w:val="CommentText"/>
    <w:uiPriority w:val="99"/>
    <w:semiHidden/>
    <w:rsid w:val="009405B4"/>
    <w:rPr>
      <w:sz w:val="20"/>
      <w:szCs w:val="20"/>
      <w:lang w:val="en-US"/>
    </w:rPr>
  </w:style>
  <w:style w:type="character" w:styleId="Hyperlink">
    <w:name w:val="Hyperlink"/>
    <w:basedOn w:val="DefaultParagraphFont"/>
    <w:uiPriority w:val="99"/>
    <w:unhideWhenUsed/>
    <w:rsid w:val="00366378"/>
    <w:rPr>
      <w:color w:val="0563C1" w:themeColor="hyperlink"/>
      <w:u w:val="single"/>
    </w:rPr>
  </w:style>
  <w:style w:type="character" w:styleId="UnresolvedMention">
    <w:name w:val="Unresolved Mention"/>
    <w:basedOn w:val="DefaultParagraphFont"/>
    <w:uiPriority w:val="99"/>
    <w:semiHidden/>
    <w:unhideWhenUsed/>
    <w:rsid w:val="003663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193003">
      <w:bodyDiv w:val="1"/>
      <w:marLeft w:val="0"/>
      <w:marRight w:val="0"/>
      <w:marTop w:val="0"/>
      <w:marBottom w:val="0"/>
      <w:divBdr>
        <w:top w:val="none" w:sz="0" w:space="0" w:color="auto"/>
        <w:left w:val="none" w:sz="0" w:space="0" w:color="auto"/>
        <w:bottom w:val="none" w:sz="0" w:space="0" w:color="auto"/>
        <w:right w:val="none" w:sz="0" w:space="0" w:color="auto"/>
      </w:divBdr>
    </w:div>
    <w:div w:id="62747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hyperlink" Target="https://doi.org/10.1017/CBO9780511761416.00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hyperlink" Target="https://jasonquinlan.com/7d80uqzowj51tsrtj9svjavlafmuz3" TargetMode="Externa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53570-7224-413B-BBC7-6A83AD8DF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11</Pages>
  <Words>2907</Words>
  <Characters>16570</Characters>
  <Application>Microsoft Office Word</Application>
  <DocSecurity>0</DocSecurity>
  <Lines>138</Lines>
  <Paragraphs>38</Paragraphs>
  <ScaleCrop>false</ScaleCrop>
  <Company/>
  <LinksUpToDate>false</LinksUpToDate>
  <CharactersWithSpaces>19439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Editor</cp:lastModifiedBy>
  <cp:revision>196</cp:revision>
  <dcterms:created xsi:type="dcterms:W3CDTF">2024-03-19T12:29:00Z</dcterms:created>
  <dcterms:modified xsi:type="dcterms:W3CDTF">2024-03-21T15:26:00Z</dcterms:modified>
</cp:coreProperties>
</file>