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000000" w:themeColor="text1"/>
          <w:kern w:val="2"/>
          <w:lang w:val="en-GB"/>
        </w:rPr>
        <w:id w:val="-1238545554"/>
        <w:docPartObj>
          <w:docPartGallery w:val="Cover Pages"/>
          <w:docPartUnique/>
        </w:docPartObj>
      </w:sdtPr>
      <w:sdtContent>
        <w:p w14:paraId="0651A6F2" w14:textId="15B8B0D4" w:rsidR="00D939CC" w:rsidRPr="00BE6515" w:rsidRDefault="00D939CC">
          <w:pPr>
            <w:pStyle w:val="NoSpacing"/>
            <w:spacing w:before="1540" w:after="240"/>
            <w:jc w:val="center"/>
            <w:rPr>
              <w:rFonts w:ascii="Arial" w:hAnsi="Arial" w:cs="Arial"/>
              <w:color w:val="000000" w:themeColor="text1"/>
            </w:rPr>
          </w:pPr>
          <w:r w:rsidRPr="00BE6515">
            <w:rPr>
              <w:rFonts w:ascii="Arial" w:hAnsi="Arial" w:cs="Arial"/>
              <w:noProof/>
              <w:color w:val="000000" w:themeColor="text1"/>
            </w:rPr>
            <w:drawing>
              <wp:inline distT="0" distB="0" distL="0" distR="0" wp14:anchorId="559F7C3B" wp14:editId="4B79CD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977B8B2925E14057A3D54BF19DF54ED9"/>
            </w:placeholder>
            <w:dataBinding w:prefixMappings="xmlns:ns0='http://purl.org/dc/elements/1.1/' xmlns:ns1='http://schemas.openxmlformats.org/package/2006/metadata/core-properties' " w:xpath="/ns1:coreProperties[1]/ns0:title[1]" w:storeItemID="{6C3C8BC8-F283-45AE-878A-BAB7291924A1}"/>
            <w:text/>
          </w:sdtPr>
          <w:sdtContent>
            <w:p w14:paraId="057E477E" w14:textId="5DCF770B" w:rsidR="00D939CC" w:rsidRPr="00BE6515" w:rsidRDefault="00C25281">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000000" w:themeColor="text1"/>
                  <w:sz w:val="80"/>
                  <w:szCs w:val="80"/>
                </w:rPr>
              </w:pPr>
              <w:r w:rsidRPr="00C25281">
                <w:rPr>
                  <w:rFonts w:ascii="Arial" w:eastAsiaTheme="majorEastAsia" w:hAnsi="Arial" w:cs="Arial"/>
                  <w:caps/>
                  <w:color w:val="000000" w:themeColor="text1"/>
                  <w:sz w:val="72"/>
                  <w:szCs w:val="72"/>
                </w:rPr>
                <w:t>LEADING THE RESHAPING OF THE STRATEGIC DIRECTION IN THE CONTEXT OF DIGITAL CHANGE</w:t>
              </w:r>
            </w:p>
          </w:sdtContent>
        </w:sdt>
        <w:sdt>
          <w:sdtPr>
            <w:rPr>
              <w:rFonts w:ascii="Arial" w:hAnsi="Arial" w:cs="Arial"/>
              <w:color w:val="000000" w:themeColor="text1"/>
              <w:sz w:val="28"/>
              <w:szCs w:val="28"/>
            </w:rPr>
            <w:alias w:val="Subtitle"/>
            <w:tag w:val=""/>
            <w:id w:val="328029620"/>
            <w:placeholder>
              <w:docPart w:val="605B21BCF9C442CCB7C90A8136392282"/>
            </w:placeholder>
            <w:dataBinding w:prefixMappings="xmlns:ns0='http://purl.org/dc/elements/1.1/' xmlns:ns1='http://schemas.openxmlformats.org/package/2006/metadata/core-properties' " w:xpath="/ns1:coreProperties[1]/ns0:subject[1]" w:storeItemID="{6C3C8BC8-F283-45AE-878A-BAB7291924A1}"/>
            <w:text/>
          </w:sdtPr>
          <w:sdtContent>
            <w:p w14:paraId="58895B61" w14:textId="5F636A60" w:rsidR="00D939CC" w:rsidRPr="00BE6515" w:rsidRDefault="00C25281">
              <w:pPr>
                <w:pStyle w:val="NoSpacing"/>
                <w:jc w:val="center"/>
                <w:rPr>
                  <w:rFonts w:ascii="Arial" w:hAnsi="Arial" w:cs="Arial"/>
                  <w:color w:val="000000" w:themeColor="text1"/>
                  <w:sz w:val="28"/>
                  <w:szCs w:val="28"/>
                </w:rPr>
              </w:pPr>
              <w:r w:rsidRPr="00C25281">
                <w:rPr>
                  <w:rFonts w:ascii="Arial" w:hAnsi="Arial" w:cs="Arial"/>
                  <w:color w:val="000000" w:themeColor="text1"/>
                  <w:sz w:val="28"/>
                  <w:szCs w:val="28"/>
                </w:rPr>
                <w:t>Sainsbury’s Study Case</w:t>
              </w:r>
            </w:p>
          </w:sdtContent>
        </w:sdt>
        <w:p w14:paraId="28837154" w14:textId="61ECF7F0" w:rsidR="00D939CC" w:rsidRPr="00BE6515" w:rsidRDefault="00C25281">
          <w:pPr>
            <w:pStyle w:val="NoSpacing"/>
            <w:spacing w:before="480"/>
            <w:jc w:val="center"/>
            <w:rPr>
              <w:rFonts w:ascii="Arial" w:hAnsi="Arial" w:cs="Arial"/>
              <w:color w:val="000000" w:themeColor="text1"/>
            </w:rPr>
          </w:pPr>
          <w:r>
            <w:rPr>
              <w:rFonts w:ascii="Arial" w:hAnsi="Arial" w:cs="Arial"/>
              <w:noProof/>
              <w:color w:val="000000" w:themeColor="text1"/>
            </w:rPr>
            <w:drawing>
              <wp:anchor distT="0" distB="0" distL="114300" distR="114300" simplePos="0" relativeHeight="251671552" behindDoc="0" locked="0" layoutInCell="1" allowOverlap="1" wp14:anchorId="761DBB30" wp14:editId="2FF11867">
                <wp:simplePos x="0" y="0"/>
                <wp:positionH relativeFrom="column">
                  <wp:posOffset>768096</wp:posOffset>
                </wp:positionH>
                <wp:positionV relativeFrom="paragraph">
                  <wp:posOffset>116078</wp:posOffset>
                </wp:positionV>
                <wp:extent cx="4471289" cy="2285289"/>
                <wp:effectExtent l="152400" t="152400" r="367665" b="363220"/>
                <wp:wrapNone/>
                <wp:docPr id="1058330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30120" name="Picture 1058330120"/>
                        <pic:cNvPicPr/>
                      </pic:nvPicPr>
                      <pic:blipFill>
                        <a:blip r:embed="rId8">
                          <a:extLst>
                            <a:ext uri="{28A0092B-C50C-407E-A947-70E740481C1C}">
                              <a14:useLocalDpi xmlns:a14="http://schemas.microsoft.com/office/drawing/2010/main" val="0"/>
                            </a:ext>
                          </a:extLst>
                        </a:blip>
                        <a:stretch>
                          <a:fillRect/>
                        </a:stretch>
                      </pic:blipFill>
                      <pic:spPr>
                        <a:xfrm>
                          <a:off x="0" y="0"/>
                          <a:ext cx="4491810" cy="2295778"/>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54789" w:rsidRPr="00BE6515">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29BD5F01" wp14:editId="5F1C478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3565"/>
                    <wp:effectExtent l="0" t="0" r="0" b="0"/>
                    <wp:wrapNone/>
                    <wp:docPr id="9200582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3C0F6325" w14:textId="4A7DCE3A" w:rsidR="00D939CC" w:rsidRPr="00C25281" w:rsidRDefault="00C25281">
                                    <w:pPr>
                                      <w:pStyle w:val="NoSpacing"/>
                                      <w:spacing w:after="40"/>
                                      <w:jc w:val="center"/>
                                      <w:rPr>
                                        <w:rFonts w:ascii="Arial" w:hAnsi="Arial" w:cs="Arial"/>
                                        <w:caps/>
                                        <w:sz w:val="28"/>
                                        <w:szCs w:val="28"/>
                                      </w:rPr>
                                    </w:pPr>
                                    <w:r w:rsidRPr="00C25281">
                                      <w:rPr>
                                        <w:rFonts w:ascii="Arial" w:hAnsi="Arial" w:cs="Arial"/>
                                        <w:caps/>
                                        <w:sz w:val="28"/>
                                        <w:szCs w:val="28"/>
                                      </w:rPr>
                                      <w:t>May 11, 2026</w:t>
                                    </w:r>
                                  </w:p>
                                </w:sdtContent>
                              </w:sdt>
                              <w:p w14:paraId="355B4FB2" w14:textId="2912C09B" w:rsidR="00D939CC" w:rsidRPr="00C25281"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C25281" w:rsidRPr="00C25281">
                                      <w:rPr>
                                        <w:rFonts w:ascii="Arial" w:hAnsi="Arial" w:cs="Arial"/>
                                        <w:caps/>
                                      </w:rPr>
                                      <w:t>Luciana Stafi - 2130653</w:t>
                                    </w:r>
                                  </w:sdtContent>
                                </w:sdt>
                              </w:p>
                              <w:p w14:paraId="0B0D1D8F" w14:textId="25D16DD6" w:rsidR="00D939CC" w:rsidRPr="00C25281" w:rsidRDefault="00C25281">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C25281">
                                      <w:rPr>
                                        <w:rFonts w:ascii="Arial" w:hAnsi="Arial" w:cs="Arial"/>
                                      </w:rPr>
                                      <w:t>University of WalesTrinity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BD5F01" id="_x0000_t202" coordsize="21600,21600" o:spt="202" path="m,l,21600r21600,l21600,xe">
                    <v:stroke joinstyle="miter"/>
                    <v:path gradientshapeok="t" o:connecttype="rect"/>
                  </v:shapetype>
                  <v:shape id="Text Box 1" o:spid="_x0000_s1026" type="#_x0000_t202" style="position:absolute;left:0;text-align:left;margin-left:0;margin-top:0;width:468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" filled="f" stroked="f" strokeweight=".5pt">
                    <v:textbox style="mso-fit-shape-to-text:t" inset="0,0,0,0">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3C0F6325" w14:textId="4A7DCE3A" w:rsidR="00D939CC" w:rsidRPr="00C25281" w:rsidRDefault="00C25281">
                              <w:pPr>
                                <w:pStyle w:val="NoSpacing"/>
                                <w:spacing w:after="40"/>
                                <w:jc w:val="center"/>
                                <w:rPr>
                                  <w:rFonts w:ascii="Arial" w:hAnsi="Arial" w:cs="Arial"/>
                                  <w:caps/>
                                  <w:sz w:val="28"/>
                                  <w:szCs w:val="28"/>
                                </w:rPr>
                              </w:pPr>
                              <w:r w:rsidRPr="00C25281">
                                <w:rPr>
                                  <w:rFonts w:ascii="Arial" w:hAnsi="Arial" w:cs="Arial"/>
                                  <w:caps/>
                                  <w:sz w:val="28"/>
                                  <w:szCs w:val="28"/>
                                </w:rPr>
                                <w:t>May 11, 2026</w:t>
                              </w:r>
                            </w:p>
                          </w:sdtContent>
                        </w:sdt>
                        <w:p w14:paraId="355B4FB2" w14:textId="2912C09B" w:rsidR="00D939CC" w:rsidRPr="00C25281"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C25281" w:rsidRPr="00C25281">
                                <w:rPr>
                                  <w:rFonts w:ascii="Arial" w:hAnsi="Arial" w:cs="Arial"/>
                                  <w:caps/>
                                </w:rPr>
                                <w:t>Luciana Stafi - 2130653</w:t>
                              </w:r>
                            </w:sdtContent>
                          </w:sdt>
                        </w:p>
                        <w:p w14:paraId="0B0D1D8F" w14:textId="25D16DD6" w:rsidR="00D939CC" w:rsidRPr="00C25281" w:rsidRDefault="00C25281">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C25281">
                                <w:rPr>
                                  <w:rFonts w:ascii="Arial" w:hAnsi="Arial" w:cs="Arial"/>
                                </w:rPr>
                                <w:t>University of WalesTrinity Saint David</w:t>
                              </w:r>
                            </w:sdtContent>
                          </w:sdt>
                        </w:p>
                      </w:txbxContent>
                    </v:textbox>
                    <w10:wrap anchorx="margin" anchory="page"/>
                  </v:shape>
                </w:pict>
              </mc:Fallback>
            </mc:AlternateContent>
          </w:r>
        </w:p>
        <w:p w14:paraId="4944AC26" w14:textId="643860F8" w:rsidR="008D59CD" w:rsidRDefault="00D939CC" w:rsidP="00D939CC">
          <w:pPr>
            <w:pStyle w:val="Heading1"/>
            <w:jc w:val="center"/>
            <w:rPr>
              <w:rFonts w:ascii="Arial" w:hAnsi="Arial" w:cs="Arial"/>
              <w:color w:val="000000" w:themeColor="text1"/>
              <w:lang w:val="en-US"/>
            </w:rPr>
          </w:pPr>
          <w:r w:rsidRPr="00BE6515">
            <w:rPr>
              <w:rFonts w:ascii="Arial" w:hAnsi="Arial" w:cs="Arial"/>
              <w:color w:val="000000" w:themeColor="text1"/>
              <w:lang w:val="en-US"/>
            </w:rPr>
            <w:br w:type="page"/>
          </w:r>
          <w:bookmarkStart w:id="0" w:name="_Toc229296499"/>
          <w:r w:rsidRPr="00BE6515">
            <w:rPr>
              <w:rFonts w:ascii="Arial" w:hAnsi="Arial" w:cs="Arial"/>
              <w:color w:val="000000" w:themeColor="text1"/>
              <w:lang w:val="en-US"/>
            </w:rPr>
            <w:lastRenderedPageBreak/>
            <w:t>Executive summary</w:t>
          </w:r>
          <w:bookmarkEnd w:id="0"/>
        </w:p>
        <w:p w14:paraId="27486028" w14:textId="77777777" w:rsidR="008D59CD" w:rsidRPr="008D59CD" w:rsidRDefault="008D59CD" w:rsidP="008D59CD">
          <w:pPr>
            <w:rPr>
              <w:lang w:val="en-US"/>
            </w:rPr>
          </w:pPr>
        </w:p>
        <w:p w14:paraId="0C178092" w14:textId="1EDA3E2F" w:rsidR="008D59CD" w:rsidRPr="008D59CD" w:rsidRDefault="008D59CD" w:rsidP="008D59CD">
          <w:pPr>
            <w:rPr>
              <w:rFonts w:ascii="Arial" w:hAnsi="Arial" w:cs="Arial"/>
              <w:sz w:val="24"/>
              <w:szCs w:val="24"/>
              <w:lang w:val="en"/>
            </w:rPr>
          </w:pPr>
          <w:r w:rsidRPr="008D59CD">
            <w:rPr>
              <w:rFonts w:ascii="Arial" w:hAnsi="Arial" w:cs="Arial"/>
              <w:sz w:val="24"/>
              <w:szCs w:val="24"/>
              <w:lang w:val="en"/>
            </w:rPr>
            <w:t xml:space="preserve">This report examines </w:t>
          </w:r>
          <w:r>
            <w:rPr>
              <w:rFonts w:ascii="Arial" w:hAnsi="Arial" w:cs="Arial"/>
              <w:sz w:val="24"/>
              <w:szCs w:val="24"/>
              <w:lang w:val="en"/>
            </w:rPr>
            <w:t>J Sainsbury plc's strategic position in the context of the UK food retail sector's maturity</w:t>
          </w:r>
          <w:r w:rsidRPr="008D59CD">
            <w:rPr>
              <w:rFonts w:ascii="Arial" w:hAnsi="Arial" w:cs="Arial"/>
              <w:sz w:val="24"/>
              <w:szCs w:val="24"/>
              <w:lang w:val="en"/>
            </w:rPr>
            <w:t xml:space="preserve"> and the acceleration of digital transformation. The industry is characterised by intense competition, pressure on margins and high price sensitivity, which limits the possibility of achieving sustainable competitive advantage solely through operational efficiency or price positioning.</w:t>
          </w:r>
        </w:p>
        <w:p w14:paraId="7CAC18A2" w14:textId="03603E9E" w:rsidR="008D59CD" w:rsidRPr="008D59CD" w:rsidRDefault="008D59CD" w:rsidP="008D59CD">
          <w:pPr>
            <w:rPr>
              <w:rFonts w:ascii="Arial" w:hAnsi="Arial" w:cs="Arial"/>
              <w:sz w:val="24"/>
              <w:szCs w:val="24"/>
            </w:rPr>
          </w:pPr>
          <w:r w:rsidRPr="008D59CD">
            <w:rPr>
              <w:rFonts w:ascii="Arial" w:hAnsi="Arial" w:cs="Arial"/>
              <w:sz w:val="24"/>
              <w:szCs w:val="24"/>
              <w:lang w:val="en"/>
            </w:rPr>
            <w:t>The external environment analysis (PESTLE and Porter) highlights persistent structural constraints</w:t>
          </w:r>
          <w:r>
            <w:rPr>
              <w:rFonts w:ascii="Arial" w:hAnsi="Arial" w:cs="Arial"/>
              <w:sz w:val="24"/>
              <w:szCs w:val="24"/>
              <w:lang w:val="en"/>
            </w:rPr>
            <w:t>. In contrast, the internal analysis (VRIO and SWOT/TOWS) shows that the organisation has valuable infrastructure and resources. However,</w:t>
          </w:r>
          <w:r w:rsidRPr="008D59CD">
            <w:rPr>
              <w:rFonts w:ascii="Arial" w:hAnsi="Arial" w:cs="Arial"/>
              <w:sz w:val="24"/>
              <w:szCs w:val="24"/>
              <w:lang w:val="en"/>
            </w:rPr>
            <w:t xml:space="preserve"> competitive advantage depends on the level of integration of digital capabilities into the existing operating model. The assessment of strategic options indicates that an exclusively defensive strategy would limit the </w:t>
          </w:r>
          <w:r>
            <w:rPr>
              <w:rFonts w:ascii="Arial" w:hAnsi="Arial" w:cs="Arial"/>
              <w:sz w:val="24"/>
              <w:szCs w:val="24"/>
              <w:lang w:val="en"/>
            </w:rPr>
            <w:t>differentiation potential</w:t>
          </w:r>
          <w:r w:rsidRPr="008D59CD">
            <w:rPr>
              <w:rFonts w:ascii="Arial" w:hAnsi="Arial" w:cs="Arial"/>
              <w:sz w:val="24"/>
              <w:szCs w:val="24"/>
              <w:lang w:val="en"/>
            </w:rPr>
            <w:t>, while a radical acceleration of digital transformation would increase execution and investment risks.</w:t>
          </w:r>
        </w:p>
        <w:p w14:paraId="06DE3580" w14:textId="092EA4CA" w:rsidR="008D59CD" w:rsidRPr="008D59CD" w:rsidRDefault="008D59CD" w:rsidP="008D59CD">
          <w:pPr>
            <w:rPr>
              <w:rFonts w:ascii="Arial" w:hAnsi="Arial" w:cs="Arial"/>
              <w:sz w:val="24"/>
              <w:szCs w:val="24"/>
              <w:lang w:val="en"/>
            </w:rPr>
          </w:pPr>
          <w:r w:rsidRPr="008D59CD">
            <w:rPr>
              <w:rFonts w:ascii="Arial" w:hAnsi="Arial" w:cs="Arial"/>
              <w:sz w:val="24"/>
              <w:szCs w:val="24"/>
              <w:lang w:val="en"/>
            </w:rPr>
            <w:t>Consequently, an integrated strategic direction is recommended</w:t>
          </w:r>
          <w:r w:rsidR="005D53FD">
            <w:rPr>
              <w:rFonts w:ascii="Arial" w:hAnsi="Arial" w:cs="Arial"/>
              <w:sz w:val="24"/>
              <w:szCs w:val="24"/>
              <w:lang w:val="en"/>
            </w:rPr>
            <w:t xml:space="preserve"> that combines operational discipline with the progressive development of digital capabilities with</w:t>
          </w:r>
          <w:r w:rsidRPr="008D59CD">
            <w:rPr>
              <w:rFonts w:ascii="Arial" w:hAnsi="Arial" w:cs="Arial"/>
              <w:sz w:val="24"/>
              <w:szCs w:val="24"/>
              <w:lang w:val="en"/>
            </w:rPr>
            <w:t>in a coherent omnichannel model. Implementing this direction requires align</w:t>
          </w:r>
          <w:r>
            <w:rPr>
              <w:rFonts w:ascii="Arial" w:hAnsi="Arial" w:cs="Arial"/>
              <w:sz w:val="24"/>
              <w:szCs w:val="24"/>
              <w:lang w:val="en"/>
            </w:rPr>
            <w:t>ing the organisational structure, key functions, governance mechanisms,</w:t>
          </w:r>
          <w:r w:rsidRPr="008D59CD">
            <w:rPr>
              <w:rFonts w:ascii="Arial" w:hAnsi="Arial" w:cs="Arial"/>
              <w:sz w:val="24"/>
              <w:szCs w:val="24"/>
              <w:lang w:val="en"/>
            </w:rPr>
            <w:t xml:space="preserve"> and performance monitoring systems. Leadership analysis suggests that success depends on combining elements of transformational and adaptive leadership to ensure both strategic coherence and organi</w:t>
          </w:r>
          <w:r>
            <w:rPr>
              <w:rFonts w:ascii="Arial" w:hAnsi="Arial" w:cs="Arial"/>
              <w:sz w:val="24"/>
              <w:szCs w:val="24"/>
              <w:lang w:val="en"/>
            </w:rPr>
            <w:t>s</w:t>
          </w:r>
          <w:r w:rsidRPr="008D59CD">
            <w:rPr>
              <w:rFonts w:ascii="Arial" w:hAnsi="Arial" w:cs="Arial"/>
              <w:sz w:val="24"/>
              <w:szCs w:val="24"/>
              <w:lang w:val="en"/>
            </w:rPr>
            <w:t xml:space="preserve">ational flexibility. </w:t>
          </w:r>
        </w:p>
        <w:p w14:paraId="12DE5A40" w14:textId="772B5D91" w:rsidR="008D59CD" w:rsidRPr="008D59CD" w:rsidRDefault="008D59CD" w:rsidP="008D59CD">
          <w:pPr>
            <w:rPr>
              <w:rFonts w:ascii="Arial" w:hAnsi="Arial" w:cs="Arial"/>
              <w:sz w:val="24"/>
              <w:szCs w:val="24"/>
            </w:rPr>
          </w:pPr>
          <w:r w:rsidRPr="008D59CD">
            <w:rPr>
              <w:rFonts w:ascii="Arial" w:hAnsi="Arial" w:cs="Arial"/>
              <w:sz w:val="24"/>
              <w:szCs w:val="24"/>
              <w:lang w:val="en"/>
            </w:rPr>
            <w:t>The report concludes that J Sainsbury plc can sustain long-term value creation without disproportionately amplifying operational and financial risks, provided that digital initiatives are systematically integrated into the existing organi</w:t>
          </w:r>
          <w:r>
            <w:rPr>
              <w:rFonts w:ascii="Arial" w:hAnsi="Arial" w:cs="Arial"/>
              <w:sz w:val="24"/>
              <w:szCs w:val="24"/>
              <w:lang w:val="en"/>
            </w:rPr>
            <w:t>s</w:t>
          </w:r>
          <w:r w:rsidRPr="008D59CD">
            <w:rPr>
              <w:rFonts w:ascii="Arial" w:hAnsi="Arial" w:cs="Arial"/>
              <w:sz w:val="24"/>
              <w:szCs w:val="24"/>
              <w:lang w:val="en"/>
            </w:rPr>
            <w:t>ational architecture and a balance is maintained between control and adaptability.</w:t>
          </w:r>
        </w:p>
        <w:p w14:paraId="685BD445" w14:textId="61DBD343" w:rsidR="00D939CC" w:rsidRPr="008D59CD" w:rsidRDefault="00D939CC" w:rsidP="008D59CD">
          <w:pPr>
            <w:rPr>
              <w:rFonts w:ascii="Arial" w:hAnsi="Arial" w:cs="Arial"/>
              <w:sz w:val="24"/>
              <w:szCs w:val="24"/>
              <w:lang w:val="en-US"/>
            </w:rPr>
          </w:pPr>
          <w:r w:rsidRPr="008D59CD">
            <w:rPr>
              <w:rFonts w:ascii="Arial" w:hAnsi="Arial" w:cs="Arial"/>
              <w:sz w:val="24"/>
              <w:szCs w:val="24"/>
              <w:lang w:val="en-US"/>
            </w:rPr>
            <w:br w:type="page"/>
          </w:r>
        </w:p>
        <w:sdt>
          <w:sdtPr>
            <w:rPr>
              <w:rFonts w:ascii="Arial" w:eastAsiaTheme="minorHAnsi" w:hAnsi="Arial" w:cs="Arial"/>
              <w:color w:val="000000" w:themeColor="text1"/>
              <w:kern w:val="2"/>
              <w:sz w:val="22"/>
              <w:szCs w:val="22"/>
              <w:lang w:val="en-GB"/>
            </w:rPr>
            <w:id w:val="366185848"/>
            <w:docPartObj>
              <w:docPartGallery w:val="Table of Contents"/>
              <w:docPartUnique/>
            </w:docPartObj>
          </w:sdtPr>
          <w:sdtEndPr>
            <w:rPr>
              <w:b/>
              <w:bCs/>
              <w:noProof/>
            </w:rPr>
          </w:sdtEndPr>
          <w:sdtContent>
            <w:p w14:paraId="4A9E37D3" w14:textId="363784AE" w:rsidR="00D939CC" w:rsidRPr="00BE6515" w:rsidRDefault="00D939CC">
              <w:pPr>
                <w:pStyle w:val="TOCHeading"/>
                <w:rPr>
                  <w:rFonts w:ascii="Arial" w:hAnsi="Arial" w:cs="Arial"/>
                  <w:color w:val="000000" w:themeColor="text1"/>
                </w:rPr>
              </w:pPr>
              <w:r w:rsidRPr="00BE6515">
                <w:rPr>
                  <w:rFonts w:ascii="Arial" w:hAnsi="Arial" w:cs="Arial"/>
                  <w:color w:val="000000" w:themeColor="text1"/>
                </w:rPr>
                <w:t>Table of Contents</w:t>
              </w:r>
            </w:p>
            <w:p w14:paraId="701CB069" w14:textId="5D99CC7E" w:rsidR="00C74C5B" w:rsidRDefault="00D939CC">
              <w:pPr>
                <w:pStyle w:val="TOC1"/>
                <w:tabs>
                  <w:tab w:val="right" w:leader="dot" w:pos="9350"/>
                </w:tabs>
                <w:rPr>
                  <w:rFonts w:eastAsiaTheme="minorEastAsia"/>
                  <w:noProof/>
                  <w:sz w:val="24"/>
                  <w:szCs w:val="24"/>
                  <w:lang w:eastAsia="en-GB"/>
                </w:rPr>
              </w:pPr>
              <w:r w:rsidRPr="00BE6515">
                <w:rPr>
                  <w:rFonts w:ascii="Arial" w:hAnsi="Arial" w:cs="Arial"/>
                  <w:color w:val="000000" w:themeColor="text1"/>
                </w:rPr>
                <w:fldChar w:fldCharType="begin"/>
              </w:r>
              <w:r w:rsidRPr="00BE6515">
                <w:rPr>
                  <w:rFonts w:ascii="Arial" w:hAnsi="Arial" w:cs="Arial"/>
                  <w:color w:val="000000" w:themeColor="text1"/>
                </w:rPr>
                <w:instrText xml:space="preserve"> TOC \o "1-3" \h \z \u </w:instrText>
              </w:r>
              <w:r w:rsidRPr="00BE6515">
                <w:rPr>
                  <w:rFonts w:ascii="Arial" w:hAnsi="Arial" w:cs="Arial"/>
                  <w:color w:val="000000" w:themeColor="text1"/>
                </w:rPr>
                <w:fldChar w:fldCharType="separate"/>
              </w:r>
              <w:hyperlink w:anchor="_Toc229296499" w:history="1">
                <w:r w:rsidR="00C74C5B" w:rsidRPr="009B23AE">
                  <w:rPr>
                    <w:rStyle w:val="Hyperlink"/>
                    <w:rFonts w:ascii="Arial" w:hAnsi="Arial" w:cs="Arial"/>
                    <w:noProof/>
                    <w:lang w:val="en-US"/>
                  </w:rPr>
                  <w:t>Executive summary</w:t>
                </w:r>
                <w:r w:rsidR="00C74C5B">
                  <w:rPr>
                    <w:noProof/>
                    <w:webHidden/>
                  </w:rPr>
                  <w:tab/>
                </w:r>
                <w:r w:rsidR="00C74C5B">
                  <w:rPr>
                    <w:noProof/>
                    <w:webHidden/>
                  </w:rPr>
                  <w:fldChar w:fldCharType="begin"/>
                </w:r>
                <w:r w:rsidR="00C74C5B">
                  <w:rPr>
                    <w:noProof/>
                    <w:webHidden/>
                  </w:rPr>
                  <w:instrText xml:space="preserve"> PAGEREF _Toc229296499 \h </w:instrText>
                </w:r>
                <w:r w:rsidR="00C74C5B">
                  <w:rPr>
                    <w:noProof/>
                    <w:webHidden/>
                  </w:rPr>
                </w:r>
                <w:r w:rsidR="00C74C5B">
                  <w:rPr>
                    <w:noProof/>
                    <w:webHidden/>
                  </w:rPr>
                  <w:fldChar w:fldCharType="separate"/>
                </w:r>
                <w:r w:rsidR="00C74C5B">
                  <w:rPr>
                    <w:noProof/>
                    <w:webHidden/>
                  </w:rPr>
                  <w:t>1</w:t>
                </w:r>
                <w:r w:rsidR="00C74C5B">
                  <w:rPr>
                    <w:noProof/>
                    <w:webHidden/>
                  </w:rPr>
                  <w:fldChar w:fldCharType="end"/>
                </w:r>
              </w:hyperlink>
            </w:p>
            <w:p w14:paraId="17A8A4DB" w14:textId="6DC6BA49" w:rsidR="00C74C5B" w:rsidRDefault="00C74C5B">
              <w:pPr>
                <w:pStyle w:val="TOC1"/>
                <w:tabs>
                  <w:tab w:val="right" w:leader="dot" w:pos="9350"/>
                </w:tabs>
                <w:rPr>
                  <w:rFonts w:eastAsiaTheme="minorEastAsia"/>
                  <w:noProof/>
                  <w:sz w:val="24"/>
                  <w:szCs w:val="24"/>
                  <w:lang w:eastAsia="en-GB"/>
                </w:rPr>
              </w:pPr>
              <w:hyperlink w:anchor="_Toc229296500" w:history="1">
                <w:r w:rsidRPr="009B23AE">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_Toc229296500 \h </w:instrText>
                </w:r>
                <w:r>
                  <w:rPr>
                    <w:noProof/>
                    <w:webHidden/>
                  </w:rPr>
                </w:r>
                <w:r>
                  <w:rPr>
                    <w:noProof/>
                    <w:webHidden/>
                  </w:rPr>
                  <w:fldChar w:fldCharType="separate"/>
                </w:r>
                <w:r>
                  <w:rPr>
                    <w:noProof/>
                    <w:webHidden/>
                  </w:rPr>
                  <w:t>3</w:t>
                </w:r>
                <w:r>
                  <w:rPr>
                    <w:noProof/>
                    <w:webHidden/>
                  </w:rPr>
                  <w:fldChar w:fldCharType="end"/>
                </w:r>
              </w:hyperlink>
            </w:p>
            <w:p w14:paraId="3BC93103" w14:textId="2AC9F383" w:rsidR="00C74C5B" w:rsidRDefault="00C74C5B">
              <w:pPr>
                <w:pStyle w:val="TOC1"/>
                <w:tabs>
                  <w:tab w:val="right" w:leader="dot" w:pos="9350"/>
                </w:tabs>
                <w:rPr>
                  <w:rFonts w:eastAsiaTheme="minorEastAsia"/>
                  <w:noProof/>
                  <w:sz w:val="24"/>
                  <w:szCs w:val="24"/>
                  <w:lang w:eastAsia="en-GB"/>
                </w:rPr>
              </w:pPr>
              <w:hyperlink w:anchor="_Toc229296501" w:history="1">
                <w:r w:rsidRPr="009B23AE">
                  <w:rPr>
                    <w:rStyle w:val="Hyperlink"/>
                    <w:rFonts w:ascii="Arial" w:hAnsi="Arial" w:cs="Arial"/>
                    <w:noProof/>
                    <w:lang w:val="en-US"/>
                  </w:rPr>
                  <w:t>Part I - Strategic Analysis</w:t>
                </w:r>
                <w:r>
                  <w:rPr>
                    <w:noProof/>
                    <w:webHidden/>
                  </w:rPr>
                  <w:tab/>
                </w:r>
                <w:r>
                  <w:rPr>
                    <w:noProof/>
                    <w:webHidden/>
                  </w:rPr>
                  <w:fldChar w:fldCharType="begin"/>
                </w:r>
                <w:r>
                  <w:rPr>
                    <w:noProof/>
                    <w:webHidden/>
                  </w:rPr>
                  <w:instrText xml:space="preserve"> PAGEREF _Toc229296501 \h </w:instrText>
                </w:r>
                <w:r>
                  <w:rPr>
                    <w:noProof/>
                    <w:webHidden/>
                  </w:rPr>
                </w:r>
                <w:r>
                  <w:rPr>
                    <w:noProof/>
                    <w:webHidden/>
                  </w:rPr>
                  <w:fldChar w:fldCharType="separate"/>
                </w:r>
                <w:r>
                  <w:rPr>
                    <w:noProof/>
                    <w:webHidden/>
                  </w:rPr>
                  <w:t>4</w:t>
                </w:r>
                <w:r>
                  <w:rPr>
                    <w:noProof/>
                    <w:webHidden/>
                  </w:rPr>
                  <w:fldChar w:fldCharType="end"/>
                </w:r>
              </w:hyperlink>
            </w:p>
            <w:p w14:paraId="306A168F" w14:textId="453CD1FB" w:rsidR="00C74C5B" w:rsidRDefault="00C74C5B">
              <w:pPr>
                <w:pStyle w:val="TOC1"/>
                <w:tabs>
                  <w:tab w:val="right" w:leader="dot" w:pos="9350"/>
                </w:tabs>
                <w:rPr>
                  <w:rFonts w:eastAsiaTheme="minorEastAsia"/>
                  <w:noProof/>
                  <w:sz w:val="24"/>
                  <w:szCs w:val="24"/>
                  <w:lang w:eastAsia="en-GB"/>
                </w:rPr>
              </w:pPr>
              <w:hyperlink w:anchor="_Toc229296502" w:history="1">
                <w:r w:rsidRPr="009B23AE">
                  <w:rPr>
                    <w:rStyle w:val="Hyperlink"/>
                    <w:rFonts w:ascii="Arial" w:hAnsi="Arial" w:cs="Arial"/>
                    <w:noProof/>
                    <w:lang w:val="en-US"/>
                  </w:rPr>
                  <w:t>1. Strategic Environment and Position</w:t>
                </w:r>
                <w:r>
                  <w:rPr>
                    <w:noProof/>
                    <w:webHidden/>
                  </w:rPr>
                  <w:tab/>
                </w:r>
                <w:r>
                  <w:rPr>
                    <w:noProof/>
                    <w:webHidden/>
                  </w:rPr>
                  <w:fldChar w:fldCharType="begin"/>
                </w:r>
                <w:r>
                  <w:rPr>
                    <w:noProof/>
                    <w:webHidden/>
                  </w:rPr>
                  <w:instrText xml:space="preserve"> PAGEREF _Toc229296502 \h </w:instrText>
                </w:r>
                <w:r>
                  <w:rPr>
                    <w:noProof/>
                    <w:webHidden/>
                  </w:rPr>
                </w:r>
                <w:r>
                  <w:rPr>
                    <w:noProof/>
                    <w:webHidden/>
                  </w:rPr>
                  <w:fldChar w:fldCharType="separate"/>
                </w:r>
                <w:r>
                  <w:rPr>
                    <w:noProof/>
                    <w:webHidden/>
                  </w:rPr>
                  <w:t>4</w:t>
                </w:r>
                <w:r>
                  <w:rPr>
                    <w:noProof/>
                    <w:webHidden/>
                  </w:rPr>
                  <w:fldChar w:fldCharType="end"/>
                </w:r>
              </w:hyperlink>
            </w:p>
            <w:p w14:paraId="70F036F3" w14:textId="29B2E787" w:rsidR="00C74C5B" w:rsidRDefault="00C74C5B">
              <w:pPr>
                <w:pStyle w:val="TOC2"/>
                <w:tabs>
                  <w:tab w:val="right" w:leader="dot" w:pos="9350"/>
                </w:tabs>
                <w:rPr>
                  <w:rFonts w:eastAsiaTheme="minorEastAsia"/>
                  <w:noProof/>
                  <w:sz w:val="24"/>
                  <w:szCs w:val="24"/>
                  <w:lang w:eastAsia="en-GB"/>
                </w:rPr>
              </w:pPr>
              <w:hyperlink w:anchor="_Toc229296503" w:history="1">
                <w:r w:rsidRPr="009B23AE">
                  <w:rPr>
                    <w:rStyle w:val="Hyperlink"/>
                    <w:rFonts w:ascii="Arial" w:hAnsi="Arial" w:cs="Arial"/>
                    <w:noProof/>
                  </w:rPr>
                  <w:t>1.1 External Environment and Industry Dynamics</w:t>
                </w:r>
                <w:r>
                  <w:rPr>
                    <w:noProof/>
                    <w:webHidden/>
                  </w:rPr>
                  <w:tab/>
                </w:r>
                <w:r>
                  <w:rPr>
                    <w:noProof/>
                    <w:webHidden/>
                  </w:rPr>
                  <w:fldChar w:fldCharType="begin"/>
                </w:r>
                <w:r>
                  <w:rPr>
                    <w:noProof/>
                    <w:webHidden/>
                  </w:rPr>
                  <w:instrText xml:space="preserve"> PAGEREF _Toc229296503 \h </w:instrText>
                </w:r>
                <w:r>
                  <w:rPr>
                    <w:noProof/>
                    <w:webHidden/>
                  </w:rPr>
                </w:r>
                <w:r>
                  <w:rPr>
                    <w:noProof/>
                    <w:webHidden/>
                  </w:rPr>
                  <w:fldChar w:fldCharType="separate"/>
                </w:r>
                <w:r>
                  <w:rPr>
                    <w:noProof/>
                    <w:webHidden/>
                  </w:rPr>
                  <w:t>4</w:t>
                </w:r>
                <w:r>
                  <w:rPr>
                    <w:noProof/>
                    <w:webHidden/>
                  </w:rPr>
                  <w:fldChar w:fldCharType="end"/>
                </w:r>
              </w:hyperlink>
            </w:p>
            <w:p w14:paraId="4A7901A9" w14:textId="0A0AD454" w:rsidR="00C74C5B" w:rsidRDefault="00C74C5B">
              <w:pPr>
                <w:pStyle w:val="TOC2"/>
                <w:tabs>
                  <w:tab w:val="right" w:leader="dot" w:pos="9350"/>
                </w:tabs>
                <w:rPr>
                  <w:rFonts w:eastAsiaTheme="minorEastAsia"/>
                  <w:noProof/>
                  <w:sz w:val="24"/>
                  <w:szCs w:val="24"/>
                  <w:lang w:eastAsia="en-GB"/>
                </w:rPr>
              </w:pPr>
              <w:hyperlink w:anchor="_Toc229296504" w:history="1">
                <w:r w:rsidRPr="009B23AE">
                  <w:rPr>
                    <w:rStyle w:val="Hyperlink"/>
                    <w:rFonts w:ascii="Arial" w:hAnsi="Arial" w:cs="Arial"/>
                    <w:noProof/>
                  </w:rPr>
                  <w:t>1.2 Internal Resources, Capabilities and Organisational Context</w:t>
                </w:r>
                <w:r>
                  <w:rPr>
                    <w:noProof/>
                    <w:webHidden/>
                  </w:rPr>
                  <w:tab/>
                </w:r>
                <w:r>
                  <w:rPr>
                    <w:noProof/>
                    <w:webHidden/>
                  </w:rPr>
                  <w:fldChar w:fldCharType="begin"/>
                </w:r>
                <w:r>
                  <w:rPr>
                    <w:noProof/>
                    <w:webHidden/>
                  </w:rPr>
                  <w:instrText xml:space="preserve"> PAGEREF _Toc229296504 \h </w:instrText>
                </w:r>
                <w:r>
                  <w:rPr>
                    <w:noProof/>
                    <w:webHidden/>
                  </w:rPr>
                </w:r>
                <w:r>
                  <w:rPr>
                    <w:noProof/>
                    <w:webHidden/>
                  </w:rPr>
                  <w:fldChar w:fldCharType="separate"/>
                </w:r>
                <w:r>
                  <w:rPr>
                    <w:noProof/>
                    <w:webHidden/>
                  </w:rPr>
                  <w:t>6</w:t>
                </w:r>
                <w:r>
                  <w:rPr>
                    <w:noProof/>
                    <w:webHidden/>
                  </w:rPr>
                  <w:fldChar w:fldCharType="end"/>
                </w:r>
              </w:hyperlink>
            </w:p>
            <w:p w14:paraId="1F419420" w14:textId="42D50895" w:rsidR="00C74C5B" w:rsidRDefault="00C74C5B">
              <w:pPr>
                <w:pStyle w:val="TOC2"/>
                <w:tabs>
                  <w:tab w:val="right" w:leader="dot" w:pos="9350"/>
                </w:tabs>
                <w:rPr>
                  <w:rFonts w:eastAsiaTheme="minorEastAsia"/>
                  <w:noProof/>
                  <w:sz w:val="24"/>
                  <w:szCs w:val="24"/>
                  <w:lang w:eastAsia="en-GB"/>
                </w:rPr>
              </w:pPr>
              <w:hyperlink w:anchor="_Toc229296505" w:history="1">
                <w:r w:rsidRPr="009B23AE">
                  <w:rPr>
                    <w:rStyle w:val="Hyperlink"/>
                    <w:rFonts w:ascii="Arial" w:hAnsi="Arial" w:cs="Arial"/>
                    <w:noProof/>
                  </w:rPr>
                  <w:t>1.3 Mission, Strategic Choices and Market Position</w:t>
                </w:r>
                <w:r>
                  <w:rPr>
                    <w:noProof/>
                    <w:webHidden/>
                  </w:rPr>
                  <w:tab/>
                </w:r>
                <w:r>
                  <w:rPr>
                    <w:noProof/>
                    <w:webHidden/>
                  </w:rPr>
                  <w:fldChar w:fldCharType="begin"/>
                </w:r>
                <w:r>
                  <w:rPr>
                    <w:noProof/>
                    <w:webHidden/>
                  </w:rPr>
                  <w:instrText xml:space="preserve"> PAGEREF _Toc229296505 \h </w:instrText>
                </w:r>
                <w:r>
                  <w:rPr>
                    <w:noProof/>
                    <w:webHidden/>
                  </w:rPr>
                </w:r>
                <w:r>
                  <w:rPr>
                    <w:noProof/>
                    <w:webHidden/>
                  </w:rPr>
                  <w:fldChar w:fldCharType="separate"/>
                </w:r>
                <w:r>
                  <w:rPr>
                    <w:noProof/>
                    <w:webHidden/>
                  </w:rPr>
                  <w:t>7</w:t>
                </w:r>
                <w:r>
                  <w:rPr>
                    <w:noProof/>
                    <w:webHidden/>
                  </w:rPr>
                  <w:fldChar w:fldCharType="end"/>
                </w:r>
              </w:hyperlink>
            </w:p>
            <w:p w14:paraId="31DC6066" w14:textId="664BAE5A" w:rsidR="00C74C5B" w:rsidRDefault="00C74C5B">
              <w:pPr>
                <w:pStyle w:val="TOC1"/>
                <w:tabs>
                  <w:tab w:val="right" w:leader="dot" w:pos="9350"/>
                </w:tabs>
                <w:rPr>
                  <w:rFonts w:eastAsiaTheme="minorEastAsia"/>
                  <w:noProof/>
                  <w:sz w:val="24"/>
                  <w:szCs w:val="24"/>
                  <w:lang w:eastAsia="en-GB"/>
                </w:rPr>
              </w:pPr>
              <w:hyperlink w:anchor="_Toc229296506" w:history="1">
                <w:r w:rsidRPr="009B23AE">
                  <w:rPr>
                    <w:rStyle w:val="Hyperlink"/>
                    <w:rFonts w:ascii="Arial" w:hAnsi="Arial" w:cs="Arial"/>
                    <w:noProof/>
                    <w:lang w:val="en-US"/>
                  </w:rPr>
                  <w:t>2. Strategic Implications in a Digital Context</w:t>
                </w:r>
                <w:r>
                  <w:rPr>
                    <w:noProof/>
                    <w:webHidden/>
                  </w:rPr>
                  <w:tab/>
                </w:r>
                <w:r>
                  <w:rPr>
                    <w:noProof/>
                    <w:webHidden/>
                  </w:rPr>
                  <w:fldChar w:fldCharType="begin"/>
                </w:r>
                <w:r>
                  <w:rPr>
                    <w:noProof/>
                    <w:webHidden/>
                  </w:rPr>
                  <w:instrText xml:space="preserve"> PAGEREF _Toc229296506 \h </w:instrText>
                </w:r>
                <w:r>
                  <w:rPr>
                    <w:noProof/>
                    <w:webHidden/>
                  </w:rPr>
                </w:r>
                <w:r>
                  <w:rPr>
                    <w:noProof/>
                    <w:webHidden/>
                  </w:rPr>
                  <w:fldChar w:fldCharType="separate"/>
                </w:r>
                <w:r>
                  <w:rPr>
                    <w:noProof/>
                    <w:webHidden/>
                  </w:rPr>
                  <w:t>8</w:t>
                </w:r>
                <w:r>
                  <w:rPr>
                    <w:noProof/>
                    <w:webHidden/>
                  </w:rPr>
                  <w:fldChar w:fldCharType="end"/>
                </w:r>
              </w:hyperlink>
            </w:p>
            <w:p w14:paraId="6E6AFB8C" w14:textId="62C7E4DE" w:rsidR="00C74C5B" w:rsidRDefault="00C74C5B">
              <w:pPr>
                <w:pStyle w:val="TOC2"/>
                <w:tabs>
                  <w:tab w:val="right" w:leader="dot" w:pos="9350"/>
                </w:tabs>
                <w:rPr>
                  <w:rFonts w:eastAsiaTheme="minorEastAsia"/>
                  <w:noProof/>
                  <w:sz w:val="24"/>
                  <w:szCs w:val="24"/>
                  <w:lang w:eastAsia="en-GB"/>
                </w:rPr>
              </w:pPr>
              <w:hyperlink w:anchor="_Toc229296507" w:history="1">
                <w:r w:rsidRPr="009B23AE">
                  <w:rPr>
                    <w:rStyle w:val="Hyperlink"/>
                    <w:rFonts w:ascii="Arial" w:hAnsi="Arial" w:cs="Arial"/>
                    <w:noProof/>
                  </w:rPr>
                  <w:t>2.1 Opportunities, Threats and Competitive Position</w:t>
                </w:r>
                <w:r>
                  <w:rPr>
                    <w:noProof/>
                    <w:webHidden/>
                  </w:rPr>
                  <w:tab/>
                </w:r>
                <w:r>
                  <w:rPr>
                    <w:noProof/>
                    <w:webHidden/>
                  </w:rPr>
                  <w:fldChar w:fldCharType="begin"/>
                </w:r>
                <w:r>
                  <w:rPr>
                    <w:noProof/>
                    <w:webHidden/>
                  </w:rPr>
                  <w:instrText xml:space="preserve"> PAGEREF _Toc229296507 \h </w:instrText>
                </w:r>
                <w:r>
                  <w:rPr>
                    <w:noProof/>
                    <w:webHidden/>
                  </w:rPr>
                </w:r>
                <w:r>
                  <w:rPr>
                    <w:noProof/>
                    <w:webHidden/>
                  </w:rPr>
                  <w:fldChar w:fldCharType="separate"/>
                </w:r>
                <w:r>
                  <w:rPr>
                    <w:noProof/>
                    <w:webHidden/>
                  </w:rPr>
                  <w:t>8</w:t>
                </w:r>
                <w:r>
                  <w:rPr>
                    <w:noProof/>
                    <w:webHidden/>
                  </w:rPr>
                  <w:fldChar w:fldCharType="end"/>
                </w:r>
              </w:hyperlink>
            </w:p>
            <w:p w14:paraId="1941298A" w14:textId="16AAE839" w:rsidR="00C74C5B" w:rsidRDefault="00C74C5B">
              <w:pPr>
                <w:pStyle w:val="TOC2"/>
                <w:tabs>
                  <w:tab w:val="right" w:leader="dot" w:pos="9350"/>
                </w:tabs>
                <w:rPr>
                  <w:rFonts w:eastAsiaTheme="minorEastAsia"/>
                  <w:noProof/>
                  <w:sz w:val="24"/>
                  <w:szCs w:val="24"/>
                  <w:lang w:eastAsia="en-GB"/>
                </w:rPr>
              </w:pPr>
              <w:hyperlink w:anchor="_Toc229296508" w:history="1">
                <w:r w:rsidRPr="009B23AE">
                  <w:rPr>
                    <w:rStyle w:val="Hyperlink"/>
                    <w:rFonts w:ascii="Arial" w:hAnsi="Arial" w:cs="Arial"/>
                    <w:noProof/>
                  </w:rPr>
                  <w:t>2.2 Key Strategic Risks</w:t>
                </w:r>
                <w:r>
                  <w:rPr>
                    <w:noProof/>
                    <w:webHidden/>
                  </w:rPr>
                  <w:tab/>
                </w:r>
                <w:r>
                  <w:rPr>
                    <w:noProof/>
                    <w:webHidden/>
                  </w:rPr>
                  <w:fldChar w:fldCharType="begin"/>
                </w:r>
                <w:r>
                  <w:rPr>
                    <w:noProof/>
                    <w:webHidden/>
                  </w:rPr>
                  <w:instrText xml:space="preserve"> PAGEREF _Toc229296508 \h </w:instrText>
                </w:r>
                <w:r>
                  <w:rPr>
                    <w:noProof/>
                    <w:webHidden/>
                  </w:rPr>
                </w:r>
                <w:r>
                  <w:rPr>
                    <w:noProof/>
                    <w:webHidden/>
                  </w:rPr>
                  <w:fldChar w:fldCharType="separate"/>
                </w:r>
                <w:r>
                  <w:rPr>
                    <w:noProof/>
                    <w:webHidden/>
                  </w:rPr>
                  <w:t>10</w:t>
                </w:r>
                <w:r>
                  <w:rPr>
                    <w:noProof/>
                    <w:webHidden/>
                  </w:rPr>
                  <w:fldChar w:fldCharType="end"/>
                </w:r>
              </w:hyperlink>
            </w:p>
            <w:p w14:paraId="73E35A63" w14:textId="2C6034C3" w:rsidR="00C74C5B" w:rsidRDefault="00C74C5B">
              <w:pPr>
                <w:pStyle w:val="TOC2"/>
                <w:tabs>
                  <w:tab w:val="right" w:leader="dot" w:pos="9350"/>
                </w:tabs>
                <w:rPr>
                  <w:rFonts w:eastAsiaTheme="minorEastAsia"/>
                  <w:noProof/>
                  <w:sz w:val="24"/>
                  <w:szCs w:val="24"/>
                  <w:lang w:eastAsia="en-GB"/>
                </w:rPr>
              </w:pPr>
              <w:hyperlink w:anchor="_Toc229296509" w:history="1">
                <w:r w:rsidRPr="009B23AE">
                  <w:rPr>
                    <w:rStyle w:val="Hyperlink"/>
                    <w:rFonts w:ascii="Arial" w:hAnsi="Arial" w:cs="Arial"/>
                    <w:noProof/>
                  </w:rPr>
                  <w:t>2.3 Strategic Options and Recommended Direction</w:t>
                </w:r>
                <w:r>
                  <w:rPr>
                    <w:noProof/>
                    <w:webHidden/>
                  </w:rPr>
                  <w:tab/>
                </w:r>
                <w:r>
                  <w:rPr>
                    <w:noProof/>
                    <w:webHidden/>
                  </w:rPr>
                  <w:fldChar w:fldCharType="begin"/>
                </w:r>
                <w:r>
                  <w:rPr>
                    <w:noProof/>
                    <w:webHidden/>
                  </w:rPr>
                  <w:instrText xml:space="preserve"> PAGEREF _Toc229296509 \h </w:instrText>
                </w:r>
                <w:r>
                  <w:rPr>
                    <w:noProof/>
                    <w:webHidden/>
                  </w:rPr>
                </w:r>
                <w:r>
                  <w:rPr>
                    <w:noProof/>
                    <w:webHidden/>
                  </w:rPr>
                  <w:fldChar w:fldCharType="separate"/>
                </w:r>
                <w:r>
                  <w:rPr>
                    <w:noProof/>
                    <w:webHidden/>
                  </w:rPr>
                  <w:t>11</w:t>
                </w:r>
                <w:r>
                  <w:rPr>
                    <w:noProof/>
                    <w:webHidden/>
                  </w:rPr>
                  <w:fldChar w:fldCharType="end"/>
                </w:r>
              </w:hyperlink>
            </w:p>
            <w:p w14:paraId="740F7E33" w14:textId="6075D4FD" w:rsidR="00C74C5B" w:rsidRDefault="00C74C5B">
              <w:pPr>
                <w:pStyle w:val="TOC1"/>
                <w:tabs>
                  <w:tab w:val="right" w:leader="dot" w:pos="9350"/>
                </w:tabs>
                <w:rPr>
                  <w:rFonts w:eastAsiaTheme="minorEastAsia"/>
                  <w:noProof/>
                  <w:sz w:val="24"/>
                  <w:szCs w:val="24"/>
                  <w:lang w:eastAsia="en-GB"/>
                </w:rPr>
              </w:pPr>
              <w:hyperlink w:anchor="_Toc229296510" w:history="1">
                <w:r w:rsidRPr="009B23AE">
                  <w:rPr>
                    <w:rStyle w:val="Hyperlink"/>
                    <w:rFonts w:ascii="Arial" w:hAnsi="Arial" w:cs="Arial"/>
                    <w:noProof/>
                    <w:lang w:val="en-US"/>
                  </w:rPr>
                  <w:t>Part II - Leadership and Strategic Transformation</w:t>
                </w:r>
                <w:r>
                  <w:rPr>
                    <w:noProof/>
                    <w:webHidden/>
                  </w:rPr>
                  <w:tab/>
                </w:r>
                <w:r>
                  <w:rPr>
                    <w:noProof/>
                    <w:webHidden/>
                  </w:rPr>
                  <w:fldChar w:fldCharType="begin"/>
                </w:r>
                <w:r>
                  <w:rPr>
                    <w:noProof/>
                    <w:webHidden/>
                  </w:rPr>
                  <w:instrText xml:space="preserve"> PAGEREF _Toc229296510 \h </w:instrText>
                </w:r>
                <w:r>
                  <w:rPr>
                    <w:noProof/>
                    <w:webHidden/>
                  </w:rPr>
                </w:r>
                <w:r>
                  <w:rPr>
                    <w:noProof/>
                    <w:webHidden/>
                  </w:rPr>
                  <w:fldChar w:fldCharType="separate"/>
                </w:r>
                <w:r>
                  <w:rPr>
                    <w:noProof/>
                    <w:webHidden/>
                  </w:rPr>
                  <w:t>13</w:t>
                </w:r>
                <w:r>
                  <w:rPr>
                    <w:noProof/>
                    <w:webHidden/>
                  </w:rPr>
                  <w:fldChar w:fldCharType="end"/>
                </w:r>
              </w:hyperlink>
            </w:p>
            <w:p w14:paraId="11695CA5" w14:textId="6BBC379D" w:rsidR="00C74C5B" w:rsidRDefault="00C74C5B">
              <w:pPr>
                <w:pStyle w:val="TOC1"/>
                <w:tabs>
                  <w:tab w:val="right" w:leader="dot" w:pos="9350"/>
                </w:tabs>
                <w:rPr>
                  <w:rFonts w:eastAsiaTheme="minorEastAsia"/>
                  <w:noProof/>
                  <w:sz w:val="24"/>
                  <w:szCs w:val="24"/>
                  <w:lang w:eastAsia="en-GB"/>
                </w:rPr>
              </w:pPr>
              <w:hyperlink w:anchor="_Toc229296511" w:history="1">
                <w:r w:rsidRPr="009B23AE">
                  <w:rPr>
                    <w:rStyle w:val="Hyperlink"/>
                    <w:rFonts w:ascii="Arial" w:hAnsi="Arial" w:cs="Arial"/>
                    <w:noProof/>
                    <w:lang w:val="en-US"/>
                  </w:rPr>
                  <w:t>3. Leadership Perspectives in Digital Strategic Change</w:t>
                </w:r>
                <w:r>
                  <w:rPr>
                    <w:noProof/>
                    <w:webHidden/>
                  </w:rPr>
                  <w:tab/>
                </w:r>
                <w:r>
                  <w:rPr>
                    <w:noProof/>
                    <w:webHidden/>
                  </w:rPr>
                  <w:fldChar w:fldCharType="begin"/>
                </w:r>
                <w:r>
                  <w:rPr>
                    <w:noProof/>
                    <w:webHidden/>
                  </w:rPr>
                  <w:instrText xml:space="preserve"> PAGEREF _Toc229296511 \h </w:instrText>
                </w:r>
                <w:r>
                  <w:rPr>
                    <w:noProof/>
                    <w:webHidden/>
                  </w:rPr>
                </w:r>
                <w:r>
                  <w:rPr>
                    <w:noProof/>
                    <w:webHidden/>
                  </w:rPr>
                  <w:fldChar w:fldCharType="separate"/>
                </w:r>
                <w:r>
                  <w:rPr>
                    <w:noProof/>
                    <w:webHidden/>
                  </w:rPr>
                  <w:t>13</w:t>
                </w:r>
                <w:r>
                  <w:rPr>
                    <w:noProof/>
                    <w:webHidden/>
                  </w:rPr>
                  <w:fldChar w:fldCharType="end"/>
                </w:r>
              </w:hyperlink>
            </w:p>
            <w:p w14:paraId="1213F1FF" w14:textId="737481C5" w:rsidR="00C74C5B" w:rsidRDefault="00C74C5B">
              <w:pPr>
                <w:pStyle w:val="TOC2"/>
                <w:tabs>
                  <w:tab w:val="right" w:leader="dot" w:pos="9350"/>
                </w:tabs>
                <w:rPr>
                  <w:rFonts w:eastAsiaTheme="minorEastAsia"/>
                  <w:noProof/>
                  <w:sz w:val="24"/>
                  <w:szCs w:val="24"/>
                  <w:lang w:eastAsia="en-GB"/>
                </w:rPr>
              </w:pPr>
              <w:hyperlink w:anchor="_Toc229296512" w:history="1">
                <w:r w:rsidRPr="009B23AE">
                  <w:rPr>
                    <w:rStyle w:val="Hyperlink"/>
                    <w:rFonts w:ascii="Arial" w:hAnsi="Arial" w:cs="Arial"/>
                    <w:noProof/>
                  </w:rPr>
                  <w:t>3.1 Transformational and Adaptive Leadership Approaches</w:t>
                </w:r>
                <w:r>
                  <w:rPr>
                    <w:noProof/>
                    <w:webHidden/>
                  </w:rPr>
                  <w:tab/>
                </w:r>
                <w:r>
                  <w:rPr>
                    <w:noProof/>
                    <w:webHidden/>
                  </w:rPr>
                  <w:fldChar w:fldCharType="begin"/>
                </w:r>
                <w:r>
                  <w:rPr>
                    <w:noProof/>
                    <w:webHidden/>
                  </w:rPr>
                  <w:instrText xml:space="preserve"> PAGEREF _Toc229296512 \h </w:instrText>
                </w:r>
                <w:r>
                  <w:rPr>
                    <w:noProof/>
                    <w:webHidden/>
                  </w:rPr>
                </w:r>
                <w:r>
                  <w:rPr>
                    <w:noProof/>
                    <w:webHidden/>
                  </w:rPr>
                  <w:fldChar w:fldCharType="separate"/>
                </w:r>
                <w:r>
                  <w:rPr>
                    <w:noProof/>
                    <w:webHidden/>
                  </w:rPr>
                  <w:t>13</w:t>
                </w:r>
                <w:r>
                  <w:rPr>
                    <w:noProof/>
                    <w:webHidden/>
                  </w:rPr>
                  <w:fldChar w:fldCharType="end"/>
                </w:r>
              </w:hyperlink>
            </w:p>
            <w:p w14:paraId="22378520" w14:textId="3064A4A9" w:rsidR="00C74C5B" w:rsidRDefault="00C74C5B">
              <w:pPr>
                <w:pStyle w:val="TOC2"/>
                <w:tabs>
                  <w:tab w:val="right" w:leader="dot" w:pos="9350"/>
                </w:tabs>
                <w:rPr>
                  <w:rFonts w:eastAsiaTheme="minorEastAsia"/>
                  <w:noProof/>
                  <w:sz w:val="24"/>
                  <w:szCs w:val="24"/>
                  <w:lang w:eastAsia="en-GB"/>
                </w:rPr>
              </w:pPr>
              <w:hyperlink w:anchor="_Toc229296513" w:history="1">
                <w:r w:rsidRPr="009B23AE">
                  <w:rPr>
                    <w:rStyle w:val="Hyperlink"/>
                    <w:rFonts w:ascii="Arial" w:hAnsi="Arial" w:cs="Arial"/>
                    <w:noProof/>
                  </w:rPr>
                  <w:t>3.2 Organisational Application and Critical Evaluation</w:t>
                </w:r>
                <w:r>
                  <w:rPr>
                    <w:noProof/>
                    <w:webHidden/>
                  </w:rPr>
                  <w:tab/>
                </w:r>
                <w:r>
                  <w:rPr>
                    <w:noProof/>
                    <w:webHidden/>
                  </w:rPr>
                  <w:fldChar w:fldCharType="begin"/>
                </w:r>
                <w:r>
                  <w:rPr>
                    <w:noProof/>
                    <w:webHidden/>
                  </w:rPr>
                  <w:instrText xml:space="preserve"> PAGEREF _Toc229296513 \h </w:instrText>
                </w:r>
                <w:r>
                  <w:rPr>
                    <w:noProof/>
                    <w:webHidden/>
                  </w:rPr>
                </w:r>
                <w:r>
                  <w:rPr>
                    <w:noProof/>
                    <w:webHidden/>
                  </w:rPr>
                  <w:fldChar w:fldCharType="separate"/>
                </w:r>
                <w:r>
                  <w:rPr>
                    <w:noProof/>
                    <w:webHidden/>
                  </w:rPr>
                  <w:t>14</w:t>
                </w:r>
                <w:r>
                  <w:rPr>
                    <w:noProof/>
                    <w:webHidden/>
                  </w:rPr>
                  <w:fldChar w:fldCharType="end"/>
                </w:r>
              </w:hyperlink>
            </w:p>
            <w:p w14:paraId="46FAED06" w14:textId="47093704" w:rsidR="00C74C5B" w:rsidRDefault="00C74C5B">
              <w:pPr>
                <w:pStyle w:val="TOC2"/>
                <w:tabs>
                  <w:tab w:val="right" w:leader="dot" w:pos="9350"/>
                </w:tabs>
                <w:rPr>
                  <w:rFonts w:eastAsiaTheme="minorEastAsia"/>
                  <w:noProof/>
                  <w:sz w:val="24"/>
                  <w:szCs w:val="24"/>
                  <w:lang w:eastAsia="en-GB"/>
                </w:rPr>
              </w:pPr>
              <w:hyperlink w:anchor="_Toc229296514" w:history="1">
                <w:r w:rsidRPr="009B23AE">
                  <w:rPr>
                    <w:rStyle w:val="Hyperlink"/>
                    <w:rFonts w:ascii="Arial" w:hAnsi="Arial" w:cs="Arial"/>
                    <w:noProof/>
                  </w:rPr>
                  <w:t>3.3 Evaluation of Likelihood of Strategic Success</w:t>
                </w:r>
                <w:r>
                  <w:rPr>
                    <w:noProof/>
                    <w:webHidden/>
                  </w:rPr>
                  <w:tab/>
                </w:r>
                <w:r>
                  <w:rPr>
                    <w:noProof/>
                    <w:webHidden/>
                  </w:rPr>
                  <w:fldChar w:fldCharType="begin"/>
                </w:r>
                <w:r>
                  <w:rPr>
                    <w:noProof/>
                    <w:webHidden/>
                  </w:rPr>
                  <w:instrText xml:space="preserve"> PAGEREF _Toc229296514 \h </w:instrText>
                </w:r>
                <w:r>
                  <w:rPr>
                    <w:noProof/>
                    <w:webHidden/>
                  </w:rPr>
                </w:r>
                <w:r>
                  <w:rPr>
                    <w:noProof/>
                    <w:webHidden/>
                  </w:rPr>
                  <w:fldChar w:fldCharType="separate"/>
                </w:r>
                <w:r>
                  <w:rPr>
                    <w:noProof/>
                    <w:webHidden/>
                  </w:rPr>
                  <w:t>15</w:t>
                </w:r>
                <w:r>
                  <w:rPr>
                    <w:noProof/>
                    <w:webHidden/>
                  </w:rPr>
                  <w:fldChar w:fldCharType="end"/>
                </w:r>
              </w:hyperlink>
            </w:p>
            <w:p w14:paraId="2363D533" w14:textId="0CC9CF11" w:rsidR="00C74C5B" w:rsidRDefault="00C74C5B">
              <w:pPr>
                <w:pStyle w:val="TOC1"/>
                <w:tabs>
                  <w:tab w:val="right" w:leader="dot" w:pos="9350"/>
                </w:tabs>
                <w:rPr>
                  <w:rFonts w:eastAsiaTheme="minorEastAsia"/>
                  <w:noProof/>
                  <w:sz w:val="24"/>
                  <w:szCs w:val="24"/>
                  <w:lang w:eastAsia="en-GB"/>
                </w:rPr>
              </w:pPr>
              <w:hyperlink w:anchor="_Toc229296515" w:history="1">
                <w:r w:rsidRPr="009B23AE">
                  <w:rPr>
                    <w:rStyle w:val="Hyperlink"/>
                    <w:rFonts w:ascii="Arial" w:hAnsi="Arial" w:cs="Arial"/>
                    <w:noProof/>
                    <w:lang w:val="en-US"/>
                  </w:rPr>
                  <w:t>Part III - Recommendations and Implementation</w:t>
                </w:r>
                <w:r>
                  <w:rPr>
                    <w:noProof/>
                    <w:webHidden/>
                  </w:rPr>
                  <w:tab/>
                </w:r>
                <w:r>
                  <w:rPr>
                    <w:noProof/>
                    <w:webHidden/>
                  </w:rPr>
                  <w:fldChar w:fldCharType="begin"/>
                </w:r>
                <w:r>
                  <w:rPr>
                    <w:noProof/>
                    <w:webHidden/>
                  </w:rPr>
                  <w:instrText xml:space="preserve"> PAGEREF _Toc229296515 \h </w:instrText>
                </w:r>
                <w:r>
                  <w:rPr>
                    <w:noProof/>
                    <w:webHidden/>
                  </w:rPr>
                </w:r>
                <w:r>
                  <w:rPr>
                    <w:noProof/>
                    <w:webHidden/>
                  </w:rPr>
                  <w:fldChar w:fldCharType="separate"/>
                </w:r>
                <w:r>
                  <w:rPr>
                    <w:noProof/>
                    <w:webHidden/>
                  </w:rPr>
                  <w:t>17</w:t>
                </w:r>
                <w:r>
                  <w:rPr>
                    <w:noProof/>
                    <w:webHidden/>
                  </w:rPr>
                  <w:fldChar w:fldCharType="end"/>
                </w:r>
              </w:hyperlink>
            </w:p>
            <w:p w14:paraId="47F6CD15" w14:textId="2B5BED56" w:rsidR="00C74C5B" w:rsidRDefault="00C74C5B">
              <w:pPr>
                <w:pStyle w:val="TOC1"/>
                <w:tabs>
                  <w:tab w:val="right" w:leader="dot" w:pos="9350"/>
                </w:tabs>
                <w:rPr>
                  <w:rFonts w:eastAsiaTheme="minorEastAsia"/>
                  <w:noProof/>
                  <w:sz w:val="24"/>
                  <w:szCs w:val="24"/>
                  <w:lang w:eastAsia="en-GB"/>
                </w:rPr>
              </w:pPr>
              <w:hyperlink w:anchor="_Toc229296516" w:history="1">
                <w:r w:rsidRPr="009B23AE">
                  <w:rPr>
                    <w:rStyle w:val="Hyperlink"/>
                    <w:rFonts w:ascii="Arial" w:hAnsi="Arial" w:cs="Arial"/>
                    <w:noProof/>
                    <w:lang w:val="en-US"/>
                  </w:rPr>
                  <w:t>4. Strategic Recommendations and Objectives</w:t>
                </w:r>
                <w:r>
                  <w:rPr>
                    <w:noProof/>
                    <w:webHidden/>
                  </w:rPr>
                  <w:tab/>
                </w:r>
                <w:r>
                  <w:rPr>
                    <w:noProof/>
                    <w:webHidden/>
                  </w:rPr>
                  <w:fldChar w:fldCharType="begin"/>
                </w:r>
                <w:r>
                  <w:rPr>
                    <w:noProof/>
                    <w:webHidden/>
                  </w:rPr>
                  <w:instrText xml:space="preserve"> PAGEREF _Toc229296516 \h </w:instrText>
                </w:r>
                <w:r>
                  <w:rPr>
                    <w:noProof/>
                    <w:webHidden/>
                  </w:rPr>
                </w:r>
                <w:r>
                  <w:rPr>
                    <w:noProof/>
                    <w:webHidden/>
                  </w:rPr>
                  <w:fldChar w:fldCharType="separate"/>
                </w:r>
                <w:r>
                  <w:rPr>
                    <w:noProof/>
                    <w:webHidden/>
                  </w:rPr>
                  <w:t>17</w:t>
                </w:r>
                <w:r>
                  <w:rPr>
                    <w:noProof/>
                    <w:webHidden/>
                  </w:rPr>
                  <w:fldChar w:fldCharType="end"/>
                </w:r>
              </w:hyperlink>
            </w:p>
            <w:p w14:paraId="62268A60" w14:textId="7C8D4FA0" w:rsidR="00C74C5B" w:rsidRDefault="00C74C5B">
              <w:pPr>
                <w:pStyle w:val="TOC1"/>
                <w:tabs>
                  <w:tab w:val="right" w:leader="dot" w:pos="9350"/>
                </w:tabs>
                <w:rPr>
                  <w:rFonts w:eastAsiaTheme="minorEastAsia"/>
                  <w:noProof/>
                  <w:sz w:val="24"/>
                  <w:szCs w:val="24"/>
                  <w:lang w:eastAsia="en-GB"/>
                </w:rPr>
              </w:pPr>
              <w:hyperlink w:anchor="_Toc229296517" w:history="1">
                <w:r w:rsidRPr="009B23AE">
                  <w:rPr>
                    <w:rStyle w:val="Hyperlink"/>
                    <w:rFonts w:ascii="Arial" w:hAnsi="Arial" w:cs="Arial"/>
                    <w:noProof/>
                    <w:lang w:val="en-US"/>
                  </w:rPr>
                  <w:t>5. From Current State to Desired Future State</w:t>
                </w:r>
                <w:r>
                  <w:rPr>
                    <w:noProof/>
                    <w:webHidden/>
                  </w:rPr>
                  <w:tab/>
                </w:r>
                <w:r>
                  <w:rPr>
                    <w:noProof/>
                    <w:webHidden/>
                  </w:rPr>
                  <w:fldChar w:fldCharType="begin"/>
                </w:r>
                <w:r>
                  <w:rPr>
                    <w:noProof/>
                    <w:webHidden/>
                  </w:rPr>
                  <w:instrText xml:space="preserve"> PAGEREF _Toc229296517 \h </w:instrText>
                </w:r>
                <w:r>
                  <w:rPr>
                    <w:noProof/>
                    <w:webHidden/>
                  </w:rPr>
                </w:r>
                <w:r>
                  <w:rPr>
                    <w:noProof/>
                    <w:webHidden/>
                  </w:rPr>
                  <w:fldChar w:fldCharType="separate"/>
                </w:r>
                <w:r>
                  <w:rPr>
                    <w:noProof/>
                    <w:webHidden/>
                  </w:rPr>
                  <w:t>19</w:t>
                </w:r>
                <w:r>
                  <w:rPr>
                    <w:noProof/>
                    <w:webHidden/>
                  </w:rPr>
                  <w:fldChar w:fldCharType="end"/>
                </w:r>
              </w:hyperlink>
            </w:p>
            <w:p w14:paraId="7B97665A" w14:textId="00AB921B" w:rsidR="00C74C5B" w:rsidRDefault="00C74C5B">
              <w:pPr>
                <w:pStyle w:val="TOC2"/>
                <w:tabs>
                  <w:tab w:val="right" w:leader="dot" w:pos="9350"/>
                </w:tabs>
                <w:rPr>
                  <w:rFonts w:eastAsiaTheme="minorEastAsia"/>
                  <w:noProof/>
                  <w:sz w:val="24"/>
                  <w:szCs w:val="24"/>
                  <w:lang w:eastAsia="en-GB"/>
                </w:rPr>
              </w:pPr>
              <w:hyperlink w:anchor="_Toc229296518" w:history="1">
                <w:r w:rsidRPr="009B23AE">
                  <w:rPr>
                    <w:rStyle w:val="Hyperlink"/>
                    <w:rFonts w:ascii="Arial" w:hAnsi="Arial" w:cs="Arial"/>
                    <w:noProof/>
                  </w:rPr>
                  <w:t>5.1 Gap Analysis</w:t>
                </w:r>
                <w:r>
                  <w:rPr>
                    <w:noProof/>
                    <w:webHidden/>
                  </w:rPr>
                  <w:tab/>
                </w:r>
                <w:r>
                  <w:rPr>
                    <w:noProof/>
                    <w:webHidden/>
                  </w:rPr>
                  <w:fldChar w:fldCharType="begin"/>
                </w:r>
                <w:r>
                  <w:rPr>
                    <w:noProof/>
                    <w:webHidden/>
                  </w:rPr>
                  <w:instrText xml:space="preserve"> PAGEREF _Toc229296518 \h </w:instrText>
                </w:r>
                <w:r>
                  <w:rPr>
                    <w:noProof/>
                    <w:webHidden/>
                  </w:rPr>
                </w:r>
                <w:r>
                  <w:rPr>
                    <w:noProof/>
                    <w:webHidden/>
                  </w:rPr>
                  <w:fldChar w:fldCharType="separate"/>
                </w:r>
                <w:r>
                  <w:rPr>
                    <w:noProof/>
                    <w:webHidden/>
                  </w:rPr>
                  <w:t>19</w:t>
                </w:r>
                <w:r>
                  <w:rPr>
                    <w:noProof/>
                    <w:webHidden/>
                  </w:rPr>
                  <w:fldChar w:fldCharType="end"/>
                </w:r>
              </w:hyperlink>
            </w:p>
            <w:p w14:paraId="7A3E96F5" w14:textId="0C0F66CF" w:rsidR="00C74C5B" w:rsidRDefault="00C74C5B">
              <w:pPr>
                <w:pStyle w:val="TOC2"/>
                <w:tabs>
                  <w:tab w:val="right" w:leader="dot" w:pos="9350"/>
                </w:tabs>
                <w:rPr>
                  <w:rFonts w:eastAsiaTheme="minorEastAsia"/>
                  <w:noProof/>
                  <w:sz w:val="24"/>
                  <w:szCs w:val="24"/>
                  <w:lang w:eastAsia="en-GB"/>
                </w:rPr>
              </w:pPr>
              <w:hyperlink w:anchor="_Toc229296519" w:history="1">
                <w:r w:rsidRPr="009B23AE">
                  <w:rPr>
                    <w:rStyle w:val="Hyperlink"/>
                    <w:rFonts w:ascii="Arial" w:hAnsi="Arial" w:cs="Arial"/>
                    <w:noProof/>
                  </w:rPr>
                  <w:t>5.2 Change Implementation Framework</w:t>
                </w:r>
                <w:r>
                  <w:rPr>
                    <w:noProof/>
                    <w:webHidden/>
                  </w:rPr>
                  <w:tab/>
                </w:r>
                <w:r>
                  <w:rPr>
                    <w:noProof/>
                    <w:webHidden/>
                  </w:rPr>
                  <w:fldChar w:fldCharType="begin"/>
                </w:r>
                <w:r>
                  <w:rPr>
                    <w:noProof/>
                    <w:webHidden/>
                  </w:rPr>
                  <w:instrText xml:space="preserve"> PAGEREF _Toc229296519 \h </w:instrText>
                </w:r>
                <w:r>
                  <w:rPr>
                    <w:noProof/>
                    <w:webHidden/>
                  </w:rPr>
                </w:r>
                <w:r>
                  <w:rPr>
                    <w:noProof/>
                    <w:webHidden/>
                  </w:rPr>
                  <w:fldChar w:fldCharType="separate"/>
                </w:r>
                <w:r>
                  <w:rPr>
                    <w:noProof/>
                    <w:webHidden/>
                  </w:rPr>
                  <w:t>20</w:t>
                </w:r>
                <w:r>
                  <w:rPr>
                    <w:noProof/>
                    <w:webHidden/>
                  </w:rPr>
                  <w:fldChar w:fldCharType="end"/>
                </w:r>
              </w:hyperlink>
            </w:p>
            <w:p w14:paraId="4E323668" w14:textId="6789EED8" w:rsidR="00C74C5B" w:rsidRDefault="00C74C5B">
              <w:pPr>
                <w:pStyle w:val="TOC2"/>
                <w:tabs>
                  <w:tab w:val="right" w:leader="dot" w:pos="9350"/>
                </w:tabs>
                <w:rPr>
                  <w:rFonts w:eastAsiaTheme="minorEastAsia"/>
                  <w:noProof/>
                  <w:sz w:val="24"/>
                  <w:szCs w:val="24"/>
                  <w:lang w:eastAsia="en-GB"/>
                </w:rPr>
              </w:pPr>
              <w:hyperlink w:anchor="_Toc229296520" w:history="1">
                <w:r w:rsidRPr="009B23AE">
                  <w:rPr>
                    <w:rStyle w:val="Hyperlink"/>
                    <w:rFonts w:ascii="Arial" w:hAnsi="Arial" w:cs="Arial"/>
                    <w:noProof/>
                  </w:rPr>
                  <w:t>5.3 Organisational Functions and Structural Implications</w:t>
                </w:r>
                <w:r>
                  <w:rPr>
                    <w:noProof/>
                    <w:webHidden/>
                  </w:rPr>
                  <w:tab/>
                </w:r>
                <w:r>
                  <w:rPr>
                    <w:noProof/>
                    <w:webHidden/>
                  </w:rPr>
                  <w:fldChar w:fldCharType="begin"/>
                </w:r>
                <w:r>
                  <w:rPr>
                    <w:noProof/>
                    <w:webHidden/>
                  </w:rPr>
                  <w:instrText xml:space="preserve"> PAGEREF _Toc229296520 \h </w:instrText>
                </w:r>
                <w:r>
                  <w:rPr>
                    <w:noProof/>
                    <w:webHidden/>
                  </w:rPr>
                </w:r>
                <w:r>
                  <w:rPr>
                    <w:noProof/>
                    <w:webHidden/>
                  </w:rPr>
                  <w:fldChar w:fldCharType="separate"/>
                </w:r>
                <w:r>
                  <w:rPr>
                    <w:noProof/>
                    <w:webHidden/>
                  </w:rPr>
                  <w:t>21</w:t>
                </w:r>
                <w:r>
                  <w:rPr>
                    <w:noProof/>
                    <w:webHidden/>
                  </w:rPr>
                  <w:fldChar w:fldCharType="end"/>
                </w:r>
              </w:hyperlink>
            </w:p>
            <w:p w14:paraId="775E01EE" w14:textId="6824A154" w:rsidR="00C74C5B" w:rsidRDefault="00C74C5B">
              <w:pPr>
                <w:pStyle w:val="TOC2"/>
                <w:tabs>
                  <w:tab w:val="right" w:leader="dot" w:pos="9350"/>
                </w:tabs>
                <w:rPr>
                  <w:rFonts w:eastAsiaTheme="minorEastAsia"/>
                  <w:noProof/>
                  <w:sz w:val="24"/>
                  <w:szCs w:val="24"/>
                  <w:lang w:eastAsia="en-GB"/>
                </w:rPr>
              </w:pPr>
              <w:hyperlink w:anchor="_Toc229296521" w:history="1">
                <w:r w:rsidRPr="009B23AE">
                  <w:rPr>
                    <w:rStyle w:val="Hyperlink"/>
                    <w:rFonts w:ascii="Arial" w:hAnsi="Arial" w:cs="Arial"/>
                    <w:noProof/>
                  </w:rPr>
                  <w:t>5.4 Governance, Capabilities and Risk Management</w:t>
                </w:r>
                <w:r>
                  <w:rPr>
                    <w:noProof/>
                    <w:webHidden/>
                  </w:rPr>
                  <w:tab/>
                </w:r>
                <w:r>
                  <w:rPr>
                    <w:noProof/>
                    <w:webHidden/>
                  </w:rPr>
                  <w:fldChar w:fldCharType="begin"/>
                </w:r>
                <w:r>
                  <w:rPr>
                    <w:noProof/>
                    <w:webHidden/>
                  </w:rPr>
                  <w:instrText xml:space="preserve"> PAGEREF _Toc229296521 \h </w:instrText>
                </w:r>
                <w:r>
                  <w:rPr>
                    <w:noProof/>
                    <w:webHidden/>
                  </w:rPr>
                </w:r>
                <w:r>
                  <w:rPr>
                    <w:noProof/>
                    <w:webHidden/>
                  </w:rPr>
                  <w:fldChar w:fldCharType="separate"/>
                </w:r>
                <w:r>
                  <w:rPr>
                    <w:noProof/>
                    <w:webHidden/>
                  </w:rPr>
                  <w:t>22</w:t>
                </w:r>
                <w:r>
                  <w:rPr>
                    <w:noProof/>
                    <w:webHidden/>
                  </w:rPr>
                  <w:fldChar w:fldCharType="end"/>
                </w:r>
              </w:hyperlink>
            </w:p>
            <w:p w14:paraId="6C7CF29B" w14:textId="2A3B3ADA" w:rsidR="00C74C5B" w:rsidRDefault="00C74C5B">
              <w:pPr>
                <w:pStyle w:val="TOC2"/>
                <w:tabs>
                  <w:tab w:val="right" w:leader="dot" w:pos="9350"/>
                </w:tabs>
                <w:rPr>
                  <w:rFonts w:eastAsiaTheme="minorEastAsia"/>
                  <w:noProof/>
                  <w:sz w:val="24"/>
                  <w:szCs w:val="24"/>
                  <w:lang w:eastAsia="en-GB"/>
                </w:rPr>
              </w:pPr>
              <w:hyperlink w:anchor="_Toc229296522" w:history="1">
                <w:r w:rsidRPr="009B23AE">
                  <w:rPr>
                    <w:rStyle w:val="Hyperlink"/>
                    <w:rFonts w:ascii="Arial" w:hAnsi="Arial" w:cs="Arial"/>
                    <w:noProof/>
                  </w:rPr>
                  <w:t>5.5 Barriers to Investment and Conditions for Success</w:t>
                </w:r>
                <w:r>
                  <w:rPr>
                    <w:noProof/>
                    <w:webHidden/>
                  </w:rPr>
                  <w:tab/>
                </w:r>
                <w:r>
                  <w:rPr>
                    <w:noProof/>
                    <w:webHidden/>
                  </w:rPr>
                  <w:fldChar w:fldCharType="begin"/>
                </w:r>
                <w:r>
                  <w:rPr>
                    <w:noProof/>
                    <w:webHidden/>
                  </w:rPr>
                  <w:instrText xml:space="preserve"> PAGEREF _Toc229296522 \h </w:instrText>
                </w:r>
                <w:r>
                  <w:rPr>
                    <w:noProof/>
                    <w:webHidden/>
                  </w:rPr>
                </w:r>
                <w:r>
                  <w:rPr>
                    <w:noProof/>
                    <w:webHidden/>
                  </w:rPr>
                  <w:fldChar w:fldCharType="separate"/>
                </w:r>
                <w:r>
                  <w:rPr>
                    <w:noProof/>
                    <w:webHidden/>
                  </w:rPr>
                  <w:t>23</w:t>
                </w:r>
                <w:r>
                  <w:rPr>
                    <w:noProof/>
                    <w:webHidden/>
                  </w:rPr>
                  <w:fldChar w:fldCharType="end"/>
                </w:r>
              </w:hyperlink>
            </w:p>
            <w:p w14:paraId="10741AEC" w14:textId="60A8B3FB" w:rsidR="00C74C5B" w:rsidRDefault="00C74C5B">
              <w:pPr>
                <w:pStyle w:val="TOC1"/>
                <w:tabs>
                  <w:tab w:val="right" w:leader="dot" w:pos="9350"/>
                </w:tabs>
                <w:rPr>
                  <w:rFonts w:eastAsiaTheme="minorEastAsia"/>
                  <w:noProof/>
                  <w:sz w:val="24"/>
                  <w:szCs w:val="24"/>
                  <w:lang w:eastAsia="en-GB"/>
                </w:rPr>
              </w:pPr>
              <w:hyperlink w:anchor="_Toc229296523" w:history="1">
                <w:r w:rsidRPr="009B23AE">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_Toc229296523 \h </w:instrText>
                </w:r>
                <w:r>
                  <w:rPr>
                    <w:noProof/>
                    <w:webHidden/>
                  </w:rPr>
                </w:r>
                <w:r>
                  <w:rPr>
                    <w:noProof/>
                    <w:webHidden/>
                  </w:rPr>
                  <w:fldChar w:fldCharType="separate"/>
                </w:r>
                <w:r>
                  <w:rPr>
                    <w:noProof/>
                    <w:webHidden/>
                  </w:rPr>
                  <w:t>25</w:t>
                </w:r>
                <w:r>
                  <w:rPr>
                    <w:noProof/>
                    <w:webHidden/>
                  </w:rPr>
                  <w:fldChar w:fldCharType="end"/>
                </w:r>
              </w:hyperlink>
            </w:p>
            <w:p w14:paraId="513997E4" w14:textId="78FBAE97" w:rsidR="00C74C5B" w:rsidRDefault="00C74C5B">
              <w:pPr>
                <w:pStyle w:val="TOC1"/>
                <w:tabs>
                  <w:tab w:val="right" w:leader="dot" w:pos="9350"/>
                </w:tabs>
                <w:rPr>
                  <w:rFonts w:eastAsiaTheme="minorEastAsia"/>
                  <w:noProof/>
                  <w:sz w:val="24"/>
                  <w:szCs w:val="24"/>
                  <w:lang w:eastAsia="en-GB"/>
                </w:rPr>
              </w:pPr>
              <w:hyperlink w:anchor="_Toc229296524" w:history="1">
                <w:r w:rsidRPr="009B23AE">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_Toc229296524 \h </w:instrText>
                </w:r>
                <w:r>
                  <w:rPr>
                    <w:noProof/>
                    <w:webHidden/>
                  </w:rPr>
                </w:r>
                <w:r>
                  <w:rPr>
                    <w:noProof/>
                    <w:webHidden/>
                  </w:rPr>
                  <w:fldChar w:fldCharType="separate"/>
                </w:r>
                <w:r>
                  <w:rPr>
                    <w:noProof/>
                    <w:webHidden/>
                  </w:rPr>
                  <w:t>26</w:t>
                </w:r>
                <w:r>
                  <w:rPr>
                    <w:noProof/>
                    <w:webHidden/>
                  </w:rPr>
                  <w:fldChar w:fldCharType="end"/>
                </w:r>
              </w:hyperlink>
            </w:p>
            <w:p w14:paraId="2984DC99" w14:textId="5C0459B8" w:rsidR="00C74C5B" w:rsidRDefault="00C74C5B">
              <w:pPr>
                <w:pStyle w:val="TOC1"/>
                <w:tabs>
                  <w:tab w:val="right" w:leader="dot" w:pos="9350"/>
                </w:tabs>
                <w:rPr>
                  <w:rFonts w:eastAsiaTheme="minorEastAsia"/>
                  <w:noProof/>
                  <w:sz w:val="24"/>
                  <w:szCs w:val="24"/>
                  <w:lang w:eastAsia="en-GB"/>
                </w:rPr>
              </w:pPr>
              <w:hyperlink w:anchor="_Toc229296525" w:history="1">
                <w:r w:rsidRPr="009B23AE">
                  <w:rPr>
                    <w:rStyle w:val="Hyperlink"/>
                    <w:rFonts w:ascii="Arial" w:hAnsi="Arial" w:cs="Arial"/>
                    <w:noProof/>
                    <w:lang w:val="en-US"/>
                  </w:rPr>
                  <w:t>Apendices</w:t>
                </w:r>
                <w:r>
                  <w:rPr>
                    <w:noProof/>
                    <w:webHidden/>
                  </w:rPr>
                  <w:tab/>
                </w:r>
                <w:r>
                  <w:rPr>
                    <w:noProof/>
                    <w:webHidden/>
                  </w:rPr>
                  <w:fldChar w:fldCharType="begin"/>
                </w:r>
                <w:r>
                  <w:rPr>
                    <w:noProof/>
                    <w:webHidden/>
                  </w:rPr>
                  <w:instrText xml:space="preserve"> PAGEREF _Toc229296525 \h </w:instrText>
                </w:r>
                <w:r>
                  <w:rPr>
                    <w:noProof/>
                    <w:webHidden/>
                  </w:rPr>
                </w:r>
                <w:r>
                  <w:rPr>
                    <w:noProof/>
                    <w:webHidden/>
                  </w:rPr>
                  <w:fldChar w:fldCharType="separate"/>
                </w:r>
                <w:r>
                  <w:rPr>
                    <w:noProof/>
                    <w:webHidden/>
                  </w:rPr>
                  <w:t>30</w:t>
                </w:r>
                <w:r>
                  <w:rPr>
                    <w:noProof/>
                    <w:webHidden/>
                  </w:rPr>
                  <w:fldChar w:fldCharType="end"/>
                </w:r>
              </w:hyperlink>
            </w:p>
            <w:p w14:paraId="32D06E53" w14:textId="690F9A18" w:rsidR="00D939CC" w:rsidRPr="00BE6515" w:rsidRDefault="00D939CC">
              <w:pPr>
                <w:rPr>
                  <w:rFonts w:ascii="Arial" w:hAnsi="Arial" w:cs="Arial"/>
                  <w:color w:val="000000" w:themeColor="text1"/>
                </w:rPr>
              </w:pPr>
              <w:r w:rsidRPr="00BE6515">
                <w:rPr>
                  <w:rFonts w:ascii="Arial" w:hAnsi="Arial" w:cs="Arial"/>
                  <w:b/>
                  <w:bCs/>
                  <w:noProof/>
                  <w:color w:val="000000" w:themeColor="text1"/>
                </w:rPr>
                <w:fldChar w:fldCharType="end"/>
              </w:r>
            </w:p>
          </w:sdtContent>
        </w:sdt>
        <w:p w14:paraId="384AB39C" w14:textId="3D32CC56" w:rsidR="00D939CC" w:rsidRPr="00BE6515" w:rsidRDefault="00000000">
          <w:pPr>
            <w:rPr>
              <w:rFonts w:ascii="Arial" w:eastAsiaTheme="majorEastAsia" w:hAnsi="Arial" w:cs="Arial"/>
              <w:color w:val="000000" w:themeColor="text1"/>
              <w:sz w:val="40"/>
              <w:szCs w:val="40"/>
              <w:lang w:val="en-US"/>
            </w:rPr>
          </w:pPr>
        </w:p>
      </w:sdtContent>
    </w:sdt>
    <w:p w14:paraId="19935860" w14:textId="22E62D9A" w:rsidR="00D939CC" w:rsidRPr="00BE6515" w:rsidRDefault="00136BF3" w:rsidP="00D939CC">
      <w:pPr>
        <w:pStyle w:val="Heading1"/>
        <w:jc w:val="center"/>
        <w:rPr>
          <w:rFonts w:ascii="Arial" w:hAnsi="Arial" w:cs="Arial"/>
          <w:color w:val="000000" w:themeColor="text1"/>
          <w:lang w:val="en-US"/>
        </w:rPr>
      </w:pPr>
      <w:bookmarkStart w:id="1" w:name="_Toc229296500"/>
      <w:r w:rsidRPr="00BE6515">
        <w:rPr>
          <w:rFonts w:ascii="Arial" w:hAnsi="Arial" w:cs="Arial"/>
          <w:color w:val="000000" w:themeColor="text1"/>
          <w:lang w:val="en-US"/>
        </w:rPr>
        <w:lastRenderedPageBreak/>
        <w:t>Introduction</w:t>
      </w:r>
      <w:bookmarkEnd w:id="1"/>
    </w:p>
    <w:p w14:paraId="64920346" w14:textId="77777777" w:rsidR="00AD722E" w:rsidRPr="00BE6515" w:rsidRDefault="00AD722E" w:rsidP="00AD722E">
      <w:pPr>
        <w:rPr>
          <w:rFonts w:ascii="Arial" w:hAnsi="Arial" w:cs="Arial"/>
          <w:lang w:val="en-US"/>
        </w:rPr>
      </w:pPr>
    </w:p>
    <w:p w14:paraId="4A470B7E" w14:textId="34A24B3F" w:rsidR="00467692" w:rsidRPr="00BE6515" w:rsidRDefault="00467692" w:rsidP="00467692">
      <w:pPr>
        <w:pStyle w:val="NormalWeb"/>
        <w:rPr>
          <w:rFonts w:ascii="Arial" w:hAnsi="Arial" w:cs="Arial"/>
          <w:lang w:val="en"/>
        </w:rPr>
      </w:pPr>
      <w:r w:rsidRPr="00BE6515">
        <w:rPr>
          <w:rFonts w:ascii="Arial" w:hAnsi="Arial" w:cs="Arial"/>
          <w:lang w:val="en"/>
        </w:rPr>
        <w:t>J Sainsbury plc is one of the leading food retailers in the United Kingdom, operating supermarkets, convenience stores and digital platforms in a sector characterised by intense competition and constant pressure on profit margins (J Sainsbury plc, 2024). The UK food retail market is mature, with intense rivalry between traditional retailers and discounters, and low switching costs for consumers amplify competitive pressure (Porter, 1980). In this context, competitive advantage can no longer be sustained solely through price positioning or physical expansion, but through the coherent integration of digital and operational capabilities.</w:t>
      </w:r>
    </w:p>
    <w:p w14:paraId="2290BCA3" w14:textId="5788AA18" w:rsidR="00467692" w:rsidRPr="00BE6515" w:rsidRDefault="00467692" w:rsidP="00467692">
      <w:pPr>
        <w:pStyle w:val="NormalWeb"/>
        <w:rPr>
          <w:rFonts w:ascii="Arial" w:hAnsi="Arial" w:cs="Arial"/>
          <w:lang w:val="en-GB"/>
        </w:rPr>
      </w:pPr>
      <w:r w:rsidRPr="00BE6515">
        <w:rPr>
          <w:rFonts w:ascii="Arial" w:hAnsi="Arial" w:cs="Arial"/>
          <w:lang w:val="en"/>
        </w:rPr>
        <w:t>Digital transformation has fundamentally changed the way value is created and captured in retail. The digitisation of supply chains, the use of advanced data analytics to personalise offers and the development of omnichannel channels have become central determinants of competitive performance (Bharadwaj et al., 2013). In an environment of rapid technological change, organisations must develop dynamic capabilities that enable them to identify emerging opportunities, capitalise on them, and reconfigure their resources to respond to external pressures (Teece, 2007). For an organisation of Sainsbury's size and complexity, this reconfiguration involves aligning digital strategies with internal structure, culture, and processes.</w:t>
      </w:r>
    </w:p>
    <w:p w14:paraId="0B46B0E4" w14:textId="77777777" w:rsidR="00467692" w:rsidRPr="00BE6515" w:rsidRDefault="00467692" w:rsidP="00467692">
      <w:pPr>
        <w:rPr>
          <w:rFonts w:ascii="Arial" w:eastAsia="Times New Roman" w:hAnsi="Arial" w:cs="Arial"/>
          <w:kern w:val="0"/>
          <w:sz w:val="24"/>
          <w:szCs w:val="24"/>
          <w:lang w:val="en"/>
        </w:rPr>
      </w:pPr>
      <w:r w:rsidRPr="00BE6515">
        <w:rPr>
          <w:rFonts w:ascii="Arial" w:eastAsia="Times New Roman" w:hAnsi="Arial" w:cs="Arial"/>
          <w:kern w:val="0"/>
          <w:sz w:val="24"/>
          <w:szCs w:val="24"/>
          <w:lang w:val="en"/>
        </w:rPr>
        <w:t>This framework sets out the central strategic question of this report: as the UK food retail market matures and digital transformation accelerates, to what extent can J Sainsbury plc adapt its strategic capabilities and organisational structure to support long-term value creation, without increasing operational and financial risks? This tension reflects the need to balance investment in technology and operational efficiency with maintaining profitability and organisational resilience.</w:t>
      </w:r>
    </w:p>
    <w:p w14:paraId="31FCD63F" w14:textId="03134A59" w:rsidR="00467692" w:rsidRPr="00BE6515" w:rsidRDefault="00467692" w:rsidP="00467692">
      <w:pPr>
        <w:rPr>
          <w:rFonts w:ascii="Arial" w:eastAsia="Times New Roman" w:hAnsi="Arial" w:cs="Arial"/>
          <w:kern w:val="0"/>
          <w:sz w:val="24"/>
          <w:szCs w:val="24"/>
        </w:rPr>
      </w:pPr>
      <w:r w:rsidRPr="00BE6515">
        <w:rPr>
          <w:rFonts w:ascii="Arial" w:eastAsia="Times New Roman" w:hAnsi="Arial" w:cs="Arial"/>
          <w:kern w:val="0"/>
          <w:sz w:val="24"/>
          <w:szCs w:val="24"/>
          <w:lang w:val="en"/>
        </w:rPr>
        <w:t>The purpose of this report is to assess J Sainsbury plc's strategic position in the context of digital developments and competitive pressures, identify key strategic implications, and formulate viable options to strengthen sustainable competitive advantage. The report then analyses two theoretical leadership perspectives relevant to implementing strategic transformation and assesses their likelihood of success. Based on this analysis, substantiated recommendations are made, and an implementation framework is presented that includes an analysis of the strategic gap, the implications for organisational functions and structure, and the risks associated with the change process.</w:t>
      </w:r>
    </w:p>
    <w:p w14:paraId="66DB4778" w14:textId="41D6CB0D" w:rsidR="00AD722E" w:rsidRPr="00BE6515" w:rsidRDefault="00AD722E" w:rsidP="00AD722E">
      <w:pPr>
        <w:rPr>
          <w:rFonts w:ascii="Arial" w:hAnsi="Arial" w:cs="Arial"/>
        </w:rPr>
      </w:pPr>
    </w:p>
    <w:p w14:paraId="5D0F7C51" w14:textId="77777777" w:rsidR="00467692" w:rsidRPr="00BE6515" w:rsidRDefault="00467692" w:rsidP="00AD722E">
      <w:pPr>
        <w:rPr>
          <w:rFonts w:ascii="Arial" w:hAnsi="Arial" w:cs="Arial"/>
        </w:rPr>
      </w:pPr>
    </w:p>
    <w:p w14:paraId="30F97300" w14:textId="77777777" w:rsidR="00467692" w:rsidRPr="00BE6515" w:rsidRDefault="00467692" w:rsidP="00AD722E">
      <w:pPr>
        <w:rPr>
          <w:rFonts w:ascii="Arial" w:hAnsi="Arial" w:cs="Arial"/>
        </w:rPr>
      </w:pPr>
    </w:p>
    <w:p w14:paraId="5A4F3C66" w14:textId="5437168A" w:rsidR="00136BF3" w:rsidRPr="00BE6515" w:rsidRDefault="00136BF3" w:rsidP="00136BF3">
      <w:pPr>
        <w:pStyle w:val="Heading1"/>
        <w:rPr>
          <w:rFonts w:ascii="Arial" w:hAnsi="Arial" w:cs="Arial"/>
          <w:color w:val="000000" w:themeColor="text1"/>
          <w:lang w:val="en-US"/>
        </w:rPr>
      </w:pPr>
      <w:bookmarkStart w:id="2" w:name="_Toc229296501"/>
      <w:r w:rsidRPr="00BE6515">
        <w:rPr>
          <w:rFonts w:ascii="Arial" w:hAnsi="Arial" w:cs="Arial"/>
          <w:color w:val="000000" w:themeColor="text1"/>
          <w:lang w:val="en-US"/>
        </w:rPr>
        <w:lastRenderedPageBreak/>
        <w:t xml:space="preserve">Part I </w:t>
      </w:r>
      <w:r w:rsidR="00D939CC" w:rsidRPr="00BE6515">
        <w:rPr>
          <w:rFonts w:ascii="Arial" w:hAnsi="Arial" w:cs="Arial"/>
          <w:color w:val="000000" w:themeColor="text1"/>
          <w:lang w:val="en-US"/>
        </w:rPr>
        <w:t xml:space="preserve">- </w:t>
      </w:r>
      <w:r w:rsidRPr="00BE6515">
        <w:rPr>
          <w:rFonts w:ascii="Arial" w:hAnsi="Arial" w:cs="Arial"/>
          <w:color w:val="000000" w:themeColor="text1"/>
          <w:lang w:val="en-US"/>
        </w:rPr>
        <w:t>Strategic Analysis</w:t>
      </w:r>
      <w:bookmarkEnd w:id="2"/>
    </w:p>
    <w:p w14:paraId="645C9A19" w14:textId="6D94CF02" w:rsidR="00136BF3" w:rsidRPr="00BE6515" w:rsidRDefault="00D939CC" w:rsidP="00D939CC">
      <w:pPr>
        <w:pStyle w:val="Heading1"/>
        <w:rPr>
          <w:rFonts w:ascii="Arial" w:hAnsi="Arial" w:cs="Arial"/>
          <w:color w:val="000000" w:themeColor="text1"/>
          <w:lang w:val="en-US"/>
        </w:rPr>
      </w:pPr>
      <w:bookmarkStart w:id="3" w:name="_Toc229296502"/>
      <w:r w:rsidRPr="00BE6515">
        <w:rPr>
          <w:rFonts w:ascii="Arial" w:hAnsi="Arial" w:cs="Arial"/>
          <w:color w:val="000000" w:themeColor="text1"/>
          <w:lang w:val="en-US"/>
        </w:rPr>
        <w:t xml:space="preserve">1. </w:t>
      </w:r>
      <w:r w:rsidR="00136BF3" w:rsidRPr="00BE6515">
        <w:rPr>
          <w:rFonts w:ascii="Arial" w:hAnsi="Arial" w:cs="Arial"/>
          <w:color w:val="000000" w:themeColor="text1"/>
          <w:lang w:val="en-US"/>
        </w:rPr>
        <w:t>Strategic Environment and Position</w:t>
      </w:r>
      <w:bookmarkEnd w:id="3"/>
    </w:p>
    <w:p w14:paraId="0CD80D6F" w14:textId="77777777" w:rsidR="00136BF3" w:rsidRPr="00BE6515" w:rsidRDefault="00136BF3" w:rsidP="00AD722E">
      <w:pPr>
        <w:pStyle w:val="Heading2"/>
        <w:rPr>
          <w:rFonts w:ascii="Arial" w:hAnsi="Arial" w:cs="Arial"/>
          <w:color w:val="000000" w:themeColor="text1"/>
        </w:rPr>
      </w:pPr>
      <w:r w:rsidRPr="00BE6515">
        <w:rPr>
          <w:rFonts w:ascii="Arial" w:hAnsi="Arial" w:cs="Arial"/>
          <w:lang w:val="en-US"/>
        </w:rPr>
        <w:br/>
      </w:r>
      <w:bookmarkStart w:id="4" w:name="_Toc229296503"/>
      <w:r w:rsidRPr="00BE6515">
        <w:rPr>
          <w:rFonts w:ascii="Arial" w:hAnsi="Arial" w:cs="Arial"/>
          <w:color w:val="000000" w:themeColor="text1"/>
        </w:rPr>
        <w:t> </w:t>
      </w:r>
      <w:r w:rsidRPr="00BE6515">
        <w:rPr>
          <w:rStyle w:val="Heading2Char"/>
          <w:rFonts w:ascii="Arial" w:hAnsi="Arial" w:cs="Arial"/>
          <w:color w:val="000000" w:themeColor="text1"/>
        </w:rPr>
        <w:t>1</w:t>
      </w:r>
      <w:r w:rsidRPr="00BE6515">
        <w:rPr>
          <w:rFonts w:ascii="Arial" w:hAnsi="Arial" w:cs="Arial"/>
          <w:color w:val="000000" w:themeColor="text1"/>
        </w:rPr>
        <w:t>.1 External Environment and Industry Dynamics</w:t>
      </w:r>
      <w:bookmarkEnd w:id="4"/>
    </w:p>
    <w:p w14:paraId="24AF7992" w14:textId="2C401296" w:rsidR="00467692" w:rsidRPr="0038708F" w:rsidRDefault="00467692" w:rsidP="00467692">
      <w:pPr>
        <w:rPr>
          <w:rFonts w:ascii="Arial" w:hAnsi="Arial" w:cs="Arial"/>
          <w:sz w:val="24"/>
          <w:szCs w:val="24"/>
          <w:lang w:val="en"/>
        </w:rPr>
      </w:pPr>
      <w:r w:rsidRPr="0038708F">
        <w:rPr>
          <w:rFonts w:ascii="Arial" w:hAnsi="Arial" w:cs="Arial"/>
          <w:sz w:val="24"/>
          <w:szCs w:val="24"/>
          <w:lang w:val="en"/>
        </w:rPr>
        <w:t>Assessing J Sainsbury plc's strategic position in a mature, competitive sector requires an integrated analysis of macro-environmental pressures and the industry structure. The PESTLE analysis summarised in Figure 1 (Appendix) highlights the external factors shaping the organisation's strategic context, while Porter's Five Forces model provides a framework for assessing the structural constraints on long-term profitability (Porter, 1980; Johnson, Scholes and Whittington, 2020).</w:t>
      </w:r>
    </w:p>
    <w:p w14:paraId="7AD7A7C8" w14:textId="06702DBC" w:rsidR="00467692" w:rsidRPr="0038708F" w:rsidRDefault="00467692" w:rsidP="00467692">
      <w:pPr>
        <w:rPr>
          <w:rFonts w:ascii="Arial" w:hAnsi="Arial" w:cs="Arial"/>
          <w:sz w:val="24"/>
          <w:szCs w:val="24"/>
        </w:rPr>
      </w:pPr>
      <w:r w:rsidRPr="0038708F">
        <w:rPr>
          <w:rFonts w:ascii="Arial" w:hAnsi="Arial" w:cs="Arial"/>
          <w:sz w:val="24"/>
          <w:szCs w:val="24"/>
          <w:lang w:val="en"/>
        </w:rPr>
        <w:t>As shown in Figure 1, the political-legal environment is characterised by strict regulations on data protection, competition, and sustainability standards. These generate compliance costs and limit the flexibility to exploit data in digital initiatives (UK Government, 2023). Economic size increases pressure on margins, as inflation and greater price sensitivity reduce the scope for differentiation solely through pricing adjustments (PwC, 2023).</w:t>
      </w:r>
    </w:p>
    <w:p w14:paraId="76CABC67" w14:textId="18406033" w:rsidR="00467692" w:rsidRDefault="0038708F" w:rsidP="00467692">
      <w:pPr>
        <w:rPr>
          <w:rFonts w:ascii="Arial" w:hAnsi="Arial" w:cs="Arial"/>
          <w:sz w:val="24"/>
          <w:szCs w:val="24"/>
          <w:lang w:val="en"/>
        </w:rPr>
      </w:pPr>
      <w:r w:rsidRPr="0038708F">
        <w:rPr>
          <w:rFonts w:ascii="Arial" w:hAnsi="Arial" w:cs="Arial"/>
          <w:noProof/>
          <w:sz w:val="24"/>
          <w:szCs w:val="24"/>
        </w:rPr>
        <w:drawing>
          <wp:anchor distT="0" distB="0" distL="114300" distR="114300" simplePos="0" relativeHeight="251661312" behindDoc="0" locked="0" layoutInCell="1" allowOverlap="1" wp14:anchorId="1FE8C63E" wp14:editId="4722F1B4">
            <wp:simplePos x="0" y="0"/>
            <wp:positionH relativeFrom="column">
              <wp:posOffset>1618488</wp:posOffset>
            </wp:positionH>
            <wp:positionV relativeFrom="paragraph">
              <wp:posOffset>1287145</wp:posOffset>
            </wp:positionV>
            <wp:extent cx="2719758" cy="2288376"/>
            <wp:effectExtent l="0" t="0" r="4445" b="0"/>
            <wp:wrapNone/>
            <wp:docPr id="1465863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63617" name=""/>
                    <pic:cNvPicPr/>
                  </pic:nvPicPr>
                  <pic:blipFill>
                    <a:blip r:embed="rId9"/>
                    <a:stretch>
                      <a:fillRect/>
                    </a:stretch>
                  </pic:blipFill>
                  <pic:spPr>
                    <a:xfrm>
                      <a:off x="0" y="0"/>
                      <a:ext cx="2719758" cy="2288376"/>
                    </a:xfrm>
                    <a:prstGeom prst="rect">
                      <a:avLst/>
                    </a:prstGeom>
                  </pic:spPr>
                </pic:pic>
              </a:graphicData>
            </a:graphic>
            <wp14:sizeRelH relativeFrom="margin">
              <wp14:pctWidth>0</wp14:pctWidth>
            </wp14:sizeRelH>
            <wp14:sizeRelV relativeFrom="margin">
              <wp14:pctHeight>0</wp14:pctHeight>
            </wp14:sizeRelV>
          </wp:anchor>
        </w:drawing>
      </w:r>
      <w:r w:rsidR="00467692" w:rsidRPr="0038708F">
        <w:rPr>
          <w:rFonts w:ascii="Arial" w:hAnsi="Arial" w:cs="Arial"/>
          <w:sz w:val="24"/>
          <w:szCs w:val="24"/>
          <w:lang w:val="en"/>
        </w:rPr>
        <w:t>However, social and technological factors are the main drivers of the sector's transformation. Changing consumer behaviour towards omnichannel models and personalised experiences is redefining the criteria for retail competitiveness (Verhoef et al., 2021). At the same time, the integration of digital technologies involves both opportunities for efficiency and operational optimisation, as well as increased exposure to cyber risks and infrastructural complexity.</w:t>
      </w:r>
    </w:p>
    <w:p w14:paraId="1F24494D" w14:textId="19562118" w:rsidR="0038708F" w:rsidRDefault="0038708F" w:rsidP="00467692">
      <w:pPr>
        <w:rPr>
          <w:rFonts w:ascii="Arial" w:hAnsi="Arial" w:cs="Arial"/>
          <w:sz w:val="24"/>
          <w:szCs w:val="24"/>
        </w:rPr>
      </w:pPr>
    </w:p>
    <w:p w14:paraId="73DEB3B5" w14:textId="550B0E48" w:rsidR="0038708F" w:rsidRDefault="0038708F" w:rsidP="00467692">
      <w:pPr>
        <w:rPr>
          <w:rFonts w:ascii="Arial" w:hAnsi="Arial" w:cs="Arial"/>
          <w:sz w:val="24"/>
          <w:szCs w:val="24"/>
        </w:rPr>
      </w:pPr>
    </w:p>
    <w:p w14:paraId="4FC75A55" w14:textId="77777777" w:rsidR="0038708F" w:rsidRDefault="0038708F" w:rsidP="00467692">
      <w:pPr>
        <w:rPr>
          <w:rFonts w:ascii="Arial" w:hAnsi="Arial" w:cs="Arial"/>
          <w:sz w:val="24"/>
          <w:szCs w:val="24"/>
        </w:rPr>
      </w:pPr>
    </w:p>
    <w:p w14:paraId="3958CDDE" w14:textId="77777777" w:rsidR="0038708F" w:rsidRDefault="0038708F" w:rsidP="00467692">
      <w:pPr>
        <w:rPr>
          <w:rFonts w:ascii="Arial" w:hAnsi="Arial" w:cs="Arial"/>
          <w:sz w:val="24"/>
          <w:szCs w:val="24"/>
        </w:rPr>
      </w:pPr>
    </w:p>
    <w:p w14:paraId="59B1A740" w14:textId="77777777" w:rsidR="0038708F" w:rsidRDefault="0038708F" w:rsidP="00467692">
      <w:pPr>
        <w:rPr>
          <w:rFonts w:ascii="Arial" w:hAnsi="Arial" w:cs="Arial"/>
          <w:sz w:val="24"/>
          <w:szCs w:val="24"/>
        </w:rPr>
      </w:pPr>
    </w:p>
    <w:p w14:paraId="740F582C" w14:textId="77777777" w:rsidR="0038708F" w:rsidRDefault="0038708F" w:rsidP="00467692">
      <w:pPr>
        <w:rPr>
          <w:rFonts w:ascii="Arial" w:hAnsi="Arial" w:cs="Arial"/>
          <w:sz w:val="24"/>
          <w:szCs w:val="24"/>
        </w:rPr>
      </w:pPr>
    </w:p>
    <w:p w14:paraId="745F036C" w14:textId="77777777" w:rsidR="0038708F" w:rsidRDefault="0038708F" w:rsidP="00467692">
      <w:pPr>
        <w:rPr>
          <w:rFonts w:ascii="Arial" w:hAnsi="Arial" w:cs="Arial"/>
          <w:sz w:val="24"/>
          <w:szCs w:val="24"/>
        </w:rPr>
      </w:pPr>
    </w:p>
    <w:p w14:paraId="0D7878BF" w14:textId="608D3FDA" w:rsidR="00467692" w:rsidRPr="0038708F" w:rsidRDefault="00467692" w:rsidP="00467692">
      <w:pPr>
        <w:jc w:val="center"/>
        <w:rPr>
          <w:rFonts w:ascii="Arial" w:hAnsi="Arial" w:cs="Arial"/>
          <w:b/>
          <w:bCs/>
          <w:sz w:val="24"/>
          <w:szCs w:val="24"/>
        </w:rPr>
      </w:pPr>
      <w:r w:rsidRPr="0038708F">
        <w:rPr>
          <w:rFonts w:ascii="Arial" w:hAnsi="Arial" w:cs="Arial"/>
          <w:sz w:val="24"/>
          <w:szCs w:val="24"/>
        </w:rPr>
        <w:t>Fig</w:t>
      </w:r>
      <w:r w:rsidR="0038708F" w:rsidRPr="0038708F">
        <w:rPr>
          <w:rFonts w:ascii="Arial" w:hAnsi="Arial" w:cs="Arial"/>
          <w:sz w:val="24"/>
          <w:szCs w:val="24"/>
        </w:rPr>
        <w:t>ure</w:t>
      </w:r>
      <w:r w:rsidRPr="0038708F">
        <w:rPr>
          <w:rFonts w:ascii="Arial" w:hAnsi="Arial" w:cs="Arial"/>
          <w:sz w:val="24"/>
          <w:szCs w:val="24"/>
        </w:rPr>
        <w:t xml:space="preserve"> 1</w:t>
      </w:r>
      <w:r w:rsidR="004F0C7C">
        <w:rPr>
          <w:rFonts w:ascii="Arial" w:hAnsi="Arial" w:cs="Arial"/>
          <w:sz w:val="24"/>
          <w:szCs w:val="24"/>
        </w:rPr>
        <w:t>:</w:t>
      </w:r>
      <w:r w:rsidRPr="0038708F">
        <w:rPr>
          <w:rFonts w:ascii="Arial" w:hAnsi="Arial" w:cs="Arial"/>
          <w:sz w:val="24"/>
          <w:szCs w:val="24"/>
        </w:rPr>
        <w:t xml:space="preserve"> PESTLE Analysis -J Sainsbury plc</w:t>
      </w:r>
    </w:p>
    <w:p w14:paraId="32CC497F" w14:textId="77777777" w:rsidR="00F140C8" w:rsidRDefault="00467692" w:rsidP="00467692">
      <w:pPr>
        <w:rPr>
          <w:rFonts w:ascii="Arial" w:hAnsi="Arial" w:cs="Arial"/>
          <w:sz w:val="24"/>
          <w:szCs w:val="24"/>
        </w:rPr>
      </w:pPr>
      <w:r w:rsidRPr="0038708F">
        <w:rPr>
          <w:rFonts w:ascii="Arial" w:hAnsi="Arial" w:cs="Arial"/>
          <w:sz w:val="24"/>
          <w:szCs w:val="24"/>
          <w:lang w:val="en"/>
        </w:rPr>
        <w:lastRenderedPageBreak/>
        <w:t xml:space="preserve">The analysis of the industry structure using the Porter model, summarised in Figure 2 (Appendix), confirms the intensity of competitive pressure in the British food retail industry. </w:t>
      </w:r>
      <w:r w:rsidR="00F140C8" w:rsidRPr="00F140C8">
        <w:rPr>
          <w:rFonts w:ascii="Arial" w:hAnsi="Arial" w:cs="Arial"/>
          <w:sz w:val="24"/>
          <w:szCs w:val="24"/>
        </w:rPr>
        <w:t>Rivalry between existing competitors is high, fuelled by sustained price competition and the continued expansion of discount retailers in the UK market (Deloitte, 2023). The bargaining power of buyers remains significant, supported by low switching costs and heightened price transparency in a digitally enabled retail environment.</w:t>
      </w:r>
    </w:p>
    <w:p w14:paraId="54BFC838" w14:textId="2EDB6C08" w:rsidR="00467692" w:rsidRPr="0038708F" w:rsidRDefault="00467692" w:rsidP="00467692">
      <w:pPr>
        <w:rPr>
          <w:rFonts w:ascii="Arial" w:hAnsi="Arial" w:cs="Arial"/>
          <w:sz w:val="24"/>
          <w:szCs w:val="24"/>
        </w:rPr>
      </w:pPr>
      <w:r w:rsidRPr="0038708F">
        <w:rPr>
          <w:rFonts w:ascii="Arial" w:hAnsi="Arial" w:cs="Arial"/>
          <w:sz w:val="24"/>
          <w:szCs w:val="24"/>
          <w:lang w:val="en"/>
        </w:rPr>
        <w:t>Although economies of scale offer advantages to large retailers, digitalisation reduces some entry barriers, facilitating the emergence of agile online models. According to the theory of industrial structure, these pressures limit the average profitability of the sector and increase the importance of strategic differentiation (Porter, 1980; Grant, 2019).</w:t>
      </w:r>
    </w:p>
    <w:p w14:paraId="422E796F" w14:textId="48A13DB0" w:rsidR="00467692" w:rsidRPr="00BE6515" w:rsidRDefault="0038708F" w:rsidP="00467692">
      <w:pPr>
        <w:jc w:val="center"/>
        <w:rPr>
          <w:rFonts w:ascii="Arial" w:hAnsi="Arial" w:cs="Arial"/>
        </w:rPr>
      </w:pPr>
      <w:r>
        <w:rPr>
          <w:rFonts w:ascii="Arial" w:hAnsi="Arial" w:cs="Arial"/>
          <w:noProof/>
        </w:rPr>
        <w:drawing>
          <wp:anchor distT="0" distB="0" distL="114300" distR="114300" simplePos="0" relativeHeight="251662336" behindDoc="0" locked="0" layoutInCell="1" allowOverlap="1" wp14:anchorId="06C93231" wp14:editId="22FB6E90">
            <wp:simplePos x="0" y="0"/>
            <wp:positionH relativeFrom="column">
              <wp:posOffset>1216025</wp:posOffset>
            </wp:positionH>
            <wp:positionV relativeFrom="paragraph">
              <wp:posOffset>85725</wp:posOffset>
            </wp:positionV>
            <wp:extent cx="3345942" cy="3111255"/>
            <wp:effectExtent l="0" t="0" r="6985" b="0"/>
            <wp:wrapNone/>
            <wp:docPr id="1294374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942" cy="3111255"/>
                    </a:xfrm>
                    <a:prstGeom prst="rect">
                      <a:avLst/>
                    </a:prstGeom>
                    <a:noFill/>
                  </pic:spPr>
                </pic:pic>
              </a:graphicData>
            </a:graphic>
            <wp14:sizeRelH relativeFrom="page">
              <wp14:pctWidth>0</wp14:pctWidth>
            </wp14:sizeRelH>
            <wp14:sizeRelV relativeFrom="page">
              <wp14:pctHeight>0</wp14:pctHeight>
            </wp14:sizeRelV>
          </wp:anchor>
        </w:drawing>
      </w:r>
    </w:p>
    <w:p w14:paraId="50CD8902" w14:textId="406B508F" w:rsidR="0038708F" w:rsidRDefault="0038708F" w:rsidP="0038708F">
      <w:pPr>
        <w:jc w:val="center"/>
        <w:rPr>
          <w:rFonts w:ascii="Arial" w:hAnsi="Arial" w:cs="Arial"/>
        </w:rPr>
      </w:pPr>
    </w:p>
    <w:p w14:paraId="31733F35" w14:textId="52FC524E" w:rsidR="0038708F" w:rsidRDefault="0038708F" w:rsidP="0038708F">
      <w:pPr>
        <w:jc w:val="center"/>
        <w:rPr>
          <w:rFonts w:ascii="Arial" w:hAnsi="Arial" w:cs="Arial"/>
        </w:rPr>
      </w:pPr>
    </w:p>
    <w:p w14:paraId="70EDC9D4" w14:textId="77777777" w:rsidR="0038708F" w:rsidRDefault="0038708F" w:rsidP="0038708F">
      <w:pPr>
        <w:jc w:val="center"/>
        <w:rPr>
          <w:rFonts w:ascii="Arial" w:hAnsi="Arial" w:cs="Arial"/>
        </w:rPr>
      </w:pPr>
    </w:p>
    <w:p w14:paraId="4DB48344" w14:textId="77777777" w:rsidR="0038708F" w:rsidRDefault="0038708F" w:rsidP="0038708F">
      <w:pPr>
        <w:jc w:val="center"/>
        <w:rPr>
          <w:rFonts w:ascii="Arial" w:hAnsi="Arial" w:cs="Arial"/>
        </w:rPr>
      </w:pPr>
    </w:p>
    <w:p w14:paraId="645C8CEC" w14:textId="77777777" w:rsidR="0038708F" w:rsidRDefault="0038708F" w:rsidP="0038708F">
      <w:pPr>
        <w:jc w:val="center"/>
        <w:rPr>
          <w:rFonts w:ascii="Arial" w:hAnsi="Arial" w:cs="Arial"/>
        </w:rPr>
      </w:pPr>
    </w:p>
    <w:p w14:paraId="3AC7DE31" w14:textId="77777777" w:rsidR="0038708F" w:rsidRDefault="0038708F" w:rsidP="0038708F">
      <w:pPr>
        <w:jc w:val="center"/>
        <w:rPr>
          <w:rFonts w:ascii="Arial" w:hAnsi="Arial" w:cs="Arial"/>
        </w:rPr>
      </w:pPr>
    </w:p>
    <w:p w14:paraId="47AE8A99" w14:textId="77777777" w:rsidR="0038708F" w:rsidRDefault="0038708F" w:rsidP="0038708F">
      <w:pPr>
        <w:jc w:val="center"/>
        <w:rPr>
          <w:rFonts w:ascii="Arial" w:hAnsi="Arial" w:cs="Arial"/>
        </w:rPr>
      </w:pPr>
    </w:p>
    <w:p w14:paraId="5E2B8195" w14:textId="77777777" w:rsidR="0038708F" w:rsidRDefault="0038708F" w:rsidP="0038708F">
      <w:pPr>
        <w:jc w:val="center"/>
        <w:rPr>
          <w:rFonts w:ascii="Arial" w:hAnsi="Arial" w:cs="Arial"/>
        </w:rPr>
      </w:pPr>
    </w:p>
    <w:p w14:paraId="7CEA1F50" w14:textId="77777777" w:rsidR="0038708F" w:rsidRDefault="0038708F" w:rsidP="0038708F">
      <w:pPr>
        <w:jc w:val="center"/>
        <w:rPr>
          <w:rFonts w:ascii="Arial" w:hAnsi="Arial" w:cs="Arial"/>
        </w:rPr>
      </w:pPr>
    </w:p>
    <w:p w14:paraId="38067016" w14:textId="77777777" w:rsidR="0038708F" w:rsidRPr="0038708F" w:rsidRDefault="0038708F" w:rsidP="0038708F">
      <w:pPr>
        <w:jc w:val="center"/>
        <w:rPr>
          <w:rFonts w:ascii="Arial" w:hAnsi="Arial" w:cs="Arial"/>
        </w:rPr>
      </w:pPr>
    </w:p>
    <w:p w14:paraId="780E0410" w14:textId="6BDBD5DE" w:rsidR="0038708F" w:rsidRPr="0038708F" w:rsidRDefault="0038708F" w:rsidP="0038708F">
      <w:pPr>
        <w:jc w:val="center"/>
        <w:rPr>
          <w:rFonts w:ascii="Arial" w:hAnsi="Arial" w:cs="Arial"/>
          <w:sz w:val="24"/>
          <w:szCs w:val="24"/>
        </w:rPr>
      </w:pPr>
      <w:r w:rsidRPr="0038708F">
        <w:rPr>
          <w:rFonts w:ascii="Arial" w:hAnsi="Arial" w:cs="Arial"/>
          <w:sz w:val="24"/>
          <w:szCs w:val="24"/>
        </w:rPr>
        <w:t>Figure 2</w:t>
      </w:r>
      <w:r w:rsidR="004F0C7C">
        <w:rPr>
          <w:rFonts w:ascii="Arial" w:hAnsi="Arial" w:cs="Arial"/>
          <w:sz w:val="24"/>
          <w:szCs w:val="24"/>
        </w:rPr>
        <w:t>:</w:t>
      </w:r>
      <w:r w:rsidRPr="0038708F">
        <w:rPr>
          <w:rFonts w:ascii="Arial" w:hAnsi="Arial" w:cs="Arial"/>
          <w:sz w:val="24"/>
          <w:szCs w:val="24"/>
        </w:rPr>
        <w:t xml:space="preserve"> Porter's Five Forces – UK Grocery Retail Sector</w:t>
      </w:r>
    </w:p>
    <w:p w14:paraId="25BF3276" w14:textId="77777777" w:rsidR="00467692" w:rsidRPr="0038708F" w:rsidRDefault="00467692" w:rsidP="00467692">
      <w:pPr>
        <w:jc w:val="center"/>
        <w:rPr>
          <w:rFonts w:ascii="Arial" w:hAnsi="Arial" w:cs="Arial"/>
          <w:sz w:val="24"/>
          <w:szCs w:val="24"/>
        </w:rPr>
      </w:pPr>
    </w:p>
    <w:p w14:paraId="1CF5B24C" w14:textId="2E23FEE7" w:rsidR="00467692" w:rsidRPr="0038708F" w:rsidRDefault="00467692" w:rsidP="00467692">
      <w:pPr>
        <w:rPr>
          <w:rFonts w:ascii="Arial" w:hAnsi="Arial" w:cs="Arial"/>
          <w:sz w:val="24"/>
          <w:szCs w:val="24"/>
          <w:lang w:val="en"/>
        </w:rPr>
      </w:pPr>
      <w:r w:rsidRPr="0038708F">
        <w:rPr>
          <w:rFonts w:ascii="Arial" w:hAnsi="Arial" w:cs="Arial"/>
          <w:sz w:val="24"/>
          <w:szCs w:val="24"/>
          <w:lang w:val="en"/>
        </w:rPr>
        <w:t>Overall, the external analysis indicates a mature sector, characterised by intense rivalry, persistent economic pressures and technological acceleration. In this context, maintaining competitive advantage requires more than incremental adaptation; a strategic integration of digital capabilities into the operating model is necessary to sustain long-term performance.</w:t>
      </w:r>
    </w:p>
    <w:p w14:paraId="5F6273E0" w14:textId="77777777" w:rsidR="0038708F" w:rsidRPr="0038708F" w:rsidRDefault="0038708F" w:rsidP="00467692">
      <w:pPr>
        <w:rPr>
          <w:rFonts w:ascii="Arial" w:hAnsi="Arial" w:cs="Arial"/>
          <w:sz w:val="24"/>
          <w:szCs w:val="24"/>
          <w:lang w:val="en"/>
        </w:rPr>
      </w:pPr>
    </w:p>
    <w:p w14:paraId="4288114E" w14:textId="77777777" w:rsidR="0038708F" w:rsidRPr="0038708F" w:rsidRDefault="0038708F" w:rsidP="00467692">
      <w:pPr>
        <w:rPr>
          <w:rFonts w:ascii="Arial" w:hAnsi="Arial" w:cs="Arial"/>
          <w:sz w:val="24"/>
          <w:szCs w:val="24"/>
          <w:lang w:val="en"/>
        </w:rPr>
      </w:pPr>
    </w:p>
    <w:p w14:paraId="7A44C43D" w14:textId="77777777" w:rsidR="0038708F" w:rsidRPr="00BE6515" w:rsidRDefault="0038708F" w:rsidP="00467692">
      <w:pPr>
        <w:rPr>
          <w:rFonts w:ascii="Arial" w:hAnsi="Arial" w:cs="Arial"/>
        </w:rPr>
      </w:pPr>
    </w:p>
    <w:p w14:paraId="643296C3" w14:textId="5B62D371" w:rsidR="00136BF3" w:rsidRPr="00BE6515" w:rsidRDefault="00136BF3" w:rsidP="00AD722E">
      <w:pPr>
        <w:pStyle w:val="Heading2"/>
        <w:rPr>
          <w:rFonts w:ascii="Arial" w:hAnsi="Arial" w:cs="Arial"/>
          <w:color w:val="000000" w:themeColor="text1"/>
        </w:rPr>
      </w:pPr>
      <w:bookmarkStart w:id="5" w:name="_Toc229296504"/>
      <w:r w:rsidRPr="00BE6515">
        <w:rPr>
          <w:rFonts w:ascii="Arial" w:hAnsi="Arial" w:cs="Arial"/>
          <w:color w:val="000000" w:themeColor="text1"/>
        </w:rPr>
        <w:t> </w:t>
      </w:r>
      <w:r w:rsidRPr="00BE6515">
        <w:rPr>
          <w:rStyle w:val="Heading2Char"/>
          <w:rFonts w:ascii="Arial" w:hAnsi="Arial" w:cs="Arial"/>
          <w:color w:val="000000" w:themeColor="text1"/>
        </w:rPr>
        <w:t>1</w:t>
      </w:r>
      <w:r w:rsidRPr="00BE6515">
        <w:rPr>
          <w:rFonts w:ascii="Arial" w:hAnsi="Arial" w:cs="Arial"/>
          <w:color w:val="000000" w:themeColor="text1"/>
        </w:rPr>
        <w:t xml:space="preserve">.2 </w:t>
      </w:r>
      <w:r w:rsidR="00E54789" w:rsidRPr="00BE6515">
        <w:rPr>
          <w:rFonts w:ascii="Arial" w:hAnsi="Arial" w:cs="Arial"/>
          <w:color w:val="000000" w:themeColor="text1"/>
        </w:rPr>
        <w:t>Internal Resources, Capabilities and Organisational Context</w:t>
      </w:r>
      <w:bookmarkEnd w:id="5"/>
    </w:p>
    <w:p w14:paraId="7D8441A5" w14:textId="7469D564" w:rsidR="00467692" w:rsidRDefault="00467692" w:rsidP="00467692">
      <w:pPr>
        <w:rPr>
          <w:rFonts w:ascii="Arial" w:hAnsi="Arial" w:cs="Arial"/>
          <w:sz w:val="24"/>
          <w:szCs w:val="24"/>
          <w:lang w:val="en"/>
        </w:rPr>
      </w:pPr>
      <w:r w:rsidRPr="0038708F">
        <w:rPr>
          <w:rFonts w:ascii="Arial" w:hAnsi="Arial" w:cs="Arial"/>
          <w:sz w:val="24"/>
          <w:szCs w:val="24"/>
          <w:lang w:val="en"/>
        </w:rPr>
        <w:t>The assessment of J Sainsbury plc's competitive position involves analysing internal resources and capabilities using the VRIO framework, which allows differentiation between competitive parity, temporary advantage, and sustainable advantage (Barney and Hesterly, 2018). The summary of this assessment is presented in Figure 3 (Appendix), which analyses the main resources and capabilities relevant to supporting the proposed strategic direction.</w:t>
      </w:r>
    </w:p>
    <w:p w14:paraId="3ADAA482" w14:textId="5AB90BBC" w:rsidR="0038708F" w:rsidRDefault="0038708F" w:rsidP="00467692">
      <w:pPr>
        <w:rPr>
          <w:rFonts w:ascii="Arial" w:hAnsi="Arial" w:cs="Arial"/>
          <w:sz w:val="24"/>
          <w:szCs w:val="24"/>
          <w:lang w:val="en"/>
        </w:rPr>
      </w:pPr>
      <w:r w:rsidRPr="0038708F">
        <w:rPr>
          <w:rFonts w:ascii="Arial" w:hAnsi="Arial" w:cs="Arial"/>
          <w:noProof/>
          <w:sz w:val="24"/>
          <w:szCs w:val="24"/>
          <w:lang w:val="en"/>
        </w:rPr>
        <w:drawing>
          <wp:anchor distT="0" distB="0" distL="114300" distR="114300" simplePos="0" relativeHeight="251664384" behindDoc="0" locked="0" layoutInCell="1" allowOverlap="1" wp14:anchorId="0804182C" wp14:editId="5D1DE473">
            <wp:simplePos x="0" y="0"/>
            <wp:positionH relativeFrom="column">
              <wp:posOffset>931470</wp:posOffset>
            </wp:positionH>
            <wp:positionV relativeFrom="paragraph">
              <wp:posOffset>-381</wp:posOffset>
            </wp:positionV>
            <wp:extent cx="4173929" cy="2697480"/>
            <wp:effectExtent l="0" t="0" r="0" b="7620"/>
            <wp:wrapNone/>
            <wp:docPr id="179408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89574" name=""/>
                    <pic:cNvPicPr/>
                  </pic:nvPicPr>
                  <pic:blipFill>
                    <a:blip r:embed="rId11"/>
                    <a:stretch>
                      <a:fillRect/>
                    </a:stretch>
                  </pic:blipFill>
                  <pic:spPr>
                    <a:xfrm>
                      <a:off x="0" y="0"/>
                      <a:ext cx="4185317" cy="2704840"/>
                    </a:xfrm>
                    <a:prstGeom prst="rect">
                      <a:avLst/>
                    </a:prstGeom>
                  </pic:spPr>
                </pic:pic>
              </a:graphicData>
            </a:graphic>
            <wp14:sizeRelH relativeFrom="margin">
              <wp14:pctWidth>0</wp14:pctWidth>
            </wp14:sizeRelH>
            <wp14:sizeRelV relativeFrom="margin">
              <wp14:pctHeight>0</wp14:pctHeight>
            </wp14:sizeRelV>
          </wp:anchor>
        </w:drawing>
      </w:r>
    </w:p>
    <w:p w14:paraId="4016B83E" w14:textId="77777777" w:rsidR="0038708F" w:rsidRDefault="0038708F" w:rsidP="00467692">
      <w:pPr>
        <w:rPr>
          <w:rFonts w:ascii="Arial" w:hAnsi="Arial" w:cs="Arial"/>
          <w:sz w:val="24"/>
          <w:szCs w:val="24"/>
          <w:lang w:val="en"/>
        </w:rPr>
      </w:pPr>
    </w:p>
    <w:p w14:paraId="1C34C190" w14:textId="77777777" w:rsidR="0038708F" w:rsidRDefault="0038708F" w:rsidP="00467692">
      <w:pPr>
        <w:rPr>
          <w:rFonts w:ascii="Arial" w:hAnsi="Arial" w:cs="Arial"/>
          <w:sz w:val="24"/>
          <w:szCs w:val="24"/>
          <w:lang w:val="en"/>
        </w:rPr>
      </w:pPr>
    </w:p>
    <w:p w14:paraId="47D540C9" w14:textId="77777777" w:rsidR="0038708F" w:rsidRDefault="0038708F" w:rsidP="00467692">
      <w:pPr>
        <w:rPr>
          <w:rFonts w:ascii="Arial" w:hAnsi="Arial" w:cs="Arial"/>
          <w:sz w:val="24"/>
          <w:szCs w:val="24"/>
          <w:lang w:val="en"/>
        </w:rPr>
      </w:pPr>
    </w:p>
    <w:p w14:paraId="731ACCA4" w14:textId="77777777" w:rsidR="0038708F" w:rsidRDefault="0038708F" w:rsidP="00467692">
      <w:pPr>
        <w:rPr>
          <w:rFonts w:ascii="Arial" w:hAnsi="Arial" w:cs="Arial"/>
          <w:sz w:val="24"/>
          <w:szCs w:val="24"/>
          <w:lang w:val="en"/>
        </w:rPr>
      </w:pPr>
    </w:p>
    <w:p w14:paraId="65E7F8D1" w14:textId="77777777" w:rsidR="0038708F" w:rsidRDefault="0038708F" w:rsidP="00467692">
      <w:pPr>
        <w:rPr>
          <w:rFonts w:ascii="Arial" w:hAnsi="Arial" w:cs="Arial"/>
          <w:sz w:val="24"/>
          <w:szCs w:val="24"/>
          <w:lang w:val="en"/>
        </w:rPr>
      </w:pPr>
    </w:p>
    <w:p w14:paraId="5B3DE969" w14:textId="77777777" w:rsidR="0038708F" w:rsidRDefault="0038708F" w:rsidP="00467692">
      <w:pPr>
        <w:rPr>
          <w:rFonts w:ascii="Arial" w:hAnsi="Arial" w:cs="Arial"/>
          <w:sz w:val="24"/>
          <w:szCs w:val="24"/>
          <w:lang w:val="en"/>
        </w:rPr>
      </w:pPr>
    </w:p>
    <w:p w14:paraId="62EC005D" w14:textId="77777777" w:rsidR="0038708F" w:rsidRDefault="0038708F" w:rsidP="00467692">
      <w:pPr>
        <w:rPr>
          <w:rFonts w:ascii="Arial" w:hAnsi="Arial" w:cs="Arial"/>
          <w:sz w:val="24"/>
          <w:szCs w:val="24"/>
          <w:lang w:val="en"/>
        </w:rPr>
      </w:pPr>
    </w:p>
    <w:p w14:paraId="56B6BD23" w14:textId="77777777" w:rsidR="0038708F" w:rsidRDefault="0038708F" w:rsidP="00467692">
      <w:pPr>
        <w:rPr>
          <w:rFonts w:ascii="Arial" w:hAnsi="Arial" w:cs="Arial"/>
          <w:sz w:val="24"/>
          <w:szCs w:val="24"/>
          <w:lang w:val="en"/>
        </w:rPr>
      </w:pPr>
    </w:p>
    <w:p w14:paraId="3069F850" w14:textId="78F2F08B" w:rsidR="0038708F" w:rsidRPr="0038708F" w:rsidRDefault="0038708F" w:rsidP="0038708F">
      <w:pPr>
        <w:jc w:val="center"/>
        <w:rPr>
          <w:rFonts w:ascii="Arial" w:hAnsi="Arial" w:cs="Arial"/>
          <w:sz w:val="24"/>
          <w:szCs w:val="24"/>
        </w:rPr>
      </w:pPr>
      <w:r w:rsidRPr="0038708F">
        <w:rPr>
          <w:rFonts w:ascii="Arial" w:hAnsi="Arial" w:cs="Arial"/>
          <w:sz w:val="24"/>
          <w:szCs w:val="24"/>
        </w:rPr>
        <w:t>Figure 3</w:t>
      </w:r>
      <w:r w:rsidR="004F0C7C">
        <w:rPr>
          <w:rFonts w:ascii="Arial" w:hAnsi="Arial" w:cs="Arial"/>
          <w:sz w:val="24"/>
          <w:szCs w:val="24"/>
        </w:rPr>
        <w:t>:</w:t>
      </w:r>
      <w:r w:rsidRPr="0038708F">
        <w:rPr>
          <w:rFonts w:ascii="Arial" w:hAnsi="Arial" w:cs="Arial"/>
          <w:sz w:val="24"/>
          <w:szCs w:val="24"/>
        </w:rPr>
        <w:t xml:space="preserve"> VRIO Analysis </w:t>
      </w:r>
      <w:r w:rsidR="004F0C7C">
        <w:rPr>
          <w:rFonts w:ascii="Arial" w:hAnsi="Arial" w:cs="Arial"/>
          <w:sz w:val="24"/>
          <w:szCs w:val="24"/>
        </w:rPr>
        <w:t xml:space="preserve">- </w:t>
      </w:r>
      <w:r w:rsidRPr="0038708F">
        <w:rPr>
          <w:rFonts w:ascii="Arial" w:hAnsi="Arial" w:cs="Arial"/>
          <w:sz w:val="24"/>
          <w:szCs w:val="24"/>
        </w:rPr>
        <w:t>J Sainsbury plc</w:t>
      </w:r>
    </w:p>
    <w:p w14:paraId="24ACA413" w14:textId="77777777" w:rsidR="0038708F" w:rsidRPr="0038708F" w:rsidRDefault="0038708F" w:rsidP="00467692">
      <w:pPr>
        <w:rPr>
          <w:rFonts w:ascii="Arial" w:hAnsi="Arial" w:cs="Arial"/>
          <w:sz w:val="24"/>
          <w:szCs w:val="24"/>
        </w:rPr>
      </w:pPr>
    </w:p>
    <w:p w14:paraId="1B5EE4F8" w14:textId="0CA04F11" w:rsidR="00467692" w:rsidRPr="0038708F" w:rsidRDefault="00467692" w:rsidP="00467692">
      <w:pPr>
        <w:rPr>
          <w:rFonts w:ascii="Arial" w:hAnsi="Arial" w:cs="Arial"/>
          <w:sz w:val="24"/>
          <w:szCs w:val="24"/>
        </w:rPr>
      </w:pPr>
      <w:r w:rsidRPr="0038708F">
        <w:rPr>
          <w:rFonts w:ascii="Arial" w:hAnsi="Arial" w:cs="Arial"/>
          <w:sz w:val="24"/>
          <w:szCs w:val="24"/>
          <w:lang w:val="en"/>
        </w:rPr>
        <w:t>Digital capabilities, especially those associated with data analysis and the coordination of online and offline channels, can generate value by optimising inventory, personalising offers, and improving the customer experience. However, as digitalisation becomes the industry norm, technology itself is no longer a distinctive element; competitive advantage depends on how these capabilities are cross-integrated into organisational processes and supported by appropriate coordination mechanisms (Verhoef et al., 2021). In the absence of such integration, digital investments risk only producing temporary benefits.</w:t>
      </w:r>
    </w:p>
    <w:p w14:paraId="7C0C930C" w14:textId="6F7D2424" w:rsidR="00467692" w:rsidRPr="0038708F" w:rsidRDefault="00467692" w:rsidP="00467692">
      <w:pPr>
        <w:rPr>
          <w:rFonts w:ascii="Arial" w:hAnsi="Arial" w:cs="Arial"/>
          <w:sz w:val="24"/>
          <w:szCs w:val="24"/>
          <w:lang w:val="en"/>
        </w:rPr>
      </w:pPr>
      <w:r w:rsidRPr="0038708F">
        <w:rPr>
          <w:rFonts w:ascii="Arial" w:hAnsi="Arial" w:cs="Arial"/>
          <w:sz w:val="24"/>
          <w:szCs w:val="24"/>
          <w:lang w:val="en"/>
        </w:rPr>
        <w:t xml:space="preserve">The organisational dimension thus becomes decisive in the VRIO assessment, as sustainable advantage is associated with the ability to continuously reconfigure resources in a dynamic environment (Teece, 2018; Warner and Wäger, 2019). In this context, organisational culture plays a central role, influencing the willingness to </w:t>
      </w:r>
      <w:r w:rsidRPr="0038708F">
        <w:rPr>
          <w:rFonts w:ascii="Arial" w:hAnsi="Arial" w:cs="Arial"/>
          <w:sz w:val="24"/>
          <w:szCs w:val="24"/>
          <w:lang w:val="en"/>
        </w:rPr>
        <w:lastRenderedPageBreak/>
        <w:t>experiment, learn and adapt. The traditional orientation towards efficiency and operational control has contributed to the organisation's stability and managerial discipline, but can limit the agility needed to support a coherent digital transformation.</w:t>
      </w:r>
    </w:p>
    <w:p w14:paraId="48B39F7B" w14:textId="77777777" w:rsidR="0038708F" w:rsidRDefault="00467692" w:rsidP="00467692">
      <w:pPr>
        <w:rPr>
          <w:rFonts w:ascii="Arial" w:hAnsi="Arial" w:cs="Arial"/>
          <w:sz w:val="24"/>
          <w:szCs w:val="24"/>
          <w:lang w:val="en"/>
        </w:rPr>
      </w:pPr>
      <w:r w:rsidRPr="0038708F">
        <w:rPr>
          <w:rFonts w:ascii="Arial" w:hAnsi="Arial" w:cs="Arial"/>
          <w:sz w:val="24"/>
          <w:szCs w:val="24"/>
          <w:lang w:val="en"/>
        </w:rPr>
        <w:t xml:space="preserve">This orientation is also reflected in the history of leadership practices, predominantly aligned with the objectives of operational optimisation and financial stability. Although this approach has strengthened performance in conditions of relative stability, the literature suggests that firms in mature industries can develop strategic inertia when the environment requires innovation and rapid reconfiguration (O'Reilly and Tushman, 2021). </w:t>
      </w:r>
    </w:p>
    <w:p w14:paraId="097230DE" w14:textId="1F277B58" w:rsidR="00467692" w:rsidRPr="0038708F" w:rsidRDefault="00467692" w:rsidP="00467692">
      <w:pPr>
        <w:rPr>
          <w:rFonts w:ascii="Arial" w:hAnsi="Arial" w:cs="Arial"/>
          <w:sz w:val="24"/>
          <w:szCs w:val="24"/>
        </w:rPr>
      </w:pPr>
      <w:r w:rsidRPr="0038708F">
        <w:rPr>
          <w:rFonts w:ascii="Arial" w:hAnsi="Arial" w:cs="Arial"/>
          <w:sz w:val="24"/>
          <w:szCs w:val="24"/>
          <w:lang w:val="en"/>
        </w:rPr>
        <w:t>Therefore, the sustainability of future competitive advantage depends not only on existing resources, but on the organisation's ability to evolve towards a more adaptive coordination model that combines operational discipline with strategic flexibility. Overall, the internal analysis suggests that Sainsbury's has valuable resources, but transforming them into a sustainable advantage is conditional on developing dynamic capabilities and strategically integrating digital initiatives into the organisational structure and culture.</w:t>
      </w:r>
    </w:p>
    <w:p w14:paraId="6E9A0556" w14:textId="77777777" w:rsidR="00C06470" w:rsidRPr="00BE6515" w:rsidRDefault="00C06470" w:rsidP="00C06470">
      <w:pPr>
        <w:rPr>
          <w:rFonts w:ascii="Arial" w:hAnsi="Arial" w:cs="Arial"/>
        </w:rPr>
      </w:pPr>
    </w:p>
    <w:p w14:paraId="400C0A67" w14:textId="284F1DD4" w:rsidR="00136BF3" w:rsidRPr="00BE6515" w:rsidRDefault="00136BF3" w:rsidP="00AD722E">
      <w:pPr>
        <w:pStyle w:val="Heading2"/>
        <w:rPr>
          <w:rFonts w:ascii="Arial" w:hAnsi="Arial" w:cs="Arial"/>
          <w:color w:val="000000" w:themeColor="text1"/>
        </w:rPr>
      </w:pPr>
      <w:bookmarkStart w:id="6" w:name="_Toc229296505"/>
      <w:r w:rsidRPr="00BE6515">
        <w:rPr>
          <w:rFonts w:ascii="Arial" w:hAnsi="Arial" w:cs="Arial"/>
          <w:color w:val="000000" w:themeColor="text1"/>
        </w:rPr>
        <w:t> </w:t>
      </w:r>
      <w:r w:rsidRPr="00BE6515">
        <w:rPr>
          <w:rStyle w:val="Heading2Char"/>
          <w:rFonts w:ascii="Arial" w:hAnsi="Arial" w:cs="Arial"/>
          <w:color w:val="000000" w:themeColor="text1"/>
        </w:rPr>
        <w:t>1</w:t>
      </w:r>
      <w:r w:rsidRPr="00BE6515">
        <w:rPr>
          <w:rFonts w:ascii="Arial" w:hAnsi="Arial" w:cs="Arial"/>
          <w:color w:val="000000" w:themeColor="text1"/>
        </w:rPr>
        <w:t>.3 Mission, Strategic Choices and Market Position</w:t>
      </w:r>
      <w:bookmarkEnd w:id="6"/>
      <w:r w:rsidRPr="00BE6515">
        <w:rPr>
          <w:rFonts w:ascii="Arial" w:hAnsi="Arial" w:cs="Arial"/>
          <w:color w:val="000000" w:themeColor="text1"/>
        </w:rPr>
        <w:t xml:space="preserve"> </w:t>
      </w:r>
    </w:p>
    <w:p w14:paraId="62CC4943" w14:textId="6F23E272" w:rsidR="00467692" w:rsidRPr="0038708F" w:rsidRDefault="00467692" w:rsidP="00467692">
      <w:pPr>
        <w:rPr>
          <w:rFonts w:ascii="Arial" w:hAnsi="Arial" w:cs="Arial"/>
          <w:sz w:val="24"/>
          <w:szCs w:val="24"/>
        </w:rPr>
      </w:pPr>
      <w:r w:rsidRPr="0038708F">
        <w:rPr>
          <w:rFonts w:ascii="Arial" w:hAnsi="Arial" w:cs="Arial"/>
          <w:sz w:val="24"/>
          <w:szCs w:val="24"/>
          <w:lang w:val="en"/>
        </w:rPr>
        <w:t>In the context of the structural pressures highlighted above, coherence between the organisational mission and strategic choices becomes decisive for long-term sustainability. An organisation's mission is not just a normative statement but a framework for guiding resource allocation and prioritising investments (Johnson, Scholes, and Whittington, 2020). J Sainsbury plc's historical positioning on the quality-value balance suggests a moderate differentiation strategy in a highly competitive sector (J Sainsbury plc, 2024). An analysis of strategic direction using Ansoff's (1957) product-market matrix suggests that the organisation has predominantly operated under a market penetration logic, consolidating its position in the traditional food retail segment. However, in an environment characterised by maturity and intense competition, this approach has limited potential to generate additional growth. Recent literature shows that in mature industries, sustainable growth is more likely to be associated with operational model reconfiguration and technological integration than with increased competition within the existing segment (Verhoef et al., 2021; Teece, 2018).</w:t>
      </w:r>
    </w:p>
    <w:p w14:paraId="3BAB098E" w14:textId="0173C7EC" w:rsidR="00467692" w:rsidRPr="0038708F" w:rsidRDefault="00467692" w:rsidP="00467692">
      <w:pPr>
        <w:rPr>
          <w:rFonts w:ascii="Arial" w:hAnsi="Arial" w:cs="Arial"/>
          <w:sz w:val="24"/>
          <w:szCs w:val="24"/>
          <w:lang w:val="en"/>
        </w:rPr>
      </w:pPr>
      <w:r w:rsidRPr="0038708F">
        <w:rPr>
          <w:rFonts w:ascii="Arial" w:hAnsi="Arial" w:cs="Arial"/>
          <w:sz w:val="24"/>
          <w:szCs w:val="24"/>
          <w:lang w:val="en"/>
        </w:rPr>
        <w:t xml:space="preserve">From an industry lifecycle perspective, the UK food retail industry exhibits characteristics specific to the maturity phase, where operational efficiency becomes a priority and hard-to-replicate differentiation is limited (Grant, 2019). However, digitalisation can change the dynamics of a mature industry by creating sub-segments </w:t>
      </w:r>
      <w:r w:rsidRPr="0038708F">
        <w:rPr>
          <w:rFonts w:ascii="Arial" w:hAnsi="Arial" w:cs="Arial"/>
          <w:sz w:val="24"/>
          <w:szCs w:val="24"/>
          <w:lang w:val="en"/>
        </w:rPr>
        <w:lastRenderedPageBreak/>
        <w:t>and hybrid operating models, which reduces the exclusive relevance of traditional lifecycle logic (Verhoef et al., 2021).</w:t>
      </w:r>
    </w:p>
    <w:p w14:paraId="2B9A67ED" w14:textId="3DF6DC61" w:rsidR="00467692" w:rsidRPr="0038708F" w:rsidRDefault="00467692" w:rsidP="00467692">
      <w:pPr>
        <w:rPr>
          <w:rFonts w:ascii="Arial" w:hAnsi="Arial" w:cs="Arial"/>
          <w:sz w:val="24"/>
          <w:szCs w:val="24"/>
        </w:rPr>
      </w:pPr>
      <w:r w:rsidRPr="0038708F">
        <w:rPr>
          <w:rFonts w:ascii="Arial" w:hAnsi="Arial" w:cs="Arial"/>
          <w:sz w:val="24"/>
          <w:szCs w:val="24"/>
          <w:lang w:val="en"/>
        </w:rPr>
        <w:t>In this context, the continuity of the organisational mission must be supported by adjusting strategic choices. If the objective remains to create value for the customer, then the sustainability of this promise depends on deliberately integrating digital capabilities into the operating model and developing distinctive competencies that go beyond price-based competition. Thus, the analysis indicates the need for a strategic recalibration to consolidate digital investments and integrate them into the organisational structure.</w:t>
      </w:r>
    </w:p>
    <w:p w14:paraId="7A8410FE" w14:textId="4F892653" w:rsidR="00B319FB" w:rsidRPr="00BE6515" w:rsidRDefault="00B319FB" w:rsidP="00B319FB">
      <w:pPr>
        <w:rPr>
          <w:rFonts w:ascii="Arial" w:hAnsi="Arial" w:cs="Arial"/>
          <w:b/>
          <w:bCs/>
          <w:lang w:val="en-US"/>
        </w:rPr>
      </w:pPr>
    </w:p>
    <w:p w14:paraId="600A8984" w14:textId="77777777" w:rsidR="00AE10C6" w:rsidRPr="00BE6515" w:rsidRDefault="00AE10C6" w:rsidP="00B319FB">
      <w:pPr>
        <w:rPr>
          <w:rFonts w:ascii="Arial" w:hAnsi="Arial" w:cs="Arial"/>
          <w:b/>
          <w:bCs/>
          <w:lang w:val="en-US"/>
        </w:rPr>
      </w:pPr>
    </w:p>
    <w:p w14:paraId="28337C29" w14:textId="77777777" w:rsidR="00136BF3" w:rsidRPr="00BE6515" w:rsidRDefault="00136BF3" w:rsidP="00136BF3">
      <w:pPr>
        <w:pStyle w:val="Heading1"/>
        <w:rPr>
          <w:rFonts w:ascii="Arial" w:hAnsi="Arial" w:cs="Arial"/>
          <w:color w:val="000000" w:themeColor="text1"/>
          <w:lang w:val="en-US"/>
        </w:rPr>
      </w:pPr>
      <w:bookmarkStart w:id="7" w:name="_Toc229296506"/>
      <w:r w:rsidRPr="00BE6515">
        <w:rPr>
          <w:rFonts w:ascii="Arial" w:hAnsi="Arial" w:cs="Arial"/>
          <w:color w:val="000000" w:themeColor="text1"/>
          <w:lang w:val="en-US"/>
        </w:rPr>
        <w:t>2. Strategic Implications in a Digital Context</w:t>
      </w:r>
      <w:bookmarkEnd w:id="7"/>
    </w:p>
    <w:p w14:paraId="73A2C5D8" w14:textId="3FAB3D63" w:rsidR="00136BF3" w:rsidRPr="00BE6515" w:rsidRDefault="00136BF3" w:rsidP="00136BF3">
      <w:pPr>
        <w:pStyle w:val="Heading2"/>
        <w:rPr>
          <w:rStyle w:val="Heading2Char"/>
          <w:rFonts w:ascii="Arial" w:hAnsi="Arial" w:cs="Arial"/>
          <w:color w:val="000000" w:themeColor="text1"/>
        </w:rPr>
      </w:pPr>
      <w:bookmarkStart w:id="8" w:name="_Toc229296507"/>
      <w:r w:rsidRPr="00BE6515">
        <w:rPr>
          <w:rFonts w:ascii="Arial" w:hAnsi="Arial" w:cs="Arial"/>
          <w:color w:val="000000" w:themeColor="text1"/>
          <w:lang w:val="en-US"/>
        </w:rPr>
        <w:t> </w:t>
      </w:r>
      <w:r w:rsidRPr="00BE6515">
        <w:rPr>
          <w:rStyle w:val="Heading2Char"/>
          <w:rFonts w:ascii="Arial" w:hAnsi="Arial" w:cs="Arial"/>
          <w:color w:val="000000" w:themeColor="text1"/>
        </w:rPr>
        <w:t>2.1 Opportunities, Threats and Competitive Position</w:t>
      </w:r>
      <w:bookmarkEnd w:id="8"/>
    </w:p>
    <w:p w14:paraId="285CB9D7" w14:textId="7EE38214" w:rsidR="00467692" w:rsidRPr="0038708F" w:rsidRDefault="00467692" w:rsidP="00467692">
      <w:pPr>
        <w:rPr>
          <w:rFonts w:ascii="Arial" w:hAnsi="Arial" w:cs="Arial"/>
          <w:sz w:val="24"/>
          <w:szCs w:val="24"/>
          <w:lang w:val="en"/>
        </w:rPr>
      </w:pPr>
      <w:r w:rsidRPr="0038708F">
        <w:rPr>
          <w:rFonts w:ascii="Arial" w:hAnsi="Arial" w:cs="Arial"/>
          <w:sz w:val="24"/>
          <w:szCs w:val="24"/>
          <w:lang w:val="en"/>
        </w:rPr>
        <w:t>The integration of external and internal analyses enables the formulation of a strategic synthesis using the SWOT framework, summarised in Figure 4 (Appendix). The usefulness of this tool does not lie in listing factors, but in identifying the interdependencies between internal capabilities and the industry's structural pressures (Johnson, Scholes and Whittington, 2020).</w:t>
      </w:r>
    </w:p>
    <w:p w14:paraId="169A926C" w14:textId="2E7E9DE5" w:rsidR="00467692" w:rsidRDefault="00467692" w:rsidP="00467692">
      <w:pPr>
        <w:rPr>
          <w:rFonts w:ascii="Arial" w:hAnsi="Arial" w:cs="Arial"/>
          <w:sz w:val="24"/>
          <w:szCs w:val="24"/>
          <w:lang w:val="en"/>
        </w:rPr>
      </w:pPr>
      <w:r w:rsidRPr="0038708F">
        <w:rPr>
          <w:rFonts w:ascii="Arial" w:hAnsi="Arial" w:cs="Arial"/>
          <w:sz w:val="24"/>
          <w:szCs w:val="24"/>
          <w:lang w:val="en"/>
        </w:rPr>
        <w:t xml:space="preserve"> As Figure 4 indicates, Sainsbury's strengths are mainly associated with its consolidated operational infrastructure and brand equity, which provide stability in a volatile competitive environment. However, these resources are largely shared among major competitors, suggesting a competitive parity rather than a distinctive advantage.</w:t>
      </w:r>
    </w:p>
    <w:p w14:paraId="5901B7E8" w14:textId="4A7C1576" w:rsidR="0038708F" w:rsidRDefault="00F140C8" w:rsidP="00467692">
      <w:pPr>
        <w:rPr>
          <w:rFonts w:ascii="Arial" w:hAnsi="Arial" w:cs="Arial"/>
          <w:sz w:val="24"/>
          <w:szCs w:val="24"/>
          <w:lang w:val="en"/>
        </w:rPr>
      </w:pPr>
      <w:r w:rsidRPr="0038708F">
        <w:rPr>
          <w:rFonts w:ascii="Arial" w:hAnsi="Arial" w:cs="Arial"/>
          <w:noProof/>
          <w:sz w:val="24"/>
          <w:szCs w:val="24"/>
          <w:lang w:val="en"/>
        </w:rPr>
        <w:drawing>
          <wp:anchor distT="0" distB="0" distL="114300" distR="114300" simplePos="0" relativeHeight="251666432" behindDoc="0" locked="0" layoutInCell="1" allowOverlap="1" wp14:anchorId="1FE4D54B" wp14:editId="460E1505">
            <wp:simplePos x="0" y="0"/>
            <wp:positionH relativeFrom="column">
              <wp:posOffset>1471930</wp:posOffset>
            </wp:positionH>
            <wp:positionV relativeFrom="paragraph">
              <wp:posOffset>69215</wp:posOffset>
            </wp:positionV>
            <wp:extent cx="2971800" cy="2102485"/>
            <wp:effectExtent l="0" t="0" r="0" b="0"/>
            <wp:wrapNone/>
            <wp:docPr id="369786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86282" name=""/>
                    <pic:cNvPicPr/>
                  </pic:nvPicPr>
                  <pic:blipFill>
                    <a:blip r:embed="rId12"/>
                    <a:stretch>
                      <a:fillRect/>
                    </a:stretch>
                  </pic:blipFill>
                  <pic:spPr>
                    <a:xfrm>
                      <a:off x="0" y="0"/>
                      <a:ext cx="2971800" cy="2102485"/>
                    </a:xfrm>
                    <a:prstGeom prst="rect">
                      <a:avLst/>
                    </a:prstGeom>
                  </pic:spPr>
                </pic:pic>
              </a:graphicData>
            </a:graphic>
            <wp14:sizeRelH relativeFrom="margin">
              <wp14:pctWidth>0</wp14:pctWidth>
            </wp14:sizeRelH>
            <wp14:sizeRelV relativeFrom="margin">
              <wp14:pctHeight>0</wp14:pctHeight>
            </wp14:sizeRelV>
          </wp:anchor>
        </w:drawing>
      </w:r>
    </w:p>
    <w:p w14:paraId="3CE3A4D2" w14:textId="57564F68" w:rsidR="0038708F" w:rsidRDefault="0038708F" w:rsidP="00467692">
      <w:pPr>
        <w:rPr>
          <w:rFonts w:ascii="Arial" w:hAnsi="Arial" w:cs="Arial"/>
          <w:sz w:val="24"/>
          <w:szCs w:val="24"/>
          <w:lang w:val="en"/>
        </w:rPr>
      </w:pPr>
    </w:p>
    <w:p w14:paraId="499D2C5C" w14:textId="77777777" w:rsidR="0038708F" w:rsidRDefault="0038708F" w:rsidP="00467692">
      <w:pPr>
        <w:rPr>
          <w:rFonts w:ascii="Arial" w:hAnsi="Arial" w:cs="Arial"/>
          <w:sz w:val="24"/>
          <w:szCs w:val="24"/>
          <w:lang w:val="en"/>
        </w:rPr>
      </w:pPr>
    </w:p>
    <w:p w14:paraId="0F755A90" w14:textId="77777777" w:rsidR="0038708F" w:rsidRDefault="0038708F" w:rsidP="00467692">
      <w:pPr>
        <w:rPr>
          <w:rFonts w:ascii="Arial" w:hAnsi="Arial" w:cs="Arial"/>
          <w:sz w:val="24"/>
          <w:szCs w:val="24"/>
          <w:lang w:val="en"/>
        </w:rPr>
      </w:pPr>
    </w:p>
    <w:p w14:paraId="78FDF4B7" w14:textId="77777777" w:rsidR="0038708F" w:rsidRDefault="0038708F" w:rsidP="00467692">
      <w:pPr>
        <w:rPr>
          <w:rFonts w:ascii="Arial" w:hAnsi="Arial" w:cs="Arial"/>
          <w:sz w:val="24"/>
          <w:szCs w:val="24"/>
          <w:lang w:val="en"/>
        </w:rPr>
      </w:pPr>
    </w:p>
    <w:p w14:paraId="1993B2C0" w14:textId="77777777" w:rsidR="0038708F" w:rsidRDefault="0038708F" w:rsidP="00467692">
      <w:pPr>
        <w:rPr>
          <w:rFonts w:ascii="Arial" w:hAnsi="Arial" w:cs="Arial"/>
          <w:sz w:val="24"/>
          <w:szCs w:val="24"/>
          <w:lang w:val="en"/>
        </w:rPr>
      </w:pPr>
    </w:p>
    <w:p w14:paraId="4D7EB68D" w14:textId="77777777" w:rsidR="0038708F" w:rsidRPr="0038708F" w:rsidRDefault="0038708F" w:rsidP="0038708F">
      <w:pPr>
        <w:jc w:val="center"/>
        <w:rPr>
          <w:rFonts w:ascii="Arial" w:hAnsi="Arial" w:cs="Arial"/>
          <w:sz w:val="24"/>
          <w:szCs w:val="24"/>
        </w:rPr>
      </w:pPr>
    </w:p>
    <w:p w14:paraId="112E2162" w14:textId="4BDEB4CD" w:rsidR="0038708F" w:rsidRPr="0038708F" w:rsidRDefault="0038708F" w:rsidP="0038708F">
      <w:pPr>
        <w:jc w:val="center"/>
        <w:rPr>
          <w:rFonts w:ascii="Arial" w:hAnsi="Arial" w:cs="Arial"/>
          <w:sz w:val="24"/>
          <w:szCs w:val="24"/>
        </w:rPr>
      </w:pPr>
      <w:r w:rsidRPr="0038708F">
        <w:rPr>
          <w:rFonts w:ascii="Arial" w:hAnsi="Arial" w:cs="Arial"/>
          <w:sz w:val="24"/>
          <w:szCs w:val="24"/>
        </w:rPr>
        <w:t>Figure 4</w:t>
      </w:r>
      <w:r w:rsidR="004F0C7C">
        <w:rPr>
          <w:rFonts w:ascii="Arial" w:hAnsi="Arial" w:cs="Arial"/>
          <w:sz w:val="24"/>
          <w:szCs w:val="24"/>
        </w:rPr>
        <w:t>:</w:t>
      </w:r>
      <w:r w:rsidRPr="0038708F">
        <w:rPr>
          <w:rFonts w:ascii="Arial" w:hAnsi="Arial" w:cs="Arial"/>
          <w:sz w:val="24"/>
          <w:szCs w:val="24"/>
        </w:rPr>
        <w:t xml:space="preserve"> SWOT Analysis - J Sainsbury plc</w:t>
      </w:r>
    </w:p>
    <w:p w14:paraId="78898345" w14:textId="3A460DA5" w:rsidR="00467692" w:rsidRPr="00BE6515" w:rsidRDefault="00467692" w:rsidP="00467692">
      <w:pPr>
        <w:rPr>
          <w:rFonts w:ascii="Arial" w:hAnsi="Arial" w:cs="Arial"/>
          <w:lang w:val="en"/>
        </w:rPr>
      </w:pPr>
      <w:r w:rsidRPr="00BE6515">
        <w:rPr>
          <w:rFonts w:ascii="Arial" w:hAnsi="Arial" w:cs="Arial"/>
          <w:lang w:val="en"/>
        </w:rPr>
        <w:lastRenderedPageBreak/>
        <w:t>The identified weaknesses reflect the structural limitations of a mature organisation, where operational complexity and high fixed costs can reduce the speed of strategic adaptation. The literature on digital transformation highlights that established companies may face difficulties in quickly reconfiguring organisational processes and culture (Warner and Wäger, 2019), underscoring the relevance of investments in agility and digital integration.</w:t>
      </w:r>
    </w:p>
    <w:p w14:paraId="4E7DD9E3" w14:textId="4C0B1764" w:rsidR="00467692" w:rsidRPr="00BE6515" w:rsidRDefault="00467692" w:rsidP="00467692">
      <w:pPr>
        <w:rPr>
          <w:rFonts w:ascii="Arial" w:hAnsi="Arial" w:cs="Arial"/>
          <w:lang w:val="en"/>
        </w:rPr>
      </w:pPr>
      <w:r w:rsidRPr="00BE6515">
        <w:rPr>
          <w:rFonts w:ascii="Arial" w:hAnsi="Arial" w:cs="Arial"/>
          <w:lang w:val="en"/>
        </w:rPr>
        <w:t xml:space="preserve">Opportunities mainly derive from the potential to </w:t>
      </w:r>
      <w:r w:rsidR="004F0C7C">
        <w:rPr>
          <w:rFonts w:ascii="Arial" w:hAnsi="Arial" w:cs="Arial"/>
          <w:lang w:val="en"/>
        </w:rPr>
        <w:t>leverage advanced data analytics and integrate physical logistics with digital platforms, thereby enabling</w:t>
      </w:r>
      <w:r w:rsidRPr="00BE6515">
        <w:rPr>
          <w:rFonts w:ascii="Arial" w:hAnsi="Arial" w:cs="Arial"/>
          <w:lang w:val="en"/>
        </w:rPr>
        <w:t xml:space="preserve"> operational optimisation and differentiation through an omnichannel experience (Verhoef et al., 2021). In parallel, threats arise from the intensification of price competition and the continuous pressure on margins in a mature sector (Porter, 1980).</w:t>
      </w:r>
    </w:p>
    <w:p w14:paraId="4D1CC1FD" w14:textId="6C64B12B" w:rsidR="00467692" w:rsidRPr="00BE6515" w:rsidRDefault="00467692" w:rsidP="00467692">
      <w:pPr>
        <w:rPr>
          <w:rFonts w:ascii="Arial" w:hAnsi="Arial" w:cs="Arial"/>
        </w:rPr>
      </w:pPr>
      <w:r w:rsidRPr="00BE6515">
        <w:rPr>
          <w:rFonts w:ascii="Arial" w:hAnsi="Arial" w:cs="Arial"/>
          <w:lang w:val="en"/>
        </w:rPr>
        <w:t>Correlating these factors through the TOWS matrix, shown in Figure 5, highlights that the most coherent strategic direction is of the SO type, based on integrating digital capabilities into the existing infrastructure. At the same time, the WT dimension indicates the need to reduce structural rigidity and strengthen governance mechanisms to limit vulnerabilities in an accelerated digital environment. Therefore, the competitive analysis suggests that the lack of resources does not threaten Sainsbury's position, but rather the ability to reconfigure them at an appropriate pace for digital transformation.</w:t>
      </w:r>
    </w:p>
    <w:p w14:paraId="3491056B" w14:textId="1405FD8E" w:rsidR="00467692" w:rsidRDefault="0038708F" w:rsidP="00467692">
      <w:pPr>
        <w:rPr>
          <w:rFonts w:ascii="Arial" w:hAnsi="Arial" w:cs="Arial"/>
        </w:rPr>
      </w:pPr>
      <w:r w:rsidRPr="0038708F">
        <w:rPr>
          <w:rFonts w:ascii="Arial" w:hAnsi="Arial" w:cs="Arial"/>
          <w:noProof/>
        </w:rPr>
        <w:drawing>
          <wp:anchor distT="0" distB="0" distL="114300" distR="114300" simplePos="0" relativeHeight="251668480" behindDoc="0" locked="0" layoutInCell="1" allowOverlap="1" wp14:anchorId="2F9FD98F" wp14:editId="7C1312E6">
            <wp:simplePos x="0" y="0"/>
            <wp:positionH relativeFrom="column">
              <wp:posOffset>438912</wp:posOffset>
            </wp:positionH>
            <wp:positionV relativeFrom="paragraph">
              <wp:posOffset>238633</wp:posOffset>
            </wp:positionV>
            <wp:extent cx="5082980" cy="2339543"/>
            <wp:effectExtent l="0" t="0" r="3810" b="3810"/>
            <wp:wrapNone/>
            <wp:docPr id="246092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92686" name=""/>
                    <pic:cNvPicPr/>
                  </pic:nvPicPr>
                  <pic:blipFill>
                    <a:blip r:embed="rId13"/>
                    <a:stretch>
                      <a:fillRect/>
                    </a:stretch>
                  </pic:blipFill>
                  <pic:spPr>
                    <a:xfrm>
                      <a:off x="0" y="0"/>
                      <a:ext cx="5082980" cy="2339543"/>
                    </a:xfrm>
                    <a:prstGeom prst="rect">
                      <a:avLst/>
                    </a:prstGeom>
                  </pic:spPr>
                </pic:pic>
              </a:graphicData>
            </a:graphic>
          </wp:anchor>
        </w:drawing>
      </w:r>
    </w:p>
    <w:p w14:paraId="0F8897B4" w14:textId="5B3ED1DD" w:rsidR="0038708F" w:rsidRDefault="0038708F" w:rsidP="00467692">
      <w:pPr>
        <w:rPr>
          <w:rFonts w:ascii="Arial" w:hAnsi="Arial" w:cs="Arial"/>
        </w:rPr>
      </w:pPr>
    </w:p>
    <w:p w14:paraId="11180775" w14:textId="77777777" w:rsidR="0038708F" w:rsidRPr="00BE6515" w:rsidRDefault="0038708F" w:rsidP="00467692">
      <w:pPr>
        <w:rPr>
          <w:rFonts w:ascii="Arial" w:hAnsi="Arial" w:cs="Arial"/>
        </w:rPr>
      </w:pPr>
    </w:p>
    <w:p w14:paraId="5301A7FA" w14:textId="77777777" w:rsidR="00467692" w:rsidRPr="00BE6515" w:rsidRDefault="00467692" w:rsidP="00467692">
      <w:pPr>
        <w:jc w:val="center"/>
        <w:rPr>
          <w:rFonts w:ascii="Arial" w:hAnsi="Arial" w:cs="Arial"/>
        </w:rPr>
      </w:pPr>
    </w:p>
    <w:p w14:paraId="74769673" w14:textId="77777777" w:rsidR="00467692" w:rsidRPr="00BE6515" w:rsidRDefault="00467692" w:rsidP="00467692">
      <w:pPr>
        <w:rPr>
          <w:rFonts w:ascii="Arial" w:hAnsi="Arial" w:cs="Arial"/>
        </w:rPr>
      </w:pPr>
    </w:p>
    <w:p w14:paraId="5645F7DF" w14:textId="77777777" w:rsidR="00467692" w:rsidRPr="00BE6515" w:rsidRDefault="00467692" w:rsidP="00467692">
      <w:pPr>
        <w:rPr>
          <w:rFonts w:ascii="Arial" w:hAnsi="Arial" w:cs="Arial"/>
        </w:rPr>
      </w:pPr>
    </w:p>
    <w:p w14:paraId="09B99934" w14:textId="77777777" w:rsidR="00467692" w:rsidRPr="00BE6515" w:rsidRDefault="00467692" w:rsidP="00467692">
      <w:pPr>
        <w:rPr>
          <w:rFonts w:ascii="Arial" w:hAnsi="Arial" w:cs="Arial"/>
        </w:rPr>
      </w:pPr>
    </w:p>
    <w:p w14:paraId="4B2E377C" w14:textId="77777777" w:rsidR="00467692" w:rsidRDefault="00467692" w:rsidP="00467692">
      <w:pPr>
        <w:rPr>
          <w:rFonts w:ascii="Arial" w:hAnsi="Arial" w:cs="Arial"/>
        </w:rPr>
      </w:pPr>
    </w:p>
    <w:p w14:paraId="6928EB5A" w14:textId="77777777" w:rsidR="0038708F" w:rsidRDefault="0038708F" w:rsidP="00467692">
      <w:pPr>
        <w:rPr>
          <w:rFonts w:ascii="Arial" w:hAnsi="Arial" w:cs="Arial"/>
        </w:rPr>
      </w:pPr>
    </w:p>
    <w:p w14:paraId="08E6280B" w14:textId="3BF05A5F" w:rsidR="0038708F" w:rsidRPr="0038708F" w:rsidRDefault="0038708F" w:rsidP="0038708F">
      <w:pPr>
        <w:jc w:val="center"/>
        <w:rPr>
          <w:rFonts w:ascii="Arial" w:hAnsi="Arial" w:cs="Arial"/>
          <w:sz w:val="24"/>
          <w:szCs w:val="24"/>
        </w:rPr>
      </w:pPr>
      <w:r w:rsidRPr="0038708F">
        <w:rPr>
          <w:rFonts w:ascii="Arial" w:hAnsi="Arial" w:cs="Arial"/>
          <w:sz w:val="24"/>
          <w:szCs w:val="24"/>
        </w:rPr>
        <w:t>Figure 5</w:t>
      </w:r>
      <w:r w:rsidR="004F0C7C">
        <w:rPr>
          <w:rFonts w:ascii="Arial" w:hAnsi="Arial" w:cs="Arial"/>
          <w:sz w:val="24"/>
          <w:szCs w:val="24"/>
        </w:rPr>
        <w:t>:</w:t>
      </w:r>
      <w:r w:rsidRPr="0038708F">
        <w:rPr>
          <w:rFonts w:ascii="Arial" w:hAnsi="Arial" w:cs="Arial"/>
          <w:sz w:val="24"/>
          <w:szCs w:val="24"/>
        </w:rPr>
        <w:t xml:space="preserve"> TOWS Strategic Alignment Matrix</w:t>
      </w:r>
    </w:p>
    <w:p w14:paraId="486B5E7B" w14:textId="77777777" w:rsidR="0038708F" w:rsidRDefault="0038708F" w:rsidP="0038708F">
      <w:pPr>
        <w:jc w:val="center"/>
        <w:rPr>
          <w:rFonts w:ascii="Arial" w:hAnsi="Arial" w:cs="Arial"/>
        </w:rPr>
      </w:pPr>
    </w:p>
    <w:p w14:paraId="5C5419B1" w14:textId="77777777" w:rsidR="0038708F" w:rsidRDefault="0038708F" w:rsidP="00467692">
      <w:pPr>
        <w:rPr>
          <w:rFonts w:ascii="Arial" w:hAnsi="Arial" w:cs="Arial"/>
        </w:rPr>
      </w:pPr>
    </w:p>
    <w:p w14:paraId="0C33B6B8" w14:textId="77777777" w:rsidR="0038708F" w:rsidRPr="00BE6515" w:rsidRDefault="0038708F" w:rsidP="00467692">
      <w:pPr>
        <w:rPr>
          <w:rFonts w:ascii="Arial" w:hAnsi="Arial" w:cs="Arial"/>
        </w:rPr>
      </w:pPr>
    </w:p>
    <w:p w14:paraId="4FE30EDA" w14:textId="77777777" w:rsidR="00467692" w:rsidRPr="00BE6515" w:rsidRDefault="00467692" w:rsidP="00467692">
      <w:pPr>
        <w:rPr>
          <w:rFonts w:ascii="Arial" w:hAnsi="Arial" w:cs="Arial"/>
        </w:rPr>
      </w:pPr>
    </w:p>
    <w:p w14:paraId="165705D7" w14:textId="77777777" w:rsidR="00D939CC" w:rsidRPr="00BE6515" w:rsidRDefault="00136BF3" w:rsidP="00136BF3">
      <w:pPr>
        <w:pStyle w:val="Heading2"/>
        <w:rPr>
          <w:rStyle w:val="Heading2Char"/>
          <w:rFonts w:ascii="Arial" w:hAnsi="Arial" w:cs="Arial"/>
          <w:color w:val="000000" w:themeColor="text1"/>
        </w:rPr>
      </w:pPr>
      <w:bookmarkStart w:id="9" w:name="_Toc229296508"/>
      <w:r w:rsidRPr="00BE6515">
        <w:rPr>
          <w:rStyle w:val="Heading2Char"/>
          <w:rFonts w:ascii="Arial" w:hAnsi="Arial" w:cs="Arial"/>
          <w:color w:val="000000" w:themeColor="text1"/>
        </w:rPr>
        <w:lastRenderedPageBreak/>
        <w:t> </w:t>
      </w:r>
      <w:r w:rsidRPr="00BE6515">
        <w:rPr>
          <w:rStyle w:val="Heading2Char"/>
          <w:rFonts w:ascii="Arial" w:hAnsi="Arial" w:cs="Arial"/>
          <w:color w:val="000000" w:themeColor="text1"/>
        </w:rPr>
        <w:t>2.2 Key Strategic Risks</w:t>
      </w:r>
      <w:bookmarkEnd w:id="9"/>
    </w:p>
    <w:p w14:paraId="4EDA0D32" w14:textId="0DC66C38" w:rsidR="00467692" w:rsidRPr="0038708F" w:rsidRDefault="00467692" w:rsidP="00467692">
      <w:pPr>
        <w:rPr>
          <w:rFonts w:ascii="Arial" w:hAnsi="Arial" w:cs="Arial"/>
          <w:sz w:val="24"/>
          <w:szCs w:val="24"/>
          <w:lang w:val="en"/>
        </w:rPr>
      </w:pPr>
      <w:r w:rsidRPr="0038708F">
        <w:rPr>
          <w:rFonts w:ascii="Arial" w:hAnsi="Arial" w:cs="Arial"/>
          <w:sz w:val="24"/>
          <w:szCs w:val="24"/>
          <w:lang w:val="en"/>
        </w:rPr>
        <w:t>The assessment of the competitive position and preliminary strategic directions requires the analysis of the risks associated with the organisational transformation process. Strategic risks are not only unpredictable external factors but also the consequences of deliberate decisions regarding capital allocation, process restructuring, and the adoption of digital technologies (Aven, 2016). In a mature sector, characterised by pressure on margins and economic volatility, the assumption of significant digital investments amplifies both the growth potential and the level of uncertainty.</w:t>
      </w:r>
    </w:p>
    <w:p w14:paraId="1E392037" w14:textId="3FF29CFD" w:rsidR="00467692" w:rsidRPr="0038708F" w:rsidRDefault="00467692" w:rsidP="00467692">
      <w:pPr>
        <w:rPr>
          <w:rFonts w:ascii="Arial" w:hAnsi="Arial" w:cs="Arial"/>
          <w:sz w:val="24"/>
          <w:szCs w:val="24"/>
        </w:rPr>
      </w:pPr>
      <w:r w:rsidRPr="0038708F">
        <w:rPr>
          <w:rFonts w:ascii="Arial" w:hAnsi="Arial" w:cs="Arial"/>
          <w:sz w:val="24"/>
          <w:szCs w:val="24"/>
          <w:lang w:val="en"/>
        </w:rPr>
        <w:t>A first relevant risk is investment risk, associated with decisions regarding the scale and pace of implementing digital initiatives. Strategic investments in technological infrastructure involve uncertainty regarding profitability and the recovery horizon, and the literature on investment decisions shows that evaluation errors can lead to overinvestment or to projects that are insufficiently integrated into the operational model (Alkaraan, 2020). In this sense, the risk does not consist exclusively in the volume of capital allocated, but in the strategic coherence of the investment and the ability to monitor performance.</w:t>
      </w:r>
    </w:p>
    <w:p w14:paraId="55B88AC3" w14:textId="1AC22C5B" w:rsidR="00467692" w:rsidRPr="0038708F" w:rsidRDefault="00467692" w:rsidP="00467692">
      <w:pPr>
        <w:rPr>
          <w:rFonts w:ascii="Arial" w:hAnsi="Arial" w:cs="Arial"/>
          <w:sz w:val="24"/>
          <w:szCs w:val="24"/>
          <w:lang w:val="en"/>
        </w:rPr>
      </w:pPr>
      <w:r w:rsidRPr="0038708F">
        <w:rPr>
          <w:rFonts w:ascii="Arial" w:hAnsi="Arial" w:cs="Arial"/>
          <w:sz w:val="24"/>
          <w:szCs w:val="24"/>
          <w:lang w:val="en"/>
        </w:rPr>
        <w:t>A second major risk is organisational execution risk. Digital transformation requires adapting internal processes and developing new managerial and technical skills. Enterprise risk management studies suggest that a lack of cross-functional coordination and clear governance mechanisms can increase the likelihood of strategic failure (Bohnert et al., 2019). In mature organisations, structural complexity can slow down decision-making and reduce the speed of change implementation.</w:t>
      </w:r>
    </w:p>
    <w:p w14:paraId="23B04E4E" w14:textId="56F6BC36" w:rsidR="00467692" w:rsidRPr="0038708F" w:rsidRDefault="00467692" w:rsidP="00467692">
      <w:pPr>
        <w:rPr>
          <w:rFonts w:ascii="Arial" w:hAnsi="Arial" w:cs="Arial"/>
          <w:sz w:val="24"/>
          <w:szCs w:val="24"/>
        </w:rPr>
      </w:pPr>
      <w:r w:rsidRPr="0038708F">
        <w:rPr>
          <w:rFonts w:ascii="Arial" w:hAnsi="Arial" w:cs="Arial"/>
          <w:sz w:val="24"/>
          <w:szCs w:val="24"/>
          <w:lang w:val="en"/>
        </w:rPr>
        <w:t>The financial dimension of risk must be analysed separately from the operational one. In a volatile economic context, where consumers are increasingly price-sensitive, making long-term investments can create tensions between immediate performance and future strategic objectives. The Global Risks report highlights that macroeconomic uncertainty and supply chain volatility can increase organisations' exposure to financial imbalances (World Economic Forum, 2024).</w:t>
      </w:r>
    </w:p>
    <w:p w14:paraId="7B04317D" w14:textId="77777777" w:rsidR="00467692" w:rsidRPr="0038708F" w:rsidRDefault="00467692" w:rsidP="00467692">
      <w:pPr>
        <w:rPr>
          <w:rFonts w:ascii="Arial" w:hAnsi="Arial" w:cs="Arial"/>
          <w:sz w:val="24"/>
          <w:szCs w:val="24"/>
          <w:lang w:val="en"/>
        </w:rPr>
      </w:pPr>
      <w:r w:rsidRPr="0038708F">
        <w:rPr>
          <w:rFonts w:ascii="Arial" w:hAnsi="Arial" w:cs="Arial"/>
          <w:sz w:val="24"/>
          <w:szCs w:val="24"/>
          <w:lang w:val="en"/>
        </w:rPr>
        <w:t>In addition, the expansion of the digital ecosystem introduces cyber and data protection risks. Increased interconnectivity and reliance on complex IT systems increase vulnerability to security incidents, with potentially significant reputational and financial impacts (Tarafdar, Cooper and Stich, 2019). Managing these risks requires integrating digital governance practices into the overall strategic framework.</w:t>
      </w:r>
    </w:p>
    <w:p w14:paraId="6AEB823E" w14:textId="43C30F21" w:rsidR="00467692" w:rsidRPr="0038708F" w:rsidRDefault="00467692" w:rsidP="00467692">
      <w:pPr>
        <w:rPr>
          <w:rFonts w:ascii="Arial" w:hAnsi="Arial" w:cs="Arial"/>
          <w:sz w:val="24"/>
          <w:szCs w:val="24"/>
        </w:rPr>
      </w:pPr>
      <w:r w:rsidRPr="0038708F">
        <w:rPr>
          <w:rFonts w:ascii="Arial" w:hAnsi="Arial" w:cs="Arial"/>
          <w:sz w:val="24"/>
          <w:szCs w:val="24"/>
          <w:lang w:val="en"/>
        </w:rPr>
        <w:t xml:space="preserve">Therefore, the strategic risks relevant to Sainsbury's are interrelated and arise from the complexity of the transformation process, not from the absence of opportunities. The assessment of strategic options must take into account both the growth potential and </w:t>
      </w:r>
      <w:r w:rsidRPr="0038708F">
        <w:rPr>
          <w:rFonts w:ascii="Arial" w:hAnsi="Arial" w:cs="Arial"/>
          <w:sz w:val="24"/>
          <w:szCs w:val="24"/>
          <w:lang w:val="en"/>
        </w:rPr>
        <w:lastRenderedPageBreak/>
        <w:t>the organisation's ability to simultaneously manage investment risk, execution risk and digital risk within a coherent governance and control framework.</w:t>
      </w:r>
    </w:p>
    <w:p w14:paraId="5350C126" w14:textId="77777777" w:rsidR="00467692" w:rsidRPr="00BE6515" w:rsidRDefault="00467692" w:rsidP="00467692">
      <w:pPr>
        <w:rPr>
          <w:rFonts w:ascii="Arial" w:hAnsi="Arial" w:cs="Arial"/>
        </w:rPr>
      </w:pPr>
    </w:p>
    <w:p w14:paraId="6BC2A542" w14:textId="2BB6FA1A" w:rsidR="00D939CC" w:rsidRPr="00BE6515" w:rsidRDefault="00136BF3" w:rsidP="00136BF3">
      <w:pPr>
        <w:pStyle w:val="Heading2"/>
        <w:rPr>
          <w:rFonts w:ascii="Arial" w:hAnsi="Arial" w:cs="Arial"/>
          <w:color w:val="000000" w:themeColor="text1"/>
          <w:lang w:val="en-US"/>
        </w:rPr>
      </w:pPr>
      <w:bookmarkStart w:id="10" w:name="_Toc229296509"/>
      <w:r w:rsidRPr="00BE6515">
        <w:rPr>
          <w:rStyle w:val="Heading2Char"/>
          <w:rFonts w:ascii="Arial" w:hAnsi="Arial" w:cs="Arial"/>
          <w:color w:val="000000" w:themeColor="text1"/>
        </w:rPr>
        <w:t> </w:t>
      </w:r>
      <w:r w:rsidRPr="00BE6515">
        <w:rPr>
          <w:rStyle w:val="Heading2Char"/>
          <w:rFonts w:ascii="Arial" w:hAnsi="Arial" w:cs="Arial"/>
          <w:color w:val="000000" w:themeColor="text1"/>
        </w:rPr>
        <w:t>2.3 Strategic Options and Recommended Direction</w:t>
      </w:r>
      <w:bookmarkEnd w:id="10"/>
      <w:r w:rsidRPr="00BE6515">
        <w:rPr>
          <w:rFonts w:ascii="Arial" w:hAnsi="Arial" w:cs="Arial"/>
          <w:color w:val="000000" w:themeColor="text1"/>
          <w:lang w:val="en-US"/>
        </w:rPr>
        <w:t xml:space="preserve"> </w:t>
      </w:r>
    </w:p>
    <w:p w14:paraId="07523B3C" w14:textId="2A233DEF" w:rsidR="00467692" w:rsidRPr="0038708F" w:rsidRDefault="00467692" w:rsidP="00467692">
      <w:pPr>
        <w:rPr>
          <w:rFonts w:ascii="Arial" w:hAnsi="Arial" w:cs="Arial"/>
          <w:color w:val="000000" w:themeColor="text1"/>
          <w:sz w:val="24"/>
          <w:szCs w:val="24"/>
          <w:lang w:val="en"/>
        </w:rPr>
      </w:pPr>
      <w:r w:rsidRPr="0038708F">
        <w:rPr>
          <w:rFonts w:ascii="Arial" w:hAnsi="Arial" w:cs="Arial"/>
          <w:color w:val="000000" w:themeColor="text1"/>
          <w:sz w:val="24"/>
          <w:szCs w:val="24"/>
          <w:lang w:val="en"/>
        </w:rPr>
        <w:t>In a mature industry, strategic choices must be assessed not only in relation to the current competitive position but also to the organisation's ability to sustain long-term reconfiguration. The literature on strategic choice highlights that established organisations frequently face the dilemma of exploiting existing efficiencies and exploring new models of value creation (March, 1991).</w:t>
      </w:r>
    </w:p>
    <w:p w14:paraId="78B712B5" w14:textId="71F16285" w:rsidR="00467692" w:rsidRPr="0038708F" w:rsidRDefault="00467692" w:rsidP="00467692">
      <w:pPr>
        <w:rPr>
          <w:rFonts w:ascii="Arial" w:hAnsi="Arial" w:cs="Arial"/>
          <w:color w:val="000000" w:themeColor="text1"/>
          <w:sz w:val="24"/>
          <w:szCs w:val="24"/>
          <w:lang w:val="en"/>
        </w:rPr>
      </w:pPr>
      <w:r w:rsidRPr="0038708F">
        <w:rPr>
          <w:rFonts w:ascii="Arial" w:hAnsi="Arial" w:cs="Arial"/>
          <w:color w:val="000000" w:themeColor="text1"/>
          <w:sz w:val="24"/>
          <w:szCs w:val="24"/>
          <w:lang w:val="en"/>
        </w:rPr>
        <w:t>A first option would involve consolidating a strategy predominantly oriented towards operational efficiency and cost optimisation. In mature industries, this approach can protect margins through financial discipline and tight control of the supply chain (Ghemawat, 2002). However, studies of competition in limited-growth industries suggest that strategies based solely on cost tend to lead to strategic convergence and intensified price competition (Kim and Mauborgne, 2015).</w:t>
      </w:r>
    </w:p>
    <w:p w14:paraId="2255A683" w14:textId="23CF621E" w:rsidR="00467692" w:rsidRPr="0038708F" w:rsidRDefault="00467692" w:rsidP="00467692">
      <w:pPr>
        <w:rPr>
          <w:rFonts w:ascii="Arial" w:hAnsi="Arial" w:cs="Arial"/>
          <w:color w:val="000000" w:themeColor="text1"/>
          <w:sz w:val="24"/>
          <w:szCs w:val="24"/>
        </w:rPr>
      </w:pPr>
      <w:r w:rsidRPr="0038708F">
        <w:rPr>
          <w:rFonts w:ascii="Arial" w:hAnsi="Arial" w:cs="Arial"/>
          <w:color w:val="000000" w:themeColor="text1"/>
          <w:sz w:val="24"/>
          <w:szCs w:val="24"/>
          <w:lang w:val="en"/>
        </w:rPr>
        <w:t>A second option would involve accelerating digital transformation through extensive investments in personalisation and omnichannel integration. Recent research shows that digitalisation can drive differentiation through experience and data-driven optimisation of customer interactions (Sebastian et al., 2017). However, radical transformations can amplify execution risks and generate organisational imbalances if not supported by appropriate processes and structures (Svahn, Mathiassen and Lindgren, 2019).</w:t>
      </w:r>
    </w:p>
    <w:p w14:paraId="6AB72953" w14:textId="512B9948" w:rsidR="00467692" w:rsidRPr="0038708F" w:rsidRDefault="00467692" w:rsidP="00467692">
      <w:pPr>
        <w:rPr>
          <w:rFonts w:ascii="Arial" w:hAnsi="Arial" w:cs="Arial"/>
          <w:color w:val="000000" w:themeColor="text1"/>
          <w:sz w:val="24"/>
          <w:szCs w:val="24"/>
          <w:lang w:val="en"/>
        </w:rPr>
      </w:pPr>
      <w:r w:rsidRPr="0038708F">
        <w:rPr>
          <w:rFonts w:ascii="Arial" w:hAnsi="Arial" w:cs="Arial"/>
          <w:color w:val="000000" w:themeColor="text1"/>
          <w:sz w:val="24"/>
          <w:szCs w:val="24"/>
          <w:lang w:val="en"/>
        </w:rPr>
        <w:t>A third option involves integrating operational efficiency with the progressive development of digital capabilities in an ambidextrous model. The concept of organisational ambidexterity suggests that high-performing firms combine the exploitation of existing efficiency with the exploration of innovation without compromising operational stability (O'Reilly and Tushman, 2013). This approach does not treat digitalisation as a substitute for the current model, but as a mechanism for consolidating and extending it.</w:t>
      </w:r>
    </w:p>
    <w:p w14:paraId="7CA128F5" w14:textId="32B14FD8" w:rsidR="00CA4332" w:rsidRDefault="00F140C8" w:rsidP="00CA4332">
      <w:pPr>
        <w:rPr>
          <w:rFonts w:ascii="Arial" w:hAnsi="Arial" w:cs="Arial"/>
          <w:color w:val="000000" w:themeColor="text1"/>
          <w:lang w:val="en-US"/>
        </w:rPr>
      </w:pPr>
      <w:r w:rsidRPr="00F140C8">
        <w:rPr>
          <w:rFonts w:ascii="Arial" w:hAnsi="Arial" w:cs="Arial"/>
          <w:color w:val="000000" w:themeColor="text1"/>
          <w:sz w:val="24"/>
          <w:szCs w:val="24"/>
        </w:rPr>
        <w:t xml:space="preserve">The comparative assessment of these options indicates that the defensive strategy offers stability but limits differentiation, while the accelerated transformation strategy maximises innovation potential but increases risk exposure. The integrated strategy, on the other hand, allows for balancing cost control with the development of distinctive capabilities, thereby reducing the likelihood of structural imbalances, consistent with the literature on organisational ambidexterity (Raisch and Birkinshaw, 2008). Consequently, the recommended strategic direction is to adopt an integrated approach by </w:t>
      </w:r>
      <w:r w:rsidRPr="00F140C8">
        <w:rPr>
          <w:rFonts w:ascii="Arial" w:hAnsi="Arial" w:cs="Arial"/>
          <w:color w:val="000000" w:themeColor="text1"/>
          <w:sz w:val="24"/>
          <w:szCs w:val="24"/>
        </w:rPr>
        <w:lastRenderedPageBreak/>
        <w:t>consolidating operational efficiency alongside the progressive development of digital capabilities within a coherent framework of strategic coordination. This option is most appropriate for supporting profitability in a mature sector and facilitating digital transformation without disproportionately amplifying structural risks.</w:t>
      </w:r>
    </w:p>
    <w:p w14:paraId="0B04F0DB" w14:textId="77777777" w:rsidR="0038708F" w:rsidRDefault="0038708F" w:rsidP="00CA4332">
      <w:pPr>
        <w:rPr>
          <w:rFonts w:ascii="Arial" w:hAnsi="Arial" w:cs="Arial"/>
          <w:color w:val="000000" w:themeColor="text1"/>
          <w:lang w:val="en-US"/>
        </w:rPr>
      </w:pPr>
    </w:p>
    <w:p w14:paraId="19997E1B" w14:textId="77777777" w:rsidR="0038708F" w:rsidRDefault="0038708F" w:rsidP="00CA4332">
      <w:pPr>
        <w:rPr>
          <w:rFonts w:ascii="Arial" w:hAnsi="Arial" w:cs="Arial"/>
          <w:color w:val="000000" w:themeColor="text1"/>
          <w:lang w:val="en-US"/>
        </w:rPr>
      </w:pPr>
    </w:p>
    <w:p w14:paraId="2B3068E3" w14:textId="48D40FB0" w:rsidR="0038708F" w:rsidRDefault="0038708F">
      <w:pPr>
        <w:rPr>
          <w:rFonts w:ascii="Arial" w:hAnsi="Arial" w:cs="Arial"/>
          <w:color w:val="000000" w:themeColor="text1"/>
          <w:lang w:val="en-US"/>
        </w:rPr>
      </w:pPr>
      <w:r>
        <w:rPr>
          <w:rFonts w:ascii="Arial" w:hAnsi="Arial" w:cs="Arial"/>
          <w:color w:val="000000" w:themeColor="text1"/>
          <w:lang w:val="en-US"/>
        </w:rPr>
        <w:br w:type="page"/>
      </w:r>
    </w:p>
    <w:p w14:paraId="254AD209" w14:textId="1DE6F109" w:rsidR="00136BF3" w:rsidRPr="00BE6515" w:rsidRDefault="00136BF3" w:rsidP="00136BF3">
      <w:pPr>
        <w:pStyle w:val="Heading1"/>
        <w:rPr>
          <w:rFonts w:ascii="Arial" w:hAnsi="Arial" w:cs="Arial"/>
          <w:color w:val="000000" w:themeColor="text1"/>
          <w:lang w:val="en-US"/>
        </w:rPr>
      </w:pPr>
      <w:bookmarkStart w:id="11" w:name="_Toc229296510"/>
      <w:r w:rsidRPr="00BE6515">
        <w:rPr>
          <w:rFonts w:ascii="Arial" w:hAnsi="Arial" w:cs="Arial"/>
          <w:color w:val="000000" w:themeColor="text1"/>
          <w:lang w:val="en-US"/>
        </w:rPr>
        <w:lastRenderedPageBreak/>
        <w:t>Part II</w:t>
      </w:r>
      <w:r w:rsidR="00D939CC" w:rsidRPr="00BE6515">
        <w:rPr>
          <w:rFonts w:ascii="Arial" w:hAnsi="Arial" w:cs="Arial"/>
          <w:color w:val="000000" w:themeColor="text1"/>
          <w:lang w:val="en-US"/>
        </w:rPr>
        <w:t xml:space="preserve"> -</w:t>
      </w:r>
      <w:r w:rsidRPr="00BE6515">
        <w:rPr>
          <w:rFonts w:ascii="Arial" w:hAnsi="Arial" w:cs="Arial"/>
          <w:color w:val="000000" w:themeColor="text1"/>
          <w:lang w:val="en-US"/>
        </w:rPr>
        <w:t xml:space="preserve"> Leadership and Strategic Transformation</w:t>
      </w:r>
      <w:bookmarkEnd w:id="11"/>
    </w:p>
    <w:p w14:paraId="4D3628F1" w14:textId="60689734" w:rsidR="00136BF3" w:rsidRDefault="00136BF3" w:rsidP="00136BF3">
      <w:pPr>
        <w:pStyle w:val="Heading1"/>
        <w:rPr>
          <w:rStyle w:val="Heading1Char"/>
          <w:rFonts w:ascii="Arial" w:hAnsi="Arial" w:cs="Arial"/>
          <w:color w:val="000000" w:themeColor="text1"/>
          <w:lang w:val="en-US"/>
        </w:rPr>
      </w:pPr>
      <w:bookmarkStart w:id="12" w:name="_Toc229296511"/>
      <w:r w:rsidRPr="00BE6515">
        <w:rPr>
          <w:rStyle w:val="Heading1Char"/>
          <w:rFonts w:ascii="Arial" w:hAnsi="Arial" w:cs="Arial"/>
          <w:color w:val="000000" w:themeColor="text1"/>
          <w:lang w:val="en-US"/>
        </w:rPr>
        <w:t>3.</w:t>
      </w:r>
      <w:r w:rsidR="00D939CC" w:rsidRPr="00BE6515">
        <w:rPr>
          <w:rStyle w:val="Heading1Char"/>
          <w:rFonts w:ascii="Arial" w:hAnsi="Arial" w:cs="Arial"/>
          <w:color w:val="000000" w:themeColor="text1"/>
          <w:lang w:val="en-US"/>
        </w:rPr>
        <w:t xml:space="preserve"> </w:t>
      </w:r>
      <w:r w:rsidRPr="00BE6515">
        <w:rPr>
          <w:rStyle w:val="Heading1Char"/>
          <w:rFonts w:ascii="Arial" w:hAnsi="Arial" w:cs="Arial"/>
          <w:color w:val="000000" w:themeColor="text1"/>
          <w:lang w:val="en-US"/>
        </w:rPr>
        <w:t>Leadership Perspectives in Digital Strategic Change</w:t>
      </w:r>
      <w:bookmarkEnd w:id="12"/>
    </w:p>
    <w:p w14:paraId="1DE7CE63" w14:textId="77777777" w:rsidR="0038708F" w:rsidRPr="0038708F" w:rsidRDefault="0038708F" w:rsidP="0038708F">
      <w:pPr>
        <w:rPr>
          <w:lang w:val="en-US"/>
        </w:rPr>
      </w:pPr>
    </w:p>
    <w:p w14:paraId="5DBB7559" w14:textId="77777777" w:rsidR="00136BF3" w:rsidRPr="00BE6515" w:rsidRDefault="00136BF3" w:rsidP="00136BF3">
      <w:pPr>
        <w:pStyle w:val="Heading2"/>
        <w:rPr>
          <w:rFonts w:ascii="Arial" w:hAnsi="Arial" w:cs="Arial"/>
          <w:color w:val="000000" w:themeColor="text1"/>
        </w:rPr>
      </w:pPr>
      <w:bookmarkStart w:id="13" w:name="_Toc229296512"/>
      <w:r w:rsidRPr="00BE6515">
        <w:rPr>
          <w:rFonts w:ascii="Arial" w:hAnsi="Arial" w:cs="Arial"/>
          <w:color w:val="000000" w:themeColor="text1"/>
          <w:lang w:val="en-US"/>
        </w:rPr>
        <w:t> </w:t>
      </w:r>
      <w:r w:rsidRPr="00BE6515">
        <w:rPr>
          <w:rFonts w:ascii="Arial" w:hAnsi="Arial" w:cs="Arial"/>
          <w:color w:val="000000" w:themeColor="text1"/>
        </w:rPr>
        <w:t>3.1 Transformational and Adaptive Leadership Approaches</w:t>
      </w:r>
      <w:bookmarkEnd w:id="13"/>
    </w:p>
    <w:p w14:paraId="62E4F0D5" w14:textId="72ADAAD9" w:rsidR="00467692" w:rsidRPr="0038708F" w:rsidRDefault="00467692" w:rsidP="00467692">
      <w:pPr>
        <w:rPr>
          <w:rFonts w:ascii="Arial" w:hAnsi="Arial" w:cs="Arial"/>
          <w:sz w:val="24"/>
          <w:szCs w:val="24"/>
          <w:lang w:val="en"/>
        </w:rPr>
      </w:pPr>
      <w:r w:rsidRPr="0038708F">
        <w:rPr>
          <w:rFonts w:ascii="Arial" w:hAnsi="Arial" w:cs="Arial"/>
          <w:sz w:val="24"/>
          <w:szCs w:val="24"/>
          <w:lang w:val="en"/>
        </w:rPr>
        <w:t>Implementing an integrated strategy that combines operational efficiency with the development of digital capabilities involves more than structural adjustments; it also entails behavioural and cultural transformations at the organisational level. Leadership literature suggests that leadership effectiveness in contexts of strategic change is determined by the ability to influence the meaning attributed to the change and to facilitate collective learning processes (Northouse, 2022).</w:t>
      </w:r>
    </w:p>
    <w:p w14:paraId="2F4023E1" w14:textId="77777777" w:rsidR="00F140C8" w:rsidRDefault="00467692" w:rsidP="00467692">
      <w:pPr>
        <w:rPr>
          <w:rFonts w:ascii="Arial" w:hAnsi="Arial" w:cs="Arial"/>
          <w:sz w:val="24"/>
          <w:szCs w:val="24"/>
          <w:lang w:val="en"/>
        </w:rPr>
      </w:pPr>
      <w:r w:rsidRPr="0038708F">
        <w:rPr>
          <w:rFonts w:ascii="Arial" w:hAnsi="Arial" w:cs="Arial"/>
          <w:sz w:val="24"/>
          <w:szCs w:val="24"/>
          <w:lang w:val="en"/>
        </w:rPr>
        <w:t>Transformational leadership, conceptualised by Burns (1978) and expanded by Bass and Riggio (2006), provides a relevant framework for organisational mobilisation around a clear strategic direction. This model emphasises the articulation of a coherent vision, intellectual stimulation, and the development of commitment to shared objectives.</w:t>
      </w:r>
    </w:p>
    <w:p w14:paraId="03F80615" w14:textId="0533CCB0" w:rsidR="00467692" w:rsidRPr="0038708F" w:rsidRDefault="00467692" w:rsidP="00467692">
      <w:pPr>
        <w:rPr>
          <w:rFonts w:ascii="Arial" w:hAnsi="Arial" w:cs="Arial"/>
          <w:sz w:val="24"/>
          <w:szCs w:val="24"/>
        </w:rPr>
      </w:pPr>
      <w:r w:rsidRPr="0038708F">
        <w:rPr>
          <w:rFonts w:ascii="Arial" w:hAnsi="Arial" w:cs="Arial"/>
          <w:sz w:val="24"/>
          <w:szCs w:val="24"/>
          <w:lang w:val="en"/>
        </w:rPr>
        <w:t xml:space="preserve"> In contexts of strategic reconfiguration, transformational leadership can support the alignment between organisational objectives and individual behaviours, reducing resistance to change and strengthening internal cohesion. However, the literature highlights that strongly vision-oriented approaches may overestimate the leader's ability to anticipate the complexity of the environment and underestimate the emergent nature of adaptation processes (Yukl, 2013).</w:t>
      </w:r>
    </w:p>
    <w:p w14:paraId="69B4042E" w14:textId="77777777" w:rsidR="00F140C8" w:rsidRDefault="00F140C8" w:rsidP="00467692">
      <w:pPr>
        <w:rPr>
          <w:rFonts w:ascii="Arial" w:hAnsi="Arial" w:cs="Arial"/>
          <w:sz w:val="24"/>
          <w:szCs w:val="24"/>
        </w:rPr>
      </w:pPr>
      <w:r w:rsidRPr="00F140C8">
        <w:rPr>
          <w:rFonts w:ascii="Arial" w:hAnsi="Arial" w:cs="Arial"/>
          <w:sz w:val="24"/>
          <w:szCs w:val="24"/>
        </w:rPr>
        <w:t>In contrast, adaptive leadership, developed by Heifetz and Linsky (2002), focuses on managing problems without predefined technical solutions and on distributing responsibility for change at the collective level. This approach recognises that, in contexts characterised by uncertainty and interdependence, leaders cannot provide definitive solutions but must facilitate continuous experimentation and adjustment. From this perspective, adaptive leadership is less oriented towards inspiration and more towards orchestrating dialogue and organisational learning, a view that aligns with complexity-based perspectives on leadership in dynamic systems (Uhl-Bien, Marion and McKelvey, 2007).</w:t>
      </w:r>
    </w:p>
    <w:p w14:paraId="2D9B9C0A" w14:textId="68C50740" w:rsidR="00467692" w:rsidRPr="0038708F" w:rsidRDefault="00467692" w:rsidP="00467692">
      <w:pPr>
        <w:rPr>
          <w:rFonts w:ascii="Arial" w:hAnsi="Arial" w:cs="Arial"/>
          <w:sz w:val="24"/>
          <w:szCs w:val="24"/>
        </w:rPr>
      </w:pPr>
      <w:r w:rsidRPr="0038708F">
        <w:rPr>
          <w:rFonts w:ascii="Arial" w:hAnsi="Arial" w:cs="Arial"/>
          <w:sz w:val="24"/>
          <w:szCs w:val="24"/>
          <w:lang w:val="en"/>
        </w:rPr>
        <w:t xml:space="preserve">The conceptual difference between the two models is significant. Transformational leadership is predominantly normative and oriented towards mobilising around an articulated vision, while adaptive leadership is processual and oriented towards </w:t>
      </w:r>
      <w:r w:rsidRPr="0038708F">
        <w:rPr>
          <w:rFonts w:ascii="Arial" w:hAnsi="Arial" w:cs="Arial"/>
          <w:sz w:val="24"/>
          <w:szCs w:val="24"/>
          <w:lang w:val="en"/>
        </w:rPr>
        <w:lastRenderedPageBreak/>
        <w:t>managing systemic tensions. While the former provides direction and coherence, the latter facilitates flexibility and responsiveness to emerging problems. In established organisations, where operational stability must be maintained alongside change processes, an exclusively transformational approach may be insufficient, and an exclusively adaptive one may generate strategic ambiguity.</w:t>
      </w:r>
    </w:p>
    <w:p w14:paraId="32C25FF4" w14:textId="61B46B95" w:rsidR="00467692" w:rsidRPr="0038708F" w:rsidRDefault="00467692" w:rsidP="00467692">
      <w:pPr>
        <w:rPr>
          <w:rFonts w:ascii="Arial" w:hAnsi="Arial" w:cs="Arial"/>
          <w:sz w:val="24"/>
          <w:szCs w:val="24"/>
        </w:rPr>
      </w:pPr>
      <w:r w:rsidRPr="0038708F">
        <w:rPr>
          <w:rFonts w:ascii="Arial" w:hAnsi="Arial" w:cs="Arial"/>
          <w:sz w:val="24"/>
          <w:szCs w:val="24"/>
          <w:lang w:val="en"/>
        </w:rPr>
        <w:t>Therefore, the comparative analysis suggests that implementing the proposed strategic direction requires a combination of clarity of vision and adaptability of processes. Integrating these perspectives provides a more appropriate framework for supporting organisational transformation coherently and sustainably.</w:t>
      </w:r>
    </w:p>
    <w:p w14:paraId="0FD8A1D5" w14:textId="14C185FF" w:rsidR="00467692" w:rsidRPr="00BE6515" w:rsidRDefault="00467692" w:rsidP="00467692">
      <w:pPr>
        <w:rPr>
          <w:rFonts w:ascii="Arial" w:hAnsi="Arial" w:cs="Arial"/>
        </w:rPr>
      </w:pPr>
    </w:p>
    <w:p w14:paraId="0E4866CD" w14:textId="0F15EEE6" w:rsidR="00136BF3" w:rsidRPr="00BE6515" w:rsidRDefault="00136BF3" w:rsidP="00136BF3">
      <w:pPr>
        <w:pStyle w:val="Heading2"/>
        <w:rPr>
          <w:rFonts w:ascii="Arial" w:hAnsi="Arial" w:cs="Arial"/>
          <w:color w:val="000000" w:themeColor="text1"/>
        </w:rPr>
      </w:pPr>
      <w:bookmarkStart w:id="14" w:name="_Toc229296513"/>
      <w:r w:rsidRPr="00BE6515">
        <w:rPr>
          <w:rFonts w:ascii="Arial" w:hAnsi="Arial" w:cs="Arial"/>
          <w:color w:val="000000" w:themeColor="text1"/>
        </w:rPr>
        <w:t> </w:t>
      </w:r>
      <w:r w:rsidRPr="00BE6515">
        <w:rPr>
          <w:rFonts w:ascii="Arial" w:hAnsi="Arial" w:cs="Arial"/>
          <w:color w:val="000000" w:themeColor="text1"/>
        </w:rPr>
        <w:t xml:space="preserve">3.2 </w:t>
      </w:r>
      <w:r w:rsidR="00CA4332" w:rsidRPr="00BE6515">
        <w:rPr>
          <w:rFonts w:ascii="Arial" w:hAnsi="Arial" w:cs="Arial"/>
          <w:color w:val="000000" w:themeColor="text1"/>
        </w:rPr>
        <w:t>Organisational Application and Critical Evaluation</w:t>
      </w:r>
      <w:bookmarkEnd w:id="14"/>
    </w:p>
    <w:p w14:paraId="568842A8" w14:textId="57132D55" w:rsidR="00467692" w:rsidRPr="0038708F" w:rsidRDefault="00467692" w:rsidP="00467692">
      <w:pPr>
        <w:rPr>
          <w:rFonts w:ascii="Arial" w:hAnsi="Arial" w:cs="Arial"/>
          <w:sz w:val="24"/>
          <w:szCs w:val="24"/>
          <w:lang w:val="en"/>
        </w:rPr>
      </w:pPr>
      <w:r w:rsidRPr="0038708F">
        <w:rPr>
          <w:rFonts w:ascii="Arial" w:hAnsi="Arial" w:cs="Arial"/>
          <w:sz w:val="24"/>
          <w:szCs w:val="24"/>
          <w:lang w:val="en"/>
        </w:rPr>
        <w:t xml:space="preserve">Applying transformational leadership in the context of the recommended strategic direction would involve formulating and communicating a coherent vision for integrating digital capabilities into the existing operating model. The role of the leader would not only be to support change but also to redefine the interpretative framework through which the organisation understands its needs. </w:t>
      </w:r>
    </w:p>
    <w:p w14:paraId="48113B26" w14:textId="785B5241" w:rsidR="00467692" w:rsidRPr="0038708F" w:rsidRDefault="00467692" w:rsidP="00467692">
      <w:pPr>
        <w:rPr>
          <w:rFonts w:ascii="Arial" w:hAnsi="Arial" w:cs="Arial"/>
          <w:sz w:val="24"/>
          <w:szCs w:val="24"/>
        </w:rPr>
      </w:pPr>
      <w:r w:rsidRPr="0038708F">
        <w:rPr>
          <w:rFonts w:ascii="Arial" w:hAnsi="Arial" w:cs="Arial"/>
          <w:sz w:val="24"/>
          <w:szCs w:val="24"/>
          <w:lang w:val="en"/>
        </w:rPr>
        <w:t>According to Bass and Riggio (2006), transformational leadership is associated with increased organisational commitment and internalisation of strategic goals, which are essential aspects in transformation processes. In the case of an organisation of the size and complexity of Sainsbury, such leadership could facilitate vertical and horizontal alignment of goals, reducing fragmentation of digital initiatives. However, critical literature highlights that the transformational model can generate excessive dependence on the leader and overestimate his or her ability to control emerging organisational processes (Tourish, 2013). In contexts characterised by multiple interdependencies and rapid technological change, an exclusive focus on vision may ignore the need for detailed operational mechanisms and iterative adjustment processes.</w:t>
      </w:r>
    </w:p>
    <w:p w14:paraId="5FDAA63C" w14:textId="5838E070" w:rsidR="00467692" w:rsidRPr="0038708F" w:rsidRDefault="00467692" w:rsidP="00467692">
      <w:pPr>
        <w:rPr>
          <w:rFonts w:ascii="Arial" w:hAnsi="Arial" w:cs="Arial"/>
          <w:sz w:val="24"/>
          <w:szCs w:val="24"/>
        </w:rPr>
      </w:pPr>
      <w:r w:rsidRPr="0038708F">
        <w:rPr>
          <w:rFonts w:ascii="Arial" w:hAnsi="Arial" w:cs="Arial"/>
          <w:sz w:val="24"/>
          <w:szCs w:val="24"/>
          <w:lang w:val="en"/>
        </w:rPr>
        <w:t xml:space="preserve">Adaptive leadership provides a complementary framework, focusing on mobilising the organisation to address problems without predefined technical solutions (Heifetz, Grashow and Linsky, 2009). In an organisational context, this model would involve creating structures that enable controlled experimentation and continuous learning without compromising the system's stability. The adaptive approach is particularly relevant in digital integration processes, where optimal solutions emerge from testing and progressive adjustment, rather than from complete anticipatory planning. However, adaptive leadership requires a high degree of decentralisation and tolerance for ambiguity. In mature organisations, traditionally oriented towards control and efficiency, this approach can generate tensions regarding accountability and decision-making </w:t>
      </w:r>
      <w:r w:rsidRPr="0038708F">
        <w:rPr>
          <w:rFonts w:ascii="Arial" w:hAnsi="Arial" w:cs="Arial"/>
          <w:sz w:val="24"/>
          <w:szCs w:val="24"/>
          <w:lang w:val="en"/>
        </w:rPr>
        <w:lastRenderedPageBreak/>
        <w:t>coherence (Northouse, 2022). Without an explicitly formulated strategic direction, flexibility can lead to the dispersion of initiatives and the diminution of clarity of priorities.</w:t>
      </w:r>
    </w:p>
    <w:p w14:paraId="2CB133DD" w14:textId="3F460C34" w:rsidR="00467692" w:rsidRPr="0038708F" w:rsidRDefault="00467692" w:rsidP="00467692">
      <w:pPr>
        <w:rPr>
          <w:rFonts w:ascii="Arial" w:hAnsi="Arial" w:cs="Arial"/>
          <w:sz w:val="24"/>
          <w:szCs w:val="24"/>
          <w:lang w:val="en"/>
        </w:rPr>
      </w:pPr>
      <w:r w:rsidRPr="0038708F">
        <w:rPr>
          <w:rFonts w:ascii="Arial" w:hAnsi="Arial" w:cs="Arial"/>
          <w:sz w:val="24"/>
          <w:szCs w:val="24"/>
          <w:lang w:val="en"/>
        </w:rPr>
        <w:t>The critical assessment indicates that the effectiveness of the implementation of the recommended strategy depends on the deliberate combination of the two approaches. Transformational elements are necessary to ensure coherence, mobilisation and strategic alignment, while adaptive elements support the capacity for continuous adjustment and the management of complexity. Thus, appropriate leadership is not the result of selecting a single theory, but of the selective integration of principles compatible with the dual nature of the proposed strategic direction.</w:t>
      </w:r>
    </w:p>
    <w:p w14:paraId="251F68E0" w14:textId="5AAAF9CD" w:rsidR="00467692" w:rsidRPr="0038708F" w:rsidRDefault="00467692" w:rsidP="00467692">
      <w:pPr>
        <w:rPr>
          <w:rFonts w:ascii="Arial" w:hAnsi="Arial" w:cs="Arial"/>
          <w:sz w:val="24"/>
          <w:szCs w:val="24"/>
        </w:rPr>
      </w:pPr>
      <w:r w:rsidRPr="0038708F">
        <w:rPr>
          <w:rFonts w:ascii="Arial" w:hAnsi="Arial" w:cs="Arial"/>
          <w:sz w:val="24"/>
          <w:szCs w:val="24"/>
          <w:lang w:val="en"/>
        </w:rPr>
        <w:t>This analysis highlights that the success of implementation is determined not only by the chosen strategic option, but also by the behavioural and managerial architecture through which it is operationalised, an aspect that leads directly to the analysis of the organisational structure and the functions involved in the implementation.</w:t>
      </w:r>
    </w:p>
    <w:p w14:paraId="2CF2BFB2" w14:textId="3A92F8E1" w:rsidR="00467692" w:rsidRPr="00BE6515" w:rsidRDefault="00467692" w:rsidP="00467692">
      <w:pPr>
        <w:rPr>
          <w:rFonts w:ascii="Arial" w:hAnsi="Arial" w:cs="Arial"/>
        </w:rPr>
      </w:pPr>
    </w:p>
    <w:p w14:paraId="597CC90A" w14:textId="0A064D98" w:rsidR="00D939CC" w:rsidRPr="00BE6515" w:rsidRDefault="00136BF3" w:rsidP="00136BF3">
      <w:pPr>
        <w:pStyle w:val="Heading2"/>
        <w:rPr>
          <w:rFonts w:ascii="Arial" w:hAnsi="Arial" w:cs="Arial"/>
          <w:color w:val="000000" w:themeColor="text1"/>
        </w:rPr>
      </w:pPr>
      <w:bookmarkStart w:id="15" w:name="_Toc229296514"/>
      <w:r w:rsidRPr="00BE6515">
        <w:rPr>
          <w:rFonts w:ascii="Arial" w:hAnsi="Arial" w:cs="Arial"/>
          <w:color w:val="000000" w:themeColor="text1"/>
        </w:rPr>
        <w:t> </w:t>
      </w:r>
      <w:r w:rsidRPr="00BE6515">
        <w:rPr>
          <w:rFonts w:ascii="Arial" w:hAnsi="Arial" w:cs="Arial"/>
          <w:color w:val="000000" w:themeColor="text1"/>
        </w:rPr>
        <w:t xml:space="preserve">3.3 Evaluation of Likelihood of </w:t>
      </w:r>
      <w:r w:rsidR="00CA4332" w:rsidRPr="00BE6515">
        <w:rPr>
          <w:rFonts w:ascii="Arial" w:hAnsi="Arial" w:cs="Arial"/>
          <w:color w:val="000000" w:themeColor="text1"/>
        </w:rPr>
        <w:t xml:space="preserve">Strategic </w:t>
      </w:r>
      <w:r w:rsidRPr="00BE6515">
        <w:rPr>
          <w:rFonts w:ascii="Arial" w:hAnsi="Arial" w:cs="Arial"/>
          <w:color w:val="000000" w:themeColor="text1"/>
        </w:rPr>
        <w:t>Success</w:t>
      </w:r>
      <w:bookmarkEnd w:id="15"/>
      <w:r w:rsidRPr="00BE6515">
        <w:rPr>
          <w:rFonts w:ascii="Arial" w:hAnsi="Arial" w:cs="Arial"/>
          <w:color w:val="000000" w:themeColor="text1"/>
        </w:rPr>
        <w:t xml:space="preserve"> </w:t>
      </w:r>
    </w:p>
    <w:p w14:paraId="72D97742" w14:textId="77777777" w:rsidR="00F140C8" w:rsidRDefault="00F22631" w:rsidP="00F22631">
      <w:pPr>
        <w:rPr>
          <w:rFonts w:ascii="Arial" w:eastAsia="Times New Roman" w:hAnsi="Arial" w:cs="Arial"/>
          <w:kern w:val="0"/>
          <w:sz w:val="24"/>
          <w:szCs w:val="24"/>
          <w:lang w:val="en"/>
        </w:rPr>
      </w:pPr>
      <w:r w:rsidRPr="0038708F">
        <w:rPr>
          <w:rFonts w:ascii="Arial" w:eastAsia="Times New Roman" w:hAnsi="Arial" w:cs="Arial"/>
          <w:kern w:val="0"/>
          <w:sz w:val="24"/>
          <w:szCs w:val="24"/>
          <w:lang w:val="en"/>
        </w:rPr>
        <w:t xml:space="preserve">The likelihood of success of the recommended strategic direction should be assessed in relation to the level of coherence between the strategic formulation and the organisational capacity to execute. The literature on strategy implementation highlights that performance is not determined exclusively by the quality of the strategic analysis, but by the extent to which the objectives are translated into consistent operational processes and coordination mechanisms (Hrebiniak, 2006). In this sense, success depends on integrating digital initiatives into the existing operational architecture, avoiding fragmentation or duplication of effort. In mature organisations, gradual changes tend to be more sustainable than radical transformations, as they reduce the risk of systemic disruption and allow for progressive adjustments through organisational learning (Balogun and Johnson, 2004). </w:t>
      </w:r>
    </w:p>
    <w:p w14:paraId="356240C7" w14:textId="77777777" w:rsidR="00F140C8" w:rsidRDefault="00F140C8" w:rsidP="00F22631">
      <w:pPr>
        <w:rPr>
          <w:rFonts w:ascii="Arial" w:eastAsia="Times New Roman" w:hAnsi="Arial" w:cs="Arial"/>
          <w:kern w:val="0"/>
          <w:sz w:val="24"/>
          <w:szCs w:val="24"/>
        </w:rPr>
      </w:pPr>
      <w:r w:rsidRPr="00F140C8">
        <w:rPr>
          <w:rFonts w:ascii="Arial" w:eastAsia="Times New Roman" w:hAnsi="Arial" w:cs="Arial"/>
          <w:kern w:val="0"/>
          <w:sz w:val="24"/>
          <w:szCs w:val="24"/>
        </w:rPr>
        <w:t>The proposed strategic direction, which combines operational efficiency with the development of digital capabilities, aligns with this incremental logic. The likelihood of success increases to the extent that clear mechanisms for monitoring, feedback, and cross-functional accountability are in place. At the same time, long-term sustainability depends on the organisation's ability to develop internal competencies and integrate new practices into its existing culture, consistent with organisational learning perspectives that emphasise feedback and institutionalisation of new routines (Argyris and Schön, 1978).</w:t>
      </w:r>
    </w:p>
    <w:p w14:paraId="326A6FEF" w14:textId="718FD16D" w:rsidR="00F22631" w:rsidRPr="0038708F" w:rsidRDefault="00F22631" w:rsidP="00F22631">
      <w:pPr>
        <w:rPr>
          <w:rFonts w:ascii="Arial" w:eastAsia="Times New Roman" w:hAnsi="Arial" w:cs="Arial"/>
          <w:kern w:val="0"/>
          <w:sz w:val="24"/>
          <w:szCs w:val="24"/>
          <w:lang w:val="en"/>
        </w:rPr>
      </w:pPr>
      <w:r w:rsidRPr="0038708F">
        <w:rPr>
          <w:rFonts w:ascii="Arial" w:eastAsia="Times New Roman" w:hAnsi="Arial" w:cs="Arial"/>
          <w:kern w:val="0"/>
          <w:sz w:val="24"/>
          <w:szCs w:val="24"/>
          <w:lang w:val="en"/>
        </w:rPr>
        <w:t xml:space="preserve">Research on digital transformation shows that technology investments produce consistent results only when accompanied by changes in competencies, managerial </w:t>
      </w:r>
      <w:r w:rsidRPr="0038708F">
        <w:rPr>
          <w:rFonts w:ascii="Arial" w:eastAsia="Times New Roman" w:hAnsi="Arial" w:cs="Arial"/>
          <w:kern w:val="0"/>
          <w:sz w:val="24"/>
          <w:szCs w:val="24"/>
          <w:lang w:val="en"/>
        </w:rPr>
        <w:lastRenderedPageBreak/>
        <w:t xml:space="preserve">mindsets, and performance evaluation systems (Kane et al., 2019). In the absence of such integration, digital initiatives may remain peripheral and generate limited value. </w:t>
      </w:r>
    </w:p>
    <w:p w14:paraId="3854F6B2" w14:textId="062E17DD" w:rsidR="00F22631" w:rsidRPr="0038708F" w:rsidRDefault="00F22631" w:rsidP="00F22631">
      <w:pPr>
        <w:rPr>
          <w:rFonts w:ascii="Arial" w:eastAsia="Times New Roman" w:hAnsi="Arial" w:cs="Arial"/>
          <w:kern w:val="0"/>
          <w:sz w:val="24"/>
          <w:szCs w:val="24"/>
        </w:rPr>
      </w:pPr>
      <w:r w:rsidRPr="0038708F">
        <w:rPr>
          <w:rFonts w:ascii="Arial" w:eastAsia="Times New Roman" w:hAnsi="Arial" w:cs="Arial"/>
          <w:kern w:val="0"/>
          <w:sz w:val="24"/>
          <w:szCs w:val="24"/>
          <w:lang w:val="en"/>
        </w:rPr>
        <w:t>Therefore, the probability of success of the recommended strategic direction can be assessed as moderate to high, provided that coherence between vision, execution, and the development of organisational capabilities is maintained. The main risk lies not in the strategic choice itself, but in possible discontinuities between stated objectives and actual operational practices.</w:t>
      </w:r>
    </w:p>
    <w:p w14:paraId="393BED22" w14:textId="63BF99D5" w:rsidR="00F22631" w:rsidRPr="00BE6515" w:rsidRDefault="00F22631" w:rsidP="00F22631">
      <w:pPr>
        <w:rPr>
          <w:rFonts w:ascii="Arial" w:eastAsia="Times New Roman" w:hAnsi="Arial" w:cs="Arial"/>
          <w:kern w:val="0"/>
          <w:sz w:val="24"/>
          <w:szCs w:val="24"/>
        </w:rPr>
      </w:pPr>
    </w:p>
    <w:p w14:paraId="1811DC20" w14:textId="77777777" w:rsidR="00D939CC" w:rsidRPr="00BE6515" w:rsidRDefault="00D939CC">
      <w:pPr>
        <w:rPr>
          <w:rFonts w:ascii="Arial" w:eastAsiaTheme="majorEastAsia" w:hAnsi="Arial" w:cs="Arial"/>
          <w:color w:val="000000" w:themeColor="text1"/>
          <w:sz w:val="32"/>
          <w:szCs w:val="32"/>
        </w:rPr>
      </w:pPr>
      <w:r w:rsidRPr="00BE6515">
        <w:rPr>
          <w:rFonts w:ascii="Arial" w:hAnsi="Arial" w:cs="Arial"/>
          <w:color w:val="000000" w:themeColor="text1"/>
        </w:rPr>
        <w:br w:type="page"/>
      </w:r>
    </w:p>
    <w:p w14:paraId="38C06474" w14:textId="506B4D9E" w:rsidR="00136BF3" w:rsidRPr="00BE6515" w:rsidRDefault="00136BF3" w:rsidP="00136BF3">
      <w:pPr>
        <w:pStyle w:val="Heading1"/>
        <w:rPr>
          <w:rFonts w:ascii="Arial" w:hAnsi="Arial" w:cs="Arial"/>
          <w:color w:val="000000" w:themeColor="text1"/>
          <w:lang w:val="en-US"/>
        </w:rPr>
      </w:pPr>
      <w:bookmarkStart w:id="16" w:name="_Toc229296515"/>
      <w:r w:rsidRPr="00BE6515">
        <w:rPr>
          <w:rFonts w:ascii="Arial" w:hAnsi="Arial" w:cs="Arial"/>
          <w:color w:val="000000" w:themeColor="text1"/>
          <w:lang w:val="en-US"/>
        </w:rPr>
        <w:lastRenderedPageBreak/>
        <w:t xml:space="preserve">Part III </w:t>
      </w:r>
      <w:r w:rsidR="00D939CC" w:rsidRPr="00BE6515">
        <w:rPr>
          <w:rFonts w:ascii="Arial" w:hAnsi="Arial" w:cs="Arial"/>
          <w:color w:val="000000" w:themeColor="text1"/>
          <w:lang w:val="en-US"/>
        </w:rPr>
        <w:t>-</w:t>
      </w:r>
      <w:r w:rsidRPr="00BE6515">
        <w:rPr>
          <w:rFonts w:ascii="Arial" w:hAnsi="Arial" w:cs="Arial"/>
          <w:color w:val="000000" w:themeColor="text1"/>
          <w:lang w:val="en-US"/>
        </w:rPr>
        <w:t xml:space="preserve"> Recommendations and Implementation</w:t>
      </w:r>
      <w:bookmarkEnd w:id="16"/>
    </w:p>
    <w:p w14:paraId="47DA96DF" w14:textId="77777777" w:rsidR="00136BF3" w:rsidRPr="00BE6515" w:rsidRDefault="00136BF3" w:rsidP="00136BF3">
      <w:pPr>
        <w:pStyle w:val="Heading1"/>
        <w:rPr>
          <w:rFonts w:ascii="Arial" w:hAnsi="Arial" w:cs="Arial"/>
          <w:color w:val="000000" w:themeColor="text1"/>
          <w:lang w:val="en-US"/>
        </w:rPr>
      </w:pPr>
      <w:bookmarkStart w:id="17" w:name="_Toc229296516"/>
      <w:r w:rsidRPr="00BE6515">
        <w:rPr>
          <w:rFonts w:ascii="Arial" w:hAnsi="Arial" w:cs="Arial"/>
          <w:color w:val="000000" w:themeColor="text1"/>
          <w:lang w:val="en-US"/>
        </w:rPr>
        <w:t>4. Strategic Recommendations and Objectives</w:t>
      </w:r>
      <w:bookmarkEnd w:id="17"/>
      <w:r w:rsidRPr="00BE6515">
        <w:rPr>
          <w:rFonts w:ascii="Arial" w:hAnsi="Arial" w:cs="Arial"/>
          <w:color w:val="000000" w:themeColor="text1"/>
          <w:lang w:val="en-US"/>
        </w:rPr>
        <w:t xml:space="preserve"> </w:t>
      </w:r>
    </w:p>
    <w:p w14:paraId="08A747E8" w14:textId="77777777" w:rsidR="0038708F" w:rsidRDefault="00F22631" w:rsidP="00F22631">
      <w:pPr>
        <w:rPr>
          <w:rFonts w:ascii="Arial" w:hAnsi="Arial" w:cs="Arial"/>
          <w:sz w:val="24"/>
          <w:szCs w:val="24"/>
        </w:rPr>
      </w:pPr>
      <w:r w:rsidRPr="00BE6515">
        <w:rPr>
          <w:rFonts w:ascii="Arial" w:hAnsi="Arial" w:cs="Arial"/>
        </w:rPr>
        <w:br/>
      </w:r>
      <w:r w:rsidRPr="0038708F">
        <w:rPr>
          <w:rFonts w:ascii="Arial" w:hAnsi="Arial" w:cs="Arial"/>
          <w:sz w:val="24"/>
          <w:szCs w:val="24"/>
        </w:rPr>
        <w:t>The recommended strategic direction - the deliberate integration of operational efficiency with the development of digital capabilities - requires translation into a clear set of priorities and measurable objectives. The literature on strategy implementation emphasises that success depends on aligning operational objectives with strategic intent and defining concrete performance indicators (Kaplan and Norton, 2008). The central recommendation is to develop an integrated omnichannel model that leverages the existing physical infrastructure as a competitive advantage to support digital operations. This involves coordinated investments in data analytics, logistics optimisation and the integration of IT systems at the organisational level. To transform this direction into a coherent operational framework, objectives must be formulated according to the SMART principle – specific, measurable, achievable, relevant and time-bound (Doran, 1981).</w:t>
      </w:r>
    </w:p>
    <w:p w14:paraId="49109274" w14:textId="77777777" w:rsidR="0038708F" w:rsidRDefault="00F22631" w:rsidP="00F22631">
      <w:pPr>
        <w:rPr>
          <w:rFonts w:ascii="Arial" w:hAnsi="Arial" w:cs="Arial"/>
          <w:sz w:val="24"/>
          <w:szCs w:val="24"/>
        </w:rPr>
      </w:pPr>
      <w:r w:rsidRPr="0038708F">
        <w:rPr>
          <w:rFonts w:ascii="Arial" w:hAnsi="Arial" w:cs="Arial"/>
          <w:sz w:val="24"/>
          <w:szCs w:val="24"/>
        </w:rPr>
        <w:t xml:space="preserve"> Objective 1: Increase omnichannel integration. Increase the share of online orders processed through the existing physical store infrastructure to 60% over the next three years by optimising logistics systems and integrating digital platforms. This objective is specific and measurable, being directly correlated with the efficient use of existing resources. </w:t>
      </w:r>
    </w:p>
    <w:p w14:paraId="78052D7B" w14:textId="147E36FF" w:rsidR="00F22631" w:rsidRPr="0038708F" w:rsidRDefault="00F22631" w:rsidP="00F22631">
      <w:pPr>
        <w:rPr>
          <w:rFonts w:ascii="Arial" w:hAnsi="Arial" w:cs="Arial"/>
          <w:sz w:val="24"/>
          <w:szCs w:val="24"/>
        </w:rPr>
      </w:pPr>
      <w:r w:rsidRPr="0038708F">
        <w:rPr>
          <w:rFonts w:ascii="Arial" w:hAnsi="Arial" w:cs="Arial"/>
          <w:sz w:val="24"/>
          <w:szCs w:val="24"/>
        </w:rPr>
        <w:t>Objective 2: Develop internal digital capabilities. Increase the number of employees with advanced digital skills by 30% over the next 2 years through internal training programs and strategic recruitment. The literature highlights that skills development is essential for supporting organisational transformation (Hrebiniak, 2006).</w:t>
      </w:r>
    </w:p>
    <w:p w14:paraId="4B676130" w14:textId="00E0C827" w:rsidR="00F22631" w:rsidRPr="0038708F" w:rsidRDefault="00F22631" w:rsidP="00F22631">
      <w:pPr>
        <w:rPr>
          <w:rFonts w:ascii="Arial" w:hAnsi="Arial" w:cs="Arial"/>
          <w:sz w:val="24"/>
          <w:szCs w:val="24"/>
          <w:lang w:val="en"/>
        </w:rPr>
      </w:pPr>
      <w:r w:rsidRPr="0038708F">
        <w:rPr>
          <w:rFonts w:ascii="Arial" w:hAnsi="Arial" w:cs="Arial"/>
          <w:sz w:val="24"/>
          <w:szCs w:val="24"/>
          <w:lang w:val="en"/>
        </w:rPr>
        <w:t>Objective 3: Improve operational efficiency through data analytics</w:t>
      </w:r>
      <w:r w:rsidR="0038708F">
        <w:rPr>
          <w:rFonts w:ascii="Arial" w:hAnsi="Arial" w:cs="Arial"/>
          <w:sz w:val="24"/>
          <w:szCs w:val="24"/>
          <w:lang w:val="en"/>
        </w:rPr>
        <w:t xml:space="preserve">. </w:t>
      </w:r>
      <w:r w:rsidRPr="0038708F">
        <w:rPr>
          <w:rFonts w:ascii="Arial" w:hAnsi="Arial" w:cs="Arial"/>
          <w:sz w:val="24"/>
          <w:szCs w:val="24"/>
          <w:lang w:val="en"/>
        </w:rPr>
        <w:t>Reduce inventory management costs by 15% over the next 3 years through predictive analytics and demand optimisation. This objective simultaneously supports cost control and technology integration.</w:t>
      </w:r>
    </w:p>
    <w:p w14:paraId="50A9FEE3" w14:textId="45D557A3" w:rsidR="00F22631" w:rsidRPr="0038708F" w:rsidRDefault="00F22631" w:rsidP="00F22631">
      <w:pPr>
        <w:rPr>
          <w:rFonts w:ascii="Arial" w:hAnsi="Arial" w:cs="Arial"/>
          <w:sz w:val="24"/>
          <w:szCs w:val="24"/>
          <w:lang w:val="en"/>
        </w:rPr>
      </w:pPr>
      <w:r w:rsidRPr="0038708F">
        <w:rPr>
          <w:rFonts w:ascii="Arial" w:hAnsi="Arial" w:cs="Arial"/>
          <w:sz w:val="24"/>
          <w:szCs w:val="24"/>
          <w:lang w:val="en"/>
        </w:rPr>
        <w:t>Objective 4: Increase customer retention through personalisation</w:t>
      </w:r>
      <w:r w:rsidR="0038708F">
        <w:rPr>
          <w:rFonts w:ascii="Arial" w:hAnsi="Arial" w:cs="Arial"/>
          <w:sz w:val="24"/>
          <w:szCs w:val="24"/>
          <w:lang w:val="en"/>
        </w:rPr>
        <w:t xml:space="preserve">. </w:t>
      </w:r>
      <w:r w:rsidRPr="0038708F">
        <w:rPr>
          <w:rFonts w:ascii="Arial" w:hAnsi="Arial" w:cs="Arial"/>
          <w:sz w:val="24"/>
          <w:szCs w:val="24"/>
          <w:lang w:val="en"/>
        </w:rPr>
        <w:t>Increase customer retention by 10% over the next 2 years by implementing personalisation systems powered by behavioural analytics.</w:t>
      </w:r>
    </w:p>
    <w:p w14:paraId="24A42AD3" w14:textId="4C34DE5D" w:rsidR="00F22631" w:rsidRPr="0038708F" w:rsidRDefault="00F22631" w:rsidP="00F22631">
      <w:pPr>
        <w:rPr>
          <w:rFonts w:ascii="Arial" w:hAnsi="Arial" w:cs="Arial"/>
          <w:sz w:val="24"/>
          <w:szCs w:val="24"/>
        </w:rPr>
      </w:pPr>
      <w:r w:rsidRPr="0038708F">
        <w:rPr>
          <w:rFonts w:ascii="Arial" w:hAnsi="Arial" w:cs="Arial"/>
          <w:sz w:val="24"/>
          <w:szCs w:val="24"/>
          <w:lang w:val="en"/>
        </w:rPr>
        <w:t xml:space="preserve">These objectives align with the recommended strategic direction and enable progress to be monitored through measurable indicators. According to Kaplan and Norton (2008), translating strategy into clear operational objectives facilitates cross-functional coordination and supports coherent implementation. Overall, the recommendations </w:t>
      </w:r>
      <w:r w:rsidRPr="0038708F">
        <w:rPr>
          <w:rFonts w:ascii="Arial" w:hAnsi="Arial" w:cs="Arial"/>
          <w:sz w:val="24"/>
          <w:szCs w:val="24"/>
          <w:lang w:val="en"/>
        </w:rPr>
        <w:lastRenderedPageBreak/>
        <w:t>made reflect the balance between cost control and the development of digital capabilities, ensuring coherence between strategic intent and operational execution.</w:t>
      </w:r>
    </w:p>
    <w:p w14:paraId="02D37408" w14:textId="248FEECB" w:rsidR="0038708F" w:rsidRDefault="0038708F">
      <w:pPr>
        <w:rPr>
          <w:rFonts w:ascii="Arial" w:hAnsi="Arial" w:cs="Arial"/>
          <w:lang w:val="en-US"/>
        </w:rPr>
      </w:pPr>
      <w:r>
        <w:rPr>
          <w:rFonts w:ascii="Arial" w:hAnsi="Arial" w:cs="Arial"/>
          <w:lang w:val="en-US"/>
        </w:rPr>
        <w:br w:type="page"/>
      </w:r>
    </w:p>
    <w:p w14:paraId="3F6BD167" w14:textId="77777777" w:rsidR="00136BF3" w:rsidRPr="00BE6515" w:rsidRDefault="00136BF3" w:rsidP="00136BF3">
      <w:pPr>
        <w:pStyle w:val="Heading1"/>
        <w:rPr>
          <w:rFonts w:ascii="Arial" w:hAnsi="Arial" w:cs="Arial"/>
          <w:color w:val="000000" w:themeColor="text1"/>
          <w:lang w:val="en-US"/>
        </w:rPr>
      </w:pPr>
      <w:bookmarkStart w:id="18" w:name="_Toc229296517"/>
      <w:r w:rsidRPr="00BE6515">
        <w:rPr>
          <w:rFonts w:ascii="Arial" w:hAnsi="Arial" w:cs="Arial"/>
          <w:color w:val="000000" w:themeColor="text1"/>
          <w:lang w:val="en-US"/>
        </w:rPr>
        <w:lastRenderedPageBreak/>
        <w:t>5. From Current State to Desired Future State</w:t>
      </w:r>
      <w:bookmarkEnd w:id="18"/>
    </w:p>
    <w:p w14:paraId="22F32A85" w14:textId="77777777" w:rsidR="00136BF3" w:rsidRPr="00BE6515" w:rsidRDefault="00136BF3" w:rsidP="00136BF3">
      <w:pPr>
        <w:pStyle w:val="Heading2"/>
        <w:rPr>
          <w:rFonts w:ascii="Arial" w:hAnsi="Arial" w:cs="Arial"/>
          <w:color w:val="000000" w:themeColor="text1"/>
        </w:rPr>
      </w:pPr>
      <w:bookmarkStart w:id="19" w:name="_Toc229296518"/>
      <w:r w:rsidRPr="00BE6515">
        <w:rPr>
          <w:rFonts w:ascii="Arial" w:hAnsi="Arial" w:cs="Arial"/>
          <w:color w:val="000000" w:themeColor="text1"/>
          <w:lang w:val="en-US"/>
        </w:rPr>
        <w:t> </w:t>
      </w:r>
      <w:r w:rsidRPr="00BE6515">
        <w:rPr>
          <w:rStyle w:val="Heading2Char"/>
          <w:rFonts w:ascii="Arial" w:hAnsi="Arial" w:cs="Arial"/>
          <w:color w:val="000000" w:themeColor="text1"/>
        </w:rPr>
        <w:t>5</w:t>
      </w:r>
      <w:r w:rsidRPr="00BE6515">
        <w:rPr>
          <w:rFonts w:ascii="Arial" w:hAnsi="Arial" w:cs="Arial"/>
          <w:color w:val="000000" w:themeColor="text1"/>
        </w:rPr>
        <w:t>.1 Gap Analysis</w:t>
      </w:r>
      <w:bookmarkEnd w:id="19"/>
    </w:p>
    <w:p w14:paraId="1A49CF35" w14:textId="36A029AD" w:rsidR="00F22631" w:rsidRPr="0038708F" w:rsidRDefault="00F22631" w:rsidP="00F22631">
      <w:pPr>
        <w:rPr>
          <w:rFonts w:ascii="Arial" w:hAnsi="Arial" w:cs="Arial"/>
          <w:sz w:val="24"/>
          <w:szCs w:val="24"/>
          <w:lang w:val="en"/>
        </w:rPr>
      </w:pPr>
      <w:r w:rsidRPr="0038708F">
        <w:rPr>
          <w:rFonts w:ascii="Arial" w:hAnsi="Arial" w:cs="Arial"/>
          <w:sz w:val="24"/>
          <w:szCs w:val="24"/>
          <w:lang w:val="en"/>
        </w:rPr>
        <w:t>The transition from the current organisational configuration to the proposed strategic model involves identifying the differences between existing capabilities and the systemic requirements of the recommended direction. Gap analysis does not only aim to compare the current state with a theoretical ideal, but also to assess the level of alignment between the formulated strategy, organisational structure and operational mechanisms (Nadler and Tushman, 1997). In this sense, gap analysis provides a framework for identifying areas where strategic intervention is necessary to support coherent implementation.</w:t>
      </w:r>
    </w:p>
    <w:p w14:paraId="1C9EE7D7" w14:textId="1FCA125C" w:rsidR="00F22631" w:rsidRPr="0038708F" w:rsidRDefault="00F22631" w:rsidP="00F22631">
      <w:pPr>
        <w:rPr>
          <w:rFonts w:ascii="Arial" w:hAnsi="Arial" w:cs="Arial"/>
          <w:sz w:val="24"/>
          <w:szCs w:val="24"/>
          <w:lang w:val="en"/>
        </w:rPr>
      </w:pPr>
      <w:r w:rsidRPr="0038708F">
        <w:rPr>
          <w:rFonts w:ascii="Arial" w:hAnsi="Arial" w:cs="Arial"/>
          <w:sz w:val="24"/>
          <w:szCs w:val="24"/>
          <w:lang w:val="en"/>
        </w:rPr>
        <w:t>Although the digital and operational infrastructure is developed, its use still reflects a predominantly functional logic rather than a systemically integrated one. The desired model involves cross-functional coordination between strategy, technology and processes, so that physical and digital infrastructure operate as interdependent elements of value creation. The literature on organisational design highlights that sustainable performance is conditioned by the congruence among strategy, processes, and formal structures (Galbraith, 2014). In the current configuration, this congruence is partially achieved, but not fully optimised for advanced digital integration.</w:t>
      </w:r>
    </w:p>
    <w:p w14:paraId="1730F6CE" w14:textId="0541F2F4" w:rsidR="00F22631" w:rsidRPr="0038708F" w:rsidRDefault="00F22631" w:rsidP="00F22631">
      <w:pPr>
        <w:rPr>
          <w:rFonts w:ascii="Arial" w:hAnsi="Arial" w:cs="Arial"/>
          <w:sz w:val="24"/>
          <w:szCs w:val="24"/>
        </w:rPr>
      </w:pPr>
      <w:r w:rsidRPr="0038708F">
        <w:rPr>
          <w:rFonts w:ascii="Arial" w:hAnsi="Arial" w:cs="Arial"/>
          <w:sz w:val="24"/>
          <w:szCs w:val="24"/>
          <w:lang w:val="en"/>
        </w:rPr>
        <w:t>The proposed strategic direction involves advanced data analytics, automation, and digital orchestration, which require internally developed analytical and technological skills. Studies on digital transformation show that the lack of internal capabilities is a critical factor in fragmented implementation and excessive dependence on external providers (Kane et al., 2019). Currently, digital skills are unevenly distributed, which can limit the organisation</w:t>
      </w:r>
      <w:r w:rsidR="0020736B" w:rsidRPr="0038708F">
        <w:rPr>
          <w:rFonts w:ascii="Arial" w:hAnsi="Arial" w:cs="Arial"/>
          <w:sz w:val="24"/>
          <w:szCs w:val="24"/>
          <w:lang w:val="en"/>
        </w:rPr>
        <w:t>'</w:t>
      </w:r>
      <w:r w:rsidRPr="0038708F">
        <w:rPr>
          <w:rFonts w:ascii="Arial" w:hAnsi="Arial" w:cs="Arial"/>
          <w:sz w:val="24"/>
          <w:szCs w:val="24"/>
          <w:lang w:val="en"/>
        </w:rPr>
        <w:t>s ability to internalise essential digital processes.</w:t>
      </w:r>
    </w:p>
    <w:p w14:paraId="4901D67F" w14:textId="77777777" w:rsidR="0038708F" w:rsidRDefault="00F22631" w:rsidP="00F22631">
      <w:pPr>
        <w:rPr>
          <w:rFonts w:ascii="Arial" w:hAnsi="Arial" w:cs="Arial"/>
          <w:sz w:val="24"/>
          <w:szCs w:val="24"/>
          <w:lang w:val="en"/>
        </w:rPr>
      </w:pPr>
      <w:r w:rsidRPr="0038708F">
        <w:rPr>
          <w:rFonts w:ascii="Arial" w:hAnsi="Arial" w:cs="Arial"/>
          <w:sz w:val="24"/>
          <w:szCs w:val="24"/>
          <w:lang w:val="en"/>
        </w:rPr>
        <w:t xml:space="preserve">The recommended strategic direction requires not only operational efficiency but also the ability to adapt continuously. The change management literature emphasises that sustainable organisational transformations require adjustments in collective cognitive norms and models, not just structural changes (By, 2005). A culture predominantly oriented towards stability and operational control can come into tension with the demands of experimentation and iterative learning. In the future model, operational discipline must be maintained while being complemented by a stronger orientation towards adaptability. </w:t>
      </w:r>
    </w:p>
    <w:p w14:paraId="67CAD5CE" w14:textId="67BC9736" w:rsidR="00F22631" w:rsidRPr="0038708F" w:rsidRDefault="00F22631" w:rsidP="00F22631">
      <w:pPr>
        <w:rPr>
          <w:rFonts w:ascii="Arial" w:hAnsi="Arial" w:cs="Arial"/>
          <w:sz w:val="24"/>
          <w:szCs w:val="24"/>
        </w:rPr>
      </w:pPr>
      <w:r w:rsidRPr="0038708F">
        <w:rPr>
          <w:rFonts w:ascii="Arial" w:hAnsi="Arial" w:cs="Arial"/>
          <w:sz w:val="24"/>
          <w:szCs w:val="24"/>
          <w:lang w:val="en"/>
        </w:rPr>
        <w:t xml:space="preserve">Overall, the gap analysis indicates that the critical differences do not concern the lack of tangible resources, but rather the level of strategic integration, the maturity of digital skills, and the cultural alignment necessary to support the integrated omnichannel </w:t>
      </w:r>
      <w:r w:rsidRPr="0038708F">
        <w:rPr>
          <w:rFonts w:ascii="Arial" w:hAnsi="Arial" w:cs="Arial"/>
          <w:sz w:val="24"/>
          <w:szCs w:val="24"/>
          <w:lang w:val="en"/>
        </w:rPr>
        <w:lastRenderedPageBreak/>
        <w:t>model. Identifying these discrepancies is the premise for formulating a coherent implementation framework.</w:t>
      </w:r>
    </w:p>
    <w:p w14:paraId="4B97C17F" w14:textId="77777777" w:rsidR="00136BF3" w:rsidRPr="00BE6515" w:rsidRDefault="00136BF3" w:rsidP="00136BF3">
      <w:pPr>
        <w:pStyle w:val="Heading2"/>
        <w:rPr>
          <w:rFonts w:ascii="Arial" w:hAnsi="Arial" w:cs="Arial"/>
          <w:color w:val="000000" w:themeColor="text1"/>
        </w:rPr>
      </w:pPr>
      <w:bookmarkStart w:id="20" w:name="_Toc229296519"/>
      <w:r w:rsidRPr="00BE6515">
        <w:rPr>
          <w:rFonts w:ascii="Arial" w:hAnsi="Arial" w:cs="Arial"/>
          <w:color w:val="000000" w:themeColor="text1"/>
        </w:rPr>
        <w:t> </w:t>
      </w:r>
      <w:r w:rsidRPr="00BE6515">
        <w:rPr>
          <w:rStyle w:val="Heading2Char"/>
          <w:rFonts w:ascii="Arial" w:hAnsi="Arial" w:cs="Arial"/>
          <w:color w:val="000000" w:themeColor="text1"/>
        </w:rPr>
        <w:t>5</w:t>
      </w:r>
      <w:r w:rsidRPr="00BE6515">
        <w:rPr>
          <w:rFonts w:ascii="Arial" w:hAnsi="Arial" w:cs="Arial"/>
          <w:color w:val="000000" w:themeColor="text1"/>
        </w:rPr>
        <w:t>.2 Change Implementation Framework</w:t>
      </w:r>
      <w:bookmarkEnd w:id="20"/>
    </w:p>
    <w:p w14:paraId="560B8959" w14:textId="23E9E821" w:rsidR="00F22631" w:rsidRPr="0038708F" w:rsidRDefault="00F22631" w:rsidP="00F22631">
      <w:pPr>
        <w:rPr>
          <w:rFonts w:ascii="Arial" w:hAnsi="Arial" w:cs="Arial"/>
          <w:sz w:val="24"/>
          <w:szCs w:val="24"/>
          <w:lang w:val="en"/>
        </w:rPr>
      </w:pPr>
      <w:r w:rsidRPr="0038708F">
        <w:rPr>
          <w:rFonts w:ascii="Arial" w:hAnsi="Arial" w:cs="Arial"/>
          <w:sz w:val="24"/>
          <w:szCs w:val="24"/>
          <w:lang w:val="en"/>
        </w:rPr>
        <w:t xml:space="preserve">The gap analysis presented above indicates that the transition to an integrated omnichannel model cannot be achieved through isolated operational adjustments, but requires a formal implementation framework that ensures coherence among the strategic direction, organisational structure, and governance mechanisms. The literature on strategic implementation highlights that the success of the transformation depends on the systemic alignment of these dimensions, rather than on the formulation of the strategy itself (Errida and Lotfi, 2021). </w:t>
      </w:r>
    </w:p>
    <w:p w14:paraId="0BB80B9A" w14:textId="716A6E18" w:rsidR="00F22631" w:rsidRPr="0038708F" w:rsidRDefault="00F22631" w:rsidP="00F22631">
      <w:pPr>
        <w:rPr>
          <w:rFonts w:ascii="Arial" w:hAnsi="Arial" w:cs="Arial"/>
          <w:sz w:val="24"/>
          <w:szCs w:val="24"/>
          <w:lang w:val="en"/>
        </w:rPr>
      </w:pPr>
      <w:r w:rsidRPr="0038708F">
        <w:rPr>
          <w:rFonts w:ascii="Arial" w:hAnsi="Arial" w:cs="Arial"/>
          <w:sz w:val="24"/>
          <w:szCs w:val="24"/>
          <w:lang w:val="en"/>
        </w:rPr>
        <w:t>In this context, the change model proposed by Kotter (1996) is used as a conceptual structure for organising the interventions required for implementation. However, its application within the framework of this report does not aim to reproduce the stages sequentially, but rather to integrate them into a coherent framework adapted to the organisational specificity of Sainsbury.</w:t>
      </w:r>
    </w:p>
    <w:p w14:paraId="56217465" w14:textId="3437FFEA" w:rsidR="00F22631" w:rsidRDefault="00F22631" w:rsidP="00F22631">
      <w:pPr>
        <w:rPr>
          <w:rFonts w:ascii="Arial" w:hAnsi="Arial" w:cs="Arial"/>
          <w:sz w:val="24"/>
          <w:szCs w:val="24"/>
          <w:lang w:val="en"/>
        </w:rPr>
      </w:pPr>
      <w:r w:rsidRPr="0038708F">
        <w:rPr>
          <w:rFonts w:ascii="Arial" w:hAnsi="Arial" w:cs="Arial"/>
          <w:sz w:val="24"/>
          <w:szCs w:val="24"/>
          <w:lang w:val="en"/>
        </w:rPr>
        <w:t xml:space="preserve"> The operationalisation of this framework is summarised in Figure 6, which correlates the theoretical dimensions of change with the concrete organisational mechanisms required to support the recommended strategic direction.</w:t>
      </w:r>
    </w:p>
    <w:p w14:paraId="27F86BD4" w14:textId="6361714C" w:rsidR="0038708F" w:rsidRPr="0038708F" w:rsidRDefault="0038708F" w:rsidP="00F22631">
      <w:pPr>
        <w:rPr>
          <w:rFonts w:ascii="Arial" w:hAnsi="Arial" w:cs="Arial"/>
          <w:sz w:val="24"/>
          <w:szCs w:val="24"/>
        </w:rPr>
      </w:pPr>
      <w:r w:rsidRPr="0038708F">
        <w:rPr>
          <w:rFonts w:ascii="Arial" w:hAnsi="Arial" w:cs="Arial"/>
          <w:noProof/>
          <w:sz w:val="24"/>
          <w:szCs w:val="24"/>
        </w:rPr>
        <w:drawing>
          <wp:anchor distT="0" distB="0" distL="114300" distR="114300" simplePos="0" relativeHeight="251670528" behindDoc="0" locked="0" layoutInCell="1" allowOverlap="1" wp14:anchorId="7EBA7EAA" wp14:editId="03791333">
            <wp:simplePos x="0" y="0"/>
            <wp:positionH relativeFrom="column">
              <wp:posOffset>832105</wp:posOffset>
            </wp:positionH>
            <wp:positionV relativeFrom="paragraph">
              <wp:posOffset>179959</wp:posOffset>
            </wp:positionV>
            <wp:extent cx="4062382" cy="3392424"/>
            <wp:effectExtent l="0" t="0" r="0" b="0"/>
            <wp:wrapNone/>
            <wp:docPr id="1800768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68371" name=""/>
                    <pic:cNvPicPr/>
                  </pic:nvPicPr>
                  <pic:blipFill>
                    <a:blip r:embed="rId14"/>
                    <a:stretch>
                      <a:fillRect/>
                    </a:stretch>
                  </pic:blipFill>
                  <pic:spPr>
                    <a:xfrm>
                      <a:off x="0" y="0"/>
                      <a:ext cx="4071784" cy="3400276"/>
                    </a:xfrm>
                    <a:prstGeom prst="rect">
                      <a:avLst/>
                    </a:prstGeom>
                  </pic:spPr>
                </pic:pic>
              </a:graphicData>
            </a:graphic>
            <wp14:sizeRelH relativeFrom="margin">
              <wp14:pctWidth>0</wp14:pctWidth>
            </wp14:sizeRelH>
            <wp14:sizeRelV relativeFrom="margin">
              <wp14:pctHeight>0</wp14:pctHeight>
            </wp14:sizeRelV>
          </wp:anchor>
        </w:drawing>
      </w:r>
    </w:p>
    <w:p w14:paraId="1C061C16" w14:textId="77777777" w:rsidR="00F22631" w:rsidRDefault="00F22631" w:rsidP="00F22631">
      <w:pPr>
        <w:rPr>
          <w:rFonts w:ascii="Arial" w:hAnsi="Arial" w:cs="Arial"/>
        </w:rPr>
      </w:pPr>
    </w:p>
    <w:p w14:paraId="78584F0A" w14:textId="77777777" w:rsidR="0038708F" w:rsidRDefault="0038708F" w:rsidP="00F22631">
      <w:pPr>
        <w:rPr>
          <w:rFonts w:ascii="Arial" w:hAnsi="Arial" w:cs="Arial"/>
        </w:rPr>
      </w:pPr>
    </w:p>
    <w:p w14:paraId="35983D37" w14:textId="77777777" w:rsidR="0038708F" w:rsidRDefault="0038708F" w:rsidP="00F22631">
      <w:pPr>
        <w:rPr>
          <w:rFonts w:ascii="Arial" w:hAnsi="Arial" w:cs="Arial"/>
        </w:rPr>
      </w:pPr>
    </w:p>
    <w:p w14:paraId="0C1634E7" w14:textId="77777777" w:rsidR="0038708F" w:rsidRDefault="0038708F" w:rsidP="00F22631">
      <w:pPr>
        <w:rPr>
          <w:rFonts w:ascii="Arial" w:hAnsi="Arial" w:cs="Arial"/>
        </w:rPr>
      </w:pPr>
    </w:p>
    <w:p w14:paraId="388E6A7C" w14:textId="77777777" w:rsidR="0038708F" w:rsidRDefault="0038708F" w:rsidP="00F22631">
      <w:pPr>
        <w:rPr>
          <w:rFonts w:ascii="Arial" w:hAnsi="Arial" w:cs="Arial"/>
        </w:rPr>
      </w:pPr>
    </w:p>
    <w:p w14:paraId="3F71A3A0" w14:textId="77777777" w:rsidR="0038708F" w:rsidRDefault="0038708F" w:rsidP="00F22631">
      <w:pPr>
        <w:rPr>
          <w:rFonts w:ascii="Arial" w:hAnsi="Arial" w:cs="Arial"/>
        </w:rPr>
      </w:pPr>
    </w:p>
    <w:p w14:paraId="3E77D9CE" w14:textId="77777777" w:rsidR="0038708F" w:rsidRDefault="0038708F" w:rsidP="00F22631">
      <w:pPr>
        <w:rPr>
          <w:rFonts w:ascii="Arial" w:hAnsi="Arial" w:cs="Arial"/>
        </w:rPr>
      </w:pPr>
    </w:p>
    <w:p w14:paraId="6323147D" w14:textId="77777777" w:rsidR="0038708F" w:rsidRDefault="0038708F" w:rsidP="00F22631">
      <w:pPr>
        <w:rPr>
          <w:rFonts w:ascii="Arial" w:hAnsi="Arial" w:cs="Arial"/>
        </w:rPr>
      </w:pPr>
    </w:p>
    <w:p w14:paraId="4E46FA8F" w14:textId="77777777" w:rsidR="0038708F" w:rsidRDefault="0038708F" w:rsidP="00F22631">
      <w:pPr>
        <w:rPr>
          <w:rFonts w:ascii="Arial" w:hAnsi="Arial" w:cs="Arial"/>
        </w:rPr>
      </w:pPr>
    </w:p>
    <w:p w14:paraId="70949F1F" w14:textId="77777777" w:rsidR="0038708F" w:rsidRDefault="0038708F" w:rsidP="00F22631">
      <w:pPr>
        <w:rPr>
          <w:rFonts w:ascii="Arial" w:hAnsi="Arial" w:cs="Arial"/>
        </w:rPr>
      </w:pPr>
    </w:p>
    <w:p w14:paraId="49C3E0E6" w14:textId="77777777" w:rsidR="0038708F" w:rsidRPr="0038708F" w:rsidRDefault="0038708F" w:rsidP="00F22631">
      <w:pPr>
        <w:rPr>
          <w:rFonts w:ascii="Arial" w:hAnsi="Arial" w:cs="Arial"/>
          <w:sz w:val="24"/>
          <w:szCs w:val="24"/>
        </w:rPr>
      </w:pPr>
    </w:p>
    <w:p w14:paraId="3E95522F" w14:textId="1FD707F5" w:rsidR="0038708F" w:rsidRPr="0038708F" w:rsidRDefault="0038708F" w:rsidP="0038708F">
      <w:pPr>
        <w:jc w:val="center"/>
        <w:rPr>
          <w:rFonts w:ascii="Arial" w:hAnsi="Arial" w:cs="Arial"/>
          <w:sz w:val="24"/>
          <w:szCs w:val="24"/>
        </w:rPr>
      </w:pPr>
      <w:r w:rsidRPr="0038708F">
        <w:rPr>
          <w:rFonts w:ascii="Arial" w:hAnsi="Arial" w:cs="Arial"/>
          <w:sz w:val="24"/>
          <w:szCs w:val="24"/>
        </w:rPr>
        <w:t>Figure 6</w:t>
      </w:r>
      <w:r w:rsidR="004F0C7C">
        <w:rPr>
          <w:rFonts w:ascii="Arial" w:hAnsi="Arial" w:cs="Arial"/>
          <w:sz w:val="24"/>
          <w:szCs w:val="24"/>
        </w:rPr>
        <w:t>:</w:t>
      </w:r>
      <w:r w:rsidRPr="0038708F">
        <w:rPr>
          <w:rFonts w:ascii="Arial" w:hAnsi="Arial" w:cs="Arial"/>
          <w:sz w:val="24"/>
          <w:szCs w:val="24"/>
        </w:rPr>
        <w:t xml:space="preserve"> Change Implementation Framework Based on Kotter (1996)</w:t>
      </w:r>
    </w:p>
    <w:p w14:paraId="6D535135" w14:textId="1E666120" w:rsidR="00F22631" w:rsidRPr="0038708F" w:rsidRDefault="00F22631" w:rsidP="00F22631">
      <w:pPr>
        <w:rPr>
          <w:rFonts w:ascii="Arial" w:hAnsi="Arial" w:cs="Arial"/>
          <w:sz w:val="24"/>
          <w:szCs w:val="24"/>
          <w:lang w:val="en"/>
        </w:rPr>
      </w:pPr>
      <w:r w:rsidRPr="0038708F">
        <w:rPr>
          <w:rFonts w:ascii="Arial" w:hAnsi="Arial" w:cs="Arial"/>
          <w:sz w:val="24"/>
          <w:szCs w:val="24"/>
          <w:lang w:val="en"/>
        </w:rPr>
        <w:lastRenderedPageBreak/>
        <w:t>Figure 6 highlights that implementation requires, first, strategic legitimisation of the transformation by clearly articulating the risks of digital stagnation and competitive constraints identified in the previous sections. In a mature sector, where historical stability can generate strategic inertia, organisational mobilisation requires an explicit and coherent justification for change (By, 2021).</w:t>
      </w:r>
    </w:p>
    <w:p w14:paraId="305F5983" w14:textId="5E1C6DE8" w:rsidR="00F22631" w:rsidRPr="0038708F" w:rsidRDefault="00F22631" w:rsidP="00F22631">
      <w:pPr>
        <w:rPr>
          <w:rFonts w:ascii="Arial" w:hAnsi="Arial" w:cs="Arial"/>
          <w:sz w:val="24"/>
          <w:szCs w:val="24"/>
        </w:rPr>
      </w:pPr>
      <w:r w:rsidRPr="0038708F">
        <w:rPr>
          <w:rFonts w:ascii="Arial" w:hAnsi="Arial" w:cs="Arial"/>
          <w:sz w:val="24"/>
          <w:szCs w:val="24"/>
          <w:lang w:val="en"/>
        </w:rPr>
        <w:t>Second, the implementation framework requires strengthening cross-functional coordination. Integrating digital capabilities into the existing operating model involves cross-functional collaboration between IT, operations, marketing, and supply chain, as well as defining common performance indicators. Research on digital maturity shows that organisations that succeed in transformation develop dedicated governance mechanisms that reduce fragmentation of initiatives and support coherent execution (Kane et al., 2019).</w:t>
      </w:r>
    </w:p>
    <w:p w14:paraId="4A59FAF9" w14:textId="39F9EE17" w:rsidR="00F22631" w:rsidRPr="0038708F" w:rsidRDefault="00F22631" w:rsidP="00F22631">
      <w:pPr>
        <w:rPr>
          <w:rFonts w:ascii="Arial" w:hAnsi="Arial" w:cs="Arial"/>
          <w:sz w:val="24"/>
          <w:szCs w:val="24"/>
          <w:lang w:val="en"/>
        </w:rPr>
      </w:pPr>
      <w:r w:rsidRPr="0038708F">
        <w:rPr>
          <w:rFonts w:ascii="Arial" w:hAnsi="Arial" w:cs="Arial"/>
          <w:sz w:val="24"/>
          <w:szCs w:val="24"/>
          <w:lang w:val="en"/>
        </w:rPr>
        <w:t xml:space="preserve">Also, generating tangible results within a clear time horizon helps to strengthen the credibility of the transformation and reduce organisational resistance. The literature on change processes highlights the role of intermediate results in increasing collective commitment and facilitating the internalisation of new practices (Cummings, Bridgman and Brown, 2016). In the case of Sainsbury, pilot projects in predictive analytics and inventory optimisation can serve as mechanisms for validating the strategic direction. </w:t>
      </w:r>
    </w:p>
    <w:p w14:paraId="78FDED9B" w14:textId="76C3EF23" w:rsidR="00F22631" w:rsidRPr="0038708F" w:rsidRDefault="00F22631" w:rsidP="00F22631">
      <w:pPr>
        <w:rPr>
          <w:rFonts w:ascii="Arial" w:hAnsi="Arial" w:cs="Arial"/>
          <w:sz w:val="24"/>
          <w:szCs w:val="24"/>
        </w:rPr>
      </w:pPr>
      <w:r w:rsidRPr="0038708F">
        <w:rPr>
          <w:rFonts w:ascii="Arial" w:hAnsi="Arial" w:cs="Arial"/>
          <w:sz w:val="24"/>
          <w:szCs w:val="24"/>
          <w:lang w:val="en"/>
        </w:rPr>
        <w:t>Finally, the sustainability of the transformation is conditioned by the integration of new practices into performance systems and strategic governance mechanisms. Effective digital transformation involves the progressive institutionalisation of new processes and their integration into the organisation's decision-making architecture (Vial, 2019).</w:t>
      </w:r>
    </w:p>
    <w:p w14:paraId="6359BEE1" w14:textId="77777777" w:rsidR="00F22631" w:rsidRPr="00BE6515" w:rsidRDefault="00F22631" w:rsidP="00F22631">
      <w:pPr>
        <w:jc w:val="center"/>
        <w:rPr>
          <w:rFonts w:ascii="Arial" w:hAnsi="Arial" w:cs="Arial"/>
          <w:lang w:val="en-US"/>
        </w:rPr>
      </w:pPr>
    </w:p>
    <w:p w14:paraId="17FA4F00" w14:textId="77777777" w:rsidR="00BF1346" w:rsidRPr="00BE6515" w:rsidRDefault="00BF1346" w:rsidP="00BF1346">
      <w:pPr>
        <w:rPr>
          <w:rFonts w:ascii="Arial" w:hAnsi="Arial" w:cs="Arial"/>
        </w:rPr>
      </w:pPr>
    </w:p>
    <w:p w14:paraId="64647C35" w14:textId="77777777" w:rsidR="00136BF3" w:rsidRPr="00BE6515" w:rsidRDefault="00136BF3" w:rsidP="00136BF3">
      <w:pPr>
        <w:pStyle w:val="Heading2"/>
        <w:rPr>
          <w:rFonts w:ascii="Arial" w:hAnsi="Arial" w:cs="Arial"/>
          <w:color w:val="000000" w:themeColor="text1"/>
        </w:rPr>
      </w:pPr>
      <w:bookmarkStart w:id="21" w:name="_Toc229296520"/>
      <w:r w:rsidRPr="00BE6515">
        <w:rPr>
          <w:rFonts w:ascii="Arial" w:hAnsi="Arial" w:cs="Arial"/>
          <w:color w:val="000000" w:themeColor="text1"/>
        </w:rPr>
        <w:t> </w:t>
      </w:r>
      <w:r w:rsidRPr="00BE6515">
        <w:rPr>
          <w:rStyle w:val="Heading2Char"/>
          <w:rFonts w:ascii="Arial" w:hAnsi="Arial" w:cs="Arial"/>
          <w:color w:val="000000" w:themeColor="text1"/>
        </w:rPr>
        <w:t>5</w:t>
      </w:r>
      <w:r w:rsidRPr="00BE6515">
        <w:rPr>
          <w:rFonts w:ascii="Arial" w:hAnsi="Arial" w:cs="Arial"/>
          <w:color w:val="000000" w:themeColor="text1"/>
        </w:rPr>
        <w:t>.3 Organisational Functions and Structural Implications</w:t>
      </w:r>
      <w:bookmarkEnd w:id="21"/>
    </w:p>
    <w:p w14:paraId="520C00EB" w14:textId="2F73963C" w:rsidR="0020736B" w:rsidRPr="0038708F" w:rsidRDefault="0020736B" w:rsidP="0020736B">
      <w:pPr>
        <w:rPr>
          <w:rFonts w:ascii="Arial" w:hAnsi="Arial" w:cs="Arial"/>
          <w:sz w:val="24"/>
          <w:szCs w:val="24"/>
          <w:lang w:val="en"/>
        </w:rPr>
      </w:pPr>
      <w:r w:rsidRPr="0038708F">
        <w:rPr>
          <w:rFonts w:ascii="Arial" w:hAnsi="Arial" w:cs="Arial"/>
          <w:sz w:val="24"/>
          <w:szCs w:val="24"/>
          <w:lang w:val="en"/>
        </w:rPr>
        <w:t>Implementing the integrated omnichannel model requires adjustments at the organisational function and formal structure levels, as integrating digital capabilities into existing operations requires reconfiguring coordination mechanisms. The literature on digital transformation shows that sustainable performance depends on adapting the organisational architecture to new strategic requirements (Warner and Wäger, 2019).</w:t>
      </w:r>
    </w:p>
    <w:p w14:paraId="318C213F" w14:textId="77777777" w:rsidR="0020736B" w:rsidRPr="0038708F" w:rsidRDefault="0020736B" w:rsidP="0020736B">
      <w:pPr>
        <w:rPr>
          <w:rFonts w:ascii="Arial" w:hAnsi="Arial" w:cs="Arial"/>
          <w:sz w:val="24"/>
          <w:szCs w:val="24"/>
          <w:lang w:val="en"/>
        </w:rPr>
      </w:pPr>
      <w:r w:rsidRPr="0038708F">
        <w:rPr>
          <w:rFonts w:ascii="Arial" w:hAnsi="Arial" w:cs="Arial"/>
          <w:sz w:val="24"/>
          <w:szCs w:val="24"/>
          <w:lang w:val="en"/>
        </w:rPr>
        <w:t>In this context, the IT function must be repositioned from a predominantly operational role to a strategic one, directly involved in decision-making processes and investment planning. Maintaining IT as a support function limits the exploitation of digital advantage and reduces the coherence of implementation (Vial, 2019).</w:t>
      </w:r>
    </w:p>
    <w:p w14:paraId="67E43A9C" w14:textId="3212992A" w:rsidR="0020736B" w:rsidRPr="0038708F" w:rsidRDefault="0020736B" w:rsidP="0020736B">
      <w:pPr>
        <w:rPr>
          <w:rFonts w:ascii="Arial" w:hAnsi="Arial" w:cs="Arial"/>
          <w:sz w:val="24"/>
          <w:szCs w:val="24"/>
        </w:rPr>
      </w:pPr>
      <w:r w:rsidRPr="0038708F">
        <w:rPr>
          <w:rFonts w:ascii="Arial" w:hAnsi="Arial" w:cs="Arial"/>
          <w:sz w:val="24"/>
          <w:szCs w:val="24"/>
          <w:lang w:val="en"/>
        </w:rPr>
        <w:lastRenderedPageBreak/>
        <w:t>The supply chain function gains greater strategic relevance as real-time data integration and inventory optimisation become central to differentiation through efficiency. Transversal coordination between logistics and digital platforms is essential to avoid information fragmentation (Nambisan, Wright and Feldman, 2019).</w:t>
      </w:r>
    </w:p>
    <w:p w14:paraId="271CD276" w14:textId="33C97421" w:rsidR="0020736B" w:rsidRPr="0038708F" w:rsidRDefault="0020736B" w:rsidP="0020736B">
      <w:pPr>
        <w:rPr>
          <w:rFonts w:ascii="Arial" w:hAnsi="Arial" w:cs="Arial"/>
          <w:sz w:val="24"/>
          <w:szCs w:val="24"/>
          <w:lang w:val="en"/>
        </w:rPr>
      </w:pPr>
      <w:r w:rsidRPr="0038708F">
        <w:rPr>
          <w:rFonts w:ascii="Arial" w:hAnsi="Arial" w:cs="Arial"/>
          <w:sz w:val="24"/>
          <w:szCs w:val="24"/>
          <w:lang w:val="en"/>
        </w:rPr>
        <w:t>The marketing function also needs to be recalibrated to integrate behavioural analytics and personalisation into retention strategies. Lack of direct collaboration with data teams can lead to siloed initiatives and inconsistent customer experience.</w:t>
      </w:r>
    </w:p>
    <w:p w14:paraId="17C2BA82" w14:textId="2939A628" w:rsidR="0020736B" w:rsidRPr="0038708F" w:rsidRDefault="0020736B" w:rsidP="0020736B">
      <w:pPr>
        <w:rPr>
          <w:rFonts w:ascii="Arial" w:hAnsi="Arial" w:cs="Arial"/>
          <w:sz w:val="24"/>
          <w:szCs w:val="24"/>
          <w:lang w:val="en"/>
        </w:rPr>
      </w:pPr>
      <w:r w:rsidRPr="0038708F">
        <w:rPr>
          <w:rFonts w:ascii="Arial" w:hAnsi="Arial" w:cs="Arial"/>
          <w:sz w:val="24"/>
          <w:szCs w:val="24"/>
          <w:lang w:val="en"/>
        </w:rPr>
        <w:t>From a structural perspective, the traditional functional model can create silos that limit digital integration. The literature on ambidextrous organisations suggests that mature firms can balance operational efficiency with innovation through hybrid coordination mechanisms and dedicated cross-functional teams (O'Reilly and Tushman, 2021). In the case of Sainsbury, the structural adjustment must be made gradually to maintain operational stability and avoid amplifying the risks identified earlier.</w:t>
      </w:r>
    </w:p>
    <w:p w14:paraId="2479D0B4" w14:textId="77777777" w:rsidR="0020736B" w:rsidRPr="0038708F" w:rsidRDefault="0020736B" w:rsidP="0020736B">
      <w:pPr>
        <w:rPr>
          <w:rFonts w:ascii="Arial" w:hAnsi="Arial" w:cs="Arial"/>
          <w:sz w:val="24"/>
          <w:szCs w:val="24"/>
        </w:rPr>
      </w:pPr>
      <w:r w:rsidRPr="0038708F">
        <w:rPr>
          <w:rFonts w:ascii="Arial" w:hAnsi="Arial" w:cs="Arial"/>
          <w:sz w:val="24"/>
          <w:szCs w:val="24"/>
          <w:lang w:val="en"/>
        </w:rPr>
        <w:t>Overall, the recommended strategic direction involves strengthening cross-functional collaboration, redefining the role of IT, and integrating supply chain and marketing into a coordinated system capable of simultaneously supporting efficiency and the development of digital capabilities.</w:t>
      </w:r>
    </w:p>
    <w:p w14:paraId="5C5D4E48" w14:textId="77777777" w:rsidR="00E54789" w:rsidRPr="00BE6515" w:rsidRDefault="00E54789" w:rsidP="00E54789">
      <w:pPr>
        <w:rPr>
          <w:rFonts w:ascii="Arial" w:hAnsi="Arial" w:cs="Arial"/>
        </w:rPr>
      </w:pPr>
    </w:p>
    <w:p w14:paraId="0C2AA914" w14:textId="77777777" w:rsidR="00136BF3" w:rsidRPr="00BE6515" w:rsidRDefault="00136BF3" w:rsidP="00136BF3">
      <w:pPr>
        <w:pStyle w:val="Heading2"/>
        <w:rPr>
          <w:rFonts w:ascii="Arial" w:hAnsi="Arial" w:cs="Arial"/>
          <w:color w:val="000000" w:themeColor="text1"/>
        </w:rPr>
      </w:pPr>
      <w:bookmarkStart w:id="22" w:name="_Toc229296521"/>
      <w:r w:rsidRPr="00BE6515">
        <w:rPr>
          <w:rFonts w:ascii="Arial" w:hAnsi="Arial" w:cs="Arial"/>
          <w:color w:val="000000" w:themeColor="text1"/>
        </w:rPr>
        <w:t> </w:t>
      </w:r>
      <w:r w:rsidRPr="00BE6515">
        <w:rPr>
          <w:rStyle w:val="Heading2Char"/>
          <w:rFonts w:ascii="Arial" w:hAnsi="Arial" w:cs="Arial"/>
          <w:color w:val="000000" w:themeColor="text1"/>
        </w:rPr>
        <w:t>5</w:t>
      </w:r>
      <w:r w:rsidRPr="00BE6515">
        <w:rPr>
          <w:rFonts w:ascii="Arial" w:hAnsi="Arial" w:cs="Arial"/>
          <w:color w:val="000000" w:themeColor="text1"/>
        </w:rPr>
        <w:t>.4 Governance, Capabilities and Risk Management</w:t>
      </w:r>
      <w:bookmarkEnd w:id="22"/>
    </w:p>
    <w:p w14:paraId="24A5FAA2" w14:textId="6830A074" w:rsidR="00E8154A" w:rsidRPr="0038708F" w:rsidRDefault="00E8154A" w:rsidP="00E8154A">
      <w:pPr>
        <w:rPr>
          <w:rFonts w:ascii="Arial" w:hAnsi="Arial" w:cs="Arial"/>
          <w:sz w:val="24"/>
          <w:szCs w:val="24"/>
          <w:lang w:val="en"/>
        </w:rPr>
      </w:pPr>
      <w:r w:rsidRPr="0038708F">
        <w:rPr>
          <w:rFonts w:ascii="Arial" w:hAnsi="Arial" w:cs="Arial"/>
          <w:sz w:val="24"/>
          <w:szCs w:val="24"/>
          <w:lang w:val="en"/>
        </w:rPr>
        <w:t>The sustainable implementation of the proposed integrated strategy depends on the existence of clear governance and strategic control mechanisms. Digital transformation is not just a technological initiative but a reconfiguration of how decisions are coordinated and evaluated at the organisational level (Vial, 2019).</w:t>
      </w:r>
    </w:p>
    <w:p w14:paraId="0E8CD745" w14:textId="0B6D821C" w:rsidR="00E8154A" w:rsidRPr="0038708F" w:rsidRDefault="00E8154A" w:rsidP="00E8154A">
      <w:pPr>
        <w:rPr>
          <w:rFonts w:ascii="Arial" w:hAnsi="Arial" w:cs="Arial"/>
          <w:sz w:val="24"/>
          <w:szCs w:val="24"/>
        </w:rPr>
      </w:pPr>
      <w:r w:rsidRPr="0038708F">
        <w:rPr>
          <w:rFonts w:ascii="Arial" w:hAnsi="Arial" w:cs="Arial"/>
          <w:sz w:val="24"/>
          <w:szCs w:val="24"/>
          <w:lang w:val="en"/>
        </w:rPr>
        <w:t>From a governance perspective, the integration of digital capabilities requires the alignment of strategic objectives with performance indicators and functional responsibilities. The literature shows that organisations that succeed in digital transformation develop formalised coordination mechanisms that integrate digital performance into strategic monitoring systems and reduce decision ambiguity (Svahn, Mathiassen, and Lindgren, 2019). In the case of Sainsbury, this involves strengthening a monitoring framework that correlates digital performance, operational efficiency and customer experience</w:t>
      </w:r>
    </w:p>
    <w:p w14:paraId="14A98AA9" w14:textId="44ABD63B" w:rsidR="00E8154A" w:rsidRPr="0038708F" w:rsidRDefault="00E8154A" w:rsidP="00E8154A">
      <w:pPr>
        <w:rPr>
          <w:rFonts w:ascii="Arial" w:hAnsi="Arial" w:cs="Arial"/>
          <w:sz w:val="24"/>
          <w:szCs w:val="24"/>
          <w:lang w:val="en"/>
        </w:rPr>
      </w:pPr>
      <w:r w:rsidRPr="0038708F">
        <w:rPr>
          <w:rFonts w:ascii="Arial" w:hAnsi="Arial" w:cs="Arial"/>
          <w:sz w:val="24"/>
          <w:szCs w:val="24"/>
          <w:lang w:val="en"/>
        </w:rPr>
        <w:t xml:space="preserve">Organisational capabilities are the foundation of effective governance. According to Teece (2018), developing dynamic capabilities involves identifying opportunities, capitalising on them, and reconfiguring resources in a continuous, coordinated manner. In a digital context, this process involves integrating technological and managerial skills </w:t>
      </w:r>
      <w:r w:rsidRPr="0038708F">
        <w:rPr>
          <w:rFonts w:ascii="Arial" w:hAnsi="Arial" w:cs="Arial"/>
          <w:sz w:val="24"/>
          <w:szCs w:val="24"/>
          <w:lang w:val="en"/>
        </w:rPr>
        <w:lastRenderedPageBreak/>
        <w:t>into the organisation's decision-making architecture to avoid the accumulation of fragmented solutions.</w:t>
      </w:r>
    </w:p>
    <w:p w14:paraId="473936BB" w14:textId="5FE69027" w:rsidR="00E8154A" w:rsidRPr="0038708F" w:rsidRDefault="00E8154A" w:rsidP="00E8154A">
      <w:pPr>
        <w:rPr>
          <w:rFonts w:ascii="Arial" w:hAnsi="Arial" w:cs="Arial"/>
          <w:sz w:val="24"/>
          <w:szCs w:val="24"/>
          <w:lang w:val="en"/>
        </w:rPr>
      </w:pPr>
      <w:r w:rsidRPr="0038708F">
        <w:rPr>
          <w:rFonts w:ascii="Arial" w:hAnsi="Arial" w:cs="Arial"/>
          <w:sz w:val="24"/>
          <w:szCs w:val="24"/>
          <w:lang w:val="en"/>
        </w:rPr>
        <w:t>Regarding risk management, digital integration requires incorporating risk assessment into strategic processes, not treating them as a separate dimension. The practices of high-performing organisations indicate that risk is managed through integrated planning and monitoring mechanisms that allow for controlled experimentation without compromising operational stability (World Economic Forum, 2023).</w:t>
      </w:r>
    </w:p>
    <w:p w14:paraId="78F58CC1" w14:textId="3088BFA0" w:rsidR="00E8154A" w:rsidRPr="0038708F" w:rsidRDefault="00E8154A" w:rsidP="00E8154A">
      <w:pPr>
        <w:rPr>
          <w:rFonts w:ascii="Arial" w:hAnsi="Arial" w:cs="Arial"/>
          <w:sz w:val="24"/>
          <w:szCs w:val="24"/>
        </w:rPr>
      </w:pPr>
      <w:r w:rsidRPr="0038708F">
        <w:rPr>
          <w:rFonts w:ascii="Arial" w:hAnsi="Arial" w:cs="Arial"/>
          <w:sz w:val="24"/>
          <w:szCs w:val="24"/>
          <w:lang w:val="en"/>
        </w:rPr>
        <w:t>Therefore, strategic governance, capability development, and risk management must be treated as interdependent dimensions of the same organisational coordination system. Successful implementation depends on integrating these mechanisms into a coherent framework of accountability and control.</w:t>
      </w:r>
    </w:p>
    <w:p w14:paraId="27DAD5F6" w14:textId="07598F82" w:rsidR="00D939CC" w:rsidRPr="00BE6515" w:rsidRDefault="00136BF3" w:rsidP="00136BF3">
      <w:pPr>
        <w:pStyle w:val="Heading2"/>
        <w:rPr>
          <w:rFonts w:ascii="Arial" w:hAnsi="Arial" w:cs="Arial"/>
          <w:color w:val="000000" w:themeColor="text1"/>
        </w:rPr>
      </w:pPr>
      <w:bookmarkStart w:id="23" w:name="_Toc229296522"/>
      <w:r w:rsidRPr="00BE6515">
        <w:rPr>
          <w:rFonts w:ascii="Arial" w:hAnsi="Arial" w:cs="Arial"/>
          <w:color w:val="000000" w:themeColor="text1"/>
        </w:rPr>
        <w:t> </w:t>
      </w:r>
      <w:r w:rsidRPr="00BE6515">
        <w:rPr>
          <w:rStyle w:val="Heading2Char"/>
          <w:rFonts w:ascii="Arial" w:hAnsi="Arial" w:cs="Arial"/>
          <w:color w:val="000000" w:themeColor="text1"/>
        </w:rPr>
        <w:t>5</w:t>
      </w:r>
      <w:r w:rsidRPr="00BE6515">
        <w:rPr>
          <w:rFonts w:ascii="Arial" w:hAnsi="Arial" w:cs="Arial"/>
          <w:color w:val="000000" w:themeColor="text1"/>
        </w:rPr>
        <w:t>.5 Barriers to Investment and Conditions for Success</w:t>
      </w:r>
      <w:bookmarkEnd w:id="23"/>
      <w:r w:rsidRPr="00BE6515">
        <w:rPr>
          <w:rFonts w:ascii="Arial" w:hAnsi="Arial" w:cs="Arial"/>
          <w:color w:val="000000" w:themeColor="text1"/>
        </w:rPr>
        <w:t xml:space="preserve"> </w:t>
      </w:r>
    </w:p>
    <w:p w14:paraId="06C6B89E" w14:textId="1AAF130C" w:rsidR="00E8154A" w:rsidRPr="0038708F" w:rsidRDefault="00E8154A" w:rsidP="00E8154A">
      <w:pPr>
        <w:rPr>
          <w:rFonts w:ascii="Arial" w:hAnsi="Arial" w:cs="Arial"/>
          <w:sz w:val="24"/>
          <w:szCs w:val="24"/>
          <w:lang w:val="en"/>
        </w:rPr>
      </w:pPr>
      <w:r w:rsidRPr="0038708F">
        <w:rPr>
          <w:rFonts w:ascii="Arial" w:hAnsi="Arial" w:cs="Arial"/>
          <w:sz w:val="24"/>
          <w:szCs w:val="24"/>
          <w:lang w:val="en"/>
        </w:rPr>
        <w:t>Implementing the proposed integrated strategy requires significant investments in technology, skills, and organisational coordination mechanisms. The digital transformation literature highlights structural and behavioural barriers that can limit the effectiveness of investments (Warner and Wäger, 2019).</w:t>
      </w:r>
    </w:p>
    <w:p w14:paraId="10A52A6B" w14:textId="28565298" w:rsidR="00E8154A" w:rsidRPr="0038708F" w:rsidRDefault="00E8154A" w:rsidP="00E8154A">
      <w:pPr>
        <w:rPr>
          <w:rFonts w:ascii="Arial" w:hAnsi="Arial" w:cs="Arial"/>
          <w:sz w:val="24"/>
          <w:szCs w:val="24"/>
          <w:lang w:val="en"/>
        </w:rPr>
      </w:pPr>
      <w:r w:rsidRPr="0038708F">
        <w:rPr>
          <w:rFonts w:ascii="Arial" w:hAnsi="Arial" w:cs="Arial"/>
          <w:sz w:val="24"/>
          <w:szCs w:val="24"/>
          <w:lang w:val="en"/>
        </w:rPr>
        <w:t>Pressure on capital in an industry characterised by low margins can restrict the willingness to make transformative investments. Digital investments compete with other operational priorities, and the absence of visible results within a reasonable timeframe can diminish managerial support. Mature organisations tend to privilege financial stability over initiatives with a higher degree of uncertainty (O'Reilly and Tushman, 2021).</w:t>
      </w:r>
    </w:p>
    <w:p w14:paraId="2B590B00" w14:textId="78210D67" w:rsidR="00E8154A" w:rsidRPr="0038708F" w:rsidRDefault="00E8154A" w:rsidP="00E8154A">
      <w:pPr>
        <w:rPr>
          <w:rFonts w:ascii="Arial" w:hAnsi="Arial" w:cs="Arial"/>
          <w:sz w:val="24"/>
          <w:szCs w:val="24"/>
        </w:rPr>
      </w:pPr>
      <w:r w:rsidRPr="0038708F">
        <w:rPr>
          <w:rFonts w:ascii="Arial" w:hAnsi="Arial" w:cs="Arial"/>
          <w:sz w:val="24"/>
          <w:szCs w:val="24"/>
          <w:lang w:val="en"/>
        </w:rPr>
        <w:t>Cultural resistance is another significant barrier. Digital transformation involves adjusting roles, redistributing responsibilities, and accepting controlled experimentation. In the absence of a learning-oriented culture, change can generate passive opposition and implementation incoherence (Alvesson and Sveningsson, 2016). In Sainsbury's case, balancing operational discipline with the flexibility needed for digital adaptation becomes essential.</w:t>
      </w:r>
    </w:p>
    <w:p w14:paraId="782A7789" w14:textId="77777777" w:rsidR="00E8154A" w:rsidRPr="0038708F" w:rsidRDefault="00E8154A" w:rsidP="00E8154A">
      <w:pPr>
        <w:rPr>
          <w:rFonts w:ascii="Arial" w:hAnsi="Arial" w:cs="Arial"/>
          <w:sz w:val="24"/>
          <w:szCs w:val="24"/>
          <w:lang w:val="en"/>
        </w:rPr>
      </w:pPr>
      <w:r w:rsidRPr="0038708F">
        <w:rPr>
          <w:rFonts w:ascii="Arial" w:hAnsi="Arial" w:cs="Arial"/>
          <w:sz w:val="24"/>
          <w:szCs w:val="24"/>
          <w:lang w:val="en"/>
        </w:rPr>
        <w:t>The complexity of cross-functional coordination can amplify implementation difficulties. Integrating digital capabilities requires cross-functional collaboration and decision-making clarity, and the absence of formal accountability mechanisms can lead to fragmentation (Svahn, Mathiassen and Lindgren, 2019).</w:t>
      </w:r>
    </w:p>
    <w:p w14:paraId="1038AB4C" w14:textId="54F4D318" w:rsidR="00E8154A" w:rsidRPr="00BE6515" w:rsidRDefault="00E8154A" w:rsidP="00E8154A">
      <w:pPr>
        <w:rPr>
          <w:rFonts w:ascii="Arial" w:hAnsi="Arial" w:cs="Arial"/>
        </w:rPr>
      </w:pPr>
      <w:r w:rsidRPr="0038708F">
        <w:rPr>
          <w:rFonts w:ascii="Arial" w:hAnsi="Arial" w:cs="Arial"/>
          <w:sz w:val="24"/>
          <w:szCs w:val="24"/>
          <w:lang w:val="en"/>
        </w:rPr>
        <w:t xml:space="preserve">In terms of the conditions for success, sustainable transformation is likely when there is strategic alignment, coherent leadership, and clear monitoring and accountability mechanisms (Vial, 2019). Consequently, investment in digital transformation is </w:t>
      </w:r>
      <w:r w:rsidRPr="0038708F">
        <w:rPr>
          <w:rFonts w:ascii="Arial" w:hAnsi="Arial" w:cs="Arial"/>
          <w:sz w:val="24"/>
          <w:szCs w:val="24"/>
          <w:lang w:val="en"/>
        </w:rPr>
        <w:lastRenderedPageBreak/>
        <w:t>conditioned not only by the availability of capital, but also by the maturity of organisational mechanisms that support strategic coordination and control.</w:t>
      </w:r>
    </w:p>
    <w:p w14:paraId="3ED23AE9" w14:textId="6D299225" w:rsidR="00E54789" w:rsidRPr="00BE6515" w:rsidRDefault="00E54789" w:rsidP="00E54789">
      <w:pPr>
        <w:rPr>
          <w:rFonts w:ascii="Arial" w:hAnsi="Arial" w:cs="Arial"/>
          <w:lang w:val="en-US"/>
        </w:rPr>
      </w:pPr>
    </w:p>
    <w:p w14:paraId="5B44B410" w14:textId="77777777" w:rsidR="00E54789" w:rsidRPr="00BE6515" w:rsidRDefault="00E54789" w:rsidP="00E54789">
      <w:pPr>
        <w:rPr>
          <w:rFonts w:ascii="Arial" w:hAnsi="Arial" w:cs="Arial"/>
        </w:rPr>
      </w:pPr>
    </w:p>
    <w:p w14:paraId="390055FA" w14:textId="77777777" w:rsidR="00D939CC" w:rsidRPr="00BE6515" w:rsidRDefault="00D939CC">
      <w:pPr>
        <w:rPr>
          <w:rFonts w:ascii="Arial" w:eastAsiaTheme="majorEastAsia" w:hAnsi="Arial" w:cs="Arial"/>
          <w:color w:val="000000" w:themeColor="text1"/>
          <w:sz w:val="32"/>
          <w:szCs w:val="32"/>
        </w:rPr>
      </w:pPr>
      <w:r w:rsidRPr="00BE6515">
        <w:rPr>
          <w:rFonts w:ascii="Arial" w:hAnsi="Arial" w:cs="Arial"/>
          <w:color w:val="000000" w:themeColor="text1"/>
        </w:rPr>
        <w:br w:type="page"/>
      </w:r>
    </w:p>
    <w:p w14:paraId="114EF5E4" w14:textId="05075845" w:rsidR="00D939CC" w:rsidRDefault="00136BF3" w:rsidP="00136BF3">
      <w:pPr>
        <w:pStyle w:val="Heading1"/>
        <w:rPr>
          <w:rFonts w:ascii="Arial" w:hAnsi="Arial" w:cs="Arial"/>
          <w:color w:val="000000" w:themeColor="text1"/>
          <w:lang w:val="en-US"/>
        </w:rPr>
      </w:pPr>
      <w:bookmarkStart w:id="24" w:name="_Toc229296523"/>
      <w:r w:rsidRPr="00BE6515">
        <w:rPr>
          <w:rFonts w:ascii="Arial" w:hAnsi="Arial" w:cs="Arial"/>
          <w:color w:val="000000" w:themeColor="text1"/>
          <w:lang w:val="en-US"/>
        </w:rPr>
        <w:lastRenderedPageBreak/>
        <w:t>Conclusion</w:t>
      </w:r>
      <w:bookmarkEnd w:id="24"/>
    </w:p>
    <w:p w14:paraId="6B20C385" w14:textId="77777777" w:rsidR="008D59CD" w:rsidRPr="008D59CD" w:rsidRDefault="008D59CD" w:rsidP="008D59CD">
      <w:pPr>
        <w:rPr>
          <w:lang w:val="en-US"/>
        </w:rPr>
      </w:pPr>
    </w:p>
    <w:p w14:paraId="2B1DC2B8" w14:textId="1AACD360" w:rsidR="008D59CD" w:rsidRPr="008D59CD" w:rsidRDefault="008D59CD" w:rsidP="008D59CD">
      <w:pPr>
        <w:rPr>
          <w:rFonts w:ascii="Arial" w:hAnsi="Arial" w:cs="Arial"/>
          <w:color w:val="000000" w:themeColor="text1"/>
          <w:sz w:val="24"/>
          <w:szCs w:val="24"/>
        </w:rPr>
      </w:pPr>
      <w:r w:rsidRPr="008D59CD">
        <w:rPr>
          <w:rFonts w:ascii="Arial" w:hAnsi="Arial" w:cs="Arial"/>
          <w:color w:val="000000" w:themeColor="text1"/>
          <w:sz w:val="24"/>
          <w:szCs w:val="24"/>
        </w:rPr>
        <w:t xml:space="preserve">The analysis </w:t>
      </w:r>
      <w:r>
        <w:rPr>
          <w:rFonts w:ascii="Arial" w:hAnsi="Arial" w:cs="Arial"/>
          <w:color w:val="000000" w:themeColor="text1"/>
          <w:sz w:val="24"/>
          <w:szCs w:val="24"/>
        </w:rPr>
        <w:t>in this report demonstrates that J Sainsbury plc operates in a mature,</w:t>
      </w:r>
      <w:r w:rsidRPr="008D59CD">
        <w:rPr>
          <w:rFonts w:ascii="Arial" w:hAnsi="Arial" w:cs="Arial"/>
          <w:color w:val="000000" w:themeColor="text1"/>
          <w:sz w:val="24"/>
          <w:szCs w:val="24"/>
        </w:rPr>
        <w:t xml:space="preserve"> structurally constrained industry, where sustained competitive advantage cannot rely solely on operational efficiency or price positioning. Long-term value creation depends on the organisation</w:t>
      </w:r>
      <w:r>
        <w:rPr>
          <w:rFonts w:ascii="Arial" w:hAnsi="Arial" w:cs="Arial"/>
          <w:color w:val="000000" w:themeColor="text1"/>
          <w:sz w:val="24"/>
          <w:szCs w:val="24"/>
        </w:rPr>
        <w:t>'</w:t>
      </w:r>
      <w:r w:rsidRPr="008D59CD">
        <w:rPr>
          <w:rFonts w:ascii="Arial" w:hAnsi="Arial" w:cs="Arial"/>
          <w:color w:val="000000" w:themeColor="text1"/>
          <w:sz w:val="24"/>
          <w:szCs w:val="24"/>
        </w:rPr>
        <w:t>s ability to integrate digital capabilities coherently within its existing operational architecture.</w:t>
      </w:r>
    </w:p>
    <w:p w14:paraId="2FC3D0E1" w14:textId="731AAFEC" w:rsidR="008D59CD" w:rsidRPr="008D59CD" w:rsidRDefault="008D59CD" w:rsidP="008D59CD">
      <w:pPr>
        <w:rPr>
          <w:rFonts w:ascii="Arial" w:hAnsi="Arial" w:cs="Arial"/>
          <w:color w:val="000000" w:themeColor="text1"/>
          <w:sz w:val="24"/>
          <w:szCs w:val="24"/>
        </w:rPr>
      </w:pPr>
      <w:r w:rsidRPr="008D59CD">
        <w:rPr>
          <w:rFonts w:ascii="Arial" w:hAnsi="Arial" w:cs="Arial"/>
          <w:color w:val="000000" w:themeColor="text1"/>
          <w:sz w:val="24"/>
          <w:szCs w:val="24"/>
        </w:rPr>
        <w:t>The comparative assessment of strategic options indicates that an integrated approach—combining operational discipline with the progressive development of digital capabilities—offers the most balanced and sustainable direction. This strategy aligns with Sainsbury</w:t>
      </w:r>
      <w:r>
        <w:rPr>
          <w:rFonts w:ascii="Arial" w:hAnsi="Arial" w:cs="Arial"/>
          <w:color w:val="000000" w:themeColor="text1"/>
          <w:sz w:val="24"/>
          <w:szCs w:val="24"/>
        </w:rPr>
        <w:t>'</w:t>
      </w:r>
      <w:r w:rsidRPr="008D59CD">
        <w:rPr>
          <w:rFonts w:ascii="Arial" w:hAnsi="Arial" w:cs="Arial"/>
          <w:color w:val="000000" w:themeColor="text1"/>
          <w:sz w:val="24"/>
          <w:szCs w:val="24"/>
        </w:rPr>
        <w:t>s resource base while addressing structural rigidity and competitive pressure identified in the strategic analysis.</w:t>
      </w:r>
    </w:p>
    <w:p w14:paraId="06311EE2" w14:textId="77777777" w:rsidR="008D59CD" w:rsidRPr="008D59CD" w:rsidRDefault="008D59CD" w:rsidP="008D59CD">
      <w:pPr>
        <w:rPr>
          <w:rFonts w:ascii="Arial" w:hAnsi="Arial" w:cs="Arial"/>
          <w:color w:val="000000" w:themeColor="text1"/>
          <w:sz w:val="24"/>
          <w:szCs w:val="24"/>
        </w:rPr>
      </w:pPr>
      <w:r w:rsidRPr="008D59CD">
        <w:rPr>
          <w:rFonts w:ascii="Arial" w:hAnsi="Arial" w:cs="Arial"/>
          <w:color w:val="000000" w:themeColor="text1"/>
          <w:sz w:val="24"/>
          <w:szCs w:val="24"/>
        </w:rPr>
        <w:t>Successful implementation depends not only on structural adjustments but on maintaining alignment between strategic intent, leadership behaviour, governance mechanisms and capability development. The critical determinant of success is not technological adoption alone, but the systemic integration of digital initiatives into decision-making processes, organisational coordination and performance monitoring.</w:t>
      </w:r>
    </w:p>
    <w:p w14:paraId="257A8118" w14:textId="77777777" w:rsidR="008D59CD" w:rsidRPr="008D59CD" w:rsidRDefault="008D59CD" w:rsidP="008D59CD">
      <w:pPr>
        <w:rPr>
          <w:rFonts w:ascii="Arial" w:hAnsi="Arial" w:cs="Arial"/>
          <w:color w:val="000000" w:themeColor="text1"/>
          <w:sz w:val="24"/>
          <w:szCs w:val="24"/>
        </w:rPr>
      </w:pPr>
      <w:r w:rsidRPr="008D59CD">
        <w:rPr>
          <w:rFonts w:ascii="Arial" w:hAnsi="Arial" w:cs="Arial"/>
          <w:color w:val="000000" w:themeColor="text1"/>
          <w:sz w:val="24"/>
          <w:szCs w:val="24"/>
        </w:rPr>
        <w:t>In conclusion, Sainsbury can adapt its strategic capabilities and organisational structure to support long-term value creation without disproportionately increasing operational and financial risk, provided that digital integration is pursued incrementally and embedded within a coherent governance framework.</w:t>
      </w:r>
    </w:p>
    <w:p w14:paraId="05D20F96" w14:textId="77777777" w:rsidR="00D939CC" w:rsidRPr="00BE6515" w:rsidRDefault="00D939CC">
      <w:pPr>
        <w:rPr>
          <w:rFonts w:ascii="Arial" w:eastAsiaTheme="majorEastAsia" w:hAnsi="Arial" w:cs="Arial"/>
          <w:color w:val="000000" w:themeColor="text1"/>
          <w:sz w:val="40"/>
          <w:szCs w:val="40"/>
          <w:lang w:val="en-US"/>
        </w:rPr>
      </w:pPr>
      <w:r w:rsidRPr="00BE6515">
        <w:rPr>
          <w:rFonts w:ascii="Arial" w:hAnsi="Arial" w:cs="Arial"/>
          <w:color w:val="000000" w:themeColor="text1"/>
          <w:lang w:val="en-US"/>
        </w:rPr>
        <w:br w:type="page"/>
      </w:r>
    </w:p>
    <w:p w14:paraId="29F5C5D7" w14:textId="07277DE3" w:rsidR="00D939CC" w:rsidRDefault="00136BF3" w:rsidP="00136BF3">
      <w:pPr>
        <w:pStyle w:val="Heading1"/>
        <w:rPr>
          <w:rFonts w:ascii="Arial" w:hAnsi="Arial" w:cs="Arial"/>
          <w:color w:val="000000" w:themeColor="text1"/>
          <w:lang w:val="en-US"/>
        </w:rPr>
      </w:pPr>
      <w:bookmarkStart w:id="25" w:name="_Toc229296524"/>
      <w:r w:rsidRPr="00BE6515">
        <w:rPr>
          <w:rFonts w:ascii="Arial" w:hAnsi="Arial" w:cs="Arial"/>
          <w:color w:val="000000" w:themeColor="text1"/>
          <w:lang w:val="en-US"/>
        </w:rPr>
        <w:lastRenderedPageBreak/>
        <w:t>Reference List</w:t>
      </w:r>
      <w:bookmarkEnd w:id="25"/>
    </w:p>
    <w:p w14:paraId="1A0FFEDB" w14:textId="77777777" w:rsidR="00C74C5B" w:rsidRPr="00C74C5B" w:rsidRDefault="00C74C5B" w:rsidP="00C74C5B">
      <w:pPr>
        <w:rPr>
          <w:lang w:val="en-US"/>
        </w:rPr>
      </w:pPr>
    </w:p>
    <w:p w14:paraId="201FD2A2" w14:textId="0A891B0D"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Alkaraan, F. (2020) </w:t>
      </w:r>
      <w:r w:rsidR="005D53FD">
        <w:rPr>
          <w:rFonts w:ascii="Arial" w:hAnsi="Arial" w:cs="Arial"/>
          <w:color w:val="000000" w:themeColor="text1"/>
          <w:sz w:val="24"/>
          <w:szCs w:val="24"/>
        </w:rPr>
        <w:t>'</w:t>
      </w:r>
      <w:r w:rsidRPr="00F140C8">
        <w:rPr>
          <w:rFonts w:ascii="Arial" w:hAnsi="Arial" w:cs="Arial"/>
          <w:color w:val="000000" w:themeColor="text1"/>
          <w:sz w:val="24"/>
          <w:szCs w:val="24"/>
        </w:rPr>
        <w:t>Strategic investment decision-making practices</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Meditari Accountancy Research</w:t>
      </w:r>
      <w:r w:rsidRPr="00F140C8">
        <w:rPr>
          <w:rFonts w:ascii="Arial" w:hAnsi="Arial" w:cs="Arial"/>
          <w:color w:val="000000" w:themeColor="text1"/>
          <w:sz w:val="24"/>
          <w:szCs w:val="24"/>
        </w:rPr>
        <w:t>, 28(4), pp. 629–653.</w:t>
      </w:r>
    </w:p>
    <w:p w14:paraId="7FE04ED0"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Alvesson, M. and Sveningsson, S. (2016) </w:t>
      </w:r>
      <w:r w:rsidRPr="00F140C8">
        <w:rPr>
          <w:rFonts w:ascii="Arial" w:hAnsi="Arial" w:cs="Arial"/>
          <w:i/>
          <w:iCs/>
          <w:color w:val="000000" w:themeColor="text1"/>
          <w:sz w:val="24"/>
          <w:szCs w:val="24"/>
        </w:rPr>
        <w:t>Changing Organisational Culture</w:t>
      </w:r>
      <w:r w:rsidRPr="00F140C8">
        <w:rPr>
          <w:rFonts w:ascii="Arial" w:hAnsi="Arial" w:cs="Arial"/>
          <w:color w:val="000000" w:themeColor="text1"/>
          <w:sz w:val="24"/>
          <w:szCs w:val="24"/>
        </w:rPr>
        <w:t>. 2nd edn. London: Routledge.</w:t>
      </w:r>
    </w:p>
    <w:p w14:paraId="5B3C8A15" w14:textId="260C31E9"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Ansoff, H.I. (1957) </w:t>
      </w:r>
      <w:r w:rsidR="005D53FD">
        <w:rPr>
          <w:rFonts w:ascii="Arial" w:hAnsi="Arial" w:cs="Arial"/>
          <w:color w:val="000000" w:themeColor="text1"/>
          <w:sz w:val="24"/>
          <w:szCs w:val="24"/>
        </w:rPr>
        <w:t>'</w:t>
      </w:r>
      <w:r w:rsidRPr="00F140C8">
        <w:rPr>
          <w:rFonts w:ascii="Arial" w:hAnsi="Arial" w:cs="Arial"/>
          <w:color w:val="000000" w:themeColor="text1"/>
          <w:sz w:val="24"/>
          <w:szCs w:val="24"/>
        </w:rPr>
        <w:t>Strategies for diversification</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Harvard Business Review</w:t>
      </w:r>
      <w:r w:rsidRPr="00F140C8">
        <w:rPr>
          <w:rFonts w:ascii="Arial" w:hAnsi="Arial" w:cs="Arial"/>
          <w:color w:val="000000" w:themeColor="text1"/>
          <w:sz w:val="24"/>
          <w:szCs w:val="24"/>
        </w:rPr>
        <w:t>, 35(5), pp. 113–124.</w:t>
      </w:r>
    </w:p>
    <w:p w14:paraId="01D22DC9" w14:textId="02667CAB" w:rsidR="00F140C8" w:rsidRPr="00F140C8" w:rsidRDefault="00F140C8" w:rsidP="00F140C8">
      <w:pPr>
        <w:spacing w:before="100" w:beforeAutospacing="1" w:after="100" w:afterAutospacing="1" w:line="240" w:lineRule="auto"/>
        <w:ind w:left="360"/>
        <w:rPr>
          <w:rFonts w:ascii="Arial" w:hAnsi="Arial" w:cs="Arial"/>
          <w:color w:val="000000" w:themeColor="text1"/>
          <w:sz w:val="24"/>
          <w:szCs w:val="24"/>
        </w:rPr>
      </w:pPr>
      <w:r w:rsidRPr="00F140C8">
        <w:rPr>
          <w:rFonts w:ascii="Arial" w:eastAsia="Times New Roman" w:hAnsi="Arial" w:cs="Arial"/>
          <w:kern w:val="0"/>
          <w:sz w:val="24"/>
          <w:szCs w:val="24"/>
          <w:lang w:eastAsia="en-GB"/>
          <w14:ligatures w14:val="none"/>
        </w:rPr>
        <w:t xml:space="preserve">Argyris, C. and Schön, D.A. (1978) </w:t>
      </w:r>
      <w:r w:rsidRPr="00F140C8">
        <w:rPr>
          <w:rFonts w:ascii="Arial" w:eastAsia="Times New Roman" w:hAnsi="Arial" w:cs="Arial"/>
          <w:i/>
          <w:iCs/>
          <w:kern w:val="0"/>
          <w:sz w:val="24"/>
          <w:szCs w:val="24"/>
          <w:lang w:eastAsia="en-GB"/>
          <w14:ligatures w14:val="none"/>
        </w:rPr>
        <w:t>Organi</w:t>
      </w:r>
      <w:r w:rsidR="005D53FD">
        <w:rPr>
          <w:rFonts w:ascii="Arial" w:eastAsia="Times New Roman" w:hAnsi="Arial" w:cs="Arial"/>
          <w:i/>
          <w:iCs/>
          <w:kern w:val="0"/>
          <w:sz w:val="24"/>
          <w:szCs w:val="24"/>
          <w:lang w:eastAsia="en-GB"/>
          <w14:ligatures w14:val="none"/>
        </w:rPr>
        <w:t>s</w:t>
      </w:r>
      <w:r w:rsidRPr="00F140C8">
        <w:rPr>
          <w:rFonts w:ascii="Arial" w:eastAsia="Times New Roman" w:hAnsi="Arial" w:cs="Arial"/>
          <w:i/>
          <w:iCs/>
          <w:kern w:val="0"/>
          <w:sz w:val="24"/>
          <w:szCs w:val="24"/>
          <w:lang w:eastAsia="en-GB"/>
          <w14:ligatures w14:val="none"/>
        </w:rPr>
        <w:t>ational Learning: A Theory of Action Perspective</w:t>
      </w:r>
      <w:r w:rsidRPr="00F140C8">
        <w:rPr>
          <w:rFonts w:ascii="Arial" w:eastAsia="Times New Roman" w:hAnsi="Arial" w:cs="Arial"/>
          <w:kern w:val="0"/>
          <w:sz w:val="24"/>
          <w:szCs w:val="24"/>
          <w:lang w:eastAsia="en-GB"/>
          <w14:ligatures w14:val="none"/>
        </w:rPr>
        <w:t>. Reading, MA: Addison-Wesley.</w:t>
      </w:r>
    </w:p>
    <w:p w14:paraId="3C8A1FAC" w14:textId="33BBCDC1"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Aven, T. (2016) </w:t>
      </w:r>
      <w:r w:rsidR="005D53FD">
        <w:rPr>
          <w:rFonts w:ascii="Arial" w:hAnsi="Arial" w:cs="Arial"/>
          <w:color w:val="000000" w:themeColor="text1"/>
          <w:sz w:val="24"/>
          <w:szCs w:val="24"/>
        </w:rPr>
        <w:t>'</w:t>
      </w:r>
      <w:r w:rsidRPr="00F140C8">
        <w:rPr>
          <w:rFonts w:ascii="Arial" w:hAnsi="Arial" w:cs="Arial"/>
          <w:color w:val="000000" w:themeColor="text1"/>
          <w:sz w:val="24"/>
          <w:szCs w:val="24"/>
        </w:rPr>
        <w:t>Risk assessment and risk management: Review of recent advances on their foundation</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European Journal of Operational Research</w:t>
      </w:r>
      <w:r w:rsidRPr="00F140C8">
        <w:rPr>
          <w:rFonts w:ascii="Arial" w:hAnsi="Arial" w:cs="Arial"/>
          <w:color w:val="000000" w:themeColor="text1"/>
          <w:sz w:val="24"/>
          <w:szCs w:val="24"/>
        </w:rPr>
        <w:t>, 253(1), pp. 1–13.</w:t>
      </w:r>
    </w:p>
    <w:p w14:paraId="19EDCD5F" w14:textId="08D10FCF"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Balogun, J. and Johnson, G. (2004) </w:t>
      </w:r>
      <w:r w:rsidR="005D53FD">
        <w:rPr>
          <w:rFonts w:ascii="Arial" w:hAnsi="Arial" w:cs="Arial"/>
          <w:color w:val="000000" w:themeColor="text1"/>
          <w:sz w:val="24"/>
          <w:szCs w:val="24"/>
        </w:rPr>
        <w:t>'</w:t>
      </w:r>
      <w:r w:rsidRPr="00F140C8">
        <w:rPr>
          <w:rFonts w:ascii="Arial" w:hAnsi="Arial" w:cs="Arial"/>
          <w:color w:val="000000" w:themeColor="text1"/>
          <w:sz w:val="24"/>
          <w:szCs w:val="24"/>
        </w:rPr>
        <w:t>Organisational restructuring and middle manager sensemaking</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Academy of Management Journal</w:t>
      </w:r>
      <w:r w:rsidRPr="00F140C8">
        <w:rPr>
          <w:rFonts w:ascii="Arial" w:hAnsi="Arial" w:cs="Arial"/>
          <w:color w:val="000000" w:themeColor="text1"/>
          <w:sz w:val="24"/>
          <w:szCs w:val="24"/>
        </w:rPr>
        <w:t>, 47(4), pp. 523–549.</w:t>
      </w:r>
    </w:p>
    <w:p w14:paraId="52EC7EB7"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Barney, J.B. and Hesterly, W.S. (2018) </w:t>
      </w:r>
      <w:r w:rsidRPr="00F140C8">
        <w:rPr>
          <w:rFonts w:ascii="Arial" w:hAnsi="Arial" w:cs="Arial"/>
          <w:i/>
          <w:iCs/>
          <w:color w:val="000000" w:themeColor="text1"/>
          <w:sz w:val="24"/>
          <w:szCs w:val="24"/>
        </w:rPr>
        <w:t>Strategic Management and Competitive Advantage: Concepts and Cases</w:t>
      </w:r>
      <w:r w:rsidRPr="00F140C8">
        <w:rPr>
          <w:rFonts w:ascii="Arial" w:hAnsi="Arial" w:cs="Arial"/>
          <w:color w:val="000000" w:themeColor="text1"/>
          <w:sz w:val="24"/>
          <w:szCs w:val="24"/>
        </w:rPr>
        <w:t>. 6th edn. Harlow: Pearson.</w:t>
      </w:r>
    </w:p>
    <w:p w14:paraId="55C61E14"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Bass, B.M. and Riggio, R.E. (2006) </w:t>
      </w:r>
      <w:r w:rsidRPr="00F140C8">
        <w:rPr>
          <w:rFonts w:ascii="Arial" w:hAnsi="Arial" w:cs="Arial"/>
          <w:i/>
          <w:iCs/>
          <w:color w:val="000000" w:themeColor="text1"/>
          <w:sz w:val="24"/>
          <w:szCs w:val="24"/>
        </w:rPr>
        <w:t>Transformational Leadership</w:t>
      </w:r>
      <w:r w:rsidRPr="00F140C8">
        <w:rPr>
          <w:rFonts w:ascii="Arial" w:hAnsi="Arial" w:cs="Arial"/>
          <w:color w:val="000000" w:themeColor="text1"/>
          <w:sz w:val="24"/>
          <w:szCs w:val="24"/>
        </w:rPr>
        <w:t>. 2nd edn. Mahwah, NJ: Lawrence Erlbaum Associates.</w:t>
      </w:r>
    </w:p>
    <w:p w14:paraId="2C7CB8D0" w14:textId="4038922F"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Bharadwaj, A., El Sawy, O.A., Pavlou, P.A. and Venkatraman, N. (2013) </w:t>
      </w:r>
      <w:r w:rsidR="005D53FD">
        <w:rPr>
          <w:rFonts w:ascii="Arial" w:hAnsi="Arial" w:cs="Arial"/>
          <w:color w:val="000000" w:themeColor="text1"/>
          <w:sz w:val="24"/>
          <w:szCs w:val="24"/>
        </w:rPr>
        <w:t>'</w:t>
      </w:r>
      <w:r w:rsidRPr="00F140C8">
        <w:rPr>
          <w:rFonts w:ascii="Arial" w:hAnsi="Arial" w:cs="Arial"/>
          <w:color w:val="000000" w:themeColor="text1"/>
          <w:sz w:val="24"/>
          <w:szCs w:val="24"/>
        </w:rPr>
        <w:t>Digital business strategy: Toward a next generation of insights</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MIS Quarterly</w:t>
      </w:r>
      <w:r w:rsidRPr="00F140C8">
        <w:rPr>
          <w:rFonts w:ascii="Arial" w:hAnsi="Arial" w:cs="Arial"/>
          <w:color w:val="000000" w:themeColor="text1"/>
          <w:sz w:val="24"/>
          <w:szCs w:val="24"/>
        </w:rPr>
        <w:t>, 37(2), pp. 471–482.</w:t>
      </w:r>
    </w:p>
    <w:p w14:paraId="47CACB58" w14:textId="6FEC3E35"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Bohnert, A., Gatzert, N., Hoyt, R.E. and Lechner, P. (2019) </w:t>
      </w:r>
      <w:r w:rsidR="005D53FD">
        <w:rPr>
          <w:rFonts w:ascii="Arial" w:hAnsi="Arial" w:cs="Arial"/>
          <w:color w:val="000000" w:themeColor="text1"/>
          <w:sz w:val="24"/>
          <w:szCs w:val="24"/>
        </w:rPr>
        <w:t>'</w:t>
      </w:r>
      <w:r w:rsidRPr="00F140C8">
        <w:rPr>
          <w:rFonts w:ascii="Arial" w:hAnsi="Arial" w:cs="Arial"/>
          <w:color w:val="000000" w:themeColor="text1"/>
          <w:sz w:val="24"/>
          <w:szCs w:val="24"/>
        </w:rPr>
        <w:t>The drivers and value of enterprise risk management: Evidence from ERM ratings</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European Journal of Finance</w:t>
      </w:r>
      <w:r w:rsidRPr="00F140C8">
        <w:rPr>
          <w:rFonts w:ascii="Arial" w:hAnsi="Arial" w:cs="Arial"/>
          <w:color w:val="000000" w:themeColor="text1"/>
          <w:sz w:val="24"/>
          <w:szCs w:val="24"/>
        </w:rPr>
        <w:t>, 25(3), pp. 234–255.</w:t>
      </w:r>
    </w:p>
    <w:p w14:paraId="49E7C942"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Burns, J.M. (1978) </w:t>
      </w:r>
      <w:r w:rsidRPr="00F140C8">
        <w:rPr>
          <w:rFonts w:ascii="Arial" w:hAnsi="Arial" w:cs="Arial"/>
          <w:i/>
          <w:iCs/>
          <w:color w:val="000000" w:themeColor="text1"/>
          <w:sz w:val="24"/>
          <w:szCs w:val="24"/>
        </w:rPr>
        <w:t>Leadership</w:t>
      </w:r>
      <w:r w:rsidRPr="00F140C8">
        <w:rPr>
          <w:rFonts w:ascii="Arial" w:hAnsi="Arial" w:cs="Arial"/>
          <w:color w:val="000000" w:themeColor="text1"/>
          <w:sz w:val="24"/>
          <w:szCs w:val="24"/>
        </w:rPr>
        <w:t>. New York: Harper &amp; Row.</w:t>
      </w:r>
    </w:p>
    <w:p w14:paraId="5C20BE18" w14:textId="06D22CEA"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By, R.T. (2005) </w:t>
      </w:r>
      <w:r w:rsidR="005D53FD">
        <w:rPr>
          <w:rFonts w:ascii="Arial" w:hAnsi="Arial" w:cs="Arial"/>
          <w:color w:val="000000" w:themeColor="text1"/>
          <w:sz w:val="24"/>
          <w:szCs w:val="24"/>
        </w:rPr>
        <w:t>'</w:t>
      </w:r>
      <w:r w:rsidRPr="00F140C8">
        <w:rPr>
          <w:rFonts w:ascii="Arial" w:hAnsi="Arial" w:cs="Arial"/>
          <w:color w:val="000000" w:themeColor="text1"/>
          <w:sz w:val="24"/>
          <w:szCs w:val="24"/>
        </w:rPr>
        <w:t>Organisational change management: A critical review</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Journal of Change Management</w:t>
      </w:r>
      <w:r w:rsidRPr="00F140C8">
        <w:rPr>
          <w:rFonts w:ascii="Arial" w:hAnsi="Arial" w:cs="Arial"/>
          <w:color w:val="000000" w:themeColor="text1"/>
          <w:sz w:val="24"/>
          <w:szCs w:val="24"/>
        </w:rPr>
        <w:t>, 5(4), pp. 369–380.</w:t>
      </w:r>
    </w:p>
    <w:p w14:paraId="6F2985BE" w14:textId="55862179"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By, R.T. (2021) </w:t>
      </w:r>
      <w:r w:rsidR="005D53FD">
        <w:rPr>
          <w:rFonts w:ascii="Arial" w:hAnsi="Arial" w:cs="Arial"/>
          <w:color w:val="000000" w:themeColor="text1"/>
          <w:sz w:val="24"/>
          <w:szCs w:val="24"/>
        </w:rPr>
        <w:t>'</w:t>
      </w:r>
      <w:r w:rsidRPr="00F140C8">
        <w:rPr>
          <w:rFonts w:ascii="Arial" w:hAnsi="Arial" w:cs="Arial"/>
          <w:color w:val="000000" w:themeColor="text1"/>
          <w:sz w:val="24"/>
          <w:szCs w:val="24"/>
        </w:rPr>
        <w:t>Leadership and organisational change</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Journal of Change Management</w:t>
      </w:r>
      <w:r w:rsidRPr="00F140C8">
        <w:rPr>
          <w:rFonts w:ascii="Arial" w:hAnsi="Arial" w:cs="Arial"/>
          <w:color w:val="000000" w:themeColor="text1"/>
          <w:sz w:val="24"/>
          <w:szCs w:val="24"/>
        </w:rPr>
        <w:t>, 21(3), pp. 243–251.</w:t>
      </w:r>
    </w:p>
    <w:p w14:paraId="26FCC0DD" w14:textId="0DC985D0"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lastRenderedPageBreak/>
        <w:t xml:space="preserve">Cummings, S., Bridgman, T. and Brown, K.G. (2016) </w:t>
      </w:r>
      <w:r w:rsidR="005D53FD">
        <w:rPr>
          <w:rFonts w:ascii="Arial" w:hAnsi="Arial" w:cs="Arial"/>
          <w:color w:val="000000" w:themeColor="text1"/>
          <w:sz w:val="24"/>
          <w:szCs w:val="24"/>
        </w:rPr>
        <w:t>'</w:t>
      </w:r>
      <w:r w:rsidRPr="00F140C8">
        <w:rPr>
          <w:rFonts w:ascii="Arial" w:hAnsi="Arial" w:cs="Arial"/>
          <w:color w:val="000000" w:themeColor="text1"/>
          <w:sz w:val="24"/>
          <w:szCs w:val="24"/>
        </w:rPr>
        <w:t>Unfreezing change as three steps: Rethinking Kurt Lewin</w:t>
      </w:r>
      <w:r w:rsidR="005D53FD">
        <w:rPr>
          <w:rFonts w:ascii="Arial" w:hAnsi="Arial" w:cs="Arial"/>
          <w:color w:val="000000" w:themeColor="text1"/>
          <w:sz w:val="24"/>
          <w:szCs w:val="24"/>
        </w:rPr>
        <w:t>'</w:t>
      </w:r>
      <w:r w:rsidRPr="00F140C8">
        <w:rPr>
          <w:rFonts w:ascii="Arial" w:hAnsi="Arial" w:cs="Arial"/>
          <w:color w:val="000000" w:themeColor="text1"/>
          <w:sz w:val="24"/>
          <w:szCs w:val="24"/>
        </w:rPr>
        <w:t>s legacy for change management</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 </w:t>
      </w:r>
      <w:r w:rsidRPr="00F140C8">
        <w:rPr>
          <w:rFonts w:ascii="Arial" w:hAnsi="Arial" w:cs="Arial"/>
          <w:i/>
          <w:iCs/>
          <w:color w:val="000000" w:themeColor="text1"/>
          <w:sz w:val="24"/>
          <w:szCs w:val="24"/>
        </w:rPr>
        <w:t>Human Relations</w:t>
      </w:r>
      <w:r w:rsidRPr="00F140C8">
        <w:rPr>
          <w:rFonts w:ascii="Arial" w:hAnsi="Arial" w:cs="Arial"/>
          <w:color w:val="000000" w:themeColor="text1"/>
          <w:sz w:val="24"/>
          <w:szCs w:val="24"/>
        </w:rPr>
        <w:t>, 69(1), pp. 33–60.</w:t>
      </w:r>
    </w:p>
    <w:p w14:paraId="5BE90CE4" w14:textId="3D5868BC" w:rsidR="00F140C8" w:rsidRPr="00F140C8" w:rsidRDefault="00F140C8" w:rsidP="00F140C8">
      <w:pPr>
        <w:ind w:left="360"/>
        <w:rPr>
          <w:rFonts w:ascii="Arial" w:hAnsi="Arial" w:cs="Arial"/>
          <w:color w:val="000000" w:themeColor="text1"/>
          <w:sz w:val="24"/>
          <w:szCs w:val="24"/>
        </w:rPr>
      </w:pPr>
      <w:r w:rsidRPr="00F140C8">
        <w:rPr>
          <w:rFonts w:ascii="Arial" w:hAnsi="Arial" w:cs="Arial"/>
          <w:sz w:val="24"/>
          <w:szCs w:val="24"/>
        </w:rPr>
        <w:t xml:space="preserve">Deloitte (2023) </w:t>
      </w:r>
      <w:r w:rsidRPr="00F140C8">
        <w:rPr>
          <w:rStyle w:val="Emphasis"/>
          <w:rFonts w:ascii="Arial" w:hAnsi="Arial" w:cs="Arial"/>
          <w:sz w:val="24"/>
          <w:szCs w:val="24"/>
        </w:rPr>
        <w:t>UK Grocery Market Outlook 2023</w:t>
      </w:r>
      <w:r w:rsidRPr="00F140C8">
        <w:rPr>
          <w:rFonts w:ascii="Arial" w:hAnsi="Arial" w:cs="Arial"/>
          <w:sz w:val="24"/>
          <w:szCs w:val="24"/>
        </w:rPr>
        <w:t>. London: Deloitte.</w:t>
      </w:r>
    </w:p>
    <w:p w14:paraId="497F950F" w14:textId="55378223"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Doran, G.T. (1981) </w:t>
      </w:r>
      <w:r w:rsidR="005D53FD">
        <w:rPr>
          <w:rFonts w:ascii="Arial" w:hAnsi="Arial" w:cs="Arial"/>
          <w:color w:val="000000" w:themeColor="text1"/>
          <w:sz w:val="24"/>
          <w:szCs w:val="24"/>
        </w:rPr>
        <w:t>'</w:t>
      </w:r>
      <w:r w:rsidRPr="00F140C8">
        <w:rPr>
          <w:rFonts w:ascii="Arial" w:hAnsi="Arial" w:cs="Arial"/>
          <w:color w:val="000000" w:themeColor="text1"/>
          <w:sz w:val="24"/>
          <w:szCs w:val="24"/>
        </w:rPr>
        <w:t xml:space="preserve">There’s a S.M.A.R.T. way to write management’s goals and objectives’, </w:t>
      </w:r>
      <w:r w:rsidRPr="00F140C8">
        <w:rPr>
          <w:rFonts w:ascii="Arial" w:hAnsi="Arial" w:cs="Arial"/>
          <w:i/>
          <w:iCs/>
          <w:color w:val="000000" w:themeColor="text1"/>
          <w:sz w:val="24"/>
          <w:szCs w:val="24"/>
        </w:rPr>
        <w:t>Management Review</w:t>
      </w:r>
      <w:r w:rsidRPr="00F140C8">
        <w:rPr>
          <w:rFonts w:ascii="Arial" w:hAnsi="Arial" w:cs="Arial"/>
          <w:color w:val="000000" w:themeColor="text1"/>
          <w:sz w:val="24"/>
          <w:szCs w:val="24"/>
        </w:rPr>
        <w:t>, 70(11), pp. 35–36.</w:t>
      </w:r>
    </w:p>
    <w:p w14:paraId="3E8631D2"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Errida, A. and Lotfi, B. (2021) ‘The determinants of organisational change management success: A systematic literature review’, </w:t>
      </w:r>
      <w:r w:rsidRPr="00F140C8">
        <w:rPr>
          <w:rFonts w:ascii="Arial" w:hAnsi="Arial" w:cs="Arial"/>
          <w:i/>
          <w:iCs/>
          <w:color w:val="000000" w:themeColor="text1"/>
          <w:sz w:val="24"/>
          <w:szCs w:val="24"/>
        </w:rPr>
        <w:t>Journal of Organizational Change Management</w:t>
      </w:r>
      <w:r w:rsidRPr="00F140C8">
        <w:rPr>
          <w:rFonts w:ascii="Arial" w:hAnsi="Arial" w:cs="Arial"/>
          <w:color w:val="000000" w:themeColor="text1"/>
          <w:sz w:val="24"/>
          <w:szCs w:val="24"/>
        </w:rPr>
        <w:t>, 34(5), pp. 1025–1053.</w:t>
      </w:r>
    </w:p>
    <w:p w14:paraId="3D32292B"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Galbraith, J.R. (2014) </w:t>
      </w:r>
      <w:r w:rsidRPr="00F140C8">
        <w:rPr>
          <w:rFonts w:ascii="Arial" w:hAnsi="Arial" w:cs="Arial"/>
          <w:i/>
          <w:iCs/>
          <w:color w:val="000000" w:themeColor="text1"/>
          <w:sz w:val="24"/>
          <w:szCs w:val="24"/>
        </w:rPr>
        <w:t>Designing Organizations: Strategy, Structure, and Process at the Business Unit and Enterprise Levels</w:t>
      </w:r>
      <w:r w:rsidRPr="00F140C8">
        <w:rPr>
          <w:rFonts w:ascii="Arial" w:hAnsi="Arial" w:cs="Arial"/>
          <w:color w:val="000000" w:themeColor="text1"/>
          <w:sz w:val="24"/>
          <w:szCs w:val="24"/>
        </w:rPr>
        <w:t>. 3rd edn. San Francisco: Jossey-Bass.</w:t>
      </w:r>
    </w:p>
    <w:p w14:paraId="48623555"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Ghemawat, P. (2002) ‘Competition and business strategy in historical perspective’, </w:t>
      </w:r>
      <w:r w:rsidRPr="00F140C8">
        <w:rPr>
          <w:rFonts w:ascii="Arial" w:hAnsi="Arial" w:cs="Arial"/>
          <w:i/>
          <w:iCs/>
          <w:color w:val="000000" w:themeColor="text1"/>
          <w:sz w:val="24"/>
          <w:szCs w:val="24"/>
        </w:rPr>
        <w:t>Business History Review</w:t>
      </w:r>
      <w:r w:rsidRPr="00F140C8">
        <w:rPr>
          <w:rFonts w:ascii="Arial" w:hAnsi="Arial" w:cs="Arial"/>
          <w:color w:val="000000" w:themeColor="text1"/>
          <w:sz w:val="24"/>
          <w:szCs w:val="24"/>
        </w:rPr>
        <w:t>, 76(1), pp. 37–74.</w:t>
      </w:r>
    </w:p>
    <w:p w14:paraId="7AA4C821"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Grant, R.M. (2019) </w:t>
      </w:r>
      <w:r w:rsidRPr="00F140C8">
        <w:rPr>
          <w:rFonts w:ascii="Arial" w:hAnsi="Arial" w:cs="Arial"/>
          <w:i/>
          <w:iCs/>
          <w:color w:val="000000" w:themeColor="text1"/>
          <w:sz w:val="24"/>
          <w:szCs w:val="24"/>
        </w:rPr>
        <w:t>Contemporary Strategy Analysis</w:t>
      </w:r>
      <w:r w:rsidRPr="00F140C8">
        <w:rPr>
          <w:rFonts w:ascii="Arial" w:hAnsi="Arial" w:cs="Arial"/>
          <w:color w:val="000000" w:themeColor="text1"/>
          <w:sz w:val="24"/>
          <w:szCs w:val="24"/>
        </w:rPr>
        <w:t>. 10th edn. Chichester: Wiley.</w:t>
      </w:r>
    </w:p>
    <w:p w14:paraId="1E9E9A6B"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Heifetz, R.A. and Linsky, M. (2002) </w:t>
      </w:r>
      <w:r w:rsidRPr="00F140C8">
        <w:rPr>
          <w:rFonts w:ascii="Arial" w:hAnsi="Arial" w:cs="Arial"/>
          <w:i/>
          <w:iCs/>
          <w:color w:val="000000" w:themeColor="text1"/>
          <w:sz w:val="24"/>
          <w:szCs w:val="24"/>
        </w:rPr>
        <w:t>Leadership on the Line</w:t>
      </w:r>
      <w:r w:rsidRPr="00F140C8">
        <w:rPr>
          <w:rFonts w:ascii="Arial" w:hAnsi="Arial" w:cs="Arial"/>
          <w:color w:val="000000" w:themeColor="text1"/>
          <w:sz w:val="24"/>
          <w:szCs w:val="24"/>
        </w:rPr>
        <w:t>. Boston: Harvard Business School Press.</w:t>
      </w:r>
    </w:p>
    <w:p w14:paraId="4596BB3C"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Heifetz, R.A., Grashow, A. and Linsky, M. (2009) </w:t>
      </w:r>
      <w:r w:rsidRPr="00F140C8">
        <w:rPr>
          <w:rFonts w:ascii="Arial" w:hAnsi="Arial" w:cs="Arial"/>
          <w:i/>
          <w:iCs/>
          <w:color w:val="000000" w:themeColor="text1"/>
          <w:sz w:val="24"/>
          <w:szCs w:val="24"/>
        </w:rPr>
        <w:t>The Practice of Adaptive Leadership</w:t>
      </w:r>
      <w:r w:rsidRPr="00F140C8">
        <w:rPr>
          <w:rFonts w:ascii="Arial" w:hAnsi="Arial" w:cs="Arial"/>
          <w:color w:val="000000" w:themeColor="text1"/>
          <w:sz w:val="24"/>
          <w:szCs w:val="24"/>
        </w:rPr>
        <w:t>. Boston: Harvard Business Press.</w:t>
      </w:r>
    </w:p>
    <w:p w14:paraId="4299C7C3"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Hrebiniak, L.G. (2006) ‘Obstacles to effective strategy implementation’, </w:t>
      </w:r>
      <w:r w:rsidRPr="00F140C8">
        <w:rPr>
          <w:rFonts w:ascii="Arial" w:hAnsi="Arial" w:cs="Arial"/>
          <w:i/>
          <w:iCs/>
          <w:color w:val="000000" w:themeColor="text1"/>
          <w:sz w:val="24"/>
          <w:szCs w:val="24"/>
        </w:rPr>
        <w:t>Organizational Dynamics</w:t>
      </w:r>
      <w:r w:rsidRPr="00F140C8">
        <w:rPr>
          <w:rFonts w:ascii="Arial" w:hAnsi="Arial" w:cs="Arial"/>
          <w:color w:val="000000" w:themeColor="text1"/>
          <w:sz w:val="24"/>
          <w:szCs w:val="24"/>
        </w:rPr>
        <w:t>, 35(1), pp. 12–31.</w:t>
      </w:r>
    </w:p>
    <w:p w14:paraId="20914AF3"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J Sainsbury plc (2024) </w:t>
      </w:r>
      <w:r w:rsidRPr="00F140C8">
        <w:rPr>
          <w:rFonts w:ascii="Arial" w:hAnsi="Arial" w:cs="Arial"/>
          <w:i/>
          <w:iCs/>
          <w:color w:val="000000" w:themeColor="text1"/>
          <w:sz w:val="24"/>
          <w:szCs w:val="24"/>
        </w:rPr>
        <w:t>Annual Report and Financial Statements 2024</w:t>
      </w:r>
      <w:r w:rsidRPr="00F140C8">
        <w:rPr>
          <w:rFonts w:ascii="Arial" w:hAnsi="Arial" w:cs="Arial"/>
          <w:color w:val="000000" w:themeColor="text1"/>
          <w:sz w:val="24"/>
          <w:szCs w:val="24"/>
        </w:rPr>
        <w:t>. London: J Sainsbury plc.</w:t>
      </w:r>
    </w:p>
    <w:p w14:paraId="00F50E38"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Johnson, G., Scholes, K. and Whittington, R. (2020) </w:t>
      </w:r>
      <w:r w:rsidRPr="00F140C8">
        <w:rPr>
          <w:rFonts w:ascii="Arial" w:hAnsi="Arial" w:cs="Arial"/>
          <w:i/>
          <w:iCs/>
          <w:color w:val="000000" w:themeColor="text1"/>
          <w:sz w:val="24"/>
          <w:szCs w:val="24"/>
        </w:rPr>
        <w:t>Exploring Strategy</w:t>
      </w:r>
      <w:r w:rsidRPr="00F140C8">
        <w:rPr>
          <w:rFonts w:ascii="Arial" w:hAnsi="Arial" w:cs="Arial"/>
          <w:color w:val="000000" w:themeColor="text1"/>
          <w:sz w:val="24"/>
          <w:szCs w:val="24"/>
        </w:rPr>
        <w:t>. 12th edn. Harlow: Pearson.</w:t>
      </w:r>
    </w:p>
    <w:p w14:paraId="542F27D3"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Kane, G.C., Palmer, D., Phillips, A.N., Kiron, D. and Buckley, N. (2019) </w:t>
      </w:r>
      <w:r w:rsidRPr="00F140C8">
        <w:rPr>
          <w:rFonts w:ascii="Arial" w:hAnsi="Arial" w:cs="Arial"/>
          <w:i/>
          <w:iCs/>
          <w:color w:val="000000" w:themeColor="text1"/>
          <w:sz w:val="24"/>
          <w:szCs w:val="24"/>
        </w:rPr>
        <w:t>Accelerating Digital Innovation Inside and Out</w:t>
      </w:r>
      <w:r w:rsidRPr="00F140C8">
        <w:rPr>
          <w:rFonts w:ascii="Arial" w:hAnsi="Arial" w:cs="Arial"/>
          <w:color w:val="000000" w:themeColor="text1"/>
          <w:sz w:val="24"/>
          <w:szCs w:val="24"/>
        </w:rPr>
        <w:t>. Cambridge, MA: MIT Sloan Management Review and Deloitte Insights.</w:t>
      </w:r>
    </w:p>
    <w:p w14:paraId="3017AD4F"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Kaplan, R.S. and Norton, D.P. (2008) </w:t>
      </w:r>
      <w:r w:rsidRPr="00F140C8">
        <w:rPr>
          <w:rFonts w:ascii="Arial" w:hAnsi="Arial" w:cs="Arial"/>
          <w:i/>
          <w:iCs/>
          <w:color w:val="000000" w:themeColor="text1"/>
          <w:sz w:val="24"/>
          <w:szCs w:val="24"/>
        </w:rPr>
        <w:t>Execution Premium: Linking Strategy to Operations for Competitive Advantage</w:t>
      </w:r>
      <w:r w:rsidRPr="00F140C8">
        <w:rPr>
          <w:rFonts w:ascii="Arial" w:hAnsi="Arial" w:cs="Arial"/>
          <w:color w:val="000000" w:themeColor="text1"/>
          <w:sz w:val="24"/>
          <w:szCs w:val="24"/>
        </w:rPr>
        <w:t>. Boston: Harvard Business School Press.</w:t>
      </w:r>
    </w:p>
    <w:p w14:paraId="176084F8"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Kim, W.C. and Mauborgne, R. (2015) </w:t>
      </w:r>
      <w:r w:rsidRPr="00F140C8">
        <w:rPr>
          <w:rFonts w:ascii="Arial" w:hAnsi="Arial" w:cs="Arial"/>
          <w:i/>
          <w:iCs/>
          <w:color w:val="000000" w:themeColor="text1"/>
          <w:sz w:val="24"/>
          <w:szCs w:val="24"/>
        </w:rPr>
        <w:t>Blue Ocean Strategy</w:t>
      </w:r>
      <w:r w:rsidRPr="00F140C8">
        <w:rPr>
          <w:rFonts w:ascii="Arial" w:hAnsi="Arial" w:cs="Arial"/>
          <w:color w:val="000000" w:themeColor="text1"/>
          <w:sz w:val="24"/>
          <w:szCs w:val="24"/>
        </w:rPr>
        <w:t>. Expanded edn. Boston: Harvard Business Review Press.</w:t>
      </w:r>
    </w:p>
    <w:p w14:paraId="6CD9ECB1"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lastRenderedPageBreak/>
        <w:t xml:space="preserve">Kotter, J.P. (1996) </w:t>
      </w:r>
      <w:r w:rsidRPr="00F140C8">
        <w:rPr>
          <w:rFonts w:ascii="Arial" w:hAnsi="Arial" w:cs="Arial"/>
          <w:i/>
          <w:iCs/>
          <w:color w:val="000000" w:themeColor="text1"/>
          <w:sz w:val="24"/>
          <w:szCs w:val="24"/>
        </w:rPr>
        <w:t>Leading Change</w:t>
      </w:r>
      <w:r w:rsidRPr="00F140C8">
        <w:rPr>
          <w:rFonts w:ascii="Arial" w:hAnsi="Arial" w:cs="Arial"/>
          <w:color w:val="000000" w:themeColor="text1"/>
          <w:sz w:val="24"/>
          <w:szCs w:val="24"/>
        </w:rPr>
        <w:t>. Boston: Harvard Business School Press.</w:t>
      </w:r>
    </w:p>
    <w:p w14:paraId="7F5A30E4"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March, J.G. (1991) ‘Exploration and exploitation in organisational learning’, </w:t>
      </w:r>
      <w:r w:rsidRPr="00F140C8">
        <w:rPr>
          <w:rFonts w:ascii="Arial" w:hAnsi="Arial" w:cs="Arial"/>
          <w:i/>
          <w:iCs/>
          <w:color w:val="000000" w:themeColor="text1"/>
          <w:sz w:val="24"/>
          <w:szCs w:val="24"/>
        </w:rPr>
        <w:t>Organization Science</w:t>
      </w:r>
      <w:r w:rsidRPr="00F140C8">
        <w:rPr>
          <w:rFonts w:ascii="Arial" w:hAnsi="Arial" w:cs="Arial"/>
          <w:color w:val="000000" w:themeColor="text1"/>
          <w:sz w:val="24"/>
          <w:szCs w:val="24"/>
        </w:rPr>
        <w:t>, 2(1), pp. 71–87.</w:t>
      </w:r>
    </w:p>
    <w:p w14:paraId="42129EED"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Nadler, D.A. and Tushman, M.L. (1997) </w:t>
      </w:r>
      <w:r w:rsidRPr="00F140C8">
        <w:rPr>
          <w:rFonts w:ascii="Arial" w:hAnsi="Arial" w:cs="Arial"/>
          <w:i/>
          <w:iCs/>
          <w:color w:val="000000" w:themeColor="text1"/>
          <w:sz w:val="24"/>
          <w:szCs w:val="24"/>
        </w:rPr>
        <w:t>Competing by Design: The Power of Organizational Architecture</w:t>
      </w:r>
      <w:r w:rsidRPr="00F140C8">
        <w:rPr>
          <w:rFonts w:ascii="Arial" w:hAnsi="Arial" w:cs="Arial"/>
          <w:color w:val="000000" w:themeColor="text1"/>
          <w:sz w:val="24"/>
          <w:szCs w:val="24"/>
        </w:rPr>
        <w:t>. New York: Oxford University Press.</w:t>
      </w:r>
    </w:p>
    <w:p w14:paraId="5F67CCED"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Nambisan, S., Wright, M. and Feldman, M. (2019) ‘The digital transformation of innovation and entrepreneurship’, </w:t>
      </w:r>
      <w:r w:rsidRPr="00F140C8">
        <w:rPr>
          <w:rFonts w:ascii="Arial" w:hAnsi="Arial" w:cs="Arial"/>
          <w:i/>
          <w:iCs/>
          <w:color w:val="000000" w:themeColor="text1"/>
          <w:sz w:val="24"/>
          <w:szCs w:val="24"/>
        </w:rPr>
        <w:t>Research Policy</w:t>
      </w:r>
      <w:r w:rsidRPr="00F140C8">
        <w:rPr>
          <w:rFonts w:ascii="Arial" w:hAnsi="Arial" w:cs="Arial"/>
          <w:color w:val="000000" w:themeColor="text1"/>
          <w:sz w:val="24"/>
          <w:szCs w:val="24"/>
        </w:rPr>
        <w:t>, 48(8), pp. 103773.</w:t>
      </w:r>
    </w:p>
    <w:p w14:paraId="2C2D9057"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Northouse, P.G. (2022) </w:t>
      </w:r>
      <w:r w:rsidRPr="00F140C8">
        <w:rPr>
          <w:rFonts w:ascii="Arial" w:hAnsi="Arial" w:cs="Arial"/>
          <w:i/>
          <w:iCs/>
          <w:color w:val="000000" w:themeColor="text1"/>
          <w:sz w:val="24"/>
          <w:szCs w:val="24"/>
        </w:rPr>
        <w:t>Leadership: Theory and Practice</w:t>
      </w:r>
      <w:r w:rsidRPr="00F140C8">
        <w:rPr>
          <w:rFonts w:ascii="Arial" w:hAnsi="Arial" w:cs="Arial"/>
          <w:color w:val="000000" w:themeColor="text1"/>
          <w:sz w:val="24"/>
          <w:szCs w:val="24"/>
        </w:rPr>
        <w:t>. 9th edn. Thousand Oaks, CA: Sage.</w:t>
      </w:r>
    </w:p>
    <w:p w14:paraId="6B073730"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O'Reilly, C.A. and Tushman, M.L. (2013) ‘Organisational ambidexterity: Past, present, and future’, </w:t>
      </w:r>
      <w:r w:rsidRPr="00F140C8">
        <w:rPr>
          <w:rFonts w:ascii="Arial" w:hAnsi="Arial" w:cs="Arial"/>
          <w:i/>
          <w:iCs/>
          <w:color w:val="000000" w:themeColor="text1"/>
          <w:sz w:val="24"/>
          <w:szCs w:val="24"/>
        </w:rPr>
        <w:t>Academy of Management Perspectives</w:t>
      </w:r>
      <w:r w:rsidRPr="00F140C8">
        <w:rPr>
          <w:rFonts w:ascii="Arial" w:hAnsi="Arial" w:cs="Arial"/>
          <w:color w:val="000000" w:themeColor="text1"/>
          <w:sz w:val="24"/>
          <w:szCs w:val="24"/>
        </w:rPr>
        <w:t>, 27(4), pp. 324–338.</w:t>
      </w:r>
    </w:p>
    <w:p w14:paraId="0EDD279F"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O'Reilly, C.A. and Tushman, M.L. (2021) </w:t>
      </w:r>
      <w:r w:rsidRPr="00F140C8">
        <w:rPr>
          <w:rFonts w:ascii="Arial" w:hAnsi="Arial" w:cs="Arial"/>
          <w:i/>
          <w:iCs/>
          <w:color w:val="000000" w:themeColor="text1"/>
          <w:sz w:val="24"/>
          <w:szCs w:val="24"/>
        </w:rPr>
        <w:t>Lead and Disrupt</w:t>
      </w:r>
      <w:r w:rsidRPr="00F140C8">
        <w:rPr>
          <w:rFonts w:ascii="Arial" w:hAnsi="Arial" w:cs="Arial"/>
          <w:color w:val="000000" w:themeColor="text1"/>
          <w:sz w:val="24"/>
          <w:szCs w:val="24"/>
        </w:rPr>
        <w:t>. Stanford: Stanford University Press.</w:t>
      </w:r>
    </w:p>
    <w:p w14:paraId="5545C9EA"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Porter, M.E. (1980) </w:t>
      </w:r>
      <w:r w:rsidRPr="00F140C8">
        <w:rPr>
          <w:rFonts w:ascii="Arial" w:hAnsi="Arial" w:cs="Arial"/>
          <w:i/>
          <w:iCs/>
          <w:color w:val="000000" w:themeColor="text1"/>
          <w:sz w:val="24"/>
          <w:szCs w:val="24"/>
        </w:rPr>
        <w:t>Competitive Strategy</w:t>
      </w:r>
      <w:r w:rsidRPr="00F140C8">
        <w:rPr>
          <w:rFonts w:ascii="Arial" w:hAnsi="Arial" w:cs="Arial"/>
          <w:color w:val="000000" w:themeColor="text1"/>
          <w:sz w:val="24"/>
          <w:szCs w:val="24"/>
        </w:rPr>
        <w:t>. New York: Free Press.</w:t>
      </w:r>
    </w:p>
    <w:p w14:paraId="715FF6F6"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PwC (2023) </w:t>
      </w:r>
      <w:r w:rsidRPr="00F140C8">
        <w:rPr>
          <w:rFonts w:ascii="Arial" w:hAnsi="Arial" w:cs="Arial"/>
          <w:i/>
          <w:iCs/>
          <w:color w:val="000000" w:themeColor="text1"/>
          <w:sz w:val="24"/>
          <w:szCs w:val="24"/>
        </w:rPr>
        <w:t>UK Consumer Markets Outlook 2023</w:t>
      </w:r>
      <w:r w:rsidRPr="00F140C8">
        <w:rPr>
          <w:rFonts w:ascii="Arial" w:hAnsi="Arial" w:cs="Arial"/>
          <w:color w:val="000000" w:themeColor="text1"/>
          <w:sz w:val="24"/>
          <w:szCs w:val="24"/>
        </w:rPr>
        <w:t>. London: PwC.</w:t>
      </w:r>
    </w:p>
    <w:p w14:paraId="2E140A97" w14:textId="006386B7" w:rsidR="00F140C8" w:rsidRPr="00F140C8" w:rsidRDefault="00F140C8" w:rsidP="00F140C8">
      <w:pPr>
        <w:spacing w:before="100" w:beforeAutospacing="1" w:after="100" w:afterAutospacing="1" w:line="240" w:lineRule="auto"/>
        <w:ind w:left="360"/>
        <w:rPr>
          <w:rFonts w:ascii="Arial" w:hAnsi="Arial" w:cs="Arial"/>
          <w:color w:val="000000" w:themeColor="text1"/>
          <w:sz w:val="24"/>
          <w:szCs w:val="24"/>
        </w:rPr>
      </w:pPr>
      <w:r w:rsidRPr="00F140C8">
        <w:rPr>
          <w:rFonts w:ascii="Arial" w:eastAsia="Times New Roman" w:hAnsi="Arial" w:cs="Arial"/>
          <w:kern w:val="0"/>
          <w:sz w:val="24"/>
          <w:szCs w:val="24"/>
          <w:lang w:eastAsia="en-GB"/>
          <w14:ligatures w14:val="none"/>
        </w:rPr>
        <w:t xml:space="preserve">Raisch, S. and Birkinshaw, J. (2008) ‘Organizational ambidexterity: Antecedents, outcomes, and moderators’, </w:t>
      </w:r>
      <w:r w:rsidRPr="00F140C8">
        <w:rPr>
          <w:rFonts w:ascii="Arial" w:eastAsia="Times New Roman" w:hAnsi="Arial" w:cs="Arial"/>
          <w:i/>
          <w:iCs/>
          <w:kern w:val="0"/>
          <w:sz w:val="24"/>
          <w:szCs w:val="24"/>
          <w:lang w:eastAsia="en-GB"/>
          <w14:ligatures w14:val="none"/>
        </w:rPr>
        <w:t>Journal of Management</w:t>
      </w:r>
      <w:r w:rsidRPr="00F140C8">
        <w:rPr>
          <w:rFonts w:ascii="Arial" w:eastAsia="Times New Roman" w:hAnsi="Arial" w:cs="Arial"/>
          <w:kern w:val="0"/>
          <w:sz w:val="24"/>
          <w:szCs w:val="24"/>
          <w:lang w:eastAsia="en-GB"/>
          <w14:ligatures w14:val="none"/>
        </w:rPr>
        <w:t>, 34(3), pp. 375–409.</w:t>
      </w:r>
    </w:p>
    <w:p w14:paraId="09923D39"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Sebastian, I.M., Ross, J.W., Beath, C.M., Mocker, M., Moloney, K.G. and Fonstad, N.O. (2017) ‘How big old companies navigate digital transformation’, </w:t>
      </w:r>
      <w:r w:rsidRPr="00F140C8">
        <w:rPr>
          <w:rFonts w:ascii="Arial" w:hAnsi="Arial" w:cs="Arial"/>
          <w:i/>
          <w:iCs/>
          <w:color w:val="000000" w:themeColor="text1"/>
          <w:sz w:val="24"/>
          <w:szCs w:val="24"/>
        </w:rPr>
        <w:t>MIS Quarterly Executive</w:t>
      </w:r>
      <w:r w:rsidRPr="00F140C8">
        <w:rPr>
          <w:rFonts w:ascii="Arial" w:hAnsi="Arial" w:cs="Arial"/>
          <w:color w:val="000000" w:themeColor="text1"/>
          <w:sz w:val="24"/>
          <w:szCs w:val="24"/>
        </w:rPr>
        <w:t>, 16(3), pp. 197–213.</w:t>
      </w:r>
    </w:p>
    <w:p w14:paraId="4A435EF1"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Svahn, F., Mathiassen, L. and Lindgren, R. (2019) ‘Embracing digital innovation in incumbent firms’, </w:t>
      </w:r>
      <w:r w:rsidRPr="00F140C8">
        <w:rPr>
          <w:rFonts w:ascii="Arial" w:hAnsi="Arial" w:cs="Arial"/>
          <w:i/>
          <w:iCs/>
          <w:color w:val="000000" w:themeColor="text1"/>
          <w:sz w:val="24"/>
          <w:szCs w:val="24"/>
        </w:rPr>
        <w:t>MIS Quarterly Executive</w:t>
      </w:r>
      <w:r w:rsidRPr="00F140C8">
        <w:rPr>
          <w:rFonts w:ascii="Arial" w:hAnsi="Arial" w:cs="Arial"/>
          <w:color w:val="000000" w:themeColor="text1"/>
          <w:sz w:val="24"/>
          <w:szCs w:val="24"/>
        </w:rPr>
        <w:t>, 18(4), pp. 239–254.</w:t>
      </w:r>
    </w:p>
    <w:p w14:paraId="159E15FA"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Tarafdar, M., Cooper, C.L. and Stich, J.F. (2019) ‘The technostress trifecta’, </w:t>
      </w:r>
      <w:r w:rsidRPr="00F140C8">
        <w:rPr>
          <w:rFonts w:ascii="Arial" w:hAnsi="Arial" w:cs="Arial"/>
          <w:i/>
          <w:iCs/>
          <w:color w:val="000000" w:themeColor="text1"/>
          <w:sz w:val="24"/>
          <w:szCs w:val="24"/>
        </w:rPr>
        <w:t>Information Systems Journal</w:t>
      </w:r>
      <w:r w:rsidRPr="00F140C8">
        <w:rPr>
          <w:rFonts w:ascii="Arial" w:hAnsi="Arial" w:cs="Arial"/>
          <w:color w:val="000000" w:themeColor="text1"/>
          <w:sz w:val="24"/>
          <w:szCs w:val="24"/>
        </w:rPr>
        <w:t>, 29(1), pp. 6–42.</w:t>
      </w:r>
    </w:p>
    <w:p w14:paraId="6CBDC3CD"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Teece, D.J. (2007) ‘Explicating dynamic capabilities: The nature and microfoundations of (sustainable) enterprise performance’, </w:t>
      </w:r>
      <w:r w:rsidRPr="00F140C8">
        <w:rPr>
          <w:rFonts w:ascii="Arial" w:hAnsi="Arial" w:cs="Arial"/>
          <w:i/>
          <w:iCs/>
          <w:color w:val="000000" w:themeColor="text1"/>
          <w:sz w:val="24"/>
          <w:szCs w:val="24"/>
        </w:rPr>
        <w:t>Strategic Management Journal</w:t>
      </w:r>
      <w:r w:rsidRPr="00F140C8">
        <w:rPr>
          <w:rFonts w:ascii="Arial" w:hAnsi="Arial" w:cs="Arial"/>
          <w:color w:val="000000" w:themeColor="text1"/>
          <w:sz w:val="24"/>
          <w:szCs w:val="24"/>
        </w:rPr>
        <w:t>, 28(13), pp. 1319–1350.</w:t>
      </w:r>
    </w:p>
    <w:p w14:paraId="470D8137"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Teece, D.J. (2018) ‘Business models and dynamic capabilities’, </w:t>
      </w:r>
      <w:r w:rsidRPr="00F140C8">
        <w:rPr>
          <w:rFonts w:ascii="Arial" w:hAnsi="Arial" w:cs="Arial"/>
          <w:i/>
          <w:iCs/>
          <w:color w:val="000000" w:themeColor="text1"/>
          <w:sz w:val="24"/>
          <w:szCs w:val="24"/>
        </w:rPr>
        <w:t>Long Range Planning</w:t>
      </w:r>
      <w:r w:rsidRPr="00F140C8">
        <w:rPr>
          <w:rFonts w:ascii="Arial" w:hAnsi="Arial" w:cs="Arial"/>
          <w:color w:val="000000" w:themeColor="text1"/>
          <w:sz w:val="24"/>
          <w:szCs w:val="24"/>
        </w:rPr>
        <w:t>, 51(1), pp. 40–49.</w:t>
      </w:r>
    </w:p>
    <w:p w14:paraId="6C22EAA0"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Tourish, D. (2013) </w:t>
      </w:r>
      <w:r w:rsidRPr="00F140C8">
        <w:rPr>
          <w:rFonts w:ascii="Arial" w:hAnsi="Arial" w:cs="Arial"/>
          <w:i/>
          <w:iCs/>
          <w:color w:val="000000" w:themeColor="text1"/>
          <w:sz w:val="24"/>
          <w:szCs w:val="24"/>
        </w:rPr>
        <w:t>The Dark Side of Transformational Leadership</w:t>
      </w:r>
      <w:r w:rsidRPr="00F140C8">
        <w:rPr>
          <w:rFonts w:ascii="Arial" w:hAnsi="Arial" w:cs="Arial"/>
          <w:color w:val="000000" w:themeColor="text1"/>
          <w:sz w:val="24"/>
          <w:szCs w:val="24"/>
        </w:rPr>
        <w:t>. London: Routledge.</w:t>
      </w:r>
    </w:p>
    <w:p w14:paraId="43202220" w14:textId="3813F1E1" w:rsidR="00F140C8" w:rsidRPr="00F140C8" w:rsidRDefault="00F140C8" w:rsidP="00F140C8">
      <w:pPr>
        <w:ind w:left="360"/>
        <w:rPr>
          <w:rFonts w:ascii="Arial" w:hAnsi="Arial" w:cs="Arial"/>
          <w:color w:val="000000" w:themeColor="text1"/>
          <w:sz w:val="24"/>
          <w:szCs w:val="24"/>
        </w:rPr>
      </w:pPr>
      <w:r w:rsidRPr="00F140C8">
        <w:rPr>
          <w:rFonts w:ascii="Arial" w:hAnsi="Arial" w:cs="Arial"/>
          <w:sz w:val="24"/>
          <w:szCs w:val="24"/>
        </w:rPr>
        <w:lastRenderedPageBreak/>
        <w:t>Uhl-Bien, M., Marion, R. and McKelvey, B. (2007)</w:t>
      </w:r>
      <w:r w:rsidRPr="00F140C8">
        <w:rPr>
          <w:rFonts w:ascii="Arial" w:hAnsi="Arial" w:cs="Arial"/>
          <w:sz w:val="24"/>
          <w:szCs w:val="24"/>
        </w:rPr>
        <w:br/>
        <w:t xml:space="preserve">‘Complexity leadership theory: Shifting leadership from the industrial age to the knowledge era’, </w:t>
      </w:r>
      <w:r w:rsidRPr="00F140C8">
        <w:rPr>
          <w:rStyle w:val="Emphasis"/>
          <w:rFonts w:ascii="Arial" w:hAnsi="Arial" w:cs="Arial"/>
          <w:sz w:val="24"/>
          <w:szCs w:val="24"/>
        </w:rPr>
        <w:t>The Leadership Quarterly</w:t>
      </w:r>
      <w:r w:rsidRPr="00F140C8">
        <w:rPr>
          <w:rFonts w:ascii="Arial" w:hAnsi="Arial" w:cs="Arial"/>
          <w:sz w:val="24"/>
          <w:szCs w:val="24"/>
        </w:rPr>
        <w:t>, 18(4), pp. 298–318.</w:t>
      </w:r>
    </w:p>
    <w:p w14:paraId="128FFF8D"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UK Government (2023) </w:t>
      </w:r>
      <w:r w:rsidRPr="00F140C8">
        <w:rPr>
          <w:rFonts w:ascii="Arial" w:hAnsi="Arial" w:cs="Arial"/>
          <w:i/>
          <w:iCs/>
          <w:color w:val="000000" w:themeColor="text1"/>
          <w:sz w:val="24"/>
          <w:szCs w:val="24"/>
        </w:rPr>
        <w:t>Competition and Consumer Policy Developments</w:t>
      </w:r>
      <w:r w:rsidRPr="00F140C8">
        <w:rPr>
          <w:rFonts w:ascii="Arial" w:hAnsi="Arial" w:cs="Arial"/>
          <w:color w:val="000000" w:themeColor="text1"/>
          <w:sz w:val="24"/>
          <w:szCs w:val="24"/>
        </w:rPr>
        <w:t>. London: GOV.UK.</w:t>
      </w:r>
    </w:p>
    <w:p w14:paraId="394B8EC7"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Verhoef, P.C., Broekhuizen, T., Bart, Y., Bhattacharya, A., Dong, J.Q., Fabian, N. and Haenlein, M. (2021) ‘Digital transformation: A multidisciplinary reflection and research agenda’, </w:t>
      </w:r>
      <w:r w:rsidRPr="00F140C8">
        <w:rPr>
          <w:rFonts w:ascii="Arial" w:hAnsi="Arial" w:cs="Arial"/>
          <w:i/>
          <w:iCs/>
          <w:color w:val="000000" w:themeColor="text1"/>
          <w:sz w:val="24"/>
          <w:szCs w:val="24"/>
        </w:rPr>
        <w:t>Journal of Business Research</w:t>
      </w:r>
      <w:r w:rsidRPr="00F140C8">
        <w:rPr>
          <w:rFonts w:ascii="Arial" w:hAnsi="Arial" w:cs="Arial"/>
          <w:color w:val="000000" w:themeColor="text1"/>
          <w:sz w:val="24"/>
          <w:szCs w:val="24"/>
        </w:rPr>
        <w:t>, 122, pp. 889–901.</w:t>
      </w:r>
    </w:p>
    <w:p w14:paraId="22B137DE"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Vial, G. (2019) ‘Understanding digital transformation’, </w:t>
      </w:r>
      <w:r w:rsidRPr="00F140C8">
        <w:rPr>
          <w:rFonts w:ascii="Arial" w:hAnsi="Arial" w:cs="Arial"/>
          <w:i/>
          <w:iCs/>
          <w:color w:val="000000" w:themeColor="text1"/>
          <w:sz w:val="24"/>
          <w:szCs w:val="24"/>
        </w:rPr>
        <w:t>MIS Quarterly</w:t>
      </w:r>
      <w:r w:rsidRPr="00F140C8">
        <w:rPr>
          <w:rFonts w:ascii="Arial" w:hAnsi="Arial" w:cs="Arial"/>
          <w:color w:val="000000" w:themeColor="text1"/>
          <w:sz w:val="24"/>
          <w:szCs w:val="24"/>
        </w:rPr>
        <w:t>, 43(1), pp. 118–144.</w:t>
      </w:r>
    </w:p>
    <w:p w14:paraId="03B915BF"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Warner, K.S.R. and Wäger, M. (2019) ‘Building dynamic capabilities for digital transformation’, </w:t>
      </w:r>
      <w:r w:rsidRPr="00F140C8">
        <w:rPr>
          <w:rFonts w:ascii="Arial" w:hAnsi="Arial" w:cs="Arial"/>
          <w:i/>
          <w:iCs/>
          <w:color w:val="000000" w:themeColor="text1"/>
          <w:sz w:val="24"/>
          <w:szCs w:val="24"/>
        </w:rPr>
        <w:t>Long Range Planning</w:t>
      </w:r>
      <w:r w:rsidRPr="00F140C8">
        <w:rPr>
          <w:rFonts w:ascii="Arial" w:hAnsi="Arial" w:cs="Arial"/>
          <w:color w:val="000000" w:themeColor="text1"/>
          <w:sz w:val="24"/>
          <w:szCs w:val="24"/>
        </w:rPr>
        <w:t>, 52(3), pp. 326–349.</w:t>
      </w:r>
    </w:p>
    <w:p w14:paraId="6E83E88C"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World Economic Forum (2024) </w:t>
      </w:r>
      <w:r w:rsidRPr="00F140C8">
        <w:rPr>
          <w:rFonts w:ascii="Arial" w:hAnsi="Arial" w:cs="Arial"/>
          <w:i/>
          <w:iCs/>
          <w:color w:val="000000" w:themeColor="text1"/>
          <w:sz w:val="24"/>
          <w:szCs w:val="24"/>
        </w:rPr>
        <w:t>Global Risks Report 2024</w:t>
      </w:r>
      <w:r w:rsidRPr="00F140C8">
        <w:rPr>
          <w:rFonts w:ascii="Arial" w:hAnsi="Arial" w:cs="Arial"/>
          <w:color w:val="000000" w:themeColor="text1"/>
          <w:sz w:val="24"/>
          <w:szCs w:val="24"/>
        </w:rPr>
        <w:t>. Geneva: World Economic Forum.</w:t>
      </w:r>
    </w:p>
    <w:p w14:paraId="557D2A7C" w14:textId="77777777" w:rsidR="00560DD6" w:rsidRPr="00F140C8" w:rsidRDefault="00560DD6" w:rsidP="00F140C8">
      <w:pPr>
        <w:ind w:left="360"/>
        <w:rPr>
          <w:rFonts w:ascii="Arial" w:hAnsi="Arial" w:cs="Arial"/>
          <w:color w:val="000000" w:themeColor="text1"/>
          <w:sz w:val="24"/>
          <w:szCs w:val="24"/>
        </w:rPr>
      </w:pPr>
      <w:r w:rsidRPr="00F140C8">
        <w:rPr>
          <w:rFonts w:ascii="Arial" w:hAnsi="Arial" w:cs="Arial"/>
          <w:color w:val="000000" w:themeColor="text1"/>
          <w:sz w:val="24"/>
          <w:szCs w:val="24"/>
        </w:rPr>
        <w:t xml:space="preserve">Yukl, G. (2013) </w:t>
      </w:r>
      <w:r w:rsidRPr="00F140C8">
        <w:rPr>
          <w:rFonts w:ascii="Arial" w:hAnsi="Arial" w:cs="Arial"/>
          <w:i/>
          <w:iCs/>
          <w:color w:val="000000" w:themeColor="text1"/>
          <w:sz w:val="24"/>
          <w:szCs w:val="24"/>
        </w:rPr>
        <w:t>Leadership in Organisations</w:t>
      </w:r>
      <w:r w:rsidRPr="00F140C8">
        <w:rPr>
          <w:rFonts w:ascii="Arial" w:hAnsi="Arial" w:cs="Arial"/>
          <w:color w:val="000000" w:themeColor="text1"/>
          <w:sz w:val="24"/>
          <w:szCs w:val="24"/>
        </w:rPr>
        <w:t>. 8th edn. Boston: Pearson.</w:t>
      </w:r>
    </w:p>
    <w:p w14:paraId="42B8A556" w14:textId="77777777" w:rsidR="00AE10C6" w:rsidRPr="00BE6515" w:rsidRDefault="00AE10C6" w:rsidP="00AE10C6">
      <w:pPr>
        <w:rPr>
          <w:rFonts w:ascii="Arial" w:hAnsi="Arial" w:cs="Arial"/>
          <w:color w:val="000000" w:themeColor="text1"/>
        </w:rPr>
      </w:pPr>
    </w:p>
    <w:p w14:paraId="11152C55" w14:textId="77777777" w:rsidR="00D939CC" w:rsidRPr="00BE6515" w:rsidRDefault="00D939CC">
      <w:pPr>
        <w:rPr>
          <w:rFonts w:ascii="Arial" w:eastAsiaTheme="majorEastAsia" w:hAnsi="Arial" w:cs="Arial"/>
          <w:color w:val="000000" w:themeColor="text1"/>
          <w:sz w:val="40"/>
          <w:szCs w:val="40"/>
          <w:lang w:val="en-US"/>
        </w:rPr>
      </w:pPr>
      <w:r w:rsidRPr="00BE6515">
        <w:rPr>
          <w:rFonts w:ascii="Arial" w:hAnsi="Arial" w:cs="Arial"/>
          <w:color w:val="000000" w:themeColor="text1"/>
          <w:lang w:val="en-US"/>
        </w:rPr>
        <w:br w:type="page"/>
      </w:r>
    </w:p>
    <w:p w14:paraId="70A1292C" w14:textId="766DC129" w:rsidR="00136BF3" w:rsidRDefault="00136BF3" w:rsidP="00136BF3">
      <w:pPr>
        <w:pStyle w:val="Heading1"/>
        <w:rPr>
          <w:rFonts w:ascii="Arial" w:hAnsi="Arial" w:cs="Arial"/>
          <w:color w:val="000000" w:themeColor="text1"/>
          <w:lang w:val="en-US"/>
        </w:rPr>
      </w:pPr>
      <w:bookmarkStart w:id="26" w:name="_Toc229296525"/>
      <w:r w:rsidRPr="00BE6515">
        <w:rPr>
          <w:rFonts w:ascii="Arial" w:hAnsi="Arial" w:cs="Arial"/>
          <w:color w:val="000000" w:themeColor="text1"/>
          <w:lang w:val="en-US"/>
        </w:rPr>
        <w:lastRenderedPageBreak/>
        <w:t>Apendices</w:t>
      </w:r>
      <w:bookmarkEnd w:id="26"/>
    </w:p>
    <w:p w14:paraId="3579518B" w14:textId="77777777" w:rsidR="0038708F" w:rsidRPr="0038708F" w:rsidRDefault="0038708F" w:rsidP="0038708F">
      <w:pPr>
        <w:rPr>
          <w:lang w:val="en-US"/>
        </w:rPr>
      </w:pPr>
    </w:p>
    <w:p w14:paraId="3F5E3F19" w14:textId="77777777" w:rsidR="0038708F" w:rsidRPr="0038708F" w:rsidRDefault="0038708F" w:rsidP="0038708F">
      <w:pPr>
        <w:rPr>
          <w:rFonts w:ascii="Arial" w:hAnsi="Arial" w:cs="Arial"/>
          <w:color w:val="000000" w:themeColor="text1"/>
        </w:rPr>
      </w:pPr>
    </w:p>
    <w:p w14:paraId="1DA76EBC" w14:textId="55FAF934" w:rsidR="0038708F" w:rsidRPr="0038708F" w:rsidRDefault="0038708F" w:rsidP="0038708F">
      <w:pPr>
        <w:rPr>
          <w:rFonts w:ascii="Arial" w:hAnsi="Arial" w:cs="Arial"/>
          <w:b/>
          <w:bCs/>
          <w:color w:val="000000" w:themeColor="text1"/>
        </w:rPr>
      </w:pPr>
      <w:r w:rsidRPr="0038708F">
        <w:rPr>
          <w:rFonts w:ascii="Arial" w:hAnsi="Arial" w:cs="Arial"/>
          <w:color w:val="000000" w:themeColor="text1"/>
        </w:rPr>
        <w:t>Fig</w:t>
      </w:r>
      <w:r>
        <w:rPr>
          <w:rFonts w:ascii="Arial" w:hAnsi="Arial" w:cs="Arial"/>
          <w:color w:val="000000" w:themeColor="text1"/>
        </w:rPr>
        <w:t>ure</w:t>
      </w:r>
      <w:r w:rsidRPr="0038708F">
        <w:rPr>
          <w:rFonts w:ascii="Arial" w:hAnsi="Arial" w:cs="Arial"/>
          <w:color w:val="000000" w:themeColor="text1"/>
        </w:rPr>
        <w:t xml:space="preserve"> 1</w:t>
      </w:r>
      <w:r w:rsidR="004F0C7C">
        <w:rPr>
          <w:rFonts w:ascii="Arial" w:hAnsi="Arial" w:cs="Arial"/>
          <w:color w:val="000000" w:themeColor="text1"/>
        </w:rPr>
        <w:t>:</w:t>
      </w:r>
      <w:r w:rsidRPr="0038708F">
        <w:rPr>
          <w:rFonts w:ascii="Arial" w:hAnsi="Arial" w:cs="Arial"/>
          <w:color w:val="000000" w:themeColor="text1"/>
        </w:rPr>
        <w:t xml:space="preserve"> PESTLE Analysis -J Sainsbury plc</w:t>
      </w:r>
    </w:p>
    <w:p w14:paraId="2833E96C" w14:textId="3098CB09" w:rsidR="00136BF3" w:rsidRPr="00BE6515" w:rsidRDefault="00136BF3" w:rsidP="00136BF3">
      <w:pPr>
        <w:rPr>
          <w:rFonts w:ascii="Arial" w:hAnsi="Arial" w:cs="Arial"/>
          <w:color w:val="000000" w:themeColor="text1"/>
          <w:lang w:val="en-US"/>
        </w:rPr>
      </w:pPr>
    </w:p>
    <w:tbl>
      <w:tblPr>
        <w:tblStyle w:val="TableGrid"/>
        <w:tblpPr w:leftFromText="180" w:rightFromText="180" w:vertAnchor="text" w:horzAnchor="page" w:tblpX="1950" w:tblpY="-3"/>
        <w:tblW w:w="0" w:type="auto"/>
        <w:tblLook w:val="04A0" w:firstRow="1" w:lastRow="0" w:firstColumn="1" w:lastColumn="0" w:noHBand="0" w:noVBand="1"/>
      </w:tblPr>
      <w:tblGrid>
        <w:gridCol w:w="3116"/>
        <w:gridCol w:w="3117"/>
        <w:gridCol w:w="3117"/>
      </w:tblGrid>
      <w:tr w:rsidR="0038708F" w:rsidRPr="0038708F" w14:paraId="2DFB3B3B" w14:textId="77777777" w:rsidTr="00517583">
        <w:tc>
          <w:tcPr>
            <w:tcW w:w="3116" w:type="dxa"/>
          </w:tcPr>
          <w:p w14:paraId="550A16C1"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Factor</w:t>
            </w:r>
          </w:p>
        </w:tc>
        <w:tc>
          <w:tcPr>
            <w:tcW w:w="3117" w:type="dxa"/>
          </w:tcPr>
          <w:p w14:paraId="7F17C586"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Key Issues</w:t>
            </w:r>
          </w:p>
        </w:tc>
        <w:tc>
          <w:tcPr>
            <w:tcW w:w="3117" w:type="dxa"/>
          </w:tcPr>
          <w:p w14:paraId="4E019699"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Strategic Implications for Sainsbury</w:t>
            </w:r>
          </w:p>
        </w:tc>
      </w:tr>
      <w:tr w:rsidR="0038708F" w:rsidRPr="0038708F" w14:paraId="417405B0" w14:textId="77777777" w:rsidTr="00517583">
        <w:tc>
          <w:tcPr>
            <w:tcW w:w="3116" w:type="dxa"/>
          </w:tcPr>
          <w:p w14:paraId="1A1C237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 xml:space="preserve">Political </w:t>
            </w:r>
          </w:p>
        </w:tc>
        <w:tc>
          <w:tcPr>
            <w:tcW w:w="3117" w:type="dxa"/>
          </w:tcPr>
          <w:p w14:paraId="448A898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Data protection (GDPR), competition regulation, sustainability standards, supply chain transparency</w:t>
            </w:r>
          </w:p>
        </w:tc>
        <w:tc>
          <w:tcPr>
            <w:tcW w:w="3117" w:type="dxa"/>
          </w:tcPr>
          <w:p w14:paraId="11CB5B23"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Increases compliance costs; constrains digital data exploitation; requires investment in governance systems</w:t>
            </w:r>
          </w:p>
        </w:tc>
      </w:tr>
      <w:tr w:rsidR="0038708F" w:rsidRPr="0038708F" w14:paraId="20D678D8" w14:textId="77777777" w:rsidTr="00517583">
        <w:tc>
          <w:tcPr>
            <w:tcW w:w="3116" w:type="dxa"/>
          </w:tcPr>
          <w:p w14:paraId="1B0AFEB7"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Economic</w:t>
            </w:r>
          </w:p>
        </w:tc>
        <w:tc>
          <w:tcPr>
            <w:tcW w:w="3117" w:type="dxa"/>
          </w:tcPr>
          <w:p w14:paraId="0FDA7AC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Inflationary pressures, energy and logistics costs, and price sensitivity</w:t>
            </w:r>
          </w:p>
        </w:tc>
        <w:tc>
          <w:tcPr>
            <w:tcW w:w="3117" w:type="dxa"/>
          </w:tcPr>
          <w:p w14:paraId="4BA555B9"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Margin compression; need for operational efficiency and cost optimisation via digital tools</w:t>
            </w:r>
          </w:p>
        </w:tc>
      </w:tr>
      <w:tr w:rsidR="0038708F" w:rsidRPr="0038708F" w14:paraId="07CFB81D" w14:textId="77777777" w:rsidTr="00517583">
        <w:tc>
          <w:tcPr>
            <w:tcW w:w="3116" w:type="dxa"/>
          </w:tcPr>
          <w:p w14:paraId="5EE6B9C1"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Social</w:t>
            </w:r>
          </w:p>
        </w:tc>
        <w:tc>
          <w:tcPr>
            <w:tcW w:w="3117" w:type="dxa"/>
          </w:tcPr>
          <w:p w14:paraId="5470FF4C"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Shift toward convenience, omnichannel expectations, personalised experiences.</w:t>
            </w:r>
          </w:p>
        </w:tc>
        <w:tc>
          <w:tcPr>
            <w:tcW w:w="3117" w:type="dxa"/>
          </w:tcPr>
          <w:p w14:paraId="0DFEECD1"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Necessitates integrated digital platforms and data analytics capability</w:t>
            </w:r>
          </w:p>
        </w:tc>
      </w:tr>
      <w:tr w:rsidR="0038708F" w:rsidRPr="0038708F" w14:paraId="6A395308" w14:textId="77777777" w:rsidTr="00517583">
        <w:tc>
          <w:tcPr>
            <w:tcW w:w="3116" w:type="dxa"/>
          </w:tcPr>
          <w:p w14:paraId="46D6EE20"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Technological</w:t>
            </w:r>
          </w:p>
        </w:tc>
        <w:tc>
          <w:tcPr>
            <w:tcW w:w="3117" w:type="dxa"/>
          </w:tcPr>
          <w:p w14:paraId="3E7A274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AI, automation, data analytics, cybersecurity risks</w:t>
            </w:r>
          </w:p>
        </w:tc>
        <w:tc>
          <w:tcPr>
            <w:tcW w:w="3117" w:type="dxa"/>
          </w:tcPr>
          <w:p w14:paraId="6F42A177"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Enables efficiency and differentiation; increases complexity and exposure to digital risk</w:t>
            </w:r>
          </w:p>
        </w:tc>
      </w:tr>
      <w:tr w:rsidR="0038708F" w:rsidRPr="0038708F" w14:paraId="0EFE4F7A" w14:textId="77777777" w:rsidTr="00517583">
        <w:tc>
          <w:tcPr>
            <w:tcW w:w="3116" w:type="dxa"/>
          </w:tcPr>
          <w:p w14:paraId="34333D0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 xml:space="preserve">Legal </w:t>
            </w:r>
          </w:p>
        </w:tc>
        <w:tc>
          <w:tcPr>
            <w:tcW w:w="3117" w:type="dxa"/>
          </w:tcPr>
          <w:p w14:paraId="2CB9680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Consumer protection, digital compliance obligations</w:t>
            </w:r>
          </w:p>
        </w:tc>
        <w:tc>
          <w:tcPr>
            <w:tcW w:w="3117" w:type="dxa"/>
          </w:tcPr>
          <w:p w14:paraId="5FD87B47"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Limits flexibility in pricing and data usage strategies</w:t>
            </w:r>
          </w:p>
        </w:tc>
      </w:tr>
    </w:tbl>
    <w:p w14:paraId="1049EDBD" w14:textId="77777777" w:rsidR="00CA006A" w:rsidRDefault="00CA006A">
      <w:pPr>
        <w:rPr>
          <w:rFonts w:ascii="Arial" w:hAnsi="Arial" w:cs="Arial"/>
          <w:color w:val="000000" w:themeColor="text1"/>
          <w:sz w:val="24"/>
          <w:szCs w:val="24"/>
        </w:rPr>
      </w:pPr>
    </w:p>
    <w:p w14:paraId="68D26FCF" w14:textId="77777777" w:rsidR="0038708F" w:rsidRDefault="0038708F">
      <w:pPr>
        <w:rPr>
          <w:rFonts w:ascii="Arial" w:hAnsi="Arial" w:cs="Arial"/>
          <w:color w:val="000000" w:themeColor="text1"/>
          <w:sz w:val="24"/>
          <w:szCs w:val="24"/>
        </w:rPr>
      </w:pPr>
    </w:p>
    <w:p w14:paraId="7A639759" w14:textId="77777777" w:rsidR="0038708F" w:rsidRDefault="0038708F">
      <w:pPr>
        <w:rPr>
          <w:rFonts w:ascii="Arial" w:hAnsi="Arial" w:cs="Arial"/>
          <w:color w:val="000000" w:themeColor="text1"/>
          <w:sz w:val="24"/>
          <w:szCs w:val="24"/>
        </w:rPr>
      </w:pPr>
    </w:p>
    <w:p w14:paraId="24DB1E3E" w14:textId="77777777" w:rsidR="0038708F" w:rsidRDefault="0038708F">
      <w:pPr>
        <w:rPr>
          <w:rFonts w:ascii="Arial" w:hAnsi="Arial" w:cs="Arial"/>
          <w:color w:val="000000" w:themeColor="text1"/>
          <w:sz w:val="24"/>
          <w:szCs w:val="24"/>
        </w:rPr>
      </w:pPr>
    </w:p>
    <w:p w14:paraId="4EA0B225" w14:textId="77777777" w:rsidR="0038708F" w:rsidRDefault="0038708F">
      <w:pPr>
        <w:rPr>
          <w:rFonts w:ascii="Arial" w:hAnsi="Arial" w:cs="Arial"/>
          <w:color w:val="000000" w:themeColor="text1"/>
          <w:sz w:val="24"/>
          <w:szCs w:val="24"/>
        </w:rPr>
      </w:pPr>
    </w:p>
    <w:p w14:paraId="6FEE8024" w14:textId="77777777" w:rsidR="0038708F" w:rsidRPr="0038708F" w:rsidRDefault="0038708F" w:rsidP="0038708F">
      <w:pPr>
        <w:rPr>
          <w:rFonts w:ascii="Arial" w:hAnsi="Arial" w:cs="Arial"/>
          <w:color w:val="000000" w:themeColor="text1"/>
          <w:sz w:val="24"/>
          <w:szCs w:val="24"/>
        </w:rPr>
      </w:pPr>
    </w:p>
    <w:p w14:paraId="2BB6EA61" w14:textId="17590C69" w:rsidR="0038708F" w:rsidRPr="0038708F" w:rsidRDefault="0038708F" w:rsidP="0038708F">
      <w:pPr>
        <w:rPr>
          <w:rFonts w:ascii="Arial" w:hAnsi="Arial" w:cs="Arial"/>
          <w:color w:val="000000" w:themeColor="text1"/>
          <w:sz w:val="24"/>
          <w:szCs w:val="24"/>
        </w:rPr>
      </w:pPr>
      <w:r w:rsidRPr="0038708F">
        <w:rPr>
          <w:rFonts w:ascii="Arial" w:hAnsi="Arial" w:cs="Arial"/>
          <w:color w:val="000000" w:themeColor="text1"/>
          <w:sz w:val="24"/>
          <w:szCs w:val="24"/>
        </w:rPr>
        <w:t>Figure 2</w:t>
      </w:r>
      <w:r w:rsidR="004F0C7C">
        <w:rPr>
          <w:rFonts w:ascii="Arial" w:hAnsi="Arial" w:cs="Arial"/>
          <w:color w:val="000000" w:themeColor="text1"/>
          <w:sz w:val="24"/>
          <w:szCs w:val="24"/>
        </w:rPr>
        <w:t xml:space="preserve">: </w:t>
      </w:r>
      <w:r w:rsidRPr="0038708F">
        <w:rPr>
          <w:rFonts w:ascii="Arial" w:hAnsi="Arial" w:cs="Arial"/>
          <w:color w:val="000000" w:themeColor="text1"/>
          <w:sz w:val="24"/>
          <w:szCs w:val="24"/>
        </w:rPr>
        <w:t>Porter's Five Forces – UK Grocery Retail Sector</w:t>
      </w:r>
    </w:p>
    <w:tbl>
      <w:tblPr>
        <w:tblStyle w:val="TableGrid"/>
        <w:tblW w:w="0" w:type="auto"/>
        <w:tblLook w:val="04A0" w:firstRow="1" w:lastRow="0" w:firstColumn="1" w:lastColumn="0" w:noHBand="0" w:noVBand="1"/>
      </w:tblPr>
      <w:tblGrid>
        <w:gridCol w:w="3116"/>
        <w:gridCol w:w="3117"/>
        <w:gridCol w:w="3117"/>
      </w:tblGrid>
      <w:tr w:rsidR="0038708F" w:rsidRPr="0038708F" w14:paraId="33B0FFCE" w14:textId="77777777" w:rsidTr="00517583">
        <w:tc>
          <w:tcPr>
            <w:tcW w:w="3116" w:type="dxa"/>
          </w:tcPr>
          <w:p w14:paraId="205D2F1E"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Force</w:t>
            </w:r>
          </w:p>
          <w:p w14:paraId="31E548D2" w14:textId="77777777" w:rsidR="0038708F" w:rsidRPr="0038708F" w:rsidRDefault="0038708F" w:rsidP="0038708F">
            <w:pPr>
              <w:spacing w:after="200" w:line="276" w:lineRule="auto"/>
              <w:rPr>
                <w:rFonts w:ascii="Arial" w:hAnsi="Arial" w:cs="Arial"/>
                <w:b/>
                <w:bCs/>
                <w:color w:val="000000" w:themeColor="text1"/>
                <w:sz w:val="24"/>
                <w:szCs w:val="24"/>
              </w:rPr>
            </w:pPr>
          </w:p>
        </w:tc>
        <w:tc>
          <w:tcPr>
            <w:tcW w:w="3117" w:type="dxa"/>
          </w:tcPr>
          <w:p w14:paraId="44277F99"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Industry Condition</w:t>
            </w:r>
          </w:p>
        </w:tc>
        <w:tc>
          <w:tcPr>
            <w:tcW w:w="3117" w:type="dxa"/>
          </w:tcPr>
          <w:p w14:paraId="3A56EC38"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Implications for Sainsbury</w:t>
            </w:r>
          </w:p>
        </w:tc>
      </w:tr>
      <w:tr w:rsidR="0038708F" w:rsidRPr="0038708F" w14:paraId="3EF890D2" w14:textId="77777777" w:rsidTr="00517583">
        <w:tc>
          <w:tcPr>
            <w:tcW w:w="3116" w:type="dxa"/>
          </w:tcPr>
          <w:p w14:paraId="2852450C"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Rivalry Among Existing Competitors</w:t>
            </w:r>
          </w:p>
        </w:tc>
        <w:tc>
          <w:tcPr>
            <w:tcW w:w="3117" w:type="dxa"/>
          </w:tcPr>
          <w:p w14:paraId="772FB493" w14:textId="2CA26BDB"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High - intense price competition, strong discounters (Aldi, Lidl), Tesco dominance</w:t>
            </w:r>
            <w:r w:rsidR="004F0C7C">
              <w:rPr>
                <w:rFonts w:ascii="Arial" w:hAnsi="Arial" w:cs="Arial"/>
                <w:color w:val="000000" w:themeColor="text1"/>
                <w:sz w:val="24"/>
                <w:szCs w:val="24"/>
              </w:rPr>
              <w:t>.</w:t>
            </w:r>
          </w:p>
        </w:tc>
        <w:tc>
          <w:tcPr>
            <w:tcW w:w="3117" w:type="dxa"/>
          </w:tcPr>
          <w:p w14:paraId="7C2F55B9" w14:textId="6E106BAD"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Margin pressure; need for differentiation beyond price; operational efficiency critical</w:t>
            </w:r>
            <w:r w:rsidR="004F0C7C">
              <w:rPr>
                <w:rFonts w:ascii="Arial" w:hAnsi="Arial" w:cs="Arial"/>
                <w:color w:val="000000" w:themeColor="text1"/>
                <w:sz w:val="24"/>
                <w:szCs w:val="24"/>
              </w:rPr>
              <w:t>.</w:t>
            </w:r>
          </w:p>
        </w:tc>
      </w:tr>
      <w:tr w:rsidR="0038708F" w:rsidRPr="0038708F" w14:paraId="1BEB3E78" w14:textId="77777777" w:rsidTr="00517583">
        <w:tc>
          <w:tcPr>
            <w:tcW w:w="3116" w:type="dxa"/>
          </w:tcPr>
          <w:p w14:paraId="60D89071"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Threat of New Entrants</w:t>
            </w:r>
          </w:p>
        </w:tc>
        <w:tc>
          <w:tcPr>
            <w:tcW w:w="3117" w:type="dxa"/>
          </w:tcPr>
          <w:p w14:paraId="6F2A3C2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Moderate - digital platforms reduce entry barriers, but scale economies are still significant.</w:t>
            </w:r>
          </w:p>
        </w:tc>
        <w:tc>
          <w:tcPr>
            <w:tcW w:w="3117" w:type="dxa"/>
          </w:tcPr>
          <w:p w14:paraId="4253979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Online-only competitors can compete without physical infrastructure.</w:t>
            </w:r>
          </w:p>
        </w:tc>
      </w:tr>
      <w:tr w:rsidR="0038708F" w:rsidRPr="0038708F" w14:paraId="536B16A1" w14:textId="77777777" w:rsidTr="00517583">
        <w:tc>
          <w:tcPr>
            <w:tcW w:w="3116" w:type="dxa"/>
          </w:tcPr>
          <w:p w14:paraId="2AC8476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Bargaining Power of Buyers</w:t>
            </w:r>
          </w:p>
        </w:tc>
        <w:tc>
          <w:tcPr>
            <w:tcW w:w="3117" w:type="dxa"/>
          </w:tcPr>
          <w:p w14:paraId="60690586" w14:textId="3C65E8D8"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High - low switching costs, price transparency, and consumer price sensitivity</w:t>
            </w:r>
            <w:r w:rsidR="004F0C7C">
              <w:rPr>
                <w:rFonts w:ascii="Arial" w:hAnsi="Arial" w:cs="Arial"/>
                <w:color w:val="000000" w:themeColor="text1"/>
                <w:sz w:val="24"/>
                <w:szCs w:val="24"/>
              </w:rPr>
              <w:t>.</w:t>
            </w:r>
          </w:p>
        </w:tc>
        <w:tc>
          <w:tcPr>
            <w:tcW w:w="3117" w:type="dxa"/>
          </w:tcPr>
          <w:p w14:paraId="3805D938" w14:textId="1837312F"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Limits pricing flexibility; increases the importance of loyalty and personalisation</w:t>
            </w:r>
            <w:r w:rsidR="004F0C7C">
              <w:rPr>
                <w:rFonts w:ascii="Arial" w:hAnsi="Arial" w:cs="Arial"/>
                <w:color w:val="000000" w:themeColor="text1"/>
                <w:sz w:val="24"/>
                <w:szCs w:val="24"/>
              </w:rPr>
              <w:t>.</w:t>
            </w:r>
          </w:p>
        </w:tc>
      </w:tr>
      <w:tr w:rsidR="0038708F" w:rsidRPr="0038708F" w14:paraId="65BD9431" w14:textId="77777777" w:rsidTr="00517583">
        <w:tc>
          <w:tcPr>
            <w:tcW w:w="3116" w:type="dxa"/>
          </w:tcPr>
          <w:p w14:paraId="4E4FFDCC"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Bargaining Power of Suppliers</w:t>
            </w:r>
          </w:p>
        </w:tc>
        <w:tc>
          <w:tcPr>
            <w:tcW w:w="3117" w:type="dxa"/>
          </w:tcPr>
          <w:p w14:paraId="6DC856BF" w14:textId="4831DFDC"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Moderate - dependence on global supply chains; large retailers hold negotiation leverage</w:t>
            </w:r>
            <w:r w:rsidR="004F0C7C">
              <w:rPr>
                <w:rFonts w:ascii="Arial" w:hAnsi="Arial" w:cs="Arial"/>
                <w:color w:val="000000" w:themeColor="text1"/>
                <w:sz w:val="24"/>
                <w:szCs w:val="24"/>
              </w:rPr>
              <w:t>.</w:t>
            </w:r>
          </w:p>
        </w:tc>
        <w:tc>
          <w:tcPr>
            <w:tcW w:w="3117" w:type="dxa"/>
          </w:tcPr>
          <w:p w14:paraId="39B4BCD9" w14:textId="1866A421"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Supply chain risks; need for diversification and digital coordination</w:t>
            </w:r>
            <w:r w:rsidR="004F0C7C">
              <w:rPr>
                <w:rFonts w:ascii="Arial" w:hAnsi="Arial" w:cs="Arial"/>
                <w:color w:val="000000" w:themeColor="text1"/>
                <w:sz w:val="24"/>
                <w:szCs w:val="24"/>
              </w:rPr>
              <w:t>.</w:t>
            </w:r>
          </w:p>
        </w:tc>
      </w:tr>
      <w:tr w:rsidR="0038708F" w:rsidRPr="0038708F" w14:paraId="06DB766D" w14:textId="77777777" w:rsidTr="00517583">
        <w:tc>
          <w:tcPr>
            <w:tcW w:w="3116" w:type="dxa"/>
          </w:tcPr>
          <w:p w14:paraId="34EB00F4"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Threat of Substitutes</w:t>
            </w:r>
          </w:p>
        </w:tc>
        <w:tc>
          <w:tcPr>
            <w:tcW w:w="3117" w:type="dxa"/>
          </w:tcPr>
          <w:p w14:paraId="369072B9" w14:textId="5CC9E3B8"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Moderate - alternative retail models (delivery apps, convenience formats)</w:t>
            </w:r>
            <w:r w:rsidR="004F0C7C">
              <w:rPr>
                <w:rFonts w:ascii="Arial" w:hAnsi="Arial" w:cs="Arial"/>
                <w:color w:val="000000" w:themeColor="text1"/>
                <w:sz w:val="24"/>
                <w:szCs w:val="24"/>
              </w:rPr>
              <w:t>.</w:t>
            </w:r>
          </w:p>
        </w:tc>
        <w:tc>
          <w:tcPr>
            <w:tcW w:w="3117" w:type="dxa"/>
          </w:tcPr>
          <w:p w14:paraId="5E8DF421" w14:textId="34B3477A"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Necessitates omnichannel integration and service differentiation</w:t>
            </w:r>
            <w:r w:rsidR="004F0C7C">
              <w:rPr>
                <w:rFonts w:ascii="Arial" w:hAnsi="Arial" w:cs="Arial"/>
                <w:color w:val="000000" w:themeColor="text1"/>
                <w:sz w:val="24"/>
                <w:szCs w:val="24"/>
              </w:rPr>
              <w:t>.</w:t>
            </w:r>
          </w:p>
        </w:tc>
      </w:tr>
    </w:tbl>
    <w:p w14:paraId="5803FE37" w14:textId="4C6DA2BA" w:rsidR="0038708F" w:rsidRDefault="0038708F" w:rsidP="0038708F">
      <w:pPr>
        <w:rPr>
          <w:rFonts w:ascii="Arial" w:hAnsi="Arial" w:cs="Arial"/>
          <w:color w:val="000000" w:themeColor="text1"/>
          <w:sz w:val="24"/>
          <w:szCs w:val="24"/>
        </w:rPr>
      </w:pPr>
    </w:p>
    <w:p w14:paraId="39EAFBD9" w14:textId="77777777" w:rsidR="0038708F" w:rsidRDefault="0038708F" w:rsidP="0038708F">
      <w:pPr>
        <w:rPr>
          <w:rFonts w:ascii="Arial" w:hAnsi="Arial" w:cs="Arial"/>
          <w:color w:val="000000" w:themeColor="text1"/>
          <w:sz w:val="24"/>
          <w:szCs w:val="24"/>
        </w:rPr>
      </w:pPr>
    </w:p>
    <w:p w14:paraId="7191A393" w14:textId="77777777" w:rsidR="0038708F" w:rsidRDefault="0038708F" w:rsidP="0038708F">
      <w:pPr>
        <w:rPr>
          <w:rFonts w:ascii="Arial" w:hAnsi="Arial" w:cs="Arial"/>
          <w:color w:val="000000" w:themeColor="text1"/>
          <w:sz w:val="24"/>
          <w:szCs w:val="24"/>
        </w:rPr>
      </w:pPr>
    </w:p>
    <w:p w14:paraId="75EB4566" w14:textId="77777777" w:rsidR="0038708F" w:rsidRDefault="0038708F" w:rsidP="0038708F">
      <w:pPr>
        <w:rPr>
          <w:rFonts w:ascii="Arial" w:hAnsi="Arial" w:cs="Arial"/>
          <w:color w:val="000000" w:themeColor="text1"/>
          <w:sz w:val="24"/>
          <w:szCs w:val="24"/>
        </w:rPr>
      </w:pPr>
    </w:p>
    <w:p w14:paraId="662E9224" w14:textId="77777777" w:rsidR="0038708F" w:rsidRDefault="0038708F" w:rsidP="0038708F">
      <w:pPr>
        <w:rPr>
          <w:rFonts w:ascii="Arial" w:hAnsi="Arial" w:cs="Arial"/>
          <w:color w:val="000000" w:themeColor="text1"/>
          <w:sz w:val="24"/>
          <w:szCs w:val="24"/>
        </w:rPr>
      </w:pPr>
    </w:p>
    <w:p w14:paraId="32B23646" w14:textId="77777777" w:rsidR="0038708F" w:rsidRDefault="0038708F" w:rsidP="0038708F">
      <w:pPr>
        <w:rPr>
          <w:rFonts w:ascii="Arial" w:hAnsi="Arial" w:cs="Arial"/>
          <w:color w:val="000000" w:themeColor="text1"/>
          <w:sz w:val="24"/>
          <w:szCs w:val="24"/>
        </w:rPr>
      </w:pPr>
    </w:p>
    <w:p w14:paraId="51E03DFD" w14:textId="07ED7CCA" w:rsidR="0038708F" w:rsidRPr="0038708F" w:rsidRDefault="0038708F" w:rsidP="0038708F">
      <w:pPr>
        <w:rPr>
          <w:rFonts w:ascii="Arial" w:hAnsi="Arial" w:cs="Arial"/>
          <w:color w:val="000000" w:themeColor="text1"/>
          <w:sz w:val="24"/>
          <w:szCs w:val="24"/>
        </w:rPr>
      </w:pPr>
      <w:r w:rsidRPr="0038708F">
        <w:rPr>
          <w:rFonts w:ascii="Arial" w:hAnsi="Arial" w:cs="Arial"/>
          <w:color w:val="000000" w:themeColor="text1"/>
          <w:sz w:val="24"/>
          <w:szCs w:val="24"/>
        </w:rPr>
        <w:lastRenderedPageBreak/>
        <w:t>Figure 3</w:t>
      </w:r>
      <w:r w:rsidR="004F0C7C">
        <w:rPr>
          <w:rFonts w:ascii="Arial" w:hAnsi="Arial" w:cs="Arial"/>
          <w:color w:val="000000" w:themeColor="text1"/>
          <w:sz w:val="24"/>
          <w:szCs w:val="24"/>
        </w:rPr>
        <w:t>:</w:t>
      </w:r>
      <w:r w:rsidRPr="0038708F">
        <w:rPr>
          <w:rFonts w:ascii="Arial" w:hAnsi="Arial" w:cs="Arial"/>
          <w:color w:val="000000" w:themeColor="text1"/>
          <w:sz w:val="24"/>
          <w:szCs w:val="24"/>
        </w:rPr>
        <w:t xml:space="preserve"> VRIO Analysis </w:t>
      </w:r>
      <w:r w:rsidR="004F0C7C">
        <w:rPr>
          <w:rFonts w:ascii="Arial" w:hAnsi="Arial" w:cs="Arial"/>
          <w:color w:val="000000" w:themeColor="text1"/>
          <w:sz w:val="24"/>
          <w:szCs w:val="24"/>
        </w:rPr>
        <w:t xml:space="preserve">- </w:t>
      </w:r>
      <w:r w:rsidRPr="0038708F">
        <w:rPr>
          <w:rFonts w:ascii="Arial" w:hAnsi="Arial" w:cs="Arial"/>
          <w:color w:val="000000" w:themeColor="text1"/>
          <w:sz w:val="24"/>
          <w:szCs w:val="24"/>
        </w:rPr>
        <w:t>J Sainsbury plc</w:t>
      </w:r>
    </w:p>
    <w:tbl>
      <w:tblPr>
        <w:tblStyle w:val="TableGrid"/>
        <w:tblW w:w="0" w:type="auto"/>
        <w:tblLook w:val="04A0" w:firstRow="1" w:lastRow="0" w:firstColumn="1" w:lastColumn="0" w:noHBand="0" w:noVBand="1"/>
      </w:tblPr>
      <w:tblGrid>
        <w:gridCol w:w="1887"/>
        <w:gridCol w:w="1190"/>
        <w:gridCol w:w="1404"/>
        <w:gridCol w:w="1404"/>
        <w:gridCol w:w="1417"/>
        <w:gridCol w:w="2048"/>
      </w:tblGrid>
      <w:tr w:rsidR="0038708F" w:rsidRPr="0038708F" w14:paraId="25946E4D" w14:textId="77777777" w:rsidTr="0038708F">
        <w:tc>
          <w:tcPr>
            <w:tcW w:w="1887" w:type="dxa"/>
          </w:tcPr>
          <w:p w14:paraId="6A70CBC2"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Resource / Capability</w:t>
            </w:r>
          </w:p>
          <w:p w14:paraId="0445BA4E" w14:textId="77777777" w:rsidR="0038708F" w:rsidRPr="0038708F" w:rsidRDefault="0038708F" w:rsidP="0038708F">
            <w:pPr>
              <w:spacing w:after="200" w:line="276" w:lineRule="auto"/>
              <w:rPr>
                <w:rFonts w:ascii="Arial" w:hAnsi="Arial" w:cs="Arial"/>
                <w:b/>
                <w:bCs/>
                <w:color w:val="000000" w:themeColor="text1"/>
                <w:sz w:val="24"/>
                <w:szCs w:val="24"/>
              </w:rPr>
            </w:pPr>
          </w:p>
        </w:tc>
        <w:tc>
          <w:tcPr>
            <w:tcW w:w="1190" w:type="dxa"/>
          </w:tcPr>
          <w:p w14:paraId="0208FA3D"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Valuable</w:t>
            </w:r>
          </w:p>
        </w:tc>
        <w:tc>
          <w:tcPr>
            <w:tcW w:w="1404" w:type="dxa"/>
          </w:tcPr>
          <w:p w14:paraId="2D74969B"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Rare</w:t>
            </w:r>
          </w:p>
        </w:tc>
        <w:tc>
          <w:tcPr>
            <w:tcW w:w="1404" w:type="dxa"/>
          </w:tcPr>
          <w:p w14:paraId="6CC284BC"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Inimitable</w:t>
            </w:r>
          </w:p>
        </w:tc>
        <w:tc>
          <w:tcPr>
            <w:tcW w:w="1417" w:type="dxa"/>
          </w:tcPr>
          <w:p w14:paraId="7D6B1BA0"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Organised</w:t>
            </w:r>
          </w:p>
        </w:tc>
        <w:tc>
          <w:tcPr>
            <w:tcW w:w="2048" w:type="dxa"/>
          </w:tcPr>
          <w:p w14:paraId="110FC8BB"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Competitive Implication</w:t>
            </w:r>
          </w:p>
        </w:tc>
      </w:tr>
      <w:tr w:rsidR="0038708F" w:rsidRPr="0038708F" w14:paraId="1B7A2AB0" w14:textId="77777777" w:rsidTr="00517583">
        <w:tc>
          <w:tcPr>
            <w:tcW w:w="0" w:type="auto"/>
            <w:hideMark/>
          </w:tcPr>
          <w:p w14:paraId="4A583492"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National logistics network</w:t>
            </w:r>
          </w:p>
        </w:tc>
        <w:tc>
          <w:tcPr>
            <w:tcW w:w="0" w:type="auto"/>
            <w:hideMark/>
          </w:tcPr>
          <w:p w14:paraId="34E5B283"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6AFE0D8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No</w:t>
            </w:r>
          </w:p>
        </w:tc>
        <w:tc>
          <w:tcPr>
            <w:tcW w:w="0" w:type="auto"/>
            <w:hideMark/>
          </w:tcPr>
          <w:p w14:paraId="2F59C7E4"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No</w:t>
            </w:r>
          </w:p>
        </w:tc>
        <w:tc>
          <w:tcPr>
            <w:tcW w:w="0" w:type="auto"/>
            <w:hideMark/>
          </w:tcPr>
          <w:p w14:paraId="22563332"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5FF6D5E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Competitive parity</w:t>
            </w:r>
          </w:p>
        </w:tc>
      </w:tr>
      <w:tr w:rsidR="0038708F" w:rsidRPr="0038708F" w14:paraId="36E63E84" w14:textId="77777777" w:rsidTr="00517583">
        <w:tc>
          <w:tcPr>
            <w:tcW w:w="0" w:type="auto"/>
            <w:hideMark/>
          </w:tcPr>
          <w:p w14:paraId="38C454E4"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Brand reputation</w:t>
            </w:r>
          </w:p>
        </w:tc>
        <w:tc>
          <w:tcPr>
            <w:tcW w:w="0" w:type="auto"/>
            <w:hideMark/>
          </w:tcPr>
          <w:p w14:paraId="5EF97615"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2333F9D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Moderately</w:t>
            </w:r>
          </w:p>
        </w:tc>
        <w:tc>
          <w:tcPr>
            <w:tcW w:w="0" w:type="auto"/>
            <w:hideMark/>
          </w:tcPr>
          <w:p w14:paraId="1C058541"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Difficult</w:t>
            </w:r>
          </w:p>
        </w:tc>
        <w:tc>
          <w:tcPr>
            <w:tcW w:w="0" w:type="auto"/>
            <w:hideMark/>
          </w:tcPr>
          <w:p w14:paraId="1AD5CCA8"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17190BCC"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Temporary advantage</w:t>
            </w:r>
          </w:p>
        </w:tc>
      </w:tr>
      <w:tr w:rsidR="0038708F" w:rsidRPr="0038708F" w14:paraId="7B0B40CE" w14:textId="77777777" w:rsidTr="00517583">
        <w:tc>
          <w:tcPr>
            <w:tcW w:w="0" w:type="auto"/>
            <w:hideMark/>
          </w:tcPr>
          <w:p w14:paraId="39F92AA4"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Digital analytics capability</w:t>
            </w:r>
          </w:p>
        </w:tc>
        <w:tc>
          <w:tcPr>
            <w:tcW w:w="0" w:type="auto"/>
            <w:hideMark/>
          </w:tcPr>
          <w:p w14:paraId="26E5A381"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52BE621B"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Emerging</w:t>
            </w:r>
          </w:p>
        </w:tc>
        <w:tc>
          <w:tcPr>
            <w:tcW w:w="0" w:type="auto"/>
            <w:hideMark/>
          </w:tcPr>
          <w:p w14:paraId="6CC68245"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Moderately</w:t>
            </w:r>
          </w:p>
        </w:tc>
        <w:tc>
          <w:tcPr>
            <w:tcW w:w="0" w:type="auto"/>
            <w:hideMark/>
          </w:tcPr>
          <w:p w14:paraId="16807074"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Partially</w:t>
            </w:r>
          </w:p>
        </w:tc>
        <w:tc>
          <w:tcPr>
            <w:tcW w:w="0" w:type="auto"/>
            <w:hideMark/>
          </w:tcPr>
          <w:p w14:paraId="5866CE75"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Potential advantage if fully integrated</w:t>
            </w:r>
          </w:p>
        </w:tc>
      </w:tr>
      <w:tr w:rsidR="0038708F" w:rsidRPr="0038708F" w14:paraId="1D316337" w14:textId="77777777" w:rsidTr="00517583">
        <w:tc>
          <w:tcPr>
            <w:tcW w:w="0" w:type="auto"/>
            <w:hideMark/>
          </w:tcPr>
          <w:p w14:paraId="79C22B0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Integrated omnichannel model</w:t>
            </w:r>
          </w:p>
        </w:tc>
        <w:tc>
          <w:tcPr>
            <w:tcW w:w="0" w:type="auto"/>
            <w:hideMark/>
          </w:tcPr>
          <w:p w14:paraId="28F97FB0"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Yes</w:t>
            </w:r>
          </w:p>
        </w:tc>
        <w:tc>
          <w:tcPr>
            <w:tcW w:w="0" w:type="auto"/>
            <w:hideMark/>
          </w:tcPr>
          <w:p w14:paraId="06A45C2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Limited</w:t>
            </w:r>
          </w:p>
        </w:tc>
        <w:tc>
          <w:tcPr>
            <w:tcW w:w="0" w:type="auto"/>
            <w:hideMark/>
          </w:tcPr>
          <w:p w14:paraId="6A7110F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Complex</w:t>
            </w:r>
          </w:p>
        </w:tc>
        <w:tc>
          <w:tcPr>
            <w:tcW w:w="0" w:type="auto"/>
            <w:hideMark/>
          </w:tcPr>
          <w:p w14:paraId="0EA600F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Developing</w:t>
            </w:r>
          </w:p>
        </w:tc>
        <w:tc>
          <w:tcPr>
            <w:tcW w:w="0" w:type="auto"/>
            <w:hideMark/>
          </w:tcPr>
          <w:p w14:paraId="118101D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Possible sustained advantage if scaled</w:t>
            </w:r>
          </w:p>
        </w:tc>
      </w:tr>
    </w:tbl>
    <w:p w14:paraId="0AB7E5FD" w14:textId="77777777" w:rsidR="0038708F" w:rsidRPr="0038708F" w:rsidRDefault="0038708F" w:rsidP="0038708F">
      <w:pPr>
        <w:rPr>
          <w:rFonts w:ascii="Arial" w:hAnsi="Arial" w:cs="Arial"/>
          <w:color w:val="000000" w:themeColor="text1"/>
          <w:sz w:val="24"/>
          <w:szCs w:val="24"/>
        </w:rPr>
      </w:pPr>
    </w:p>
    <w:p w14:paraId="090BF02F" w14:textId="77777777" w:rsidR="0038708F" w:rsidRDefault="0038708F" w:rsidP="0038708F">
      <w:pPr>
        <w:rPr>
          <w:rFonts w:ascii="Arial" w:hAnsi="Arial" w:cs="Arial"/>
          <w:sz w:val="24"/>
          <w:szCs w:val="24"/>
        </w:rPr>
      </w:pPr>
    </w:p>
    <w:p w14:paraId="798F0AB5" w14:textId="77777777" w:rsidR="0038708F" w:rsidRDefault="0038708F" w:rsidP="0038708F">
      <w:pPr>
        <w:rPr>
          <w:rFonts w:ascii="Arial" w:hAnsi="Arial" w:cs="Arial"/>
          <w:sz w:val="24"/>
          <w:szCs w:val="24"/>
        </w:rPr>
      </w:pPr>
    </w:p>
    <w:p w14:paraId="6BF64971" w14:textId="77777777" w:rsidR="0038708F" w:rsidRDefault="0038708F" w:rsidP="0038708F">
      <w:pPr>
        <w:rPr>
          <w:rFonts w:ascii="Arial" w:hAnsi="Arial" w:cs="Arial"/>
          <w:sz w:val="24"/>
          <w:szCs w:val="24"/>
        </w:rPr>
      </w:pPr>
    </w:p>
    <w:p w14:paraId="74AC3F41" w14:textId="77777777" w:rsidR="0038708F" w:rsidRDefault="0038708F" w:rsidP="0038708F">
      <w:pPr>
        <w:rPr>
          <w:rFonts w:ascii="Arial" w:hAnsi="Arial" w:cs="Arial"/>
          <w:sz w:val="24"/>
          <w:szCs w:val="24"/>
        </w:rPr>
      </w:pPr>
    </w:p>
    <w:p w14:paraId="198AE042" w14:textId="77777777" w:rsidR="0038708F" w:rsidRDefault="0038708F" w:rsidP="0038708F">
      <w:pPr>
        <w:rPr>
          <w:rFonts w:ascii="Arial" w:hAnsi="Arial" w:cs="Arial"/>
          <w:sz w:val="24"/>
          <w:szCs w:val="24"/>
        </w:rPr>
      </w:pPr>
    </w:p>
    <w:p w14:paraId="04BEF0F1" w14:textId="77777777" w:rsidR="0038708F" w:rsidRDefault="0038708F" w:rsidP="0038708F">
      <w:pPr>
        <w:rPr>
          <w:rFonts w:ascii="Arial" w:hAnsi="Arial" w:cs="Arial"/>
          <w:sz w:val="24"/>
          <w:szCs w:val="24"/>
        </w:rPr>
      </w:pPr>
    </w:p>
    <w:p w14:paraId="7CECEF92" w14:textId="77777777" w:rsidR="0038708F" w:rsidRDefault="0038708F" w:rsidP="0038708F">
      <w:pPr>
        <w:rPr>
          <w:rFonts w:ascii="Arial" w:hAnsi="Arial" w:cs="Arial"/>
          <w:sz w:val="24"/>
          <w:szCs w:val="24"/>
        </w:rPr>
      </w:pPr>
    </w:p>
    <w:p w14:paraId="7979EB0F" w14:textId="77777777" w:rsidR="0038708F" w:rsidRDefault="0038708F" w:rsidP="0038708F">
      <w:pPr>
        <w:rPr>
          <w:rFonts w:ascii="Arial" w:hAnsi="Arial" w:cs="Arial"/>
          <w:sz w:val="24"/>
          <w:szCs w:val="24"/>
        </w:rPr>
      </w:pPr>
    </w:p>
    <w:p w14:paraId="68AFFC1A" w14:textId="77777777" w:rsidR="0038708F" w:rsidRDefault="0038708F" w:rsidP="0038708F">
      <w:pPr>
        <w:rPr>
          <w:rFonts w:ascii="Arial" w:hAnsi="Arial" w:cs="Arial"/>
          <w:sz w:val="24"/>
          <w:szCs w:val="24"/>
        </w:rPr>
      </w:pPr>
    </w:p>
    <w:p w14:paraId="1537E236" w14:textId="77777777" w:rsidR="0038708F" w:rsidRDefault="0038708F" w:rsidP="0038708F">
      <w:pPr>
        <w:rPr>
          <w:rFonts w:ascii="Arial" w:hAnsi="Arial" w:cs="Arial"/>
          <w:sz w:val="24"/>
          <w:szCs w:val="24"/>
        </w:rPr>
      </w:pPr>
    </w:p>
    <w:p w14:paraId="145A4EC7" w14:textId="77777777" w:rsidR="0038708F" w:rsidRDefault="0038708F" w:rsidP="0038708F">
      <w:pPr>
        <w:rPr>
          <w:rFonts w:ascii="Arial" w:hAnsi="Arial" w:cs="Arial"/>
          <w:sz w:val="24"/>
          <w:szCs w:val="24"/>
        </w:rPr>
      </w:pPr>
    </w:p>
    <w:p w14:paraId="34A0DCE1" w14:textId="77777777" w:rsidR="0038708F" w:rsidRPr="0038708F" w:rsidRDefault="0038708F" w:rsidP="0038708F">
      <w:pPr>
        <w:rPr>
          <w:rFonts w:ascii="Arial" w:hAnsi="Arial" w:cs="Arial"/>
          <w:sz w:val="24"/>
          <w:szCs w:val="24"/>
        </w:rPr>
      </w:pPr>
    </w:p>
    <w:p w14:paraId="216D8B07" w14:textId="6DD86F5E" w:rsidR="0038708F" w:rsidRPr="0038708F" w:rsidRDefault="0038708F" w:rsidP="0038708F">
      <w:pPr>
        <w:rPr>
          <w:rFonts w:ascii="Arial" w:hAnsi="Arial" w:cs="Arial"/>
          <w:sz w:val="24"/>
          <w:szCs w:val="24"/>
        </w:rPr>
      </w:pPr>
      <w:r w:rsidRPr="0038708F">
        <w:rPr>
          <w:rFonts w:ascii="Arial" w:hAnsi="Arial" w:cs="Arial"/>
          <w:sz w:val="24"/>
          <w:szCs w:val="24"/>
        </w:rPr>
        <w:t>Figure 4</w:t>
      </w:r>
      <w:r w:rsidR="004F0C7C">
        <w:rPr>
          <w:rFonts w:ascii="Arial" w:hAnsi="Arial" w:cs="Arial"/>
          <w:sz w:val="24"/>
          <w:szCs w:val="24"/>
        </w:rPr>
        <w:t>:</w:t>
      </w:r>
      <w:r w:rsidRPr="0038708F">
        <w:rPr>
          <w:rFonts w:ascii="Arial" w:hAnsi="Arial" w:cs="Arial"/>
          <w:sz w:val="24"/>
          <w:szCs w:val="24"/>
        </w:rPr>
        <w:t xml:space="preserve"> SWOT Analysis </w:t>
      </w:r>
      <w:r>
        <w:rPr>
          <w:rFonts w:ascii="Arial" w:hAnsi="Arial" w:cs="Arial"/>
          <w:sz w:val="24"/>
          <w:szCs w:val="24"/>
        </w:rPr>
        <w:t>-</w:t>
      </w:r>
      <w:r w:rsidRPr="0038708F">
        <w:rPr>
          <w:rFonts w:ascii="Arial" w:hAnsi="Arial" w:cs="Arial"/>
          <w:sz w:val="24"/>
          <w:szCs w:val="24"/>
        </w:rPr>
        <w:t xml:space="preserve"> J Sainsbury plc</w:t>
      </w:r>
    </w:p>
    <w:tbl>
      <w:tblPr>
        <w:tblStyle w:val="TableGrid"/>
        <w:tblW w:w="0" w:type="auto"/>
        <w:tblLook w:val="04A0" w:firstRow="1" w:lastRow="0" w:firstColumn="1" w:lastColumn="0" w:noHBand="0" w:noVBand="1"/>
      </w:tblPr>
      <w:tblGrid>
        <w:gridCol w:w="4675"/>
        <w:gridCol w:w="4675"/>
      </w:tblGrid>
      <w:tr w:rsidR="0038708F" w:rsidRPr="00BE6515" w14:paraId="0373768B" w14:textId="77777777" w:rsidTr="00517583">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5"/>
            </w:tblGrid>
            <w:tr w:rsidR="0038708F" w:rsidRPr="00BE6515" w14:paraId="5C8F8C2F" w14:textId="77777777" w:rsidTr="00517583">
              <w:trPr>
                <w:tblHeader/>
                <w:tblCellSpacing w:w="15" w:type="dxa"/>
              </w:trPr>
              <w:tc>
                <w:tcPr>
                  <w:tcW w:w="0" w:type="auto"/>
                  <w:vAlign w:val="center"/>
                  <w:hideMark/>
                </w:tcPr>
                <w:p w14:paraId="2A09FF30" w14:textId="77777777" w:rsidR="0038708F" w:rsidRPr="00BE6515" w:rsidRDefault="0038708F" w:rsidP="00517583">
                  <w:pPr>
                    <w:jc w:val="center"/>
                    <w:rPr>
                      <w:rFonts w:ascii="Arial" w:hAnsi="Arial" w:cs="Arial"/>
                      <w:b/>
                      <w:bCs/>
                    </w:rPr>
                  </w:pPr>
                  <w:r w:rsidRPr="00BE6515">
                    <w:rPr>
                      <w:rFonts w:ascii="Arial" w:hAnsi="Arial" w:cs="Arial"/>
                      <w:b/>
                      <w:bCs/>
                    </w:rPr>
                    <w:t>Strengths</w:t>
                  </w:r>
                </w:p>
              </w:tc>
            </w:tr>
            <w:tr w:rsidR="0038708F" w:rsidRPr="00BE6515" w14:paraId="0121995F" w14:textId="77777777" w:rsidTr="00517583">
              <w:trPr>
                <w:tblCellSpacing w:w="15" w:type="dxa"/>
              </w:trPr>
              <w:tc>
                <w:tcPr>
                  <w:tcW w:w="0" w:type="auto"/>
                  <w:vAlign w:val="center"/>
                  <w:hideMark/>
                </w:tcPr>
                <w:p w14:paraId="0A01C650" w14:textId="77777777" w:rsidR="0038708F" w:rsidRPr="00BE6515" w:rsidRDefault="0038708F" w:rsidP="0038708F">
                  <w:pPr>
                    <w:pStyle w:val="ListParagraph"/>
                    <w:numPr>
                      <w:ilvl w:val="0"/>
                      <w:numId w:val="7"/>
                    </w:numPr>
                    <w:rPr>
                      <w:rFonts w:ascii="Arial" w:hAnsi="Arial" w:cs="Arial"/>
                    </w:rPr>
                  </w:pPr>
                  <w:r w:rsidRPr="00BE6515">
                    <w:rPr>
                      <w:rFonts w:ascii="Arial" w:hAnsi="Arial" w:cs="Arial"/>
                    </w:rPr>
                    <w:t>Established brand and customer trust</w:t>
                  </w:r>
                </w:p>
              </w:tc>
            </w:tr>
            <w:tr w:rsidR="0038708F" w:rsidRPr="00BE6515" w14:paraId="4D415EC5" w14:textId="77777777" w:rsidTr="00517583">
              <w:trPr>
                <w:tblCellSpacing w:w="15" w:type="dxa"/>
              </w:trPr>
              <w:tc>
                <w:tcPr>
                  <w:tcW w:w="0" w:type="auto"/>
                  <w:vAlign w:val="center"/>
                  <w:hideMark/>
                </w:tcPr>
                <w:p w14:paraId="01058EBB" w14:textId="77777777" w:rsidR="0038708F" w:rsidRPr="00BE6515" w:rsidRDefault="0038708F" w:rsidP="0038708F">
                  <w:pPr>
                    <w:pStyle w:val="ListParagraph"/>
                    <w:numPr>
                      <w:ilvl w:val="0"/>
                      <w:numId w:val="7"/>
                    </w:numPr>
                    <w:rPr>
                      <w:rFonts w:ascii="Arial" w:hAnsi="Arial" w:cs="Arial"/>
                    </w:rPr>
                  </w:pPr>
                  <w:r w:rsidRPr="00BE6515">
                    <w:rPr>
                      <w:rFonts w:ascii="Arial" w:hAnsi="Arial" w:cs="Arial"/>
                    </w:rPr>
                    <w:t>National logistics and store network</w:t>
                  </w:r>
                </w:p>
              </w:tc>
            </w:tr>
            <w:tr w:rsidR="0038708F" w:rsidRPr="00BE6515" w14:paraId="522F5C15" w14:textId="77777777" w:rsidTr="00517583">
              <w:trPr>
                <w:tblCellSpacing w:w="15" w:type="dxa"/>
              </w:trPr>
              <w:tc>
                <w:tcPr>
                  <w:tcW w:w="0" w:type="auto"/>
                  <w:vAlign w:val="center"/>
                  <w:hideMark/>
                </w:tcPr>
                <w:p w14:paraId="5FDD91CD" w14:textId="77777777" w:rsidR="0038708F" w:rsidRPr="00BE6515" w:rsidRDefault="0038708F" w:rsidP="0038708F">
                  <w:pPr>
                    <w:pStyle w:val="ListParagraph"/>
                    <w:numPr>
                      <w:ilvl w:val="0"/>
                      <w:numId w:val="7"/>
                    </w:numPr>
                    <w:rPr>
                      <w:rFonts w:ascii="Arial" w:hAnsi="Arial" w:cs="Arial"/>
                    </w:rPr>
                  </w:pPr>
                  <w:r w:rsidRPr="00BE6515">
                    <w:rPr>
                      <w:rFonts w:ascii="Arial" w:hAnsi="Arial" w:cs="Arial"/>
                    </w:rPr>
                    <w:t>Developed omnichannel capability</w:t>
                  </w:r>
                </w:p>
              </w:tc>
            </w:tr>
          </w:tbl>
          <w:p w14:paraId="7DEC8012" w14:textId="77777777" w:rsidR="0038708F" w:rsidRPr="00BE6515" w:rsidRDefault="0038708F" w:rsidP="00517583">
            <w:pPr>
              <w:rPr>
                <w:rFonts w:ascii="Arial" w:hAnsi="Arial" w:cs="Arial"/>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38708F" w:rsidRPr="00BE6515" w14:paraId="3BF8461A" w14:textId="77777777" w:rsidTr="00517583">
              <w:trPr>
                <w:tblHeader/>
                <w:tblCellSpacing w:w="15" w:type="dxa"/>
              </w:trPr>
              <w:tc>
                <w:tcPr>
                  <w:tcW w:w="0" w:type="auto"/>
                  <w:vAlign w:val="center"/>
                  <w:hideMark/>
                </w:tcPr>
                <w:p w14:paraId="74FA28B3" w14:textId="77777777" w:rsidR="0038708F" w:rsidRPr="00BE6515" w:rsidRDefault="0038708F" w:rsidP="00517583">
                  <w:pPr>
                    <w:jc w:val="center"/>
                    <w:rPr>
                      <w:rFonts w:ascii="Arial" w:hAnsi="Arial" w:cs="Arial"/>
                      <w:b/>
                      <w:bCs/>
                    </w:rPr>
                  </w:pPr>
                  <w:r w:rsidRPr="00BE6515">
                    <w:rPr>
                      <w:rFonts w:ascii="Arial" w:hAnsi="Arial" w:cs="Arial"/>
                      <w:b/>
                      <w:bCs/>
                    </w:rPr>
                    <w:t>Weaknesses</w:t>
                  </w:r>
                </w:p>
              </w:tc>
            </w:tr>
            <w:tr w:rsidR="0038708F" w:rsidRPr="00BE6515" w14:paraId="05A5F7E8" w14:textId="77777777" w:rsidTr="00517583">
              <w:trPr>
                <w:tblCellSpacing w:w="15" w:type="dxa"/>
              </w:trPr>
              <w:tc>
                <w:tcPr>
                  <w:tcW w:w="0" w:type="auto"/>
                  <w:vAlign w:val="center"/>
                  <w:hideMark/>
                </w:tcPr>
                <w:p w14:paraId="3EA61CA7" w14:textId="77777777" w:rsidR="0038708F" w:rsidRPr="00BE6515" w:rsidRDefault="0038708F" w:rsidP="0038708F">
                  <w:pPr>
                    <w:pStyle w:val="ListParagraph"/>
                    <w:numPr>
                      <w:ilvl w:val="0"/>
                      <w:numId w:val="8"/>
                    </w:numPr>
                    <w:rPr>
                      <w:rFonts w:ascii="Arial" w:hAnsi="Arial" w:cs="Arial"/>
                    </w:rPr>
                  </w:pPr>
                  <w:r w:rsidRPr="00BE6515">
                    <w:rPr>
                      <w:rFonts w:ascii="Arial" w:hAnsi="Arial" w:cs="Arial"/>
                    </w:rPr>
                    <w:t>Structural rigidity and organisational complexity</w:t>
                  </w:r>
                </w:p>
              </w:tc>
            </w:tr>
            <w:tr w:rsidR="0038708F" w:rsidRPr="00BE6515" w14:paraId="45CA9903" w14:textId="77777777" w:rsidTr="00517583">
              <w:trPr>
                <w:tblCellSpacing w:w="15" w:type="dxa"/>
              </w:trPr>
              <w:tc>
                <w:tcPr>
                  <w:tcW w:w="0" w:type="auto"/>
                  <w:vAlign w:val="center"/>
                  <w:hideMark/>
                </w:tcPr>
                <w:p w14:paraId="4B242C76" w14:textId="77777777" w:rsidR="0038708F" w:rsidRPr="00BE6515" w:rsidRDefault="0038708F" w:rsidP="0038708F">
                  <w:pPr>
                    <w:pStyle w:val="ListParagraph"/>
                    <w:numPr>
                      <w:ilvl w:val="0"/>
                      <w:numId w:val="8"/>
                    </w:numPr>
                    <w:rPr>
                      <w:rFonts w:ascii="Arial" w:hAnsi="Arial" w:cs="Arial"/>
                    </w:rPr>
                  </w:pPr>
                  <w:r w:rsidRPr="00BE6515">
                    <w:rPr>
                      <w:rFonts w:ascii="Arial" w:hAnsi="Arial" w:cs="Arial"/>
                    </w:rPr>
                    <w:t>High fixed costs linked to physical infrastructure</w:t>
                  </w:r>
                </w:p>
              </w:tc>
            </w:tr>
            <w:tr w:rsidR="0038708F" w:rsidRPr="00BE6515" w14:paraId="6E65785B" w14:textId="77777777" w:rsidTr="00517583">
              <w:trPr>
                <w:tblCellSpacing w:w="15" w:type="dxa"/>
              </w:trPr>
              <w:tc>
                <w:tcPr>
                  <w:tcW w:w="0" w:type="auto"/>
                  <w:vAlign w:val="center"/>
                  <w:hideMark/>
                </w:tcPr>
                <w:p w14:paraId="085CE262" w14:textId="77777777" w:rsidR="0038708F" w:rsidRPr="00BE6515" w:rsidRDefault="0038708F" w:rsidP="0038708F">
                  <w:pPr>
                    <w:pStyle w:val="ListParagraph"/>
                    <w:numPr>
                      <w:ilvl w:val="0"/>
                      <w:numId w:val="8"/>
                    </w:numPr>
                    <w:rPr>
                      <w:rFonts w:ascii="Arial" w:hAnsi="Arial" w:cs="Arial"/>
                    </w:rPr>
                  </w:pPr>
                  <w:r w:rsidRPr="00BE6515">
                    <w:rPr>
                      <w:rFonts w:ascii="Arial" w:hAnsi="Arial" w:cs="Arial"/>
                    </w:rPr>
                    <w:t>Slower strategic reconfiguration compared to digital-native competitors</w:t>
                  </w:r>
                </w:p>
              </w:tc>
            </w:tr>
          </w:tbl>
          <w:p w14:paraId="45C72216" w14:textId="77777777" w:rsidR="0038708F" w:rsidRPr="00BE6515" w:rsidRDefault="0038708F" w:rsidP="00517583">
            <w:pPr>
              <w:rPr>
                <w:rFonts w:ascii="Arial" w:hAnsi="Arial" w:cs="Arial"/>
              </w:rPr>
            </w:pPr>
          </w:p>
        </w:tc>
      </w:tr>
      <w:tr w:rsidR="0038708F" w:rsidRPr="00BE6515" w14:paraId="5E34527E" w14:textId="77777777" w:rsidTr="00517583">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38708F" w:rsidRPr="00BE6515" w14:paraId="6FB3E1AB" w14:textId="77777777" w:rsidTr="00517583">
              <w:trPr>
                <w:tblHeader/>
                <w:tblCellSpacing w:w="15" w:type="dxa"/>
              </w:trPr>
              <w:tc>
                <w:tcPr>
                  <w:tcW w:w="0" w:type="auto"/>
                  <w:vAlign w:val="center"/>
                  <w:hideMark/>
                </w:tcPr>
                <w:p w14:paraId="7F977015" w14:textId="77777777" w:rsidR="0038708F" w:rsidRPr="00BE6515" w:rsidRDefault="0038708F" w:rsidP="00517583">
                  <w:pPr>
                    <w:jc w:val="center"/>
                    <w:rPr>
                      <w:rFonts w:ascii="Arial" w:hAnsi="Arial" w:cs="Arial"/>
                      <w:b/>
                      <w:bCs/>
                    </w:rPr>
                  </w:pPr>
                  <w:r w:rsidRPr="00BE6515">
                    <w:rPr>
                      <w:rFonts w:ascii="Arial" w:hAnsi="Arial" w:cs="Arial"/>
                      <w:b/>
                      <w:bCs/>
                    </w:rPr>
                    <w:t>Opportunities</w:t>
                  </w:r>
                </w:p>
              </w:tc>
            </w:tr>
            <w:tr w:rsidR="0038708F" w:rsidRPr="00BE6515" w14:paraId="1148ECC9" w14:textId="77777777" w:rsidTr="00517583">
              <w:trPr>
                <w:tblCellSpacing w:w="15" w:type="dxa"/>
              </w:trPr>
              <w:tc>
                <w:tcPr>
                  <w:tcW w:w="0" w:type="auto"/>
                  <w:vAlign w:val="center"/>
                  <w:hideMark/>
                </w:tcPr>
                <w:p w14:paraId="62E549B1" w14:textId="77777777" w:rsidR="0038708F" w:rsidRPr="00BE6515" w:rsidRDefault="0038708F" w:rsidP="0038708F">
                  <w:pPr>
                    <w:pStyle w:val="ListParagraph"/>
                    <w:numPr>
                      <w:ilvl w:val="0"/>
                      <w:numId w:val="9"/>
                    </w:numPr>
                    <w:rPr>
                      <w:rFonts w:ascii="Arial" w:hAnsi="Arial" w:cs="Arial"/>
                    </w:rPr>
                  </w:pPr>
                  <w:r w:rsidRPr="00BE6515">
                    <w:rPr>
                      <w:rFonts w:ascii="Arial" w:hAnsi="Arial" w:cs="Arial"/>
                    </w:rPr>
                    <w:t>Data-driven optimisation and personalisation</w:t>
                  </w:r>
                </w:p>
              </w:tc>
            </w:tr>
            <w:tr w:rsidR="0038708F" w:rsidRPr="00BE6515" w14:paraId="53263AFC" w14:textId="77777777" w:rsidTr="00517583">
              <w:trPr>
                <w:tblCellSpacing w:w="15" w:type="dxa"/>
              </w:trPr>
              <w:tc>
                <w:tcPr>
                  <w:tcW w:w="0" w:type="auto"/>
                  <w:vAlign w:val="center"/>
                  <w:hideMark/>
                </w:tcPr>
                <w:p w14:paraId="35B09A8F" w14:textId="77777777" w:rsidR="0038708F" w:rsidRPr="00BE6515" w:rsidRDefault="0038708F" w:rsidP="0038708F">
                  <w:pPr>
                    <w:pStyle w:val="ListParagraph"/>
                    <w:numPr>
                      <w:ilvl w:val="0"/>
                      <w:numId w:val="9"/>
                    </w:numPr>
                    <w:rPr>
                      <w:rFonts w:ascii="Arial" w:hAnsi="Arial" w:cs="Arial"/>
                    </w:rPr>
                  </w:pPr>
                  <w:r w:rsidRPr="00BE6515">
                    <w:rPr>
                      <w:rFonts w:ascii="Arial" w:hAnsi="Arial" w:cs="Arial"/>
                    </w:rPr>
                    <w:t>Integration of digital and physical operations</w:t>
                  </w:r>
                </w:p>
              </w:tc>
            </w:tr>
            <w:tr w:rsidR="0038708F" w:rsidRPr="00BE6515" w14:paraId="4B9EACBA" w14:textId="77777777" w:rsidTr="00517583">
              <w:trPr>
                <w:tblCellSpacing w:w="15" w:type="dxa"/>
              </w:trPr>
              <w:tc>
                <w:tcPr>
                  <w:tcW w:w="0" w:type="auto"/>
                  <w:vAlign w:val="center"/>
                  <w:hideMark/>
                </w:tcPr>
                <w:p w14:paraId="7CB1C9FB" w14:textId="77777777" w:rsidR="0038708F" w:rsidRPr="00BE6515" w:rsidRDefault="0038708F" w:rsidP="0038708F">
                  <w:pPr>
                    <w:pStyle w:val="ListParagraph"/>
                    <w:numPr>
                      <w:ilvl w:val="0"/>
                      <w:numId w:val="9"/>
                    </w:numPr>
                    <w:rPr>
                      <w:rFonts w:ascii="Arial" w:hAnsi="Arial" w:cs="Arial"/>
                    </w:rPr>
                  </w:pPr>
                  <w:r w:rsidRPr="00BE6515">
                    <w:rPr>
                      <w:rFonts w:ascii="Arial" w:hAnsi="Arial" w:cs="Arial"/>
                    </w:rPr>
                    <w:t>Expansion of omnichannel services</w:t>
                  </w:r>
                </w:p>
              </w:tc>
            </w:tr>
          </w:tbl>
          <w:p w14:paraId="21552FDE" w14:textId="77777777" w:rsidR="0038708F" w:rsidRPr="00BE6515" w:rsidRDefault="0038708F" w:rsidP="00517583">
            <w:pPr>
              <w:rPr>
                <w:rFonts w:ascii="Arial" w:hAnsi="Arial" w:cs="Arial"/>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38708F" w:rsidRPr="00BE6515" w14:paraId="70266567" w14:textId="77777777" w:rsidTr="00517583">
              <w:trPr>
                <w:tblHeader/>
                <w:tblCellSpacing w:w="15" w:type="dxa"/>
              </w:trPr>
              <w:tc>
                <w:tcPr>
                  <w:tcW w:w="0" w:type="auto"/>
                  <w:vAlign w:val="center"/>
                  <w:hideMark/>
                </w:tcPr>
                <w:p w14:paraId="5C1A1863" w14:textId="77777777" w:rsidR="0038708F" w:rsidRPr="00BE6515" w:rsidRDefault="0038708F" w:rsidP="00517583">
                  <w:pPr>
                    <w:jc w:val="center"/>
                    <w:rPr>
                      <w:rFonts w:ascii="Arial" w:hAnsi="Arial" w:cs="Arial"/>
                      <w:b/>
                      <w:bCs/>
                    </w:rPr>
                  </w:pPr>
                  <w:r w:rsidRPr="00BE6515">
                    <w:rPr>
                      <w:rFonts w:ascii="Arial" w:hAnsi="Arial" w:cs="Arial"/>
                      <w:b/>
                      <w:bCs/>
                    </w:rPr>
                    <w:t>Threats</w:t>
                  </w:r>
                </w:p>
              </w:tc>
            </w:tr>
            <w:tr w:rsidR="0038708F" w:rsidRPr="00BE6515" w14:paraId="6E83E743" w14:textId="77777777" w:rsidTr="00517583">
              <w:trPr>
                <w:tblCellSpacing w:w="15" w:type="dxa"/>
              </w:trPr>
              <w:tc>
                <w:tcPr>
                  <w:tcW w:w="0" w:type="auto"/>
                  <w:vAlign w:val="center"/>
                  <w:hideMark/>
                </w:tcPr>
                <w:p w14:paraId="0C0D1FA6" w14:textId="77777777" w:rsidR="0038708F" w:rsidRPr="00BE6515" w:rsidRDefault="0038708F" w:rsidP="0038708F">
                  <w:pPr>
                    <w:pStyle w:val="ListParagraph"/>
                    <w:numPr>
                      <w:ilvl w:val="0"/>
                      <w:numId w:val="10"/>
                    </w:numPr>
                    <w:rPr>
                      <w:rFonts w:ascii="Arial" w:hAnsi="Arial" w:cs="Arial"/>
                    </w:rPr>
                  </w:pPr>
                  <w:r w:rsidRPr="00BE6515">
                    <w:rPr>
                      <w:rFonts w:ascii="Arial" w:hAnsi="Arial" w:cs="Arial"/>
                    </w:rPr>
                    <w:t>Intensified price competition from discounters</w:t>
                  </w:r>
                </w:p>
              </w:tc>
            </w:tr>
            <w:tr w:rsidR="0038708F" w:rsidRPr="00BE6515" w14:paraId="5CA4D800" w14:textId="77777777" w:rsidTr="00517583">
              <w:trPr>
                <w:tblCellSpacing w:w="15" w:type="dxa"/>
              </w:trPr>
              <w:tc>
                <w:tcPr>
                  <w:tcW w:w="0" w:type="auto"/>
                  <w:vAlign w:val="center"/>
                  <w:hideMark/>
                </w:tcPr>
                <w:p w14:paraId="554BEBE0" w14:textId="77777777" w:rsidR="0038708F" w:rsidRPr="00BE6515" w:rsidRDefault="0038708F" w:rsidP="0038708F">
                  <w:pPr>
                    <w:pStyle w:val="ListParagraph"/>
                    <w:numPr>
                      <w:ilvl w:val="0"/>
                      <w:numId w:val="10"/>
                    </w:numPr>
                    <w:rPr>
                      <w:rFonts w:ascii="Arial" w:hAnsi="Arial" w:cs="Arial"/>
                    </w:rPr>
                  </w:pPr>
                  <w:r w:rsidRPr="00BE6515">
                    <w:rPr>
                      <w:rFonts w:ascii="Arial" w:hAnsi="Arial" w:cs="Arial"/>
                    </w:rPr>
                    <w:t>Margin compression in the mature industry</w:t>
                  </w:r>
                </w:p>
              </w:tc>
            </w:tr>
            <w:tr w:rsidR="0038708F" w:rsidRPr="00BE6515" w14:paraId="712708F0" w14:textId="77777777" w:rsidTr="00517583">
              <w:trPr>
                <w:tblCellSpacing w:w="15" w:type="dxa"/>
              </w:trPr>
              <w:tc>
                <w:tcPr>
                  <w:tcW w:w="0" w:type="auto"/>
                  <w:vAlign w:val="center"/>
                  <w:hideMark/>
                </w:tcPr>
                <w:p w14:paraId="3AFF59DB" w14:textId="77777777" w:rsidR="0038708F" w:rsidRPr="00BE6515" w:rsidRDefault="0038708F" w:rsidP="0038708F">
                  <w:pPr>
                    <w:pStyle w:val="ListParagraph"/>
                    <w:numPr>
                      <w:ilvl w:val="0"/>
                      <w:numId w:val="10"/>
                    </w:numPr>
                    <w:rPr>
                      <w:rFonts w:ascii="Arial" w:hAnsi="Arial" w:cs="Arial"/>
                    </w:rPr>
                  </w:pPr>
                  <w:r w:rsidRPr="00BE6515">
                    <w:rPr>
                      <w:rFonts w:ascii="Arial" w:hAnsi="Arial" w:cs="Arial"/>
                    </w:rPr>
                    <w:t>Cybersecurity and technological investment risks</w:t>
                  </w:r>
                </w:p>
              </w:tc>
            </w:tr>
          </w:tbl>
          <w:p w14:paraId="018ECBFD" w14:textId="77777777" w:rsidR="0038708F" w:rsidRPr="00BE6515" w:rsidRDefault="0038708F" w:rsidP="00517583">
            <w:pPr>
              <w:rPr>
                <w:rFonts w:ascii="Arial" w:hAnsi="Arial" w:cs="Arial"/>
              </w:rPr>
            </w:pPr>
          </w:p>
        </w:tc>
      </w:tr>
    </w:tbl>
    <w:p w14:paraId="11D91A2A" w14:textId="77777777" w:rsidR="0038708F" w:rsidRDefault="0038708F" w:rsidP="0038708F">
      <w:pPr>
        <w:rPr>
          <w:rFonts w:ascii="Arial" w:hAnsi="Arial" w:cs="Arial"/>
          <w:color w:val="000000" w:themeColor="text1"/>
          <w:sz w:val="24"/>
          <w:szCs w:val="24"/>
        </w:rPr>
      </w:pPr>
    </w:p>
    <w:p w14:paraId="30562CC0" w14:textId="4E54AA47" w:rsidR="0038708F" w:rsidRDefault="0038708F" w:rsidP="0038708F">
      <w:pPr>
        <w:rPr>
          <w:rFonts w:ascii="Arial" w:hAnsi="Arial" w:cs="Arial"/>
          <w:color w:val="000000" w:themeColor="text1"/>
          <w:sz w:val="24"/>
          <w:szCs w:val="24"/>
        </w:rPr>
      </w:pPr>
      <w:r w:rsidRPr="0038708F">
        <w:rPr>
          <w:rFonts w:ascii="Arial" w:hAnsi="Arial" w:cs="Arial"/>
          <w:color w:val="000000" w:themeColor="text1"/>
          <w:sz w:val="24"/>
          <w:szCs w:val="24"/>
        </w:rPr>
        <w:t>Figure 5</w:t>
      </w:r>
      <w:r w:rsidR="004F0C7C">
        <w:rPr>
          <w:rFonts w:ascii="Arial" w:hAnsi="Arial" w:cs="Arial"/>
          <w:color w:val="000000" w:themeColor="text1"/>
          <w:sz w:val="24"/>
          <w:szCs w:val="24"/>
        </w:rPr>
        <w:t>:</w:t>
      </w:r>
      <w:r w:rsidRPr="0038708F">
        <w:rPr>
          <w:rFonts w:ascii="Arial" w:hAnsi="Arial" w:cs="Arial"/>
          <w:color w:val="000000" w:themeColor="text1"/>
          <w:sz w:val="24"/>
          <w:szCs w:val="24"/>
        </w:rPr>
        <w:t xml:space="preserve"> TOWS Strategic Alignment Matrix</w:t>
      </w:r>
    </w:p>
    <w:tbl>
      <w:tblPr>
        <w:tblStyle w:val="TableGrid"/>
        <w:tblW w:w="0" w:type="auto"/>
        <w:tblLook w:val="04A0" w:firstRow="1" w:lastRow="0" w:firstColumn="1" w:lastColumn="0" w:noHBand="0" w:noVBand="1"/>
      </w:tblPr>
      <w:tblGrid>
        <w:gridCol w:w="1570"/>
        <w:gridCol w:w="7780"/>
      </w:tblGrid>
      <w:tr w:rsidR="0038708F" w:rsidRPr="00BE6515" w14:paraId="7B0C870E" w14:textId="77777777" w:rsidTr="00517583">
        <w:tc>
          <w:tcPr>
            <w:tcW w:w="0" w:type="auto"/>
            <w:hideMark/>
          </w:tcPr>
          <w:p w14:paraId="36891A62" w14:textId="77777777" w:rsidR="0038708F" w:rsidRPr="00BE6515" w:rsidRDefault="0038708F" w:rsidP="00517583">
            <w:pPr>
              <w:jc w:val="center"/>
              <w:rPr>
                <w:rFonts w:ascii="Arial" w:eastAsia="Times New Roman" w:hAnsi="Arial" w:cs="Arial"/>
                <w:b/>
                <w:bCs/>
                <w:kern w:val="0"/>
                <w:sz w:val="24"/>
                <w:szCs w:val="24"/>
                <w:lang w:eastAsia="en-GB"/>
                <w14:ligatures w14:val="none"/>
              </w:rPr>
            </w:pPr>
            <w:r w:rsidRPr="00BE6515">
              <w:rPr>
                <w:rFonts w:ascii="Arial" w:eastAsia="Times New Roman" w:hAnsi="Arial" w:cs="Arial"/>
                <w:b/>
                <w:bCs/>
                <w:kern w:val="0"/>
                <w:sz w:val="24"/>
                <w:szCs w:val="24"/>
                <w:lang w:eastAsia="en-GB"/>
                <w14:ligatures w14:val="none"/>
              </w:rPr>
              <w:t>Strategy Type</w:t>
            </w:r>
          </w:p>
        </w:tc>
        <w:tc>
          <w:tcPr>
            <w:tcW w:w="0" w:type="auto"/>
            <w:hideMark/>
          </w:tcPr>
          <w:p w14:paraId="44C60076" w14:textId="77777777" w:rsidR="0038708F" w:rsidRPr="00BE6515" w:rsidRDefault="0038708F" w:rsidP="00517583">
            <w:pPr>
              <w:jc w:val="center"/>
              <w:rPr>
                <w:rFonts w:ascii="Arial" w:eastAsia="Times New Roman" w:hAnsi="Arial" w:cs="Arial"/>
                <w:b/>
                <w:bCs/>
                <w:kern w:val="0"/>
                <w:sz w:val="24"/>
                <w:szCs w:val="24"/>
                <w:lang w:eastAsia="en-GB"/>
                <w14:ligatures w14:val="none"/>
              </w:rPr>
            </w:pPr>
            <w:r w:rsidRPr="00BE6515">
              <w:rPr>
                <w:rFonts w:ascii="Arial" w:eastAsia="Times New Roman" w:hAnsi="Arial" w:cs="Arial"/>
                <w:b/>
                <w:bCs/>
                <w:kern w:val="0"/>
                <w:sz w:val="24"/>
                <w:szCs w:val="24"/>
                <w:lang w:eastAsia="en-GB"/>
                <w14:ligatures w14:val="none"/>
              </w:rPr>
              <w:t>Strategic Direction</w:t>
            </w:r>
          </w:p>
        </w:tc>
      </w:tr>
      <w:tr w:rsidR="0038708F" w:rsidRPr="00BE6515" w14:paraId="2397B0A2" w14:textId="77777777" w:rsidTr="00517583">
        <w:tc>
          <w:tcPr>
            <w:tcW w:w="0" w:type="auto"/>
            <w:hideMark/>
          </w:tcPr>
          <w:p w14:paraId="2AA61C46"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b/>
                <w:bCs/>
                <w:kern w:val="0"/>
                <w:sz w:val="24"/>
                <w:szCs w:val="24"/>
                <w:lang w:eastAsia="en-GB"/>
                <w14:ligatures w14:val="none"/>
              </w:rPr>
              <w:t>SO Strategy</w:t>
            </w:r>
          </w:p>
        </w:tc>
        <w:tc>
          <w:tcPr>
            <w:tcW w:w="0" w:type="auto"/>
            <w:hideMark/>
          </w:tcPr>
          <w:p w14:paraId="41976A65"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kern w:val="0"/>
                <w:sz w:val="24"/>
                <w:szCs w:val="24"/>
                <w:lang w:eastAsia="en-GB"/>
                <w14:ligatures w14:val="none"/>
              </w:rPr>
              <w:t>Leverage logistics and brand strength to scale integrated digital analytics across omnichannel operations.</w:t>
            </w:r>
          </w:p>
          <w:p w14:paraId="68D96AAC" w14:textId="77777777" w:rsidR="0038708F" w:rsidRPr="00BE6515" w:rsidRDefault="0038708F" w:rsidP="00517583">
            <w:pPr>
              <w:rPr>
                <w:rFonts w:ascii="Arial" w:eastAsia="Times New Roman" w:hAnsi="Arial" w:cs="Arial"/>
                <w:kern w:val="0"/>
                <w:sz w:val="24"/>
                <w:szCs w:val="24"/>
                <w:lang w:eastAsia="en-GB"/>
                <w14:ligatures w14:val="none"/>
              </w:rPr>
            </w:pPr>
          </w:p>
          <w:p w14:paraId="77DE3B59" w14:textId="77777777" w:rsidR="0038708F" w:rsidRPr="00BE6515" w:rsidRDefault="0038708F" w:rsidP="00517583">
            <w:pPr>
              <w:rPr>
                <w:rFonts w:ascii="Arial" w:eastAsia="Times New Roman" w:hAnsi="Arial" w:cs="Arial"/>
                <w:kern w:val="0"/>
                <w:sz w:val="24"/>
                <w:szCs w:val="24"/>
                <w:lang w:eastAsia="en-GB"/>
                <w14:ligatures w14:val="none"/>
              </w:rPr>
            </w:pPr>
          </w:p>
        </w:tc>
      </w:tr>
      <w:tr w:rsidR="0038708F" w:rsidRPr="00BE6515" w14:paraId="6A9985F0" w14:textId="77777777" w:rsidTr="00517583">
        <w:tc>
          <w:tcPr>
            <w:tcW w:w="0" w:type="auto"/>
            <w:hideMark/>
          </w:tcPr>
          <w:p w14:paraId="0D5FEE87"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b/>
                <w:bCs/>
                <w:kern w:val="0"/>
                <w:sz w:val="24"/>
                <w:szCs w:val="24"/>
                <w:lang w:eastAsia="en-GB"/>
                <w14:ligatures w14:val="none"/>
              </w:rPr>
              <w:t>WO Strategy</w:t>
            </w:r>
          </w:p>
        </w:tc>
        <w:tc>
          <w:tcPr>
            <w:tcW w:w="0" w:type="auto"/>
            <w:hideMark/>
          </w:tcPr>
          <w:p w14:paraId="344E62F2"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kern w:val="0"/>
                <w:sz w:val="24"/>
                <w:szCs w:val="24"/>
                <w:lang w:eastAsia="en-GB"/>
                <w14:ligatures w14:val="none"/>
              </w:rPr>
              <w:t>Use digital investment to reduce organisational rigidity and enhance decision-making agility.</w:t>
            </w:r>
          </w:p>
          <w:p w14:paraId="3E36B6B4" w14:textId="77777777" w:rsidR="0038708F" w:rsidRPr="00BE6515" w:rsidRDefault="0038708F" w:rsidP="00517583">
            <w:pPr>
              <w:rPr>
                <w:rFonts w:ascii="Arial" w:eastAsia="Times New Roman" w:hAnsi="Arial" w:cs="Arial"/>
                <w:kern w:val="0"/>
                <w:sz w:val="24"/>
                <w:szCs w:val="24"/>
                <w:lang w:eastAsia="en-GB"/>
                <w14:ligatures w14:val="none"/>
              </w:rPr>
            </w:pPr>
          </w:p>
          <w:p w14:paraId="540BFA98" w14:textId="77777777" w:rsidR="0038708F" w:rsidRPr="00BE6515" w:rsidRDefault="0038708F" w:rsidP="00517583">
            <w:pPr>
              <w:rPr>
                <w:rFonts w:ascii="Arial" w:eastAsia="Times New Roman" w:hAnsi="Arial" w:cs="Arial"/>
                <w:kern w:val="0"/>
                <w:sz w:val="24"/>
                <w:szCs w:val="24"/>
                <w:lang w:eastAsia="en-GB"/>
                <w14:ligatures w14:val="none"/>
              </w:rPr>
            </w:pPr>
          </w:p>
        </w:tc>
      </w:tr>
      <w:tr w:rsidR="0038708F" w:rsidRPr="00BE6515" w14:paraId="05C67152" w14:textId="77777777" w:rsidTr="00517583">
        <w:tc>
          <w:tcPr>
            <w:tcW w:w="0" w:type="auto"/>
            <w:hideMark/>
          </w:tcPr>
          <w:p w14:paraId="1EB43789"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b/>
                <w:bCs/>
                <w:kern w:val="0"/>
                <w:sz w:val="24"/>
                <w:szCs w:val="24"/>
                <w:lang w:eastAsia="en-GB"/>
                <w14:ligatures w14:val="none"/>
              </w:rPr>
              <w:t>ST Strategy</w:t>
            </w:r>
          </w:p>
        </w:tc>
        <w:tc>
          <w:tcPr>
            <w:tcW w:w="0" w:type="auto"/>
            <w:hideMark/>
          </w:tcPr>
          <w:p w14:paraId="02C3331A"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kern w:val="0"/>
                <w:sz w:val="24"/>
                <w:szCs w:val="24"/>
                <w:lang w:eastAsia="en-GB"/>
                <w14:ligatures w14:val="none"/>
              </w:rPr>
              <w:t>Utilise operational scale and brand trust to defend against discounter expansion.</w:t>
            </w:r>
          </w:p>
          <w:p w14:paraId="158C25FE" w14:textId="77777777" w:rsidR="0038708F" w:rsidRPr="00BE6515" w:rsidRDefault="0038708F" w:rsidP="00517583">
            <w:pPr>
              <w:rPr>
                <w:rFonts w:ascii="Arial" w:eastAsia="Times New Roman" w:hAnsi="Arial" w:cs="Arial"/>
                <w:kern w:val="0"/>
                <w:sz w:val="24"/>
                <w:szCs w:val="24"/>
                <w:lang w:eastAsia="en-GB"/>
                <w14:ligatures w14:val="none"/>
              </w:rPr>
            </w:pPr>
          </w:p>
          <w:p w14:paraId="3C9A47EF" w14:textId="77777777" w:rsidR="0038708F" w:rsidRPr="00BE6515" w:rsidRDefault="0038708F" w:rsidP="00517583">
            <w:pPr>
              <w:rPr>
                <w:rFonts w:ascii="Arial" w:eastAsia="Times New Roman" w:hAnsi="Arial" w:cs="Arial"/>
                <w:kern w:val="0"/>
                <w:sz w:val="24"/>
                <w:szCs w:val="24"/>
                <w:lang w:eastAsia="en-GB"/>
                <w14:ligatures w14:val="none"/>
              </w:rPr>
            </w:pPr>
          </w:p>
        </w:tc>
      </w:tr>
      <w:tr w:rsidR="0038708F" w:rsidRPr="00BE6515" w14:paraId="326D1CE4" w14:textId="77777777" w:rsidTr="00517583">
        <w:tc>
          <w:tcPr>
            <w:tcW w:w="0" w:type="auto"/>
            <w:hideMark/>
          </w:tcPr>
          <w:p w14:paraId="28F613EF"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b/>
                <w:bCs/>
                <w:kern w:val="0"/>
                <w:sz w:val="24"/>
                <w:szCs w:val="24"/>
                <w:lang w:eastAsia="en-GB"/>
                <w14:ligatures w14:val="none"/>
              </w:rPr>
              <w:t>WT Strategy</w:t>
            </w:r>
          </w:p>
        </w:tc>
        <w:tc>
          <w:tcPr>
            <w:tcW w:w="0" w:type="auto"/>
            <w:hideMark/>
          </w:tcPr>
          <w:p w14:paraId="036773B2"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kern w:val="0"/>
                <w:sz w:val="24"/>
                <w:szCs w:val="24"/>
                <w:lang w:eastAsia="en-GB"/>
                <w14:ligatures w14:val="none"/>
              </w:rPr>
              <w:t xml:space="preserve">Improve structural flexibility and risk governance to mitigate competitive and </w:t>
            </w:r>
          </w:p>
          <w:p w14:paraId="32CE2C29" w14:textId="77777777" w:rsidR="0038708F" w:rsidRPr="00BE6515" w:rsidRDefault="0038708F" w:rsidP="00517583">
            <w:pPr>
              <w:rPr>
                <w:rFonts w:ascii="Arial" w:eastAsia="Times New Roman" w:hAnsi="Arial" w:cs="Arial"/>
                <w:kern w:val="0"/>
                <w:sz w:val="24"/>
                <w:szCs w:val="24"/>
                <w:lang w:eastAsia="en-GB"/>
                <w14:ligatures w14:val="none"/>
              </w:rPr>
            </w:pPr>
            <w:r w:rsidRPr="00BE6515">
              <w:rPr>
                <w:rFonts w:ascii="Arial" w:eastAsia="Times New Roman" w:hAnsi="Arial" w:cs="Arial"/>
                <w:kern w:val="0"/>
                <w:sz w:val="24"/>
                <w:szCs w:val="24"/>
                <w:lang w:eastAsia="en-GB"/>
                <w14:ligatures w14:val="none"/>
              </w:rPr>
              <w:t>technological threats.</w:t>
            </w:r>
          </w:p>
          <w:p w14:paraId="2A80F916" w14:textId="77777777" w:rsidR="0038708F" w:rsidRPr="00BE6515" w:rsidRDefault="0038708F" w:rsidP="00517583">
            <w:pPr>
              <w:rPr>
                <w:rFonts w:ascii="Arial" w:eastAsia="Times New Roman" w:hAnsi="Arial" w:cs="Arial"/>
                <w:kern w:val="0"/>
                <w:sz w:val="24"/>
                <w:szCs w:val="24"/>
                <w:lang w:eastAsia="en-GB"/>
                <w14:ligatures w14:val="none"/>
              </w:rPr>
            </w:pPr>
          </w:p>
          <w:p w14:paraId="30E092D1" w14:textId="77777777" w:rsidR="0038708F" w:rsidRPr="00BE6515" w:rsidRDefault="0038708F" w:rsidP="00517583">
            <w:pPr>
              <w:rPr>
                <w:rFonts w:ascii="Arial" w:eastAsia="Times New Roman" w:hAnsi="Arial" w:cs="Arial"/>
                <w:kern w:val="0"/>
                <w:sz w:val="24"/>
                <w:szCs w:val="24"/>
                <w:lang w:eastAsia="en-GB"/>
                <w14:ligatures w14:val="none"/>
              </w:rPr>
            </w:pPr>
          </w:p>
        </w:tc>
      </w:tr>
    </w:tbl>
    <w:p w14:paraId="6CE0E85D" w14:textId="77777777" w:rsidR="0038708F" w:rsidRPr="0038708F" w:rsidRDefault="0038708F" w:rsidP="0038708F">
      <w:pPr>
        <w:rPr>
          <w:rFonts w:ascii="Arial" w:hAnsi="Arial" w:cs="Arial"/>
          <w:color w:val="000000" w:themeColor="text1"/>
          <w:sz w:val="24"/>
          <w:szCs w:val="24"/>
          <w:lang w:val="en-US"/>
        </w:rPr>
      </w:pPr>
    </w:p>
    <w:p w14:paraId="0B3F2901" w14:textId="45962E47" w:rsidR="0038708F" w:rsidRPr="0038708F" w:rsidRDefault="0038708F" w:rsidP="0038708F">
      <w:pPr>
        <w:rPr>
          <w:rFonts w:ascii="Arial" w:hAnsi="Arial" w:cs="Arial"/>
          <w:color w:val="000000" w:themeColor="text1"/>
          <w:sz w:val="24"/>
          <w:szCs w:val="24"/>
        </w:rPr>
      </w:pPr>
      <w:r w:rsidRPr="0038708F">
        <w:rPr>
          <w:rFonts w:ascii="Arial" w:hAnsi="Arial" w:cs="Arial"/>
          <w:color w:val="000000" w:themeColor="text1"/>
          <w:sz w:val="24"/>
          <w:szCs w:val="24"/>
        </w:rPr>
        <w:t>Figure 6</w:t>
      </w:r>
      <w:r w:rsidR="004F0C7C">
        <w:rPr>
          <w:rFonts w:ascii="Arial" w:hAnsi="Arial" w:cs="Arial"/>
          <w:color w:val="000000" w:themeColor="text1"/>
          <w:sz w:val="24"/>
          <w:szCs w:val="24"/>
        </w:rPr>
        <w:t>:</w:t>
      </w:r>
      <w:r w:rsidRPr="0038708F">
        <w:rPr>
          <w:rFonts w:ascii="Arial" w:hAnsi="Arial" w:cs="Arial"/>
          <w:color w:val="000000" w:themeColor="text1"/>
          <w:sz w:val="24"/>
          <w:szCs w:val="24"/>
        </w:rPr>
        <w:t xml:space="preserve"> Change Implementation Framework Based on Kotter (1996)</w:t>
      </w:r>
    </w:p>
    <w:tbl>
      <w:tblPr>
        <w:tblStyle w:val="TableGrid"/>
        <w:tblW w:w="0" w:type="auto"/>
        <w:tblLook w:val="04A0" w:firstRow="1" w:lastRow="0" w:firstColumn="1" w:lastColumn="0" w:noHBand="0" w:noVBand="1"/>
      </w:tblPr>
      <w:tblGrid>
        <w:gridCol w:w="2353"/>
        <w:gridCol w:w="4276"/>
        <w:gridCol w:w="2721"/>
      </w:tblGrid>
      <w:tr w:rsidR="0038708F" w:rsidRPr="0038708F" w14:paraId="3B6C12B0" w14:textId="77777777" w:rsidTr="00517583">
        <w:tc>
          <w:tcPr>
            <w:tcW w:w="0" w:type="auto"/>
            <w:hideMark/>
          </w:tcPr>
          <w:p w14:paraId="1AD1EEA4"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Kotter Stage</w:t>
            </w:r>
          </w:p>
          <w:p w14:paraId="02BCBCE8" w14:textId="77777777" w:rsidR="0038708F" w:rsidRPr="0038708F" w:rsidRDefault="0038708F" w:rsidP="0038708F">
            <w:pPr>
              <w:spacing w:after="200" w:line="276" w:lineRule="auto"/>
              <w:rPr>
                <w:rFonts w:ascii="Arial" w:hAnsi="Arial" w:cs="Arial"/>
                <w:b/>
                <w:bCs/>
                <w:color w:val="000000" w:themeColor="text1"/>
                <w:sz w:val="24"/>
                <w:szCs w:val="24"/>
              </w:rPr>
            </w:pPr>
          </w:p>
          <w:p w14:paraId="1DA7D405" w14:textId="77777777" w:rsidR="0038708F" w:rsidRPr="0038708F" w:rsidRDefault="0038708F" w:rsidP="0038708F">
            <w:pPr>
              <w:spacing w:after="200" w:line="276" w:lineRule="auto"/>
              <w:rPr>
                <w:rFonts w:ascii="Arial" w:hAnsi="Arial" w:cs="Arial"/>
                <w:b/>
                <w:bCs/>
                <w:color w:val="000000" w:themeColor="text1"/>
                <w:sz w:val="24"/>
                <w:szCs w:val="24"/>
              </w:rPr>
            </w:pPr>
          </w:p>
        </w:tc>
        <w:tc>
          <w:tcPr>
            <w:tcW w:w="0" w:type="auto"/>
            <w:hideMark/>
          </w:tcPr>
          <w:p w14:paraId="4A7D7F16"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Organisational Application at Sainsbury</w:t>
            </w:r>
          </w:p>
        </w:tc>
        <w:tc>
          <w:tcPr>
            <w:tcW w:w="0" w:type="auto"/>
            <w:hideMark/>
          </w:tcPr>
          <w:p w14:paraId="4B815378" w14:textId="77777777" w:rsidR="0038708F" w:rsidRPr="0038708F" w:rsidRDefault="0038708F" w:rsidP="0038708F">
            <w:pPr>
              <w:spacing w:after="200" w:line="276" w:lineRule="auto"/>
              <w:rPr>
                <w:rFonts w:ascii="Arial" w:hAnsi="Arial" w:cs="Arial"/>
                <w:b/>
                <w:bCs/>
                <w:color w:val="000000" w:themeColor="text1"/>
                <w:sz w:val="24"/>
                <w:szCs w:val="24"/>
              </w:rPr>
            </w:pPr>
            <w:r w:rsidRPr="0038708F">
              <w:rPr>
                <w:rFonts w:ascii="Arial" w:hAnsi="Arial" w:cs="Arial"/>
                <w:b/>
                <w:bCs/>
                <w:color w:val="000000" w:themeColor="text1"/>
                <w:sz w:val="24"/>
                <w:szCs w:val="24"/>
              </w:rPr>
              <w:t>Strategic Purpose</w:t>
            </w:r>
          </w:p>
        </w:tc>
      </w:tr>
      <w:tr w:rsidR="0038708F" w:rsidRPr="0038708F" w14:paraId="7407EAE8" w14:textId="77777777" w:rsidTr="00517583">
        <w:tc>
          <w:tcPr>
            <w:tcW w:w="0" w:type="auto"/>
            <w:hideMark/>
          </w:tcPr>
          <w:p w14:paraId="3C15B99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1. Establish urgency</w:t>
            </w:r>
          </w:p>
        </w:tc>
        <w:tc>
          <w:tcPr>
            <w:tcW w:w="0" w:type="auto"/>
            <w:hideMark/>
          </w:tcPr>
          <w:p w14:paraId="287D8C8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Communicating digital stagnation risks and competitive pressure</w:t>
            </w:r>
          </w:p>
        </w:tc>
        <w:tc>
          <w:tcPr>
            <w:tcW w:w="0" w:type="auto"/>
            <w:hideMark/>
          </w:tcPr>
          <w:p w14:paraId="7385EDFD"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Reduce complacency in mature sector</w:t>
            </w:r>
          </w:p>
        </w:tc>
      </w:tr>
      <w:tr w:rsidR="0038708F" w:rsidRPr="0038708F" w14:paraId="4F9911F3" w14:textId="77777777" w:rsidTr="00517583">
        <w:tc>
          <w:tcPr>
            <w:tcW w:w="0" w:type="auto"/>
            <w:hideMark/>
          </w:tcPr>
          <w:p w14:paraId="6ECBCAF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2. Form guiding coalition</w:t>
            </w:r>
          </w:p>
        </w:tc>
        <w:tc>
          <w:tcPr>
            <w:tcW w:w="0" w:type="auto"/>
            <w:hideMark/>
          </w:tcPr>
          <w:p w14:paraId="1B36CD09"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Cross-functional leadership team (IT, Operations, Supply Chain, Marketing)</w:t>
            </w:r>
          </w:p>
        </w:tc>
        <w:tc>
          <w:tcPr>
            <w:tcW w:w="0" w:type="auto"/>
            <w:hideMark/>
          </w:tcPr>
          <w:p w14:paraId="2064A19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Prevent initiative fragmentation</w:t>
            </w:r>
          </w:p>
        </w:tc>
      </w:tr>
      <w:tr w:rsidR="0038708F" w:rsidRPr="0038708F" w14:paraId="480F4419" w14:textId="77777777" w:rsidTr="00517583">
        <w:tc>
          <w:tcPr>
            <w:tcW w:w="0" w:type="auto"/>
            <w:hideMark/>
          </w:tcPr>
          <w:p w14:paraId="3E52722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3. Develop vision and strategy</w:t>
            </w:r>
          </w:p>
        </w:tc>
        <w:tc>
          <w:tcPr>
            <w:tcW w:w="0" w:type="auto"/>
            <w:hideMark/>
          </w:tcPr>
          <w:p w14:paraId="7BF29BC2"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Integrated omnichannel transformation narrative</w:t>
            </w:r>
          </w:p>
        </w:tc>
        <w:tc>
          <w:tcPr>
            <w:tcW w:w="0" w:type="auto"/>
            <w:hideMark/>
          </w:tcPr>
          <w:p w14:paraId="254E4DE6"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Strategic coherence</w:t>
            </w:r>
          </w:p>
        </w:tc>
      </w:tr>
      <w:tr w:rsidR="0038708F" w:rsidRPr="0038708F" w14:paraId="66180328" w14:textId="77777777" w:rsidTr="00517583">
        <w:tc>
          <w:tcPr>
            <w:tcW w:w="0" w:type="auto"/>
            <w:hideMark/>
          </w:tcPr>
          <w:p w14:paraId="0CB4613B"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4. Communicate vision</w:t>
            </w:r>
          </w:p>
        </w:tc>
        <w:tc>
          <w:tcPr>
            <w:tcW w:w="0" w:type="auto"/>
            <w:hideMark/>
          </w:tcPr>
          <w:p w14:paraId="7F02C85B"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Internal communication campaigns and managerial alignment</w:t>
            </w:r>
          </w:p>
        </w:tc>
        <w:tc>
          <w:tcPr>
            <w:tcW w:w="0" w:type="auto"/>
            <w:hideMark/>
          </w:tcPr>
          <w:p w14:paraId="28CD468B"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Cultural alignment</w:t>
            </w:r>
          </w:p>
        </w:tc>
      </w:tr>
      <w:tr w:rsidR="0038708F" w:rsidRPr="0038708F" w14:paraId="400F5EED" w14:textId="77777777" w:rsidTr="00517583">
        <w:tc>
          <w:tcPr>
            <w:tcW w:w="0" w:type="auto"/>
            <w:hideMark/>
          </w:tcPr>
          <w:p w14:paraId="423E0C5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5. Empower action</w:t>
            </w:r>
          </w:p>
        </w:tc>
        <w:tc>
          <w:tcPr>
            <w:tcW w:w="0" w:type="auto"/>
            <w:hideMark/>
          </w:tcPr>
          <w:p w14:paraId="616D4F22"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Clarification of responsibilities and removal of structural barriers</w:t>
            </w:r>
          </w:p>
        </w:tc>
        <w:tc>
          <w:tcPr>
            <w:tcW w:w="0" w:type="auto"/>
            <w:hideMark/>
          </w:tcPr>
          <w:p w14:paraId="3981B527"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Execution capability</w:t>
            </w:r>
          </w:p>
        </w:tc>
      </w:tr>
      <w:tr w:rsidR="0038708F" w:rsidRPr="0038708F" w14:paraId="45158A71" w14:textId="77777777" w:rsidTr="00517583">
        <w:tc>
          <w:tcPr>
            <w:tcW w:w="0" w:type="auto"/>
            <w:hideMark/>
          </w:tcPr>
          <w:p w14:paraId="28B9880F"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6. Generate short-term wins</w:t>
            </w:r>
          </w:p>
        </w:tc>
        <w:tc>
          <w:tcPr>
            <w:tcW w:w="0" w:type="auto"/>
            <w:hideMark/>
          </w:tcPr>
          <w:p w14:paraId="70A578B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Pilot projects in predictive analytics and stock optimisation</w:t>
            </w:r>
          </w:p>
        </w:tc>
        <w:tc>
          <w:tcPr>
            <w:tcW w:w="0" w:type="auto"/>
            <w:hideMark/>
          </w:tcPr>
          <w:p w14:paraId="1716144D"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Build credibility</w:t>
            </w:r>
          </w:p>
        </w:tc>
      </w:tr>
      <w:tr w:rsidR="0038708F" w:rsidRPr="0038708F" w14:paraId="793D36DC" w14:textId="77777777" w:rsidTr="00517583">
        <w:tc>
          <w:tcPr>
            <w:tcW w:w="0" w:type="auto"/>
            <w:hideMark/>
          </w:tcPr>
          <w:p w14:paraId="666CDAE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7. Consolidate gains</w:t>
            </w:r>
          </w:p>
        </w:tc>
        <w:tc>
          <w:tcPr>
            <w:tcW w:w="0" w:type="auto"/>
            <w:hideMark/>
          </w:tcPr>
          <w:p w14:paraId="7917BA0B"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Scaling successful digital pilots across the network</w:t>
            </w:r>
          </w:p>
        </w:tc>
        <w:tc>
          <w:tcPr>
            <w:tcW w:w="0" w:type="auto"/>
            <w:hideMark/>
          </w:tcPr>
          <w:p w14:paraId="1E49332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Organisational integration</w:t>
            </w:r>
          </w:p>
        </w:tc>
      </w:tr>
      <w:tr w:rsidR="0038708F" w:rsidRPr="0038708F" w14:paraId="3BDDC16B" w14:textId="77777777" w:rsidTr="00517583">
        <w:tc>
          <w:tcPr>
            <w:tcW w:w="0" w:type="auto"/>
            <w:hideMark/>
          </w:tcPr>
          <w:p w14:paraId="3C6E9D3E"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8. Anchor change</w:t>
            </w:r>
          </w:p>
        </w:tc>
        <w:tc>
          <w:tcPr>
            <w:tcW w:w="0" w:type="auto"/>
            <w:hideMark/>
          </w:tcPr>
          <w:p w14:paraId="7A932F28"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Integration into performance systems and KPIs</w:t>
            </w:r>
          </w:p>
        </w:tc>
        <w:tc>
          <w:tcPr>
            <w:tcW w:w="0" w:type="auto"/>
            <w:hideMark/>
          </w:tcPr>
          <w:p w14:paraId="7B85175A" w14:textId="77777777" w:rsidR="0038708F" w:rsidRPr="0038708F" w:rsidRDefault="0038708F" w:rsidP="0038708F">
            <w:pPr>
              <w:spacing w:after="200" w:line="276" w:lineRule="auto"/>
              <w:rPr>
                <w:rFonts w:ascii="Arial" w:hAnsi="Arial" w:cs="Arial"/>
                <w:color w:val="000000" w:themeColor="text1"/>
                <w:sz w:val="24"/>
                <w:szCs w:val="24"/>
              </w:rPr>
            </w:pPr>
            <w:r w:rsidRPr="0038708F">
              <w:rPr>
                <w:rFonts w:ascii="Arial" w:hAnsi="Arial" w:cs="Arial"/>
                <w:color w:val="000000" w:themeColor="text1"/>
                <w:sz w:val="24"/>
                <w:szCs w:val="24"/>
              </w:rPr>
              <w:t>Long-term sustainability</w:t>
            </w:r>
          </w:p>
        </w:tc>
      </w:tr>
    </w:tbl>
    <w:p w14:paraId="24E70A2A" w14:textId="77777777" w:rsidR="0038708F" w:rsidRDefault="0038708F" w:rsidP="0038708F">
      <w:pPr>
        <w:rPr>
          <w:rFonts w:ascii="Arial" w:hAnsi="Arial" w:cs="Arial"/>
          <w:color w:val="000000" w:themeColor="text1"/>
          <w:sz w:val="24"/>
          <w:szCs w:val="24"/>
        </w:rPr>
      </w:pPr>
    </w:p>
    <w:sectPr w:rsidR="0038708F" w:rsidSect="00D939C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C25EE"/>
    <w:multiLevelType w:val="hybridMultilevel"/>
    <w:tmpl w:val="3D3234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507AEC"/>
    <w:multiLevelType w:val="hybridMultilevel"/>
    <w:tmpl w:val="E4042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1947BE"/>
    <w:multiLevelType w:val="multilevel"/>
    <w:tmpl w:val="040CBB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DC6C34"/>
    <w:multiLevelType w:val="hybridMultilevel"/>
    <w:tmpl w:val="643E0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515FFA"/>
    <w:multiLevelType w:val="hybridMultilevel"/>
    <w:tmpl w:val="7A90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A4AA9"/>
    <w:multiLevelType w:val="hybridMultilevel"/>
    <w:tmpl w:val="06EE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06A77"/>
    <w:multiLevelType w:val="hybridMultilevel"/>
    <w:tmpl w:val="39225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D1D8C"/>
    <w:multiLevelType w:val="multilevel"/>
    <w:tmpl w:val="68281E1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604FC0"/>
    <w:multiLevelType w:val="hybridMultilevel"/>
    <w:tmpl w:val="67267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A556DB"/>
    <w:multiLevelType w:val="hybridMultilevel"/>
    <w:tmpl w:val="C5C80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D17AB1"/>
    <w:multiLevelType w:val="multilevel"/>
    <w:tmpl w:val="718EC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6108DE"/>
    <w:multiLevelType w:val="hybridMultilevel"/>
    <w:tmpl w:val="AA7CE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4351435">
    <w:abstractNumId w:val="10"/>
  </w:num>
  <w:num w:numId="2" w16cid:durableId="733234738">
    <w:abstractNumId w:val="2"/>
  </w:num>
  <w:num w:numId="3" w16cid:durableId="1905752264">
    <w:abstractNumId w:val="7"/>
  </w:num>
  <w:num w:numId="4" w16cid:durableId="2056655423">
    <w:abstractNumId w:val="0"/>
  </w:num>
  <w:num w:numId="5" w16cid:durableId="1284656782">
    <w:abstractNumId w:val="1"/>
  </w:num>
  <w:num w:numId="6" w16cid:durableId="791941592">
    <w:abstractNumId w:val="3"/>
  </w:num>
  <w:num w:numId="7" w16cid:durableId="1786271873">
    <w:abstractNumId w:val="4"/>
  </w:num>
  <w:num w:numId="8" w16cid:durableId="799540107">
    <w:abstractNumId w:val="5"/>
  </w:num>
  <w:num w:numId="9" w16cid:durableId="598568601">
    <w:abstractNumId w:val="8"/>
  </w:num>
  <w:num w:numId="10" w16cid:durableId="296690434">
    <w:abstractNumId w:val="6"/>
  </w:num>
  <w:num w:numId="11" w16cid:durableId="2012635384">
    <w:abstractNumId w:val="9"/>
  </w:num>
  <w:num w:numId="12" w16cid:durableId="2680493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IwMDG0MDUzNDE1NDRR0lEKTi0uzszPAykwqQUAYX70/iwAAAA="/>
  </w:docVars>
  <w:rsids>
    <w:rsidRoot w:val="00136BF3"/>
    <w:rsid w:val="00036D12"/>
    <w:rsid w:val="000E2074"/>
    <w:rsid w:val="00136BF3"/>
    <w:rsid w:val="0020736B"/>
    <w:rsid w:val="00302822"/>
    <w:rsid w:val="0038708F"/>
    <w:rsid w:val="00467692"/>
    <w:rsid w:val="004A1E6B"/>
    <w:rsid w:val="004F0C7C"/>
    <w:rsid w:val="00560DD6"/>
    <w:rsid w:val="00567E3C"/>
    <w:rsid w:val="005D53FD"/>
    <w:rsid w:val="0063659F"/>
    <w:rsid w:val="008670A6"/>
    <w:rsid w:val="008B61A6"/>
    <w:rsid w:val="008D44CA"/>
    <w:rsid w:val="008D59CD"/>
    <w:rsid w:val="00AD722E"/>
    <w:rsid w:val="00AE10C6"/>
    <w:rsid w:val="00B319FB"/>
    <w:rsid w:val="00BE6515"/>
    <w:rsid w:val="00BF1346"/>
    <w:rsid w:val="00C06470"/>
    <w:rsid w:val="00C25281"/>
    <w:rsid w:val="00C74C5B"/>
    <w:rsid w:val="00CA006A"/>
    <w:rsid w:val="00CA4332"/>
    <w:rsid w:val="00D0269E"/>
    <w:rsid w:val="00D17EFC"/>
    <w:rsid w:val="00D2313B"/>
    <w:rsid w:val="00D939CC"/>
    <w:rsid w:val="00E12A86"/>
    <w:rsid w:val="00E54789"/>
    <w:rsid w:val="00E8154A"/>
    <w:rsid w:val="00F140C8"/>
    <w:rsid w:val="00F22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2958"/>
  <w15:chartTrackingRefBased/>
  <w15:docId w15:val="{181F494B-31B5-4541-BAD7-B512C35D0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08F"/>
    <w:rPr>
      <w:lang w:val="en-GB"/>
    </w:rPr>
  </w:style>
  <w:style w:type="paragraph" w:styleId="Heading1">
    <w:name w:val="heading 1"/>
    <w:basedOn w:val="Normal"/>
    <w:next w:val="Normal"/>
    <w:link w:val="Heading1Char"/>
    <w:uiPriority w:val="9"/>
    <w:qFormat/>
    <w:rsid w:val="00136BF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136BF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136BF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36BF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36BF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36B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B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B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B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BF3"/>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136BF3"/>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rsid w:val="00136BF3"/>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136BF3"/>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136BF3"/>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136BF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6BF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6BF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6BF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6B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BF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6BF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BF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6B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36BF3"/>
    <w:rPr>
      <w:i/>
      <w:iCs/>
      <w:color w:val="404040" w:themeColor="text1" w:themeTint="BF"/>
      <w:lang w:val="en-GB"/>
    </w:rPr>
  </w:style>
  <w:style w:type="paragraph" w:styleId="ListParagraph">
    <w:name w:val="List Paragraph"/>
    <w:basedOn w:val="Normal"/>
    <w:uiPriority w:val="34"/>
    <w:qFormat/>
    <w:rsid w:val="00136BF3"/>
    <w:pPr>
      <w:ind w:left="720"/>
      <w:contextualSpacing/>
    </w:pPr>
  </w:style>
  <w:style w:type="character" w:styleId="IntenseEmphasis">
    <w:name w:val="Intense Emphasis"/>
    <w:basedOn w:val="DefaultParagraphFont"/>
    <w:uiPriority w:val="21"/>
    <w:qFormat/>
    <w:rsid w:val="00136BF3"/>
    <w:rPr>
      <w:i/>
      <w:iCs/>
      <w:color w:val="365F91" w:themeColor="accent1" w:themeShade="BF"/>
    </w:rPr>
  </w:style>
  <w:style w:type="paragraph" w:styleId="IntenseQuote">
    <w:name w:val="Intense Quote"/>
    <w:basedOn w:val="Normal"/>
    <w:next w:val="Normal"/>
    <w:link w:val="IntenseQuoteChar"/>
    <w:uiPriority w:val="30"/>
    <w:qFormat/>
    <w:rsid w:val="00136BF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36BF3"/>
    <w:rPr>
      <w:i/>
      <w:iCs/>
      <w:color w:val="365F91" w:themeColor="accent1" w:themeShade="BF"/>
      <w:lang w:val="en-GB"/>
    </w:rPr>
  </w:style>
  <w:style w:type="character" w:styleId="IntenseReference">
    <w:name w:val="Intense Reference"/>
    <w:basedOn w:val="DefaultParagraphFont"/>
    <w:uiPriority w:val="32"/>
    <w:qFormat/>
    <w:rsid w:val="00136BF3"/>
    <w:rPr>
      <w:b/>
      <w:bCs/>
      <w:smallCaps/>
      <w:color w:val="365F91" w:themeColor="accent1" w:themeShade="BF"/>
      <w:spacing w:val="5"/>
    </w:rPr>
  </w:style>
  <w:style w:type="paragraph" w:styleId="NoSpacing">
    <w:name w:val="No Spacing"/>
    <w:link w:val="NoSpacingChar"/>
    <w:uiPriority w:val="1"/>
    <w:qFormat/>
    <w:rsid w:val="00D939CC"/>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D939CC"/>
    <w:rPr>
      <w:rFonts w:eastAsiaTheme="minorEastAsia"/>
      <w:kern w:val="0"/>
    </w:rPr>
  </w:style>
  <w:style w:type="paragraph" w:styleId="TOCHeading">
    <w:name w:val="TOC Heading"/>
    <w:basedOn w:val="Heading1"/>
    <w:next w:val="Normal"/>
    <w:uiPriority w:val="39"/>
    <w:unhideWhenUsed/>
    <w:qFormat/>
    <w:rsid w:val="00D939C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D939CC"/>
    <w:pPr>
      <w:spacing w:after="100"/>
    </w:pPr>
  </w:style>
  <w:style w:type="paragraph" w:styleId="TOC2">
    <w:name w:val="toc 2"/>
    <w:basedOn w:val="Normal"/>
    <w:next w:val="Normal"/>
    <w:autoRedefine/>
    <w:uiPriority w:val="39"/>
    <w:unhideWhenUsed/>
    <w:rsid w:val="00D939CC"/>
    <w:pPr>
      <w:spacing w:after="100"/>
      <w:ind w:left="220"/>
    </w:pPr>
  </w:style>
  <w:style w:type="character" w:styleId="Hyperlink">
    <w:name w:val="Hyperlink"/>
    <w:basedOn w:val="DefaultParagraphFont"/>
    <w:uiPriority w:val="99"/>
    <w:unhideWhenUsed/>
    <w:rsid w:val="00D939CC"/>
    <w:rPr>
      <w:color w:val="0000FF" w:themeColor="hyperlink"/>
      <w:u w:val="single"/>
    </w:rPr>
  </w:style>
  <w:style w:type="paragraph" w:styleId="NormalWeb">
    <w:name w:val="Normal (Web)"/>
    <w:basedOn w:val="Normal"/>
    <w:uiPriority w:val="99"/>
    <w:semiHidden/>
    <w:unhideWhenUsed/>
    <w:rsid w:val="00AD722E"/>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Strong">
    <w:name w:val="Strong"/>
    <w:basedOn w:val="DefaultParagraphFont"/>
    <w:uiPriority w:val="22"/>
    <w:qFormat/>
    <w:rsid w:val="00AD722E"/>
    <w:rPr>
      <w:b/>
      <w:bCs/>
    </w:rPr>
  </w:style>
  <w:style w:type="character" w:styleId="Emphasis">
    <w:name w:val="Emphasis"/>
    <w:basedOn w:val="DefaultParagraphFont"/>
    <w:uiPriority w:val="20"/>
    <w:qFormat/>
    <w:rsid w:val="00AD722E"/>
    <w:rPr>
      <w:i/>
      <w:iCs/>
    </w:rPr>
  </w:style>
  <w:style w:type="character" w:styleId="UnresolvedMention">
    <w:name w:val="Unresolved Mention"/>
    <w:basedOn w:val="DefaultParagraphFont"/>
    <w:uiPriority w:val="99"/>
    <w:semiHidden/>
    <w:unhideWhenUsed/>
    <w:rsid w:val="00467692"/>
    <w:rPr>
      <w:color w:val="605E5C"/>
      <w:shd w:val="clear" w:color="auto" w:fill="E1DFDD"/>
    </w:rPr>
  </w:style>
  <w:style w:type="table" w:styleId="TableGrid">
    <w:name w:val="Table Grid"/>
    <w:basedOn w:val="TableNormal"/>
    <w:uiPriority w:val="59"/>
    <w:rsid w:val="00467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8D59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D59CD"/>
    <w:rPr>
      <w:rFonts w:ascii="Courier New" w:eastAsia="Times New Roman" w:hAnsi="Courier New" w:cs="Courier New"/>
      <w:kern w:val="0"/>
      <w:sz w:val="20"/>
      <w:szCs w:val="20"/>
      <w:lang w:val="en-GB" w:eastAsia="en-GB"/>
      <w14:ligatures w14:val="none"/>
    </w:rPr>
  </w:style>
  <w:style w:type="character" w:customStyle="1" w:styleId="y2iqfc">
    <w:name w:val="y2iqfc"/>
    <w:basedOn w:val="DefaultParagraphFont"/>
    <w:rsid w:val="008D5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fif"/><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7B8B2925E14057A3D54BF19DF54ED9"/>
        <w:category>
          <w:name w:val="General"/>
          <w:gallery w:val="placeholder"/>
        </w:category>
        <w:types>
          <w:type w:val="bbPlcHdr"/>
        </w:types>
        <w:behaviors>
          <w:behavior w:val="content"/>
        </w:behaviors>
        <w:guid w:val="{E60A7746-D3AB-4F35-8274-A14D6BCAC077}"/>
      </w:docPartPr>
      <w:docPartBody>
        <w:p w:rsidR="00864531" w:rsidRDefault="009D0B22" w:rsidP="009D0B22">
          <w:pPr>
            <w:pStyle w:val="977B8B2925E14057A3D54BF19DF54ED9"/>
          </w:pPr>
          <w:r>
            <w:rPr>
              <w:rFonts w:asciiTheme="majorHAnsi" w:eastAsiaTheme="majorEastAsia" w:hAnsiTheme="majorHAnsi" w:cstheme="majorBidi"/>
              <w:caps/>
              <w:color w:val="4472C4" w:themeColor="accent1"/>
              <w:sz w:val="80"/>
              <w:szCs w:val="80"/>
            </w:rPr>
            <w:t>[Document title]</w:t>
          </w:r>
        </w:p>
      </w:docPartBody>
    </w:docPart>
    <w:docPart>
      <w:docPartPr>
        <w:name w:val="605B21BCF9C442CCB7C90A8136392282"/>
        <w:category>
          <w:name w:val="General"/>
          <w:gallery w:val="placeholder"/>
        </w:category>
        <w:types>
          <w:type w:val="bbPlcHdr"/>
        </w:types>
        <w:behaviors>
          <w:behavior w:val="content"/>
        </w:behaviors>
        <w:guid w:val="{8503A4B0-BF46-4553-894F-E3C52AC74A8F}"/>
      </w:docPartPr>
      <w:docPartBody>
        <w:p w:rsidR="00864531" w:rsidRDefault="009D0B22" w:rsidP="009D0B22">
          <w:pPr>
            <w:pStyle w:val="605B21BCF9C442CCB7C90A813639228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B22"/>
    <w:rsid w:val="002C1E94"/>
    <w:rsid w:val="003F0FE7"/>
    <w:rsid w:val="0063659F"/>
    <w:rsid w:val="00752245"/>
    <w:rsid w:val="00864531"/>
    <w:rsid w:val="008B61A6"/>
    <w:rsid w:val="009C6D22"/>
    <w:rsid w:val="009D0B22"/>
    <w:rsid w:val="00AB3C20"/>
    <w:rsid w:val="00D0269E"/>
    <w:rsid w:val="00D17EFC"/>
    <w:rsid w:val="00E12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7B8B2925E14057A3D54BF19DF54ED9">
    <w:name w:val="977B8B2925E14057A3D54BF19DF54ED9"/>
    <w:rsid w:val="009D0B22"/>
  </w:style>
  <w:style w:type="paragraph" w:customStyle="1" w:styleId="605B21BCF9C442CCB7C90A8136392282">
    <w:name w:val="605B21BCF9C442CCB7C90A8136392282"/>
    <w:rsid w:val="009D0B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University of WalesTrinity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DCB43-916E-4AB4-A3A7-BA340FAA3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8881</Words>
  <Characters>50628</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Luciana Stafi - 2130653</Company>
  <LinksUpToDate>false</LinksUpToDate>
  <CharactersWithSpaces>59391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THE RESHAPING OF THE STRATEGIC DIRECTION IN THE CONTEXT OF DIGITAL CHANGE</dc:title>
  <dc:subject>Sainsbury’s Study Case</dc:subject>
  <dc:creator>Andrei Stafi</dc:creator>
  <cp:keywords/>
  <dc:description/>
  <cp:lastModifiedBy>Andrei Stafi</cp:lastModifiedBy>
  <cp:revision>20</cp:revision>
  <dcterms:created xsi:type="dcterms:W3CDTF">2026-05-06T14:12:00Z</dcterms:created>
  <dcterms:modified xsi:type="dcterms:W3CDTF">2026-05-10T08:08:00Z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335a9d71-e8e8-4a2d-86f9-8fbd9445bced</vt:lpwstr>
  </property>
</Properties>
</file>