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diagrams/drawing1.xml" ContentType="application/vnd.ms-office.drawingml.diagramDrawing+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word/numbering.xml" ContentType="application/vnd.openxmlformats-officedocument.wordprocessingml.numbering+xml"/>
  <Override PartName="/word/diagrams/data1.xml" ContentType="application/vnd.openxmlformats-officedocument.drawingml.diagramData+xml"/>
  <Override PartName="/word/diagrams/colors1.xml" ContentType="application/vnd.openxmlformats-officedocument.drawingml.diagramColors+xml"/>
  <Override PartName="/word/settings.xml" ContentType="application/vnd.openxmlformats-officedocument.wordprocessingml.settings+xml"/>
  <Override PartName="/docProps/custom.xml" ContentType="application/vnd.openxmlformats-officedocument.custom-properties+xml"/>
  <Override PartName="/word/diagrams/layout1.xml" ContentType="application/vnd.openxmlformats-officedocument.drawingml.diagramLayout+xml"/>
  <Override PartName="/word/document.xml" ContentType="application/vnd.openxmlformats-officedocument.wordprocessingml.document.main+xml"/>
  <Override PartName="/customXml/itemProps1.xml" ContentType="application/vnd.openxmlformats-officedocument.customXmlProperties+xml"/>
  <Override PartName="/word/diagrams/quickStyle1.xml" ContentType="application/vnd.openxmlformats-officedocument.drawingml.diagramStyle+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ody>
    <w:p>
      <w:pPr>
        <w:pStyle w:val="style0"/>
        <w:rPr>
          <w:rFonts w:ascii="Calibri Light" w:cs="宋体" w:eastAsia="宋体" w:hAnsi="Calibri Light"/>
          <w:color w:val="auto"/>
          <w:spacing w:val="-10"/>
          <w:kern w:val="28"/>
          <w:sz w:val="56"/>
          <w:szCs w:val="56"/>
        </w:rPr>
      </w:pPr>
      <w:r>
        <w:rPr>
          <w:rFonts w:ascii="Arial" w:cs="Arial" w:hAnsi="Arial"/>
          <w:noProof/>
        </w:rPr>
        <w:drawing>
          <wp:anchor distT="0" distB="0" distL="114300" distR="114300" simplePos="false" relativeHeight="2" behindDoc="false" locked="false" layoutInCell="true" allowOverlap="true">
            <wp:simplePos x="0" y="0"/>
            <wp:positionH relativeFrom="column">
              <wp:posOffset>0</wp:posOffset>
            </wp:positionH>
            <wp:positionV relativeFrom="paragraph">
              <wp:posOffset>96866</wp:posOffset>
            </wp:positionV>
            <wp:extent cx="1809750" cy="723900"/>
            <wp:effectExtent l="0" t="0" r="0" b="0"/>
            <wp:wrapSquare wrapText="bothSides"/>
            <wp:docPr id="1026" name="Picture 1" descr="Discover University of Wales Trinity Saint Davi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1809750" cy="723900"/>
                    </a:xfrm>
                    <a:prstGeom prst="rect"/>
                    <a:ln>
                      <a:noFill/>
                    </a:ln>
                  </pic:spPr>
                </pic:pic>
              </a:graphicData>
            </a:graphic>
          </wp:anchor>
        </w:drawing>
      </w:r>
    </w:p>
    <w:p>
      <w:pPr>
        <w:pStyle w:val="style0"/>
        <w:rPr>
          <w:rFonts w:ascii="Calibri Light" w:cs="宋体" w:eastAsia="宋体" w:hAnsi="Calibri Light"/>
          <w:color w:val="auto"/>
          <w:spacing w:val="-10"/>
          <w:kern w:val="28"/>
          <w:sz w:val="56"/>
          <w:szCs w:val="56"/>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968"/>
      </w:tblGrid>
      <w:tr>
        <w:trPr/>
        <w:tc>
          <w:tcPr>
            <w:tcW w:w="9922" w:type="dxa"/>
            <w:tcBorders/>
            <w:shd w:val="clear" w:color="auto" w:fill="c0c0c0"/>
          </w:tcPr>
          <w:p>
            <w:pPr>
              <w:pStyle w:val="style0"/>
              <w:keepNext/>
              <w:spacing w:before="120" w:after="120" w:lineRule="auto" w:line="240"/>
              <w:jc w:val="center"/>
              <w:outlineLvl w:val="3"/>
              <w:rPr>
                <w:rFonts w:ascii="Arial" w:cs="Arial" w:eastAsia="Times New Roman" w:hAnsi="Arial"/>
                <w:b/>
                <w:color w:val="auto"/>
                <w:sz w:val="40"/>
                <w:szCs w:val="20"/>
                <w:lang w:eastAsia="en-GB"/>
              </w:rPr>
            </w:pPr>
            <w:r>
              <w:rPr>
                <w:rFonts w:ascii="Arial" w:cs="Arial" w:eastAsia="Times New Roman" w:hAnsi="Arial"/>
                <w:b/>
                <w:color w:val="auto"/>
                <w:sz w:val="40"/>
                <w:szCs w:val="20"/>
                <w:lang w:eastAsia="en-GB"/>
              </w:rPr>
              <w:t xml:space="preserve">LEVEL 4 ASSESSMENT SPECIFICATION </w:t>
            </w:r>
          </w:p>
        </w:tc>
      </w:tr>
    </w:tbl>
    <w:p>
      <w:pPr>
        <w:pStyle w:val="style0"/>
        <w:spacing w:after="0" w:lineRule="auto" w:line="240"/>
        <w:jc w:val="center"/>
        <w:rPr>
          <w:rFonts w:ascii="Arial" w:cs="Arial" w:eastAsia="Times New Roman" w:hAnsi="Arial"/>
          <w:b/>
          <w:i/>
          <w:color w:val="auto"/>
          <w:sz w:val="32"/>
          <w:szCs w:val="20"/>
          <w:lang w:eastAsia="en-GB"/>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trPr/>
        <w:tc>
          <w:tcPr>
            <w:tcW w:w="2093" w:type="dxa"/>
            <w:tcBorders/>
            <w:shd w:val="pct15" w:color="auto" w:fill="auto"/>
          </w:tcPr>
          <w:p>
            <w:pPr>
              <w:pStyle w:val="style0"/>
              <w:spacing w:before="120" w:after="120" w:lineRule="auto" w:line="240"/>
              <w:rPr>
                <w:rFonts w:ascii="Arial" w:cs="Arial" w:eastAsia="Times New Roman" w:hAnsi="Arial"/>
                <w:b/>
                <w:color w:val="auto"/>
                <w:lang w:eastAsia="en-GB"/>
              </w:rPr>
            </w:pPr>
            <w:r>
              <w:rPr>
                <w:rFonts w:ascii="Arial" w:cs="Arial" w:eastAsia="Times New Roman" w:hAnsi="Arial"/>
                <w:b/>
                <w:color w:val="auto"/>
                <w:sz w:val="22"/>
                <w:lang w:eastAsia="en-GB"/>
              </w:rPr>
              <w:t>Student name:</w:t>
            </w:r>
          </w:p>
        </w:tc>
        <w:tc>
          <w:tcPr>
            <w:tcW w:w="3293" w:type="dxa"/>
            <w:tcBorders/>
          </w:tcPr>
          <w:p>
            <w:pPr>
              <w:pStyle w:val="style0"/>
              <w:spacing w:before="120" w:after="120" w:lineRule="auto" w:line="240"/>
              <w:rPr>
                <w:rFonts w:ascii="Arial" w:cs="Arial" w:eastAsia="Times New Roman" w:hAnsi="Arial"/>
                <w:b/>
                <w:color w:val="auto"/>
                <w:lang w:eastAsia="en-GB"/>
              </w:rPr>
            </w:pPr>
            <w:r>
              <w:rPr>
                <w:rFonts w:cs="Arial" w:eastAsia="Times New Roman" w:hAnsi="Arial"/>
                <w:b/>
                <w:color w:val="auto"/>
                <w:lang w:val="en-US" w:eastAsia="en-GB"/>
              </w:rPr>
              <w:t xml:space="preserve"> Md Mahbub Alom</w:t>
            </w:r>
          </w:p>
          <w:p>
            <w:pPr>
              <w:pStyle w:val="style0"/>
              <w:spacing w:before="120" w:after="120" w:lineRule="auto" w:line="240"/>
              <w:rPr>
                <w:rFonts w:ascii="Arial" w:cs="Arial" w:eastAsia="Times New Roman" w:hAnsi="Arial"/>
                <w:b/>
                <w:color w:val="auto"/>
                <w:lang w:eastAsia="en-GB"/>
              </w:rPr>
            </w:pPr>
          </w:p>
        </w:tc>
        <w:tc>
          <w:tcPr>
            <w:tcW w:w="2268" w:type="dxa"/>
            <w:tcBorders/>
            <w:shd w:val="clear" w:color="auto" w:fill="d9d9d9"/>
          </w:tcPr>
          <w:p>
            <w:pPr>
              <w:pStyle w:val="style0"/>
              <w:spacing w:before="120" w:after="120" w:lineRule="auto" w:line="240"/>
              <w:rPr>
                <w:rFonts w:ascii="Arial" w:cs="Arial" w:eastAsia="Times New Roman" w:hAnsi="Arial"/>
                <w:b/>
                <w:color w:val="auto"/>
                <w:lang w:eastAsia="en-GB"/>
              </w:rPr>
            </w:pPr>
            <w:r>
              <w:rPr>
                <w:rFonts w:ascii="Arial" w:cs="Arial" w:eastAsia="Times New Roman" w:hAnsi="Arial"/>
                <w:b/>
                <w:color w:val="auto"/>
                <w:sz w:val="22"/>
                <w:lang w:eastAsia="en-GB"/>
              </w:rPr>
              <w:t>Student ID number:</w:t>
            </w:r>
          </w:p>
        </w:tc>
        <w:tc>
          <w:tcPr>
            <w:tcW w:w="2268" w:type="dxa"/>
            <w:tcBorders/>
          </w:tcPr>
          <w:p>
            <w:pPr>
              <w:pStyle w:val="style0"/>
              <w:spacing w:before="120" w:after="120" w:lineRule="auto" w:line="240"/>
              <w:rPr>
                <w:rFonts w:ascii="Arial" w:cs="Arial" w:eastAsia="Times New Roman" w:hAnsi="Arial"/>
                <w:b/>
                <w:color w:val="auto"/>
                <w:lang w:eastAsia="en-GB"/>
              </w:rPr>
            </w:pPr>
            <w:r>
              <w:rPr>
                <w:rFonts w:ascii="Arial" w:cs="Arial" w:eastAsia="Times New Roman" w:hAnsi="Arial"/>
                <w:b/>
                <w:color w:val="auto"/>
                <w:lang w:val="en-US" w:eastAsia="en-GB"/>
              </w:rPr>
              <w:t>2121734</w:t>
            </w:r>
          </w:p>
          <w:p>
            <w:pPr>
              <w:pStyle w:val="style0"/>
              <w:spacing w:before="120" w:after="120" w:lineRule="auto" w:line="240"/>
              <w:rPr>
                <w:rFonts w:ascii="Arial" w:cs="Arial" w:eastAsia="Times New Roman" w:hAnsi="Arial"/>
                <w:b/>
                <w:color w:val="auto"/>
                <w:lang w:eastAsia="en-GB"/>
              </w:rPr>
            </w:pPr>
          </w:p>
        </w:tc>
      </w:tr>
      <w:tr>
        <w:tblPrEx/>
        <w:trPr/>
        <w:tc>
          <w:tcPr>
            <w:tcW w:w="2093" w:type="dxa"/>
            <w:tcBorders/>
            <w:shd w:val="pct15" w:color="auto" w:fill="auto"/>
          </w:tcPr>
          <w:p>
            <w:pPr>
              <w:pStyle w:val="style0"/>
              <w:spacing w:before="120" w:after="120" w:lineRule="auto" w:line="240"/>
              <w:rPr>
                <w:rFonts w:ascii="Arial" w:cs="Arial" w:eastAsia="Times New Roman" w:hAnsi="Arial"/>
                <w:b/>
                <w:color w:val="auto"/>
                <w:lang w:eastAsia="en-GB"/>
              </w:rPr>
            </w:pPr>
            <w:r>
              <w:rPr>
                <w:rFonts w:ascii="Arial" w:cs="Arial" w:eastAsia="Times New Roman" w:hAnsi="Arial"/>
                <w:b/>
                <w:color w:val="auto"/>
                <w:sz w:val="22"/>
                <w:lang w:eastAsia="en-GB"/>
              </w:rPr>
              <w:t>Programme:</w:t>
            </w:r>
          </w:p>
        </w:tc>
        <w:tc>
          <w:tcPr>
            <w:tcW w:w="7829" w:type="dxa"/>
            <w:gridSpan w:val="3"/>
            <w:tcBorders/>
          </w:tcPr>
          <w:p>
            <w:pPr>
              <w:pStyle w:val="style0"/>
              <w:spacing w:after="0" w:lineRule="auto" w:line="240"/>
              <w:jc w:val="left"/>
              <w:rPr>
                <w:rFonts w:ascii="Arial" w:cs="Arial" w:eastAsia="Times New Roman" w:hAnsi="Arial"/>
                <w:bCs/>
                <w:color w:val="auto"/>
                <w:szCs w:val="24"/>
                <w:lang w:eastAsia="en-GB"/>
              </w:rPr>
            </w:pPr>
            <w:r>
              <w:rPr>
                <w:rFonts w:ascii="Arial" w:cs="Arial" w:eastAsia="Times New Roman" w:hAnsi="Arial"/>
                <w:bCs/>
                <w:color w:val="auto"/>
                <w:szCs w:val="24"/>
                <w:lang w:eastAsia="en-GB"/>
              </w:rPr>
              <w:t>Certificate of Higher Education Skills for the Workplace</w:t>
            </w:r>
          </w:p>
        </w:tc>
      </w:tr>
      <w:tr>
        <w:tblPrEx/>
        <w:trPr/>
        <w:tc>
          <w:tcPr>
            <w:tcW w:w="2093" w:type="dxa"/>
            <w:tcBorders/>
            <w:shd w:val="pct15" w:color="auto" w:fill="auto"/>
          </w:tcPr>
          <w:p>
            <w:pPr>
              <w:pStyle w:val="style0"/>
              <w:spacing w:before="120" w:after="120" w:lineRule="auto" w:line="240"/>
              <w:rPr>
                <w:rFonts w:ascii="Arial" w:cs="Arial" w:eastAsia="Times New Roman" w:hAnsi="Arial"/>
                <w:b/>
                <w:color w:val="auto"/>
                <w:lang w:eastAsia="en-GB"/>
              </w:rPr>
            </w:pPr>
            <w:r>
              <w:rPr>
                <w:rFonts w:ascii="Arial" w:cs="Arial" w:eastAsia="Times New Roman" w:hAnsi="Arial"/>
                <w:b/>
                <w:color w:val="auto"/>
                <w:sz w:val="22"/>
                <w:lang w:eastAsia="en-GB"/>
              </w:rPr>
              <w:t>Module:</w:t>
            </w:r>
          </w:p>
        </w:tc>
        <w:tc>
          <w:tcPr>
            <w:tcW w:w="7829" w:type="dxa"/>
            <w:gridSpan w:val="3"/>
            <w:tcBorders/>
            <w:shd w:val="clear" w:color="auto" w:fill="auto"/>
          </w:tcPr>
          <w:p>
            <w:pPr>
              <w:pStyle w:val="style0"/>
              <w:spacing w:before="120" w:after="120" w:lineRule="auto" w:line="240"/>
              <w:rPr>
                <w:rFonts w:ascii="Arial" w:cs="Arial" w:eastAsia="Times New Roman" w:hAnsi="Arial"/>
                <w:bCs/>
                <w:color w:val="auto"/>
                <w:szCs w:val="24"/>
                <w:lang w:eastAsia="en-GB"/>
              </w:rPr>
            </w:pPr>
            <w:r>
              <w:rPr>
                <w:rFonts w:ascii="Arial" w:cs="Arial" w:eastAsia="Times New Roman" w:hAnsi="Arial"/>
                <w:bCs/>
                <w:color w:val="auto"/>
                <w:szCs w:val="24"/>
                <w:lang w:eastAsia="en-GB"/>
              </w:rPr>
              <w:t xml:space="preserve">Academic and Employability Skills  </w:t>
            </w:r>
          </w:p>
        </w:tc>
      </w:tr>
      <w:tr>
        <w:tblPrEx/>
        <w:trPr/>
        <w:tc>
          <w:tcPr>
            <w:tcW w:w="2093" w:type="dxa"/>
            <w:tcBorders/>
            <w:shd w:val="pct15" w:color="auto" w:fill="auto"/>
          </w:tcPr>
          <w:p>
            <w:pPr>
              <w:pStyle w:val="style0"/>
              <w:spacing w:before="120" w:after="120" w:lineRule="auto" w:line="240"/>
              <w:rPr>
                <w:rFonts w:ascii="Arial" w:cs="Arial" w:eastAsia="Times New Roman" w:hAnsi="Arial"/>
                <w:b/>
                <w:color w:val="auto"/>
                <w:lang w:eastAsia="en-GB"/>
              </w:rPr>
            </w:pPr>
            <w:r>
              <w:rPr>
                <w:rFonts w:ascii="Arial" w:cs="Arial" w:eastAsia="Times New Roman" w:hAnsi="Arial"/>
                <w:b/>
                <w:color w:val="auto"/>
                <w:sz w:val="22"/>
                <w:lang w:eastAsia="en-GB"/>
              </w:rPr>
              <w:t>Module code:</w:t>
            </w:r>
          </w:p>
        </w:tc>
        <w:tc>
          <w:tcPr>
            <w:tcW w:w="3293" w:type="dxa"/>
            <w:tcBorders/>
          </w:tcPr>
          <w:p>
            <w:pPr>
              <w:pStyle w:val="style0"/>
              <w:spacing w:before="120" w:after="120" w:lineRule="auto" w:line="240"/>
              <w:rPr>
                <w:rFonts w:ascii="Arial" w:cs="Arial" w:eastAsia="Times New Roman" w:hAnsi="Arial"/>
                <w:b/>
                <w:color w:val="auto"/>
                <w:lang w:eastAsia="en-GB"/>
              </w:rPr>
            </w:pPr>
            <w:r>
              <w:rPr>
                <w:rFonts w:ascii="Arial" w:cs="Arial" w:eastAsia="Times New Roman" w:hAnsi="Arial"/>
                <w:color w:val="auto"/>
                <w:sz w:val="22"/>
                <w:lang w:eastAsia="en-GB"/>
              </w:rPr>
              <w:t>BMSW4001_BIRM</w:t>
            </w:r>
          </w:p>
        </w:tc>
        <w:tc>
          <w:tcPr>
            <w:tcW w:w="2268" w:type="dxa"/>
            <w:tcBorders/>
            <w:shd w:val="clear" w:color="auto" w:fill="d9d9d9"/>
          </w:tcPr>
          <w:p>
            <w:pPr>
              <w:pStyle w:val="style0"/>
              <w:keepNext/>
              <w:spacing w:after="0" w:lineRule="auto" w:line="240"/>
              <w:outlineLvl w:val="1"/>
              <w:rPr>
                <w:rFonts w:ascii="Arial" w:cs="Arial" w:eastAsia="Times New Roman" w:hAnsi="Arial"/>
                <w:b/>
                <w:color w:val="auto"/>
                <w:lang w:eastAsia="en-GB"/>
              </w:rPr>
            </w:pPr>
            <w:r>
              <w:rPr>
                <w:rFonts w:ascii="Arial" w:cs="Arial" w:eastAsia="Times New Roman" w:hAnsi="Arial"/>
                <w:b/>
                <w:color w:val="auto"/>
                <w:sz w:val="22"/>
                <w:lang w:eastAsia="en-GB"/>
              </w:rPr>
              <w:t>Contribution to Overall Module Assessment (%):</w:t>
            </w:r>
          </w:p>
        </w:tc>
        <w:tc>
          <w:tcPr>
            <w:tcW w:w="2268" w:type="dxa"/>
            <w:tcBorders/>
          </w:tcPr>
          <w:p>
            <w:pPr>
              <w:pStyle w:val="style0"/>
              <w:spacing w:before="120" w:after="120" w:lineRule="auto" w:line="240"/>
              <w:rPr>
                <w:rFonts w:ascii="Arial" w:cs="Arial" w:eastAsia="Times New Roman" w:hAnsi="Arial"/>
                <w:b/>
                <w:color w:val="auto"/>
                <w:lang w:eastAsia="en-GB"/>
              </w:rPr>
            </w:pPr>
            <w:r>
              <w:rPr>
                <w:rFonts w:ascii="Arial" w:cs="Arial" w:eastAsia="Times New Roman" w:hAnsi="Arial"/>
                <w:b/>
                <w:color w:val="auto"/>
                <w:sz w:val="22"/>
                <w:lang w:eastAsia="en-GB"/>
              </w:rPr>
              <w:t>100%</w:t>
            </w:r>
          </w:p>
        </w:tc>
      </w:tr>
      <w:tr>
        <w:tblPrEx/>
        <w:trPr/>
        <w:tc>
          <w:tcPr>
            <w:tcW w:w="2093" w:type="dxa"/>
            <w:tcBorders/>
            <w:shd w:val="pct15" w:color="auto" w:fill="auto"/>
          </w:tcPr>
          <w:p>
            <w:pPr>
              <w:pStyle w:val="style0"/>
              <w:spacing w:before="120" w:after="120" w:lineRule="auto" w:line="240"/>
              <w:rPr>
                <w:rFonts w:ascii="Arial" w:cs="Arial" w:eastAsia="Times New Roman" w:hAnsi="Arial"/>
                <w:b/>
                <w:color w:val="auto"/>
                <w:lang w:eastAsia="en-GB"/>
              </w:rPr>
            </w:pPr>
            <w:r>
              <w:rPr>
                <w:rFonts w:ascii="Arial" w:cs="Arial" w:eastAsia="Times New Roman" w:hAnsi="Arial"/>
                <w:b/>
                <w:color w:val="auto"/>
                <w:sz w:val="22"/>
                <w:lang w:eastAsia="en-GB"/>
              </w:rPr>
              <w:t>Lecturer:</w:t>
            </w:r>
          </w:p>
        </w:tc>
        <w:tc>
          <w:tcPr>
            <w:tcW w:w="3293" w:type="dxa"/>
            <w:tcBorders/>
          </w:tcPr>
          <w:p>
            <w:pPr>
              <w:pStyle w:val="style0"/>
              <w:spacing w:before="120" w:after="120" w:lineRule="auto" w:line="240"/>
              <w:jc w:val="left"/>
              <w:rPr>
                <w:rFonts w:ascii="Segoe UI" w:cs="Segoe UI" w:eastAsia="Times New Roman" w:hAnsi="Segoe UI"/>
                <w:b/>
                <w:bCs/>
                <w:color w:val="auto"/>
                <w:sz w:val="18"/>
                <w:szCs w:val="18"/>
                <w:lang w:eastAsia="en-GB"/>
              </w:rPr>
            </w:pPr>
            <w:r>
              <w:rPr>
                <w:rFonts w:ascii="Segoe UI" w:cs="Segoe UI" w:eastAsia="Times New Roman" w:hAnsi="Segoe UI"/>
                <w:b/>
                <w:bCs/>
                <w:color w:val="auto"/>
                <w:sz w:val="18"/>
                <w:szCs w:val="18"/>
                <w:lang w:eastAsia="en-GB"/>
              </w:rPr>
              <w:t>Terkimbi Atonde</w:t>
            </w:r>
          </w:p>
          <w:p>
            <w:pPr>
              <w:pStyle w:val="style0"/>
              <w:spacing w:before="120" w:after="120" w:lineRule="auto" w:line="240"/>
              <w:jc w:val="center"/>
              <w:rPr>
                <w:rFonts w:ascii="Segoe UI" w:cs="Segoe UI" w:eastAsia="Times New Roman" w:hAnsi="Segoe UI"/>
                <w:b/>
                <w:bCs/>
                <w:color w:val="auto"/>
                <w:sz w:val="18"/>
                <w:szCs w:val="18"/>
                <w:lang w:eastAsia="en-GB"/>
              </w:rPr>
            </w:pPr>
          </w:p>
          <w:p>
            <w:pPr>
              <w:pStyle w:val="style0"/>
              <w:spacing w:before="120" w:after="120" w:lineRule="auto" w:line="240"/>
              <w:jc w:val="left"/>
              <w:rPr>
                <w:rFonts w:ascii="Segoe UI" w:cs="Segoe UI" w:eastAsia="Times New Roman" w:hAnsi="Segoe UI"/>
                <w:b/>
                <w:bCs/>
                <w:color w:val="auto"/>
                <w:sz w:val="18"/>
                <w:szCs w:val="18"/>
                <w:lang w:eastAsia="en-GB"/>
              </w:rPr>
            </w:pPr>
          </w:p>
        </w:tc>
        <w:tc>
          <w:tcPr>
            <w:tcW w:w="2268" w:type="dxa"/>
            <w:tcBorders/>
            <w:shd w:val="clear" w:color="auto" w:fill="d9d9d9"/>
          </w:tcPr>
          <w:p>
            <w:pPr>
              <w:pStyle w:val="style0"/>
              <w:spacing w:before="120" w:after="120" w:lineRule="auto" w:line="240"/>
              <w:rPr>
                <w:rFonts w:ascii="Arial" w:cs="Arial" w:eastAsia="Times New Roman" w:hAnsi="Arial"/>
                <w:b/>
                <w:color w:val="auto"/>
                <w:lang w:eastAsia="en-GB"/>
              </w:rPr>
            </w:pPr>
            <w:r>
              <w:rPr>
                <w:rFonts w:ascii="Arial" w:cs="Arial" w:eastAsia="Times New Roman" w:hAnsi="Arial"/>
                <w:b/>
                <w:color w:val="auto"/>
                <w:sz w:val="22"/>
                <w:lang w:eastAsia="en-GB"/>
              </w:rPr>
              <w:t>Internal Verifier:</w:t>
            </w:r>
          </w:p>
        </w:tc>
        <w:tc>
          <w:tcPr>
            <w:tcW w:w="2268" w:type="dxa"/>
            <w:tcBorders/>
          </w:tcPr>
          <w:p>
            <w:pPr>
              <w:pStyle w:val="style0"/>
              <w:spacing w:before="120" w:after="120" w:lineRule="auto" w:line="240"/>
              <w:rPr>
                <w:rFonts w:ascii="Arial" w:cs="Arial" w:eastAsia="Times New Roman" w:hAnsi="Arial"/>
                <w:b/>
                <w:color w:val="auto"/>
                <w:lang w:eastAsia="en-GB"/>
              </w:rPr>
            </w:pPr>
            <w:r>
              <w:rPr>
                <w:rFonts w:ascii="Arial" w:cs="Arial" w:eastAsia="Times New Roman" w:hAnsi="Arial"/>
                <w:b/>
                <w:color w:val="auto"/>
                <w:sz w:val="22"/>
                <w:lang w:eastAsia="en-GB"/>
              </w:rPr>
              <w:t>Dr Besty Jose</w:t>
            </w:r>
          </w:p>
        </w:tc>
      </w:tr>
    </w:tbl>
    <w:p>
      <w:pPr>
        <w:pStyle w:val="style0"/>
        <w:rPr>
          <w:rFonts w:ascii="Calibri Light" w:cs="宋体" w:eastAsia="宋体" w:hAnsi="Calibri Light"/>
          <w:color w:val="auto"/>
          <w:spacing w:val="-10"/>
          <w:kern w:val="28"/>
          <w:sz w:val="56"/>
          <w:szCs w:val="56"/>
        </w:rPr>
      </w:pPr>
    </w:p>
    <w:p>
      <w:pPr>
        <w:pStyle w:val="style0"/>
        <w:rPr>
          <w:rFonts w:ascii="Calibri Light" w:cs="宋体" w:eastAsia="宋体" w:hAnsi="Calibri Light"/>
          <w:color w:val="auto"/>
          <w:spacing w:val="-10"/>
          <w:kern w:val="28"/>
          <w:sz w:val="56"/>
          <w:szCs w:val="56"/>
        </w:rPr>
      </w:pPr>
    </w:p>
    <w:p>
      <w:pPr>
        <w:pStyle w:val="style0"/>
        <w:rPr>
          <w:kern w:val="28"/>
        </w:rPr>
      </w:pPr>
    </w:p>
    <w:p>
      <w:pPr>
        <w:pStyle w:val="style0"/>
        <w:rPr>
          <w:kern w:val="28"/>
        </w:rPr>
      </w:pPr>
    </w:p>
    <w:p>
      <w:pPr>
        <w:pStyle w:val="style0"/>
        <w:rPr>
          <w:kern w:val="28"/>
        </w:rPr>
      </w:pPr>
      <w:r>
        <w:rPr>
          <w:kern w:val="28"/>
        </w:rPr>
        <w:t>Word Count:</w:t>
      </w:r>
      <w:r>
        <w:rPr>
          <w:kern w:val="28"/>
        </w:rPr>
        <w:t xml:space="preserve"> 1913</w:t>
      </w:r>
    </w:p>
    <w:p>
      <w:pPr>
        <w:pStyle w:val="style0"/>
        <w:rPr>
          <w:kern w:val="28"/>
        </w:rPr>
      </w:pPr>
    </w:p>
    <w:p>
      <w:pPr>
        <w:pStyle w:val="style0"/>
        <w:rPr/>
      </w:pPr>
    </w:p>
    <w:p>
      <w:pPr>
        <w:pStyle w:val="style0"/>
        <w:rPr/>
      </w:pPr>
    </w:p>
    <w:p>
      <w:pPr>
        <w:pStyle w:val="style0"/>
        <w:rPr/>
      </w:pPr>
    </w:p>
    <w:p>
      <w:pPr>
        <w:pStyle w:val="style266"/>
        <w:spacing w:lineRule="auto" w:line="360"/>
        <w:rPr>
          <w:rFonts w:cs="Times New Roman"/>
          <w:b/>
          <w:bCs/>
        </w:rPr>
      </w:pPr>
      <w:r>
        <w:rPr>
          <w:rFonts w:cs="Times New Roman"/>
          <w:b/>
          <w:bCs/>
        </w:rPr>
        <w:t>Table of Contents</w:t>
      </w:r>
    </w:p>
    <w:p>
      <w:pPr>
        <w:pStyle w:val="style19"/>
        <w:tabs>
          <w:tab w:val="right" w:leader="dot" w:pos="9350"/>
        </w:tabs>
        <w:rPr>
          <w:rFonts w:ascii="Calibri" w:eastAsia="宋体" w:hAnsi="Calibri"/>
          <w:noProof/>
          <w:color w:val="auto"/>
          <w:sz w:val="22"/>
          <w:lang w:val="en-US"/>
        </w:rPr>
      </w:pPr>
      <w:r>
        <w:rPr>
          <w:b/>
          <w:bCs/>
          <w:noProof/>
        </w:rPr>
        <w:fldChar w:fldCharType="begin"/>
      </w:r>
      <w:r>
        <w:rPr>
          <w:b/>
          <w:bCs/>
          <w:noProof/>
        </w:rPr>
        <w:instrText xml:space="preserve"> TOC \o "1-3" \h \z \u </w:instrText>
      </w:r>
      <w:r>
        <w:rPr>
          <w:b/>
          <w:bCs/>
          <w:noProof/>
        </w:rPr>
        <w:fldChar w:fldCharType="separate"/>
      </w:r>
      <w:r>
        <w:rPr/>
        <w:fldChar w:fldCharType="begin"/>
      </w:r>
      <w:r>
        <w:instrText xml:space="preserve"> HYPERLINK \l "_Toc95508098" </w:instrText>
      </w:r>
      <w:r>
        <w:rPr/>
        <w:fldChar w:fldCharType="separate"/>
      </w:r>
      <w:r>
        <w:rPr>
          <w:rStyle w:val="style85"/>
          <w:noProof/>
        </w:rPr>
        <w:t>Introduction</w:t>
      </w:r>
      <w:r>
        <w:rPr>
          <w:noProof/>
          <w:webHidden/>
        </w:rPr>
        <w:tab/>
      </w:r>
      <w:r>
        <w:rPr>
          <w:noProof/>
          <w:webHidden/>
        </w:rPr>
        <w:fldChar w:fldCharType="begin"/>
      </w:r>
      <w:r>
        <w:rPr>
          <w:noProof/>
          <w:webHidden/>
        </w:rPr>
        <w:instrText xml:space="preserve"> PAGEREF _Toc95508098 \h </w:instrText>
      </w:r>
      <w:r>
        <w:rPr>
          <w:noProof/>
          <w:webHidden/>
        </w:rPr>
        <w:fldChar w:fldCharType="separate"/>
      </w:r>
      <w:r>
        <w:rPr>
          <w:noProof/>
          <w:webHidden/>
        </w:rPr>
        <w:t>1</w:t>
      </w:r>
      <w:r>
        <w:rPr>
          <w:noProof/>
          <w:webHidden/>
        </w:rPr>
        <w:fldChar w:fldCharType="end"/>
      </w:r>
      <w:r>
        <w:rPr/>
        <w:fldChar w:fldCharType="end"/>
      </w:r>
    </w:p>
    <w:p>
      <w:pPr>
        <w:pStyle w:val="style19"/>
        <w:tabs>
          <w:tab w:val="right" w:leader="dot" w:pos="9350"/>
        </w:tabs>
        <w:rPr>
          <w:rFonts w:ascii="Calibri" w:eastAsia="宋体" w:hAnsi="Calibri"/>
          <w:noProof/>
          <w:color w:val="auto"/>
          <w:sz w:val="22"/>
          <w:lang w:val="en-US"/>
        </w:rPr>
      </w:pPr>
      <w:r>
        <w:rPr/>
        <w:fldChar w:fldCharType="begin"/>
      </w:r>
      <w:r>
        <w:instrText xml:space="preserve"> HYPERLINK \l "_Toc95508099" </w:instrText>
      </w:r>
      <w:r>
        <w:rPr/>
        <w:fldChar w:fldCharType="separate"/>
      </w:r>
      <w:r>
        <w:rPr>
          <w:rStyle w:val="style85"/>
          <w:noProof/>
        </w:rPr>
        <w:t>Different Methods of Motivating Employees</w:t>
      </w:r>
      <w:r>
        <w:rPr>
          <w:noProof/>
          <w:webHidden/>
        </w:rPr>
        <w:tab/>
      </w:r>
      <w:r>
        <w:rPr>
          <w:noProof/>
          <w:webHidden/>
        </w:rPr>
        <w:fldChar w:fldCharType="begin"/>
      </w:r>
      <w:r>
        <w:rPr>
          <w:noProof/>
          <w:webHidden/>
        </w:rPr>
        <w:instrText xml:space="preserve"> PAGEREF _Toc95508099 \h </w:instrText>
      </w:r>
      <w:r>
        <w:rPr>
          <w:noProof/>
          <w:webHidden/>
        </w:rPr>
        <w:fldChar w:fldCharType="separate"/>
      </w:r>
      <w:r>
        <w:rPr>
          <w:noProof/>
          <w:webHidden/>
        </w:rPr>
        <w:t>2</w:t>
      </w:r>
      <w:r>
        <w:rPr>
          <w:noProof/>
          <w:webHidden/>
        </w:rPr>
        <w:fldChar w:fldCharType="end"/>
      </w:r>
      <w:r>
        <w:rPr/>
        <w:fldChar w:fldCharType="end"/>
      </w:r>
    </w:p>
    <w:p>
      <w:pPr>
        <w:pStyle w:val="style19"/>
        <w:tabs>
          <w:tab w:val="right" w:leader="dot" w:pos="9350"/>
        </w:tabs>
        <w:rPr>
          <w:rFonts w:ascii="Calibri" w:eastAsia="宋体" w:hAnsi="Calibri"/>
          <w:noProof/>
          <w:color w:val="auto"/>
          <w:sz w:val="22"/>
          <w:lang w:val="en-US"/>
        </w:rPr>
      </w:pPr>
      <w:r>
        <w:rPr/>
        <w:fldChar w:fldCharType="begin"/>
      </w:r>
      <w:r>
        <w:instrText xml:space="preserve"> HYPERLINK \l "_Toc95508100" </w:instrText>
      </w:r>
      <w:r>
        <w:rPr/>
        <w:fldChar w:fldCharType="separate"/>
      </w:r>
      <w:r>
        <w:rPr>
          <w:rStyle w:val="style85"/>
          <w:noProof/>
        </w:rPr>
        <w:t>Recommendation of the most effective type of reward</w:t>
      </w:r>
      <w:r>
        <w:rPr>
          <w:noProof/>
          <w:webHidden/>
        </w:rPr>
        <w:tab/>
      </w:r>
      <w:r>
        <w:rPr>
          <w:noProof/>
          <w:webHidden/>
        </w:rPr>
        <w:fldChar w:fldCharType="begin"/>
      </w:r>
      <w:r>
        <w:rPr>
          <w:noProof/>
          <w:webHidden/>
        </w:rPr>
        <w:instrText xml:space="preserve"> PAGEREF _Toc95508100 \h </w:instrText>
      </w:r>
      <w:r>
        <w:rPr>
          <w:noProof/>
          <w:webHidden/>
        </w:rPr>
        <w:fldChar w:fldCharType="separate"/>
      </w:r>
      <w:r>
        <w:rPr>
          <w:noProof/>
          <w:webHidden/>
        </w:rPr>
        <w:t>7</w:t>
      </w:r>
      <w:r>
        <w:rPr>
          <w:noProof/>
          <w:webHidden/>
        </w:rPr>
        <w:fldChar w:fldCharType="end"/>
      </w:r>
      <w:r>
        <w:rPr/>
        <w:fldChar w:fldCharType="end"/>
      </w:r>
    </w:p>
    <w:p>
      <w:pPr>
        <w:pStyle w:val="style19"/>
        <w:tabs>
          <w:tab w:val="right" w:leader="dot" w:pos="9350"/>
        </w:tabs>
        <w:rPr>
          <w:rFonts w:ascii="Calibri" w:eastAsia="宋体" w:hAnsi="Calibri"/>
          <w:noProof/>
          <w:color w:val="auto"/>
          <w:sz w:val="22"/>
          <w:lang w:val="en-US"/>
        </w:rPr>
      </w:pPr>
      <w:r>
        <w:rPr/>
        <w:fldChar w:fldCharType="begin"/>
      </w:r>
      <w:r>
        <w:instrText xml:space="preserve"> HYPERLINK \l "_Toc95508101" </w:instrText>
      </w:r>
      <w:r>
        <w:rPr/>
        <w:fldChar w:fldCharType="separate"/>
      </w:r>
      <w:r>
        <w:rPr>
          <w:rStyle w:val="style85"/>
          <w:noProof/>
        </w:rPr>
        <w:t>Conclusion</w:t>
      </w:r>
      <w:r>
        <w:rPr>
          <w:noProof/>
          <w:webHidden/>
        </w:rPr>
        <w:tab/>
      </w:r>
      <w:r>
        <w:rPr>
          <w:noProof/>
          <w:webHidden/>
        </w:rPr>
        <w:fldChar w:fldCharType="begin"/>
      </w:r>
      <w:r>
        <w:rPr>
          <w:noProof/>
          <w:webHidden/>
        </w:rPr>
        <w:instrText xml:space="preserve"> PAGEREF _Toc95508101 \h </w:instrText>
      </w:r>
      <w:r>
        <w:rPr>
          <w:noProof/>
          <w:webHidden/>
        </w:rPr>
        <w:fldChar w:fldCharType="separate"/>
      </w:r>
      <w:r>
        <w:rPr>
          <w:noProof/>
          <w:webHidden/>
        </w:rPr>
        <w:t>8</w:t>
      </w:r>
      <w:r>
        <w:rPr>
          <w:noProof/>
          <w:webHidden/>
        </w:rPr>
        <w:fldChar w:fldCharType="end"/>
      </w:r>
      <w:r>
        <w:rPr/>
        <w:fldChar w:fldCharType="end"/>
      </w:r>
    </w:p>
    <w:p>
      <w:pPr>
        <w:pStyle w:val="style19"/>
        <w:tabs>
          <w:tab w:val="right" w:leader="dot" w:pos="9350"/>
        </w:tabs>
        <w:rPr>
          <w:rFonts w:ascii="Calibri" w:eastAsia="宋体" w:hAnsi="Calibri"/>
          <w:noProof/>
          <w:color w:val="auto"/>
          <w:sz w:val="22"/>
          <w:lang w:val="en-US"/>
        </w:rPr>
      </w:pPr>
      <w:r>
        <w:rPr/>
        <w:fldChar w:fldCharType="begin"/>
      </w:r>
      <w:r>
        <w:instrText xml:space="preserve"> HYPERLINK \l "_Toc95508102" </w:instrText>
      </w:r>
      <w:r>
        <w:rPr/>
        <w:fldChar w:fldCharType="separate"/>
      </w:r>
      <w:r>
        <w:rPr>
          <w:rStyle w:val="style85"/>
          <w:noProof/>
        </w:rPr>
        <w:t>Reference</w:t>
      </w:r>
      <w:r>
        <w:rPr>
          <w:noProof/>
          <w:webHidden/>
        </w:rPr>
        <w:tab/>
      </w:r>
      <w:r>
        <w:rPr>
          <w:noProof/>
          <w:webHidden/>
        </w:rPr>
        <w:fldChar w:fldCharType="begin"/>
      </w:r>
      <w:r>
        <w:rPr>
          <w:noProof/>
          <w:webHidden/>
        </w:rPr>
        <w:instrText xml:space="preserve"> PAGEREF _Toc95508102 \h </w:instrText>
      </w:r>
      <w:r>
        <w:rPr>
          <w:noProof/>
          <w:webHidden/>
        </w:rPr>
        <w:fldChar w:fldCharType="separate"/>
      </w:r>
      <w:r>
        <w:rPr>
          <w:noProof/>
          <w:webHidden/>
        </w:rPr>
        <w:t>9</w:t>
      </w:r>
      <w:r>
        <w:rPr>
          <w:noProof/>
          <w:webHidden/>
        </w:rPr>
        <w:fldChar w:fldCharType="end"/>
      </w:r>
      <w:r>
        <w:rPr/>
        <w:fldChar w:fldCharType="end"/>
      </w:r>
    </w:p>
    <w:p>
      <w:pPr>
        <w:pStyle w:val="style0"/>
        <w:rPr/>
      </w:pPr>
      <w:r>
        <w:rPr>
          <w:b/>
          <w:bCs/>
          <w:noProof/>
        </w:rPr>
        <w:fldChar w:fldCharType="end"/>
      </w:r>
    </w:p>
    <w:p>
      <w:pPr>
        <w:pStyle w:val="style0"/>
        <w:rPr/>
      </w:pPr>
    </w:p>
    <w:p>
      <w:pPr>
        <w:pStyle w:val="style0"/>
        <w:rPr/>
      </w:pPr>
      <w:r>
        <w:br w:type="page"/>
      </w:r>
    </w:p>
    <w:p>
      <w:pPr>
        <w:pStyle w:val="style1"/>
        <w:rPr/>
        <w:sectPr>
          <w:footerReference w:type="default" r:id="rId3"/>
          <w:pgSz w:w="12240" w:h="15840" w:orient="portrait"/>
          <w:pgMar w:top="1440" w:right="1440" w:bottom="1440" w:left="1440" w:header="720" w:footer="720" w:gutter="0"/>
          <w:pgNumType w:fmt="lowerRoman"/>
          <w:cols w:space="720"/>
          <w:docGrid w:linePitch="360"/>
        </w:sectPr>
      </w:pPr>
    </w:p>
    <w:bookmarkStart w:id="0" w:name="_Toc95508098"/>
    <w:p>
      <w:pPr>
        <w:pStyle w:val="style1"/>
        <w:rPr/>
      </w:pPr>
      <w:r>
        <w:t>Introduction</w:t>
      </w:r>
      <w:bookmarkEnd w:id="0"/>
    </w:p>
    <w:p>
      <w:pPr>
        <w:pStyle w:val="style0"/>
        <w:rPr/>
      </w:pPr>
      <w:r>
        <w:t>Workers were formerly seen as merely another piece of the puzzle in the manufacturing process. In order to achieve business objectives, it is critical to provide incentives for people to operate in the manner they specify</w:t>
      </w:r>
      <w:r>
        <w:t xml:space="preserve"> </w:t>
      </w:r>
      <w:r>
        <w:t>(Armstrong and Taylor, 2021)</w:t>
      </w:r>
      <w:r>
        <w:t>. Rewards management is designed to increase the productiveness and effectiveness of the business by building a program that recognises and rewards people for their contributions to the company. Employee motivation and how it works will be examined in this research.</w:t>
      </w:r>
      <w:r>
        <w:br w:type="page"/>
      </w:r>
    </w:p>
    <w:bookmarkStart w:id="1" w:name="_Toc95508099"/>
    <w:p>
      <w:pPr>
        <w:pStyle w:val="style1"/>
        <w:rPr/>
      </w:pPr>
      <w:r>
        <w:t>Different Methods of Motivating Employees</w:t>
      </w:r>
      <w:bookmarkEnd w:id="1"/>
    </w:p>
    <w:p>
      <w:pPr>
        <w:pStyle w:val="style0"/>
        <w:rPr/>
      </w:pPr>
      <w:r>
        <w:t>Motivation is indeed the provision of cues, benefits, and working conditions that allow individuals to perform at the highest level of their potential in the achievement of organizational progress. It is usually considered as the mysterious force that allows leaders to persuade people to attain their aims</w:t>
      </w:r>
      <w:r>
        <w:t xml:space="preserve"> </w:t>
      </w:r>
      <w:r>
        <w:t>(Bektaş and Aslan, 2019)</w:t>
      </w:r>
      <w:r>
        <w:t>. Ever since the advent of the modern period, there seems to be a change at least theoretically. Many organizations today have contributed perspectives into motivations. Incentives may have an influence on the production of any firm or institution. Businesses and enterprises depend greatly on the effectiveness of their producing personnel to ensure that items are created in quantities that match the desire of consumers</w:t>
      </w:r>
      <w:r>
        <w:t xml:space="preserve"> </w:t>
      </w:r>
      <w:r>
        <w:t>(Armstrong, 2019)</w:t>
      </w:r>
      <w:r>
        <w:t>. If these individuals lack the incentive to create and operate to the greatest of their capacity and satisfy the expectation of consumers, then a business may encounter difficulties that can sometimes lead to catastrophic repercussions.</w:t>
      </w:r>
    </w:p>
    <w:p>
      <w:pPr>
        <w:pStyle w:val="style0"/>
        <w:rPr/>
      </w:pPr>
      <w:r>
        <w:t>Management findings show that incentive is affected by the shape of the interaction among the manager and workers. Managers have to recruit the correct individual that will be most fit for a given role, appreciate its workers and assist in generating efforts for the companies and constantly aim to develop an engaged team</w:t>
      </w:r>
      <w:r>
        <w:t xml:space="preserve"> </w:t>
      </w:r>
      <w:r>
        <w:t>(Ebata, 2019)</w:t>
      </w:r>
      <w:r>
        <w:t>. Motivated workers should not only generate a positive working atmosphere, but they also offer remarkable efforts to the businesses. Top leaders create their workers feeling like corporate associates and utilise autonomy in terms of creating the employment and the immediate atmosphere into a location where workers enjoy and also producing a job where people feel positive within</w:t>
      </w:r>
      <w:r>
        <w:t xml:space="preserve"> </w:t>
      </w:r>
      <w:r>
        <w:t>(Hao and Yazdanifard, 2021)</w:t>
      </w:r>
      <w:r>
        <w:t>.</w:t>
      </w:r>
    </w:p>
    <w:p>
      <w:pPr>
        <w:pStyle w:val="style0"/>
        <w:keepNext/>
        <w:rPr/>
      </w:pPr>
      <w:r>
        <w:rPr>
          <w:noProof/>
          <w:lang w:val="en-US"/>
        </w:rPr>
        <w:drawing>
          <wp:inline distL="0" distT="0" distB="0" distR="0">
            <wp:extent cx="6178858" cy="3586578"/>
            <wp:effectExtent l="0" t="0" r="0" b="0"/>
            <wp:docPr id="1027" name="Diagram 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 r:lo="rId5" r:qs="rId6" r:cs="rId7"/>
              </a:graphicData>
            </a:graphic>
          </wp:inline>
        </w:drawing>
      </w:r>
    </w:p>
    <w:p>
      <w:pPr>
        <w:pStyle w:val="style34"/>
        <w:jc w:val="center"/>
        <w:rPr/>
      </w:pPr>
      <w:r>
        <w:t xml:space="preserve">Figure </w:t>
      </w:r>
      <w:r>
        <w:rPr/>
        <w:fldChar w:fldCharType="begin"/>
      </w:r>
      <w:r>
        <w:instrText xml:space="preserve"> SEQ Figure \* ARABIC </w:instrText>
      </w:r>
      <w:r>
        <w:rPr/>
        <w:fldChar w:fldCharType="separate"/>
      </w:r>
      <w:r>
        <w:rPr>
          <w:noProof/>
        </w:rPr>
        <w:t>1</w:t>
      </w:r>
      <w:r>
        <w:rPr>
          <w:noProof/>
        </w:rPr>
        <w:fldChar w:fldCharType="end"/>
      </w:r>
      <w:r>
        <w:t xml:space="preserve">: </w:t>
      </w:r>
      <w:r>
        <w:t>Methods of Motivating Employees</w:t>
      </w:r>
    </w:p>
    <w:p>
      <w:pPr>
        <w:pStyle w:val="style0"/>
        <w:jc w:val="center"/>
        <w:rPr/>
      </w:pPr>
      <w:r>
        <w:t xml:space="preserve">Source: </w:t>
      </w:r>
      <w:r>
        <w:t>(Osabiya, 2021)</w:t>
      </w:r>
    </w:p>
    <w:p>
      <w:pPr>
        <w:pStyle w:val="style0"/>
        <w:rPr>
          <w:b/>
        </w:rPr>
      </w:pPr>
      <w:r>
        <w:rPr>
          <w:b/>
        </w:rPr>
        <w:t>Fair wage</w:t>
      </w:r>
    </w:p>
    <w:p>
      <w:pPr>
        <w:pStyle w:val="style0"/>
        <w:rPr/>
      </w:pPr>
      <w:r>
        <w:t>Money is a powerful motivator for those who want to work hard. To put it another way, this is a currency and a way for workers to buy what they require and want. Workers might use it to gauge the importance of their contributions to the company. Depending on salary, workers may measure themselves to others and see how much they are worth</w:t>
      </w:r>
      <w:r>
        <w:t xml:space="preserve"> </w:t>
      </w:r>
      <w:r>
        <w:t>(Hao and Yazdanifard, 2021)</w:t>
      </w:r>
      <w:r>
        <w:t>. Money does have psychological worth in contrast to its trade value. Workers feel appreciated when they are paid adequately and given monetary rewards for their efficiency, creativity, or years of service. As a manager, it is gratifying for the staff to realise that their efforts have an influence on the planet and are necessary to pay for</w:t>
      </w:r>
      <w:r>
        <w:t xml:space="preserve"> </w:t>
      </w:r>
      <w:r>
        <w:t>(Johnson and Regnér, 2018)</w:t>
      </w:r>
      <w:r>
        <w:t xml:space="preserve">. Workers who are satisfied with their work are less inclined to look for a new one since they are more </w:t>
      </w:r>
      <w:r>
        <w:t>likely to stay put.</w:t>
      </w:r>
      <w:r>
        <w:t xml:space="preserve"> Motivation increases when workers see themselves</w:t>
      </w:r>
      <w:r>
        <w:t xml:space="preserve"> as valued members of the team.</w:t>
      </w:r>
    </w:p>
    <w:p>
      <w:pPr>
        <w:pStyle w:val="style0"/>
        <w:rPr/>
      </w:pPr>
    </w:p>
    <w:p>
      <w:pPr>
        <w:pStyle w:val="style0"/>
        <w:rPr/>
      </w:pPr>
    </w:p>
    <w:p>
      <w:pPr>
        <w:pStyle w:val="style0"/>
        <w:rPr>
          <w:b/>
        </w:rPr>
      </w:pPr>
      <w:r>
        <w:rPr>
          <w:b/>
        </w:rPr>
        <w:t>Recognizing</w:t>
      </w:r>
      <w:r>
        <w:rPr>
          <w:b/>
        </w:rPr>
        <w:t xml:space="preserve"> the accomplishments of </w:t>
      </w:r>
      <w:r>
        <w:rPr>
          <w:b/>
        </w:rPr>
        <w:t>workers</w:t>
      </w:r>
    </w:p>
    <w:p>
      <w:pPr>
        <w:pStyle w:val="style0"/>
        <w:rPr/>
      </w:pPr>
      <w:r>
        <w:t>There is a universal need to be acknowledged for one's achievements, no matter how little. A worker's appreciation for a sense of accomplishment will have a greater impact on them than one would expect</w:t>
      </w:r>
      <w:r>
        <w:t xml:space="preserve"> </w:t>
      </w:r>
      <w:r>
        <w:t>(Liao, 2018)</w:t>
      </w:r>
      <w:r>
        <w:t>. Definitely, be giving credit where recognition is due at all times. A simple "thanks" or "excellent work" may go a long way. The power of a few well-chosen words may go a fair distance toward inspiring somebody and expressing gratitude. To compensate employees for their hard work, external benefits such as additional vacation time, certificates, or trips might be used</w:t>
      </w:r>
      <w:r>
        <w:t xml:space="preserve"> </w:t>
      </w:r>
      <w:r>
        <w:t>(Osabiya, 2021)</w:t>
      </w:r>
      <w:r>
        <w:t>. For workers, this provides a motivating factor. When it comes to rewarding staff, a reward webpage on the network is an excellent location to put it.</w:t>
      </w:r>
    </w:p>
    <w:p>
      <w:pPr>
        <w:pStyle w:val="style0"/>
        <w:rPr>
          <w:b/>
        </w:rPr>
      </w:pPr>
      <w:r>
        <w:rPr>
          <w:b/>
        </w:rPr>
        <w:t>Incentives for workers</w:t>
      </w:r>
    </w:p>
    <w:p>
      <w:pPr>
        <w:pStyle w:val="style0"/>
        <w:rPr/>
      </w:pPr>
      <w:r>
        <w:t>There are moments when one </w:t>
      </w:r>
      <w:r>
        <w:t>needs</w:t>
      </w:r>
      <w:r>
        <w:t xml:space="preserve"> more than a compliment to motivate one. Rewarding motivated staff may be as easy as offering little tokens of appreciation. It doesn't have to be financial prizes all the while; basic things such as a day of individual space at the workplace might suffice</w:t>
      </w:r>
      <w:r>
        <w:t xml:space="preserve"> </w:t>
      </w:r>
      <w:r>
        <w:t>(Spitzer, 2020)</w:t>
      </w:r>
      <w:r>
        <w:t>. Additionally, the corporation could reap the advantages of compensating its staff. The motivation of company staff is directly related to how well they reward them for their personal effort. One wouldn't even have to invest thousands on a gift to show their appreciation for their hard work and accomplishments; you may do it in other ways that are less expensive</w:t>
      </w:r>
      <w:r>
        <w:t xml:space="preserve"> </w:t>
      </w:r>
      <w:r>
        <w:t>(Stephens and Heil, 2021)</w:t>
      </w:r>
      <w:r>
        <w:t>. As a result, a number of organisations have implemented software that encourages workers to complete work by offering them the chance of appearing on leadership panels or to get emblems in return for their efforts. Continuously rewarding personnel for their hard work will motivate them to work harder for extended lengths of time.</w:t>
      </w:r>
    </w:p>
    <w:p>
      <w:pPr>
        <w:pStyle w:val="style0"/>
        <w:rPr>
          <w:b/>
        </w:rPr>
      </w:pPr>
      <w:r>
        <w:rPr>
          <w:b/>
        </w:rPr>
        <w:t>Creating a Flexible Workplace</w:t>
      </w:r>
    </w:p>
    <w:p>
      <w:pPr>
        <w:pStyle w:val="style0"/>
        <w:rPr/>
      </w:pPr>
      <w:r>
        <w:t>Creating an adaptive working environment as another incredibly effective strategy to maintain worker passion and involvement will engage employees. Inside a flexible workplace environment, the emphasis is on continual modification and modification rather than adherence to a predetermined framework</w:t>
      </w:r>
      <w:r>
        <w:t xml:space="preserve"> </w:t>
      </w:r>
      <w:r>
        <w:t>(Ebata, 2019)</w:t>
      </w:r>
      <w:r>
        <w:t>. Although this approach is often employed in application development, the concepts underlying it can be applied in any business. There is indeed a psychological rule termed as the "Desires," which tells us that we prefer short-term benefits above long-term ones. The tendency of people to want to get things done as fast and effectively as feasible may be used by management in flexible work settings</w:t>
      </w:r>
      <w:r>
        <w:t xml:space="preserve"> </w:t>
      </w:r>
      <w:r>
        <w:t>(Armstrong, 2019)</w:t>
      </w:r>
      <w:r>
        <w:t>. Workers will become more interested in a system that involves immediate pleasure if they work inside a fast-paced setting. These environments are interesting and inspirational.</w:t>
      </w:r>
    </w:p>
    <w:p>
      <w:pPr>
        <w:pStyle w:val="style0"/>
        <w:rPr>
          <w:b/>
        </w:rPr>
      </w:pPr>
      <w:r>
        <w:rPr>
          <w:b/>
        </w:rPr>
        <w:t>Allowing workers to have a healthy degree of self-direction</w:t>
      </w:r>
    </w:p>
    <w:p>
      <w:pPr>
        <w:pStyle w:val="style0"/>
        <w:rPr/>
      </w:pPr>
      <w:r>
        <w:t>There is evidence to show that employees who have a greater sense of control over their work environment are also more satisfied with their jobs</w:t>
      </w:r>
      <w:r>
        <w:t xml:space="preserve"> </w:t>
      </w:r>
      <w:r>
        <w:t>(Hughes, 2021)</w:t>
      </w:r>
      <w:r>
        <w:t>. To put it more simply, workers were more satisfied with their jobs when they had more control over where they worked when they worked, how fast they worked, and the sequence wherein tasks were performed.</w:t>
      </w:r>
    </w:p>
    <w:p>
      <w:pPr>
        <w:pStyle w:val="style0"/>
        <w:rPr/>
      </w:pPr>
      <w:r>
        <w:t>But there are several simple ways in which you may empower company staff to do their best job. Rewarding achievement of personal or organisational objectives, for instance, could entail giving workers greater effect on working schedules and locations (such as working remotely or in the workplace). Alternately, they could alter their corporate culture in such a way that they oversee major objectives while still allowing their staff to carry out the duties necessary to achieve th</w:t>
      </w:r>
      <w:r>
        <w:t>ere with the freedom they wish</w:t>
      </w:r>
      <w:r>
        <w:t xml:space="preserve"> </w:t>
      </w:r>
      <w:r>
        <w:t>(Bektaş and Aslan, 2019)</w:t>
      </w:r>
      <w:r>
        <w:t>.</w:t>
      </w:r>
    </w:p>
    <w:p>
      <w:pPr>
        <w:pStyle w:val="style0"/>
        <w:rPr>
          <w:b/>
        </w:rPr>
      </w:pPr>
      <w:r>
        <w:rPr>
          <w:b/>
        </w:rPr>
        <w:t>Monitor emplo</w:t>
      </w:r>
      <w:r>
        <w:rPr>
          <w:b/>
        </w:rPr>
        <w:t>yee disputes personally</w:t>
      </w:r>
    </w:p>
    <w:p>
      <w:pPr>
        <w:pStyle w:val="style0"/>
        <w:rPr/>
      </w:pPr>
      <w:r>
        <w:t>Disputes in the workforce can't always be avoided. Ideally, one would want to be accessible to their workers so that they may raise any issues with management as soon as they happen</w:t>
      </w:r>
      <w:r>
        <w:t xml:space="preserve"> </w:t>
      </w:r>
      <w:r>
        <w:t>(Liao, 2018)</w:t>
      </w:r>
      <w:r>
        <w:t>. When faced with multiple coworkers, it's crucial to maintain objectivity and fairness in order to reach a swift resolution and enable the rest of the team to return their attention to what's really essential.</w:t>
      </w:r>
    </w:p>
    <w:p>
      <w:pPr>
        <w:pStyle w:val="style0"/>
        <w:rPr>
          <w:b/>
        </w:rPr>
      </w:pPr>
      <w:r>
        <w:rPr>
          <w:b/>
        </w:rPr>
        <w:t xml:space="preserve">Invest in </w:t>
      </w:r>
      <w:r>
        <w:rPr>
          <w:b/>
        </w:rPr>
        <w:t>team unity</w:t>
      </w:r>
    </w:p>
    <w:p>
      <w:pPr>
        <w:pStyle w:val="style0"/>
        <w:rPr/>
      </w:pPr>
      <w:r>
        <w:t>Whether there's a daily business conference or a monthly golfing event, group work activities may help create good working connections among employees</w:t>
      </w:r>
      <w:r>
        <w:t xml:space="preserve"> </w:t>
      </w:r>
      <w:r>
        <w:t>(Osabiya, 2021)</w:t>
      </w:r>
      <w:r>
        <w:t xml:space="preserve">. The staff will be greater able to solve problems on their own if they encourage them to be sociable with one another. Enhanced employee engagement is made possible via the power of collaboration among team members. Everybody has a part to perform in reaching a goal while operating together as a group. This also implies that one may collaborate with their </w:t>
      </w:r>
      <w:r>
        <w:t>co-worker</w:t>
      </w:r>
      <w:r>
        <w:t xml:space="preserve"> to come up with solutions to challenges and make plans</w:t>
      </w:r>
      <w:r>
        <w:t xml:space="preserve"> </w:t>
      </w:r>
      <w:r>
        <w:t>(Spitzer, 2020)</w:t>
      </w:r>
      <w:r>
        <w:t>. An online chat conversation, a virtual conference as well as face-to-face conference may be used to conduct this kind of discussion.</w:t>
      </w:r>
    </w:p>
    <w:p>
      <w:pPr>
        <w:pStyle w:val="style0"/>
        <w:rPr>
          <w:b/>
        </w:rPr>
      </w:pPr>
      <w:r>
        <w:rPr>
          <w:b/>
        </w:rPr>
        <w:t>Enable healthy competition</w:t>
      </w:r>
    </w:p>
    <w:p>
      <w:pPr>
        <w:pStyle w:val="style0"/>
        <w:rPr/>
      </w:pPr>
      <w:r>
        <w:t xml:space="preserve">Having healthy rivalry among </w:t>
      </w:r>
      <w:r>
        <w:t>co-workers</w:t>
      </w:r>
      <w:r>
        <w:t xml:space="preserve"> has a positive influence on the working environment. This method of energising oneself is effective. Having a good attitude and working together as a team are two things it promotes. There are a variety of ways to do this, including creating a profile on the web for the worker of the week</w:t>
      </w:r>
      <w:r>
        <w:t xml:space="preserve"> </w:t>
      </w:r>
      <w:r>
        <w:t>(Stephens and Heil, 2021)</w:t>
      </w:r>
      <w:r>
        <w:t>. Job satisfaction may be boosted by a healthy dose of competitiveness, but it doesn't seem to be brutal.</w:t>
      </w:r>
    </w:p>
    <w:p>
      <w:pPr>
        <w:pStyle w:val="style0"/>
        <w:rPr>
          <w:b/>
        </w:rPr>
      </w:pPr>
      <w:r>
        <w:rPr>
          <w:b/>
        </w:rPr>
        <w:t>Clear Communication</w:t>
      </w:r>
    </w:p>
    <w:p>
      <w:pPr>
        <w:pStyle w:val="style0"/>
        <w:rPr/>
      </w:pPr>
      <w:r>
        <w:t>When it comes to managing, few talents are more critical than the ability to interact properly with company workers and teammates. The best way to motivate employees is to let them know when they've done something well and to express their gratitude for their efforts</w:t>
      </w:r>
      <w:r>
        <w:t xml:space="preserve"> </w:t>
      </w:r>
      <w:r>
        <w:t>(Armstrong and Taylor, 2021)</w:t>
      </w:r>
      <w:r>
        <w:t>. Communicating clear objectives and efficiently delegating responsibilities is essential to allowing workers to be far more self-directed. Employee participation in the main objective necessitates the ability to explain complicated strategic objectives in terms that non-executives may comprehend</w:t>
      </w:r>
      <w:r>
        <w:t xml:space="preserve"> </w:t>
      </w:r>
      <w:r>
        <w:t>(Hao and Yazdanifard, 2021)</w:t>
      </w:r>
      <w:r>
        <w:t xml:space="preserve">. There are many different levels of social and professional manners involved in cultivating polite interactions with fellow </w:t>
      </w:r>
      <w:r>
        <w:t>co-workers</w:t>
      </w:r>
      <w:r>
        <w:t>. Clear guidelines and collaboration are necessary for successful measuri</w:t>
      </w:r>
      <w:r>
        <w:t>ng feedback of a worker's work.</w:t>
      </w:r>
    </w:p>
    <w:p>
      <w:pPr>
        <w:pStyle w:val="style0"/>
        <w:rPr>
          <w:b/>
        </w:rPr>
      </w:pPr>
      <w:r>
        <w:rPr>
          <w:b/>
        </w:rPr>
        <w:t>Providing Vacations</w:t>
      </w:r>
    </w:p>
    <w:p>
      <w:pPr>
        <w:pStyle w:val="style0"/>
        <w:rPr/>
      </w:pPr>
      <w:r>
        <w:t>Workers prefer to refuel and rejuvenate whenever they step away from work. The result is that they are better open to new challenges and more focused. The ability to make quick decisions and get more done in less time is enhanced when the mind is comfortable and at peace</w:t>
      </w:r>
      <w:r>
        <w:t xml:space="preserve"> </w:t>
      </w:r>
      <w:r>
        <w:t>(Johnson and Regnér, 2018)</w:t>
      </w:r>
      <w:r>
        <w:t>. Staff members benefit greatly from time off, and this is a major reason why. When workers have a chance to relax, they are more likely to accept more responsibilities. In addition, this has been found that th</w:t>
      </w:r>
      <w:r>
        <w:t>ese</w:t>
      </w:r>
      <w:r>
        <w:t xml:space="preserve"> personnel are more productive and satisfied with their work. That's because the tension has been eliminated. Employees taking frequent breaks from work employees are more creative and effective in their jobs</w:t>
      </w:r>
      <w:r>
        <w:t xml:space="preserve"> </w:t>
      </w:r>
      <w:r>
        <w:t>(Ebata, 2019)</w:t>
      </w:r>
      <w:r>
        <w:t>.</w:t>
      </w:r>
      <w:r>
        <w:br w:type="page"/>
      </w:r>
    </w:p>
    <w:bookmarkStart w:id="2" w:name="_Toc95508100"/>
    <w:p>
      <w:pPr>
        <w:pStyle w:val="style1"/>
        <w:rPr/>
      </w:pPr>
      <w:r>
        <w:t>Recommendation of the most effective type of reward</w:t>
      </w:r>
      <w:bookmarkEnd w:id="2"/>
    </w:p>
    <w:p>
      <w:pPr>
        <w:pStyle w:val="style0"/>
        <w:rPr/>
      </w:pPr>
      <w:r>
        <w:t>Employee engagement and productivity have become more crucial to many companies in the last year, and various compensation and achievement acknowledgement programmes have been implemented in an attempt to that end</w:t>
      </w:r>
      <w:r>
        <w:t xml:space="preserve"> </w:t>
      </w:r>
      <w:r>
        <w:t>(Liao, 2018)</w:t>
      </w:r>
      <w:r>
        <w:t>. Incentives are seen as a motivating factor for today's workers since they are able to encourage people, resulting in an increase in quality of work-life. Organizations may motivate their staff by rewarding people for their hard work, which in turn will result in an improvement in production. Financial benefits (increased salary and efficiency prizes), raises and other benefits (such as maternity pay as well as family vacation) may gratify employees up to a specific degree</w:t>
      </w:r>
      <w:r>
        <w:t xml:space="preserve"> </w:t>
      </w:r>
      <w:r>
        <w:t>(Spitzer, 2020)</w:t>
      </w:r>
      <w:r>
        <w:t>. Workers, on the other hand, place a high value on monetary compensation.</w:t>
      </w:r>
    </w:p>
    <w:p>
      <w:pPr>
        <w:pStyle w:val="style0"/>
        <w:rPr/>
      </w:pPr>
      <w:r>
        <w:t>Inside the office, financial incentives are the most popular kind of incentive. External motives are used to motivate and pay staff for certain accomplishment behaviours. Employees are more likely to work better whenever they understand the financial ramifications of their actions and how they stand to win or lose as a result</w:t>
      </w:r>
      <w:r>
        <w:t xml:space="preserve"> </w:t>
      </w:r>
      <w:r>
        <w:t>(Hao and Yazdanifard, 2021)</w:t>
      </w:r>
      <w:r>
        <w:t>. Incentives like these help employees to better meet their basic needs and enhance their quality of life beyond the workplace. Short-term performance and enthusiasm may be boosted by financial incentives. </w:t>
      </w:r>
    </w:p>
    <w:p>
      <w:pPr>
        <w:pStyle w:val="style0"/>
        <w:rPr/>
      </w:pPr>
    </w:p>
    <w:p>
      <w:pPr>
        <w:pStyle w:val="style0"/>
        <w:rPr>
          <w:rFonts w:ascii="Calibri Light" w:cs="宋体" w:eastAsia="宋体" w:hAnsi="Calibri Light"/>
          <w:sz w:val="28"/>
          <w:szCs w:val="32"/>
        </w:rPr>
      </w:pPr>
      <w:r>
        <w:br w:type="page"/>
      </w:r>
    </w:p>
    <w:bookmarkStart w:id="3" w:name="_Toc95508101"/>
    <w:p>
      <w:pPr>
        <w:pStyle w:val="style1"/>
        <w:rPr/>
      </w:pPr>
      <w:r>
        <w:t>Conclusion</w:t>
      </w:r>
      <w:bookmarkEnd w:id="3"/>
    </w:p>
    <w:p>
      <w:pPr>
        <w:pStyle w:val="style0"/>
        <w:rPr/>
      </w:pPr>
      <w:r>
        <w:t>In order for an organization to stay efficient and successful, it is critical that it get appropriate compensation. Workers' inspiration and work contentment are increased as a result of rewards, which then in return increase the revenue of the organization. It is based on assumptions of motivations and experimental investigation to determine how effective techniques to inspire workers will be in terms of improving work performance.</w:t>
      </w:r>
      <w:r>
        <w:br w:type="page"/>
      </w:r>
    </w:p>
    <w:bookmarkStart w:id="4" w:name="_Toc95508102"/>
    <w:p>
      <w:pPr>
        <w:pStyle w:val="style1"/>
        <w:rPr/>
      </w:pPr>
      <w:r>
        <w:t>Reference</w:t>
      </w:r>
      <w:bookmarkEnd w:id="4"/>
    </w:p>
    <w:p>
      <w:pPr>
        <w:pStyle w:val="style0"/>
        <w:rPr/>
      </w:pPr>
      <w:r>
        <w:t>Armstrong, M. and Taylor, S., 2021. Armstrong's handbook of human resource management practice.</w:t>
      </w:r>
    </w:p>
    <w:p>
      <w:pPr>
        <w:pStyle w:val="style0"/>
        <w:rPr/>
      </w:pPr>
      <w:r>
        <w:t>Armstrong, M., 2019. Armstrong's essential human resource management practice: A guide to people management.</w:t>
      </w:r>
    </w:p>
    <w:p>
      <w:pPr>
        <w:pStyle w:val="style0"/>
        <w:rPr/>
      </w:pPr>
      <w:r>
        <w:t>Bektaş, Ç. and Aslan, I., 2019. A motivation study on the effectiveness of intrinsic and extrinsic factors. Economics &amp; Management, 16(5), pp.690-695.</w:t>
      </w:r>
    </w:p>
    <w:p>
      <w:pPr>
        <w:pStyle w:val="style0"/>
        <w:rPr/>
      </w:pPr>
      <w:r>
        <w:t>Ebata, M., 2019. Motivation factors in language learning. The Internet TESL Journal, 14(4).</w:t>
      </w:r>
    </w:p>
    <w:p>
      <w:pPr>
        <w:pStyle w:val="style0"/>
        <w:rPr/>
      </w:pPr>
      <w:r>
        <w:t>Hao, M.J. and Yazdanifard, R., 2021. How effective leadership can facilitate motivation in organizations through improvement and innovation? Global journal of management and business research.</w:t>
      </w:r>
    </w:p>
    <w:p>
      <w:pPr>
        <w:pStyle w:val="style0"/>
        <w:rPr/>
      </w:pPr>
      <w:r>
        <w:t>Hughes, M., 2021. The leadership of organizational motivation. Routledge.</w:t>
      </w:r>
    </w:p>
    <w:p>
      <w:pPr>
        <w:pStyle w:val="style0"/>
        <w:rPr/>
      </w:pPr>
      <w:r>
        <w:t>Johnson, G and Regnér, P., 2018. Exploring strategy. Financial Times Prentice Hall.</w:t>
      </w:r>
    </w:p>
    <w:p>
      <w:pPr>
        <w:pStyle w:val="style0"/>
        <w:rPr/>
      </w:pPr>
      <w:r>
        <w:t>Liao, C., 2018. Leadership for motivating: A multilevel perspective. Human Resource Management Review, 27(4), pp.648-659.</w:t>
      </w:r>
    </w:p>
    <w:p>
      <w:pPr>
        <w:pStyle w:val="style0"/>
        <w:rPr/>
      </w:pPr>
      <w:r>
        <w:t>Osabiya, B.J., 2021. The effect of employees motivation on organizational performance. Journal of public administration and policy research, 7(4), pp.62-75.</w:t>
      </w:r>
    </w:p>
    <w:p>
      <w:pPr>
        <w:pStyle w:val="style0"/>
        <w:rPr/>
      </w:pPr>
      <w:r>
        <w:t>Spitzer, D., 2020. Transforming performance measurement. 6th ed. New York: American Management Association.</w:t>
      </w:r>
    </w:p>
    <w:p>
      <w:pPr>
        <w:pStyle w:val="style0"/>
        <w:rPr/>
      </w:pPr>
      <w:r>
        <w:t>Stephens, D. and Heil, G., 2021. Maslow on management. 12th ed. New York: John H. Wiley &amp; Sons.</w:t>
      </w:r>
    </w:p>
    <w:sectPr>
      <w:pgSz w:w="12240" w:h="15840" w:orient="portrait"/>
      <w:pgMar w:top="1440" w:right="1440" w:bottom="1440" w:left="1440" w:header="720" w:footer="720" w:gutter="0"/>
      <w:pgNumType w:start="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2030204"/>
    <w:charset w:val="00"/>
    <w:family w:val="swiss"/>
    <w:pitch w:val="variable"/>
    <w:sig w:usb0="E00002FF" w:usb1="4000ACFF" w:usb2="00000001" w:usb3="00000000" w:csb0="0000019F" w:csb1="00000000"/>
  </w:font>
  <w:font w:name="Times New Roman">
    <w:altName w:val="Times New Roman"/>
    <w:panose1 w:val="02020603050004020304"/>
    <w:charset w:val="00"/>
    <w:family w:val="roman"/>
    <w:pitch w:val="variable"/>
    <w:sig w:usb0="E0002EFF" w:usb1="C000785B" w:usb2="00000009" w:usb3="00000000" w:csb0="000001FF" w:csb1="00000000"/>
  </w:font>
  <w:font w:name="Calibri Light">
    <w:altName w:val="Calibri Light"/>
    <w:panose1 w:val="020f0302020002030204"/>
    <w:charset w:val="00"/>
    <w:family w:val="swiss"/>
    <w:pitch w:val="variable"/>
    <w:sig w:usb0="A00002EF" w:usb1="4000207B" w:usb2="00000000" w:usb3="00000000" w:csb0="0000019F" w:csb1="00000000"/>
  </w:font>
  <w:font w:name="Tahoma">
    <w:altName w:val="Tahoma"/>
    <w:panose1 w:val="020b0604030005040204"/>
    <w:charset w:val="00"/>
    <w:family w:val="swiss"/>
    <w:pitch w:val="variable"/>
    <w:sig w:usb0="E1002EFF" w:usb1="C000605B" w:usb2="00000029" w:usb3="00000000" w:csb0="000101FF" w:csb1="00000000"/>
  </w:font>
  <w:font w:name="Arial">
    <w:altName w:val="Arial"/>
    <w:panose1 w:val="020b0604020002020204"/>
    <w:charset w:val="00"/>
    <w:family w:val="swiss"/>
    <w:pitch w:val="variable"/>
    <w:sig w:usb0="E0002EFF" w:usb1="C0007843" w:usb2="00000009" w:usb3="00000000" w:csb0="000001FF" w:csb1="00000000"/>
  </w:font>
  <w:font w:name="Segoe UI">
    <w:altName w:val="Segoe UI"/>
    <w:panose1 w:val="020b0502040002020203"/>
    <w:charset w:val="00"/>
    <w:family w:val="swiss"/>
    <w:pitch w:val="variable"/>
    <w:sig w:usb0="E4002EFF" w:usb1="C000E47F" w:usb2="00000009" w:usb3="00000000" w:csb0="000001F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2"/>
      <w:jc w:val="right"/>
      <w:rPr/>
    </w:pPr>
    <w:r>
      <w:rPr/>
      <w:fldChar w:fldCharType="begin"/>
    </w:r>
    <w:r>
      <w:instrText xml:space="preserve"> PAGE   \* MERGEFORMAT </w:instrText>
    </w:r>
    <w:r>
      <w:rPr/>
      <w:fldChar w:fldCharType="separate"/>
    </w:r>
    <w:r>
      <w:rPr>
        <w:noProof/>
      </w:rPr>
      <w:t>i</w:t>
    </w:r>
    <w:r>
      <w:rPr>
        <w:noProof/>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view w:val="web"/>
  <w:zoom w:percent="30"/>
  <w:removePersonalInformation/>
  <w:removeDateAndTime/>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revisionView w:inkAnnotations="f"/>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1"/>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en-US" w:bidi="ar-SA" w:eastAsia="en-US"/>
      </w:rPr>
    </w:rPrDefault>
    <w:pPrDefault>
      <w:pPr>
        <w:spacing w:after="160" w:lineRule="auto" w:line="259"/>
      </w:pPr>
    </w:pPrDefault>
  </w:docDefaults>
  <w:style w:type="paragraph" w:default="1" w:styleId="style0">
    <w:name w:val="Normal"/>
    <w:next w:val="style0"/>
    <w:qFormat/>
    <w:pPr>
      <w:spacing w:lineRule="auto" w:line="360"/>
      <w:jc w:val="both"/>
    </w:pPr>
    <w:rPr>
      <w:rFonts w:ascii="Times New Roman" w:hAnsi="Times New Roman"/>
      <w:color w:val="000000"/>
      <w:sz w:val="24"/>
      <w:lang w:val="en-GB"/>
    </w:rPr>
  </w:style>
  <w:style w:type="paragraph" w:styleId="style1">
    <w:name w:val="heading 1"/>
    <w:basedOn w:val="style0"/>
    <w:next w:val="style0"/>
    <w:link w:val="style4098"/>
    <w:qFormat/>
    <w:uiPriority w:val="9"/>
    <w:pPr>
      <w:keepNext/>
      <w:keepLines/>
      <w:spacing w:before="240" w:after="0"/>
      <w:outlineLvl w:val="0"/>
    </w:pPr>
    <w:rPr>
      <w:rFonts w:cs="宋体" w:eastAsia="宋体"/>
      <w:b/>
      <w:sz w:val="28"/>
      <w:szCs w:val="32"/>
    </w:rPr>
  </w:style>
  <w:style w:type="paragraph" w:styleId="style2">
    <w:name w:val="heading 2"/>
    <w:basedOn w:val="style0"/>
    <w:next w:val="style0"/>
    <w:link w:val="style4097"/>
    <w:qFormat/>
    <w:uiPriority w:val="9"/>
    <w:pPr>
      <w:keepNext/>
      <w:keepLines/>
      <w:spacing w:before="40" w:after="0"/>
      <w:outlineLvl w:val="1"/>
    </w:pPr>
    <w:rPr>
      <w:rFonts w:ascii="Calibri Light" w:cs="宋体" w:eastAsia="宋体" w:hAnsi="Calibri Light"/>
      <w:b/>
      <w:sz w:val="26"/>
      <w:szCs w:val="26"/>
      <w:lang w:val="en-US"/>
    </w:rPr>
  </w:style>
  <w:style w:type="paragraph" w:styleId="style4">
    <w:name w:val="heading 4"/>
    <w:basedOn w:val="style0"/>
    <w:next w:val="style0"/>
    <w:link w:val="style4103"/>
    <w:qFormat/>
    <w:uiPriority w:val="9"/>
    <w:pPr>
      <w:keepNext/>
      <w:keepLines/>
      <w:spacing w:before="40" w:after="0"/>
      <w:outlineLvl w:val="3"/>
    </w:pPr>
    <w:rPr>
      <w:rFonts w:ascii="Calibri Light" w:cs="宋体" w:eastAsia="宋体" w:hAnsi="Calibri Light"/>
      <w:i/>
      <w:iCs/>
      <w:color w:val="2f5496"/>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2 Char_caaead05-c329-4de2-8275-0606c348a49f"/>
    <w:basedOn w:val="style65"/>
    <w:next w:val="style4097"/>
    <w:link w:val="style2"/>
    <w:uiPriority w:val="9"/>
    <w:rPr>
      <w:rFonts w:ascii="Calibri Light" w:cs="宋体" w:eastAsia="宋体" w:hAnsi="Calibri Light"/>
      <w:b/>
      <w:color w:val="000000"/>
      <w:sz w:val="26"/>
      <w:szCs w:val="26"/>
    </w:rPr>
  </w:style>
  <w:style w:type="character" w:customStyle="1" w:styleId="style4098">
    <w:name w:val="Heading 1 Char_f3622b33-23e9-4c2a-9ade-c972119a3f4a"/>
    <w:basedOn w:val="style65"/>
    <w:next w:val="style4098"/>
    <w:link w:val="style1"/>
    <w:uiPriority w:val="9"/>
    <w:rPr>
      <w:rFonts w:ascii="Times New Roman" w:cs="宋体" w:eastAsia="宋体" w:hAnsi="Times New Roman"/>
      <w:b/>
      <w:color w:val="000000"/>
      <w:sz w:val="28"/>
      <w:szCs w:val="32"/>
      <w:lang w:val="en-GB"/>
    </w:rPr>
  </w:style>
  <w:style w:type="paragraph" w:styleId="style62">
    <w:name w:val="Title"/>
    <w:basedOn w:val="style0"/>
    <w:next w:val="style0"/>
    <w:link w:val="style4099"/>
    <w:qFormat/>
    <w:uiPriority w:val="10"/>
    <w:pPr>
      <w:spacing w:after="0" w:lineRule="auto" w:line="240"/>
      <w:contextualSpacing/>
    </w:pPr>
    <w:rPr>
      <w:rFonts w:ascii="Calibri Light" w:cs="宋体" w:eastAsia="宋体" w:hAnsi="Calibri Light"/>
      <w:color w:val="auto"/>
      <w:spacing w:val="-10"/>
      <w:kern w:val="28"/>
      <w:sz w:val="56"/>
      <w:szCs w:val="56"/>
    </w:rPr>
  </w:style>
  <w:style w:type="character" w:customStyle="1" w:styleId="style4099">
    <w:name w:val="Title Char_98dacc32-1890-4c93-b3e0-89e35fdaeaac"/>
    <w:basedOn w:val="style65"/>
    <w:next w:val="style4099"/>
    <w:link w:val="style62"/>
    <w:uiPriority w:val="10"/>
    <w:rPr>
      <w:rFonts w:ascii="Calibri Light" w:cs="宋体" w:eastAsia="宋体" w:hAnsi="Calibri Light"/>
      <w:spacing w:val="-10"/>
      <w:kern w:val="28"/>
      <w:sz w:val="56"/>
      <w:szCs w:val="56"/>
      <w:lang w:val="en-GB"/>
    </w:rPr>
  </w:style>
  <w:style w:type="paragraph" w:styleId="style31">
    <w:name w:val="header"/>
    <w:basedOn w:val="style0"/>
    <w:next w:val="style31"/>
    <w:link w:val="style4100"/>
    <w:uiPriority w:val="99"/>
    <w:pPr>
      <w:tabs>
        <w:tab w:val="center" w:leader="none" w:pos="4680"/>
        <w:tab w:val="right" w:leader="none" w:pos="9360"/>
      </w:tabs>
      <w:spacing w:after="0" w:lineRule="auto" w:line="240"/>
    </w:pPr>
    <w:rPr/>
  </w:style>
  <w:style w:type="character" w:customStyle="1" w:styleId="style4100">
    <w:name w:val="Header Char_61174093-e024-4216-a73c-0fcce5e06436"/>
    <w:basedOn w:val="style65"/>
    <w:next w:val="style4100"/>
    <w:link w:val="style31"/>
    <w:uiPriority w:val="99"/>
    <w:rPr>
      <w:rFonts w:ascii="Times New Roman" w:hAnsi="Times New Roman"/>
      <w:color w:val="000000"/>
      <w:sz w:val="24"/>
      <w:lang w:val="en-GB"/>
    </w:rPr>
  </w:style>
  <w:style w:type="paragraph" w:styleId="style32">
    <w:name w:val="footer"/>
    <w:basedOn w:val="style0"/>
    <w:next w:val="style32"/>
    <w:link w:val="style4101"/>
    <w:uiPriority w:val="99"/>
    <w:pPr>
      <w:tabs>
        <w:tab w:val="center" w:leader="none" w:pos="4680"/>
        <w:tab w:val="right" w:leader="none" w:pos="9360"/>
      </w:tabs>
      <w:spacing w:after="0" w:lineRule="auto" w:line="240"/>
    </w:pPr>
    <w:rPr/>
  </w:style>
  <w:style w:type="character" w:customStyle="1" w:styleId="style4101">
    <w:name w:val="Footer Char_a4bf6408-0496-467e-9057-d48930212cdb"/>
    <w:basedOn w:val="style65"/>
    <w:next w:val="style4101"/>
    <w:link w:val="style32"/>
    <w:uiPriority w:val="99"/>
    <w:rPr>
      <w:rFonts w:ascii="Times New Roman" w:hAnsi="Times New Roman"/>
      <w:color w:val="000000"/>
      <w:sz w:val="24"/>
      <w:lang w:val="en-GB"/>
    </w:rPr>
  </w:style>
  <w:style w:type="paragraph" w:styleId="style266">
    <w:name w:val="TOC Heading"/>
    <w:basedOn w:val="style1"/>
    <w:next w:val="style0"/>
    <w:qFormat/>
    <w:uiPriority w:val="39"/>
    <w:pPr>
      <w:spacing w:lineRule="auto" w:line="259"/>
      <w:jc w:val="left"/>
      <w:outlineLvl w:val="9"/>
    </w:pPr>
    <w:rPr>
      <w:b w:val="false"/>
      <w:color w:val="2f5496"/>
      <w:lang w:val="en-US"/>
    </w:rPr>
  </w:style>
  <w:style w:type="paragraph" w:styleId="style19">
    <w:name w:val="toc 1"/>
    <w:basedOn w:val="style0"/>
    <w:next w:val="style0"/>
    <w:uiPriority w:val="39"/>
    <w:pPr>
      <w:spacing w:after="100"/>
    </w:pPr>
    <w:rPr/>
  </w:style>
  <w:style w:type="character" w:styleId="style85">
    <w:name w:val="Hyperlink"/>
    <w:basedOn w:val="style65"/>
    <w:next w:val="style85"/>
    <w:uiPriority w:val="99"/>
    <w:rPr>
      <w:color w:val="0563c1"/>
      <w:u w:val="single"/>
    </w:rPr>
  </w:style>
  <w:style w:type="paragraph" w:styleId="style34">
    <w:name w:val="caption"/>
    <w:basedOn w:val="style0"/>
    <w:next w:val="style0"/>
    <w:qFormat/>
    <w:uiPriority w:val="35"/>
    <w:pPr>
      <w:spacing w:after="200"/>
    </w:pPr>
    <w:rPr>
      <w:i/>
      <w:iCs/>
      <w:szCs w:val="18"/>
    </w:rPr>
  </w:style>
  <w:style w:type="paragraph" w:styleId="style153">
    <w:name w:val="Balloon Text"/>
    <w:basedOn w:val="style0"/>
    <w:next w:val="style153"/>
    <w:link w:val="style4102"/>
    <w:uiPriority w:val="99"/>
    <w:pPr>
      <w:spacing w:after="0" w:lineRule="auto" w:line="240"/>
    </w:pPr>
    <w:rPr>
      <w:rFonts w:ascii="Tahoma" w:cs="Tahoma" w:hAnsi="Tahoma"/>
      <w:sz w:val="16"/>
      <w:szCs w:val="16"/>
    </w:rPr>
  </w:style>
  <w:style w:type="character" w:customStyle="1" w:styleId="style4102">
    <w:name w:val="Balloon Text Char"/>
    <w:basedOn w:val="style65"/>
    <w:next w:val="style4102"/>
    <w:link w:val="style153"/>
    <w:uiPriority w:val="99"/>
    <w:rPr>
      <w:rFonts w:ascii="Tahoma" w:cs="Tahoma" w:hAnsi="Tahoma"/>
      <w:color w:val="000000"/>
      <w:sz w:val="16"/>
      <w:szCs w:val="16"/>
      <w:lang w:val="en-GB"/>
    </w:rPr>
  </w:style>
  <w:style w:type="character" w:customStyle="1" w:styleId="style4103">
    <w:name w:val="Heading 4 Char_1d2d24ad-3c49-4c78-8b28-2f325a3a45a8"/>
    <w:basedOn w:val="style65"/>
    <w:next w:val="style4103"/>
    <w:link w:val="style4"/>
    <w:uiPriority w:val="9"/>
    <w:rPr>
      <w:rFonts w:ascii="Calibri Light" w:cs="宋体" w:eastAsia="宋体" w:hAnsi="Calibri Light"/>
      <w:i/>
      <w:iCs/>
      <w:color w:val="2f5496"/>
      <w:sz w:val="24"/>
      <w:lang w:val="en-GB"/>
    </w:rPr>
  </w:style>
</w:styles>
</file>

<file path=word/_rels/document.xml.rels><?xml version="1.0" encoding="UTF-8"?>
<Relationships xmlns="http://schemas.openxmlformats.org/package/2006/relationships"><Relationship Id="rId11" Type="http://schemas.openxmlformats.org/officeDocument/2006/relationships/theme" Target="theme/theme1.xml"/><Relationship Id="rId10" Type="http://schemas.openxmlformats.org/officeDocument/2006/relationships/settings" Target="settings.xml"/><Relationship Id="rId12" Type="http://schemas.openxmlformats.org/officeDocument/2006/relationships/customXml" Target="../customXml/item1.xml"/><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diagramData" Target="diagrams/data1.xml"/><Relationship Id="rId9" Type="http://schemas.openxmlformats.org/officeDocument/2006/relationships/fontTable" Target="fontTable.xml"/><Relationship Id="rId14" Type="http://schemas.microsoft.com/office/2007/relationships/diagramDrawing" Target="diagrams/drawing1.xml"/><Relationship Id="rId5" Type="http://schemas.openxmlformats.org/officeDocument/2006/relationships/diagramLayout" Target="diagrams/layout1.xml"/><Relationship Id="rId6" Type="http://schemas.openxmlformats.org/officeDocument/2006/relationships/diagramQuickStyle" Target="diagrams/quickStyle1.xml"/><Relationship Id="rId7" Type="http://schemas.openxmlformats.org/officeDocument/2006/relationships/diagramColors" Target="diagrams/colors1.xml"/><Relationship Id="rId8"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621CEE2-21FB-4EDC-B3F8-1D5B2353771E}" type="doc">
      <dgm:prSet loTypeId="urn:microsoft.com/office/officeart/2005/8/layout/radial1#1" loCatId="cycle" qsTypeId="urn:microsoft.com/office/officeart/2005/8/quickstyle/simple2" qsCatId="simple" csTypeId="urn:microsoft.com/office/officeart/2005/8/colors/accent0_3" csCatId="mainScheme" phldr="1"/>
      <dgm:spPr/>
      <dgm:t>
        <a:bodyPr/>
        <a:lstStyle/>
        <a:p>
          <a:endParaRPr lang="en-US"/>
        </a:p>
      </dgm:t>
    </dgm:pt>
    <dgm:pt modelId="{ED35E420-34C4-4E08-A997-A6D483A6D6F2}">
      <dgm:prSet phldrT="[Text]" custT="1"/>
      <dgm:spPr/>
      <dgm:t>
        <a:bodyPr/>
        <a:lstStyle/>
        <a:p>
          <a:r>
            <a:rPr lang="en-US" sz="1050" b="1"/>
            <a:t>Motivation</a:t>
          </a:r>
        </a:p>
      </dgm:t>
    </dgm:pt>
    <dgm:pt modelId="{1AB475DC-0B54-442B-9352-69C461735453}" type="parTrans" cxnId="{89050229-6798-4B31-BB1B-1D6F856C9133}">
      <dgm:prSet/>
      <dgm:spPr/>
      <dgm:t>
        <a:bodyPr/>
        <a:lstStyle/>
        <a:p>
          <a:endParaRPr lang="en-US"/>
        </a:p>
      </dgm:t>
    </dgm:pt>
    <dgm:pt modelId="{D911D675-9633-4BA5-B796-4CDC82D0AA5B}" type="sibTrans" cxnId="{89050229-6798-4B31-BB1B-1D6F856C9133}">
      <dgm:prSet/>
      <dgm:spPr/>
      <dgm:t>
        <a:bodyPr/>
        <a:lstStyle/>
        <a:p>
          <a:endParaRPr lang="en-US"/>
        </a:p>
      </dgm:t>
    </dgm:pt>
    <dgm:pt modelId="{69671331-0659-4806-8D6C-7D35D93CCF0D}">
      <dgm:prSet phldrT="[Text]" custT="1"/>
      <dgm:spPr/>
      <dgm:t>
        <a:bodyPr/>
        <a:lstStyle/>
        <a:p>
          <a:r>
            <a:rPr lang="en-GB" sz="800" b="1"/>
            <a:t>Fair wage</a:t>
          </a:r>
          <a:endParaRPr lang="en-US" sz="800" b="1"/>
        </a:p>
      </dgm:t>
    </dgm:pt>
    <dgm:pt modelId="{FAE131C3-E8D6-49C6-9C9D-5EBA404152E0}" type="parTrans" cxnId="{C0E25B42-6CB7-459B-9C1A-9D2EF7EE207D}">
      <dgm:prSet/>
      <dgm:spPr/>
      <dgm:t>
        <a:bodyPr/>
        <a:lstStyle/>
        <a:p>
          <a:endParaRPr lang="en-US"/>
        </a:p>
      </dgm:t>
    </dgm:pt>
    <dgm:pt modelId="{FBDF4661-DB94-454C-A4E6-4EB113A66E2A}" type="sibTrans" cxnId="{C0E25B42-6CB7-459B-9C1A-9D2EF7EE207D}">
      <dgm:prSet/>
      <dgm:spPr/>
      <dgm:t>
        <a:bodyPr/>
        <a:lstStyle/>
        <a:p>
          <a:endParaRPr lang="en-US"/>
        </a:p>
      </dgm:t>
    </dgm:pt>
    <dgm:pt modelId="{F004F3A4-0EA4-44E1-BADF-8208D77C109D}">
      <dgm:prSet phldrT="[Text]" custT="1"/>
      <dgm:spPr/>
      <dgm:t>
        <a:bodyPr/>
        <a:lstStyle/>
        <a:p>
          <a:r>
            <a:rPr lang="en-GB" sz="800" b="1"/>
            <a:t>Recognizing accomplishments</a:t>
          </a:r>
          <a:endParaRPr lang="en-US" sz="800" b="1"/>
        </a:p>
      </dgm:t>
    </dgm:pt>
    <dgm:pt modelId="{0DDF4A09-353C-4966-8CC1-9ADC05EC4F61}" type="parTrans" cxnId="{31C2C0FE-54A4-4240-8975-09DDEBA857E7}">
      <dgm:prSet/>
      <dgm:spPr/>
      <dgm:t>
        <a:bodyPr/>
        <a:lstStyle/>
        <a:p>
          <a:endParaRPr lang="en-US"/>
        </a:p>
      </dgm:t>
    </dgm:pt>
    <dgm:pt modelId="{E4222022-C578-439C-BABA-D91A53301D41}" type="sibTrans" cxnId="{31C2C0FE-54A4-4240-8975-09DDEBA857E7}">
      <dgm:prSet/>
      <dgm:spPr/>
      <dgm:t>
        <a:bodyPr/>
        <a:lstStyle/>
        <a:p>
          <a:endParaRPr lang="en-US"/>
        </a:p>
      </dgm:t>
    </dgm:pt>
    <dgm:pt modelId="{57BA920F-BF58-4731-B4E2-FFB28704A77F}">
      <dgm:prSet phldrT="[Text]" custT="1"/>
      <dgm:spPr/>
      <dgm:t>
        <a:bodyPr/>
        <a:lstStyle/>
        <a:p>
          <a:r>
            <a:rPr lang="en-GB" sz="800" b="1"/>
            <a:t>Incentives</a:t>
          </a:r>
          <a:endParaRPr lang="en-US" sz="800" b="1"/>
        </a:p>
      </dgm:t>
    </dgm:pt>
    <dgm:pt modelId="{7D57A22A-3A43-457A-878C-4DB696B061EA}" type="parTrans" cxnId="{E8A38491-4E6B-4E88-A7FF-49322D96AF84}">
      <dgm:prSet/>
      <dgm:spPr/>
      <dgm:t>
        <a:bodyPr/>
        <a:lstStyle/>
        <a:p>
          <a:endParaRPr lang="en-US"/>
        </a:p>
      </dgm:t>
    </dgm:pt>
    <dgm:pt modelId="{47F512A1-62C9-45D0-A825-44ED50A7A41C}" type="sibTrans" cxnId="{E8A38491-4E6B-4E88-A7FF-49322D96AF84}">
      <dgm:prSet/>
      <dgm:spPr/>
      <dgm:t>
        <a:bodyPr/>
        <a:lstStyle/>
        <a:p>
          <a:endParaRPr lang="en-US"/>
        </a:p>
      </dgm:t>
    </dgm:pt>
    <dgm:pt modelId="{640E9B1C-54CE-4C48-B2C4-A4A97E4B2D7F}">
      <dgm:prSet phldrT="[Text]" custT="1"/>
      <dgm:spPr/>
      <dgm:t>
        <a:bodyPr/>
        <a:lstStyle/>
        <a:p>
          <a:r>
            <a:rPr lang="en-US" sz="800" b="1"/>
            <a:t>Providing Vacation</a:t>
          </a:r>
        </a:p>
      </dgm:t>
    </dgm:pt>
    <dgm:pt modelId="{DF225198-DF8A-47E1-A87B-5BCB3785ABDF}" type="parTrans" cxnId="{1663E5EA-F0C0-457D-A1F9-EC9C62E2A65F}">
      <dgm:prSet/>
      <dgm:spPr/>
      <dgm:t>
        <a:bodyPr/>
        <a:lstStyle/>
        <a:p>
          <a:endParaRPr lang="en-US"/>
        </a:p>
      </dgm:t>
    </dgm:pt>
    <dgm:pt modelId="{0FCFA78B-B2E0-4E9D-B1C9-72CDA3698427}" type="sibTrans" cxnId="{1663E5EA-F0C0-457D-A1F9-EC9C62E2A65F}">
      <dgm:prSet/>
      <dgm:spPr/>
      <dgm:t>
        <a:bodyPr/>
        <a:lstStyle/>
        <a:p>
          <a:endParaRPr lang="en-US"/>
        </a:p>
      </dgm:t>
    </dgm:pt>
    <dgm:pt modelId="{DD1BFCD5-E29C-4448-8C52-D1F83AD78E8F}">
      <dgm:prSet custT="1"/>
      <dgm:spPr/>
      <dgm:t>
        <a:bodyPr/>
        <a:lstStyle/>
        <a:p>
          <a:r>
            <a:rPr lang="en-GB" sz="800" b="1"/>
            <a:t>Flexible Workplace</a:t>
          </a:r>
          <a:endParaRPr lang="en-US" sz="800" b="1"/>
        </a:p>
      </dgm:t>
    </dgm:pt>
    <dgm:pt modelId="{A021A0A5-8310-477E-AC7C-50ECBC7B815D}" type="parTrans" cxnId="{8531B490-88EE-41D0-B2F8-65FECA44F38D}">
      <dgm:prSet/>
      <dgm:spPr/>
      <dgm:t>
        <a:bodyPr/>
        <a:lstStyle/>
        <a:p>
          <a:endParaRPr lang="en-US"/>
        </a:p>
      </dgm:t>
    </dgm:pt>
    <dgm:pt modelId="{884FD7D9-A0A6-40B7-807F-1C547FF9DD81}" type="sibTrans" cxnId="{8531B490-88EE-41D0-B2F8-65FECA44F38D}">
      <dgm:prSet/>
      <dgm:spPr/>
      <dgm:t>
        <a:bodyPr/>
        <a:lstStyle/>
        <a:p>
          <a:endParaRPr lang="en-US"/>
        </a:p>
      </dgm:t>
    </dgm:pt>
    <dgm:pt modelId="{49D88BFC-5050-4646-86BA-493CC87A0B4D}">
      <dgm:prSet custT="1"/>
      <dgm:spPr/>
      <dgm:t>
        <a:bodyPr/>
        <a:lstStyle/>
        <a:p>
          <a:r>
            <a:rPr lang="en-GB" sz="800" b="1"/>
            <a:t>Clear Communication</a:t>
          </a:r>
          <a:endParaRPr lang="en-US" sz="800" b="1"/>
        </a:p>
      </dgm:t>
    </dgm:pt>
    <dgm:pt modelId="{AC279447-C6BD-40D5-A4FE-57BF2F48C403}" type="parTrans" cxnId="{CB4896EA-2650-4582-A14B-0F02941E6CE6}">
      <dgm:prSet/>
      <dgm:spPr/>
      <dgm:t>
        <a:bodyPr/>
        <a:lstStyle/>
        <a:p>
          <a:endParaRPr lang="en-US"/>
        </a:p>
      </dgm:t>
    </dgm:pt>
    <dgm:pt modelId="{91DBB05A-1D2E-4B43-B91C-D517E0F6BE9F}" type="sibTrans" cxnId="{CB4896EA-2650-4582-A14B-0F02941E6CE6}">
      <dgm:prSet/>
      <dgm:spPr/>
      <dgm:t>
        <a:bodyPr/>
        <a:lstStyle/>
        <a:p>
          <a:endParaRPr lang="en-US"/>
        </a:p>
      </dgm:t>
    </dgm:pt>
    <dgm:pt modelId="{1A379A12-4D67-409B-848B-9A782062D8E1}">
      <dgm:prSet custT="1"/>
      <dgm:spPr/>
      <dgm:t>
        <a:bodyPr/>
        <a:lstStyle/>
        <a:p>
          <a:r>
            <a:rPr lang="en-GB" sz="800" b="1"/>
            <a:t>Self-direction</a:t>
          </a:r>
          <a:endParaRPr lang="en-US" sz="800" b="1"/>
        </a:p>
      </dgm:t>
    </dgm:pt>
    <dgm:pt modelId="{3CC037CA-C91C-40E8-8997-F278BEE0BA2C}" type="parTrans" cxnId="{A6DF4760-3E62-4F8B-A974-A132F8E0B378}">
      <dgm:prSet/>
      <dgm:spPr/>
      <dgm:t>
        <a:bodyPr/>
        <a:lstStyle/>
        <a:p>
          <a:endParaRPr lang="en-US"/>
        </a:p>
      </dgm:t>
    </dgm:pt>
    <dgm:pt modelId="{FA1FE252-F692-4CDE-86B4-D1189D48543B}" type="sibTrans" cxnId="{A6DF4760-3E62-4F8B-A974-A132F8E0B378}">
      <dgm:prSet/>
      <dgm:spPr/>
      <dgm:t>
        <a:bodyPr/>
        <a:lstStyle/>
        <a:p>
          <a:endParaRPr lang="en-US"/>
        </a:p>
      </dgm:t>
    </dgm:pt>
    <dgm:pt modelId="{974A0869-04A5-41B4-B63B-EA75B9B3451C}">
      <dgm:prSet custT="1"/>
      <dgm:spPr/>
      <dgm:t>
        <a:bodyPr/>
        <a:lstStyle/>
        <a:p>
          <a:r>
            <a:rPr lang="en-GB" sz="800" b="1"/>
            <a:t>Monitor employee disputes </a:t>
          </a:r>
          <a:endParaRPr lang="en-US" sz="800" b="1"/>
        </a:p>
      </dgm:t>
    </dgm:pt>
    <dgm:pt modelId="{2DF9B09D-A107-4909-865D-D66B2934DD36}" type="parTrans" cxnId="{006242B7-18AA-4114-8AFA-C5CF353BCCE3}">
      <dgm:prSet/>
      <dgm:spPr/>
      <dgm:t>
        <a:bodyPr/>
        <a:lstStyle/>
        <a:p>
          <a:endParaRPr lang="en-US"/>
        </a:p>
      </dgm:t>
    </dgm:pt>
    <dgm:pt modelId="{9E647A1B-B001-4A5D-A925-DBFEC1D18121}" type="sibTrans" cxnId="{006242B7-18AA-4114-8AFA-C5CF353BCCE3}">
      <dgm:prSet/>
      <dgm:spPr/>
      <dgm:t>
        <a:bodyPr/>
        <a:lstStyle/>
        <a:p>
          <a:endParaRPr lang="en-US"/>
        </a:p>
      </dgm:t>
    </dgm:pt>
    <dgm:pt modelId="{46333FD3-1A5B-4261-A2ED-8B7CB7165DF7}">
      <dgm:prSet custT="1"/>
      <dgm:spPr/>
      <dgm:t>
        <a:bodyPr/>
        <a:lstStyle/>
        <a:p>
          <a:r>
            <a:rPr lang="en-GB" sz="800" b="1"/>
            <a:t>Team unity</a:t>
          </a:r>
          <a:endParaRPr lang="en-US" sz="800" b="1"/>
        </a:p>
      </dgm:t>
    </dgm:pt>
    <dgm:pt modelId="{DB7F308E-CD9E-4727-B85F-0FF9DCDF05BA}" type="parTrans" cxnId="{EAE7B859-F09E-4285-9BE9-B9AC7A84FBEB}">
      <dgm:prSet/>
      <dgm:spPr/>
      <dgm:t>
        <a:bodyPr/>
        <a:lstStyle/>
        <a:p>
          <a:endParaRPr lang="en-US"/>
        </a:p>
      </dgm:t>
    </dgm:pt>
    <dgm:pt modelId="{82CE223B-09BF-4722-8D4D-A9C6D2C3F45A}" type="sibTrans" cxnId="{EAE7B859-F09E-4285-9BE9-B9AC7A84FBEB}">
      <dgm:prSet/>
      <dgm:spPr/>
      <dgm:t>
        <a:bodyPr/>
        <a:lstStyle/>
        <a:p>
          <a:endParaRPr lang="en-US"/>
        </a:p>
      </dgm:t>
    </dgm:pt>
    <dgm:pt modelId="{C266029D-E7CF-4911-AEE0-5E48C6BD263E}">
      <dgm:prSet custT="1"/>
      <dgm:spPr/>
      <dgm:t>
        <a:bodyPr/>
        <a:lstStyle/>
        <a:p>
          <a:r>
            <a:rPr lang="en-GB" sz="800" b="1"/>
            <a:t>Healthy competition</a:t>
          </a:r>
          <a:endParaRPr lang="en-US" sz="800" b="1"/>
        </a:p>
      </dgm:t>
    </dgm:pt>
    <dgm:pt modelId="{DC118106-C9B1-4D00-B99A-24205A893EE8}" type="parTrans" cxnId="{CC1A34DB-A85E-4940-8FDC-7877DA44F24D}">
      <dgm:prSet/>
      <dgm:spPr/>
      <dgm:t>
        <a:bodyPr/>
        <a:lstStyle/>
        <a:p>
          <a:endParaRPr lang="en-US"/>
        </a:p>
      </dgm:t>
    </dgm:pt>
    <dgm:pt modelId="{FD635C73-068B-49D3-AC8D-EF40BF72A1A2}" type="sibTrans" cxnId="{CC1A34DB-A85E-4940-8FDC-7877DA44F24D}">
      <dgm:prSet/>
      <dgm:spPr/>
      <dgm:t>
        <a:bodyPr/>
        <a:lstStyle/>
        <a:p>
          <a:endParaRPr lang="en-US"/>
        </a:p>
      </dgm:t>
    </dgm:pt>
    <dgm:pt modelId="{16891DB5-FAE1-4CFB-A442-DF55EDDFDC57}" type="pres">
      <dgm:prSet presAssocID="{8621CEE2-21FB-4EDC-B3F8-1D5B2353771E}" presName="cycle" presStyleCnt="0">
        <dgm:presLayoutVars>
          <dgm:chMax val="1"/>
          <dgm:dir/>
          <dgm:animLvl val="ctr"/>
          <dgm:resizeHandles val="exact"/>
        </dgm:presLayoutVars>
      </dgm:prSet>
      <dgm:spPr/>
    </dgm:pt>
    <dgm:pt modelId="{1BC7F749-5BD9-4916-8D58-FB0C7B1BCAD0}" type="pres">
      <dgm:prSet presAssocID="{ED35E420-34C4-4E08-A997-A6D483A6D6F2}" presName="centerShape" presStyleLbl="node0" presStyleIdx="0" presStyleCnt="1" custScaleX="140481" custScaleY="114466"/>
      <dgm:spPr/>
    </dgm:pt>
    <dgm:pt modelId="{23F80F76-BBEA-406D-86FF-C589CA249BCE}" type="pres">
      <dgm:prSet presAssocID="{FAE131C3-E8D6-49C6-9C9D-5EBA404152E0}" presName="Name9" presStyleLbl="parChTrans1D2" presStyleIdx="0" presStyleCnt="10"/>
      <dgm:spPr/>
    </dgm:pt>
    <dgm:pt modelId="{30F2F9F2-9CE5-4F1F-9B66-EB0815514BC1}" type="pres">
      <dgm:prSet presAssocID="{FAE131C3-E8D6-49C6-9C9D-5EBA404152E0}" presName="connTx" presStyleLbl="parChTrans1D2" presStyleIdx="0" presStyleCnt="10"/>
      <dgm:spPr/>
    </dgm:pt>
    <dgm:pt modelId="{DF7E9633-F17B-418E-8A0D-70A13CD843A7}" type="pres">
      <dgm:prSet presAssocID="{69671331-0659-4806-8D6C-7D35D93CCF0D}" presName="node" presStyleLbl="node1" presStyleIdx="0" presStyleCnt="10">
        <dgm:presLayoutVars>
          <dgm:bulletEnabled val="1"/>
        </dgm:presLayoutVars>
      </dgm:prSet>
      <dgm:spPr/>
    </dgm:pt>
    <dgm:pt modelId="{62813C32-2120-4C3E-8A44-73DA36B19D8D}" type="pres">
      <dgm:prSet presAssocID="{0DDF4A09-353C-4966-8CC1-9ADC05EC4F61}" presName="Name9" presStyleLbl="parChTrans1D2" presStyleIdx="1" presStyleCnt="10"/>
      <dgm:spPr/>
    </dgm:pt>
    <dgm:pt modelId="{6FE42EF9-0EE5-4023-BD38-3AA96785DFF2}" type="pres">
      <dgm:prSet presAssocID="{0DDF4A09-353C-4966-8CC1-9ADC05EC4F61}" presName="connTx" presStyleLbl="parChTrans1D2" presStyleIdx="1" presStyleCnt="10"/>
      <dgm:spPr/>
    </dgm:pt>
    <dgm:pt modelId="{C6FF0305-685D-490E-9F09-E4A8088A4D31}" type="pres">
      <dgm:prSet presAssocID="{F004F3A4-0EA4-44E1-BADF-8208D77C109D}" presName="node" presStyleLbl="node1" presStyleIdx="1" presStyleCnt="10" custScaleX="122162" custScaleY="101625">
        <dgm:presLayoutVars>
          <dgm:bulletEnabled val="1"/>
        </dgm:presLayoutVars>
      </dgm:prSet>
      <dgm:spPr/>
    </dgm:pt>
    <dgm:pt modelId="{B34C00A7-6086-4E70-8BE9-6812523841DD}" type="pres">
      <dgm:prSet presAssocID="{7D57A22A-3A43-457A-878C-4DB696B061EA}" presName="Name9" presStyleLbl="parChTrans1D2" presStyleIdx="2" presStyleCnt="10"/>
      <dgm:spPr/>
    </dgm:pt>
    <dgm:pt modelId="{F9D85D12-C7EA-4C8F-A1F3-81CA571D9134}" type="pres">
      <dgm:prSet presAssocID="{7D57A22A-3A43-457A-878C-4DB696B061EA}" presName="connTx" presStyleLbl="parChTrans1D2" presStyleIdx="2" presStyleCnt="10"/>
      <dgm:spPr/>
    </dgm:pt>
    <dgm:pt modelId="{E7C52522-3F88-48B1-8A42-F6B2579343E2}" type="pres">
      <dgm:prSet presAssocID="{57BA920F-BF58-4731-B4E2-FFB28704A77F}" presName="node" presStyleLbl="node1" presStyleIdx="2" presStyleCnt="10">
        <dgm:presLayoutVars>
          <dgm:bulletEnabled val="1"/>
        </dgm:presLayoutVars>
      </dgm:prSet>
      <dgm:spPr/>
    </dgm:pt>
    <dgm:pt modelId="{F280AB55-56BC-45E7-88C6-00DED4770ECD}" type="pres">
      <dgm:prSet presAssocID="{A021A0A5-8310-477E-AC7C-50ECBC7B815D}" presName="Name9" presStyleLbl="parChTrans1D2" presStyleIdx="3" presStyleCnt="10"/>
      <dgm:spPr/>
    </dgm:pt>
    <dgm:pt modelId="{98F05240-60CD-4F6C-8E8E-C9850F0B5E7F}" type="pres">
      <dgm:prSet presAssocID="{A021A0A5-8310-477E-AC7C-50ECBC7B815D}" presName="connTx" presStyleLbl="parChTrans1D2" presStyleIdx="3" presStyleCnt="10"/>
      <dgm:spPr/>
    </dgm:pt>
    <dgm:pt modelId="{B7A474BA-6A85-4543-B6D4-48652E710727}" type="pres">
      <dgm:prSet presAssocID="{DD1BFCD5-E29C-4448-8C52-D1F83AD78E8F}" presName="node" presStyleLbl="node1" presStyleIdx="3" presStyleCnt="10">
        <dgm:presLayoutVars>
          <dgm:bulletEnabled val="1"/>
        </dgm:presLayoutVars>
      </dgm:prSet>
      <dgm:spPr/>
    </dgm:pt>
    <dgm:pt modelId="{6C447949-8968-437F-8451-A2B5F160F09C}" type="pres">
      <dgm:prSet presAssocID="{3CC037CA-C91C-40E8-8997-F278BEE0BA2C}" presName="Name9" presStyleLbl="parChTrans1D2" presStyleIdx="4" presStyleCnt="10"/>
      <dgm:spPr/>
    </dgm:pt>
    <dgm:pt modelId="{C59D9A2B-057F-4313-95F0-E22D564ED9DB}" type="pres">
      <dgm:prSet presAssocID="{3CC037CA-C91C-40E8-8997-F278BEE0BA2C}" presName="connTx" presStyleLbl="parChTrans1D2" presStyleIdx="4" presStyleCnt="10"/>
      <dgm:spPr/>
    </dgm:pt>
    <dgm:pt modelId="{25FBEA6D-F36A-4799-A963-5BABED76948A}" type="pres">
      <dgm:prSet presAssocID="{1A379A12-4D67-409B-848B-9A782062D8E1}" presName="node" presStyleLbl="node1" presStyleIdx="4" presStyleCnt="10">
        <dgm:presLayoutVars>
          <dgm:bulletEnabled val="1"/>
        </dgm:presLayoutVars>
      </dgm:prSet>
      <dgm:spPr/>
    </dgm:pt>
    <dgm:pt modelId="{533EF8E4-42D2-49AC-A6EA-86FE1FADAB9B}" type="pres">
      <dgm:prSet presAssocID="{2DF9B09D-A107-4909-865D-D66B2934DD36}" presName="Name9" presStyleLbl="parChTrans1D2" presStyleIdx="5" presStyleCnt="10"/>
      <dgm:spPr/>
    </dgm:pt>
    <dgm:pt modelId="{DFE69FE6-6AE8-455D-92B5-ED27C5992F39}" type="pres">
      <dgm:prSet presAssocID="{2DF9B09D-A107-4909-865D-D66B2934DD36}" presName="connTx" presStyleLbl="parChTrans1D2" presStyleIdx="5" presStyleCnt="10"/>
      <dgm:spPr/>
    </dgm:pt>
    <dgm:pt modelId="{A213225D-15CF-4E1A-AD41-351669544DE7}" type="pres">
      <dgm:prSet presAssocID="{974A0869-04A5-41B4-B63B-EA75B9B3451C}" presName="node" presStyleLbl="node1" presStyleIdx="5" presStyleCnt="10">
        <dgm:presLayoutVars>
          <dgm:bulletEnabled val="1"/>
        </dgm:presLayoutVars>
      </dgm:prSet>
      <dgm:spPr/>
    </dgm:pt>
    <dgm:pt modelId="{86B0607E-875F-42AF-8CD9-2D74C7E0121C}" type="pres">
      <dgm:prSet presAssocID="{DB7F308E-CD9E-4727-B85F-0FF9DCDF05BA}" presName="Name9" presStyleLbl="parChTrans1D2" presStyleIdx="6" presStyleCnt="10"/>
      <dgm:spPr/>
    </dgm:pt>
    <dgm:pt modelId="{EC9AC683-0805-48ED-B8C6-028EB2DC81A2}" type="pres">
      <dgm:prSet presAssocID="{DB7F308E-CD9E-4727-B85F-0FF9DCDF05BA}" presName="connTx" presStyleLbl="parChTrans1D2" presStyleIdx="6" presStyleCnt="10"/>
      <dgm:spPr/>
    </dgm:pt>
    <dgm:pt modelId="{34591AE7-F7FE-4A76-A4BF-AA5A7CD4CA25}" type="pres">
      <dgm:prSet presAssocID="{46333FD3-1A5B-4261-A2ED-8B7CB7165DF7}" presName="node" presStyleLbl="node1" presStyleIdx="6" presStyleCnt="10">
        <dgm:presLayoutVars>
          <dgm:bulletEnabled val="1"/>
        </dgm:presLayoutVars>
      </dgm:prSet>
      <dgm:spPr/>
    </dgm:pt>
    <dgm:pt modelId="{8F5DEC7D-A493-452C-8E0F-9546DA44AAD7}" type="pres">
      <dgm:prSet presAssocID="{DC118106-C9B1-4D00-B99A-24205A893EE8}" presName="Name9" presStyleLbl="parChTrans1D2" presStyleIdx="7" presStyleCnt="10"/>
      <dgm:spPr/>
    </dgm:pt>
    <dgm:pt modelId="{2A1ED62A-F8EB-4718-9C9C-472F67392A9F}" type="pres">
      <dgm:prSet presAssocID="{DC118106-C9B1-4D00-B99A-24205A893EE8}" presName="connTx" presStyleLbl="parChTrans1D2" presStyleIdx="7" presStyleCnt="10"/>
      <dgm:spPr/>
    </dgm:pt>
    <dgm:pt modelId="{68352E5E-BD5C-4A8B-9376-E84FE7DAB800}" type="pres">
      <dgm:prSet presAssocID="{C266029D-E7CF-4911-AEE0-5E48C6BD263E}" presName="node" presStyleLbl="node1" presStyleIdx="7" presStyleCnt="10" custScaleX="119864" custScaleY="109101">
        <dgm:presLayoutVars>
          <dgm:bulletEnabled val="1"/>
        </dgm:presLayoutVars>
      </dgm:prSet>
      <dgm:spPr/>
    </dgm:pt>
    <dgm:pt modelId="{A8F2DB1B-185D-4FD5-80D1-DF2B1ADD16A7}" type="pres">
      <dgm:prSet presAssocID="{AC279447-C6BD-40D5-A4FE-57BF2F48C403}" presName="Name9" presStyleLbl="parChTrans1D2" presStyleIdx="8" presStyleCnt="10"/>
      <dgm:spPr/>
    </dgm:pt>
    <dgm:pt modelId="{1AC9680F-CF06-4026-A8E9-664467928032}" type="pres">
      <dgm:prSet presAssocID="{AC279447-C6BD-40D5-A4FE-57BF2F48C403}" presName="connTx" presStyleLbl="parChTrans1D2" presStyleIdx="8" presStyleCnt="10"/>
      <dgm:spPr/>
    </dgm:pt>
    <dgm:pt modelId="{4DDC5801-D71C-4E38-8AC4-F8D24843D552}" type="pres">
      <dgm:prSet presAssocID="{49D88BFC-5050-4646-86BA-493CC87A0B4D}" presName="node" presStyleLbl="node1" presStyleIdx="8" presStyleCnt="10" custScaleX="122940" custScaleY="99018">
        <dgm:presLayoutVars>
          <dgm:bulletEnabled val="1"/>
        </dgm:presLayoutVars>
      </dgm:prSet>
      <dgm:spPr/>
    </dgm:pt>
    <dgm:pt modelId="{CBF7395D-7CB3-4C55-9420-AC99B4067D81}" type="pres">
      <dgm:prSet presAssocID="{DF225198-DF8A-47E1-A87B-5BCB3785ABDF}" presName="Name9" presStyleLbl="parChTrans1D2" presStyleIdx="9" presStyleCnt="10"/>
      <dgm:spPr/>
    </dgm:pt>
    <dgm:pt modelId="{72BACB9D-DFA1-455D-B9ED-1EFE2EBA3D50}" type="pres">
      <dgm:prSet presAssocID="{DF225198-DF8A-47E1-A87B-5BCB3785ABDF}" presName="connTx" presStyleLbl="parChTrans1D2" presStyleIdx="9" presStyleCnt="10"/>
      <dgm:spPr/>
    </dgm:pt>
    <dgm:pt modelId="{89094417-4CB4-41DE-9DF8-B35D162FCBEC}" type="pres">
      <dgm:prSet presAssocID="{640E9B1C-54CE-4C48-B2C4-A4A97E4B2D7F}" presName="node" presStyleLbl="node1" presStyleIdx="9" presStyleCnt="10">
        <dgm:presLayoutVars>
          <dgm:bulletEnabled val="1"/>
        </dgm:presLayoutVars>
      </dgm:prSet>
      <dgm:spPr/>
    </dgm:pt>
  </dgm:ptLst>
  <dgm:cxnLst>
    <dgm:cxn modelId="{1C973B0C-C588-4122-A990-CBBFC115E8B4}" type="presOf" srcId="{DB7F308E-CD9E-4727-B85F-0FF9DCDF05BA}" destId="{EC9AC683-0805-48ED-B8C6-028EB2DC81A2}" srcOrd="1" destOrd="0" presId="urn:microsoft.com/office/officeart/2005/8/layout/radial1#1"/>
    <dgm:cxn modelId="{6BCA7A10-A341-47E9-91C0-542592FFDA58}" type="presOf" srcId="{DC118106-C9B1-4D00-B99A-24205A893EE8}" destId="{2A1ED62A-F8EB-4718-9C9C-472F67392A9F}" srcOrd="1" destOrd="0" presId="urn:microsoft.com/office/officeart/2005/8/layout/radial1#1"/>
    <dgm:cxn modelId="{9489CF21-C693-42BD-93DA-4AC4F9ADBBED}" type="presOf" srcId="{7D57A22A-3A43-457A-878C-4DB696B061EA}" destId="{F9D85D12-C7EA-4C8F-A1F3-81CA571D9134}" srcOrd="1" destOrd="0" presId="urn:microsoft.com/office/officeart/2005/8/layout/radial1#1"/>
    <dgm:cxn modelId="{20D72628-4201-46A1-B2E7-DB94A8661173}" type="presOf" srcId="{ED35E420-34C4-4E08-A997-A6D483A6D6F2}" destId="{1BC7F749-5BD9-4916-8D58-FB0C7B1BCAD0}" srcOrd="0" destOrd="0" presId="urn:microsoft.com/office/officeart/2005/8/layout/radial1#1"/>
    <dgm:cxn modelId="{89050229-6798-4B31-BB1B-1D6F856C9133}" srcId="{8621CEE2-21FB-4EDC-B3F8-1D5B2353771E}" destId="{ED35E420-34C4-4E08-A997-A6D483A6D6F2}" srcOrd="0" destOrd="0" parTransId="{1AB475DC-0B54-442B-9352-69C461735453}" sibTransId="{D911D675-9633-4BA5-B796-4CDC82D0AA5B}"/>
    <dgm:cxn modelId="{7917322A-DAB6-4525-88BA-F4EDB191A36F}" type="presOf" srcId="{FAE131C3-E8D6-49C6-9C9D-5EBA404152E0}" destId="{23F80F76-BBEA-406D-86FF-C589CA249BCE}" srcOrd="0" destOrd="0" presId="urn:microsoft.com/office/officeart/2005/8/layout/radial1#1"/>
    <dgm:cxn modelId="{4294242B-8A09-4040-AE08-4D043FB62BED}" type="presOf" srcId="{FAE131C3-E8D6-49C6-9C9D-5EBA404152E0}" destId="{30F2F9F2-9CE5-4F1F-9B66-EB0815514BC1}" srcOrd="1" destOrd="0" presId="urn:microsoft.com/office/officeart/2005/8/layout/radial1#1"/>
    <dgm:cxn modelId="{CE2EB52C-B001-4506-BA72-518730E97F8C}" type="presOf" srcId="{1A379A12-4D67-409B-848B-9A782062D8E1}" destId="{25FBEA6D-F36A-4799-A963-5BABED76948A}" srcOrd="0" destOrd="0" presId="urn:microsoft.com/office/officeart/2005/8/layout/radial1#1"/>
    <dgm:cxn modelId="{AA72DE3F-41BB-4088-AFD9-655D097A5B55}" type="presOf" srcId="{DC118106-C9B1-4D00-B99A-24205A893EE8}" destId="{8F5DEC7D-A493-452C-8E0F-9546DA44AAD7}" srcOrd="0" destOrd="0" presId="urn:microsoft.com/office/officeart/2005/8/layout/radial1#1"/>
    <dgm:cxn modelId="{A6DF4760-3E62-4F8B-A974-A132F8E0B378}" srcId="{ED35E420-34C4-4E08-A997-A6D483A6D6F2}" destId="{1A379A12-4D67-409B-848B-9A782062D8E1}" srcOrd="4" destOrd="0" parTransId="{3CC037CA-C91C-40E8-8997-F278BEE0BA2C}" sibTransId="{FA1FE252-F692-4CDE-86B4-D1189D48543B}"/>
    <dgm:cxn modelId="{C0E25B42-6CB7-459B-9C1A-9D2EF7EE207D}" srcId="{ED35E420-34C4-4E08-A997-A6D483A6D6F2}" destId="{69671331-0659-4806-8D6C-7D35D93CCF0D}" srcOrd="0" destOrd="0" parTransId="{FAE131C3-E8D6-49C6-9C9D-5EBA404152E0}" sibTransId="{FBDF4661-DB94-454C-A4E6-4EB113A66E2A}"/>
    <dgm:cxn modelId="{59D7D847-36E5-48F9-9598-3A2669B4C368}" type="presOf" srcId="{DF225198-DF8A-47E1-A87B-5BCB3785ABDF}" destId="{72BACB9D-DFA1-455D-B9ED-1EFE2EBA3D50}" srcOrd="1" destOrd="0" presId="urn:microsoft.com/office/officeart/2005/8/layout/radial1#1"/>
    <dgm:cxn modelId="{40F2186E-10D2-4D47-9BEB-ACEF626911C1}" type="presOf" srcId="{3CC037CA-C91C-40E8-8997-F278BEE0BA2C}" destId="{6C447949-8968-437F-8451-A2B5F160F09C}" srcOrd="0" destOrd="0" presId="urn:microsoft.com/office/officeart/2005/8/layout/radial1#1"/>
    <dgm:cxn modelId="{0E2A9450-3F40-4162-9A75-D8B98708008B}" type="presOf" srcId="{974A0869-04A5-41B4-B63B-EA75B9B3451C}" destId="{A213225D-15CF-4E1A-AD41-351669544DE7}" srcOrd="0" destOrd="0" presId="urn:microsoft.com/office/officeart/2005/8/layout/radial1#1"/>
    <dgm:cxn modelId="{6E62A751-A68A-45D2-A450-0EDAC511716B}" type="presOf" srcId="{640E9B1C-54CE-4C48-B2C4-A4A97E4B2D7F}" destId="{89094417-4CB4-41DE-9DF8-B35D162FCBEC}" srcOrd="0" destOrd="0" presId="urn:microsoft.com/office/officeart/2005/8/layout/radial1#1"/>
    <dgm:cxn modelId="{EAE7B859-F09E-4285-9BE9-B9AC7A84FBEB}" srcId="{ED35E420-34C4-4E08-A997-A6D483A6D6F2}" destId="{46333FD3-1A5B-4261-A2ED-8B7CB7165DF7}" srcOrd="6" destOrd="0" parTransId="{DB7F308E-CD9E-4727-B85F-0FF9DCDF05BA}" sibTransId="{82CE223B-09BF-4722-8D4D-A9C6D2C3F45A}"/>
    <dgm:cxn modelId="{D6D3A685-FA06-443D-9B95-B6254CF39706}" type="presOf" srcId="{49D88BFC-5050-4646-86BA-493CC87A0B4D}" destId="{4DDC5801-D71C-4E38-8AC4-F8D24843D552}" srcOrd="0" destOrd="0" presId="urn:microsoft.com/office/officeart/2005/8/layout/radial1#1"/>
    <dgm:cxn modelId="{82914D89-D093-40FF-8EC4-722C7A0487A8}" type="presOf" srcId="{7D57A22A-3A43-457A-878C-4DB696B061EA}" destId="{B34C00A7-6086-4E70-8BE9-6812523841DD}" srcOrd="0" destOrd="0" presId="urn:microsoft.com/office/officeart/2005/8/layout/radial1#1"/>
    <dgm:cxn modelId="{8531B490-88EE-41D0-B2F8-65FECA44F38D}" srcId="{ED35E420-34C4-4E08-A997-A6D483A6D6F2}" destId="{DD1BFCD5-E29C-4448-8C52-D1F83AD78E8F}" srcOrd="3" destOrd="0" parTransId="{A021A0A5-8310-477E-AC7C-50ECBC7B815D}" sibTransId="{884FD7D9-A0A6-40B7-807F-1C547FF9DD81}"/>
    <dgm:cxn modelId="{18EF4E91-C007-4593-B5B8-66F71B39556C}" type="presOf" srcId="{8621CEE2-21FB-4EDC-B3F8-1D5B2353771E}" destId="{16891DB5-FAE1-4CFB-A442-DF55EDDFDC57}" srcOrd="0" destOrd="0" presId="urn:microsoft.com/office/officeart/2005/8/layout/radial1#1"/>
    <dgm:cxn modelId="{E8A38491-4E6B-4E88-A7FF-49322D96AF84}" srcId="{ED35E420-34C4-4E08-A997-A6D483A6D6F2}" destId="{57BA920F-BF58-4731-B4E2-FFB28704A77F}" srcOrd="2" destOrd="0" parTransId="{7D57A22A-3A43-457A-878C-4DB696B061EA}" sibTransId="{47F512A1-62C9-45D0-A825-44ED50A7A41C}"/>
    <dgm:cxn modelId="{3D495393-1F62-4A74-AE88-5CC714BEAFD6}" type="presOf" srcId="{57BA920F-BF58-4731-B4E2-FFB28704A77F}" destId="{E7C52522-3F88-48B1-8A42-F6B2579343E2}" srcOrd="0" destOrd="0" presId="urn:microsoft.com/office/officeart/2005/8/layout/radial1#1"/>
    <dgm:cxn modelId="{7982FC9B-DE5A-4E61-8C82-74CF2E9A0B4C}" type="presOf" srcId="{0DDF4A09-353C-4966-8CC1-9ADC05EC4F61}" destId="{6FE42EF9-0EE5-4023-BD38-3AA96785DFF2}" srcOrd="1" destOrd="0" presId="urn:microsoft.com/office/officeart/2005/8/layout/radial1#1"/>
    <dgm:cxn modelId="{006242B7-18AA-4114-8AFA-C5CF353BCCE3}" srcId="{ED35E420-34C4-4E08-A997-A6D483A6D6F2}" destId="{974A0869-04A5-41B4-B63B-EA75B9B3451C}" srcOrd="5" destOrd="0" parTransId="{2DF9B09D-A107-4909-865D-D66B2934DD36}" sibTransId="{9E647A1B-B001-4A5D-A925-DBFEC1D18121}"/>
    <dgm:cxn modelId="{7775F2B7-476C-4085-8FE8-BFCCD2800B0E}" type="presOf" srcId="{A021A0A5-8310-477E-AC7C-50ECBC7B815D}" destId="{98F05240-60CD-4F6C-8E8E-C9850F0B5E7F}" srcOrd="1" destOrd="0" presId="urn:microsoft.com/office/officeart/2005/8/layout/radial1#1"/>
    <dgm:cxn modelId="{9E0C0CBA-0EE0-4110-91BD-BAAD1A6C65CB}" type="presOf" srcId="{46333FD3-1A5B-4261-A2ED-8B7CB7165DF7}" destId="{34591AE7-F7FE-4A76-A4BF-AA5A7CD4CA25}" srcOrd="0" destOrd="0" presId="urn:microsoft.com/office/officeart/2005/8/layout/radial1#1"/>
    <dgm:cxn modelId="{CE5579C0-1FAB-45C6-AEB0-0B6AFD2A84E0}" type="presOf" srcId="{AC279447-C6BD-40D5-A4FE-57BF2F48C403}" destId="{1AC9680F-CF06-4026-A8E9-664467928032}" srcOrd="1" destOrd="0" presId="urn:microsoft.com/office/officeart/2005/8/layout/radial1#1"/>
    <dgm:cxn modelId="{68E13BC3-10B2-4236-841B-3DC8545F8E2B}" type="presOf" srcId="{A021A0A5-8310-477E-AC7C-50ECBC7B815D}" destId="{F280AB55-56BC-45E7-88C6-00DED4770ECD}" srcOrd="0" destOrd="0" presId="urn:microsoft.com/office/officeart/2005/8/layout/radial1#1"/>
    <dgm:cxn modelId="{811C03C5-2051-4518-B276-374D2B5BE28C}" type="presOf" srcId="{3CC037CA-C91C-40E8-8997-F278BEE0BA2C}" destId="{C59D9A2B-057F-4313-95F0-E22D564ED9DB}" srcOrd="1" destOrd="0" presId="urn:microsoft.com/office/officeart/2005/8/layout/radial1#1"/>
    <dgm:cxn modelId="{32A522C5-351D-4299-8BD2-AD15FD99CDDA}" type="presOf" srcId="{0DDF4A09-353C-4966-8CC1-9ADC05EC4F61}" destId="{62813C32-2120-4C3E-8A44-73DA36B19D8D}" srcOrd="0" destOrd="0" presId="urn:microsoft.com/office/officeart/2005/8/layout/radial1#1"/>
    <dgm:cxn modelId="{C631ADCE-561F-4F84-AD57-A237FA9B5953}" type="presOf" srcId="{69671331-0659-4806-8D6C-7D35D93CCF0D}" destId="{DF7E9633-F17B-418E-8A0D-70A13CD843A7}" srcOrd="0" destOrd="0" presId="urn:microsoft.com/office/officeart/2005/8/layout/radial1#1"/>
    <dgm:cxn modelId="{CC1A34DB-A85E-4940-8FDC-7877DA44F24D}" srcId="{ED35E420-34C4-4E08-A997-A6D483A6D6F2}" destId="{C266029D-E7CF-4911-AEE0-5E48C6BD263E}" srcOrd="7" destOrd="0" parTransId="{DC118106-C9B1-4D00-B99A-24205A893EE8}" sibTransId="{FD635C73-068B-49D3-AC8D-EF40BF72A1A2}"/>
    <dgm:cxn modelId="{F510A8DD-9FD8-45E9-A017-E213042233D4}" type="presOf" srcId="{C266029D-E7CF-4911-AEE0-5E48C6BD263E}" destId="{68352E5E-BD5C-4A8B-9376-E84FE7DAB800}" srcOrd="0" destOrd="0" presId="urn:microsoft.com/office/officeart/2005/8/layout/radial1#1"/>
    <dgm:cxn modelId="{CF816EE0-364B-426B-B5EC-0695448CFF94}" type="presOf" srcId="{AC279447-C6BD-40D5-A4FE-57BF2F48C403}" destId="{A8F2DB1B-185D-4FD5-80D1-DF2B1ADD16A7}" srcOrd="0" destOrd="0" presId="urn:microsoft.com/office/officeart/2005/8/layout/radial1#1"/>
    <dgm:cxn modelId="{1B72E5E0-C9D6-405E-8D30-A4E68B498BA8}" type="presOf" srcId="{F004F3A4-0EA4-44E1-BADF-8208D77C109D}" destId="{C6FF0305-685D-490E-9F09-E4A8088A4D31}" srcOrd="0" destOrd="0" presId="urn:microsoft.com/office/officeart/2005/8/layout/radial1#1"/>
    <dgm:cxn modelId="{AB25D9E4-ED2A-4C56-AE35-82CFC80449A7}" type="presOf" srcId="{2DF9B09D-A107-4909-865D-D66B2934DD36}" destId="{533EF8E4-42D2-49AC-A6EA-86FE1FADAB9B}" srcOrd="0" destOrd="0" presId="urn:microsoft.com/office/officeart/2005/8/layout/radial1#1"/>
    <dgm:cxn modelId="{CB4896EA-2650-4582-A14B-0F02941E6CE6}" srcId="{ED35E420-34C4-4E08-A997-A6D483A6D6F2}" destId="{49D88BFC-5050-4646-86BA-493CC87A0B4D}" srcOrd="8" destOrd="0" parTransId="{AC279447-C6BD-40D5-A4FE-57BF2F48C403}" sibTransId="{91DBB05A-1D2E-4B43-B91C-D517E0F6BE9F}"/>
    <dgm:cxn modelId="{1663E5EA-F0C0-457D-A1F9-EC9C62E2A65F}" srcId="{ED35E420-34C4-4E08-A997-A6D483A6D6F2}" destId="{640E9B1C-54CE-4C48-B2C4-A4A97E4B2D7F}" srcOrd="9" destOrd="0" parTransId="{DF225198-DF8A-47E1-A87B-5BCB3785ABDF}" sibTransId="{0FCFA78B-B2E0-4E9D-B1C9-72CDA3698427}"/>
    <dgm:cxn modelId="{886F12F0-DA8F-443F-B149-22C7E9CEE491}" type="presOf" srcId="{DF225198-DF8A-47E1-A87B-5BCB3785ABDF}" destId="{CBF7395D-7CB3-4C55-9420-AC99B4067D81}" srcOrd="0" destOrd="0" presId="urn:microsoft.com/office/officeart/2005/8/layout/radial1#1"/>
    <dgm:cxn modelId="{ED092DF1-EA6C-4032-9F02-50E4C4D73B78}" type="presOf" srcId="{DB7F308E-CD9E-4727-B85F-0FF9DCDF05BA}" destId="{86B0607E-875F-42AF-8CD9-2D74C7E0121C}" srcOrd="0" destOrd="0" presId="urn:microsoft.com/office/officeart/2005/8/layout/radial1#1"/>
    <dgm:cxn modelId="{1D23F9F1-81DD-465E-B61B-EBAF052751BE}" type="presOf" srcId="{DD1BFCD5-E29C-4448-8C52-D1F83AD78E8F}" destId="{B7A474BA-6A85-4543-B6D4-48652E710727}" srcOrd="0" destOrd="0" presId="urn:microsoft.com/office/officeart/2005/8/layout/radial1#1"/>
    <dgm:cxn modelId="{8DAC4EFB-5351-4B9E-B407-C9FC43C1DE16}" type="presOf" srcId="{2DF9B09D-A107-4909-865D-D66B2934DD36}" destId="{DFE69FE6-6AE8-455D-92B5-ED27C5992F39}" srcOrd="1" destOrd="0" presId="urn:microsoft.com/office/officeart/2005/8/layout/radial1#1"/>
    <dgm:cxn modelId="{31C2C0FE-54A4-4240-8975-09DDEBA857E7}" srcId="{ED35E420-34C4-4E08-A997-A6D483A6D6F2}" destId="{F004F3A4-0EA4-44E1-BADF-8208D77C109D}" srcOrd="1" destOrd="0" parTransId="{0DDF4A09-353C-4966-8CC1-9ADC05EC4F61}" sibTransId="{E4222022-C578-439C-BABA-D91A53301D41}"/>
    <dgm:cxn modelId="{9F80B4C5-C879-46E5-BA67-9A5B0A5CB978}" type="presParOf" srcId="{16891DB5-FAE1-4CFB-A442-DF55EDDFDC57}" destId="{1BC7F749-5BD9-4916-8D58-FB0C7B1BCAD0}" srcOrd="0" destOrd="0" presId="urn:microsoft.com/office/officeart/2005/8/layout/radial1#1"/>
    <dgm:cxn modelId="{191F4590-F15A-4025-A5DC-D97EEFB331A4}" type="presParOf" srcId="{16891DB5-FAE1-4CFB-A442-DF55EDDFDC57}" destId="{23F80F76-BBEA-406D-86FF-C589CA249BCE}" srcOrd="1" destOrd="0" presId="urn:microsoft.com/office/officeart/2005/8/layout/radial1#1"/>
    <dgm:cxn modelId="{F768200D-5F9B-445D-BA8A-1046E1523F53}" type="presParOf" srcId="{23F80F76-BBEA-406D-86FF-C589CA249BCE}" destId="{30F2F9F2-9CE5-4F1F-9B66-EB0815514BC1}" srcOrd="0" destOrd="0" presId="urn:microsoft.com/office/officeart/2005/8/layout/radial1#1"/>
    <dgm:cxn modelId="{D2304F27-534F-46D7-A1C3-91BF36FD834F}" type="presParOf" srcId="{16891DB5-FAE1-4CFB-A442-DF55EDDFDC57}" destId="{DF7E9633-F17B-418E-8A0D-70A13CD843A7}" srcOrd="2" destOrd="0" presId="urn:microsoft.com/office/officeart/2005/8/layout/radial1#1"/>
    <dgm:cxn modelId="{1BAD3F16-0453-4325-BFEA-35D20316096F}" type="presParOf" srcId="{16891DB5-FAE1-4CFB-A442-DF55EDDFDC57}" destId="{62813C32-2120-4C3E-8A44-73DA36B19D8D}" srcOrd="3" destOrd="0" presId="urn:microsoft.com/office/officeart/2005/8/layout/radial1#1"/>
    <dgm:cxn modelId="{B2FA46BC-E191-497E-88C3-1AB9E84A9FF9}" type="presParOf" srcId="{62813C32-2120-4C3E-8A44-73DA36B19D8D}" destId="{6FE42EF9-0EE5-4023-BD38-3AA96785DFF2}" srcOrd="0" destOrd="0" presId="urn:microsoft.com/office/officeart/2005/8/layout/radial1#1"/>
    <dgm:cxn modelId="{8DC802E9-286B-4A0F-985E-5926F29ACAD1}" type="presParOf" srcId="{16891DB5-FAE1-4CFB-A442-DF55EDDFDC57}" destId="{C6FF0305-685D-490E-9F09-E4A8088A4D31}" srcOrd="4" destOrd="0" presId="urn:microsoft.com/office/officeart/2005/8/layout/radial1#1"/>
    <dgm:cxn modelId="{31355060-2471-4858-962F-2452D81E1DA1}" type="presParOf" srcId="{16891DB5-FAE1-4CFB-A442-DF55EDDFDC57}" destId="{B34C00A7-6086-4E70-8BE9-6812523841DD}" srcOrd="5" destOrd="0" presId="urn:microsoft.com/office/officeart/2005/8/layout/radial1#1"/>
    <dgm:cxn modelId="{2B187D30-7551-4C68-99C6-3043B0DE949F}" type="presParOf" srcId="{B34C00A7-6086-4E70-8BE9-6812523841DD}" destId="{F9D85D12-C7EA-4C8F-A1F3-81CA571D9134}" srcOrd="0" destOrd="0" presId="urn:microsoft.com/office/officeart/2005/8/layout/radial1#1"/>
    <dgm:cxn modelId="{D5DBEFEB-2CE6-40CA-9D9E-969A089907AB}" type="presParOf" srcId="{16891DB5-FAE1-4CFB-A442-DF55EDDFDC57}" destId="{E7C52522-3F88-48B1-8A42-F6B2579343E2}" srcOrd="6" destOrd="0" presId="urn:microsoft.com/office/officeart/2005/8/layout/radial1#1"/>
    <dgm:cxn modelId="{BF3B3373-107F-40D6-A701-F43CE3EF054B}" type="presParOf" srcId="{16891DB5-FAE1-4CFB-A442-DF55EDDFDC57}" destId="{F280AB55-56BC-45E7-88C6-00DED4770ECD}" srcOrd="7" destOrd="0" presId="urn:microsoft.com/office/officeart/2005/8/layout/radial1#1"/>
    <dgm:cxn modelId="{9A8B299D-404B-4C4E-8D4D-3E0B0CB43F7C}" type="presParOf" srcId="{F280AB55-56BC-45E7-88C6-00DED4770ECD}" destId="{98F05240-60CD-4F6C-8E8E-C9850F0B5E7F}" srcOrd="0" destOrd="0" presId="urn:microsoft.com/office/officeart/2005/8/layout/radial1#1"/>
    <dgm:cxn modelId="{85927A8E-C3EE-4533-8A3E-0BE6D4CE0551}" type="presParOf" srcId="{16891DB5-FAE1-4CFB-A442-DF55EDDFDC57}" destId="{B7A474BA-6A85-4543-B6D4-48652E710727}" srcOrd="8" destOrd="0" presId="urn:microsoft.com/office/officeart/2005/8/layout/radial1#1"/>
    <dgm:cxn modelId="{E7DB4C93-9197-4B91-ADF1-05EFE6DADC4A}" type="presParOf" srcId="{16891DB5-FAE1-4CFB-A442-DF55EDDFDC57}" destId="{6C447949-8968-437F-8451-A2B5F160F09C}" srcOrd="9" destOrd="0" presId="urn:microsoft.com/office/officeart/2005/8/layout/radial1#1"/>
    <dgm:cxn modelId="{A277D62F-D6EE-4AB0-B59F-236C896BF878}" type="presParOf" srcId="{6C447949-8968-437F-8451-A2B5F160F09C}" destId="{C59D9A2B-057F-4313-95F0-E22D564ED9DB}" srcOrd="0" destOrd="0" presId="urn:microsoft.com/office/officeart/2005/8/layout/radial1#1"/>
    <dgm:cxn modelId="{8C757F0B-69D5-484F-97C7-3BA0F49388E8}" type="presParOf" srcId="{16891DB5-FAE1-4CFB-A442-DF55EDDFDC57}" destId="{25FBEA6D-F36A-4799-A963-5BABED76948A}" srcOrd="10" destOrd="0" presId="urn:microsoft.com/office/officeart/2005/8/layout/radial1#1"/>
    <dgm:cxn modelId="{383CD228-0EAF-4ECA-B1F9-8DCF90E60E1C}" type="presParOf" srcId="{16891DB5-FAE1-4CFB-A442-DF55EDDFDC57}" destId="{533EF8E4-42D2-49AC-A6EA-86FE1FADAB9B}" srcOrd="11" destOrd="0" presId="urn:microsoft.com/office/officeart/2005/8/layout/radial1#1"/>
    <dgm:cxn modelId="{9C613A70-D028-45BF-8535-21C8CF866384}" type="presParOf" srcId="{533EF8E4-42D2-49AC-A6EA-86FE1FADAB9B}" destId="{DFE69FE6-6AE8-455D-92B5-ED27C5992F39}" srcOrd="0" destOrd="0" presId="urn:microsoft.com/office/officeart/2005/8/layout/radial1#1"/>
    <dgm:cxn modelId="{DD20E49F-AE51-436D-9D02-7E6CE5C27B9D}" type="presParOf" srcId="{16891DB5-FAE1-4CFB-A442-DF55EDDFDC57}" destId="{A213225D-15CF-4E1A-AD41-351669544DE7}" srcOrd="12" destOrd="0" presId="urn:microsoft.com/office/officeart/2005/8/layout/radial1#1"/>
    <dgm:cxn modelId="{087361D2-DF68-4701-9761-7DF7387BCAC7}" type="presParOf" srcId="{16891DB5-FAE1-4CFB-A442-DF55EDDFDC57}" destId="{86B0607E-875F-42AF-8CD9-2D74C7E0121C}" srcOrd="13" destOrd="0" presId="urn:microsoft.com/office/officeart/2005/8/layout/radial1#1"/>
    <dgm:cxn modelId="{C376DC48-B6B8-4C55-9157-DFC3995324D0}" type="presParOf" srcId="{86B0607E-875F-42AF-8CD9-2D74C7E0121C}" destId="{EC9AC683-0805-48ED-B8C6-028EB2DC81A2}" srcOrd="0" destOrd="0" presId="urn:microsoft.com/office/officeart/2005/8/layout/radial1#1"/>
    <dgm:cxn modelId="{5045E74B-AC1A-47CE-B483-1DCF9D5D7FBE}" type="presParOf" srcId="{16891DB5-FAE1-4CFB-A442-DF55EDDFDC57}" destId="{34591AE7-F7FE-4A76-A4BF-AA5A7CD4CA25}" srcOrd="14" destOrd="0" presId="urn:microsoft.com/office/officeart/2005/8/layout/radial1#1"/>
    <dgm:cxn modelId="{7BBBBDB6-0EFA-43AB-9D45-B366CE42F6F7}" type="presParOf" srcId="{16891DB5-FAE1-4CFB-A442-DF55EDDFDC57}" destId="{8F5DEC7D-A493-452C-8E0F-9546DA44AAD7}" srcOrd="15" destOrd="0" presId="urn:microsoft.com/office/officeart/2005/8/layout/radial1#1"/>
    <dgm:cxn modelId="{4CAA7C73-A1AC-45C3-875C-B02B85BC38FC}" type="presParOf" srcId="{8F5DEC7D-A493-452C-8E0F-9546DA44AAD7}" destId="{2A1ED62A-F8EB-4718-9C9C-472F67392A9F}" srcOrd="0" destOrd="0" presId="urn:microsoft.com/office/officeart/2005/8/layout/radial1#1"/>
    <dgm:cxn modelId="{FC6AFD34-4E33-416E-8F30-3E945CD429BA}" type="presParOf" srcId="{16891DB5-FAE1-4CFB-A442-DF55EDDFDC57}" destId="{68352E5E-BD5C-4A8B-9376-E84FE7DAB800}" srcOrd="16" destOrd="0" presId="urn:microsoft.com/office/officeart/2005/8/layout/radial1#1"/>
    <dgm:cxn modelId="{E73B7712-8A90-40EA-9951-E5E30E2FB4C8}" type="presParOf" srcId="{16891DB5-FAE1-4CFB-A442-DF55EDDFDC57}" destId="{A8F2DB1B-185D-4FD5-80D1-DF2B1ADD16A7}" srcOrd="17" destOrd="0" presId="urn:microsoft.com/office/officeart/2005/8/layout/radial1#1"/>
    <dgm:cxn modelId="{27119829-E849-4ABC-BDFB-D139F476BDD0}" type="presParOf" srcId="{A8F2DB1B-185D-4FD5-80D1-DF2B1ADD16A7}" destId="{1AC9680F-CF06-4026-A8E9-664467928032}" srcOrd="0" destOrd="0" presId="urn:microsoft.com/office/officeart/2005/8/layout/radial1#1"/>
    <dgm:cxn modelId="{75D3C654-A64C-40B9-9AB1-EFFA1CDADE0B}" type="presParOf" srcId="{16891DB5-FAE1-4CFB-A442-DF55EDDFDC57}" destId="{4DDC5801-D71C-4E38-8AC4-F8D24843D552}" srcOrd="18" destOrd="0" presId="urn:microsoft.com/office/officeart/2005/8/layout/radial1#1"/>
    <dgm:cxn modelId="{5D43C2EF-96FB-428A-A9EC-3332241F47DF}" type="presParOf" srcId="{16891DB5-FAE1-4CFB-A442-DF55EDDFDC57}" destId="{CBF7395D-7CB3-4C55-9420-AC99B4067D81}" srcOrd="19" destOrd="0" presId="urn:microsoft.com/office/officeart/2005/8/layout/radial1#1"/>
    <dgm:cxn modelId="{8050DABD-6499-44C7-9667-CE7C84E422B4}" type="presParOf" srcId="{CBF7395D-7CB3-4C55-9420-AC99B4067D81}" destId="{72BACB9D-DFA1-455D-B9ED-1EFE2EBA3D50}" srcOrd="0" destOrd="0" presId="urn:microsoft.com/office/officeart/2005/8/layout/radial1#1"/>
    <dgm:cxn modelId="{A1795529-4A68-4D43-90EA-5E2B85D6CC6F}" type="presParOf" srcId="{16891DB5-FAE1-4CFB-A442-DF55EDDFDC57}" destId="{89094417-4CB4-41DE-9DF8-B35D162FCBEC}" srcOrd="20" destOrd="0" presId="urn:microsoft.com/office/officeart/2005/8/layout/radial1#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BC7F749-5BD9-4916-8D58-FB0C7B1BCAD0}">
      <dsp:nvSpPr>
        <dsp:cNvPr id="0" name=""/>
        <dsp:cNvSpPr/>
      </dsp:nvSpPr>
      <dsp:spPr>
        <a:xfrm>
          <a:off x="2649174" y="1402670"/>
          <a:ext cx="958792" cy="781238"/>
        </a:xfrm>
        <a:prstGeom prst="ellipse">
          <a:avLst/>
        </a:prstGeom>
        <a:solidFill>
          <a:schemeClr val="dk2">
            <a:hueOff val="0"/>
            <a:satOff val="0"/>
            <a:lumOff val="0"/>
            <a:alphaOff val="0"/>
          </a:schemeClr>
        </a:solidFill>
        <a:ln w="19050" cap="flat" cmpd="sng" algn="ctr">
          <a:solidFill>
            <a:schemeClr val="lt2">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US" sz="1050" b="1" kern="1200"/>
            <a:t>Motivation</a:t>
          </a:r>
        </a:p>
      </dsp:txBody>
      <dsp:txXfrm>
        <a:off x="2789586" y="1517080"/>
        <a:ext cx="677968" cy="552418"/>
      </dsp:txXfrm>
    </dsp:sp>
    <dsp:sp modelId="{23F80F76-BBEA-406D-86FF-C589CA249BCE}">
      <dsp:nvSpPr>
        <dsp:cNvPr id="0" name=""/>
        <dsp:cNvSpPr/>
      </dsp:nvSpPr>
      <dsp:spPr>
        <a:xfrm rot="16200000">
          <a:off x="2775397" y="1039555"/>
          <a:ext cx="706347" cy="19882"/>
        </a:xfrm>
        <a:custGeom>
          <a:avLst/>
          <a:gdLst/>
          <a:ahLst/>
          <a:cxnLst/>
          <a:rect l="0" t="0" r="0" b="0"/>
          <a:pathLst>
            <a:path>
              <a:moveTo>
                <a:pt x="0" y="9941"/>
              </a:moveTo>
              <a:lnTo>
                <a:pt x="706347" y="9941"/>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110912" y="1031838"/>
        <a:ext cx="35317" cy="35317"/>
      </dsp:txXfrm>
    </dsp:sp>
    <dsp:sp modelId="{DF7E9633-F17B-418E-8A0D-70A13CD843A7}">
      <dsp:nvSpPr>
        <dsp:cNvPr id="0" name=""/>
        <dsp:cNvSpPr/>
      </dsp:nvSpPr>
      <dsp:spPr>
        <a:xfrm>
          <a:off x="2787317" y="13816"/>
          <a:ext cx="682506" cy="682506"/>
        </a:xfrm>
        <a:prstGeom prst="ellipse">
          <a:avLst/>
        </a:prstGeom>
        <a:solidFill>
          <a:schemeClr val="dk2">
            <a:hueOff val="0"/>
            <a:satOff val="0"/>
            <a:lumOff val="0"/>
            <a:alphaOff val="0"/>
          </a:schemeClr>
        </a:solidFill>
        <a:ln w="19050" cap="flat" cmpd="sng" algn="ctr">
          <a:solidFill>
            <a:schemeClr val="lt2">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1" kern="1200"/>
            <a:t>Fair wage</a:t>
          </a:r>
          <a:endParaRPr lang="en-US" sz="800" b="1" kern="1200"/>
        </a:p>
      </dsp:txBody>
      <dsp:txXfrm>
        <a:off x="2887268" y="113767"/>
        <a:ext cx="482604" cy="482604"/>
      </dsp:txXfrm>
    </dsp:sp>
    <dsp:sp modelId="{62813C32-2120-4C3E-8A44-73DA36B19D8D}">
      <dsp:nvSpPr>
        <dsp:cNvPr id="0" name=""/>
        <dsp:cNvSpPr/>
      </dsp:nvSpPr>
      <dsp:spPr>
        <a:xfrm rot="18360000">
          <a:off x="3237606" y="1181908"/>
          <a:ext cx="655870" cy="19882"/>
        </a:xfrm>
        <a:custGeom>
          <a:avLst/>
          <a:gdLst/>
          <a:ahLst/>
          <a:cxnLst/>
          <a:rect l="0" t="0" r="0" b="0"/>
          <a:pathLst>
            <a:path>
              <a:moveTo>
                <a:pt x="0" y="9941"/>
              </a:moveTo>
              <a:lnTo>
                <a:pt x="655870" y="9941"/>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549145" y="1175453"/>
        <a:ext cx="32793" cy="32793"/>
      </dsp:txXfrm>
    </dsp:sp>
    <dsp:sp modelId="{C6FF0305-685D-490E-9F09-E4A8088A4D31}">
      <dsp:nvSpPr>
        <dsp:cNvPr id="0" name=""/>
        <dsp:cNvSpPr/>
      </dsp:nvSpPr>
      <dsp:spPr>
        <a:xfrm>
          <a:off x="3557053" y="282946"/>
          <a:ext cx="833763" cy="693597"/>
        </a:xfrm>
        <a:prstGeom prst="ellipse">
          <a:avLst/>
        </a:prstGeom>
        <a:solidFill>
          <a:schemeClr val="dk2">
            <a:hueOff val="0"/>
            <a:satOff val="0"/>
            <a:lumOff val="0"/>
            <a:alphaOff val="0"/>
          </a:schemeClr>
        </a:solidFill>
        <a:ln w="19050" cap="flat" cmpd="sng" algn="ctr">
          <a:solidFill>
            <a:schemeClr val="lt2">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1" kern="1200"/>
            <a:t>Recognizing accomplishments</a:t>
          </a:r>
          <a:endParaRPr lang="en-US" sz="800" b="1" kern="1200"/>
        </a:p>
      </dsp:txBody>
      <dsp:txXfrm>
        <a:off x="3679155" y="384521"/>
        <a:ext cx="589559" cy="490447"/>
      </dsp:txXfrm>
    </dsp:sp>
    <dsp:sp modelId="{B34C00A7-6086-4E70-8BE9-6812523841DD}">
      <dsp:nvSpPr>
        <dsp:cNvPr id="0" name=""/>
        <dsp:cNvSpPr/>
      </dsp:nvSpPr>
      <dsp:spPr>
        <a:xfrm rot="20520000">
          <a:off x="3558481" y="1541514"/>
          <a:ext cx="628752" cy="19882"/>
        </a:xfrm>
        <a:custGeom>
          <a:avLst/>
          <a:gdLst/>
          <a:ahLst/>
          <a:cxnLst/>
          <a:rect l="0" t="0" r="0" b="0"/>
          <a:pathLst>
            <a:path>
              <a:moveTo>
                <a:pt x="0" y="9941"/>
              </a:moveTo>
              <a:lnTo>
                <a:pt x="628752" y="9941"/>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857139" y="1535737"/>
        <a:ext cx="31437" cy="31437"/>
      </dsp:txXfrm>
    </dsp:sp>
    <dsp:sp modelId="{E7C52522-3F88-48B1-8A42-F6B2579343E2}">
      <dsp:nvSpPr>
        <dsp:cNvPr id="0" name=""/>
        <dsp:cNvSpPr/>
      </dsp:nvSpPr>
      <dsp:spPr>
        <a:xfrm>
          <a:off x="4155145" y="1007601"/>
          <a:ext cx="682506" cy="682506"/>
        </a:xfrm>
        <a:prstGeom prst="ellipse">
          <a:avLst/>
        </a:prstGeom>
        <a:solidFill>
          <a:schemeClr val="dk2">
            <a:hueOff val="0"/>
            <a:satOff val="0"/>
            <a:lumOff val="0"/>
            <a:alphaOff val="0"/>
          </a:schemeClr>
        </a:solidFill>
        <a:ln w="19050" cap="flat" cmpd="sng" algn="ctr">
          <a:solidFill>
            <a:schemeClr val="lt2">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1" kern="1200"/>
            <a:t>Incentives</a:t>
          </a:r>
          <a:endParaRPr lang="en-US" sz="800" b="1" kern="1200"/>
        </a:p>
      </dsp:txBody>
      <dsp:txXfrm>
        <a:off x="4255096" y="1107552"/>
        <a:ext cx="482604" cy="482604"/>
      </dsp:txXfrm>
    </dsp:sp>
    <dsp:sp modelId="{F280AB55-56BC-45E7-88C6-00DED4770ECD}">
      <dsp:nvSpPr>
        <dsp:cNvPr id="0" name=""/>
        <dsp:cNvSpPr/>
      </dsp:nvSpPr>
      <dsp:spPr>
        <a:xfrm rot="1080000">
          <a:off x="3558481" y="2025181"/>
          <a:ext cx="628752" cy="19882"/>
        </a:xfrm>
        <a:custGeom>
          <a:avLst/>
          <a:gdLst/>
          <a:ahLst/>
          <a:cxnLst/>
          <a:rect l="0" t="0" r="0" b="0"/>
          <a:pathLst>
            <a:path>
              <a:moveTo>
                <a:pt x="0" y="9941"/>
              </a:moveTo>
              <a:lnTo>
                <a:pt x="628752" y="9941"/>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857139" y="2019404"/>
        <a:ext cx="31437" cy="31437"/>
      </dsp:txXfrm>
    </dsp:sp>
    <dsp:sp modelId="{B7A474BA-6A85-4543-B6D4-48652E710727}">
      <dsp:nvSpPr>
        <dsp:cNvPr id="0" name=""/>
        <dsp:cNvSpPr/>
      </dsp:nvSpPr>
      <dsp:spPr>
        <a:xfrm>
          <a:off x="4155145" y="1896470"/>
          <a:ext cx="682506" cy="682506"/>
        </a:xfrm>
        <a:prstGeom prst="ellipse">
          <a:avLst/>
        </a:prstGeom>
        <a:solidFill>
          <a:schemeClr val="dk2">
            <a:hueOff val="0"/>
            <a:satOff val="0"/>
            <a:lumOff val="0"/>
            <a:alphaOff val="0"/>
          </a:schemeClr>
        </a:solidFill>
        <a:ln w="19050" cap="flat" cmpd="sng" algn="ctr">
          <a:solidFill>
            <a:schemeClr val="lt2">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1" kern="1200"/>
            <a:t>Flexible Workplace</a:t>
          </a:r>
          <a:endParaRPr lang="en-US" sz="800" b="1" kern="1200"/>
        </a:p>
      </dsp:txBody>
      <dsp:txXfrm>
        <a:off x="4255096" y="1996421"/>
        <a:ext cx="482604" cy="482604"/>
      </dsp:txXfrm>
    </dsp:sp>
    <dsp:sp modelId="{6C447949-8968-437F-8451-A2B5F160F09C}">
      <dsp:nvSpPr>
        <dsp:cNvPr id="0" name=""/>
        <dsp:cNvSpPr/>
      </dsp:nvSpPr>
      <dsp:spPr>
        <a:xfrm rot="3240000">
          <a:off x="3232327" y="2395147"/>
          <a:ext cx="681482" cy="19882"/>
        </a:xfrm>
        <a:custGeom>
          <a:avLst/>
          <a:gdLst/>
          <a:ahLst/>
          <a:cxnLst/>
          <a:rect l="0" t="0" r="0" b="0"/>
          <a:pathLst>
            <a:path>
              <a:moveTo>
                <a:pt x="0" y="9941"/>
              </a:moveTo>
              <a:lnTo>
                <a:pt x="681482" y="9941"/>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556031" y="2388051"/>
        <a:ext cx="34074" cy="34074"/>
      </dsp:txXfrm>
    </dsp:sp>
    <dsp:sp modelId="{25FBEA6D-F36A-4799-A963-5BABED76948A}">
      <dsp:nvSpPr>
        <dsp:cNvPr id="0" name=""/>
        <dsp:cNvSpPr/>
      </dsp:nvSpPr>
      <dsp:spPr>
        <a:xfrm>
          <a:off x="3632681" y="2615580"/>
          <a:ext cx="682506" cy="682506"/>
        </a:xfrm>
        <a:prstGeom prst="ellipse">
          <a:avLst/>
        </a:prstGeom>
        <a:solidFill>
          <a:schemeClr val="dk2">
            <a:hueOff val="0"/>
            <a:satOff val="0"/>
            <a:lumOff val="0"/>
            <a:alphaOff val="0"/>
          </a:schemeClr>
        </a:solidFill>
        <a:ln w="19050" cap="flat" cmpd="sng" algn="ctr">
          <a:solidFill>
            <a:schemeClr val="lt2">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1" kern="1200"/>
            <a:t>Self-direction</a:t>
          </a:r>
          <a:endParaRPr lang="en-US" sz="800" b="1" kern="1200"/>
        </a:p>
      </dsp:txBody>
      <dsp:txXfrm>
        <a:off x="3732632" y="2715531"/>
        <a:ext cx="482604" cy="482604"/>
      </dsp:txXfrm>
    </dsp:sp>
    <dsp:sp modelId="{533EF8E4-42D2-49AC-A6EA-86FE1FADAB9B}">
      <dsp:nvSpPr>
        <dsp:cNvPr id="0" name=""/>
        <dsp:cNvSpPr/>
      </dsp:nvSpPr>
      <dsp:spPr>
        <a:xfrm rot="5400000">
          <a:off x="2775397" y="2527140"/>
          <a:ext cx="706347" cy="19882"/>
        </a:xfrm>
        <a:custGeom>
          <a:avLst/>
          <a:gdLst/>
          <a:ahLst/>
          <a:cxnLst/>
          <a:rect l="0" t="0" r="0" b="0"/>
          <a:pathLst>
            <a:path>
              <a:moveTo>
                <a:pt x="0" y="9941"/>
              </a:moveTo>
              <a:lnTo>
                <a:pt x="706347" y="9941"/>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110912" y="2519423"/>
        <a:ext cx="35317" cy="35317"/>
      </dsp:txXfrm>
    </dsp:sp>
    <dsp:sp modelId="{A213225D-15CF-4E1A-AD41-351669544DE7}">
      <dsp:nvSpPr>
        <dsp:cNvPr id="0" name=""/>
        <dsp:cNvSpPr/>
      </dsp:nvSpPr>
      <dsp:spPr>
        <a:xfrm>
          <a:off x="2787317" y="2890255"/>
          <a:ext cx="682506" cy="682506"/>
        </a:xfrm>
        <a:prstGeom prst="ellipse">
          <a:avLst/>
        </a:prstGeom>
        <a:solidFill>
          <a:schemeClr val="dk2">
            <a:hueOff val="0"/>
            <a:satOff val="0"/>
            <a:lumOff val="0"/>
            <a:alphaOff val="0"/>
          </a:schemeClr>
        </a:solidFill>
        <a:ln w="19050" cap="flat" cmpd="sng" algn="ctr">
          <a:solidFill>
            <a:schemeClr val="lt2">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1" kern="1200"/>
            <a:t>Monitor employee disputes </a:t>
          </a:r>
          <a:endParaRPr lang="en-US" sz="800" b="1" kern="1200"/>
        </a:p>
      </dsp:txBody>
      <dsp:txXfrm>
        <a:off x="2887268" y="2990206"/>
        <a:ext cx="482604" cy="482604"/>
      </dsp:txXfrm>
    </dsp:sp>
    <dsp:sp modelId="{86B0607E-875F-42AF-8CD9-2D74C7E0121C}">
      <dsp:nvSpPr>
        <dsp:cNvPr id="0" name=""/>
        <dsp:cNvSpPr/>
      </dsp:nvSpPr>
      <dsp:spPr>
        <a:xfrm rot="7560000">
          <a:off x="2343331" y="2395147"/>
          <a:ext cx="681482" cy="19882"/>
        </a:xfrm>
        <a:custGeom>
          <a:avLst/>
          <a:gdLst/>
          <a:ahLst/>
          <a:cxnLst/>
          <a:rect l="0" t="0" r="0" b="0"/>
          <a:pathLst>
            <a:path>
              <a:moveTo>
                <a:pt x="0" y="9941"/>
              </a:moveTo>
              <a:lnTo>
                <a:pt x="681482" y="9941"/>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667035" y="2388051"/>
        <a:ext cx="34074" cy="34074"/>
      </dsp:txXfrm>
    </dsp:sp>
    <dsp:sp modelId="{34591AE7-F7FE-4A76-A4BF-AA5A7CD4CA25}">
      <dsp:nvSpPr>
        <dsp:cNvPr id="0" name=""/>
        <dsp:cNvSpPr/>
      </dsp:nvSpPr>
      <dsp:spPr>
        <a:xfrm>
          <a:off x="1941953" y="2615580"/>
          <a:ext cx="682506" cy="682506"/>
        </a:xfrm>
        <a:prstGeom prst="ellipse">
          <a:avLst/>
        </a:prstGeom>
        <a:solidFill>
          <a:schemeClr val="dk2">
            <a:hueOff val="0"/>
            <a:satOff val="0"/>
            <a:lumOff val="0"/>
            <a:alphaOff val="0"/>
          </a:schemeClr>
        </a:solidFill>
        <a:ln w="19050" cap="flat" cmpd="sng" algn="ctr">
          <a:solidFill>
            <a:schemeClr val="lt2">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1" kern="1200"/>
            <a:t>Team unity</a:t>
          </a:r>
          <a:endParaRPr lang="en-US" sz="800" b="1" kern="1200"/>
        </a:p>
      </dsp:txBody>
      <dsp:txXfrm>
        <a:off x="2041904" y="2715531"/>
        <a:ext cx="482604" cy="482604"/>
      </dsp:txXfrm>
    </dsp:sp>
    <dsp:sp modelId="{8F5DEC7D-A493-452C-8E0F-9546DA44AAD7}">
      <dsp:nvSpPr>
        <dsp:cNvPr id="0" name=""/>
        <dsp:cNvSpPr/>
      </dsp:nvSpPr>
      <dsp:spPr>
        <a:xfrm rot="9720000">
          <a:off x="2132147" y="2015323"/>
          <a:ext cx="564950" cy="19882"/>
        </a:xfrm>
        <a:custGeom>
          <a:avLst/>
          <a:gdLst/>
          <a:ahLst/>
          <a:cxnLst/>
          <a:rect l="0" t="0" r="0" b="0"/>
          <a:pathLst>
            <a:path>
              <a:moveTo>
                <a:pt x="0" y="9941"/>
              </a:moveTo>
              <a:lnTo>
                <a:pt x="564950" y="9941"/>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400499" y="2011141"/>
        <a:ext cx="28247" cy="28247"/>
      </dsp:txXfrm>
    </dsp:sp>
    <dsp:sp modelId="{68352E5E-BD5C-4A8B-9376-E84FE7DAB800}">
      <dsp:nvSpPr>
        <dsp:cNvPr id="0" name=""/>
        <dsp:cNvSpPr/>
      </dsp:nvSpPr>
      <dsp:spPr>
        <a:xfrm>
          <a:off x="1351702" y="1865413"/>
          <a:ext cx="818079" cy="744621"/>
        </a:xfrm>
        <a:prstGeom prst="ellipse">
          <a:avLst/>
        </a:prstGeom>
        <a:solidFill>
          <a:schemeClr val="dk2">
            <a:hueOff val="0"/>
            <a:satOff val="0"/>
            <a:lumOff val="0"/>
            <a:alphaOff val="0"/>
          </a:schemeClr>
        </a:solidFill>
        <a:ln w="19050" cap="flat" cmpd="sng" algn="ctr">
          <a:solidFill>
            <a:schemeClr val="lt2">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1" kern="1200"/>
            <a:t>Healthy competition</a:t>
          </a:r>
          <a:endParaRPr lang="en-US" sz="800" b="1" kern="1200"/>
        </a:p>
      </dsp:txBody>
      <dsp:txXfrm>
        <a:off x="1471507" y="1974460"/>
        <a:ext cx="578469" cy="526527"/>
      </dsp:txXfrm>
    </dsp:sp>
    <dsp:sp modelId="{A8F2DB1B-185D-4FD5-80D1-DF2B1ADD16A7}">
      <dsp:nvSpPr>
        <dsp:cNvPr id="0" name=""/>
        <dsp:cNvSpPr/>
      </dsp:nvSpPr>
      <dsp:spPr>
        <a:xfrm rot="11880000">
          <a:off x="2136085" y="1551996"/>
          <a:ext cx="560913" cy="19882"/>
        </a:xfrm>
        <a:custGeom>
          <a:avLst/>
          <a:gdLst/>
          <a:ahLst/>
          <a:cxnLst/>
          <a:rect l="0" t="0" r="0" b="0"/>
          <a:pathLst>
            <a:path>
              <a:moveTo>
                <a:pt x="0" y="9941"/>
              </a:moveTo>
              <a:lnTo>
                <a:pt x="560913" y="9941"/>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402520" y="1547914"/>
        <a:ext cx="28045" cy="28045"/>
      </dsp:txXfrm>
    </dsp:sp>
    <dsp:sp modelId="{4DDC5801-D71C-4E38-8AC4-F8D24843D552}">
      <dsp:nvSpPr>
        <dsp:cNvPr id="0" name=""/>
        <dsp:cNvSpPr/>
      </dsp:nvSpPr>
      <dsp:spPr>
        <a:xfrm>
          <a:off x="1341205" y="1010952"/>
          <a:ext cx="839073" cy="675804"/>
        </a:xfrm>
        <a:prstGeom prst="ellipse">
          <a:avLst/>
        </a:prstGeom>
        <a:solidFill>
          <a:schemeClr val="dk2">
            <a:hueOff val="0"/>
            <a:satOff val="0"/>
            <a:lumOff val="0"/>
            <a:alphaOff val="0"/>
          </a:schemeClr>
        </a:solidFill>
        <a:ln w="19050" cap="flat" cmpd="sng" algn="ctr">
          <a:solidFill>
            <a:schemeClr val="lt2">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1" kern="1200"/>
            <a:t>Clear Communication</a:t>
          </a:r>
          <a:endParaRPr lang="en-US" sz="800" b="1" kern="1200"/>
        </a:p>
      </dsp:txBody>
      <dsp:txXfrm>
        <a:off x="1464084" y="1109921"/>
        <a:ext cx="593315" cy="477866"/>
      </dsp:txXfrm>
    </dsp:sp>
    <dsp:sp modelId="{CBF7395D-7CB3-4C55-9420-AC99B4067D81}">
      <dsp:nvSpPr>
        <dsp:cNvPr id="0" name=""/>
        <dsp:cNvSpPr/>
      </dsp:nvSpPr>
      <dsp:spPr>
        <a:xfrm rot="14040000">
          <a:off x="2343331" y="1171549"/>
          <a:ext cx="681482" cy="19882"/>
        </a:xfrm>
        <a:custGeom>
          <a:avLst/>
          <a:gdLst/>
          <a:ahLst/>
          <a:cxnLst/>
          <a:rect l="0" t="0" r="0" b="0"/>
          <a:pathLst>
            <a:path>
              <a:moveTo>
                <a:pt x="0" y="9941"/>
              </a:moveTo>
              <a:lnTo>
                <a:pt x="681482" y="9941"/>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667035" y="1164453"/>
        <a:ext cx="34074" cy="34074"/>
      </dsp:txXfrm>
    </dsp:sp>
    <dsp:sp modelId="{89094417-4CB4-41DE-9DF8-B35D162FCBEC}">
      <dsp:nvSpPr>
        <dsp:cNvPr id="0" name=""/>
        <dsp:cNvSpPr/>
      </dsp:nvSpPr>
      <dsp:spPr>
        <a:xfrm>
          <a:off x="1941953" y="288492"/>
          <a:ext cx="682506" cy="682506"/>
        </a:xfrm>
        <a:prstGeom prst="ellipse">
          <a:avLst/>
        </a:prstGeom>
        <a:solidFill>
          <a:schemeClr val="dk2">
            <a:hueOff val="0"/>
            <a:satOff val="0"/>
            <a:lumOff val="0"/>
            <a:alphaOff val="0"/>
          </a:schemeClr>
        </a:solidFill>
        <a:ln w="19050" cap="flat" cmpd="sng" algn="ctr">
          <a:solidFill>
            <a:schemeClr val="lt2">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1" kern="1200"/>
            <a:t>Providing Vacation</a:t>
          </a:r>
        </a:p>
      </dsp:txBody>
      <dsp:txXfrm>
        <a:off x="2041904" y="388443"/>
        <a:ext cx="482604" cy="482604"/>
      </dsp:txXfrm>
    </dsp:sp>
  </dsp:spTree>
</dsp:drawing>
</file>

<file path=word/diagrams/layout1.xml><?xml version="1.0" encoding="utf-8"?>
<dgm:layoutDef xmlns:dgm="http://schemas.openxmlformats.org/drawingml/2006/diagram" xmlns:a="http://schemas.openxmlformats.org/drawingml/2006/main" uniqueId="urn:microsoft.com/office/officeart/2005/8/layout/radial1#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ctrShpMap" val="fNode"/>
              <dgm:param type="spanAng" val="360"/>
              <dgm:param type="stAng" val="90"/>
            </dgm:alg>
          </dgm:if>
          <dgm:else name="Name4">
            <dgm:alg type="cycle">
              <dgm:param type="ctrShpMap" val="fNode"/>
              <dgm:param type="spanAng" val="360"/>
              <dgm:param type="stAng" val="0"/>
            </dgm:alg>
          </dgm:else>
        </dgm:choose>
      </dgm:if>
      <dgm:else name="Name5">
        <dgm:alg type="cycle">
          <dgm:param type="ctrShpMap" val="fNode"/>
          <dgm:param type="spanAng" val="-360"/>
          <dgm:param type="stAng" val="0"/>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begPts" val="auto"/>
              <dgm:param type="begSty" val="noArr"/>
              <dgm:param type="dim" val="1D"/>
              <dgm:param type="endPts" val="auto"/>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C112FBF-43FF-4EB2-A9E7-8CFE80A1C34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Words>2180</Words>
  <Pages>1</Pages>
  <Characters>11904</Characters>
  <Application>WPS Office</Application>
  <DocSecurity>0</DocSecurity>
  <Paragraphs>102</Paragraphs>
  <ScaleCrop>false</ScaleCrop>
  <LinksUpToDate>false</LinksUpToDate>
  <CharactersWithSpaces>14019</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2022-02-16T10:45:00Z</dcterms:created>
  <dc:creator>WPS Office</dc:creator>
  <lastModifiedBy>vivo 1906</lastModifiedBy>
  <dcterms:modified xsi:type="dcterms:W3CDTF">2022-04-02T17:26:01Z</dcterms:modified>
  <revision>1</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c839a260154c4f308620cff2ea6aff9d</vt:lpwstr>
  </property>
</Properties>
</file>