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ABC101" w14:textId="5AF102E1" w:rsidR="000C2A06" w:rsidRDefault="000C2A06" w:rsidP="005A3E0B">
      <w:pPr>
        <w:jc w:val="center"/>
        <w:rPr>
          <w:rFonts w:ascii="Baskerville Old Face" w:hAnsi="Baskerville Old Face" w:cs="Times New Roman"/>
          <w:b/>
          <w:bCs/>
          <w:sz w:val="40"/>
          <w:szCs w:val="40"/>
        </w:rPr>
      </w:pPr>
      <w:r>
        <w:rPr>
          <w:rFonts w:ascii="Baskerville Old Face" w:hAnsi="Baskerville Old Face" w:cs="Times New Roman"/>
          <w:b/>
          <w:bCs/>
          <w:sz w:val="40"/>
          <w:szCs w:val="40"/>
        </w:rPr>
        <w:t>STUDENT NAME:</w:t>
      </w:r>
    </w:p>
    <w:p w14:paraId="06048FCD" w14:textId="013A3263" w:rsidR="005A3E0B" w:rsidRDefault="005A3E0B" w:rsidP="005A3E0B">
      <w:pPr>
        <w:jc w:val="center"/>
        <w:rPr>
          <w:rFonts w:ascii="Baskerville Old Face" w:hAnsi="Baskerville Old Face" w:cs="Times New Roman"/>
          <w:b/>
          <w:bCs/>
          <w:sz w:val="40"/>
          <w:szCs w:val="40"/>
        </w:rPr>
      </w:pPr>
      <w:r>
        <w:rPr>
          <w:rFonts w:ascii="Baskerville Old Face" w:hAnsi="Baskerville Old Face" w:cs="Times New Roman"/>
          <w:b/>
          <w:bCs/>
          <w:sz w:val="40"/>
          <w:szCs w:val="40"/>
        </w:rPr>
        <w:t>NOSHEEN MANZOOR</w:t>
      </w:r>
    </w:p>
    <w:p w14:paraId="7322DDDA" w14:textId="0D44F695" w:rsidR="005A3E0B" w:rsidRDefault="005A3E0B" w:rsidP="005A3E0B">
      <w:pPr>
        <w:jc w:val="center"/>
        <w:rPr>
          <w:rFonts w:ascii="Baskerville Old Face" w:hAnsi="Baskerville Old Face" w:cs="Times New Roman"/>
          <w:b/>
          <w:bCs/>
          <w:sz w:val="40"/>
          <w:szCs w:val="40"/>
        </w:rPr>
      </w:pPr>
      <w:r>
        <w:rPr>
          <w:rFonts w:ascii="Baskerville Old Face" w:hAnsi="Baskerville Old Face" w:cs="Times New Roman"/>
          <w:b/>
          <w:bCs/>
          <w:sz w:val="40"/>
          <w:szCs w:val="40"/>
        </w:rPr>
        <w:t>2218718</w:t>
      </w:r>
    </w:p>
    <w:p w14:paraId="08997DC3" w14:textId="77777777" w:rsidR="005A3E0B" w:rsidRDefault="005A3E0B" w:rsidP="005A3E0B">
      <w:pPr>
        <w:jc w:val="center"/>
        <w:rPr>
          <w:rFonts w:ascii="Baskerville Old Face" w:hAnsi="Baskerville Old Face" w:cs="Times New Roman"/>
          <w:b/>
          <w:bCs/>
          <w:sz w:val="40"/>
          <w:szCs w:val="40"/>
        </w:rPr>
      </w:pPr>
    </w:p>
    <w:p w14:paraId="6B4CEB30" w14:textId="0E23C839" w:rsidR="000C2A06" w:rsidRDefault="000C2A06" w:rsidP="000C2A06">
      <w:pPr>
        <w:jc w:val="center"/>
        <w:rPr>
          <w:rFonts w:ascii="Baskerville Old Face" w:hAnsi="Baskerville Old Face" w:cs="Times New Roman"/>
          <w:b/>
          <w:bCs/>
          <w:sz w:val="40"/>
          <w:szCs w:val="40"/>
        </w:rPr>
      </w:pPr>
      <w:r>
        <w:rPr>
          <w:rFonts w:ascii="Baskerville Old Face" w:hAnsi="Baskerville Old Face" w:cs="Times New Roman"/>
          <w:b/>
          <w:bCs/>
          <w:sz w:val="40"/>
          <w:szCs w:val="40"/>
        </w:rPr>
        <w:t>MODULE</w:t>
      </w:r>
      <w:r w:rsidR="005A756B">
        <w:rPr>
          <w:rFonts w:ascii="Baskerville Old Face" w:hAnsi="Baskerville Old Face" w:cs="Times New Roman"/>
          <w:b/>
          <w:bCs/>
          <w:sz w:val="40"/>
          <w:szCs w:val="40"/>
        </w:rPr>
        <w:t>:</w:t>
      </w:r>
    </w:p>
    <w:p w14:paraId="3D0B079B" w14:textId="67816D59" w:rsidR="000C2A06" w:rsidRDefault="005A3E0B" w:rsidP="000C2A06">
      <w:pPr>
        <w:jc w:val="center"/>
        <w:rPr>
          <w:rFonts w:ascii="Baskerville Old Face" w:hAnsi="Baskerville Old Face" w:cs="Times New Roman"/>
          <w:b/>
          <w:bCs/>
          <w:sz w:val="40"/>
          <w:szCs w:val="40"/>
        </w:rPr>
      </w:pPr>
      <w:r w:rsidRPr="005A3E0B">
        <w:rPr>
          <w:rFonts w:ascii="Baskerville Old Face" w:hAnsi="Baskerville Old Face" w:cs="Times New Roman"/>
          <w:b/>
          <w:bCs/>
          <w:sz w:val="40"/>
          <w:szCs w:val="40"/>
        </w:rPr>
        <w:t>LCMB 7023</w:t>
      </w:r>
    </w:p>
    <w:p w14:paraId="60B0827E" w14:textId="5814B8A3" w:rsidR="005A3E0B" w:rsidRDefault="005A3E0B" w:rsidP="005A3E0B">
      <w:pPr>
        <w:jc w:val="center"/>
        <w:rPr>
          <w:rFonts w:ascii="Baskerville Old Face" w:hAnsi="Baskerville Old Face" w:cs="Times New Roman"/>
          <w:b/>
          <w:bCs/>
          <w:sz w:val="40"/>
          <w:szCs w:val="40"/>
        </w:rPr>
      </w:pPr>
      <w:r>
        <w:rPr>
          <w:rFonts w:ascii="Baskerville Old Face" w:hAnsi="Baskerville Old Face" w:cs="Times New Roman"/>
          <w:b/>
          <w:bCs/>
          <w:sz w:val="40"/>
          <w:szCs w:val="40"/>
        </w:rPr>
        <w:t>HUMAN CAPITAL MANAGEMENT</w:t>
      </w:r>
    </w:p>
    <w:p w14:paraId="03705908" w14:textId="4C9F698C" w:rsidR="004B28F7" w:rsidRDefault="004B28F7" w:rsidP="005A3E0B">
      <w:pPr>
        <w:jc w:val="center"/>
        <w:rPr>
          <w:rFonts w:ascii="Baskerville Old Face" w:hAnsi="Baskerville Old Face" w:cs="Times New Roman"/>
          <w:b/>
          <w:bCs/>
          <w:sz w:val="40"/>
          <w:szCs w:val="40"/>
        </w:rPr>
      </w:pPr>
      <w:r>
        <w:rPr>
          <w:rFonts w:ascii="Baskerville Old Face" w:hAnsi="Baskerville Old Face" w:cs="Times New Roman"/>
          <w:b/>
          <w:bCs/>
          <w:sz w:val="40"/>
          <w:szCs w:val="40"/>
        </w:rPr>
        <w:t>INDIVIDUAL REPORT</w:t>
      </w:r>
    </w:p>
    <w:p w14:paraId="2F557A25" w14:textId="77777777" w:rsidR="004B28F7" w:rsidRDefault="004B28F7" w:rsidP="005A3E0B">
      <w:pPr>
        <w:jc w:val="center"/>
        <w:rPr>
          <w:rFonts w:ascii="Baskerville Old Face" w:hAnsi="Baskerville Old Face" w:cs="Times New Roman"/>
          <w:b/>
          <w:bCs/>
          <w:sz w:val="40"/>
          <w:szCs w:val="40"/>
        </w:rPr>
      </w:pPr>
    </w:p>
    <w:p w14:paraId="75AB6591" w14:textId="0DC4F5FF" w:rsidR="004B28F7" w:rsidRDefault="000C2A06" w:rsidP="005A3E0B">
      <w:pPr>
        <w:jc w:val="center"/>
        <w:rPr>
          <w:rFonts w:ascii="Baskerville Old Face" w:hAnsi="Baskerville Old Face" w:cs="Times New Roman"/>
          <w:b/>
          <w:bCs/>
          <w:sz w:val="40"/>
          <w:szCs w:val="40"/>
        </w:rPr>
      </w:pPr>
      <w:r>
        <w:rPr>
          <w:rFonts w:ascii="Baskerville Old Face" w:hAnsi="Baskerville Old Face" w:cs="Times New Roman"/>
          <w:b/>
          <w:bCs/>
          <w:sz w:val="40"/>
          <w:szCs w:val="40"/>
        </w:rPr>
        <w:t>LECTURER</w:t>
      </w:r>
      <w:r w:rsidR="005A756B">
        <w:rPr>
          <w:rFonts w:ascii="Baskerville Old Face" w:hAnsi="Baskerville Old Face" w:cs="Times New Roman"/>
          <w:b/>
          <w:bCs/>
          <w:sz w:val="40"/>
          <w:szCs w:val="40"/>
        </w:rPr>
        <w:t>:</w:t>
      </w:r>
    </w:p>
    <w:p w14:paraId="0F7841B6" w14:textId="2C3DE280" w:rsidR="005A756B" w:rsidRDefault="003B2E8C" w:rsidP="005A3E0B">
      <w:pPr>
        <w:jc w:val="center"/>
        <w:rPr>
          <w:rFonts w:ascii="Baskerville Old Face" w:hAnsi="Baskerville Old Face" w:cs="Times New Roman"/>
          <w:b/>
          <w:bCs/>
          <w:sz w:val="40"/>
          <w:szCs w:val="40"/>
        </w:rPr>
      </w:pPr>
      <w:r>
        <w:rPr>
          <w:rFonts w:ascii="Baskerville Old Face" w:hAnsi="Baskerville Old Face" w:cs="Times New Roman"/>
          <w:b/>
          <w:bCs/>
          <w:sz w:val="40"/>
          <w:szCs w:val="40"/>
        </w:rPr>
        <w:t>ENO MAYCOCK</w:t>
      </w:r>
    </w:p>
    <w:p w14:paraId="70C44139" w14:textId="77777777" w:rsidR="00CA79A4" w:rsidRDefault="00CA79A4" w:rsidP="005A3E0B">
      <w:pPr>
        <w:jc w:val="center"/>
        <w:rPr>
          <w:rFonts w:ascii="Baskerville Old Face" w:hAnsi="Baskerville Old Face" w:cs="Times New Roman"/>
          <w:b/>
          <w:bCs/>
          <w:sz w:val="40"/>
          <w:szCs w:val="40"/>
        </w:rPr>
      </w:pPr>
    </w:p>
    <w:p w14:paraId="122580B9" w14:textId="77777777" w:rsidR="00CA79A4" w:rsidRDefault="00CA79A4" w:rsidP="005A3E0B">
      <w:pPr>
        <w:jc w:val="center"/>
        <w:rPr>
          <w:rFonts w:ascii="Baskerville Old Face" w:hAnsi="Baskerville Old Face" w:cs="Times New Roman"/>
          <w:b/>
          <w:bCs/>
          <w:sz w:val="40"/>
          <w:szCs w:val="40"/>
        </w:rPr>
      </w:pPr>
    </w:p>
    <w:p w14:paraId="6ABE057D" w14:textId="77777777" w:rsidR="00CA79A4" w:rsidRDefault="00CA79A4" w:rsidP="005A3E0B">
      <w:pPr>
        <w:jc w:val="center"/>
        <w:rPr>
          <w:rFonts w:ascii="Baskerville Old Face" w:hAnsi="Baskerville Old Face" w:cs="Times New Roman"/>
          <w:b/>
          <w:bCs/>
          <w:sz w:val="40"/>
          <w:szCs w:val="40"/>
        </w:rPr>
      </w:pPr>
    </w:p>
    <w:p w14:paraId="7F0857F0" w14:textId="77777777" w:rsidR="00CA79A4" w:rsidRDefault="00CA79A4" w:rsidP="005A3E0B">
      <w:pPr>
        <w:jc w:val="center"/>
        <w:rPr>
          <w:rFonts w:ascii="Baskerville Old Face" w:hAnsi="Baskerville Old Face" w:cs="Times New Roman"/>
          <w:b/>
          <w:bCs/>
          <w:sz w:val="40"/>
          <w:szCs w:val="40"/>
        </w:rPr>
      </w:pPr>
    </w:p>
    <w:p w14:paraId="0D76CD9A" w14:textId="77777777" w:rsidR="00CA79A4" w:rsidRDefault="00CA79A4" w:rsidP="005A3E0B">
      <w:pPr>
        <w:jc w:val="center"/>
        <w:rPr>
          <w:rFonts w:ascii="Baskerville Old Face" w:hAnsi="Baskerville Old Face" w:cs="Times New Roman"/>
          <w:b/>
          <w:bCs/>
          <w:sz w:val="40"/>
          <w:szCs w:val="40"/>
        </w:rPr>
      </w:pPr>
    </w:p>
    <w:p w14:paraId="00DEC591" w14:textId="77777777" w:rsidR="00CA79A4" w:rsidRDefault="00CA79A4" w:rsidP="005A3E0B">
      <w:pPr>
        <w:jc w:val="center"/>
        <w:rPr>
          <w:rFonts w:ascii="Baskerville Old Face" w:hAnsi="Baskerville Old Face" w:cs="Times New Roman"/>
          <w:b/>
          <w:bCs/>
          <w:sz w:val="40"/>
          <w:szCs w:val="40"/>
        </w:rPr>
      </w:pPr>
    </w:p>
    <w:p w14:paraId="336D966A" w14:textId="77777777" w:rsidR="00CA79A4" w:rsidRDefault="00CA79A4" w:rsidP="005A3E0B">
      <w:pPr>
        <w:jc w:val="center"/>
        <w:rPr>
          <w:rFonts w:ascii="Baskerville Old Face" w:hAnsi="Baskerville Old Face" w:cs="Times New Roman"/>
          <w:b/>
          <w:bCs/>
          <w:sz w:val="40"/>
          <w:szCs w:val="40"/>
        </w:rPr>
      </w:pPr>
    </w:p>
    <w:p w14:paraId="66DA2C70" w14:textId="77777777" w:rsidR="00CA79A4" w:rsidRDefault="00CA79A4" w:rsidP="005A3E0B">
      <w:pPr>
        <w:jc w:val="center"/>
        <w:rPr>
          <w:rFonts w:ascii="Baskerville Old Face" w:hAnsi="Baskerville Old Face" w:cs="Times New Roman"/>
          <w:b/>
          <w:bCs/>
          <w:sz w:val="40"/>
          <w:szCs w:val="40"/>
        </w:rPr>
      </w:pPr>
    </w:p>
    <w:p w14:paraId="07CCB843" w14:textId="77777777" w:rsidR="00CA79A4" w:rsidRDefault="00CA79A4" w:rsidP="005A3E0B">
      <w:pPr>
        <w:jc w:val="center"/>
        <w:rPr>
          <w:rFonts w:ascii="Baskerville Old Face" w:hAnsi="Baskerville Old Face" w:cs="Times New Roman"/>
          <w:b/>
          <w:bCs/>
          <w:sz w:val="40"/>
          <w:szCs w:val="40"/>
        </w:rPr>
      </w:pPr>
    </w:p>
    <w:p w14:paraId="608F67E3" w14:textId="77777777" w:rsidR="00CA79A4" w:rsidRDefault="00CA79A4" w:rsidP="005A3E0B">
      <w:pPr>
        <w:jc w:val="center"/>
        <w:rPr>
          <w:rFonts w:ascii="Baskerville Old Face" w:hAnsi="Baskerville Old Face" w:cs="Times New Roman"/>
          <w:b/>
          <w:bCs/>
          <w:sz w:val="40"/>
          <w:szCs w:val="40"/>
        </w:rPr>
      </w:pPr>
    </w:p>
    <w:p w14:paraId="7984FDB1" w14:textId="0CB06CEF" w:rsidR="00CA79A4" w:rsidRDefault="00CA79A4" w:rsidP="005A3E0B">
      <w:pPr>
        <w:jc w:val="center"/>
        <w:rPr>
          <w:rFonts w:ascii="Baskerville Old Face" w:hAnsi="Baskerville Old Face" w:cs="Times New Roman"/>
          <w:b/>
          <w:bCs/>
          <w:sz w:val="40"/>
          <w:szCs w:val="40"/>
        </w:rPr>
      </w:pPr>
      <w:r>
        <w:rPr>
          <w:rFonts w:ascii="Baskerville Old Face" w:hAnsi="Baskerville Old Face" w:cs="Times New Roman"/>
          <w:b/>
          <w:bCs/>
          <w:sz w:val="40"/>
          <w:szCs w:val="40"/>
        </w:rPr>
        <w:t>WORD COUNT:</w:t>
      </w:r>
    </w:p>
    <w:p w14:paraId="78B3C599" w14:textId="0E54EFFB" w:rsidR="00CA79A4" w:rsidRDefault="00CA79A4" w:rsidP="005A3E0B">
      <w:pPr>
        <w:jc w:val="center"/>
        <w:rPr>
          <w:rFonts w:ascii="Baskerville Old Face" w:hAnsi="Baskerville Old Face" w:cs="Times New Roman"/>
          <w:b/>
          <w:bCs/>
          <w:sz w:val="40"/>
          <w:szCs w:val="40"/>
        </w:rPr>
      </w:pPr>
      <w:r>
        <w:rPr>
          <w:rFonts w:ascii="Baskerville Old Face" w:hAnsi="Baskerville Old Face" w:cs="Times New Roman"/>
          <w:b/>
          <w:bCs/>
          <w:sz w:val="40"/>
          <w:szCs w:val="40"/>
        </w:rPr>
        <w:t>28</w:t>
      </w:r>
      <w:r w:rsidR="00790167">
        <w:rPr>
          <w:rFonts w:ascii="Baskerville Old Face" w:hAnsi="Baskerville Old Face" w:cs="Times New Roman"/>
          <w:b/>
          <w:bCs/>
          <w:sz w:val="40"/>
          <w:szCs w:val="40"/>
        </w:rPr>
        <w:t>25</w:t>
      </w:r>
    </w:p>
    <w:p w14:paraId="2783AABF" w14:textId="77777777" w:rsidR="000C2A06" w:rsidRDefault="000C2A06" w:rsidP="005A3E0B">
      <w:pPr>
        <w:jc w:val="center"/>
        <w:rPr>
          <w:rFonts w:ascii="Baskerville Old Face" w:hAnsi="Baskerville Old Face" w:cs="Times New Roman"/>
          <w:b/>
          <w:bCs/>
          <w:sz w:val="40"/>
          <w:szCs w:val="40"/>
        </w:rPr>
      </w:pPr>
    </w:p>
    <w:p w14:paraId="3CBEA811" w14:textId="77777777" w:rsidR="005A3E0B" w:rsidRDefault="005A3E0B" w:rsidP="005A3E0B">
      <w:pPr>
        <w:jc w:val="center"/>
        <w:rPr>
          <w:rFonts w:ascii="Baskerville Old Face" w:hAnsi="Baskerville Old Face" w:cs="Times New Roman"/>
          <w:b/>
          <w:bCs/>
          <w:sz w:val="40"/>
          <w:szCs w:val="40"/>
        </w:rPr>
      </w:pPr>
    </w:p>
    <w:p w14:paraId="050B6E6A" w14:textId="681C6FFC" w:rsidR="00EA7DEB" w:rsidRDefault="00EA7DEB" w:rsidP="00EA7DEB">
      <w:pPr>
        <w:rPr>
          <w:rFonts w:ascii="Baskerville Old Face" w:hAnsi="Baskerville Old Face" w:cs="Times New Roman"/>
          <w:b/>
          <w:bCs/>
          <w:sz w:val="40"/>
          <w:szCs w:val="40"/>
        </w:rPr>
      </w:pPr>
    </w:p>
    <w:p w14:paraId="26011015" w14:textId="77777777" w:rsidR="00EA7DEB" w:rsidRDefault="00EA7DEB">
      <w:pPr>
        <w:rPr>
          <w:rFonts w:ascii="Baskerville Old Face" w:hAnsi="Baskerville Old Face" w:cs="Times New Roman"/>
          <w:b/>
          <w:bCs/>
          <w:sz w:val="40"/>
          <w:szCs w:val="40"/>
        </w:rPr>
      </w:pPr>
      <w:r>
        <w:rPr>
          <w:rFonts w:ascii="Baskerville Old Face" w:hAnsi="Baskerville Old Face" w:cs="Times New Roman"/>
          <w:b/>
          <w:bCs/>
          <w:sz w:val="40"/>
          <w:szCs w:val="40"/>
        </w:rPr>
        <w:br w:type="page"/>
      </w:r>
    </w:p>
    <w:sdt>
      <w:sdtPr>
        <w:rPr>
          <w:rFonts w:asciiTheme="minorHAnsi" w:eastAsiaTheme="minorHAnsi" w:hAnsiTheme="minorHAnsi" w:cstheme="minorBidi"/>
          <w:b w:val="0"/>
          <w:bCs w:val="0"/>
          <w:color w:val="auto"/>
          <w:kern w:val="2"/>
          <w:sz w:val="24"/>
          <w:szCs w:val="24"/>
          <w:lang w:val="en-GB"/>
          <w14:ligatures w14:val="standardContextual"/>
        </w:rPr>
        <w:id w:val="-1824574447"/>
        <w:docPartObj>
          <w:docPartGallery w:val="Table of Contents"/>
          <w:docPartUnique/>
        </w:docPartObj>
      </w:sdtPr>
      <w:sdtEndPr>
        <w:rPr>
          <w:noProof/>
        </w:rPr>
      </w:sdtEndPr>
      <w:sdtContent>
        <w:p w14:paraId="07B6A831" w14:textId="021A64F7" w:rsidR="00AD66EE" w:rsidRDefault="00AD66EE">
          <w:pPr>
            <w:pStyle w:val="TOCHeading"/>
          </w:pPr>
          <w:r>
            <w:t>Table of Contents</w:t>
          </w:r>
        </w:p>
        <w:p w14:paraId="26A876B3" w14:textId="676180FB" w:rsidR="00AD66EE" w:rsidRDefault="00AD66EE">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32112538" w:history="1">
            <w:r w:rsidRPr="008A7089">
              <w:rPr>
                <w:rStyle w:val="Hyperlink"/>
                <w:rFonts w:ascii="Baskerville Old Face" w:hAnsi="Baskerville Old Face" w:cs="Arial"/>
                <w:noProof/>
              </w:rPr>
              <w:t>Introduction:</w:t>
            </w:r>
            <w:r>
              <w:rPr>
                <w:noProof/>
                <w:webHidden/>
              </w:rPr>
              <w:tab/>
            </w:r>
            <w:r>
              <w:rPr>
                <w:noProof/>
                <w:webHidden/>
              </w:rPr>
              <w:fldChar w:fldCharType="begin"/>
            </w:r>
            <w:r>
              <w:rPr>
                <w:noProof/>
                <w:webHidden/>
              </w:rPr>
              <w:instrText xml:space="preserve"> PAGEREF _Toc232112538 \h </w:instrText>
            </w:r>
            <w:r>
              <w:rPr>
                <w:noProof/>
                <w:webHidden/>
              </w:rPr>
            </w:r>
            <w:r>
              <w:rPr>
                <w:noProof/>
                <w:webHidden/>
              </w:rPr>
              <w:fldChar w:fldCharType="separate"/>
            </w:r>
            <w:r>
              <w:rPr>
                <w:noProof/>
                <w:webHidden/>
              </w:rPr>
              <w:t>3</w:t>
            </w:r>
            <w:r>
              <w:rPr>
                <w:noProof/>
                <w:webHidden/>
              </w:rPr>
              <w:fldChar w:fldCharType="end"/>
            </w:r>
          </w:hyperlink>
        </w:p>
        <w:p w14:paraId="27DE8254" w14:textId="25C07D50" w:rsidR="00AD66EE" w:rsidRDefault="00AD66EE">
          <w:pPr>
            <w:pStyle w:val="TOC2"/>
            <w:tabs>
              <w:tab w:val="right" w:leader="dot" w:pos="9016"/>
            </w:tabs>
            <w:rPr>
              <w:noProof/>
            </w:rPr>
          </w:pPr>
          <w:hyperlink w:anchor="_Toc232112539" w:history="1">
            <w:r w:rsidRPr="008A7089">
              <w:rPr>
                <w:rStyle w:val="Hyperlink"/>
                <w:rFonts w:ascii="Baskerville Old Face" w:hAnsi="Baskerville Old Face"/>
                <w:b/>
                <w:bCs/>
                <w:noProof/>
              </w:rPr>
              <w:t>Helios Urban Mobility (HUM)</w:t>
            </w:r>
            <w:r>
              <w:rPr>
                <w:noProof/>
                <w:webHidden/>
              </w:rPr>
              <w:tab/>
            </w:r>
            <w:r>
              <w:rPr>
                <w:noProof/>
                <w:webHidden/>
              </w:rPr>
              <w:fldChar w:fldCharType="begin"/>
            </w:r>
            <w:r>
              <w:rPr>
                <w:noProof/>
                <w:webHidden/>
              </w:rPr>
              <w:instrText xml:space="preserve"> PAGEREF _Toc232112539 \h </w:instrText>
            </w:r>
            <w:r>
              <w:rPr>
                <w:noProof/>
                <w:webHidden/>
              </w:rPr>
            </w:r>
            <w:r>
              <w:rPr>
                <w:noProof/>
                <w:webHidden/>
              </w:rPr>
              <w:fldChar w:fldCharType="separate"/>
            </w:r>
            <w:r>
              <w:rPr>
                <w:noProof/>
                <w:webHidden/>
              </w:rPr>
              <w:t>3</w:t>
            </w:r>
            <w:r>
              <w:rPr>
                <w:noProof/>
                <w:webHidden/>
              </w:rPr>
              <w:fldChar w:fldCharType="end"/>
            </w:r>
          </w:hyperlink>
        </w:p>
        <w:p w14:paraId="1E3A8711" w14:textId="239B72AA" w:rsidR="00AD66EE" w:rsidRDefault="00AD66EE">
          <w:pPr>
            <w:pStyle w:val="TOC1"/>
            <w:tabs>
              <w:tab w:val="right" w:leader="dot" w:pos="9016"/>
            </w:tabs>
            <w:rPr>
              <w:noProof/>
            </w:rPr>
          </w:pPr>
          <w:hyperlink w:anchor="_Toc232112540" w:history="1">
            <w:r w:rsidRPr="008A7089">
              <w:rPr>
                <w:rStyle w:val="Hyperlink"/>
                <w:rFonts w:ascii="Baskerville Old Face" w:hAnsi="Baskerville Old Face"/>
                <w:noProof/>
              </w:rPr>
              <w:t>Traditional onboarding versus strategic organisational socialisation</w:t>
            </w:r>
            <w:r>
              <w:rPr>
                <w:noProof/>
                <w:webHidden/>
              </w:rPr>
              <w:tab/>
            </w:r>
            <w:r>
              <w:rPr>
                <w:noProof/>
                <w:webHidden/>
              </w:rPr>
              <w:fldChar w:fldCharType="begin"/>
            </w:r>
            <w:r>
              <w:rPr>
                <w:noProof/>
                <w:webHidden/>
              </w:rPr>
              <w:instrText xml:space="preserve"> PAGEREF _Toc232112540 \h </w:instrText>
            </w:r>
            <w:r>
              <w:rPr>
                <w:noProof/>
                <w:webHidden/>
              </w:rPr>
            </w:r>
            <w:r>
              <w:rPr>
                <w:noProof/>
                <w:webHidden/>
              </w:rPr>
              <w:fldChar w:fldCharType="separate"/>
            </w:r>
            <w:r>
              <w:rPr>
                <w:noProof/>
                <w:webHidden/>
              </w:rPr>
              <w:t>3</w:t>
            </w:r>
            <w:r>
              <w:rPr>
                <w:noProof/>
                <w:webHidden/>
              </w:rPr>
              <w:fldChar w:fldCharType="end"/>
            </w:r>
          </w:hyperlink>
        </w:p>
        <w:p w14:paraId="465C53A5" w14:textId="6C7640D3" w:rsidR="00AD66EE" w:rsidRDefault="00AD66EE">
          <w:pPr>
            <w:pStyle w:val="TOC1"/>
            <w:tabs>
              <w:tab w:val="right" w:leader="dot" w:pos="9016"/>
            </w:tabs>
            <w:rPr>
              <w:noProof/>
            </w:rPr>
          </w:pPr>
          <w:hyperlink w:anchor="_Toc232112541" w:history="1">
            <w:r w:rsidRPr="008A7089">
              <w:rPr>
                <w:rStyle w:val="Hyperlink"/>
                <w:rFonts w:ascii="Baskerville Old Face" w:hAnsi="Baskerville Old Face"/>
                <w:noProof/>
              </w:rPr>
              <w:t>Relevant Theories</w:t>
            </w:r>
            <w:r>
              <w:rPr>
                <w:noProof/>
                <w:webHidden/>
              </w:rPr>
              <w:tab/>
            </w:r>
            <w:r>
              <w:rPr>
                <w:noProof/>
                <w:webHidden/>
              </w:rPr>
              <w:fldChar w:fldCharType="begin"/>
            </w:r>
            <w:r>
              <w:rPr>
                <w:noProof/>
                <w:webHidden/>
              </w:rPr>
              <w:instrText xml:space="preserve"> PAGEREF _Toc232112541 \h </w:instrText>
            </w:r>
            <w:r>
              <w:rPr>
                <w:noProof/>
                <w:webHidden/>
              </w:rPr>
            </w:r>
            <w:r>
              <w:rPr>
                <w:noProof/>
                <w:webHidden/>
              </w:rPr>
              <w:fldChar w:fldCharType="separate"/>
            </w:r>
            <w:r>
              <w:rPr>
                <w:noProof/>
                <w:webHidden/>
              </w:rPr>
              <w:t>4</w:t>
            </w:r>
            <w:r>
              <w:rPr>
                <w:noProof/>
                <w:webHidden/>
              </w:rPr>
              <w:fldChar w:fldCharType="end"/>
            </w:r>
          </w:hyperlink>
        </w:p>
        <w:p w14:paraId="5F01AAD2" w14:textId="4C79F123" w:rsidR="00AD66EE" w:rsidRDefault="00AD66EE">
          <w:pPr>
            <w:pStyle w:val="TOC1"/>
            <w:tabs>
              <w:tab w:val="right" w:leader="dot" w:pos="9016"/>
            </w:tabs>
            <w:rPr>
              <w:noProof/>
            </w:rPr>
          </w:pPr>
          <w:hyperlink w:anchor="_Toc232112542" w:history="1">
            <w:r w:rsidRPr="008A7089">
              <w:rPr>
                <w:rStyle w:val="Hyperlink"/>
                <w:rFonts w:ascii="Baskerville Old Face" w:hAnsi="Baskerville Old Face"/>
                <w:noProof/>
              </w:rPr>
              <w:t>Designing a Strategic Socialisation Framework for Helios Urban Mobility</w:t>
            </w:r>
            <w:r>
              <w:rPr>
                <w:noProof/>
                <w:webHidden/>
              </w:rPr>
              <w:tab/>
            </w:r>
            <w:r>
              <w:rPr>
                <w:noProof/>
                <w:webHidden/>
              </w:rPr>
              <w:fldChar w:fldCharType="begin"/>
            </w:r>
            <w:r>
              <w:rPr>
                <w:noProof/>
                <w:webHidden/>
              </w:rPr>
              <w:instrText xml:space="preserve"> PAGEREF _Toc232112542 \h </w:instrText>
            </w:r>
            <w:r>
              <w:rPr>
                <w:noProof/>
                <w:webHidden/>
              </w:rPr>
            </w:r>
            <w:r>
              <w:rPr>
                <w:noProof/>
                <w:webHidden/>
              </w:rPr>
              <w:fldChar w:fldCharType="separate"/>
            </w:r>
            <w:r>
              <w:rPr>
                <w:noProof/>
                <w:webHidden/>
              </w:rPr>
              <w:t>5</w:t>
            </w:r>
            <w:r>
              <w:rPr>
                <w:noProof/>
                <w:webHidden/>
              </w:rPr>
              <w:fldChar w:fldCharType="end"/>
            </w:r>
          </w:hyperlink>
        </w:p>
        <w:p w14:paraId="5E0317DF" w14:textId="03689952" w:rsidR="00AD66EE" w:rsidRDefault="00AD66EE">
          <w:pPr>
            <w:pStyle w:val="TOC1"/>
            <w:tabs>
              <w:tab w:val="right" w:leader="dot" w:pos="9016"/>
            </w:tabs>
            <w:rPr>
              <w:noProof/>
            </w:rPr>
          </w:pPr>
          <w:hyperlink w:anchor="_Toc232112543" w:history="1">
            <w:r w:rsidRPr="008A7089">
              <w:rPr>
                <w:rStyle w:val="Hyperlink"/>
                <w:rFonts w:ascii="Baskerville Old Face" w:hAnsi="Baskerville Old Face"/>
                <w:noProof/>
              </w:rPr>
              <w:t>Establishing Commitment and Lowering Uncertainty During Pre-boarding</w:t>
            </w:r>
            <w:r>
              <w:rPr>
                <w:noProof/>
                <w:webHidden/>
              </w:rPr>
              <w:tab/>
            </w:r>
            <w:r>
              <w:rPr>
                <w:noProof/>
                <w:webHidden/>
              </w:rPr>
              <w:fldChar w:fldCharType="begin"/>
            </w:r>
            <w:r>
              <w:rPr>
                <w:noProof/>
                <w:webHidden/>
              </w:rPr>
              <w:instrText xml:space="preserve"> PAGEREF _Toc232112543 \h </w:instrText>
            </w:r>
            <w:r>
              <w:rPr>
                <w:noProof/>
                <w:webHidden/>
              </w:rPr>
            </w:r>
            <w:r>
              <w:rPr>
                <w:noProof/>
                <w:webHidden/>
              </w:rPr>
              <w:fldChar w:fldCharType="separate"/>
            </w:r>
            <w:r>
              <w:rPr>
                <w:noProof/>
                <w:webHidden/>
              </w:rPr>
              <w:t>5</w:t>
            </w:r>
            <w:r>
              <w:rPr>
                <w:noProof/>
                <w:webHidden/>
              </w:rPr>
              <w:fldChar w:fldCharType="end"/>
            </w:r>
          </w:hyperlink>
        </w:p>
        <w:p w14:paraId="37B7C132" w14:textId="355551CF" w:rsidR="00AD66EE" w:rsidRDefault="00AD66EE">
          <w:pPr>
            <w:pStyle w:val="TOC1"/>
            <w:tabs>
              <w:tab w:val="right" w:leader="dot" w:pos="9016"/>
            </w:tabs>
            <w:rPr>
              <w:noProof/>
            </w:rPr>
          </w:pPr>
          <w:hyperlink w:anchor="_Toc232112544" w:history="1">
            <w:r w:rsidRPr="008A7089">
              <w:rPr>
                <w:rStyle w:val="Hyperlink"/>
                <w:rFonts w:ascii="Baskerville Old Face" w:hAnsi="Baskerville Old Face"/>
                <w:noProof/>
              </w:rPr>
              <w:t>Orientation, Integration and Contribution in First 90 Days</w:t>
            </w:r>
            <w:r>
              <w:rPr>
                <w:noProof/>
                <w:webHidden/>
              </w:rPr>
              <w:tab/>
            </w:r>
            <w:r>
              <w:rPr>
                <w:noProof/>
                <w:webHidden/>
              </w:rPr>
              <w:fldChar w:fldCharType="begin"/>
            </w:r>
            <w:r>
              <w:rPr>
                <w:noProof/>
                <w:webHidden/>
              </w:rPr>
              <w:instrText xml:space="preserve"> PAGEREF _Toc232112544 \h </w:instrText>
            </w:r>
            <w:r>
              <w:rPr>
                <w:noProof/>
                <w:webHidden/>
              </w:rPr>
            </w:r>
            <w:r>
              <w:rPr>
                <w:noProof/>
                <w:webHidden/>
              </w:rPr>
              <w:fldChar w:fldCharType="separate"/>
            </w:r>
            <w:r>
              <w:rPr>
                <w:noProof/>
                <w:webHidden/>
              </w:rPr>
              <w:t>6</w:t>
            </w:r>
            <w:r>
              <w:rPr>
                <w:noProof/>
                <w:webHidden/>
              </w:rPr>
              <w:fldChar w:fldCharType="end"/>
            </w:r>
          </w:hyperlink>
        </w:p>
        <w:p w14:paraId="1F7B6652" w14:textId="46020E69" w:rsidR="00AD66EE" w:rsidRDefault="00AD66EE">
          <w:pPr>
            <w:pStyle w:val="TOC2"/>
            <w:tabs>
              <w:tab w:val="right" w:leader="dot" w:pos="9016"/>
            </w:tabs>
            <w:rPr>
              <w:noProof/>
            </w:rPr>
          </w:pPr>
          <w:hyperlink w:anchor="_Toc232112545" w:history="1">
            <w:r w:rsidRPr="008A7089">
              <w:rPr>
                <w:rStyle w:val="Hyperlink"/>
                <w:rFonts w:ascii="Baskerville Old Face" w:hAnsi="Baskerville Old Face"/>
                <w:b/>
                <w:bCs/>
                <w:noProof/>
              </w:rPr>
              <w:t>Year One Sustaining Identity Development and Organisational Commitment</w:t>
            </w:r>
            <w:r>
              <w:rPr>
                <w:noProof/>
                <w:webHidden/>
              </w:rPr>
              <w:tab/>
            </w:r>
            <w:r>
              <w:rPr>
                <w:noProof/>
                <w:webHidden/>
              </w:rPr>
              <w:fldChar w:fldCharType="begin"/>
            </w:r>
            <w:r>
              <w:rPr>
                <w:noProof/>
                <w:webHidden/>
              </w:rPr>
              <w:instrText xml:space="preserve"> PAGEREF _Toc232112545 \h </w:instrText>
            </w:r>
            <w:r>
              <w:rPr>
                <w:noProof/>
                <w:webHidden/>
              </w:rPr>
            </w:r>
            <w:r>
              <w:rPr>
                <w:noProof/>
                <w:webHidden/>
              </w:rPr>
              <w:fldChar w:fldCharType="separate"/>
            </w:r>
            <w:r>
              <w:rPr>
                <w:noProof/>
                <w:webHidden/>
              </w:rPr>
              <w:t>6</w:t>
            </w:r>
            <w:r>
              <w:rPr>
                <w:noProof/>
                <w:webHidden/>
              </w:rPr>
              <w:fldChar w:fldCharType="end"/>
            </w:r>
          </w:hyperlink>
        </w:p>
        <w:p w14:paraId="5C111262" w14:textId="237453E4" w:rsidR="00AD66EE" w:rsidRDefault="00AD66EE">
          <w:pPr>
            <w:pStyle w:val="TOC1"/>
            <w:tabs>
              <w:tab w:val="right" w:leader="dot" w:pos="9016"/>
            </w:tabs>
            <w:rPr>
              <w:noProof/>
            </w:rPr>
          </w:pPr>
          <w:hyperlink w:anchor="_Toc232112546" w:history="1">
            <w:r w:rsidRPr="008A7089">
              <w:rPr>
                <w:rStyle w:val="Hyperlink"/>
                <w:rFonts w:ascii="Baskerville Old Face" w:hAnsi="Baskerville Old Face"/>
                <w:noProof/>
              </w:rPr>
              <w:t>JOB DESIGN Architecture for strategic renewal</w:t>
            </w:r>
            <w:r>
              <w:rPr>
                <w:noProof/>
                <w:webHidden/>
              </w:rPr>
              <w:tab/>
            </w:r>
            <w:r>
              <w:rPr>
                <w:noProof/>
                <w:webHidden/>
              </w:rPr>
              <w:fldChar w:fldCharType="begin"/>
            </w:r>
            <w:r>
              <w:rPr>
                <w:noProof/>
                <w:webHidden/>
              </w:rPr>
              <w:instrText xml:space="preserve"> PAGEREF _Toc232112546 \h </w:instrText>
            </w:r>
            <w:r>
              <w:rPr>
                <w:noProof/>
                <w:webHidden/>
              </w:rPr>
            </w:r>
            <w:r>
              <w:rPr>
                <w:noProof/>
                <w:webHidden/>
              </w:rPr>
              <w:fldChar w:fldCharType="separate"/>
            </w:r>
            <w:r>
              <w:rPr>
                <w:noProof/>
                <w:webHidden/>
              </w:rPr>
              <w:t>7</w:t>
            </w:r>
            <w:r>
              <w:rPr>
                <w:noProof/>
                <w:webHidden/>
              </w:rPr>
              <w:fldChar w:fldCharType="end"/>
            </w:r>
          </w:hyperlink>
        </w:p>
        <w:p w14:paraId="15FB1518" w14:textId="1572CA37" w:rsidR="00AD66EE" w:rsidRDefault="00AD66EE">
          <w:pPr>
            <w:pStyle w:val="TOC1"/>
            <w:tabs>
              <w:tab w:val="right" w:leader="dot" w:pos="9016"/>
            </w:tabs>
            <w:rPr>
              <w:noProof/>
            </w:rPr>
          </w:pPr>
          <w:hyperlink w:anchor="_Toc232112547" w:history="1">
            <w:r w:rsidRPr="008A7089">
              <w:rPr>
                <w:rStyle w:val="Hyperlink"/>
                <w:rFonts w:ascii="Baskerville Old Face" w:hAnsi="Baskerville Old Face"/>
                <w:noProof/>
              </w:rPr>
              <w:t>JSM as the Foundation</w:t>
            </w:r>
            <w:r>
              <w:rPr>
                <w:noProof/>
                <w:webHidden/>
              </w:rPr>
              <w:tab/>
            </w:r>
            <w:r>
              <w:rPr>
                <w:noProof/>
                <w:webHidden/>
              </w:rPr>
              <w:fldChar w:fldCharType="begin"/>
            </w:r>
            <w:r>
              <w:rPr>
                <w:noProof/>
                <w:webHidden/>
              </w:rPr>
              <w:instrText xml:space="preserve"> PAGEREF _Toc232112547 \h </w:instrText>
            </w:r>
            <w:r>
              <w:rPr>
                <w:noProof/>
                <w:webHidden/>
              </w:rPr>
            </w:r>
            <w:r>
              <w:rPr>
                <w:noProof/>
                <w:webHidden/>
              </w:rPr>
              <w:fldChar w:fldCharType="separate"/>
            </w:r>
            <w:r>
              <w:rPr>
                <w:noProof/>
                <w:webHidden/>
              </w:rPr>
              <w:t>7</w:t>
            </w:r>
            <w:r>
              <w:rPr>
                <w:noProof/>
                <w:webHidden/>
              </w:rPr>
              <w:fldChar w:fldCharType="end"/>
            </w:r>
          </w:hyperlink>
        </w:p>
        <w:p w14:paraId="5C64E4E0" w14:textId="5DB093E9" w:rsidR="00AD66EE" w:rsidRDefault="00AD66EE">
          <w:pPr>
            <w:pStyle w:val="TOC1"/>
            <w:tabs>
              <w:tab w:val="right" w:leader="dot" w:pos="9016"/>
            </w:tabs>
            <w:rPr>
              <w:noProof/>
            </w:rPr>
          </w:pPr>
          <w:hyperlink w:anchor="_Toc232112548" w:history="1">
            <w:r w:rsidRPr="008A7089">
              <w:rPr>
                <w:rStyle w:val="Hyperlink"/>
                <w:rFonts w:ascii="Baskerville Old Face" w:hAnsi="Baskerville Old Face"/>
                <w:noProof/>
              </w:rPr>
              <w:t>Job Crafting Theory</w:t>
            </w:r>
            <w:r>
              <w:rPr>
                <w:noProof/>
                <w:webHidden/>
              </w:rPr>
              <w:tab/>
            </w:r>
            <w:r>
              <w:rPr>
                <w:noProof/>
                <w:webHidden/>
              </w:rPr>
              <w:fldChar w:fldCharType="begin"/>
            </w:r>
            <w:r>
              <w:rPr>
                <w:noProof/>
                <w:webHidden/>
              </w:rPr>
              <w:instrText xml:space="preserve"> PAGEREF _Toc232112548 \h </w:instrText>
            </w:r>
            <w:r>
              <w:rPr>
                <w:noProof/>
                <w:webHidden/>
              </w:rPr>
            </w:r>
            <w:r>
              <w:rPr>
                <w:noProof/>
                <w:webHidden/>
              </w:rPr>
              <w:fldChar w:fldCharType="separate"/>
            </w:r>
            <w:r>
              <w:rPr>
                <w:noProof/>
                <w:webHidden/>
              </w:rPr>
              <w:t>8</w:t>
            </w:r>
            <w:r>
              <w:rPr>
                <w:noProof/>
                <w:webHidden/>
              </w:rPr>
              <w:fldChar w:fldCharType="end"/>
            </w:r>
          </w:hyperlink>
        </w:p>
        <w:p w14:paraId="25AD5731" w14:textId="2DFAEBDB" w:rsidR="00AD66EE" w:rsidRDefault="00AD66EE">
          <w:pPr>
            <w:pStyle w:val="TOC1"/>
            <w:tabs>
              <w:tab w:val="right" w:leader="dot" w:pos="9016"/>
            </w:tabs>
            <w:rPr>
              <w:noProof/>
            </w:rPr>
          </w:pPr>
          <w:hyperlink w:anchor="_Toc232112549" w:history="1">
            <w:r w:rsidRPr="008A7089">
              <w:rPr>
                <w:rStyle w:val="Hyperlink"/>
                <w:rFonts w:ascii="Baskerville Old Face" w:hAnsi="Baskerville Old Face"/>
                <w:noProof/>
              </w:rPr>
              <w:t>Skills Based Architecture and Internal Talent Marketplace</w:t>
            </w:r>
            <w:r>
              <w:rPr>
                <w:noProof/>
                <w:webHidden/>
              </w:rPr>
              <w:tab/>
            </w:r>
            <w:r>
              <w:rPr>
                <w:noProof/>
                <w:webHidden/>
              </w:rPr>
              <w:fldChar w:fldCharType="begin"/>
            </w:r>
            <w:r>
              <w:rPr>
                <w:noProof/>
                <w:webHidden/>
              </w:rPr>
              <w:instrText xml:space="preserve"> PAGEREF _Toc232112549 \h </w:instrText>
            </w:r>
            <w:r>
              <w:rPr>
                <w:noProof/>
                <w:webHidden/>
              </w:rPr>
            </w:r>
            <w:r>
              <w:rPr>
                <w:noProof/>
                <w:webHidden/>
              </w:rPr>
              <w:fldChar w:fldCharType="separate"/>
            </w:r>
            <w:r>
              <w:rPr>
                <w:noProof/>
                <w:webHidden/>
              </w:rPr>
              <w:t>8</w:t>
            </w:r>
            <w:r>
              <w:rPr>
                <w:noProof/>
                <w:webHidden/>
              </w:rPr>
              <w:fldChar w:fldCharType="end"/>
            </w:r>
          </w:hyperlink>
        </w:p>
        <w:p w14:paraId="05F6C946" w14:textId="6DBC9D93" w:rsidR="00AD66EE" w:rsidRDefault="00AD66EE">
          <w:pPr>
            <w:pStyle w:val="TOC1"/>
            <w:tabs>
              <w:tab w:val="right" w:leader="dot" w:pos="9016"/>
            </w:tabs>
            <w:rPr>
              <w:noProof/>
            </w:rPr>
          </w:pPr>
          <w:hyperlink w:anchor="_Toc232112550" w:history="1">
            <w:r w:rsidRPr="008A7089">
              <w:rPr>
                <w:rStyle w:val="Hyperlink"/>
                <w:rFonts w:ascii="Baskerville Old Face" w:hAnsi="Baskerville Old Face"/>
                <w:noProof/>
              </w:rPr>
              <w:t>Stimulating Intrinsic Motivation and Supporting Innovation</w:t>
            </w:r>
            <w:r>
              <w:rPr>
                <w:noProof/>
                <w:webHidden/>
              </w:rPr>
              <w:tab/>
            </w:r>
            <w:r>
              <w:rPr>
                <w:noProof/>
                <w:webHidden/>
              </w:rPr>
              <w:fldChar w:fldCharType="begin"/>
            </w:r>
            <w:r>
              <w:rPr>
                <w:noProof/>
                <w:webHidden/>
              </w:rPr>
              <w:instrText xml:space="preserve"> PAGEREF _Toc232112550 \h </w:instrText>
            </w:r>
            <w:r>
              <w:rPr>
                <w:noProof/>
                <w:webHidden/>
              </w:rPr>
            </w:r>
            <w:r>
              <w:rPr>
                <w:noProof/>
                <w:webHidden/>
              </w:rPr>
              <w:fldChar w:fldCharType="separate"/>
            </w:r>
            <w:r>
              <w:rPr>
                <w:noProof/>
                <w:webHidden/>
              </w:rPr>
              <w:t>9</w:t>
            </w:r>
            <w:r>
              <w:rPr>
                <w:noProof/>
                <w:webHidden/>
              </w:rPr>
              <w:fldChar w:fldCharType="end"/>
            </w:r>
          </w:hyperlink>
        </w:p>
        <w:p w14:paraId="67942711" w14:textId="31BA8C2A" w:rsidR="00AD66EE" w:rsidRDefault="00AD66EE">
          <w:pPr>
            <w:pStyle w:val="TOC1"/>
            <w:tabs>
              <w:tab w:val="right" w:leader="dot" w:pos="9016"/>
            </w:tabs>
            <w:rPr>
              <w:noProof/>
            </w:rPr>
          </w:pPr>
          <w:hyperlink w:anchor="_Toc232112551" w:history="1">
            <w:r w:rsidRPr="008A7089">
              <w:rPr>
                <w:rStyle w:val="Hyperlink"/>
                <w:rFonts w:ascii="Baskerville Old Face" w:hAnsi="Baskerville Old Face"/>
                <w:noProof/>
              </w:rPr>
              <w:t>AI as a Decision-Support Tool</w:t>
            </w:r>
            <w:r>
              <w:rPr>
                <w:noProof/>
                <w:webHidden/>
              </w:rPr>
              <w:tab/>
            </w:r>
            <w:r>
              <w:rPr>
                <w:noProof/>
                <w:webHidden/>
              </w:rPr>
              <w:fldChar w:fldCharType="begin"/>
            </w:r>
            <w:r>
              <w:rPr>
                <w:noProof/>
                <w:webHidden/>
              </w:rPr>
              <w:instrText xml:space="preserve"> PAGEREF _Toc232112551 \h </w:instrText>
            </w:r>
            <w:r>
              <w:rPr>
                <w:noProof/>
                <w:webHidden/>
              </w:rPr>
            </w:r>
            <w:r>
              <w:rPr>
                <w:noProof/>
                <w:webHidden/>
              </w:rPr>
              <w:fldChar w:fldCharType="separate"/>
            </w:r>
            <w:r>
              <w:rPr>
                <w:noProof/>
                <w:webHidden/>
              </w:rPr>
              <w:t>9</w:t>
            </w:r>
            <w:r>
              <w:rPr>
                <w:noProof/>
                <w:webHidden/>
              </w:rPr>
              <w:fldChar w:fldCharType="end"/>
            </w:r>
          </w:hyperlink>
        </w:p>
        <w:p w14:paraId="055F24F7" w14:textId="5CA00631" w:rsidR="00AD66EE" w:rsidRDefault="00AD66EE">
          <w:r>
            <w:rPr>
              <w:b/>
              <w:bCs/>
              <w:noProof/>
            </w:rPr>
            <w:fldChar w:fldCharType="end"/>
          </w:r>
        </w:p>
      </w:sdtContent>
    </w:sdt>
    <w:p w14:paraId="3D36530A" w14:textId="4F722A02" w:rsidR="00EA7DEB" w:rsidRDefault="00EA7DEB" w:rsidP="00EA7DEB">
      <w:pPr>
        <w:rPr>
          <w:rFonts w:ascii="Baskerville Old Face" w:hAnsi="Baskerville Old Face" w:cs="Times New Roman"/>
          <w:b/>
          <w:bCs/>
          <w:sz w:val="40"/>
          <w:szCs w:val="40"/>
        </w:rPr>
      </w:pPr>
    </w:p>
    <w:p w14:paraId="0174419D" w14:textId="77777777" w:rsidR="00EA7DEB" w:rsidRDefault="00EA7DEB">
      <w:pPr>
        <w:rPr>
          <w:rFonts w:ascii="Baskerville Old Face" w:hAnsi="Baskerville Old Face" w:cs="Times New Roman"/>
          <w:b/>
          <w:bCs/>
          <w:sz w:val="40"/>
          <w:szCs w:val="40"/>
        </w:rPr>
      </w:pPr>
      <w:r>
        <w:rPr>
          <w:rFonts w:ascii="Baskerville Old Face" w:hAnsi="Baskerville Old Face" w:cs="Times New Roman"/>
          <w:b/>
          <w:bCs/>
          <w:sz w:val="40"/>
          <w:szCs w:val="40"/>
        </w:rPr>
        <w:br w:type="page"/>
      </w:r>
    </w:p>
    <w:p w14:paraId="720D27BB" w14:textId="28D34A32" w:rsidR="00393761" w:rsidRPr="00662D25" w:rsidRDefault="00393761" w:rsidP="003229B9">
      <w:pPr>
        <w:pStyle w:val="Heading1"/>
        <w:rPr>
          <w:rFonts w:ascii="Baskerville Old Face" w:hAnsi="Baskerville Old Face" w:cs="Arial"/>
          <w:b/>
          <w:bCs/>
          <w:color w:val="000000" w:themeColor="text1"/>
        </w:rPr>
      </w:pPr>
      <w:bookmarkStart w:id="0" w:name="_Toc232112538"/>
      <w:r w:rsidRPr="00662D25">
        <w:rPr>
          <w:rFonts w:ascii="Baskerville Old Face" w:hAnsi="Baskerville Old Face" w:cs="Arial"/>
          <w:b/>
          <w:bCs/>
          <w:color w:val="000000" w:themeColor="text1"/>
        </w:rPr>
        <w:lastRenderedPageBreak/>
        <w:t>Introduction:</w:t>
      </w:r>
      <w:bookmarkEnd w:id="0"/>
    </w:p>
    <w:p w14:paraId="33D21A89" w14:textId="77777777" w:rsidR="00E26221" w:rsidRPr="00662D25" w:rsidRDefault="00E26221" w:rsidP="00662D25">
      <w:pPr>
        <w:pStyle w:val="Heading2"/>
        <w:rPr>
          <w:rFonts w:ascii="Baskerville Old Face" w:hAnsi="Baskerville Old Face"/>
          <w:b/>
          <w:bCs/>
          <w:color w:val="000000" w:themeColor="text1"/>
        </w:rPr>
      </w:pPr>
      <w:bookmarkStart w:id="1" w:name="_Toc232112539"/>
      <w:r w:rsidRPr="00662D25">
        <w:rPr>
          <w:rFonts w:ascii="Baskerville Old Face" w:hAnsi="Baskerville Old Face"/>
          <w:b/>
          <w:bCs/>
          <w:color w:val="000000" w:themeColor="text1"/>
        </w:rPr>
        <w:t>Helios Urban Mobility (HUM)</w:t>
      </w:r>
      <w:bookmarkEnd w:id="1"/>
    </w:p>
    <w:p w14:paraId="0B5203BB" w14:textId="35C8327C" w:rsidR="008A24E5" w:rsidRPr="00D376B0" w:rsidRDefault="00D659CB" w:rsidP="00D376B0">
      <w:pPr>
        <w:spacing w:line="360" w:lineRule="auto"/>
        <w:jc w:val="both"/>
        <w:rPr>
          <w:rFonts w:ascii="Arial" w:hAnsi="Arial" w:cs="Arial"/>
          <w:sz w:val="22"/>
          <w:szCs w:val="22"/>
        </w:rPr>
      </w:pPr>
      <w:r w:rsidRPr="00D376B0">
        <w:rPr>
          <w:rFonts w:ascii="Arial" w:hAnsi="Arial" w:cs="Arial"/>
          <w:sz w:val="22"/>
          <w:szCs w:val="22"/>
        </w:rPr>
        <w:t>In knowledge-driven businesses, human capital is increasingly seen as an essential strategic resource that may create a long-term competitive advantage. This is especially noticeable in technology-focused global corporations, where staff dedication, creativity, and knowledge exchange are crucial to organisational success. In its first five years of existence, Helios Urban Mobility (HUM), a European smart-transport company with operations in Singapore, Berlin, and London, has grown significantly. Despite this achievement, the organi</w:t>
      </w:r>
      <w:r w:rsidR="00C618B9">
        <w:rPr>
          <w:rFonts w:ascii="Arial" w:hAnsi="Arial" w:cs="Arial"/>
          <w:sz w:val="22"/>
          <w:szCs w:val="22"/>
        </w:rPr>
        <w:t>s</w:t>
      </w:r>
      <w:r w:rsidRPr="00D376B0">
        <w:rPr>
          <w:rFonts w:ascii="Arial" w:hAnsi="Arial" w:cs="Arial"/>
          <w:sz w:val="22"/>
          <w:szCs w:val="22"/>
        </w:rPr>
        <w:t>ation is currently dealing with a number of interrelated issues, such as poor organisational socialisation, shrinking employee engagement, and rising turnover among recent graduates with great potential. The organi</w:t>
      </w:r>
      <w:r w:rsidR="00F704CA">
        <w:rPr>
          <w:rFonts w:ascii="Arial" w:hAnsi="Arial" w:cs="Arial"/>
          <w:sz w:val="22"/>
          <w:szCs w:val="22"/>
        </w:rPr>
        <w:t>s</w:t>
      </w:r>
      <w:r w:rsidRPr="00D376B0">
        <w:rPr>
          <w:rFonts w:ascii="Arial" w:hAnsi="Arial" w:cs="Arial"/>
          <w:sz w:val="22"/>
          <w:szCs w:val="22"/>
        </w:rPr>
        <w:t>ation's present strategy for integrating and keeping people appears to be lacking, as seen by the average employee ramp-up duration of eight months and engagement score of 54%.</w:t>
      </w:r>
    </w:p>
    <w:p w14:paraId="2F8C0E3E" w14:textId="3B4C711E" w:rsidR="008A24E5" w:rsidRPr="00D376B0" w:rsidRDefault="003B2EE3" w:rsidP="00D376B0">
      <w:pPr>
        <w:spacing w:line="360" w:lineRule="auto"/>
        <w:jc w:val="both"/>
        <w:rPr>
          <w:rFonts w:ascii="Arial" w:hAnsi="Arial" w:cs="Arial"/>
          <w:sz w:val="22"/>
          <w:szCs w:val="22"/>
        </w:rPr>
      </w:pPr>
      <w:r w:rsidRPr="00D376B0">
        <w:rPr>
          <w:rFonts w:ascii="Arial" w:hAnsi="Arial" w:cs="Arial"/>
          <w:sz w:val="22"/>
          <w:szCs w:val="22"/>
        </w:rPr>
        <w:t xml:space="preserve">Common onboarding programs are frequently created to make regulatory compliance and role adjustment easier. However, </w:t>
      </w:r>
      <w:r w:rsidR="004C51C8">
        <w:rPr>
          <w:rFonts w:ascii="Arial" w:hAnsi="Arial" w:cs="Arial"/>
          <w:sz w:val="22"/>
          <w:szCs w:val="22"/>
        </w:rPr>
        <w:t xml:space="preserve">According to Awan and Abbas </w:t>
      </w:r>
      <w:r w:rsidR="00F94D21">
        <w:rPr>
          <w:rFonts w:ascii="Arial" w:hAnsi="Arial" w:cs="Arial"/>
          <w:sz w:val="22"/>
          <w:szCs w:val="22"/>
        </w:rPr>
        <w:t xml:space="preserve">(2025) </w:t>
      </w:r>
      <w:r w:rsidRPr="00D376B0">
        <w:rPr>
          <w:rFonts w:ascii="Arial" w:hAnsi="Arial" w:cs="Arial"/>
          <w:sz w:val="22"/>
          <w:szCs w:val="22"/>
        </w:rPr>
        <w:t xml:space="preserve">current HRM research increasingly maintains that effective employee integration involves a more comprehensive process of organisational socialisation, in which new employees establish an organisational identity, ethical awareness, and a strong commitment to organisational objectives in addition to knowledge and skills. </w:t>
      </w:r>
      <w:r w:rsidR="000049CE">
        <w:rPr>
          <w:rFonts w:ascii="Arial" w:hAnsi="Arial" w:cs="Arial"/>
          <w:sz w:val="22"/>
          <w:szCs w:val="22"/>
        </w:rPr>
        <w:t>Frogeli et al. (2023)</w:t>
      </w:r>
      <w:r w:rsidR="00027C55">
        <w:rPr>
          <w:rFonts w:ascii="Arial" w:hAnsi="Arial" w:cs="Arial"/>
          <w:sz w:val="22"/>
          <w:szCs w:val="22"/>
        </w:rPr>
        <w:t xml:space="preserve"> suggest </w:t>
      </w:r>
      <w:r w:rsidR="00921D9C">
        <w:rPr>
          <w:rFonts w:ascii="Arial" w:hAnsi="Arial" w:cs="Arial"/>
          <w:sz w:val="22"/>
          <w:szCs w:val="22"/>
        </w:rPr>
        <w:t>that</w:t>
      </w:r>
      <w:r w:rsidR="000049CE">
        <w:rPr>
          <w:rFonts w:ascii="Arial" w:hAnsi="Arial" w:cs="Arial"/>
          <w:sz w:val="22"/>
          <w:szCs w:val="22"/>
        </w:rPr>
        <w:t xml:space="preserve"> </w:t>
      </w:r>
      <w:r w:rsidR="00921D9C">
        <w:rPr>
          <w:rFonts w:ascii="Arial" w:hAnsi="Arial" w:cs="Arial"/>
          <w:sz w:val="22"/>
          <w:szCs w:val="22"/>
        </w:rPr>
        <w:t>s</w:t>
      </w:r>
      <w:r w:rsidRPr="00D376B0">
        <w:rPr>
          <w:rFonts w:ascii="Arial" w:hAnsi="Arial" w:cs="Arial"/>
          <w:sz w:val="22"/>
          <w:szCs w:val="22"/>
        </w:rPr>
        <w:t>ocialisation becomes increasingly more important in global corporations like Helios, where staff members must negotiate several cultural contexts while still creating a common organisational identity.</w:t>
      </w:r>
    </w:p>
    <w:p w14:paraId="5DA9BC17" w14:textId="33EA1344" w:rsidR="00F92D17" w:rsidRPr="00662D25" w:rsidRDefault="00341392" w:rsidP="00662D25">
      <w:pPr>
        <w:spacing w:line="360" w:lineRule="auto"/>
        <w:jc w:val="both"/>
        <w:rPr>
          <w:rFonts w:ascii="Arial" w:hAnsi="Arial" w:cs="Arial"/>
          <w:sz w:val="22"/>
          <w:szCs w:val="22"/>
        </w:rPr>
      </w:pPr>
      <w:r w:rsidRPr="00D376B0">
        <w:rPr>
          <w:rFonts w:ascii="Arial" w:hAnsi="Arial" w:cs="Arial"/>
          <w:sz w:val="22"/>
          <w:szCs w:val="22"/>
        </w:rPr>
        <w:t>Through the frameworks of identity construction concepts, psychological contract theory, and Van Maanen and Schein's socialisation theory, this research critically assesses strategic organisational socialisation and conventional onboarding. In order to promote strategy revitalisation and long-term organisational sustainability, it subsequently suggests a strategy Identity Socialisation Framework for Helios and describes methods for fostering organisational identity, ethical professionalism, and a business activist attitude.</w:t>
      </w:r>
    </w:p>
    <w:p w14:paraId="7FC8695C" w14:textId="7B620918" w:rsidR="001576FE" w:rsidRPr="00662D25" w:rsidRDefault="00BD7B0D" w:rsidP="00662D25">
      <w:pPr>
        <w:pStyle w:val="Heading1"/>
        <w:rPr>
          <w:rFonts w:ascii="Baskerville Old Face" w:hAnsi="Baskerville Old Face"/>
          <w:b/>
          <w:bCs/>
          <w:color w:val="000000" w:themeColor="text1"/>
          <w:sz w:val="36"/>
          <w:szCs w:val="36"/>
        </w:rPr>
      </w:pPr>
      <w:bookmarkStart w:id="2" w:name="_Toc232112540"/>
      <w:r w:rsidRPr="00662D25">
        <w:rPr>
          <w:rFonts w:ascii="Baskerville Old Face" w:hAnsi="Baskerville Old Face"/>
          <w:b/>
          <w:bCs/>
          <w:color w:val="000000" w:themeColor="text1"/>
          <w:sz w:val="36"/>
          <w:szCs w:val="36"/>
        </w:rPr>
        <w:t xml:space="preserve">Traditional </w:t>
      </w:r>
      <w:r w:rsidR="0050572F" w:rsidRPr="00662D25">
        <w:rPr>
          <w:rFonts w:ascii="Baskerville Old Face" w:hAnsi="Baskerville Old Face"/>
          <w:b/>
          <w:bCs/>
          <w:color w:val="000000" w:themeColor="text1"/>
          <w:sz w:val="36"/>
          <w:szCs w:val="36"/>
        </w:rPr>
        <w:t>onboarding versus strategic organisational socialisation</w:t>
      </w:r>
      <w:bookmarkEnd w:id="2"/>
    </w:p>
    <w:p w14:paraId="5CCA0F06" w14:textId="50B6F99D" w:rsidR="001576FE" w:rsidRDefault="007A705E" w:rsidP="00D376B0">
      <w:pPr>
        <w:spacing w:line="360" w:lineRule="auto"/>
        <w:jc w:val="both"/>
        <w:rPr>
          <w:rFonts w:ascii="Arial" w:hAnsi="Arial" w:cs="Arial"/>
          <w:sz w:val="22"/>
          <w:szCs w:val="22"/>
        </w:rPr>
      </w:pPr>
      <w:r>
        <w:rPr>
          <w:rFonts w:ascii="Arial" w:hAnsi="Arial" w:cs="Arial"/>
          <w:sz w:val="22"/>
          <w:szCs w:val="22"/>
        </w:rPr>
        <w:t xml:space="preserve">According to </w:t>
      </w:r>
      <w:r w:rsidR="00BF185E">
        <w:rPr>
          <w:rFonts w:ascii="Arial" w:hAnsi="Arial" w:cs="Arial"/>
          <w:sz w:val="22"/>
          <w:szCs w:val="22"/>
        </w:rPr>
        <w:t xml:space="preserve">Frogeli, Jenner and Gustavsson (2023) </w:t>
      </w:r>
      <w:r w:rsidR="001576FE" w:rsidRPr="00D376B0">
        <w:rPr>
          <w:rFonts w:ascii="Arial" w:hAnsi="Arial" w:cs="Arial"/>
          <w:sz w:val="22"/>
          <w:szCs w:val="22"/>
        </w:rPr>
        <w:t xml:space="preserve">The term "traditional onboarding" describes a set of organisational procedures intended to introduce newly hired employees with workplace policies, procedures, and job expectations through programs including compliance training, induction programs, and system demonstrations.   Because they give new hires the knowledge they need to do their jobs well, these methods have historically been seen as </w:t>
      </w:r>
      <w:r w:rsidR="001576FE" w:rsidRPr="00D376B0">
        <w:rPr>
          <w:rFonts w:ascii="Arial" w:hAnsi="Arial" w:cs="Arial"/>
          <w:sz w:val="22"/>
          <w:szCs w:val="22"/>
        </w:rPr>
        <w:lastRenderedPageBreak/>
        <w:t>adequate tools for employee integration. This idea is being challenged more and more by modern HRM research, which claims that onboarding frequently ignores the more complex social and psychological aspects involved in professional entrance in favour of administrative and operational adjustment. In addition to learning duties, new hires also learn how to engage with coworkers, navigate organisational culture, and develop their professional identities at work.</w:t>
      </w:r>
      <w:r w:rsidR="00940D95" w:rsidRPr="00D376B0">
        <w:rPr>
          <w:sz w:val="22"/>
          <w:szCs w:val="22"/>
        </w:rPr>
        <w:t xml:space="preserve"> </w:t>
      </w:r>
      <w:r w:rsidR="00940D95" w:rsidRPr="00D376B0">
        <w:rPr>
          <w:rFonts w:ascii="Arial" w:hAnsi="Arial" w:cs="Arial"/>
          <w:sz w:val="22"/>
          <w:szCs w:val="22"/>
        </w:rPr>
        <w:t>As a result, onboarding should be seen as only one part of a larger corporate socialisation process that aims to foster long-term organisational membership, dedication, and engagement.</w:t>
      </w:r>
    </w:p>
    <w:p w14:paraId="41BB0DCE" w14:textId="3687F0B5" w:rsidR="009475F8" w:rsidRPr="00662D25" w:rsidRDefault="00780532" w:rsidP="00662D25">
      <w:pPr>
        <w:pStyle w:val="Heading1"/>
        <w:rPr>
          <w:rFonts w:ascii="Baskerville Old Face" w:hAnsi="Baskerville Old Face"/>
          <w:b/>
          <w:bCs/>
          <w:color w:val="000000" w:themeColor="text1"/>
          <w:sz w:val="36"/>
          <w:szCs w:val="36"/>
        </w:rPr>
      </w:pPr>
      <w:bookmarkStart w:id="3" w:name="_Toc232112541"/>
      <w:r w:rsidRPr="00662D25">
        <w:rPr>
          <w:rFonts w:ascii="Baskerville Old Face" w:hAnsi="Baskerville Old Face"/>
          <w:b/>
          <w:bCs/>
          <w:color w:val="000000" w:themeColor="text1"/>
          <w:sz w:val="36"/>
          <w:szCs w:val="36"/>
        </w:rPr>
        <w:t>Relevant</w:t>
      </w:r>
      <w:r w:rsidR="009475F8" w:rsidRPr="00662D25">
        <w:rPr>
          <w:rFonts w:ascii="Baskerville Old Face" w:hAnsi="Baskerville Old Face"/>
          <w:b/>
          <w:bCs/>
          <w:color w:val="000000" w:themeColor="text1"/>
          <w:sz w:val="36"/>
          <w:szCs w:val="36"/>
        </w:rPr>
        <w:t xml:space="preserve"> Theories</w:t>
      </w:r>
      <w:bookmarkEnd w:id="3"/>
    </w:p>
    <w:p w14:paraId="4DE993AD" w14:textId="0706CDFD" w:rsidR="0027655B" w:rsidRDefault="00B522BE" w:rsidP="00D376B0">
      <w:pPr>
        <w:spacing w:line="360" w:lineRule="auto"/>
        <w:jc w:val="both"/>
        <w:rPr>
          <w:rFonts w:ascii="Arial" w:hAnsi="Arial" w:cs="Arial"/>
          <w:sz w:val="22"/>
          <w:szCs w:val="22"/>
        </w:rPr>
      </w:pPr>
      <w:r>
        <w:rPr>
          <w:rFonts w:ascii="Arial" w:hAnsi="Arial" w:cs="Arial"/>
          <w:sz w:val="22"/>
          <w:szCs w:val="22"/>
        </w:rPr>
        <w:t xml:space="preserve">According to Tuttle (2002) </w:t>
      </w:r>
      <w:r w:rsidR="0027655B" w:rsidRPr="0027655B">
        <w:rPr>
          <w:rFonts w:ascii="Arial" w:hAnsi="Arial" w:cs="Arial"/>
          <w:sz w:val="22"/>
          <w:szCs w:val="22"/>
        </w:rPr>
        <w:t>A useful starting point for recognising how organisations support immigrant adjustment through organised socialisation strategies is the organisational socialisation framework created by Van Maanen and Schein</w:t>
      </w:r>
      <w:r w:rsidR="0017630F">
        <w:rPr>
          <w:rFonts w:ascii="Arial" w:hAnsi="Arial" w:cs="Arial"/>
          <w:sz w:val="22"/>
          <w:szCs w:val="22"/>
        </w:rPr>
        <w:t xml:space="preserve"> (1979)</w:t>
      </w:r>
      <w:r w:rsidR="0027655B" w:rsidRPr="0027655B">
        <w:rPr>
          <w:rFonts w:ascii="Arial" w:hAnsi="Arial" w:cs="Arial"/>
          <w:sz w:val="22"/>
          <w:szCs w:val="22"/>
        </w:rPr>
        <w:t>. Nevertheless, the model may not accurately represent the realities of modern knowledge-intensive businesses because it was created in rather stable organisational environments. Highly regimented socialisation can improve role clarity and integration in a fast-paced, innovative organization like Helios, but it may also limit employee agency, flexibility, and creativity. Therefore, Helios should take a hybrid strategy that incorporates organisational direction with chances for cooperation, ongoing learning, and active employee engagement in the socialisation process rather than depending exclusively on formal socialisation procedures.</w:t>
      </w:r>
    </w:p>
    <w:p w14:paraId="7C25549D" w14:textId="71D68642" w:rsidR="007C2EE4" w:rsidRDefault="00797C28" w:rsidP="00D376B0">
      <w:pPr>
        <w:spacing w:line="360" w:lineRule="auto"/>
        <w:jc w:val="both"/>
        <w:rPr>
          <w:rFonts w:ascii="Arial" w:hAnsi="Arial" w:cs="Arial"/>
          <w:sz w:val="22"/>
          <w:szCs w:val="22"/>
        </w:rPr>
      </w:pPr>
      <w:r w:rsidRPr="00D376B0">
        <w:rPr>
          <w:rFonts w:ascii="Arial" w:hAnsi="Arial" w:cs="Arial"/>
          <w:sz w:val="22"/>
          <w:szCs w:val="22"/>
        </w:rPr>
        <w:t xml:space="preserve">Additional understanding of the shortcomings of conventional onboarding may be gained from Identity Construction Theory and Psychological Contract Theory. Rousseau (1995) contends that, especially in the early phases of employment, workers form subjective expectations about the reciprocal duties between themselves and their employers. Conventional onboarding programs frequently prioritise information transmission over expectation management, which raises the possibility of a psychological contract violation when recruiting promises are not met by organisational reality. This might help to explain why Helios has a high turnover rate among recent graduates who may join the company hoping for significant job experiences and quick development chances. </w:t>
      </w:r>
    </w:p>
    <w:p w14:paraId="2ED48CC6" w14:textId="0E5FF336" w:rsidR="00062CC9" w:rsidRPr="00D376B0" w:rsidRDefault="00797C28" w:rsidP="00D376B0">
      <w:pPr>
        <w:spacing w:line="360" w:lineRule="auto"/>
        <w:jc w:val="both"/>
        <w:rPr>
          <w:rFonts w:ascii="Arial" w:hAnsi="Arial" w:cs="Arial"/>
          <w:sz w:val="22"/>
          <w:szCs w:val="22"/>
        </w:rPr>
      </w:pPr>
      <w:r w:rsidRPr="00D376B0">
        <w:rPr>
          <w:rFonts w:ascii="Arial" w:hAnsi="Arial" w:cs="Arial"/>
          <w:sz w:val="22"/>
          <w:szCs w:val="22"/>
        </w:rPr>
        <w:t>According to Alvesson and Willmott (2002), Identity Construction Theory contends that participation in an organization is a continuous process in which people negotiate and form a sense of who they are.</w:t>
      </w:r>
      <w:r w:rsidR="002D2822" w:rsidRPr="00D376B0">
        <w:rPr>
          <w:sz w:val="22"/>
          <w:szCs w:val="22"/>
        </w:rPr>
        <w:t xml:space="preserve"> </w:t>
      </w:r>
      <w:r w:rsidR="002D2822" w:rsidRPr="00D376B0">
        <w:rPr>
          <w:rFonts w:ascii="Arial" w:hAnsi="Arial" w:cs="Arial"/>
          <w:sz w:val="22"/>
          <w:szCs w:val="22"/>
        </w:rPr>
        <w:t xml:space="preserve">In order to assist </w:t>
      </w:r>
      <w:r w:rsidR="00253CE0" w:rsidRPr="00D376B0">
        <w:rPr>
          <w:rFonts w:ascii="Arial" w:hAnsi="Arial" w:cs="Arial"/>
          <w:sz w:val="22"/>
          <w:szCs w:val="22"/>
        </w:rPr>
        <w:t>workers,</w:t>
      </w:r>
      <w:r w:rsidR="002D2822" w:rsidRPr="00D376B0">
        <w:rPr>
          <w:rFonts w:ascii="Arial" w:hAnsi="Arial" w:cs="Arial"/>
          <w:sz w:val="22"/>
          <w:szCs w:val="22"/>
        </w:rPr>
        <w:t xml:space="preserve"> integrate personal beliefs with organisational purpose, socialisation must go beyond job familiarisation for Helios, whose goal is centred on sustainable urban transportation and technology innovation. Excessive identity control, however, may diminish employee autonomy and hinder critical thinking. Helios should thus take a deliberate approach to socialisation that strikes a balance between employee voice and </w:t>
      </w:r>
      <w:r w:rsidR="002D2822" w:rsidRPr="00D376B0">
        <w:rPr>
          <w:rFonts w:ascii="Arial" w:hAnsi="Arial" w:cs="Arial"/>
          <w:sz w:val="22"/>
          <w:szCs w:val="22"/>
        </w:rPr>
        <w:lastRenderedPageBreak/>
        <w:t>organisational identity, encouraging both constructive challenge and dedication. When taken as a whole, these viewpoints show that Helios' existing human capital issues cannot be resolved by traditional onboarding alone; instead, a more all-encompassing strategy incorporating behavioural modification, expectation management, and identity creation is needed.</w:t>
      </w:r>
    </w:p>
    <w:p w14:paraId="46B46536" w14:textId="7991674E" w:rsidR="00E84B69" w:rsidRPr="00F11854" w:rsidRDefault="00E84B69" w:rsidP="00F11854">
      <w:pPr>
        <w:pStyle w:val="Heading1"/>
        <w:rPr>
          <w:rFonts w:ascii="Baskerville Old Face" w:hAnsi="Baskerville Old Face"/>
          <w:b/>
          <w:bCs/>
          <w:color w:val="000000" w:themeColor="text1"/>
          <w:sz w:val="36"/>
          <w:szCs w:val="36"/>
        </w:rPr>
      </w:pPr>
      <w:bookmarkStart w:id="4" w:name="_Toc232112542"/>
      <w:r w:rsidRPr="00F11854">
        <w:rPr>
          <w:rFonts w:ascii="Baskerville Old Face" w:hAnsi="Baskerville Old Face"/>
          <w:b/>
          <w:bCs/>
          <w:color w:val="000000" w:themeColor="text1"/>
          <w:sz w:val="36"/>
          <w:szCs w:val="36"/>
        </w:rPr>
        <w:t>Designing a Strategic Socialisation Framework for Helios Urban Mobility</w:t>
      </w:r>
      <w:bookmarkEnd w:id="4"/>
    </w:p>
    <w:p w14:paraId="552DC55B" w14:textId="37219C16" w:rsidR="00F11C34" w:rsidRPr="00D376B0" w:rsidRDefault="00E87862" w:rsidP="00D376B0">
      <w:pPr>
        <w:spacing w:line="360" w:lineRule="auto"/>
        <w:jc w:val="both"/>
        <w:rPr>
          <w:rFonts w:ascii="Arial" w:hAnsi="Arial" w:cs="Arial"/>
          <w:sz w:val="22"/>
          <w:szCs w:val="22"/>
        </w:rPr>
      </w:pPr>
      <w:r w:rsidRPr="00D376B0">
        <w:rPr>
          <w:rFonts w:ascii="Arial" w:hAnsi="Arial" w:cs="Arial"/>
          <w:sz w:val="22"/>
          <w:szCs w:val="22"/>
        </w:rPr>
        <w:t xml:space="preserve">The organisational difficulties Helios is encountering suggest that a carefully thought-out socialisation architecture is required instead of traditional onboarding. </w:t>
      </w:r>
      <w:r w:rsidR="005313D5">
        <w:rPr>
          <w:rFonts w:ascii="Arial" w:hAnsi="Arial" w:cs="Arial"/>
          <w:sz w:val="22"/>
          <w:szCs w:val="22"/>
        </w:rPr>
        <w:t xml:space="preserve">According to Woodrow </w:t>
      </w:r>
      <w:r w:rsidR="007558D0">
        <w:rPr>
          <w:rFonts w:ascii="Arial" w:hAnsi="Arial" w:cs="Arial"/>
          <w:sz w:val="22"/>
          <w:szCs w:val="22"/>
        </w:rPr>
        <w:t xml:space="preserve">and Guest (2020) </w:t>
      </w:r>
      <w:r w:rsidRPr="00D376B0">
        <w:rPr>
          <w:rFonts w:ascii="Arial" w:hAnsi="Arial" w:cs="Arial"/>
          <w:sz w:val="22"/>
          <w:szCs w:val="22"/>
        </w:rPr>
        <w:t>Socialisation should be seen as a long-term capability-building process rather than a short-term induction activity given the organization's prolonged ramp-up periods, falling engagement ratings, and loss of high-potential people. As a result, this framework incorporates ideas from psychological contract theory, organisational socialisation theory, and identity construction research to support the development of employees who are in line with Helios' strategic goal, help newcomers adjust, and strengthen organisational identification. Through the integration of learning, connection building, and identity development across the employee lifecycle, the framework seeks to grow new hires into devoted organisational citizens who can enhance stakeholder value and organisational success.</w:t>
      </w:r>
    </w:p>
    <w:p w14:paraId="1820C76E" w14:textId="639BF9B7" w:rsidR="00062CC9" w:rsidRPr="00F11854" w:rsidRDefault="00344A98" w:rsidP="00F11854">
      <w:pPr>
        <w:pStyle w:val="Heading1"/>
        <w:rPr>
          <w:rFonts w:ascii="Baskerville Old Face" w:hAnsi="Baskerville Old Face"/>
          <w:b/>
          <w:bCs/>
          <w:color w:val="000000" w:themeColor="text1"/>
          <w:sz w:val="36"/>
          <w:szCs w:val="36"/>
        </w:rPr>
      </w:pPr>
      <w:bookmarkStart w:id="5" w:name="_Toc232112543"/>
      <w:r w:rsidRPr="00F11854">
        <w:rPr>
          <w:rFonts w:ascii="Baskerville Old Face" w:hAnsi="Baskerville Old Face"/>
          <w:b/>
          <w:bCs/>
          <w:color w:val="000000" w:themeColor="text1"/>
          <w:sz w:val="36"/>
          <w:szCs w:val="36"/>
        </w:rPr>
        <w:t>Establishing Commitment and Lowering Uncertainty During Pre-boarding</w:t>
      </w:r>
      <w:bookmarkEnd w:id="5"/>
    </w:p>
    <w:p w14:paraId="03E1F9C7" w14:textId="6ADD2759" w:rsidR="00BE6AC1" w:rsidRPr="00D376B0" w:rsidRDefault="00F11C34" w:rsidP="00D376B0">
      <w:pPr>
        <w:spacing w:line="360" w:lineRule="auto"/>
        <w:jc w:val="both"/>
        <w:rPr>
          <w:rFonts w:ascii="Arial" w:hAnsi="Arial" w:cs="Arial"/>
          <w:sz w:val="22"/>
          <w:szCs w:val="22"/>
        </w:rPr>
      </w:pPr>
      <w:r w:rsidRPr="00D376B0">
        <w:rPr>
          <w:rFonts w:ascii="Arial" w:hAnsi="Arial" w:cs="Arial"/>
          <w:sz w:val="22"/>
          <w:szCs w:val="22"/>
        </w:rPr>
        <w:t xml:space="preserve">In order to mitigate Helios' protracted ramp-up phase and graduate attrition, new recruits should have access to a digital onboarding platform that includes role-specific knowledge, organisational resources, and senior leaders' introductions. </w:t>
      </w:r>
      <w:r w:rsidR="00891AB0">
        <w:rPr>
          <w:rFonts w:ascii="Arial" w:hAnsi="Arial" w:cs="Arial"/>
          <w:sz w:val="22"/>
          <w:szCs w:val="22"/>
        </w:rPr>
        <w:t xml:space="preserve">According to Yue et al. (2024) </w:t>
      </w:r>
      <w:r w:rsidRPr="00D376B0">
        <w:rPr>
          <w:rFonts w:ascii="Arial" w:hAnsi="Arial" w:cs="Arial"/>
          <w:sz w:val="22"/>
          <w:szCs w:val="22"/>
        </w:rPr>
        <w:t>In addition to lowering anxiety about the transition into employment, founder films outlining Helios' aim in sustainable urban transportation can assist create an early connection with the organization's purpose and values.</w:t>
      </w:r>
    </w:p>
    <w:p w14:paraId="58486A5F" w14:textId="77777777" w:rsidR="00042A2B" w:rsidRPr="00D376B0" w:rsidRDefault="00BE6AC1" w:rsidP="00D376B0">
      <w:pPr>
        <w:spacing w:line="360" w:lineRule="auto"/>
        <w:jc w:val="both"/>
        <w:rPr>
          <w:rFonts w:ascii="Arial" w:hAnsi="Arial" w:cs="Arial"/>
          <w:sz w:val="22"/>
          <w:szCs w:val="22"/>
        </w:rPr>
      </w:pPr>
      <w:r w:rsidRPr="00D376B0">
        <w:rPr>
          <w:rFonts w:ascii="Arial" w:hAnsi="Arial" w:cs="Arial"/>
          <w:sz w:val="22"/>
          <w:szCs w:val="22"/>
        </w:rPr>
        <w:t xml:space="preserve">A qualified peer mentor should also be appointed to each newcomer in order to support the development of early relationships and offer informal coaching. Stakeholder impact stories illustrating how Helios' AI-enabled mobility solutions improve urban transport and environmental sustainability should also be included in the pre-boarding program. These activities assist early organisational identification by encouraging newcomers to see their work as contributing to wider social goals rather than just carrying out technical duties. </w:t>
      </w:r>
    </w:p>
    <w:p w14:paraId="553E92C8" w14:textId="7B34F3C8" w:rsidR="00042A2B" w:rsidRPr="00D376B0" w:rsidRDefault="00034DE3" w:rsidP="00D376B0">
      <w:pPr>
        <w:spacing w:line="360" w:lineRule="auto"/>
        <w:jc w:val="both"/>
        <w:rPr>
          <w:rFonts w:ascii="Arial" w:hAnsi="Arial" w:cs="Arial"/>
          <w:sz w:val="22"/>
          <w:szCs w:val="22"/>
        </w:rPr>
      </w:pPr>
      <w:r>
        <w:rPr>
          <w:rFonts w:ascii="Arial" w:hAnsi="Arial" w:cs="Arial"/>
          <w:sz w:val="22"/>
          <w:szCs w:val="22"/>
        </w:rPr>
        <w:t>According to Woodrow</w:t>
      </w:r>
      <w:r w:rsidR="006F591C">
        <w:rPr>
          <w:rFonts w:ascii="Arial" w:hAnsi="Arial" w:cs="Arial"/>
          <w:sz w:val="22"/>
          <w:szCs w:val="22"/>
        </w:rPr>
        <w:t xml:space="preserve">, Erdem and Guest (2024) </w:t>
      </w:r>
      <w:r w:rsidR="00042A2B" w:rsidRPr="00D376B0">
        <w:rPr>
          <w:rFonts w:ascii="Arial" w:hAnsi="Arial" w:cs="Arial"/>
          <w:sz w:val="22"/>
          <w:szCs w:val="22"/>
        </w:rPr>
        <w:t xml:space="preserve">Pre-boarding is crucial from a theoretical standpoint as psychological contracts start to take shape prior to official organisational </w:t>
      </w:r>
      <w:r w:rsidR="00042A2B" w:rsidRPr="00D376B0">
        <w:rPr>
          <w:rFonts w:ascii="Arial" w:hAnsi="Arial" w:cs="Arial"/>
          <w:sz w:val="22"/>
          <w:szCs w:val="22"/>
        </w:rPr>
        <w:lastRenderedPageBreak/>
        <w:t>admission. Recruitment and pre-entry contacts create expectations for career advancement, organisational support, and value alignment. Helios may reduce feelings of psychological contract violations, increase trust, and provide the groundwork for greater commitment and long-term retention by offering accurate information, open communication, and social interaction chances.</w:t>
      </w:r>
    </w:p>
    <w:p w14:paraId="45AAD985" w14:textId="3D3D1851" w:rsidR="00DA2E30" w:rsidRPr="00F11854" w:rsidRDefault="00F450D1" w:rsidP="00F11854">
      <w:pPr>
        <w:pStyle w:val="Heading1"/>
        <w:rPr>
          <w:rFonts w:ascii="Baskerville Old Face" w:hAnsi="Baskerville Old Face"/>
          <w:b/>
          <w:bCs/>
          <w:color w:val="000000" w:themeColor="text1"/>
          <w:sz w:val="36"/>
          <w:szCs w:val="36"/>
        </w:rPr>
      </w:pPr>
      <w:bookmarkStart w:id="6" w:name="_Toc232112544"/>
      <w:r w:rsidRPr="00F11854">
        <w:rPr>
          <w:rFonts w:ascii="Baskerville Old Face" w:hAnsi="Baskerville Old Face"/>
          <w:b/>
          <w:bCs/>
          <w:color w:val="000000" w:themeColor="text1"/>
          <w:sz w:val="36"/>
          <w:szCs w:val="36"/>
        </w:rPr>
        <w:t>Orientation, Integration and Contribution in First 90 Days</w:t>
      </w:r>
      <w:bookmarkEnd w:id="6"/>
    </w:p>
    <w:p w14:paraId="606375CB" w14:textId="23725CA1" w:rsidR="005A36FF" w:rsidRPr="00D376B0" w:rsidRDefault="00DA2E30" w:rsidP="00D376B0">
      <w:pPr>
        <w:spacing w:line="360" w:lineRule="auto"/>
        <w:jc w:val="both"/>
        <w:rPr>
          <w:rFonts w:ascii="Arial" w:hAnsi="Arial" w:cs="Arial"/>
          <w:sz w:val="22"/>
          <w:szCs w:val="22"/>
        </w:rPr>
      </w:pPr>
      <w:r w:rsidRPr="00D376B0">
        <w:rPr>
          <w:rFonts w:ascii="Arial" w:hAnsi="Arial" w:cs="Arial"/>
          <w:sz w:val="22"/>
          <w:szCs w:val="22"/>
        </w:rPr>
        <w:t xml:space="preserve">According to Van Maanen and Schein's </w:t>
      </w:r>
      <w:r w:rsidR="00B84B74">
        <w:rPr>
          <w:rFonts w:ascii="Arial" w:hAnsi="Arial" w:cs="Arial"/>
          <w:sz w:val="22"/>
          <w:szCs w:val="22"/>
        </w:rPr>
        <w:t xml:space="preserve">(1979) </w:t>
      </w:r>
      <w:r w:rsidRPr="00D376B0">
        <w:rPr>
          <w:rFonts w:ascii="Arial" w:hAnsi="Arial" w:cs="Arial"/>
          <w:sz w:val="22"/>
          <w:szCs w:val="22"/>
        </w:rPr>
        <w:t xml:space="preserve">approach, a sequential socialisation process should be followed over the first ninety days to allow workers to gradually go from organisational entrance to active engagement. Orientation through organised seminars addressing Helios' goal, organisational principles, ethical standards, and stakeholder duties should be the main focus during the first month. </w:t>
      </w:r>
      <w:r w:rsidR="00585DDE">
        <w:rPr>
          <w:rFonts w:ascii="Arial" w:hAnsi="Arial" w:cs="Arial"/>
          <w:sz w:val="22"/>
          <w:szCs w:val="22"/>
        </w:rPr>
        <w:t xml:space="preserve">According to Stahl et al. (2023) </w:t>
      </w:r>
      <w:r w:rsidRPr="00D376B0">
        <w:rPr>
          <w:rFonts w:ascii="Arial" w:hAnsi="Arial" w:cs="Arial"/>
          <w:sz w:val="22"/>
          <w:szCs w:val="22"/>
        </w:rPr>
        <w:t>Training on responsible innovation, data ethics, and sustainability should be included from the beginning given the company's reliance on AI-enabled solutions. This stage facilitates early organisational identification by assisting newcomers in understanding not just organisational requirements but also the larger goal and social effect of their job.</w:t>
      </w:r>
      <w:r w:rsidR="005A36FF" w:rsidRPr="00D376B0">
        <w:rPr>
          <w:rFonts w:ascii="Arial" w:hAnsi="Arial" w:cs="Arial"/>
          <w:sz w:val="22"/>
          <w:szCs w:val="22"/>
        </w:rPr>
        <w:t xml:space="preserve"> </w:t>
      </w:r>
    </w:p>
    <w:p w14:paraId="3CF65457" w14:textId="5018C9A6" w:rsidR="00AB6A51" w:rsidRPr="00D376B0" w:rsidRDefault="001C32CD" w:rsidP="00D376B0">
      <w:pPr>
        <w:spacing w:line="360" w:lineRule="auto"/>
        <w:jc w:val="both"/>
        <w:rPr>
          <w:rFonts w:ascii="Arial" w:hAnsi="Arial" w:cs="Arial"/>
          <w:sz w:val="22"/>
          <w:szCs w:val="22"/>
        </w:rPr>
      </w:pPr>
      <w:r w:rsidRPr="001C32CD">
        <w:rPr>
          <w:rFonts w:ascii="Arial" w:hAnsi="Arial" w:cs="Arial"/>
          <w:sz w:val="22"/>
          <w:szCs w:val="22"/>
        </w:rPr>
        <w:t>Socialisation should concentrate on integration and contribution during the second and third months through peer learning, cross-functional cooperation, and involvement in innovative initiatives. Collaborating with coworkers from other departments and places may improve identity development, organisational belonging, and information exchange, allowing newcomers to see themselves as important members of the organization. In order to improve self-efficacy, organisational commitment, and professional growth, employees should be given ownership of significant initiatives and chances to tackle actual business difficulties. When taken as a whole, these initiatives increase engagement, hasten adjustment, and promote long-term retention at Helios.</w:t>
      </w:r>
    </w:p>
    <w:p w14:paraId="58CB2EF2" w14:textId="178C78B4" w:rsidR="001C3BA2" w:rsidRPr="00FE2C56" w:rsidRDefault="00E950B8" w:rsidP="00FE2C56">
      <w:pPr>
        <w:pStyle w:val="Heading2"/>
        <w:rPr>
          <w:rFonts w:ascii="Baskerville Old Face" w:hAnsi="Baskerville Old Face"/>
          <w:b/>
          <w:bCs/>
          <w:color w:val="000000" w:themeColor="text1"/>
        </w:rPr>
      </w:pPr>
      <w:bookmarkStart w:id="7" w:name="_Toc232112545"/>
      <w:r w:rsidRPr="00FE2C56">
        <w:rPr>
          <w:rFonts w:ascii="Baskerville Old Face" w:hAnsi="Baskerville Old Face"/>
          <w:b/>
          <w:bCs/>
          <w:color w:val="000000" w:themeColor="text1"/>
        </w:rPr>
        <w:t xml:space="preserve">Year One Sustaining </w:t>
      </w:r>
      <w:r w:rsidR="0060558A" w:rsidRPr="00FE2C56">
        <w:rPr>
          <w:rFonts w:ascii="Baskerville Old Face" w:hAnsi="Baskerville Old Face"/>
          <w:b/>
          <w:bCs/>
          <w:color w:val="000000" w:themeColor="text1"/>
        </w:rPr>
        <w:t>Identity Development and Organisational Commitment</w:t>
      </w:r>
      <w:bookmarkEnd w:id="7"/>
    </w:p>
    <w:p w14:paraId="4CF042A6" w14:textId="44BF5345" w:rsidR="008C46C6" w:rsidRPr="00D376B0" w:rsidRDefault="001C3BA2" w:rsidP="00D376B0">
      <w:pPr>
        <w:spacing w:line="360" w:lineRule="auto"/>
        <w:jc w:val="both"/>
        <w:rPr>
          <w:rFonts w:ascii="Arial" w:hAnsi="Arial" w:cs="Arial"/>
          <w:sz w:val="22"/>
          <w:szCs w:val="22"/>
        </w:rPr>
      </w:pPr>
      <w:r w:rsidRPr="00D376B0">
        <w:rPr>
          <w:rFonts w:ascii="Arial" w:hAnsi="Arial" w:cs="Arial"/>
          <w:sz w:val="22"/>
          <w:szCs w:val="22"/>
        </w:rPr>
        <w:t xml:space="preserve">After the first onboarding phase, socialisation should not be considered completed.   Employees tend to interpret organisational events and develop their professional identities during their first year, according to research on identity building. Helios should thus implement a long-term socialisation plan that places an emphasis on career growth, organisational identity, and ongoing learning. </w:t>
      </w:r>
      <w:r w:rsidR="00373582">
        <w:rPr>
          <w:rFonts w:ascii="Arial" w:hAnsi="Arial" w:cs="Arial"/>
          <w:sz w:val="22"/>
          <w:szCs w:val="22"/>
        </w:rPr>
        <w:t xml:space="preserve">According to </w:t>
      </w:r>
      <w:r w:rsidR="00F44664">
        <w:rPr>
          <w:rFonts w:ascii="Arial" w:hAnsi="Arial" w:cs="Arial"/>
          <w:sz w:val="22"/>
          <w:szCs w:val="22"/>
        </w:rPr>
        <w:t xml:space="preserve">Van den Broeck et al. (2011) </w:t>
      </w:r>
      <w:r w:rsidRPr="00D376B0">
        <w:rPr>
          <w:rFonts w:ascii="Arial" w:hAnsi="Arial" w:cs="Arial"/>
          <w:sz w:val="22"/>
          <w:szCs w:val="22"/>
        </w:rPr>
        <w:t>Employees can be encouraged to consider their professional development, career goals, and contribution to Helios' aim of developing sustainable urban mobility solutions through quarterly identity-building seminars</w:t>
      </w:r>
      <w:r w:rsidR="00F44664">
        <w:rPr>
          <w:rFonts w:ascii="Arial" w:hAnsi="Arial" w:cs="Arial"/>
          <w:sz w:val="22"/>
          <w:szCs w:val="22"/>
        </w:rPr>
        <w:t xml:space="preserve">. </w:t>
      </w:r>
      <w:r w:rsidRPr="00D376B0">
        <w:rPr>
          <w:rFonts w:ascii="Arial" w:hAnsi="Arial" w:cs="Arial"/>
          <w:sz w:val="22"/>
          <w:szCs w:val="22"/>
        </w:rPr>
        <w:t>Employees' feeling of purpose and belonging is strengthened by this kind of thinking, which helps match personal beliefs with organisational goals.</w:t>
      </w:r>
      <w:r w:rsidR="008C46C6" w:rsidRPr="00D376B0">
        <w:rPr>
          <w:rFonts w:ascii="Arial" w:hAnsi="Arial" w:cs="Arial"/>
          <w:sz w:val="22"/>
          <w:szCs w:val="22"/>
        </w:rPr>
        <w:t xml:space="preserve"> </w:t>
      </w:r>
    </w:p>
    <w:p w14:paraId="69C43A3B" w14:textId="691012E4" w:rsidR="006960FF" w:rsidRDefault="009A2C00" w:rsidP="00D376B0">
      <w:pPr>
        <w:spacing w:line="360" w:lineRule="auto"/>
        <w:jc w:val="both"/>
        <w:rPr>
          <w:rFonts w:ascii="Arial" w:hAnsi="Arial" w:cs="Arial"/>
          <w:sz w:val="22"/>
          <w:szCs w:val="22"/>
        </w:rPr>
      </w:pPr>
      <w:r w:rsidRPr="009A2C00">
        <w:rPr>
          <w:rFonts w:ascii="Arial" w:hAnsi="Arial" w:cs="Arial"/>
          <w:sz w:val="22"/>
          <w:szCs w:val="22"/>
        </w:rPr>
        <w:lastRenderedPageBreak/>
        <w:t xml:space="preserve">Helios should prolong socialisation into the first year by offering chances for internal mobility, cross-functional cooperation, and involvement in innovative projects in order to maintain interest and lower graduate attrition. </w:t>
      </w:r>
      <w:r w:rsidR="00920585">
        <w:rPr>
          <w:rFonts w:ascii="Arial" w:hAnsi="Arial" w:cs="Arial"/>
          <w:sz w:val="22"/>
          <w:szCs w:val="22"/>
        </w:rPr>
        <w:t>According to Bandyopa</w:t>
      </w:r>
      <w:r w:rsidR="00A7066F">
        <w:rPr>
          <w:rFonts w:ascii="Arial" w:hAnsi="Arial" w:cs="Arial"/>
          <w:sz w:val="22"/>
          <w:szCs w:val="22"/>
        </w:rPr>
        <w:t xml:space="preserve">dhyay and Srivastava (2021) </w:t>
      </w:r>
      <w:r w:rsidRPr="009A2C00">
        <w:rPr>
          <w:rFonts w:ascii="Arial" w:hAnsi="Arial" w:cs="Arial"/>
          <w:sz w:val="22"/>
          <w:szCs w:val="22"/>
        </w:rPr>
        <w:t>By showcasing the organi</w:t>
      </w:r>
      <w:r w:rsidR="000509AC">
        <w:rPr>
          <w:rFonts w:ascii="Arial" w:hAnsi="Arial" w:cs="Arial"/>
          <w:sz w:val="22"/>
          <w:szCs w:val="22"/>
        </w:rPr>
        <w:t>s</w:t>
      </w:r>
      <w:r w:rsidRPr="009A2C00">
        <w:rPr>
          <w:rFonts w:ascii="Arial" w:hAnsi="Arial" w:cs="Arial"/>
          <w:sz w:val="22"/>
          <w:szCs w:val="22"/>
        </w:rPr>
        <w:t>ation's commitment to employee growth, these events build the psychological contract. The development of identities as innovators, moral professionals, and contributors to public value may be further supported by exposure to stakeholders and the wider influence of Helios' technology. Long-term socialisation can thereby improve staff retention, organisational identity, and alignment with Helios' strategic goals.</w:t>
      </w:r>
    </w:p>
    <w:p w14:paraId="5E2FD76A" w14:textId="4660D6B3" w:rsidR="006960FF" w:rsidRPr="00FE2C56" w:rsidRDefault="006960FF" w:rsidP="00FE2C56">
      <w:pPr>
        <w:pStyle w:val="Heading1"/>
        <w:rPr>
          <w:rFonts w:ascii="Baskerville Old Face" w:hAnsi="Baskerville Old Face"/>
          <w:b/>
          <w:bCs/>
          <w:color w:val="000000" w:themeColor="text1"/>
          <w:sz w:val="36"/>
          <w:szCs w:val="36"/>
        </w:rPr>
      </w:pPr>
      <w:bookmarkStart w:id="8" w:name="_Toc232112546"/>
      <w:r w:rsidRPr="00FE2C56">
        <w:rPr>
          <w:rFonts w:ascii="Baskerville Old Face" w:hAnsi="Baskerville Old Face"/>
          <w:b/>
          <w:bCs/>
          <w:color w:val="000000" w:themeColor="text1"/>
          <w:sz w:val="36"/>
          <w:szCs w:val="36"/>
        </w:rPr>
        <w:t>JOB DESIGN</w:t>
      </w:r>
      <w:r w:rsidR="009B2FF5" w:rsidRPr="00FE2C56">
        <w:rPr>
          <w:rFonts w:ascii="Baskerville Old Face" w:hAnsi="Baskerville Old Face"/>
          <w:b/>
          <w:bCs/>
          <w:color w:val="000000" w:themeColor="text1"/>
          <w:sz w:val="36"/>
          <w:szCs w:val="36"/>
        </w:rPr>
        <w:t xml:space="preserve"> </w:t>
      </w:r>
      <w:r w:rsidR="00672653" w:rsidRPr="00FE2C56">
        <w:rPr>
          <w:rFonts w:ascii="Baskerville Old Face" w:hAnsi="Baskerville Old Face"/>
          <w:b/>
          <w:bCs/>
          <w:color w:val="000000" w:themeColor="text1"/>
          <w:sz w:val="36"/>
          <w:szCs w:val="36"/>
        </w:rPr>
        <w:t>Archit</w:t>
      </w:r>
      <w:r w:rsidR="006A322C" w:rsidRPr="00FE2C56">
        <w:rPr>
          <w:rFonts w:ascii="Baskerville Old Face" w:hAnsi="Baskerville Old Face"/>
          <w:b/>
          <w:bCs/>
          <w:color w:val="000000" w:themeColor="text1"/>
          <w:sz w:val="36"/>
          <w:szCs w:val="36"/>
        </w:rPr>
        <w:t>ecture for strategic renewal</w:t>
      </w:r>
      <w:bookmarkEnd w:id="8"/>
      <w:r w:rsidR="006A322C" w:rsidRPr="00FE2C56">
        <w:rPr>
          <w:rFonts w:ascii="Baskerville Old Face" w:hAnsi="Baskerville Old Face"/>
          <w:b/>
          <w:bCs/>
          <w:color w:val="000000" w:themeColor="text1"/>
          <w:sz w:val="36"/>
          <w:szCs w:val="36"/>
        </w:rPr>
        <w:t xml:space="preserve"> </w:t>
      </w:r>
    </w:p>
    <w:p w14:paraId="6815FEE0" w14:textId="3CC1F605" w:rsidR="00276A04" w:rsidRDefault="00276A04" w:rsidP="00D376B0">
      <w:pPr>
        <w:spacing w:line="360" w:lineRule="auto"/>
        <w:jc w:val="both"/>
        <w:rPr>
          <w:rFonts w:ascii="Arial" w:hAnsi="Arial" w:cs="Arial"/>
          <w:sz w:val="22"/>
          <w:szCs w:val="22"/>
        </w:rPr>
      </w:pPr>
      <w:r w:rsidRPr="00276A04">
        <w:rPr>
          <w:rFonts w:ascii="Arial" w:hAnsi="Arial" w:cs="Arial"/>
          <w:sz w:val="22"/>
          <w:szCs w:val="22"/>
        </w:rPr>
        <w:t>The organi</w:t>
      </w:r>
      <w:r w:rsidR="00FF4CAE">
        <w:rPr>
          <w:rFonts w:ascii="Arial" w:hAnsi="Arial" w:cs="Arial"/>
          <w:sz w:val="22"/>
          <w:szCs w:val="22"/>
        </w:rPr>
        <w:t>s</w:t>
      </w:r>
      <w:r w:rsidRPr="00276A04">
        <w:rPr>
          <w:rFonts w:ascii="Arial" w:hAnsi="Arial" w:cs="Arial"/>
          <w:sz w:val="22"/>
          <w:szCs w:val="22"/>
        </w:rPr>
        <w:t xml:space="preserve">ation's strategic goals may no longer be supported by the current work structures, as evidenced by Helios Urban Mobility's high turnover rate among high-potential graduates and decreasing engagement levels (54%). </w:t>
      </w:r>
      <w:r w:rsidR="00480BA5">
        <w:rPr>
          <w:rFonts w:ascii="Arial" w:hAnsi="Arial" w:cs="Arial"/>
          <w:sz w:val="22"/>
          <w:szCs w:val="22"/>
        </w:rPr>
        <w:t xml:space="preserve">According to Russo and Van (2021) </w:t>
      </w:r>
      <w:r w:rsidRPr="00276A04">
        <w:rPr>
          <w:rFonts w:ascii="Arial" w:hAnsi="Arial" w:cs="Arial"/>
          <w:sz w:val="22"/>
          <w:szCs w:val="22"/>
        </w:rPr>
        <w:t>Traditional job designs with defined roles and hierarchical career tracks may restrict employee growth, decrease flexibility, and stifle creativity in knowledge-intensive and technology-driven firms. A more adaptable and employee-cantered approach to job design is necessary given Helios' rapid development and dependence on AI-enabled technology.</w:t>
      </w:r>
    </w:p>
    <w:p w14:paraId="44770A67" w14:textId="692DCB9A" w:rsidR="007E7EBB" w:rsidRDefault="00F93D9B" w:rsidP="00D376B0">
      <w:pPr>
        <w:spacing w:line="360" w:lineRule="auto"/>
        <w:jc w:val="both"/>
        <w:rPr>
          <w:rFonts w:ascii="Arial" w:hAnsi="Arial" w:cs="Arial"/>
          <w:sz w:val="22"/>
          <w:szCs w:val="22"/>
        </w:rPr>
      </w:pPr>
      <w:r w:rsidRPr="00F93D9B">
        <w:rPr>
          <w:rFonts w:ascii="Arial" w:hAnsi="Arial" w:cs="Arial"/>
          <w:sz w:val="22"/>
          <w:szCs w:val="22"/>
        </w:rPr>
        <w:t>An integrated job architecture that incorporates the Job Characteristics Model (JCM</w:t>
      </w:r>
      <w:r w:rsidR="006F1CB0">
        <w:rPr>
          <w:rFonts w:ascii="Arial" w:hAnsi="Arial" w:cs="Arial"/>
          <w:sz w:val="22"/>
          <w:szCs w:val="22"/>
        </w:rPr>
        <w:t>)</w:t>
      </w:r>
      <w:r w:rsidRPr="00F93D9B">
        <w:rPr>
          <w:rFonts w:ascii="Arial" w:hAnsi="Arial" w:cs="Arial"/>
          <w:sz w:val="22"/>
          <w:szCs w:val="22"/>
        </w:rPr>
        <w:t xml:space="preserve">, Job Crafting Theory, and a skills-based architecture backed by an internal talent marketplace is suggested in this research. </w:t>
      </w:r>
      <w:r w:rsidR="00BC1BF6">
        <w:rPr>
          <w:rFonts w:ascii="Arial" w:hAnsi="Arial" w:cs="Arial"/>
          <w:sz w:val="22"/>
          <w:szCs w:val="22"/>
        </w:rPr>
        <w:t>According</w:t>
      </w:r>
      <w:r w:rsidR="00BA4B8E">
        <w:rPr>
          <w:rFonts w:ascii="Arial" w:hAnsi="Arial" w:cs="Arial"/>
          <w:sz w:val="22"/>
          <w:szCs w:val="22"/>
        </w:rPr>
        <w:t xml:space="preserve"> to Zhang </w:t>
      </w:r>
      <w:r w:rsidR="00BC1BF6">
        <w:rPr>
          <w:rFonts w:ascii="Arial" w:hAnsi="Arial" w:cs="Arial"/>
          <w:sz w:val="22"/>
          <w:szCs w:val="22"/>
        </w:rPr>
        <w:t xml:space="preserve">et al. (2025) </w:t>
      </w:r>
      <w:r w:rsidRPr="00F93D9B">
        <w:rPr>
          <w:rFonts w:ascii="Arial" w:hAnsi="Arial" w:cs="Arial"/>
          <w:sz w:val="22"/>
          <w:szCs w:val="22"/>
        </w:rPr>
        <w:t>The JCM's emphasis on comparatively stable employment structures may be insufficient in quickly changing technological contexts, despite the fact that it offers a useful foundation for creating inspiring work. Similar to how job building gives workers the ability to create meaningful work experiences, too much freedom might lead to role ambiguity if it is not carefully controlled. Thus, the main method by which Helios might strike a balance between organisational agility and employee liberty is suggested to be a skills-based architecture. When combined, these strategies may boost innovative performance, expedite capability development, and improve engagement—all of which will contribute to the organi</w:t>
      </w:r>
      <w:r>
        <w:rPr>
          <w:rFonts w:ascii="Arial" w:hAnsi="Arial" w:cs="Arial"/>
          <w:sz w:val="22"/>
          <w:szCs w:val="22"/>
        </w:rPr>
        <w:t>s</w:t>
      </w:r>
      <w:r w:rsidRPr="00F93D9B">
        <w:rPr>
          <w:rFonts w:ascii="Arial" w:hAnsi="Arial" w:cs="Arial"/>
          <w:sz w:val="22"/>
          <w:szCs w:val="22"/>
        </w:rPr>
        <w:t>ation's long-term strategy renewal.</w:t>
      </w:r>
    </w:p>
    <w:p w14:paraId="7F7EB4A6" w14:textId="30D8C156" w:rsidR="00DC4E9E" w:rsidRPr="00FE2C56" w:rsidRDefault="00C033ED" w:rsidP="00FE2C56">
      <w:pPr>
        <w:pStyle w:val="Heading1"/>
        <w:rPr>
          <w:rFonts w:ascii="Baskerville Old Face" w:hAnsi="Baskerville Old Face"/>
          <w:b/>
          <w:bCs/>
          <w:color w:val="000000" w:themeColor="text1"/>
          <w:sz w:val="36"/>
          <w:szCs w:val="36"/>
        </w:rPr>
      </w:pPr>
      <w:bookmarkStart w:id="9" w:name="_Toc232112547"/>
      <w:r w:rsidRPr="00FE2C56">
        <w:rPr>
          <w:rFonts w:ascii="Baskerville Old Face" w:hAnsi="Baskerville Old Face"/>
          <w:b/>
          <w:bCs/>
          <w:color w:val="000000" w:themeColor="text1"/>
          <w:sz w:val="36"/>
          <w:szCs w:val="36"/>
        </w:rPr>
        <w:t>JSM as the Foundation</w:t>
      </w:r>
      <w:bookmarkEnd w:id="9"/>
    </w:p>
    <w:p w14:paraId="1F6DFB44" w14:textId="70DC8671" w:rsidR="000F717E" w:rsidRPr="000F717E" w:rsidRDefault="000F717E" w:rsidP="00D376B0">
      <w:pPr>
        <w:spacing w:line="360" w:lineRule="auto"/>
        <w:jc w:val="both"/>
        <w:rPr>
          <w:rFonts w:ascii="Arial" w:hAnsi="Arial" w:cs="Arial"/>
          <w:sz w:val="22"/>
          <w:szCs w:val="22"/>
        </w:rPr>
      </w:pPr>
      <w:r w:rsidRPr="000F717E">
        <w:rPr>
          <w:rFonts w:ascii="Arial" w:hAnsi="Arial" w:cs="Arial"/>
          <w:sz w:val="22"/>
          <w:szCs w:val="22"/>
        </w:rPr>
        <w:t>Through skill diversity, job identity, task importance, autonomy, and feedback, J. Richard Hackman and Greg Oldham's Job Characteristics Model</w:t>
      </w:r>
      <w:r w:rsidR="00CE3D68">
        <w:rPr>
          <w:rFonts w:ascii="Arial" w:hAnsi="Arial" w:cs="Arial"/>
          <w:sz w:val="22"/>
          <w:szCs w:val="22"/>
        </w:rPr>
        <w:t xml:space="preserve"> </w:t>
      </w:r>
      <w:r w:rsidR="008E3986">
        <w:rPr>
          <w:rFonts w:ascii="Arial" w:hAnsi="Arial" w:cs="Arial"/>
          <w:sz w:val="22"/>
          <w:szCs w:val="22"/>
        </w:rPr>
        <w:t>(1</w:t>
      </w:r>
      <w:r w:rsidR="00CE3D68">
        <w:rPr>
          <w:rFonts w:ascii="Arial" w:hAnsi="Arial" w:cs="Arial"/>
          <w:sz w:val="22"/>
          <w:szCs w:val="22"/>
        </w:rPr>
        <w:t xml:space="preserve">976) </w:t>
      </w:r>
      <w:r w:rsidRPr="000F717E">
        <w:rPr>
          <w:rFonts w:ascii="Arial" w:hAnsi="Arial" w:cs="Arial"/>
          <w:sz w:val="22"/>
          <w:szCs w:val="22"/>
        </w:rPr>
        <w:t>JCM</w:t>
      </w:r>
      <w:r w:rsidR="00AD0DE0">
        <w:rPr>
          <w:rFonts w:ascii="Arial" w:hAnsi="Arial" w:cs="Arial"/>
          <w:sz w:val="22"/>
          <w:szCs w:val="22"/>
        </w:rPr>
        <w:t xml:space="preserve"> </w:t>
      </w:r>
      <w:r w:rsidRPr="000F717E">
        <w:rPr>
          <w:rFonts w:ascii="Arial" w:hAnsi="Arial" w:cs="Arial"/>
          <w:sz w:val="22"/>
          <w:szCs w:val="22"/>
        </w:rPr>
        <w:t xml:space="preserve">offer a useful framework for improving employee engagement. Employees at Helios should be involved in every stage of the project lifecycle, from designing and developing AI-enabled mobility solutions to implementing and evaluating them with external stakeholders. This will provide them a better sense of work ownership, significance, and effect visibility. </w:t>
      </w:r>
      <w:r w:rsidR="007271FE">
        <w:rPr>
          <w:rFonts w:ascii="Arial" w:hAnsi="Arial" w:cs="Arial"/>
          <w:sz w:val="22"/>
          <w:szCs w:val="22"/>
        </w:rPr>
        <w:t xml:space="preserve">According to Macky and Boxall </w:t>
      </w:r>
      <w:r w:rsidR="007271FE">
        <w:rPr>
          <w:rFonts w:ascii="Arial" w:hAnsi="Arial" w:cs="Arial"/>
          <w:sz w:val="22"/>
          <w:szCs w:val="22"/>
        </w:rPr>
        <w:lastRenderedPageBreak/>
        <w:t xml:space="preserve">(2008) </w:t>
      </w:r>
      <w:r w:rsidRPr="000F717E">
        <w:rPr>
          <w:rFonts w:ascii="Arial" w:hAnsi="Arial" w:cs="Arial"/>
          <w:sz w:val="22"/>
          <w:szCs w:val="22"/>
        </w:rPr>
        <w:t>Increased involvement in project decision-making and regular stakeholder input would improve performance, learning, and motivation even more. Although the JCM enhances the quality of jobs, its focus on comparatively stable employment structures reflects a conventional understanding of work that might not be enough in a quickly changing technological context.</w:t>
      </w:r>
      <w:r>
        <w:rPr>
          <w:rFonts w:ascii="Arial" w:hAnsi="Arial" w:cs="Arial"/>
          <w:sz w:val="22"/>
          <w:szCs w:val="22"/>
        </w:rPr>
        <w:t xml:space="preserve"> </w:t>
      </w:r>
      <w:r w:rsidR="00AF66E7" w:rsidRPr="00AF66E7">
        <w:rPr>
          <w:rFonts w:ascii="Arial" w:hAnsi="Arial" w:cs="Arial"/>
          <w:sz w:val="22"/>
          <w:szCs w:val="22"/>
        </w:rPr>
        <w:t>Therefore, rather than being a comprehensive solution for workforce agility, the JCM should be seen as a basis for employee motivation and supplemented by more adaptable strategies like job designing and skills-based talent distribution.</w:t>
      </w:r>
    </w:p>
    <w:p w14:paraId="25477425" w14:textId="1F8A8070" w:rsidR="00E87E3D" w:rsidRPr="00FE2C56" w:rsidRDefault="00E67388" w:rsidP="00FE2C56">
      <w:pPr>
        <w:pStyle w:val="Heading1"/>
        <w:rPr>
          <w:rFonts w:ascii="Baskerville Old Face" w:hAnsi="Baskerville Old Face"/>
          <w:b/>
          <w:bCs/>
          <w:color w:val="000000" w:themeColor="text1"/>
          <w:sz w:val="36"/>
          <w:szCs w:val="36"/>
        </w:rPr>
      </w:pPr>
      <w:bookmarkStart w:id="10" w:name="_Toc232112548"/>
      <w:r w:rsidRPr="00FE2C56">
        <w:rPr>
          <w:rFonts w:ascii="Baskerville Old Face" w:hAnsi="Baskerville Old Face"/>
          <w:b/>
          <w:bCs/>
          <w:color w:val="000000" w:themeColor="text1"/>
          <w:sz w:val="36"/>
          <w:szCs w:val="36"/>
        </w:rPr>
        <w:t>Job Crafting</w:t>
      </w:r>
      <w:r w:rsidR="00E433AA" w:rsidRPr="00FE2C56">
        <w:rPr>
          <w:rFonts w:ascii="Baskerville Old Face" w:hAnsi="Baskerville Old Face"/>
          <w:b/>
          <w:bCs/>
          <w:color w:val="000000" w:themeColor="text1"/>
          <w:sz w:val="36"/>
          <w:szCs w:val="36"/>
        </w:rPr>
        <w:t xml:space="preserve"> Theory</w:t>
      </w:r>
      <w:bookmarkEnd w:id="10"/>
    </w:p>
    <w:p w14:paraId="34508438" w14:textId="3C14D91F" w:rsidR="00E67388" w:rsidRDefault="007A6EFA" w:rsidP="00D376B0">
      <w:pPr>
        <w:spacing w:line="360" w:lineRule="auto"/>
        <w:jc w:val="both"/>
        <w:rPr>
          <w:rFonts w:ascii="Arial" w:hAnsi="Arial" w:cs="Arial"/>
          <w:sz w:val="22"/>
          <w:szCs w:val="22"/>
        </w:rPr>
      </w:pPr>
      <w:r>
        <w:rPr>
          <w:rFonts w:ascii="Arial" w:hAnsi="Arial" w:cs="Arial"/>
          <w:sz w:val="22"/>
          <w:szCs w:val="22"/>
        </w:rPr>
        <w:t xml:space="preserve">According to Silapurem er al., (2024) </w:t>
      </w:r>
      <w:r w:rsidR="00E67388" w:rsidRPr="00E67388">
        <w:rPr>
          <w:rFonts w:ascii="Arial" w:hAnsi="Arial" w:cs="Arial"/>
          <w:sz w:val="22"/>
          <w:szCs w:val="22"/>
        </w:rPr>
        <w:t>Through job crafting</w:t>
      </w:r>
      <w:r w:rsidR="00E433AA">
        <w:rPr>
          <w:rFonts w:ascii="Arial" w:hAnsi="Arial" w:cs="Arial"/>
          <w:sz w:val="22"/>
          <w:szCs w:val="22"/>
        </w:rPr>
        <w:t xml:space="preserve"> theory,</w:t>
      </w:r>
      <w:r w:rsidR="00E67388" w:rsidRPr="00E67388">
        <w:rPr>
          <w:rFonts w:ascii="Arial" w:hAnsi="Arial" w:cs="Arial"/>
          <w:sz w:val="22"/>
          <w:szCs w:val="22"/>
        </w:rPr>
        <w:t xml:space="preserve"> workers may proactively change the task, relational, and cognitive components of their work to improve engagement and meaning. Employees could decide to build cross-functional networks, support environmental efforts, or rethink how they contribute to urban mobility results, for instance. However, if personal tastes diverge from organisational aims, excessive job designing can lead to position ambiguity and coordination issues</w:t>
      </w:r>
      <w:r w:rsidR="00472EB6">
        <w:rPr>
          <w:rFonts w:ascii="Arial" w:hAnsi="Arial" w:cs="Arial"/>
          <w:sz w:val="22"/>
          <w:szCs w:val="22"/>
        </w:rPr>
        <w:t>,</w:t>
      </w:r>
      <w:r w:rsidR="00BB08A9">
        <w:rPr>
          <w:rFonts w:ascii="Arial" w:hAnsi="Arial" w:cs="Arial"/>
          <w:sz w:val="22"/>
          <w:szCs w:val="22"/>
        </w:rPr>
        <w:t xml:space="preserve"> suggested by Bakker and Demerouti (2017)</w:t>
      </w:r>
      <w:r w:rsidR="00E67388" w:rsidRPr="00E67388">
        <w:rPr>
          <w:rFonts w:ascii="Arial" w:hAnsi="Arial" w:cs="Arial"/>
          <w:sz w:val="22"/>
          <w:szCs w:val="22"/>
        </w:rPr>
        <w:t>. As a result, Helios ought to promote guided job crafting, in which workers exercise independence inside carefully considered limitations connected to company goals.</w:t>
      </w:r>
    </w:p>
    <w:p w14:paraId="6330CBFB" w14:textId="3A208562" w:rsidR="000B3DCA" w:rsidRPr="00FE2C56" w:rsidRDefault="000B3DCA" w:rsidP="00FE2C56">
      <w:pPr>
        <w:pStyle w:val="Heading1"/>
        <w:rPr>
          <w:rFonts w:ascii="Baskerville Old Face" w:hAnsi="Baskerville Old Face"/>
          <w:b/>
          <w:bCs/>
          <w:color w:val="000000" w:themeColor="text1"/>
          <w:sz w:val="36"/>
          <w:szCs w:val="36"/>
        </w:rPr>
      </w:pPr>
      <w:bookmarkStart w:id="11" w:name="_Toc232112549"/>
      <w:r w:rsidRPr="00FE2C56">
        <w:rPr>
          <w:rFonts w:ascii="Baskerville Old Face" w:hAnsi="Baskerville Old Face"/>
          <w:b/>
          <w:bCs/>
          <w:color w:val="000000" w:themeColor="text1"/>
          <w:sz w:val="36"/>
          <w:szCs w:val="36"/>
        </w:rPr>
        <w:t>Skill</w:t>
      </w:r>
      <w:r w:rsidR="005461EF" w:rsidRPr="00FE2C56">
        <w:rPr>
          <w:rFonts w:ascii="Baskerville Old Face" w:hAnsi="Baskerville Old Face"/>
          <w:b/>
          <w:bCs/>
          <w:color w:val="000000" w:themeColor="text1"/>
          <w:sz w:val="36"/>
          <w:szCs w:val="36"/>
        </w:rPr>
        <w:t>s Based Architecture and Internal Talent Marketplace</w:t>
      </w:r>
      <w:bookmarkEnd w:id="11"/>
    </w:p>
    <w:p w14:paraId="0EEF51C8" w14:textId="68BA5716" w:rsidR="00A83D48" w:rsidRDefault="00FD1451" w:rsidP="00D376B0">
      <w:pPr>
        <w:spacing w:line="360" w:lineRule="auto"/>
        <w:jc w:val="both"/>
        <w:rPr>
          <w:rFonts w:ascii="Arial" w:hAnsi="Arial" w:cs="Arial"/>
          <w:sz w:val="22"/>
          <w:szCs w:val="22"/>
        </w:rPr>
      </w:pPr>
      <w:r>
        <w:rPr>
          <w:rFonts w:ascii="Arial" w:hAnsi="Arial" w:cs="Arial"/>
          <w:sz w:val="22"/>
          <w:szCs w:val="22"/>
        </w:rPr>
        <w:t>According to</w:t>
      </w:r>
      <w:r w:rsidR="0099329A">
        <w:rPr>
          <w:rFonts w:ascii="Arial" w:hAnsi="Arial" w:cs="Arial"/>
          <w:sz w:val="22"/>
          <w:szCs w:val="22"/>
        </w:rPr>
        <w:t xml:space="preserve"> </w:t>
      </w:r>
      <w:r w:rsidR="0099329A" w:rsidRPr="00FD1451">
        <w:rPr>
          <w:rFonts w:ascii="Arial" w:hAnsi="Arial" w:cs="Arial"/>
          <w:sz w:val="22"/>
          <w:szCs w:val="22"/>
        </w:rPr>
        <w:t>Wrzesniewski</w:t>
      </w:r>
      <w:r w:rsidR="0099329A">
        <w:rPr>
          <w:rFonts w:ascii="Arial" w:hAnsi="Arial" w:cs="Arial"/>
          <w:sz w:val="22"/>
          <w:szCs w:val="22"/>
        </w:rPr>
        <w:t xml:space="preserve"> &amp;</w:t>
      </w:r>
      <w:r w:rsidR="0099329A" w:rsidRPr="00FD1451">
        <w:rPr>
          <w:rFonts w:ascii="Arial" w:hAnsi="Arial" w:cs="Arial"/>
          <w:sz w:val="22"/>
          <w:szCs w:val="22"/>
        </w:rPr>
        <w:t xml:space="preserve"> Dutton (2001)</w:t>
      </w:r>
      <w:r w:rsidR="0099329A">
        <w:rPr>
          <w:rFonts w:ascii="Arial" w:hAnsi="Arial" w:cs="Arial"/>
          <w:sz w:val="22"/>
          <w:szCs w:val="22"/>
        </w:rPr>
        <w:t xml:space="preserve"> </w:t>
      </w:r>
      <w:r w:rsidR="00A83D48" w:rsidRPr="00A83D48">
        <w:rPr>
          <w:rFonts w:ascii="Arial" w:hAnsi="Arial" w:cs="Arial"/>
          <w:sz w:val="22"/>
          <w:szCs w:val="22"/>
        </w:rPr>
        <w:t xml:space="preserve">While Job Crafting Theory increases employee engagement and Job Characteristics Model improves job quality, neither completely addresses the demand for workforce adaptability in a fast-expanding technological organization. As a result, the foundation of Helios' future job design should be a skills-based architecture backed by an internal talent marketplace, where workers are assigned based on their potential and capabilities rather than set job titles. </w:t>
      </w:r>
      <w:r w:rsidR="001B0805">
        <w:rPr>
          <w:rFonts w:ascii="Arial" w:hAnsi="Arial" w:cs="Arial"/>
          <w:sz w:val="22"/>
          <w:szCs w:val="22"/>
        </w:rPr>
        <w:t>According to Cap</w:t>
      </w:r>
      <w:r w:rsidR="007C09B1">
        <w:rPr>
          <w:rFonts w:ascii="Arial" w:hAnsi="Arial" w:cs="Arial"/>
          <w:sz w:val="22"/>
          <w:szCs w:val="22"/>
        </w:rPr>
        <w:t xml:space="preserve">pelli &amp; Keller (2017) </w:t>
      </w:r>
      <w:r w:rsidR="00A83D48" w:rsidRPr="00A83D48">
        <w:rPr>
          <w:rFonts w:ascii="Arial" w:hAnsi="Arial" w:cs="Arial"/>
          <w:sz w:val="22"/>
          <w:szCs w:val="22"/>
        </w:rPr>
        <w:t>AI specialists, engineers, data analysts, and sustainability experts may work together dynamically on strategic initiatives thanks to this technology, which gives workers access to cross-functional projects, innovation challenges, and growth opportunities throughout the organization. This strategy gives employees clear career-development tracks while encouraging ongoing learning, knowledge exchange, and workforce flexibility.</w:t>
      </w:r>
      <w:r w:rsidR="00B256E8">
        <w:rPr>
          <w:rFonts w:ascii="Arial" w:hAnsi="Arial" w:cs="Arial"/>
          <w:sz w:val="22"/>
          <w:szCs w:val="22"/>
        </w:rPr>
        <w:t xml:space="preserve"> </w:t>
      </w:r>
      <w:r w:rsidR="00B256E8" w:rsidRPr="00B256E8">
        <w:rPr>
          <w:rFonts w:ascii="Arial" w:hAnsi="Arial" w:cs="Arial"/>
          <w:sz w:val="22"/>
          <w:szCs w:val="22"/>
        </w:rPr>
        <w:t>A skills-based architecture is therefore a vital tool for long-term organisational renewal as it may boost engagement, lower graduate turnover, and increase Helios' potential for innovation</w:t>
      </w:r>
      <w:r w:rsidR="00163B5E">
        <w:rPr>
          <w:rFonts w:ascii="Arial" w:hAnsi="Arial" w:cs="Arial"/>
          <w:sz w:val="22"/>
          <w:szCs w:val="22"/>
        </w:rPr>
        <w:t>, Suggested</w:t>
      </w:r>
      <w:r w:rsidR="00E5191A">
        <w:rPr>
          <w:rFonts w:ascii="Arial" w:hAnsi="Arial" w:cs="Arial"/>
          <w:sz w:val="22"/>
          <w:szCs w:val="22"/>
        </w:rPr>
        <w:t xml:space="preserve"> by</w:t>
      </w:r>
      <w:r w:rsidR="00163B5E">
        <w:rPr>
          <w:rFonts w:ascii="Arial" w:hAnsi="Arial" w:cs="Arial"/>
          <w:sz w:val="22"/>
          <w:szCs w:val="22"/>
        </w:rPr>
        <w:t xml:space="preserve"> Manyika </w:t>
      </w:r>
      <w:r w:rsidR="004147ED">
        <w:rPr>
          <w:rFonts w:ascii="Arial" w:hAnsi="Arial" w:cs="Arial"/>
          <w:sz w:val="22"/>
          <w:szCs w:val="22"/>
        </w:rPr>
        <w:t>et al., (2017).</w:t>
      </w:r>
    </w:p>
    <w:p w14:paraId="2DACC598" w14:textId="5A15BC8D" w:rsidR="00FD799D" w:rsidRPr="00FE2C56" w:rsidRDefault="00B816D5" w:rsidP="00FE2C56">
      <w:pPr>
        <w:pStyle w:val="Heading1"/>
        <w:rPr>
          <w:rFonts w:ascii="Baskerville Old Face" w:hAnsi="Baskerville Old Face"/>
          <w:b/>
          <w:bCs/>
          <w:color w:val="000000" w:themeColor="text1"/>
          <w:sz w:val="36"/>
          <w:szCs w:val="36"/>
        </w:rPr>
      </w:pPr>
      <w:bookmarkStart w:id="12" w:name="_Toc232112550"/>
      <w:r w:rsidRPr="00FE2C56">
        <w:rPr>
          <w:rFonts w:ascii="Baskerville Old Face" w:hAnsi="Baskerville Old Face"/>
          <w:b/>
          <w:bCs/>
          <w:color w:val="000000" w:themeColor="text1"/>
          <w:sz w:val="36"/>
          <w:szCs w:val="36"/>
        </w:rPr>
        <w:lastRenderedPageBreak/>
        <w:t xml:space="preserve">Stimulating </w:t>
      </w:r>
      <w:r w:rsidR="003F3007" w:rsidRPr="00FE2C56">
        <w:rPr>
          <w:rFonts w:ascii="Baskerville Old Face" w:hAnsi="Baskerville Old Face"/>
          <w:b/>
          <w:bCs/>
          <w:color w:val="000000" w:themeColor="text1"/>
          <w:sz w:val="36"/>
          <w:szCs w:val="36"/>
        </w:rPr>
        <w:t>Intrinsic Motivation and Supporting Innovation</w:t>
      </w:r>
      <w:bookmarkEnd w:id="12"/>
    </w:p>
    <w:p w14:paraId="28A83088" w14:textId="45E73401" w:rsidR="001E14AA" w:rsidRDefault="001E14AA" w:rsidP="00D376B0">
      <w:pPr>
        <w:spacing w:line="360" w:lineRule="auto"/>
        <w:jc w:val="both"/>
        <w:rPr>
          <w:rFonts w:ascii="Arial" w:hAnsi="Arial" w:cs="Arial"/>
          <w:sz w:val="22"/>
          <w:szCs w:val="22"/>
        </w:rPr>
      </w:pPr>
      <w:r w:rsidRPr="001E14AA">
        <w:rPr>
          <w:rFonts w:ascii="Arial" w:hAnsi="Arial" w:cs="Arial"/>
          <w:sz w:val="22"/>
          <w:szCs w:val="22"/>
        </w:rPr>
        <w:t>By meeting the three psychological needs; autonomy, competence, and relatedness identified in Self-Determination Theory, the suggested work architecture is anticipated to increase intrinsic motivation.</w:t>
      </w:r>
      <w:r w:rsidR="001136B0">
        <w:rPr>
          <w:rFonts w:ascii="Arial" w:hAnsi="Arial" w:cs="Arial"/>
          <w:sz w:val="22"/>
          <w:szCs w:val="22"/>
        </w:rPr>
        <w:t xml:space="preserve"> According to </w:t>
      </w:r>
      <w:r w:rsidR="00E4147B">
        <w:rPr>
          <w:rFonts w:ascii="Arial" w:hAnsi="Arial" w:cs="Arial"/>
          <w:sz w:val="22"/>
          <w:szCs w:val="22"/>
        </w:rPr>
        <w:t>Vanesteenkiste et al., (2020)</w:t>
      </w:r>
      <w:r w:rsidRPr="001E14AA">
        <w:rPr>
          <w:rFonts w:ascii="Arial" w:hAnsi="Arial" w:cs="Arial"/>
          <w:sz w:val="22"/>
          <w:szCs w:val="22"/>
        </w:rPr>
        <w:t xml:space="preserve"> While competence is built through ongoing skill development, cross-functional assignments, and involvement in the internal talent marketplace, autonomy is enhanced through job creating possibilities, project choice, and more involvement in decision-making. Collaboration across teams, departments, and global locations fosters relatedness and strengthens a sense of organisational belonging. Employees are more likely to exhibit proactive behaviour, organisational commitment, and discretionary effort when these demands are met</w:t>
      </w:r>
      <w:r w:rsidR="00D252DF">
        <w:rPr>
          <w:rFonts w:ascii="Arial" w:hAnsi="Arial" w:cs="Arial"/>
          <w:sz w:val="22"/>
          <w:szCs w:val="22"/>
        </w:rPr>
        <w:t>, Suggest</w:t>
      </w:r>
      <w:r w:rsidR="00DA087B">
        <w:rPr>
          <w:rFonts w:ascii="Arial" w:hAnsi="Arial" w:cs="Arial"/>
          <w:sz w:val="22"/>
          <w:szCs w:val="22"/>
        </w:rPr>
        <w:t xml:space="preserve">ed </w:t>
      </w:r>
      <w:r w:rsidR="00E5191A">
        <w:rPr>
          <w:rFonts w:ascii="Arial" w:hAnsi="Arial" w:cs="Arial"/>
          <w:sz w:val="22"/>
          <w:szCs w:val="22"/>
        </w:rPr>
        <w:t xml:space="preserve">by </w:t>
      </w:r>
      <w:r w:rsidR="00DA087B">
        <w:rPr>
          <w:rFonts w:ascii="Arial" w:hAnsi="Arial" w:cs="Arial"/>
          <w:sz w:val="22"/>
          <w:szCs w:val="22"/>
        </w:rPr>
        <w:t>McAnally &amp; Hagger (2024)</w:t>
      </w:r>
      <w:r w:rsidRPr="001E14AA">
        <w:rPr>
          <w:rFonts w:ascii="Arial" w:hAnsi="Arial" w:cs="Arial"/>
          <w:sz w:val="22"/>
          <w:szCs w:val="22"/>
        </w:rPr>
        <w:t>. Additionally, the internal talent marketplace fosters creativity by allowing staff members to switch between projects and work with colleagues from other fields, which promotes knowledge exchange and idea recombination.</w:t>
      </w:r>
      <w:r>
        <w:rPr>
          <w:rFonts w:ascii="Arial" w:hAnsi="Arial" w:cs="Arial"/>
          <w:sz w:val="22"/>
          <w:szCs w:val="22"/>
        </w:rPr>
        <w:t xml:space="preserve"> </w:t>
      </w:r>
      <w:r w:rsidR="00F42B1A" w:rsidRPr="00F42B1A">
        <w:rPr>
          <w:rFonts w:ascii="Arial" w:hAnsi="Arial" w:cs="Arial"/>
          <w:sz w:val="22"/>
          <w:szCs w:val="22"/>
        </w:rPr>
        <w:t>Helios may boost long-term organisational performance and competitiveness by fostering an atmosphere that encourages employee engagement and sustained creativity through the combination of meaningful work, ongoing learning, and multidisciplinary collaboration.</w:t>
      </w:r>
    </w:p>
    <w:p w14:paraId="5B5002DF" w14:textId="796812DA" w:rsidR="00AF4A69" w:rsidRDefault="00AF4A69" w:rsidP="00D376B0">
      <w:pPr>
        <w:spacing w:line="360" w:lineRule="auto"/>
        <w:jc w:val="both"/>
        <w:rPr>
          <w:rFonts w:ascii="Arial" w:hAnsi="Arial" w:cs="Arial"/>
          <w:sz w:val="22"/>
          <w:szCs w:val="22"/>
        </w:rPr>
      </w:pPr>
      <w:r w:rsidRPr="00AF4A69">
        <w:rPr>
          <w:rFonts w:ascii="Arial" w:hAnsi="Arial" w:cs="Arial"/>
          <w:sz w:val="22"/>
          <w:szCs w:val="22"/>
        </w:rPr>
        <w:t>The suggested architecture considers work as a dynamic portfolio of talents, initiatives, and stakeholder contributions rather than seeing jobs as permanent roles. Helios may effectively address issues of engagement, retention, and innovation by combining the Job Characteristics Model, Job Crafting Theory, and a skills-based personnel marketplace. As a result, job design develops into a strategic competency that promotes organisational renewal and a lasting competitive edge rather than just an operational HR function.</w:t>
      </w:r>
    </w:p>
    <w:p w14:paraId="2B30F1E6" w14:textId="77777777" w:rsidR="00873C93" w:rsidRPr="005461EF" w:rsidRDefault="00873C93" w:rsidP="00D376B0">
      <w:pPr>
        <w:spacing w:line="360" w:lineRule="auto"/>
        <w:jc w:val="both"/>
        <w:rPr>
          <w:rFonts w:ascii="Arial" w:hAnsi="Arial" w:cs="Arial"/>
          <w:sz w:val="22"/>
          <w:szCs w:val="22"/>
        </w:rPr>
      </w:pPr>
    </w:p>
    <w:p w14:paraId="1165322E" w14:textId="77777777" w:rsidR="007F4342" w:rsidRPr="007F4342" w:rsidRDefault="007F4342" w:rsidP="007F4342">
      <w:pPr>
        <w:rPr>
          <w:rFonts w:ascii="Arial" w:hAnsi="Arial" w:cs="Arial"/>
          <w:sz w:val="32"/>
          <w:szCs w:val="32"/>
        </w:rPr>
      </w:pPr>
      <w:bookmarkStart w:id="13" w:name="_Toc232112551"/>
      <w:r w:rsidRPr="00FE2C56">
        <w:rPr>
          <w:rStyle w:val="Heading1Char"/>
          <w:rFonts w:ascii="Baskerville Old Face" w:hAnsi="Baskerville Old Face"/>
          <w:b/>
          <w:bCs/>
          <w:color w:val="000000" w:themeColor="text1"/>
          <w:sz w:val="36"/>
          <w:szCs w:val="36"/>
        </w:rPr>
        <w:t>AI as a Decision-Support Tool</w:t>
      </w:r>
      <w:bookmarkEnd w:id="13"/>
      <w:r w:rsidRPr="007F4342">
        <w:rPr>
          <w:rFonts w:ascii="Arial" w:hAnsi="Arial" w:cs="Arial"/>
          <w:sz w:val="32"/>
          <w:szCs w:val="32"/>
        </w:rPr>
        <w:t>: Preserving Crucial Human Judgement</w:t>
      </w:r>
    </w:p>
    <w:p w14:paraId="71EC913F" w14:textId="6A0150F3" w:rsidR="00BC75B3" w:rsidRDefault="00F12A99" w:rsidP="004A73D3">
      <w:pPr>
        <w:spacing w:line="360" w:lineRule="auto"/>
        <w:jc w:val="both"/>
        <w:rPr>
          <w:rFonts w:ascii="Arial" w:hAnsi="Arial" w:cs="Arial"/>
          <w:sz w:val="22"/>
          <w:szCs w:val="22"/>
        </w:rPr>
      </w:pPr>
      <w:r w:rsidRPr="00F12A99">
        <w:rPr>
          <w:rFonts w:ascii="Arial" w:hAnsi="Arial" w:cs="Arial"/>
          <w:sz w:val="22"/>
          <w:szCs w:val="22"/>
        </w:rPr>
        <w:t>Artificial intelligence's (AI) quick uptake is changing management and HR decision-making by making it possible for businesses to more effectively evaluate worker data, spot trends, and support evidence-based choices. I think AI should be seen as an enhancing technology rather than a replacement, even if these capabilities might improve organisational effectiveness and strategic workforce planning.</w:t>
      </w:r>
      <w:r w:rsidR="00610B39">
        <w:rPr>
          <w:rFonts w:ascii="Arial" w:hAnsi="Arial" w:cs="Arial"/>
          <w:sz w:val="22"/>
          <w:szCs w:val="22"/>
        </w:rPr>
        <w:t xml:space="preserve"> According to </w:t>
      </w:r>
      <w:r w:rsidR="00D45F33">
        <w:rPr>
          <w:rFonts w:ascii="Arial" w:hAnsi="Arial" w:cs="Arial"/>
          <w:sz w:val="22"/>
          <w:szCs w:val="22"/>
        </w:rPr>
        <w:t>Bandara et al. (2025)</w:t>
      </w:r>
      <w:r w:rsidRPr="00F12A99">
        <w:rPr>
          <w:rFonts w:ascii="Arial" w:hAnsi="Arial" w:cs="Arial"/>
          <w:sz w:val="22"/>
          <w:szCs w:val="22"/>
        </w:rPr>
        <w:t xml:space="preserve"> Decisions about human capital frequently include ethical problems, conflicting stakeholder interests, and relevant factors that go beyond computers' capacity for predictions. Therefore, in circumstances when professional judgement is still crucial, an over-reliance on AI may diminish management discretion and provide the appearance of impartiality.</w:t>
      </w:r>
      <w:r>
        <w:rPr>
          <w:rFonts w:ascii="Arial" w:hAnsi="Arial" w:cs="Arial"/>
          <w:sz w:val="22"/>
          <w:szCs w:val="22"/>
        </w:rPr>
        <w:t xml:space="preserve"> </w:t>
      </w:r>
    </w:p>
    <w:p w14:paraId="33201ACF" w14:textId="77777777" w:rsidR="00CE556D" w:rsidRDefault="00BC75B3" w:rsidP="004A73D3">
      <w:pPr>
        <w:spacing w:line="360" w:lineRule="auto"/>
        <w:jc w:val="both"/>
        <w:rPr>
          <w:rFonts w:ascii="Arial" w:hAnsi="Arial" w:cs="Arial"/>
          <w:sz w:val="22"/>
          <w:szCs w:val="22"/>
        </w:rPr>
      </w:pPr>
      <w:r>
        <w:rPr>
          <w:rFonts w:ascii="Arial" w:hAnsi="Arial" w:cs="Arial"/>
          <w:sz w:val="22"/>
          <w:szCs w:val="22"/>
        </w:rPr>
        <w:t xml:space="preserve">Also, </w:t>
      </w:r>
      <w:r w:rsidRPr="00BC75B3">
        <w:rPr>
          <w:rFonts w:ascii="Arial" w:hAnsi="Arial" w:cs="Arial"/>
          <w:sz w:val="22"/>
          <w:szCs w:val="22"/>
        </w:rPr>
        <w:t xml:space="preserve">The accuracy of the data and presumptions used to train AI has an impact on its results. Unfairness may be present in historical workforce data, which might result in biased </w:t>
      </w:r>
      <w:r w:rsidRPr="00BC75B3">
        <w:rPr>
          <w:rFonts w:ascii="Arial" w:hAnsi="Arial" w:cs="Arial"/>
          <w:sz w:val="22"/>
          <w:szCs w:val="22"/>
        </w:rPr>
        <w:lastRenderedPageBreak/>
        <w:t>recruitment, advancement, and performance management decisions. Additionally, recommendations from generative AI systems may be persuasive yet incorrect, which emphasises the importance of critical assessment. As a prospective HR professional, I plan to use a human-in-the-loop strategy, where AI is utilised to assist with information processing and decision analysis while human judgement, ethical consideration, and organisational context continue to influence final choices. In my opinion, HR professionals will be more valuable in the future if they can provide critical interpretation, ethical supervision, and strategic sense-making to ensure technology is utilised responsibly rather than competing with AI's analytical talents.</w:t>
      </w:r>
      <w:r>
        <w:rPr>
          <w:rFonts w:ascii="Arial" w:hAnsi="Arial" w:cs="Arial"/>
          <w:sz w:val="22"/>
          <w:szCs w:val="22"/>
        </w:rPr>
        <w:t xml:space="preserve"> </w:t>
      </w:r>
    </w:p>
    <w:p w14:paraId="6C11329E" w14:textId="6B423311" w:rsidR="00CE556D" w:rsidRPr="00CE556D" w:rsidRDefault="00986108" w:rsidP="004A73D3">
      <w:pPr>
        <w:spacing w:line="360" w:lineRule="auto"/>
        <w:jc w:val="both"/>
        <w:rPr>
          <w:rFonts w:ascii="Arial" w:hAnsi="Arial" w:cs="Arial"/>
          <w:sz w:val="22"/>
          <w:szCs w:val="22"/>
        </w:rPr>
      </w:pPr>
      <w:r>
        <w:rPr>
          <w:rFonts w:ascii="Arial" w:hAnsi="Arial" w:cs="Arial"/>
          <w:sz w:val="22"/>
          <w:szCs w:val="22"/>
        </w:rPr>
        <w:t xml:space="preserve">Bandara et al. (2025) </w:t>
      </w:r>
      <w:r w:rsidR="00900D66">
        <w:rPr>
          <w:rFonts w:ascii="Arial" w:hAnsi="Arial" w:cs="Arial"/>
          <w:sz w:val="22"/>
          <w:szCs w:val="22"/>
        </w:rPr>
        <w:t>suggest that t</w:t>
      </w:r>
      <w:r w:rsidR="00CE556D" w:rsidRPr="00CE556D">
        <w:rPr>
          <w:rFonts w:ascii="Arial" w:hAnsi="Arial" w:cs="Arial"/>
          <w:sz w:val="22"/>
          <w:szCs w:val="22"/>
        </w:rPr>
        <w:t>he accuracy of the data and assumptions implemented in AI systems' training shapes them. Historical workforce data may have inherent biases in HR contexts that may unintentionally affect hiring, promotion, and performance management results. Furthermore, outputs produced by generative AI may seem plausible but lack contextual correctness, which emphasises the necessity for close examination rather than blind acceptance.</w:t>
      </w:r>
    </w:p>
    <w:p w14:paraId="618D35BB" w14:textId="2F607010" w:rsidR="00EA7DEB" w:rsidRPr="00877DBE" w:rsidRDefault="00CE556D" w:rsidP="00877DBE">
      <w:pPr>
        <w:spacing w:line="360" w:lineRule="auto"/>
        <w:jc w:val="both"/>
        <w:rPr>
          <w:rFonts w:ascii="Arial" w:hAnsi="Arial" w:cs="Arial"/>
          <w:sz w:val="22"/>
          <w:szCs w:val="22"/>
        </w:rPr>
      </w:pPr>
      <w:r w:rsidRPr="00CE556D">
        <w:rPr>
          <w:rFonts w:ascii="Arial" w:hAnsi="Arial" w:cs="Arial"/>
          <w:sz w:val="22"/>
          <w:szCs w:val="22"/>
        </w:rPr>
        <w:t>This emphasises how crucial it is to have a critical professional posture while using AI in HR practice. Although these technologies can improve analytical skills and facilitate evidence-based decision-making, they lack contextual awareness and ethical reasoning.</w:t>
      </w:r>
      <w:r>
        <w:rPr>
          <w:rFonts w:ascii="Arial" w:hAnsi="Arial" w:cs="Arial"/>
          <w:sz w:val="22"/>
          <w:szCs w:val="22"/>
        </w:rPr>
        <w:t xml:space="preserve"> </w:t>
      </w:r>
      <w:r w:rsidR="006B23C7" w:rsidRPr="006B23C7">
        <w:rPr>
          <w:rFonts w:ascii="Arial" w:hAnsi="Arial" w:cs="Arial"/>
          <w:sz w:val="22"/>
          <w:szCs w:val="22"/>
        </w:rPr>
        <w:t>They are therefore more valuable in enhancement than in replacement. This emphasises the need for future HR practice to strike a balance between professional judgement and technology dependence in order to make decisions that are morally sound, suitable for the situation, and responsible to organisational stakeholders.</w:t>
      </w:r>
    </w:p>
    <w:p w14:paraId="794F0295" w14:textId="77777777" w:rsidR="00AD66EE" w:rsidRDefault="00AD66EE" w:rsidP="00EA7DEB">
      <w:pPr>
        <w:rPr>
          <w:rFonts w:ascii="Baskerville Old Face" w:hAnsi="Baskerville Old Face" w:cs="Times New Roman"/>
          <w:b/>
          <w:bCs/>
          <w:sz w:val="40"/>
          <w:szCs w:val="40"/>
        </w:rPr>
      </w:pPr>
    </w:p>
    <w:p w14:paraId="44E9FBA5" w14:textId="77777777" w:rsidR="00AD66EE" w:rsidRDefault="00AD66EE" w:rsidP="00EA7DEB">
      <w:pPr>
        <w:rPr>
          <w:rFonts w:ascii="Baskerville Old Face" w:hAnsi="Baskerville Old Face" w:cs="Times New Roman"/>
          <w:b/>
          <w:bCs/>
          <w:sz w:val="40"/>
          <w:szCs w:val="40"/>
        </w:rPr>
      </w:pPr>
    </w:p>
    <w:p w14:paraId="2C54910F" w14:textId="77777777" w:rsidR="00AD66EE" w:rsidRDefault="00AD66EE" w:rsidP="00EA7DEB">
      <w:pPr>
        <w:rPr>
          <w:rFonts w:ascii="Baskerville Old Face" w:hAnsi="Baskerville Old Face" w:cs="Times New Roman"/>
          <w:b/>
          <w:bCs/>
          <w:sz w:val="40"/>
          <w:szCs w:val="40"/>
        </w:rPr>
      </w:pPr>
    </w:p>
    <w:p w14:paraId="19A2F7B9" w14:textId="77777777" w:rsidR="00AD66EE" w:rsidRDefault="00AD66EE" w:rsidP="00EA7DEB">
      <w:pPr>
        <w:rPr>
          <w:rFonts w:ascii="Baskerville Old Face" w:hAnsi="Baskerville Old Face" w:cs="Times New Roman"/>
          <w:b/>
          <w:bCs/>
          <w:sz w:val="40"/>
          <w:szCs w:val="40"/>
        </w:rPr>
      </w:pPr>
    </w:p>
    <w:p w14:paraId="32EB1939" w14:textId="77777777" w:rsidR="00AD66EE" w:rsidRDefault="00AD66EE" w:rsidP="00EA7DEB">
      <w:pPr>
        <w:rPr>
          <w:rFonts w:ascii="Baskerville Old Face" w:hAnsi="Baskerville Old Face" w:cs="Times New Roman"/>
          <w:b/>
          <w:bCs/>
          <w:sz w:val="40"/>
          <w:szCs w:val="40"/>
        </w:rPr>
      </w:pPr>
    </w:p>
    <w:p w14:paraId="4EAE855B" w14:textId="77777777" w:rsidR="00AD66EE" w:rsidRDefault="00AD66EE" w:rsidP="00EA7DEB">
      <w:pPr>
        <w:rPr>
          <w:rFonts w:ascii="Baskerville Old Face" w:hAnsi="Baskerville Old Face" w:cs="Times New Roman"/>
          <w:b/>
          <w:bCs/>
          <w:sz w:val="40"/>
          <w:szCs w:val="40"/>
        </w:rPr>
      </w:pPr>
    </w:p>
    <w:p w14:paraId="3AF5418E" w14:textId="77777777" w:rsidR="00AD66EE" w:rsidRDefault="00AD66EE" w:rsidP="00EA7DEB">
      <w:pPr>
        <w:rPr>
          <w:rFonts w:ascii="Baskerville Old Face" w:hAnsi="Baskerville Old Face" w:cs="Times New Roman"/>
          <w:b/>
          <w:bCs/>
          <w:sz w:val="40"/>
          <w:szCs w:val="40"/>
        </w:rPr>
      </w:pPr>
    </w:p>
    <w:p w14:paraId="61975189" w14:textId="77777777" w:rsidR="00AD66EE" w:rsidRDefault="00AD66EE" w:rsidP="00EA7DEB">
      <w:pPr>
        <w:rPr>
          <w:rFonts w:ascii="Baskerville Old Face" w:hAnsi="Baskerville Old Face" w:cs="Times New Roman"/>
          <w:b/>
          <w:bCs/>
          <w:sz w:val="40"/>
          <w:szCs w:val="40"/>
        </w:rPr>
      </w:pPr>
    </w:p>
    <w:p w14:paraId="3359A4E9" w14:textId="77777777" w:rsidR="00AD66EE" w:rsidRDefault="00AD66EE" w:rsidP="00EA7DEB">
      <w:pPr>
        <w:rPr>
          <w:rFonts w:ascii="Baskerville Old Face" w:hAnsi="Baskerville Old Face" w:cs="Times New Roman"/>
          <w:b/>
          <w:bCs/>
          <w:sz w:val="40"/>
          <w:szCs w:val="40"/>
        </w:rPr>
      </w:pPr>
    </w:p>
    <w:p w14:paraId="6B77FC34" w14:textId="77777777" w:rsidR="00AD66EE" w:rsidRDefault="00AD66EE" w:rsidP="00EA7DEB">
      <w:pPr>
        <w:rPr>
          <w:rFonts w:ascii="Baskerville Old Face" w:hAnsi="Baskerville Old Face" w:cs="Times New Roman"/>
          <w:b/>
          <w:bCs/>
          <w:sz w:val="40"/>
          <w:szCs w:val="40"/>
        </w:rPr>
      </w:pPr>
    </w:p>
    <w:p w14:paraId="7F0467DD" w14:textId="77777777" w:rsidR="00AD66EE" w:rsidRDefault="00AD66EE" w:rsidP="00EA7DEB">
      <w:pPr>
        <w:rPr>
          <w:rFonts w:ascii="Baskerville Old Face" w:hAnsi="Baskerville Old Face" w:cs="Times New Roman"/>
          <w:b/>
          <w:bCs/>
          <w:sz w:val="40"/>
          <w:szCs w:val="40"/>
        </w:rPr>
      </w:pPr>
    </w:p>
    <w:p w14:paraId="3D43D9D4" w14:textId="5ADEA386" w:rsidR="006423C2" w:rsidRPr="0027731D" w:rsidRDefault="006423C2" w:rsidP="00D8188A">
      <w:pPr>
        <w:rPr>
          <w:rFonts w:ascii="Baskerville Old Face" w:hAnsi="Baskerville Old Face" w:cs="Times New Roman"/>
          <w:b/>
          <w:bCs/>
          <w:sz w:val="40"/>
          <w:szCs w:val="40"/>
        </w:rPr>
      </w:pPr>
    </w:p>
    <w:tbl>
      <w:tblPr>
        <w:tblW w:w="6570" w:type="dxa"/>
        <w:tblCellMar>
          <w:left w:w="0" w:type="dxa"/>
          <w:right w:w="0" w:type="dxa"/>
        </w:tblCellMar>
        <w:tblLook w:val="04A0" w:firstRow="1" w:lastRow="0" w:firstColumn="1" w:lastColumn="0" w:noHBand="0" w:noVBand="1"/>
      </w:tblPr>
      <w:tblGrid>
        <w:gridCol w:w="6570"/>
      </w:tblGrid>
      <w:tr w:rsidR="006423C2" w:rsidRPr="00BB08A9" w14:paraId="649E2E10" w14:textId="77777777">
        <w:tc>
          <w:tcPr>
            <w:tcW w:w="0" w:type="auto"/>
            <w:vAlign w:val="center"/>
            <w:hideMark/>
          </w:tcPr>
          <w:p w14:paraId="29A74E06" w14:textId="6F7761A0" w:rsidR="006423C2" w:rsidRPr="00BB08A9" w:rsidRDefault="003217CE" w:rsidP="003217CE">
            <w:pPr>
              <w:rPr>
                <w:rFonts w:ascii="Arial" w:hAnsi="Arial" w:cs="Arial"/>
                <w:sz w:val="22"/>
                <w:szCs w:val="22"/>
              </w:rPr>
            </w:pPr>
            <w:r>
              <w:rPr>
                <w:rFonts w:ascii="Baskerville Old Face" w:hAnsi="Baskerville Old Face" w:cs="Times New Roman"/>
                <w:b/>
                <w:bCs/>
                <w:sz w:val="40"/>
                <w:szCs w:val="40"/>
              </w:rPr>
              <w:lastRenderedPageBreak/>
              <w:t>References:</w:t>
            </w:r>
          </w:p>
          <w:p w14:paraId="126916D9" w14:textId="77777777" w:rsidR="006423C2" w:rsidRPr="00BB08A9" w:rsidRDefault="006423C2" w:rsidP="003217CE">
            <w:pPr>
              <w:rPr>
                <w:rFonts w:ascii="Arial" w:eastAsia="Times New Roman" w:hAnsi="Arial" w:cs="Arial"/>
                <w:kern w:val="0"/>
                <w:sz w:val="22"/>
                <w:szCs w:val="22"/>
                <w:lang w:eastAsia="en-GB"/>
                <w14:ligatures w14:val="none"/>
              </w:rPr>
            </w:pPr>
          </w:p>
        </w:tc>
      </w:tr>
      <w:tr w:rsidR="006423C2" w:rsidRPr="00BB08A9" w14:paraId="51D503ED" w14:textId="77777777">
        <w:tc>
          <w:tcPr>
            <w:tcW w:w="0" w:type="auto"/>
            <w:vAlign w:val="center"/>
            <w:hideMark/>
          </w:tcPr>
          <w:p w14:paraId="235A1499" w14:textId="77777777" w:rsidR="006423C2" w:rsidRPr="00BB08A9" w:rsidRDefault="006423C2" w:rsidP="003217CE">
            <w:pPr>
              <w:rPr>
                <w:rFonts w:ascii="Arial" w:eastAsia="Times New Roman" w:hAnsi="Arial" w:cs="Arial"/>
                <w:kern w:val="0"/>
                <w:sz w:val="22"/>
                <w:szCs w:val="22"/>
                <w:lang w:eastAsia="en-GB"/>
                <w14:ligatures w14:val="none"/>
              </w:rPr>
            </w:pPr>
          </w:p>
        </w:tc>
      </w:tr>
      <w:tr w:rsidR="006423C2" w:rsidRPr="00BB08A9" w14:paraId="6D9BE39A" w14:textId="77777777">
        <w:tc>
          <w:tcPr>
            <w:tcW w:w="0" w:type="auto"/>
            <w:tcMar>
              <w:top w:w="120" w:type="dxa"/>
              <w:left w:w="0" w:type="dxa"/>
              <w:bottom w:w="120" w:type="dxa"/>
              <w:right w:w="0" w:type="dxa"/>
            </w:tcMar>
            <w:hideMark/>
          </w:tcPr>
          <w:p w14:paraId="74048CD6" w14:textId="77777777" w:rsidR="006423C2" w:rsidRPr="00BB08A9" w:rsidRDefault="006423C2" w:rsidP="003217CE">
            <w:pPr>
              <w:rPr>
                <w:rFonts w:ascii="Arial" w:eastAsia="Times New Roman" w:hAnsi="Arial" w:cs="Arial"/>
                <w:color w:val="222222"/>
                <w:kern w:val="0"/>
                <w:sz w:val="22"/>
                <w:szCs w:val="22"/>
                <w:lang w:eastAsia="en-GB"/>
                <w14:ligatures w14:val="none"/>
              </w:rPr>
            </w:pPr>
          </w:p>
        </w:tc>
      </w:tr>
      <w:tr w:rsidR="006423C2" w:rsidRPr="00BB08A9" w14:paraId="5389D4EA" w14:textId="77777777">
        <w:tc>
          <w:tcPr>
            <w:tcW w:w="0" w:type="auto"/>
            <w:tcMar>
              <w:top w:w="120" w:type="dxa"/>
              <w:left w:w="0" w:type="dxa"/>
              <w:bottom w:w="120" w:type="dxa"/>
              <w:right w:w="0" w:type="dxa"/>
            </w:tcMar>
            <w:hideMark/>
          </w:tcPr>
          <w:p w14:paraId="10778083" w14:textId="77777777" w:rsidR="006423C2" w:rsidRPr="00BB08A9" w:rsidRDefault="006423C2" w:rsidP="003217CE">
            <w:pPr>
              <w:rPr>
                <w:rFonts w:ascii="Arial" w:eastAsia="Times New Roman" w:hAnsi="Arial" w:cs="Arial"/>
                <w:color w:val="222222"/>
                <w:kern w:val="0"/>
                <w:sz w:val="22"/>
                <w:szCs w:val="22"/>
                <w:lang w:eastAsia="en-GB"/>
                <w14:ligatures w14:val="none"/>
              </w:rPr>
            </w:pPr>
          </w:p>
        </w:tc>
      </w:tr>
    </w:tbl>
    <w:p w14:paraId="01BDFD71" w14:textId="77777777" w:rsidR="006423C2" w:rsidRDefault="006423C2" w:rsidP="003217CE">
      <w:pPr>
        <w:spacing w:line="360" w:lineRule="auto"/>
        <w:rPr>
          <w:rFonts w:ascii="Arial" w:hAnsi="Arial" w:cs="Arial"/>
          <w:sz w:val="22"/>
          <w:szCs w:val="22"/>
        </w:rPr>
      </w:pPr>
      <w:r w:rsidRPr="00F94D21">
        <w:rPr>
          <w:rFonts w:ascii="Arial" w:hAnsi="Arial" w:cs="Arial"/>
          <w:sz w:val="22"/>
          <w:szCs w:val="22"/>
        </w:rPr>
        <w:t xml:space="preserve">Awan, N.A. and Abbas, M. (2025) “Organizational socialization strategies and newcomers’ identity development: A social identity perspective,” Human resource development quarterly, 36(1), pp. 69–87. Available at: </w:t>
      </w:r>
      <w:hyperlink r:id="rId5" w:history="1">
        <w:r w:rsidRPr="0091148D">
          <w:rPr>
            <w:rStyle w:val="Hyperlink"/>
            <w:rFonts w:ascii="Arial" w:hAnsi="Arial" w:cs="Arial"/>
            <w:sz w:val="22"/>
            <w:szCs w:val="22"/>
          </w:rPr>
          <w:t>https://doi.org/10.1002/hrdq.21527</w:t>
        </w:r>
      </w:hyperlink>
      <w:r w:rsidRPr="00F94D21">
        <w:rPr>
          <w:rFonts w:ascii="Arial" w:hAnsi="Arial" w:cs="Arial"/>
          <w:sz w:val="22"/>
          <w:szCs w:val="22"/>
        </w:rPr>
        <w:t>.</w:t>
      </w:r>
      <w:r>
        <w:rPr>
          <w:rFonts w:ascii="Arial" w:hAnsi="Arial" w:cs="Arial"/>
          <w:sz w:val="22"/>
          <w:szCs w:val="22"/>
        </w:rPr>
        <w:t xml:space="preserve"> </w:t>
      </w:r>
    </w:p>
    <w:p w14:paraId="77A41116" w14:textId="77777777" w:rsidR="003217D4" w:rsidRDefault="003217D4" w:rsidP="003217CE">
      <w:pPr>
        <w:spacing w:line="360" w:lineRule="auto"/>
        <w:rPr>
          <w:rFonts w:ascii="Arial" w:hAnsi="Arial" w:cs="Arial"/>
          <w:sz w:val="22"/>
          <w:szCs w:val="22"/>
        </w:rPr>
      </w:pPr>
    </w:p>
    <w:p w14:paraId="70B07EF0" w14:textId="77777777" w:rsidR="006423C2" w:rsidRDefault="006423C2" w:rsidP="003217CE">
      <w:pPr>
        <w:spacing w:line="360" w:lineRule="auto"/>
        <w:rPr>
          <w:rFonts w:ascii="Arial" w:eastAsia="Times New Roman" w:hAnsi="Arial" w:cs="Arial"/>
          <w:kern w:val="0"/>
          <w:sz w:val="22"/>
          <w:szCs w:val="22"/>
          <w:lang w:eastAsia="en-GB"/>
          <w14:ligatures w14:val="none"/>
        </w:rPr>
      </w:pPr>
      <w:r w:rsidRPr="00184162">
        <w:rPr>
          <w:rFonts w:ascii="Arial" w:eastAsia="Times New Roman" w:hAnsi="Arial" w:cs="Arial"/>
          <w:kern w:val="0"/>
          <w:sz w:val="22"/>
          <w:szCs w:val="22"/>
          <w:lang w:eastAsia="en-GB"/>
          <w14:ligatures w14:val="none"/>
        </w:rPr>
        <w:t xml:space="preserve">Bakker, A.B. and Demerouti, E. (2017) “Job demands–resources theory: Taking stock and looking forward,” Journal of occupational health psychology, 22(3), pp. 273–285. Available at: </w:t>
      </w:r>
      <w:hyperlink r:id="rId6" w:history="1">
        <w:r w:rsidRPr="00184162">
          <w:rPr>
            <w:rStyle w:val="Hyperlink"/>
            <w:rFonts w:ascii="Arial" w:eastAsia="Times New Roman" w:hAnsi="Arial" w:cs="Arial"/>
            <w:kern w:val="0"/>
            <w:sz w:val="22"/>
            <w:szCs w:val="22"/>
            <w:lang w:eastAsia="en-GB"/>
            <w14:ligatures w14:val="none"/>
          </w:rPr>
          <w:t>https://doi.org/10.1037/ocp0000056</w:t>
        </w:r>
      </w:hyperlink>
      <w:r w:rsidRPr="00184162">
        <w:rPr>
          <w:rFonts w:ascii="Arial" w:eastAsia="Times New Roman" w:hAnsi="Arial" w:cs="Arial"/>
          <w:kern w:val="0"/>
          <w:sz w:val="22"/>
          <w:szCs w:val="22"/>
          <w:lang w:eastAsia="en-GB"/>
          <w14:ligatures w14:val="none"/>
        </w:rPr>
        <w:t xml:space="preserve">. </w:t>
      </w:r>
    </w:p>
    <w:p w14:paraId="1B753B9A" w14:textId="77777777" w:rsidR="003217D4" w:rsidRPr="00184162" w:rsidRDefault="003217D4" w:rsidP="003217CE">
      <w:pPr>
        <w:spacing w:line="360" w:lineRule="auto"/>
        <w:rPr>
          <w:rFonts w:ascii="Arial" w:eastAsia="Times New Roman" w:hAnsi="Arial" w:cs="Arial"/>
          <w:kern w:val="0"/>
          <w:sz w:val="22"/>
          <w:szCs w:val="22"/>
          <w:lang w:eastAsia="en-GB"/>
          <w14:ligatures w14:val="none"/>
        </w:rPr>
      </w:pPr>
    </w:p>
    <w:p w14:paraId="3E02A172" w14:textId="77777777" w:rsidR="006423C2" w:rsidRDefault="006423C2" w:rsidP="00D8188A">
      <w:pPr>
        <w:spacing w:line="360" w:lineRule="auto"/>
        <w:rPr>
          <w:rFonts w:ascii="Arial" w:hAnsi="Arial" w:cs="Arial"/>
          <w:sz w:val="22"/>
          <w:szCs w:val="22"/>
        </w:rPr>
      </w:pPr>
      <w:r w:rsidRPr="00D45F33">
        <w:rPr>
          <w:rFonts w:ascii="Arial" w:hAnsi="Arial" w:cs="Arial"/>
          <w:sz w:val="22"/>
          <w:szCs w:val="22"/>
        </w:rPr>
        <w:t>Bandara, R.J. et al. (2025) “Addressing Algorithmic Bias in AI</w:t>
      </w:r>
      <w:r w:rsidRPr="00D45F33">
        <w:rPr>
          <w:rFonts w:ascii="Cambria Math" w:hAnsi="Cambria Math" w:cs="Cambria Math"/>
          <w:sz w:val="22"/>
          <w:szCs w:val="22"/>
        </w:rPr>
        <w:t>‐</w:t>
      </w:r>
      <w:r w:rsidRPr="00D45F33">
        <w:rPr>
          <w:rFonts w:ascii="Arial" w:hAnsi="Arial" w:cs="Arial"/>
          <w:sz w:val="22"/>
          <w:szCs w:val="22"/>
        </w:rPr>
        <w:t xml:space="preserve">Driven HRM Systems: Implications for Strategic HRM Effectiveness,” Human resource management journal, 35(4), pp. 1047–1063. Available at: </w:t>
      </w:r>
      <w:hyperlink r:id="rId7" w:history="1">
        <w:r w:rsidRPr="00262299">
          <w:rPr>
            <w:rStyle w:val="Hyperlink"/>
            <w:rFonts w:ascii="Arial" w:hAnsi="Arial" w:cs="Arial"/>
            <w:sz w:val="22"/>
            <w:szCs w:val="22"/>
          </w:rPr>
          <w:t>https://doi.org/10.1111/1748-8583.12609</w:t>
        </w:r>
      </w:hyperlink>
      <w:r w:rsidRPr="00D45F33">
        <w:rPr>
          <w:rFonts w:ascii="Arial" w:hAnsi="Arial" w:cs="Arial"/>
          <w:sz w:val="22"/>
          <w:szCs w:val="22"/>
        </w:rPr>
        <w:t>.</w:t>
      </w:r>
      <w:r>
        <w:rPr>
          <w:rFonts w:ascii="Arial" w:hAnsi="Arial" w:cs="Arial"/>
          <w:sz w:val="22"/>
          <w:szCs w:val="22"/>
        </w:rPr>
        <w:t xml:space="preserve"> </w:t>
      </w:r>
    </w:p>
    <w:p w14:paraId="69C481EF" w14:textId="77777777" w:rsidR="003217D4" w:rsidRPr="00184162" w:rsidRDefault="003217D4" w:rsidP="00D8188A">
      <w:pPr>
        <w:spacing w:line="360" w:lineRule="auto"/>
        <w:rPr>
          <w:rFonts w:ascii="Arial" w:hAnsi="Arial" w:cs="Arial"/>
          <w:sz w:val="22"/>
          <w:szCs w:val="22"/>
        </w:rPr>
      </w:pPr>
    </w:p>
    <w:p w14:paraId="05F85E2C" w14:textId="77777777" w:rsidR="006423C2" w:rsidRDefault="006423C2" w:rsidP="00D8188A">
      <w:pPr>
        <w:spacing w:line="360" w:lineRule="auto"/>
        <w:rPr>
          <w:rFonts w:ascii="Arial" w:hAnsi="Arial" w:cs="Arial"/>
          <w:sz w:val="22"/>
          <w:szCs w:val="22"/>
        </w:rPr>
      </w:pPr>
      <w:r w:rsidRPr="00A7066F">
        <w:rPr>
          <w:rFonts w:ascii="Arial" w:hAnsi="Arial" w:cs="Arial"/>
          <w:sz w:val="22"/>
          <w:szCs w:val="22"/>
        </w:rPr>
        <w:t xml:space="preserve">Bandyopadhyay, C. and Srivastava, K.B.L. (2021) “Mediating Role of Psychological Contract Fulfilment on the Relationship between Strength of HR Signal and Organisational Commitment: Evidence from the Indian Manufacturing Sector,” South Asian Journal of Human Resources Management, 8(2), pp. 240–259. Available at: </w:t>
      </w:r>
      <w:hyperlink r:id="rId8" w:history="1">
        <w:r w:rsidRPr="0091148D">
          <w:rPr>
            <w:rStyle w:val="Hyperlink"/>
            <w:rFonts w:ascii="Arial" w:hAnsi="Arial" w:cs="Arial"/>
            <w:sz w:val="22"/>
            <w:szCs w:val="22"/>
          </w:rPr>
          <w:t>https://doi.org/10.1177/23220937211043109</w:t>
        </w:r>
      </w:hyperlink>
      <w:r w:rsidRPr="00A7066F">
        <w:rPr>
          <w:rFonts w:ascii="Arial" w:hAnsi="Arial" w:cs="Arial"/>
          <w:sz w:val="22"/>
          <w:szCs w:val="22"/>
        </w:rPr>
        <w:t>.</w:t>
      </w:r>
      <w:r>
        <w:rPr>
          <w:rFonts w:ascii="Arial" w:hAnsi="Arial" w:cs="Arial"/>
          <w:sz w:val="22"/>
          <w:szCs w:val="22"/>
        </w:rPr>
        <w:t xml:space="preserve"> </w:t>
      </w:r>
    </w:p>
    <w:p w14:paraId="386C931C" w14:textId="77777777" w:rsidR="003217CE" w:rsidRDefault="003217CE" w:rsidP="00D8188A">
      <w:pPr>
        <w:spacing w:line="360" w:lineRule="auto"/>
        <w:rPr>
          <w:rFonts w:ascii="Arial" w:hAnsi="Arial" w:cs="Arial"/>
          <w:sz w:val="22"/>
          <w:szCs w:val="22"/>
        </w:rPr>
      </w:pPr>
    </w:p>
    <w:p w14:paraId="2441639A" w14:textId="77777777" w:rsidR="006423C2" w:rsidRDefault="006423C2" w:rsidP="00D8188A">
      <w:pPr>
        <w:spacing w:line="360" w:lineRule="auto"/>
        <w:rPr>
          <w:rFonts w:ascii="Arial" w:hAnsi="Arial" w:cs="Arial"/>
          <w:sz w:val="22"/>
          <w:szCs w:val="22"/>
        </w:rPr>
      </w:pPr>
      <w:r w:rsidRPr="00BB08A9">
        <w:rPr>
          <w:rFonts w:ascii="Arial" w:hAnsi="Arial" w:cs="Arial"/>
          <w:sz w:val="22"/>
          <w:szCs w:val="22"/>
        </w:rPr>
        <w:t xml:space="preserve">Cappelli, P. and Keller, J.R. (2017) “The Historical Context of Talent Management,” in D.G. Collings, K. </w:t>
      </w:r>
      <w:proofErr w:type="spellStart"/>
      <w:r w:rsidRPr="00BB08A9">
        <w:rPr>
          <w:rFonts w:ascii="Arial" w:hAnsi="Arial" w:cs="Arial"/>
          <w:sz w:val="22"/>
          <w:szCs w:val="22"/>
        </w:rPr>
        <w:t>Mellahi</w:t>
      </w:r>
      <w:proofErr w:type="spellEnd"/>
      <w:r w:rsidRPr="00BB08A9">
        <w:rPr>
          <w:rFonts w:ascii="Arial" w:hAnsi="Arial" w:cs="Arial"/>
          <w:sz w:val="22"/>
          <w:szCs w:val="22"/>
        </w:rPr>
        <w:t xml:space="preserve">, and W.F. Cascio (eds.) The Oxford Handbook of Talent Management. Oxford University Press. Available at: </w:t>
      </w:r>
      <w:hyperlink r:id="rId9" w:history="1">
        <w:r w:rsidRPr="00BB08A9">
          <w:rPr>
            <w:rStyle w:val="Hyperlink"/>
            <w:rFonts w:ascii="Arial" w:hAnsi="Arial" w:cs="Arial"/>
            <w:sz w:val="22"/>
            <w:szCs w:val="22"/>
          </w:rPr>
          <w:t>https://doi.org/10.1093/oxfordhb/9780198758273.013.21</w:t>
        </w:r>
      </w:hyperlink>
      <w:r w:rsidRPr="00BB08A9">
        <w:rPr>
          <w:rFonts w:ascii="Arial" w:hAnsi="Arial" w:cs="Arial"/>
          <w:sz w:val="22"/>
          <w:szCs w:val="22"/>
        </w:rPr>
        <w:t xml:space="preserve">. </w:t>
      </w:r>
    </w:p>
    <w:p w14:paraId="1C14BD05" w14:textId="77777777" w:rsidR="003217CE" w:rsidRPr="00BB08A9" w:rsidRDefault="003217CE" w:rsidP="00D8188A">
      <w:pPr>
        <w:spacing w:line="360" w:lineRule="auto"/>
        <w:rPr>
          <w:rFonts w:ascii="Arial" w:hAnsi="Arial" w:cs="Arial"/>
          <w:sz w:val="22"/>
          <w:szCs w:val="22"/>
        </w:rPr>
      </w:pPr>
    </w:p>
    <w:p w14:paraId="7B96C576" w14:textId="77777777" w:rsidR="006423C2" w:rsidRDefault="006423C2" w:rsidP="00D8188A">
      <w:pPr>
        <w:spacing w:line="360" w:lineRule="auto"/>
        <w:rPr>
          <w:rFonts w:ascii="Arial" w:hAnsi="Arial" w:cs="Arial"/>
          <w:sz w:val="22"/>
          <w:szCs w:val="22"/>
        </w:rPr>
      </w:pPr>
      <w:proofErr w:type="spellStart"/>
      <w:r w:rsidRPr="0039072A">
        <w:rPr>
          <w:rFonts w:ascii="Arial" w:hAnsi="Arial" w:cs="Arial"/>
          <w:sz w:val="22"/>
          <w:szCs w:val="22"/>
        </w:rPr>
        <w:t>Frögéli</w:t>
      </w:r>
      <w:proofErr w:type="spellEnd"/>
      <w:r w:rsidRPr="0039072A">
        <w:rPr>
          <w:rFonts w:ascii="Arial" w:hAnsi="Arial" w:cs="Arial"/>
          <w:sz w:val="22"/>
          <w:szCs w:val="22"/>
        </w:rPr>
        <w:t xml:space="preserve">, E., Jenner, B. and Gustavsson, P. (2023) “Effectiveness of formal onboarding for facilitating organizational socialization: A systematic review,” PLOS ONE, 18(2), p. e0281823. Available at: </w:t>
      </w:r>
      <w:hyperlink r:id="rId10" w:history="1">
        <w:r w:rsidRPr="0091148D">
          <w:rPr>
            <w:rStyle w:val="Hyperlink"/>
            <w:rFonts w:ascii="Arial" w:hAnsi="Arial" w:cs="Arial"/>
            <w:sz w:val="22"/>
            <w:szCs w:val="22"/>
          </w:rPr>
          <w:t>https://doi.org/10.1371/journal.pone.0281823</w:t>
        </w:r>
      </w:hyperlink>
      <w:r w:rsidRPr="0039072A">
        <w:rPr>
          <w:rFonts w:ascii="Arial" w:hAnsi="Arial" w:cs="Arial"/>
          <w:sz w:val="22"/>
          <w:szCs w:val="22"/>
        </w:rPr>
        <w:t>.</w:t>
      </w:r>
      <w:r>
        <w:rPr>
          <w:rFonts w:ascii="Arial" w:hAnsi="Arial" w:cs="Arial"/>
          <w:sz w:val="22"/>
          <w:szCs w:val="22"/>
        </w:rPr>
        <w:t xml:space="preserve"> </w:t>
      </w:r>
    </w:p>
    <w:p w14:paraId="512289C6" w14:textId="77777777" w:rsidR="003217CE" w:rsidRDefault="003217CE" w:rsidP="00D8188A">
      <w:pPr>
        <w:spacing w:line="360" w:lineRule="auto"/>
        <w:rPr>
          <w:rFonts w:ascii="Arial" w:hAnsi="Arial" w:cs="Arial"/>
          <w:sz w:val="22"/>
          <w:szCs w:val="22"/>
        </w:rPr>
      </w:pPr>
    </w:p>
    <w:p w14:paraId="62223ABF" w14:textId="77777777" w:rsidR="006423C2" w:rsidRDefault="006423C2" w:rsidP="00D8188A">
      <w:pPr>
        <w:spacing w:line="360" w:lineRule="auto"/>
        <w:rPr>
          <w:rFonts w:ascii="Arial" w:hAnsi="Arial" w:cs="Arial"/>
          <w:color w:val="222222"/>
          <w:sz w:val="22"/>
          <w:szCs w:val="22"/>
          <w:shd w:val="clear" w:color="auto" w:fill="FFFFFF"/>
        </w:rPr>
      </w:pPr>
      <w:r w:rsidRPr="00184162">
        <w:rPr>
          <w:rFonts w:ascii="Arial" w:hAnsi="Arial" w:cs="Arial"/>
          <w:color w:val="222222"/>
          <w:sz w:val="22"/>
          <w:szCs w:val="22"/>
          <w:shd w:val="clear" w:color="auto" w:fill="FFFFFF"/>
        </w:rPr>
        <w:t>Hackman, J.R. and Oldham, G.R., (1976). Motivation through the design of work: Test of a theory.</w:t>
      </w:r>
      <w:r w:rsidRPr="00184162">
        <w:rPr>
          <w:rStyle w:val="apple-converted-space"/>
          <w:rFonts w:ascii="Arial" w:hAnsi="Arial" w:cs="Arial"/>
          <w:color w:val="222222"/>
          <w:sz w:val="22"/>
          <w:szCs w:val="22"/>
          <w:shd w:val="clear" w:color="auto" w:fill="FFFFFF"/>
        </w:rPr>
        <w:t> </w:t>
      </w:r>
      <w:r w:rsidRPr="00184162">
        <w:rPr>
          <w:rFonts w:ascii="Arial" w:hAnsi="Arial" w:cs="Arial"/>
          <w:i/>
          <w:iCs/>
          <w:color w:val="222222"/>
          <w:sz w:val="22"/>
          <w:szCs w:val="22"/>
        </w:rPr>
        <w:t xml:space="preserve">Organizational </w:t>
      </w:r>
      <w:proofErr w:type="spellStart"/>
      <w:r w:rsidRPr="00184162">
        <w:rPr>
          <w:rFonts w:ascii="Arial" w:hAnsi="Arial" w:cs="Arial"/>
          <w:i/>
          <w:iCs/>
          <w:color w:val="222222"/>
          <w:sz w:val="22"/>
          <w:szCs w:val="22"/>
        </w:rPr>
        <w:t>behavior</w:t>
      </w:r>
      <w:proofErr w:type="spellEnd"/>
      <w:r w:rsidRPr="00184162">
        <w:rPr>
          <w:rFonts w:ascii="Arial" w:hAnsi="Arial" w:cs="Arial"/>
          <w:i/>
          <w:iCs/>
          <w:color w:val="222222"/>
          <w:sz w:val="22"/>
          <w:szCs w:val="22"/>
        </w:rPr>
        <w:t xml:space="preserve"> and human performance</w:t>
      </w:r>
      <w:r w:rsidRPr="00184162">
        <w:rPr>
          <w:rFonts w:ascii="Arial" w:hAnsi="Arial" w:cs="Arial"/>
          <w:color w:val="222222"/>
          <w:sz w:val="22"/>
          <w:szCs w:val="22"/>
          <w:shd w:val="clear" w:color="auto" w:fill="FFFFFF"/>
        </w:rPr>
        <w:t>,</w:t>
      </w:r>
      <w:r w:rsidRPr="00184162">
        <w:rPr>
          <w:rStyle w:val="apple-converted-space"/>
          <w:rFonts w:ascii="Arial" w:hAnsi="Arial" w:cs="Arial"/>
          <w:color w:val="222222"/>
          <w:sz w:val="22"/>
          <w:szCs w:val="22"/>
          <w:shd w:val="clear" w:color="auto" w:fill="FFFFFF"/>
        </w:rPr>
        <w:t> </w:t>
      </w:r>
      <w:r w:rsidRPr="00184162">
        <w:rPr>
          <w:rFonts w:ascii="Arial" w:hAnsi="Arial" w:cs="Arial"/>
          <w:i/>
          <w:iCs/>
          <w:color w:val="222222"/>
          <w:sz w:val="22"/>
          <w:szCs w:val="22"/>
        </w:rPr>
        <w:t>16</w:t>
      </w:r>
      <w:r w:rsidRPr="00184162">
        <w:rPr>
          <w:rFonts w:ascii="Arial" w:hAnsi="Arial" w:cs="Arial"/>
          <w:color w:val="222222"/>
          <w:sz w:val="22"/>
          <w:szCs w:val="22"/>
          <w:shd w:val="clear" w:color="auto" w:fill="FFFFFF"/>
        </w:rPr>
        <w:t xml:space="preserve">(2), pp.250-279. </w:t>
      </w:r>
    </w:p>
    <w:p w14:paraId="34946E1E" w14:textId="77777777" w:rsidR="003217CE" w:rsidRPr="00184162" w:rsidRDefault="003217CE" w:rsidP="00D8188A">
      <w:pPr>
        <w:spacing w:line="360" w:lineRule="auto"/>
        <w:rPr>
          <w:rFonts w:ascii="Times New Roman" w:eastAsia="Times New Roman" w:hAnsi="Times New Roman" w:cs="Times New Roman"/>
          <w:kern w:val="0"/>
          <w:sz w:val="22"/>
          <w:szCs w:val="22"/>
          <w:lang w:eastAsia="en-GB"/>
          <w14:ligatures w14:val="none"/>
        </w:rPr>
      </w:pPr>
    </w:p>
    <w:p w14:paraId="5634AD64" w14:textId="77777777" w:rsidR="006423C2" w:rsidRPr="00184162" w:rsidRDefault="006423C2" w:rsidP="00D8188A">
      <w:pPr>
        <w:spacing w:line="360" w:lineRule="auto"/>
        <w:rPr>
          <w:rFonts w:ascii="Arial" w:hAnsi="Arial" w:cs="Arial"/>
          <w:sz w:val="22"/>
          <w:szCs w:val="22"/>
        </w:rPr>
      </w:pPr>
      <w:r w:rsidRPr="00184162">
        <w:rPr>
          <w:rFonts w:ascii="Arial" w:hAnsi="Arial" w:cs="Arial"/>
          <w:sz w:val="22"/>
          <w:szCs w:val="22"/>
        </w:rPr>
        <w:t xml:space="preserve">Macky, K. and Boxall, P. (2008) “High-involvement work processes, work intensification and employee well-being: A study of New Zealand worker experiences,” Asia Pacific journal of human resources, 46(1), pp. 38–55. Available at: </w:t>
      </w:r>
      <w:hyperlink r:id="rId11" w:history="1">
        <w:r w:rsidRPr="00184162">
          <w:rPr>
            <w:rStyle w:val="Hyperlink"/>
            <w:rFonts w:ascii="Arial" w:hAnsi="Arial" w:cs="Arial"/>
            <w:sz w:val="22"/>
            <w:szCs w:val="22"/>
          </w:rPr>
          <w:t>https://doi.org/10.1177/1038411107086542</w:t>
        </w:r>
      </w:hyperlink>
      <w:r w:rsidRPr="00184162">
        <w:rPr>
          <w:rFonts w:ascii="Arial" w:hAnsi="Arial" w:cs="Arial"/>
          <w:sz w:val="22"/>
          <w:szCs w:val="22"/>
        </w:rPr>
        <w:t xml:space="preserve">. </w:t>
      </w:r>
    </w:p>
    <w:p w14:paraId="3DECC6C5" w14:textId="77777777" w:rsidR="006423C2" w:rsidRDefault="006423C2" w:rsidP="00D8188A">
      <w:pPr>
        <w:spacing w:line="360" w:lineRule="auto"/>
        <w:rPr>
          <w:rFonts w:ascii="Arial" w:hAnsi="Arial" w:cs="Arial"/>
          <w:color w:val="222222"/>
          <w:sz w:val="22"/>
          <w:szCs w:val="22"/>
          <w:shd w:val="clear" w:color="auto" w:fill="FFFFFF"/>
        </w:rPr>
      </w:pPr>
      <w:r w:rsidRPr="00BB08A9">
        <w:rPr>
          <w:rFonts w:ascii="Arial" w:hAnsi="Arial" w:cs="Arial"/>
          <w:color w:val="222222"/>
          <w:sz w:val="22"/>
          <w:szCs w:val="22"/>
          <w:shd w:val="clear" w:color="auto" w:fill="FFFFFF"/>
        </w:rPr>
        <w:lastRenderedPageBreak/>
        <w:t xml:space="preserve">Manyika, J., Chui, M., </w:t>
      </w:r>
      <w:proofErr w:type="spellStart"/>
      <w:r w:rsidRPr="00BB08A9">
        <w:rPr>
          <w:rFonts w:ascii="Arial" w:hAnsi="Arial" w:cs="Arial"/>
          <w:color w:val="222222"/>
          <w:sz w:val="22"/>
          <w:szCs w:val="22"/>
          <w:shd w:val="clear" w:color="auto" w:fill="FFFFFF"/>
        </w:rPr>
        <w:t>Miremadi</w:t>
      </w:r>
      <w:proofErr w:type="spellEnd"/>
      <w:r w:rsidRPr="00BB08A9">
        <w:rPr>
          <w:rFonts w:ascii="Arial" w:hAnsi="Arial" w:cs="Arial"/>
          <w:color w:val="222222"/>
          <w:sz w:val="22"/>
          <w:szCs w:val="22"/>
          <w:shd w:val="clear" w:color="auto" w:fill="FFFFFF"/>
        </w:rPr>
        <w:t xml:space="preserve">, M., </w:t>
      </w:r>
      <w:proofErr w:type="spellStart"/>
      <w:r w:rsidRPr="00BB08A9">
        <w:rPr>
          <w:rFonts w:ascii="Arial" w:hAnsi="Arial" w:cs="Arial"/>
          <w:color w:val="222222"/>
          <w:sz w:val="22"/>
          <w:szCs w:val="22"/>
          <w:shd w:val="clear" w:color="auto" w:fill="FFFFFF"/>
        </w:rPr>
        <w:t>Bughin</w:t>
      </w:r>
      <w:proofErr w:type="spellEnd"/>
      <w:r w:rsidRPr="00BB08A9">
        <w:rPr>
          <w:rFonts w:ascii="Arial" w:hAnsi="Arial" w:cs="Arial"/>
          <w:color w:val="222222"/>
          <w:sz w:val="22"/>
          <w:szCs w:val="22"/>
          <w:shd w:val="clear" w:color="auto" w:fill="FFFFFF"/>
        </w:rPr>
        <w:t xml:space="preserve">, J., George, K., Willmott, P. and Dewhurst, M., </w:t>
      </w:r>
      <w:r>
        <w:rPr>
          <w:rFonts w:ascii="Arial" w:hAnsi="Arial" w:cs="Arial"/>
          <w:color w:val="222222"/>
          <w:sz w:val="22"/>
          <w:szCs w:val="22"/>
          <w:shd w:val="clear" w:color="auto" w:fill="FFFFFF"/>
        </w:rPr>
        <w:t>(</w:t>
      </w:r>
      <w:r w:rsidRPr="00BB08A9">
        <w:rPr>
          <w:rFonts w:ascii="Arial" w:hAnsi="Arial" w:cs="Arial"/>
          <w:color w:val="222222"/>
          <w:sz w:val="22"/>
          <w:szCs w:val="22"/>
          <w:shd w:val="clear" w:color="auto" w:fill="FFFFFF"/>
        </w:rPr>
        <w:t>2017</w:t>
      </w:r>
      <w:r>
        <w:rPr>
          <w:rFonts w:ascii="Arial" w:hAnsi="Arial" w:cs="Arial"/>
          <w:color w:val="222222"/>
          <w:sz w:val="22"/>
          <w:szCs w:val="22"/>
          <w:shd w:val="clear" w:color="auto" w:fill="FFFFFF"/>
        </w:rPr>
        <w:t>)</w:t>
      </w:r>
      <w:r w:rsidRPr="00BB08A9">
        <w:rPr>
          <w:rFonts w:ascii="Arial" w:hAnsi="Arial" w:cs="Arial"/>
          <w:color w:val="222222"/>
          <w:sz w:val="22"/>
          <w:szCs w:val="22"/>
          <w:shd w:val="clear" w:color="auto" w:fill="FFFFFF"/>
        </w:rPr>
        <w:t>. Harnessing automation for a future that works.</w:t>
      </w:r>
      <w:r w:rsidRPr="00BB08A9">
        <w:rPr>
          <w:rStyle w:val="apple-converted-space"/>
          <w:rFonts w:ascii="Arial" w:hAnsi="Arial" w:cs="Arial"/>
          <w:color w:val="222222"/>
          <w:sz w:val="22"/>
          <w:szCs w:val="22"/>
          <w:shd w:val="clear" w:color="auto" w:fill="FFFFFF"/>
        </w:rPr>
        <w:t> </w:t>
      </w:r>
      <w:r w:rsidRPr="00BB08A9">
        <w:rPr>
          <w:rFonts w:ascii="Arial" w:hAnsi="Arial" w:cs="Arial"/>
          <w:i/>
          <w:iCs/>
          <w:color w:val="222222"/>
          <w:sz w:val="22"/>
          <w:szCs w:val="22"/>
        </w:rPr>
        <w:t>McKinsey Global Institute</w:t>
      </w:r>
      <w:r w:rsidRPr="00BB08A9">
        <w:rPr>
          <w:rFonts w:ascii="Arial" w:hAnsi="Arial" w:cs="Arial"/>
          <w:color w:val="222222"/>
          <w:sz w:val="22"/>
          <w:szCs w:val="22"/>
          <w:shd w:val="clear" w:color="auto" w:fill="FFFFFF"/>
        </w:rPr>
        <w:t>,</w:t>
      </w:r>
      <w:r w:rsidRPr="00BB08A9">
        <w:rPr>
          <w:rStyle w:val="apple-converted-space"/>
          <w:rFonts w:ascii="Arial" w:hAnsi="Arial" w:cs="Arial"/>
          <w:color w:val="222222"/>
          <w:sz w:val="22"/>
          <w:szCs w:val="22"/>
          <w:shd w:val="clear" w:color="auto" w:fill="FFFFFF"/>
        </w:rPr>
        <w:t> </w:t>
      </w:r>
      <w:r w:rsidRPr="00BB08A9">
        <w:rPr>
          <w:rFonts w:ascii="Arial" w:hAnsi="Arial" w:cs="Arial"/>
          <w:i/>
          <w:iCs/>
          <w:color w:val="222222"/>
          <w:sz w:val="22"/>
          <w:szCs w:val="22"/>
        </w:rPr>
        <w:t>1</w:t>
      </w:r>
      <w:r w:rsidRPr="00BB08A9">
        <w:rPr>
          <w:rFonts w:ascii="Arial" w:hAnsi="Arial" w:cs="Arial"/>
          <w:color w:val="222222"/>
          <w:sz w:val="22"/>
          <w:szCs w:val="22"/>
          <w:shd w:val="clear" w:color="auto" w:fill="FFFFFF"/>
        </w:rPr>
        <w:t>(1), pp.2-4.</w:t>
      </w:r>
    </w:p>
    <w:p w14:paraId="1B325720" w14:textId="77777777" w:rsidR="003217CE" w:rsidRPr="00BB08A9" w:rsidRDefault="003217CE" w:rsidP="00D8188A">
      <w:pPr>
        <w:spacing w:line="360" w:lineRule="auto"/>
        <w:rPr>
          <w:rFonts w:ascii="Arial" w:hAnsi="Arial" w:cs="Arial"/>
          <w:color w:val="222222"/>
          <w:sz w:val="22"/>
          <w:szCs w:val="22"/>
          <w:shd w:val="clear" w:color="auto" w:fill="FFFFFF"/>
        </w:rPr>
      </w:pPr>
    </w:p>
    <w:p w14:paraId="3F924D8E" w14:textId="77777777" w:rsidR="006423C2" w:rsidRDefault="006423C2" w:rsidP="00D8188A">
      <w:pPr>
        <w:spacing w:line="360" w:lineRule="auto"/>
        <w:rPr>
          <w:rFonts w:ascii="Arial" w:eastAsia="Times New Roman" w:hAnsi="Arial" w:cs="Arial"/>
          <w:kern w:val="0"/>
          <w:sz w:val="22"/>
          <w:szCs w:val="22"/>
          <w:lang w:eastAsia="en-GB"/>
          <w14:ligatures w14:val="none"/>
        </w:rPr>
      </w:pPr>
      <w:r w:rsidRPr="00BB08A9">
        <w:rPr>
          <w:rFonts w:ascii="Arial" w:eastAsia="Times New Roman" w:hAnsi="Arial" w:cs="Arial"/>
          <w:kern w:val="0"/>
          <w:sz w:val="22"/>
          <w:szCs w:val="22"/>
          <w:lang w:eastAsia="en-GB"/>
          <w14:ligatures w14:val="none"/>
        </w:rPr>
        <w:t xml:space="preserve">McAnally, K. and Hagger, M.S. (2024) “Self-Determination Theory and Workplace Outcomes: A Conceptual Review and Future Research Directions,” </w:t>
      </w:r>
      <w:proofErr w:type="spellStart"/>
      <w:r w:rsidRPr="00BB08A9">
        <w:rPr>
          <w:rFonts w:ascii="Arial" w:eastAsia="Times New Roman" w:hAnsi="Arial" w:cs="Arial"/>
          <w:kern w:val="0"/>
          <w:sz w:val="22"/>
          <w:szCs w:val="22"/>
          <w:lang w:eastAsia="en-GB"/>
          <w14:ligatures w14:val="none"/>
        </w:rPr>
        <w:t>Behavioral</w:t>
      </w:r>
      <w:proofErr w:type="spellEnd"/>
      <w:r w:rsidRPr="00BB08A9">
        <w:rPr>
          <w:rFonts w:ascii="Arial" w:eastAsia="Times New Roman" w:hAnsi="Arial" w:cs="Arial"/>
          <w:kern w:val="0"/>
          <w:sz w:val="22"/>
          <w:szCs w:val="22"/>
          <w:lang w:eastAsia="en-GB"/>
          <w14:ligatures w14:val="none"/>
        </w:rPr>
        <w:t xml:space="preserve"> sciences, 14(6), p. 428. Available at: </w:t>
      </w:r>
      <w:hyperlink r:id="rId12" w:history="1">
        <w:r w:rsidRPr="00BB08A9">
          <w:rPr>
            <w:rStyle w:val="Hyperlink"/>
            <w:rFonts w:ascii="Arial" w:eastAsia="Times New Roman" w:hAnsi="Arial" w:cs="Arial"/>
            <w:kern w:val="0"/>
            <w:sz w:val="22"/>
            <w:szCs w:val="22"/>
            <w:lang w:eastAsia="en-GB"/>
            <w14:ligatures w14:val="none"/>
          </w:rPr>
          <w:t>https://doi.org/10.3390/bs14060428</w:t>
        </w:r>
      </w:hyperlink>
      <w:r w:rsidRPr="00BB08A9">
        <w:rPr>
          <w:rFonts w:ascii="Arial" w:eastAsia="Times New Roman" w:hAnsi="Arial" w:cs="Arial"/>
          <w:kern w:val="0"/>
          <w:sz w:val="22"/>
          <w:szCs w:val="22"/>
          <w:lang w:eastAsia="en-GB"/>
          <w14:ligatures w14:val="none"/>
        </w:rPr>
        <w:t xml:space="preserve">. </w:t>
      </w:r>
    </w:p>
    <w:p w14:paraId="5BEF3EBD" w14:textId="77777777" w:rsidR="003217CE" w:rsidRPr="00BB08A9" w:rsidRDefault="003217CE" w:rsidP="00D8188A">
      <w:pPr>
        <w:spacing w:line="360" w:lineRule="auto"/>
        <w:rPr>
          <w:rFonts w:ascii="Arial" w:eastAsia="Times New Roman" w:hAnsi="Arial" w:cs="Arial"/>
          <w:kern w:val="0"/>
          <w:sz w:val="22"/>
          <w:szCs w:val="22"/>
          <w:lang w:eastAsia="en-GB"/>
          <w14:ligatures w14:val="none"/>
        </w:rPr>
      </w:pPr>
    </w:p>
    <w:p w14:paraId="6AB62031" w14:textId="77777777" w:rsidR="006423C2" w:rsidRDefault="006423C2" w:rsidP="00D8188A">
      <w:pPr>
        <w:spacing w:line="360" w:lineRule="auto"/>
        <w:rPr>
          <w:rFonts w:ascii="Arial" w:hAnsi="Arial" w:cs="Arial"/>
          <w:color w:val="222222"/>
          <w:sz w:val="22"/>
          <w:szCs w:val="22"/>
          <w:shd w:val="clear" w:color="auto" w:fill="FFFFFF"/>
        </w:rPr>
      </w:pPr>
      <w:r w:rsidRPr="00184162">
        <w:rPr>
          <w:rFonts w:ascii="Arial" w:hAnsi="Arial" w:cs="Arial"/>
          <w:color w:val="222222"/>
          <w:sz w:val="22"/>
          <w:szCs w:val="22"/>
          <w:shd w:val="clear" w:color="auto" w:fill="FFFFFF"/>
        </w:rPr>
        <w:t xml:space="preserve">Russo, G. and Van Houten, G., </w:t>
      </w:r>
      <w:r>
        <w:rPr>
          <w:rFonts w:ascii="Arial" w:hAnsi="Arial" w:cs="Arial"/>
          <w:color w:val="222222"/>
          <w:sz w:val="22"/>
          <w:szCs w:val="22"/>
          <w:shd w:val="clear" w:color="auto" w:fill="FFFFFF"/>
        </w:rPr>
        <w:t>(</w:t>
      </w:r>
      <w:r w:rsidRPr="00184162">
        <w:rPr>
          <w:rFonts w:ascii="Arial" w:hAnsi="Arial" w:cs="Arial"/>
          <w:color w:val="222222"/>
          <w:sz w:val="22"/>
          <w:szCs w:val="22"/>
          <w:shd w:val="clear" w:color="auto" w:fill="FFFFFF"/>
        </w:rPr>
        <w:t>2021</w:t>
      </w:r>
      <w:r>
        <w:rPr>
          <w:rFonts w:ascii="Arial" w:hAnsi="Arial" w:cs="Arial"/>
          <w:color w:val="222222"/>
          <w:sz w:val="22"/>
          <w:szCs w:val="22"/>
          <w:shd w:val="clear" w:color="auto" w:fill="FFFFFF"/>
        </w:rPr>
        <w:t>)</w:t>
      </w:r>
      <w:r w:rsidRPr="00184162">
        <w:rPr>
          <w:rFonts w:ascii="Arial" w:hAnsi="Arial" w:cs="Arial"/>
          <w:color w:val="222222"/>
          <w:sz w:val="22"/>
          <w:szCs w:val="22"/>
          <w:shd w:val="clear" w:color="auto" w:fill="FFFFFF"/>
        </w:rPr>
        <w:t xml:space="preserve">. Complex Job Design and Layers of Hierarchy. Available at </w:t>
      </w:r>
      <w:hyperlink r:id="rId13" w:history="1">
        <w:r w:rsidRPr="00184162">
          <w:rPr>
            <w:rStyle w:val="Hyperlink"/>
            <w:rFonts w:ascii="Arial" w:hAnsi="Arial" w:cs="Arial"/>
            <w:sz w:val="22"/>
            <w:szCs w:val="22"/>
            <w:shd w:val="clear" w:color="auto" w:fill="FFFFFF"/>
          </w:rPr>
          <w:t>https://www.iza.org/publications/dp/14455</w:t>
        </w:r>
      </w:hyperlink>
      <w:r w:rsidRPr="00184162">
        <w:rPr>
          <w:rFonts w:ascii="Arial" w:hAnsi="Arial" w:cs="Arial"/>
          <w:color w:val="222222"/>
          <w:sz w:val="22"/>
          <w:szCs w:val="22"/>
          <w:shd w:val="clear" w:color="auto" w:fill="FFFFFF"/>
        </w:rPr>
        <w:t xml:space="preserve"> </w:t>
      </w:r>
    </w:p>
    <w:p w14:paraId="279F45A6" w14:textId="77777777" w:rsidR="003217CE" w:rsidRDefault="003217CE" w:rsidP="00D8188A">
      <w:pPr>
        <w:spacing w:line="360" w:lineRule="auto"/>
        <w:rPr>
          <w:rFonts w:ascii="Arial" w:hAnsi="Arial" w:cs="Arial"/>
          <w:color w:val="222222"/>
          <w:sz w:val="22"/>
          <w:szCs w:val="22"/>
          <w:shd w:val="clear" w:color="auto" w:fill="FFFFFF"/>
        </w:rPr>
      </w:pPr>
    </w:p>
    <w:p w14:paraId="67FDEF4F" w14:textId="77777777" w:rsidR="006423C2" w:rsidRDefault="006423C2" w:rsidP="00D8188A">
      <w:pPr>
        <w:spacing w:line="360" w:lineRule="auto"/>
        <w:rPr>
          <w:rFonts w:ascii="Arial" w:hAnsi="Arial" w:cs="Arial"/>
          <w:sz w:val="22"/>
          <w:szCs w:val="22"/>
        </w:rPr>
      </w:pPr>
      <w:r w:rsidRPr="0028658E">
        <w:rPr>
          <w:rFonts w:ascii="Arial" w:hAnsi="Arial" w:cs="Arial"/>
          <w:sz w:val="22"/>
          <w:szCs w:val="22"/>
        </w:rPr>
        <w:t xml:space="preserve">Stahl, B.C. et al. (2023) “Assessing responsible innovation training,” Journal of responsible technology, 16. Available at: </w:t>
      </w:r>
      <w:hyperlink r:id="rId14" w:history="1">
        <w:r w:rsidRPr="0091148D">
          <w:rPr>
            <w:rStyle w:val="Hyperlink"/>
            <w:rFonts w:ascii="Arial" w:hAnsi="Arial" w:cs="Arial"/>
            <w:sz w:val="22"/>
            <w:szCs w:val="22"/>
          </w:rPr>
          <w:t>https://doi.org/10.1016/j.jrt.2023.100063</w:t>
        </w:r>
      </w:hyperlink>
      <w:r w:rsidRPr="0028658E">
        <w:rPr>
          <w:rFonts w:ascii="Arial" w:hAnsi="Arial" w:cs="Arial"/>
          <w:sz w:val="22"/>
          <w:szCs w:val="22"/>
        </w:rPr>
        <w:t>.</w:t>
      </w:r>
      <w:r>
        <w:rPr>
          <w:rFonts w:ascii="Arial" w:hAnsi="Arial" w:cs="Arial"/>
          <w:sz w:val="22"/>
          <w:szCs w:val="22"/>
        </w:rPr>
        <w:t xml:space="preserve"> </w:t>
      </w:r>
    </w:p>
    <w:p w14:paraId="39F1AF33" w14:textId="77777777" w:rsidR="003217CE" w:rsidRDefault="003217CE" w:rsidP="00D8188A">
      <w:pPr>
        <w:spacing w:line="360" w:lineRule="auto"/>
        <w:rPr>
          <w:rFonts w:ascii="Arial" w:hAnsi="Arial" w:cs="Arial"/>
          <w:sz w:val="22"/>
          <w:szCs w:val="22"/>
        </w:rPr>
      </w:pPr>
    </w:p>
    <w:p w14:paraId="13D29F0A" w14:textId="77777777" w:rsidR="006423C2" w:rsidRDefault="006423C2" w:rsidP="00D8188A">
      <w:pPr>
        <w:spacing w:line="360" w:lineRule="auto"/>
        <w:rPr>
          <w:rFonts w:ascii="Arial" w:hAnsi="Arial" w:cs="Arial"/>
          <w:sz w:val="22"/>
          <w:szCs w:val="22"/>
        </w:rPr>
      </w:pPr>
      <w:r w:rsidRPr="0027731D">
        <w:rPr>
          <w:rFonts w:ascii="Arial" w:hAnsi="Arial" w:cs="Arial"/>
          <w:sz w:val="22"/>
          <w:szCs w:val="22"/>
        </w:rPr>
        <w:t xml:space="preserve"> Tuttle, M. (2002) “A Review and Critique of Van Maanen and Schein’s ‘Toward a Theory of Organizational Socialization’ and Implications for Human Resource Development,” Human resource development review, 1(1), pp. 66–90. Available at: </w:t>
      </w:r>
      <w:hyperlink r:id="rId15" w:history="1">
        <w:r w:rsidRPr="0091148D">
          <w:rPr>
            <w:rStyle w:val="Hyperlink"/>
            <w:rFonts w:ascii="Arial" w:hAnsi="Arial" w:cs="Arial"/>
            <w:sz w:val="22"/>
            <w:szCs w:val="22"/>
          </w:rPr>
          <w:t>https://doi.org/10.1177/1534484302011004</w:t>
        </w:r>
      </w:hyperlink>
      <w:r w:rsidRPr="0027731D">
        <w:rPr>
          <w:rFonts w:ascii="Arial" w:hAnsi="Arial" w:cs="Arial"/>
          <w:sz w:val="22"/>
          <w:szCs w:val="22"/>
        </w:rPr>
        <w:t>.</w:t>
      </w:r>
      <w:r>
        <w:rPr>
          <w:rFonts w:ascii="Arial" w:hAnsi="Arial" w:cs="Arial"/>
          <w:sz w:val="22"/>
          <w:szCs w:val="22"/>
        </w:rPr>
        <w:t xml:space="preserve"> </w:t>
      </w:r>
    </w:p>
    <w:p w14:paraId="7DA6D8B4" w14:textId="77777777" w:rsidR="005E2FEF" w:rsidRDefault="005E2FEF" w:rsidP="00D8188A">
      <w:pPr>
        <w:spacing w:line="360" w:lineRule="auto"/>
        <w:rPr>
          <w:rFonts w:ascii="Arial" w:hAnsi="Arial" w:cs="Arial"/>
          <w:sz w:val="22"/>
          <w:szCs w:val="22"/>
        </w:rPr>
      </w:pPr>
    </w:p>
    <w:p w14:paraId="122C0758" w14:textId="77777777" w:rsidR="006423C2" w:rsidRDefault="006423C2" w:rsidP="00D8188A">
      <w:pPr>
        <w:spacing w:line="360" w:lineRule="auto"/>
        <w:rPr>
          <w:rFonts w:ascii="Arial" w:hAnsi="Arial" w:cs="Arial"/>
          <w:sz w:val="22"/>
          <w:szCs w:val="22"/>
        </w:rPr>
      </w:pPr>
      <w:r w:rsidRPr="00B7539F">
        <w:rPr>
          <w:rFonts w:ascii="Arial" w:hAnsi="Arial" w:cs="Arial"/>
          <w:sz w:val="22"/>
          <w:szCs w:val="22"/>
        </w:rPr>
        <w:t xml:space="preserve">Van den Broeck, A. et al. (2011) “Understanding Workaholics’ Motivations: A Self-Determination Perspective,” Applied psychology, 60(4), pp. 600–621. Available at: </w:t>
      </w:r>
      <w:hyperlink r:id="rId16" w:history="1">
        <w:r w:rsidRPr="0091148D">
          <w:rPr>
            <w:rStyle w:val="Hyperlink"/>
            <w:rFonts w:ascii="Arial" w:hAnsi="Arial" w:cs="Arial"/>
            <w:sz w:val="22"/>
            <w:szCs w:val="22"/>
          </w:rPr>
          <w:t>https://doi.org/10.1111/j.1464-0597.2011.00449.x</w:t>
        </w:r>
      </w:hyperlink>
      <w:r w:rsidRPr="00B7539F">
        <w:rPr>
          <w:rFonts w:ascii="Arial" w:hAnsi="Arial" w:cs="Arial"/>
          <w:sz w:val="22"/>
          <w:szCs w:val="22"/>
        </w:rPr>
        <w:t>.</w:t>
      </w:r>
      <w:r>
        <w:rPr>
          <w:rFonts w:ascii="Arial" w:hAnsi="Arial" w:cs="Arial"/>
          <w:sz w:val="22"/>
          <w:szCs w:val="22"/>
        </w:rPr>
        <w:t xml:space="preserve"> </w:t>
      </w:r>
    </w:p>
    <w:p w14:paraId="66613704" w14:textId="77777777" w:rsidR="005E2FEF" w:rsidRDefault="005E2FEF" w:rsidP="00D8188A">
      <w:pPr>
        <w:spacing w:line="360" w:lineRule="auto"/>
        <w:rPr>
          <w:rFonts w:ascii="Arial" w:hAnsi="Arial" w:cs="Arial"/>
          <w:sz w:val="22"/>
          <w:szCs w:val="22"/>
        </w:rPr>
      </w:pPr>
    </w:p>
    <w:p w14:paraId="3E228419" w14:textId="77777777" w:rsidR="006423C2" w:rsidRDefault="006423C2" w:rsidP="00D8188A">
      <w:pPr>
        <w:spacing w:line="360" w:lineRule="auto"/>
        <w:rPr>
          <w:rFonts w:ascii="Arial" w:eastAsia="Times New Roman" w:hAnsi="Arial" w:cs="Arial"/>
          <w:kern w:val="0"/>
          <w:sz w:val="22"/>
          <w:szCs w:val="22"/>
          <w:lang w:eastAsia="en-GB"/>
          <w14:ligatures w14:val="none"/>
        </w:rPr>
      </w:pPr>
      <w:r w:rsidRPr="00BB08A9">
        <w:rPr>
          <w:rFonts w:ascii="Arial" w:eastAsia="Times New Roman" w:hAnsi="Arial" w:cs="Arial"/>
          <w:kern w:val="0"/>
          <w:sz w:val="22"/>
          <w:szCs w:val="22"/>
          <w:lang w:eastAsia="en-GB"/>
          <w14:ligatures w14:val="none"/>
        </w:rPr>
        <w:t xml:space="preserve">Vansteenkiste, M., Ryan, R.M. and Soenens, B. (2020) “Basic psychological need theory: Advancements, critical themes, and future directions,” Motivation and emotion, 44(1), pp. 1–31. Available at: </w:t>
      </w:r>
      <w:hyperlink r:id="rId17" w:history="1">
        <w:r w:rsidRPr="00BB08A9">
          <w:rPr>
            <w:rStyle w:val="Hyperlink"/>
            <w:rFonts w:ascii="Arial" w:eastAsia="Times New Roman" w:hAnsi="Arial" w:cs="Arial"/>
            <w:kern w:val="0"/>
            <w:sz w:val="22"/>
            <w:szCs w:val="22"/>
            <w:lang w:eastAsia="en-GB"/>
            <w14:ligatures w14:val="none"/>
          </w:rPr>
          <w:t>https://doi.org/10.1007/s11031-019-09818-1</w:t>
        </w:r>
      </w:hyperlink>
      <w:r w:rsidRPr="00BB08A9">
        <w:rPr>
          <w:rFonts w:ascii="Arial" w:eastAsia="Times New Roman" w:hAnsi="Arial" w:cs="Arial"/>
          <w:kern w:val="0"/>
          <w:sz w:val="22"/>
          <w:szCs w:val="22"/>
          <w:lang w:eastAsia="en-GB"/>
          <w14:ligatures w14:val="none"/>
        </w:rPr>
        <w:t xml:space="preserve">. </w:t>
      </w:r>
    </w:p>
    <w:p w14:paraId="22A23AE4" w14:textId="77777777" w:rsidR="005E2FEF" w:rsidRPr="00BB08A9" w:rsidRDefault="005E2FEF" w:rsidP="00D8188A">
      <w:pPr>
        <w:spacing w:line="360" w:lineRule="auto"/>
        <w:rPr>
          <w:rFonts w:ascii="Arial" w:eastAsia="Times New Roman" w:hAnsi="Arial" w:cs="Arial"/>
          <w:kern w:val="0"/>
          <w:sz w:val="22"/>
          <w:szCs w:val="22"/>
          <w:lang w:eastAsia="en-GB"/>
          <w14:ligatures w14:val="none"/>
        </w:rPr>
      </w:pPr>
    </w:p>
    <w:p w14:paraId="4D3297B6" w14:textId="77777777" w:rsidR="006423C2" w:rsidRDefault="006423C2" w:rsidP="00D8188A">
      <w:pPr>
        <w:spacing w:line="360" w:lineRule="auto"/>
        <w:rPr>
          <w:rFonts w:ascii="Arial" w:hAnsi="Arial" w:cs="Arial"/>
          <w:sz w:val="22"/>
          <w:szCs w:val="22"/>
        </w:rPr>
      </w:pPr>
      <w:r w:rsidRPr="007558D0">
        <w:rPr>
          <w:rFonts w:ascii="Arial" w:hAnsi="Arial" w:cs="Arial"/>
          <w:sz w:val="22"/>
          <w:szCs w:val="22"/>
        </w:rPr>
        <w:t xml:space="preserve">Woodrow, C. and Guest, D.E. (2020) “Pathways through organizational socialization: A longitudinal qualitative study based on the psychological contract,” Journal of occupational and organizational psychology, 93(1), pp. 110–133. Available at: </w:t>
      </w:r>
      <w:hyperlink r:id="rId18" w:history="1">
        <w:r w:rsidRPr="0091148D">
          <w:rPr>
            <w:rStyle w:val="Hyperlink"/>
            <w:rFonts w:ascii="Arial" w:hAnsi="Arial" w:cs="Arial"/>
            <w:sz w:val="22"/>
            <w:szCs w:val="22"/>
          </w:rPr>
          <w:t>https://doi.org/10.1111/joop.12285</w:t>
        </w:r>
      </w:hyperlink>
      <w:r w:rsidRPr="007558D0">
        <w:rPr>
          <w:rFonts w:ascii="Arial" w:hAnsi="Arial" w:cs="Arial"/>
          <w:sz w:val="22"/>
          <w:szCs w:val="22"/>
        </w:rPr>
        <w:t>.</w:t>
      </w:r>
      <w:r>
        <w:rPr>
          <w:rFonts w:ascii="Arial" w:hAnsi="Arial" w:cs="Arial"/>
          <w:sz w:val="22"/>
          <w:szCs w:val="22"/>
        </w:rPr>
        <w:t xml:space="preserve"> </w:t>
      </w:r>
    </w:p>
    <w:p w14:paraId="2CB4CCF7" w14:textId="77777777" w:rsidR="005E2FEF" w:rsidRDefault="005E2FEF" w:rsidP="00D8188A">
      <w:pPr>
        <w:spacing w:line="360" w:lineRule="auto"/>
        <w:rPr>
          <w:rFonts w:ascii="Arial" w:hAnsi="Arial" w:cs="Arial"/>
          <w:sz w:val="22"/>
          <w:szCs w:val="22"/>
        </w:rPr>
      </w:pPr>
    </w:p>
    <w:p w14:paraId="28F2F8C9" w14:textId="77777777" w:rsidR="006423C2" w:rsidRDefault="006423C2" w:rsidP="00D8188A">
      <w:pPr>
        <w:spacing w:line="360" w:lineRule="auto"/>
        <w:rPr>
          <w:rFonts w:ascii="Arial" w:hAnsi="Arial" w:cs="Arial"/>
          <w:sz w:val="22"/>
          <w:szCs w:val="22"/>
        </w:rPr>
      </w:pPr>
      <w:r w:rsidRPr="006F591C">
        <w:rPr>
          <w:rFonts w:ascii="Arial" w:hAnsi="Arial" w:cs="Arial"/>
          <w:sz w:val="22"/>
          <w:szCs w:val="22"/>
        </w:rPr>
        <w:t xml:space="preserve">Woodrow, C., Erdem, C. and Guest, D.E. (2024) “The role of previous experience in the analysis of the psychological contract and its outcomes during the socialization process: a signalling theory perspective,” International journal of human resource management, 35(18), pp. 3145–3171. Available at: </w:t>
      </w:r>
      <w:hyperlink r:id="rId19" w:history="1">
        <w:r w:rsidRPr="0091148D">
          <w:rPr>
            <w:rStyle w:val="Hyperlink"/>
            <w:rFonts w:ascii="Arial" w:hAnsi="Arial" w:cs="Arial"/>
            <w:sz w:val="22"/>
            <w:szCs w:val="22"/>
          </w:rPr>
          <w:t>https://doi.org/10.1080/09585192.2024.2401582</w:t>
        </w:r>
      </w:hyperlink>
      <w:r w:rsidRPr="006F591C">
        <w:rPr>
          <w:rFonts w:ascii="Arial" w:hAnsi="Arial" w:cs="Arial"/>
          <w:sz w:val="22"/>
          <w:szCs w:val="22"/>
        </w:rPr>
        <w:t>.</w:t>
      </w:r>
      <w:r>
        <w:rPr>
          <w:rFonts w:ascii="Arial" w:hAnsi="Arial" w:cs="Arial"/>
          <w:sz w:val="22"/>
          <w:szCs w:val="22"/>
        </w:rPr>
        <w:t xml:space="preserve"> </w:t>
      </w:r>
    </w:p>
    <w:p w14:paraId="2A761508" w14:textId="77777777" w:rsidR="005E2FEF" w:rsidRDefault="005E2FEF" w:rsidP="00D8188A">
      <w:pPr>
        <w:spacing w:line="360" w:lineRule="auto"/>
        <w:rPr>
          <w:rFonts w:ascii="Arial" w:hAnsi="Arial" w:cs="Arial"/>
          <w:sz w:val="22"/>
          <w:szCs w:val="22"/>
        </w:rPr>
      </w:pPr>
    </w:p>
    <w:p w14:paraId="0C3EFE6E" w14:textId="77777777" w:rsidR="006423C2" w:rsidRDefault="006423C2" w:rsidP="00D8188A">
      <w:pPr>
        <w:spacing w:line="360" w:lineRule="auto"/>
        <w:rPr>
          <w:rFonts w:ascii="Arial" w:hAnsi="Arial" w:cs="Arial"/>
          <w:sz w:val="22"/>
          <w:szCs w:val="22"/>
        </w:rPr>
      </w:pPr>
      <w:r w:rsidRPr="00FD1451">
        <w:rPr>
          <w:rFonts w:ascii="Arial" w:hAnsi="Arial" w:cs="Arial"/>
          <w:sz w:val="22"/>
          <w:szCs w:val="22"/>
        </w:rPr>
        <w:lastRenderedPageBreak/>
        <w:t xml:space="preserve"> Wrzesniewski, A. and Dutton, J.E. (2001) “Crafting a Job: Revisioning Employees as Active Crafters of Their Work,” The Academy of Management review, 26(2), pp. 179–201. Available at: </w:t>
      </w:r>
      <w:hyperlink r:id="rId20" w:history="1">
        <w:r w:rsidRPr="0091148D">
          <w:rPr>
            <w:rStyle w:val="Hyperlink"/>
            <w:rFonts w:ascii="Arial" w:hAnsi="Arial" w:cs="Arial"/>
            <w:sz w:val="22"/>
            <w:szCs w:val="22"/>
          </w:rPr>
          <w:t>https://doi.org/10.5465/amr.2001.4378011</w:t>
        </w:r>
      </w:hyperlink>
      <w:r w:rsidRPr="00FD1451">
        <w:rPr>
          <w:rFonts w:ascii="Arial" w:hAnsi="Arial" w:cs="Arial"/>
          <w:sz w:val="22"/>
          <w:szCs w:val="22"/>
        </w:rPr>
        <w:t>.</w:t>
      </w:r>
      <w:r>
        <w:rPr>
          <w:rFonts w:ascii="Arial" w:hAnsi="Arial" w:cs="Arial"/>
          <w:sz w:val="22"/>
          <w:szCs w:val="22"/>
        </w:rPr>
        <w:t xml:space="preserve"> </w:t>
      </w:r>
    </w:p>
    <w:p w14:paraId="3490E691" w14:textId="77777777" w:rsidR="005E2FEF" w:rsidRDefault="005E2FEF" w:rsidP="00D8188A">
      <w:pPr>
        <w:spacing w:line="360" w:lineRule="auto"/>
        <w:rPr>
          <w:rFonts w:ascii="Arial" w:hAnsi="Arial" w:cs="Arial"/>
          <w:sz w:val="22"/>
          <w:szCs w:val="22"/>
        </w:rPr>
      </w:pPr>
    </w:p>
    <w:p w14:paraId="67B37968" w14:textId="77777777" w:rsidR="006423C2" w:rsidRDefault="006423C2" w:rsidP="00D8188A">
      <w:pPr>
        <w:spacing w:line="360" w:lineRule="auto"/>
        <w:rPr>
          <w:rFonts w:ascii="Arial" w:hAnsi="Arial" w:cs="Arial"/>
          <w:sz w:val="22"/>
          <w:szCs w:val="22"/>
        </w:rPr>
      </w:pPr>
      <w:r w:rsidRPr="00E75F10">
        <w:rPr>
          <w:rFonts w:ascii="Arial" w:hAnsi="Arial" w:cs="Arial"/>
          <w:sz w:val="22"/>
          <w:szCs w:val="22"/>
        </w:rPr>
        <w:t xml:space="preserve">Yue, C.A. et al. (2024) “The Impact of Supervisory Communication on Newcomers’ Adjustment, Well-Being, and Relationships With Their Organization: A Longitudinal Study,” Communication research [Preprint]. Available at: </w:t>
      </w:r>
      <w:hyperlink r:id="rId21" w:history="1">
        <w:r w:rsidRPr="0091148D">
          <w:rPr>
            <w:rStyle w:val="Hyperlink"/>
            <w:rFonts w:ascii="Arial" w:hAnsi="Arial" w:cs="Arial"/>
            <w:sz w:val="22"/>
            <w:szCs w:val="22"/>
          </w:rPr>
          <w:t>https://doi.org/10.1177/00936502241234011</w:t>
        </w:r>
      </w:hyperlink>
      <w:r w:rsidRPr="00E75F10">
        <w:rPr>
          <w:rFonts w:ascii="Arial" w:hAnsi="Arial" w:cs="Arial"/>
          <w:sz w:val="22"/>
          <w:szCs w:val="22"/>
        </w:rPr>
        <w:t>.</w:t>
      </w:r>
      <w:r>
        <w:rPr>
          <w:rFonts w:ascii="Arial" w:hAnsi="Arial" w:cs="Arial"/>
          <w:sz w:val="22"/>
          <w:szCs w:val="22"/>
        </w:rPr>
        <w:t xml:space="preserve"> </w:t>
      </w:r>
    </w:p>
    <w:p w14:paraId="72BC4DCD" w14:textId="77777777" w:rsidR="005E2FEF" w:rsidRDefault="005E2FEF" w:rsidP="00D8188A">
      <w:pPr>
        <w:spacing w:line="360" w:lineRule="auto"/>
        <w:rPr>
          <w:rFonts w:ascii="Arial" w:hAnsi="Arial" w:cs="Arial"/>
          <w:sz w:val="22"/>
          <w:szCs w:val="22"/>
        </w:rPr>
      </w:pPr>
    </w:p>
    <w:p w14:paraId="6B457481" w14:textId="77777777" w:rsidR="006423C2" w:rsidRDefault="006423C2" w:rsidP="00D8188A">
      <w:pPr>
        <w:spacing w:line="360" w:lineRule="auto"/>
        <w:rPr>
          <w:rFonts w:ascii="Arial" w:hAnsi="Arial" w:cs="Arial"/>
          <w:sz w:val="22"/>
          <w:szCs w:val="22"/>
        </w:rPr>
      </w:pPr>
      <w:r w:rsidRPr="00BC1BF6">
        <w:rPr>
          <w:rFonts w:ascii="Arial" w:hAnsi="Arial" w:cs="Arial"/>
          <w:sz w:val="22"/>
          <w:szCs w:val="22"/>
        </w:rPr>
        <w:t xml:space="preserve">Zhang, F. et al. (2025) “Where is the Future of Work Design Research </w:t>
      </w:r>
      <w:proofErr w:type="gramStart"/>
      <w:r w:rsidRPr="00BC1BF6">
        <w:rPr>
          <w:rFonts w:ascii="Arial" w:hAnsi="Arial" w:cs="Arial"/>
          <w:sz w:val="22"/>
          <w:szCs w:val="22"/>
        </w:rPr>
        <w:t>Heading?,</w:t>
      </w:r>
      <w:proofErr w:type="gramEnd"/>
      <w:r w:rsidRPr="00BC1BF6">
        <w:rPr>
          <w:rFonts w:ascii="Arial" w:hAnsi="Arial" w:cs="Arial"/>
          <w:sz w:val="22"/>
          <w:szCs w:val="22"/>
        </w:rPr>
        <w:t xml:space="preserve">” Transformative Work Design. New York: Oxford University Press. Available at: </w:t>
      </w:r>
      <w:hyperlink r:id="rId22" w:history="1">
        <w:r w:rsidRPr="0091148D">
          <w:rPr>
            <w:rStyle w:val="Hyperlink"/>
            <w:rFonts w:ascii="Arial" w:hAnsi="Arial" w:cs="Arial"/>
            <w:sz w:val="22"/>
            <w:szCs w:val="22"/>
          </w:rPr>
          <w:t>https://doi.org/10.1093/oso/9780197692554.003.0025</w:t>
        </w:r>
      </w:hyperlink>
      <w:r w:rsidRPr="00BC1BF6">
        <w:rPr>
          <w:rFonts w:ascii="Arial" w:hAnsi="Arial" w:cs="Arial"/>
          <w:sz w:val="22"/>
          <w:szCs w:val="22"/>
        </w:rPr>
        <w:t>.</w:t>
      </w:r>
      <w:r>
        <w:rPr>
          <w:rFonts w:ascii="Arial" w:hAnsi="Arial" w:cs="Arial"/>
          <w:sz w:val="22"/>
          <w:szCs w:val="22"/>
        </w:rPr>
        <w:t xml:space="preserve"> </w:t>
      </w:r>
    </w:p>
    <w:p w14:paraId="1F1D9D1B" w14:textId="77777777" w:rsidR="00CF23FD" w:rsidRPr="005A3E0B" w:rsidRDefault="00CF23FD" w:rsidP="00EA7DEB">
      <w:pPr>
        <w:rPr>
          <w:rFonts w:ascii="Baskerville Old Face" w:hAnsi="Baskerville Old Face" w:cs="Times New Roman"/>
          <w:b/>
          <w:bCs/>
          <w:sz w:val="40"/>
          <w:szCs w:val="40"/>
        </w:rPr>
      </w:pPr>
    </w:p>
    <w:sectPr w:rsidR="00CF23FD" w:rsidRPr="005A3E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Baskerville Old Face">
    <w:panose1 w:val="02020602080505020303"/>
    <w:charset w:val="4D"/>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E0B"/>
    <w:rsid w:val="000049CE"/>
    <w:rsid w:val="00012E9D"/>
    <w:rsid w:val="00027C55"/>
    <w:rsid w:val="00034DE3"/>
    <w:rsid w:val="00042A2B"/>
    <w:rsid w:val="000509AC"/>
    <w:rsid w:val="00062CC9"/>
    <w:rsid w:val="00070D47"/>
    <w:rsid w:val="000845C6"/>
    <w:rsid w:val="000B3DCA"/>
    <w:rsid w:val="000C2A06"/>
    <w:rsid w:val="000E572F"/>
    <w:rsid w:val="000F717E"/>
    <w:rsid w:val="001136B0"/>
    <w:rsid w:val="00140DD4"/>
    <w:rsid w:val="00144959"/>
    <w:rsid w:val="001576FE"/>
    <w:rsid w:val="00163B5E"/>
    <w:rsid w:val="0017630F"/>
    <w:rsid w:val="00184162"/>
    <w:rsid w:val="001B0805"/>
    <w:rsid w:val="001C32CD"/>
    <w:rsid w:val="001C3BA2"/>
    <w:rsid w:val="001E14AA"/>
    <w:rsid w:val="001E1C6C"/>
    <w:rsid w:val="001F387D"/>
    <w:rsid w:val="00251229"/>
    <w:rsid w:val="00253CE0"/>
    <w:rsid w:val="002563C9"/>
    <w:rsid w:val="0027655B"/>
    <w:rsid w:val="00276A04"/>
    <w:rsid w:val="0027731D"/>
    <w:rsid w:val="0028658E"/>
    <w:rsid w:val="00290AB2"/>
    <w:rsid w:val="002D2822"/>
    <w:rsid w:val="002E54C3"/>
    <w:rsid w:val="003217CE"/>
    <w:rsid w:val="003217D4"/>
    <w:rsid w:val="003229B9"/>
    <w:rsid w:val="00334A40"/>
    <w:rsid w:val="00341392"/>
    <w:rsid w:val="00344A98"/>
    <w:rsid w:val="0035028F"/>
    <w:rsid w:val="00373582"/>
    <w:rsid w:val="0039072A"/>
    <w:rsid w:val="00393761"/>
    <w:rsid w:val="003A02FC"/>
    <w:rsid w:val="003B2E8C"/>
    <w:rsid w:val="003B2EE3"/>
    <w:rsid w:val="003F3007"/>
    <w:rsid w:val="004147ED"/>
    <w:rsid w:val="00472EB6"/>
    <w:rsid w:val="00480BA5"/>
    <w:rsid w:val="004A2DEB"/>
    <w:rsid w:val="004A73D3"/>
    <w:rsid w:val="004B28F7"/>
    <w:rsid w:val="004C42AC"/>
    <w:rsid w:val="004C51C8"/>
    <w:rsid w:val="004F2B59"/>
    <w:rsid w:val="0050572F"/>
    <w:rsid w:val="005313D5"/>
    <w:rsid w:val="005461EF"/>
    <w:rsid w:val="00585DDE"/>
    <w:rsid w:val="00590B0A"/>
    <w:rsid w:val="005A1E9C"/>
    <w:rsid w:val="005A36FF"/>
    <w:rsid w:val="005A3E0B"/>
    <w:rsid w:val="005A756B"/>
    <w:rsid w:val="005E1293"/>
    <w:rsid w:val="005E2FEF"/>
    <w:rsid w:val="0060558A"/>
    <w:rsid w:val="00610B39"/>
    <w:rsid w:val="00626340"/>
    <w:rsid w:val="006423C2"/>
    <w:rsid w:val="00662D25"/>
    <w:rsid w:val="00672653"/>
    <w:rsid w:val="00677106"/>
    <w:rsid w:val="006960FF"/>
    <w:rsid w:val="006A322C"/>
    <w:rsid w:val="006B23C7"/>
    <w:rsid w:val="006C4ED8"/>
    <w:rsid w:val="006E3ECE"/>
    <w:rsid w:val="006F1CB0"/>
    <w:rsid w:val="006F591C"/>
    <w:rsid w:val="007271FE"/>
    <w:rsid w:val="007558D0"/>
    <w:rsid w:val="0075641E"/>
    <w:rsid w:val="00780532"/>
    <w:rsid w:val="00790167"/>
    <w:rsid w:val="00797C28"/>
    <w:rsid w:val="007A6EFA"/>
    <w:rsid w:val="007A705E"/>
    <w:rsid w:val="007C09B1"/>
    <w:rsid w:val="007C2EE4"/>
    <w:rsid w:val="007E7EBB"/>
    <w:rsid w:val="007F4342"/>
    <w:rsid w:val="00803E13"/>
    <w:rsid w:val="00830365"/>
    <w:rsid w:val="008640BD"/>
    <w:rsid w:val="00864D18"/>
    <w:rsid w:val="0087125C"/>
    <w:rsid w:val="00873C93"/>
    <w:rsid w:val="00877DBE"/>
    <w:rsid w:val="00891AB0"/>
    <w:rsid w:val="008A24E5"/>
    <w:rsid w:val="008C46C6"/>
    <w:rsid w:val="008E3986"/>
    <w:rsid w:val="008E4338"/>
    <w:rsid w:val="00900D66"/>
    <w:rsid w:val="00920585"/>
    <w:rsid w:val="00921D9C"/>
    <w:rsid w:val="00940D95"/>
    <w:rsid w:val="009475F8"/>
    <w:rsid w:val="0095190F"/>
    <w:rsid w:val="00986108"/>
    <w:rsid w:val="0099329A"/>
    <w:rsid w:val="009A19EA"/>
    <w:rsid w:val="009A1BAB"/>
    <w:rsid w:val="009A2C00"/>
    <w:rsid w:val="009B2FF5"/>
    <w:rsid w:val="009D7D96"/>
    <w:rsid w:val="00A127DE"/>
    <w:rsid w:val="00A7066F"/>
    <w:rsid w:val="00A83D48"/>
    <w:rsid w:val="00AB3CFC"/>
    <w:rsid w:val="00AB6A51"/>
    <w:rsid w:val="00AD0DE0"/>
    <w:rsid w:val="00AD66EE"/>
    <w:rsid w:val="00AF4A69"/>
    <w:rsid w:val="00AF66E7"/>
    <w:rsid w:val="00B256E8"/>
    <w:rsid w:val="00B30428"/>
    <w:rsid w:val="00B42F05"/>
    <w:rsid w:val="00B522BE"/>
    <w:rsid w:val="00B7539F"/>
    <w:rsid w:val="00B816D5"/>
    <w:rsid w:val="00B84B74"/>
    <w:rsid w:val="00BA4B8E"/>
    <w:rsid w:val="00BB08A9"/>
    <w:rsid w:val="00BC1BF6"/>
    <w:rsid w:val="00BC75B3"/>
    <w:rsid w:val="00BD7B0D"/>
    <w:rsid w:val="00BE6AC1"/>
    <w:rsid w:val="00BF185E"/>
    <w:rsid w:val="00C033ED"/>
    <w:rsid w:val="00C04F4B"/>
    <w:rsid w:val="00C618B9"/>
    <w:rsid w:val="00CA79A4"/>
    <w:rsid w:val="00CD5B22"/>
    <w:rsid w:val="00CE3D68"/>
    <w:rsid w:val="00CE556D"/>
    <w:rsid w:val="00CF23FD"/>
    <w:rsid w:val="00D252DF"/>
    <w:rsid w:val="00D376B0"/>
    <w:rsid w:val="00D45F33"/>
    <w:rsid w:val="00D5287D"/>
    <w:rsid w:val="00D659CB"/>
    <w:rsid w:val="00D8188A"/>
    <w:rsid w:val="00DA087B"/>
    <w:rsid w:val="00DA2E30"/>
    <w:rsid w:val="00DC4E9E"/>
    <w:rsid w:val="00E13661"/>
    <w:rsid w:val="00E26221"/>
    <w:rsid w:val="00E4147B"/>
    <w:rsid w:val="00E433AA"/>
    <w:rsid w:val="00E5191A"/>
    <w:rsid w:val="00E67388"/>
    <w:rsid w:val="00E75F10"/>
    <w:rsid w:val="00E84B69"/>
    <w:rsid w:val="00E87862"/>
    <w:rsid w:val="00E87E3D"/>
    <w:rsid w:val="00E950B8"/>
    <w:rsid w:val="00EA7DEB"/>
    <w:rsid w:val="00ED60E2"/>
    <w:rsid w:val="00F11854"/>
    <w:rsid w:val="00F11C34"/>
    <w:rsid w:val="00F12A99"/>
    <w:rsid w:val="00F42B1A"/>
    <w:rsid w:val="00F43E58"/>
    <w:rsid w:val="00F44664"/>
    <w:rsid w:val="00F450D1"/>
    <w:rsid w:val="00F678F6"/>
    <w:rsid w:val="00F704CA"/>
    <w:rsid w:val="00F70DE6"/>
    <w:rsid w:val="00F92D17"/>
    <w:rsid w:val="00F93D9B"/>
    <w:rsid w:val="00F94D21"/>
    <w:rsid w:val="00FD1451"/>
    <w:rsid w:val="00FD799D"/>
    <w:rsid w:val="00FE2C56"/>
    <w:rsid w:val="00FF4C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084CB"/>
  <w15:chartTrackingRefBased/>
  <w15:docId w15:val="{5E090149-9450-6F4A-9BD0-F918A9EBC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3E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A3E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3E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3E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3E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3E0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3E0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3E0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3E0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3E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A3E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3E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3E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3E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3E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3E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3E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3E0B"/>
    <w:rPr>
      <w:rFonts w:eastAsiaTheme="majorEastAsia" w:cstheme="majorBidi"/>
      <w:color w:val="272727" w:themeColor="text1" w:themeTint="D8"/>
    </w:rPr>
  </w:style>
  <w:style w:type="paragraph" w:styleId="Title">
    <w:name w:val="Title"/>
    <w:basedOn w:val="Normal"/>
    <w:next w:val="Normal"/>
    <w:link w:val="TitleChar"/>
    <w:uiPriority w:val="10"/>
    <w:qFormat/>
    <w:rsid w:val="005A3E0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3E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3E0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3E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3E0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A3E0B"/>
    <w:rPr>
      <w:i/>
      <w:iCs/>
      <w:color w:val="404040" w:themeColor="text1" w:themeTint="BF"/>
    </w:rPr>
  </w:style>
  <w:style w:type="paragraph" w:styleId="ListParagraph">
    <w:name w:val="List Paragraph"/>
    <w:basedOn w:val="Normal"/>
    <w:uiPriority w:val="34"/>
    <w:qFormat/>
    <w:rsid w:val="005A3E0B"/>
    <w:pPr>
      <w:ind w:left="720"/>
      <w:contextualSpacing/>
    </w:pPr>
  </w:style>
  <w:style w:type="character" w:styleId="IntenseEmphasis">
    <w:name w:val="Intense Emphasis"/>
    <w:basedOn w:val="DefaultParagraphFont"/>
    <w:uiPriority w:val="21"/>
    <w:qFormat/>
    <w:rsid w:val="005A3E0B"/>
    <w:rPr>
      <w:i/>
      <w:iCs/>
      <w:color w:val="0F4761" w:themeColor="accent1" w:themeShade="BF"/>
    </w:rPr>
  </w:style>
  <w:style w:type="paragraph" w:styleId="IntenseQuote">
    <w:name w:val="Intense Quote"/>
    <w:basedOn w:val="Normal"/>
    <w:next w:val="Normal"/>
    <w:link w:val="IntenseQuoteChar"/>
    <w:uiPriority w:val="30"/>
    <w:qFormat/>
    <w:rsid w:val="005A3E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3E0B"/>
    <w:rPr>
      <w:i/>
      <w:iCs/>
      <w:color w:val="0F4761" w:themeColor="accent1" w:themeShade="BF"/>
    </w:rPr>
  </w:style>
  <w:style w:type="character" w:styleId="IntenseReference">
    <w:name w:val="Intense Reference"/>
    <w:basedOn w:val="DefaultParagraphFont"/>
    <w:uiPriority w:val="32"/>
    <w:qFormat/>
    <w:rsid w:val="005A3E0B"/>
    <w:rPr>
      <w:b/>
      <w:bCs/>
      <w:smallCaps/>
      <w:color w:val="0F4761" w:themeColor="accent1" w:themeShade="BF"/>
      <w:spacing w:val="5"/>
    </w:rPr>
  </w:style>
  <w:style w:type="character" w:styleId="Hyperlink">
    <w:name w:val="Hyperlink"/>
    <w:basedOn w:val="DefaultParagraphFont"/>
    <w:uiPriority w:val="99"/>
    <w:unhideWhenUsed/>
    <w:rsid w:val="0027731D"/>
    <w:rPr>
      <w:color w:val="467886" w:themeColor="hyperlink"/>
      <w:u w:val="single"/>
    </w:rPr>
  </w:style>
  <w:style w:type="character" w:styleId="UnresolvedMention">
    <w:name w:val="Unresolved Mention"/>
    <w:basedOn w:val="DefaultParagraphFont"/>
    <w:uiPriority w:val="99"/>
    <w:semiHidden/>
    <w:unhideWhenUsed/>
    <w:rsid w:val="0027731D"/>
    <w:rPr>
      <w:color w:val="605E5C"/>
      <w:shd w:val="clear" w:color="auto" w:fill="E1DFDD"/>
    </w:rPr>
  </w:style>
  <w:style w:type="character" w:customStyle="1" w:styleId="apple-converted-space">
    <w:name w:val="apple-converted-space"/>
    <w:basedOn w:val="DefaultParagraphFont"/>
    <w:rsid w:val="004147ED"/>
  </w:style>
  <w:style w:type="paragraph" w:styleId="TOCHeading">
    <w:name w:val="TOC Heading"/>
    <w:basedOn w:val="Heading1"/>
    <w:next w:val="Normal"/>
    <w:uiPriority w:val="39"/>
    <w:unhideWhenUsed/>
    <w:qFormat/>
    <w:rsid w:val="00AD66EE"/>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D66EE"/>
    <w:pPr>
      <w:spacing w:before="120" w:after="120"/>
    </w:pPr>
    <w:rPr>
      <w:b/>
      <w:bCs/>
      <w:caps/>
      <w:sz w:val="20"/>
      <w:szCs w:val="20"/>
    </w:rPr>
  </w:style>
  <w:style w:type="paragraph" w:styleId="TOC2">
    <w:name w:val="toc 2"/>
    <w:basedOn w:val="Normal"/>
    <w:next w:val="Normal"/>
    <w:autoRedefine/>
    <w:uiPriority w:val="39"/>
    <w:unhideWhenUsed/>
    <w:rsid w:val="00AD66EE"/>
    <w:pPr>
      <w:ind w:left="240"/>
    </w:pPr>
    <w:rPr>
      <w:smallCaps/>
      <w:sz w:val="20"/>
      <w:szCs w:val="20"/>
    </w:rPr>
  </w:style>
  <w:style w:type="paragraph" w:styleId="TOC3">
    <w:name w:val="toc 3"/>
    <w:basedOn w:val="Normal"/>
    <w:next w:val="Normal"/>
    <w:autoRedefine/>
    <w:uiPriority w:val="39"/>
    <w:semiHidden/>
    <w:unhideWhenUsed/>
    <w:rsid w:val="00AD66EE"/>
    <w:pPr>
      <w:ind w:left="480"/>
    </w:pPr>
    <w:rPr>
      <w:i/>
      <w:iCs/>
      <w:sz w:val="20"/>
      <w:szCs w:val="20"/>
    </w:rPr>
  </w:style>
  <w:style w:type="paragraph" w:styleId="TOC4">
    <w:name w:val="toc 4"/>
    <w:basedOn w:val="Normal"/>
    <w:next w:val="Normal"/>
    <w:autoRedefine/>
    <w:uiPriority w:val="39"/>
    <w:semiHidden/>
    <w:unhideWhenUsed/>
    <w:rsid w:val="00AD66EE"/>
    <w:pPr>
      <w:ind w:left="720"/>
    </w:pPr>
    <w:rPr>
      <w:sz w:val="18"/>
      <w:szCs w:val="18"/>
    </w:rPr>
  </w:style>
  <w:style w:type="paragraph" w:styleId="TOC5">
    <w:name w:val="toc 5"/>
    <w:basedOn w:val="Normal"/>
    <w:next w:val="Normal"/>
    <w:autoRedefine/>
    <w:uiPriority w:val="39"/>
    <w:semiHidden/>
    <w:unhideWhenUsed/>
    <w:rsid w:val="00AD66EE"/>
    <w:pPr>
      <w:ind w:left="960"/>
    </w:pPr>
    <w:rPr>
      <w:sz w:val="18"/>
      <w:szCs w:val="18"/>
    </w:rPr>
  </w:style>
  <w:style w:type="paragraph" w:styleId="TOC6">
    <w:name w:val="toc 6"/>
    <w:basedOn w:val="Normal"/>
    <w:next w:val="Normal"/>
    <w:autoRedefine/>
    <w:uiPriority w:val="39"/>
    <w:semiHidden/>
    <w:unhideWhenUsed/>
    <w:rsid w:val="00AD66EE"/>
    <w:pPr>
      <w:ind w:left="1200"/>
    </w:pPr>
    <w:rPr>
      <w:sz w:val="18"/>
      <w:szCs w:val="18"/>
    </w:rPr>
  </w:style>
  <w:style w:type="paragraph" w:styleId="TOC7">
    <w:name w:val="toc 7"/>
    <w:basedOn w:val="Normal"/>
    <w:next w:val="Normal"/>
    <w:autoRedefine/>
    <w:uiPriority w:val="39"/>
    <w:semiHidden/>
    <w:unhideWhenUsed/>
    <w:rsid w:val="00AD66EE"/>
    <w:pPr>
      <w:ind w:left="1440"/>
    </w:pPr>
    <w:rPr>
      <w:sz w:val="18"/>
      <w:szCs w:val="18"/>
    </w:rPr>
  </w:style>
  <w:style w:type="paragraph" w:styleId="TOC8">
    <w:name w:val="toc 8"/>
    <w:basedOn w:val="Normal"/>
    <w:next w:val="Normal"/>
    <w:autoRedefine/>
    <w:uiPriority w:val="39"/>
    <w:semiHidden/>
    <w:unhideWhenUsed/>
    <w:rsid w:val="00AD66EE"/>
    <w:pPr>
      <w:ind w:left="1680"/>
    </w:pPr>
    <w:rPr>
      <w:sz w:val="18"/>
      <w:szCs w:val="18"/>
    </w:rPr>
  </w:style>
  <w:style w:type="paragraph" w:styleId="TOC9">
    <w:name w:val="toc 9"/>
    <w:basedOn w:val="Normal"/>
    <w:next w:val="Normal"/>
    <w:autoRedefine/>
    <w:uiPriority w:val="39"/>
    <w:semiHidden/>
    <w:unhideWhenUsed/>
    <w:rsid w:val="00AD66EE"/>
    <w:pPr>
      <w:ind w:left="1920"/>
    </w:pPr>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23220937211043109" TargetMode="External"/><Relationship Id="rId13" Type="http://schemas.openxmlformats.org/officeDocument/2006/relationships/hyperlink" Target="https://www.iza.org/publications/dp/14455" TargetMode="External"/><Relationship Id="rId18" Type="http://schemas.openxmlformats.org/officeDocument/2006/relationships/hyperlink" Target="https://doi.org/10.1111/joop.12285" TargetMode="External"/><Relationship Id="rId3" Type="http://schemas.openxmlformats.org/officeDocument/2006/relationships/settings" Target="settings.xml"/><Relationship Id="rId21" Type="http://schemas.openxmlformats.org/officeDocument/2006/relationships/hyperlink" Target="https://doi.org/10.1177/00936502241234011" TargetMode="External"/><Relationship Id="rId7" Type="http://schemas.openxmlformats.org/officeDocument/2006/relationships/hyperlink" Target="https://doi.org/10.1111/1748-8583.12609" TargetMode="External"/><Relationship Id="rId12" Type="http://schemas.openxmlformats.org/officeDocument/2006/relationships/hyperlink" Target="https://doi.org/10.3390/bs14060428" TargetMode="External"/><Relationship Id="rId17" Type="http://schemas.openxmlformats.org/officeDocument/2006/relationships/hyperlink" Target="https://doi.org/10.1007/s11031-019-09818-1" TargetMode="External"/><Relationship Id="rId2" Type="http://schemas.openxmlformats.org/officeDocument/2006/relationships/styles" Target="styles.xml"/><Relationship Id="rId16" Type="http://schemas.openxmlformats.org/officeDocument/2006/relationships/hyperlink" Target="https://doi.org/10.1111/j.1464-0597.2011.00449.x" TargetMode="External"/><Relationship Id="rId20" Type="http://schemas.openxmlformats.org/officeDocument/2006/relationships/hyperlink" Target="https://doi.org/10.5465/amr.2001.4378011" TargetMode="External"/><Relationship Id="rId1" Type="http://schemas.openxmlformats.org/officeDocument/2006/relationships/customXml" Target="../customXml/item1.xml"/><Relationship Id="rId6" Type="http://schemas.openxmlformats.org/officeDocument/2006/relationships/hyperlink" Target="https://doi.org/10.1037/ocp0000056" TargetMode="External"/><Relationship Id="rId11" Type="http://schemas.openxmlformats.org/officeDocument/2006/relationships/hyperlink" Target="https://doi.org/10.1177/1038411107086542" TargetMode="External"/><Relationship Id="rId24" Type="http://schemas.openxmlformats.org/officeDocument/2006/relationships/theme" Target="theme/theme1.xml"/><Relationship Id="rId5" Type="http://schemas.openxmlformats.org/officeDocument/2006/relationships/hyperlink" Target="https://doi.org/10.1002/hrdq.21527" TargetMode="External"/><Relationship Id="rId15" Type="http://schemas.openxmlformats.org/officeDocument/2006/relationships/hyperlink" Target="https://doi.org/10.1177/1534484302011004" TargetMode="External"/><Relationship Id="rId23" Type="http://schemas.openxmlformats.org/officeDocument/2006/relationships/fontTable" Target="fontTable.xml"/><Relationship Id="rId10" Type="http://schemas.openxmlformats.org/officeDocument/2006/relationships/hyperlink" Target="https://doi.org/10.1371/journal.pone.0281823" TargetMode="External"/><Relationship Id="rId19" Type="http://schemas.openxmlformats.org/officeDocument/2006/relationships/hyperlink" Target="https://doi.org/10.1080/09585192.2024.2401582" TargetMode="External"/><Relationship Id="rId4" Type="http://schemas.openxmlformats.org/officeDocument/2006/relationships/webSettings" Target="webSettings.xml"/><Relationship Id="rId9" Type="http://schemas.openxmlformats.org/officeDocument/2006/relationships/hyperlink" Target="https://doi.org/10.1093/oxfordhb/9780198758273.013.21" TargetMode="External"/><Relationship Id="rId14" Type="http://schemas.openxmlformats.org/officeDocument/2006/relationships/hyperlink" Target="https://doi.org/10.1016/j.jrt.2023.100063" TargetMode="External"/><Relationship Id="rId22" Type="http://schemas.openxmlformats.org/officeDocument/2006/relationships/hyperlink" Target="https://doi.org/10.1093/oso/9780197692554.003.00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C0AFC0-AAA1-8A46-ACDD-082CE9BBDE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4338</Words>
  <Characters>24728</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Nosheen Manzoor (2218718)</dc:creator>
  <cp:keywords/>
  <dc:description/>
  <cp:lastModifiedBy>Nosheen Manzoor (2218718)</cp:lastModifiedBy>
  <cp:revision>2</cp:revision>
  <dcterms:created xsi:type="dcterms:W3CDTF">2026-06-12T14:16:00Z</dcterms:created>
  <dcterms:modified xsi:type="dcterms:W3CDTF">2026-06-12T14:16:00Z</dcterms:modified>
</cp:coreProperties>
</file>