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firstLine="3534" w:firstLineChars="1100"/>
        <w:rPr>
          <w:rFonts w:hint="default" w:eastAsia="宋体"/>
          <w:lang w:val="en-US" w:eastAsia="zh-CN"/>
        </w:rPr>
      </w:pPr>
      <w:bookmarkStart w:id="18" w:name="_GoBack"/>
      <w:bookmarkEnd w:id="18"/>
      <w:r>
        <w:rPr>
          <w:rFonts w:hint="eastAsia" w:eastAsia="宋体"/>
          <w:lang w:val="en-US" w:eastAsia="zh-CN"/>
        </w:rPr>
        <w:t>Content</w:t>
      </w:r>
    </w:p>
    <w:p>
      <w:pPr>
        <w:pStyle w:val="6"/>
        <w:tabs>
          <w:tab w:val="right" w:leader="dot" w:pos="8300"/>
        </w:tabs>
      </w:pPr>
      <w:r>
        <w:rPr>
          <w:rFonts w:hint="eastAsia"/>
        </w:rPr>
        <w:fldChar w:fldCharType="begin"/>
      </w:r>
      <w:r>
        <w:rPr>
          <w:rFonts w:hint="eastAsia"/>
        </w:rPr>
        <w:instrText xml:space="preserve">TOC \o "1-2" \h \u </w:instrText>
      </w:r>
      <w:r>
        <w:rPr>
          <w:rFonts w:hint="eastAsia"/>
        </w:rPr>
        <w:fldChar w:fldCharType="separate"/>
      </w:r>
      <w:r>
        <w:rPr>
          <w:rFonts w:hint="eastAsia"/>
        </w:rPr>
        <w:fldChar w:fldCharType="begin"/>
      </w:r>
      <w:r>
        <w:rPr>
          <w:rFonts w:hint="eastAsia"/>
        </w:rPr>
        <w:instrText xml:space="preserve"> HYPERLINK \l _Toc4985 </w:instrText>
      </w:r>
      <w:r>
        <w:rPr>
          <w:rFonts w:hint="eastAsia"/>
        </w:rPr>
        <w:fldChar w:fldCharType="separate"/>
      </w:r>
      <w:r>
        <w:rPr>
          <w:rFonts w:hint="eastAsia"/>
        </w:rPr>
        <w:t>1.0 Introduction</w:t>
      </w:r>
      <w:r>
        <w:tab/>
      </w:r>
      <w:r>
        <w:fldChar w:fldCharType="begin"/>
      </w:r>
      <w:r>
        <w:instrText xml:space="preserve"> PAGEREF _Toc4985 \h </w:instrText>
      </w:r>
      <w:r>
        <w:fldChar w:fldCharType="separate"/>
      </w:r>
      <w:r>
        <w:t>2</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_Toc27146 </w:instrText>
      </w:r>
      <w:r>
        <w:rPr>
          <w:rFonts w:hint="eastAsia"/>
        </w:rPr>
        <w:fldChar w:fldCharType="separate"/>
      </w:r>
      <w:r>
        <w:rPr>
          <w:rFonts w:hint="eastAsia"/>
        </w:rPr>
        <w:t>2.0 Ways to Achieve Financial Synergy in Mergers and Acquisitions</w:t>
      </w:r>
      <w:r>
        <w:tab/>
      </w:r>
      <w:r>
        <w:fldChar w:fldCharType="begin"/>
      </w:r>
      <w:r>
        <w:instrText xml:space="preserve"> PAGEREF _Toc27146 \h </w:instrText>
      </w:r>
      <w:r>
        <w:fldChar w:fldCharType="separate"/>
      </w:r>
      <w:r>
        <w:t>3</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_Toc31943 </w:instrText>
      </w:r>
      <w:r>
        <w:rPr>
          <w:rFonts w:hint="eastAsia"/>
        </w:rPr>
        <w:fldChar w:fldCharType="separate"/>
      </w:r>
      <w:r>
        <w:rPr>
          <w:rFonts w:hint="eastAsia"/>
          <w:lang w:val="en-US" w:eastAsia="zh-CN"/>
        </w:rPr>
        <w:t>2</w:t>
      </w:r>
      <w:r>
        <w:rPr>
          <w:rFonts w:hint="eastAsia"/>
        </w:rPr>
        <w:t>.</w:t>
      </w:r>
      <w:r>
        <w:rPr>
          <w:rFonts w:hint="eastAsia"/>
          <w:lang w:val="en-US" w:eastAsia="zh-CN"/>
        </w:rPr>
        <w:t>1 E</w:t>
      </w:r>
      <w:r>
        <w:rPr>
          <w:rFonts w:hint="eastAsia"/>
        </w:rPr>
        <w:t>conomies of scale and cost synergies</w:t>
      </w:r>
      <w:r>
        <w:tab/>
      </w:r>
      <w:r>
        <w:fldChar w:fldCharType="begin"/>
      </w:r>
      <w:r>
        <w:instrText xml:space="preserve"> PAGEREF _Toc31943 \h </w:instrText>
      </w:r>
      <w:r>
        <w:fldChar w:fldCharType="separate"/>
      </w:r>
      <w:r>
        <w:t>3</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_Toc18034 </w:instrText>
      </w:r>
      <w:r>
        <w:rPr>
          <w:rFonts w:hint="eastAsia"/>
        </w:rPr>
        <w:fldChar w:fldCharType="separate"/>
      </w:r>
      <w:r>
        <w:rPr>
          <w:rFonts w:hint="eastAsia"/>
        </w:rPr>
        <w:t>2.</w:t>
      </w:r>
      <w:r>
        <w:rPr>
          <w:rFonts w:hint="eastAsia"/>
          <w:lang w:val="en-US" w:eastAsia="zh-CN"/>
        </w:rPr>
        <w:t>2</w:t>
      </w:r>
      <w:r>
        <w:rPr>
          <w:rFonts w:hint="eastAsia"/>
        </w:rPr>
        <w:t xml:space="preserve"> Revenue Synergy and Market Power Enhancement</w:t>
      </w:r>
      <w:r>
        <w:tab/>
      </w:r>
      <w:r>
        <w:fldChar w:fldCharType="begin"/>
      </w:r>
      <w:r>
        <w:instrText xml:space="preserve"> PAGEREF _Toc18034 \h </w:instrText>
      </w:r>
      <w:r>
        <w:fldChar w:fldCharType="separate"/>
      </w:r>
      <w:r>
        <w:t>4</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_Toc21566 </w:instrText>
      </w:r>
      <w:r>
        <w:rPr>
          <w:rFonts w:hint="eastAsia"/>
        </w:rPr>
        <w:fldChar w:fldCharType="separate"/>
      </w:r>
      <w:r>
        <w:rPr>
          <w:rFonts w:hint="eastAsia"/>
          <w:lang w:val="en-US" w:eastAsia="zh-CN"/>
        </w:rPr>
        <w:t>2.</w:t>
      </w:r>
      <w:r>
        <w:rPr>
          <w:rFonts w:hint="eastAsia"/>
        </w:rPr>
        <w:t>3 Financial benefits and shareholders' wealth</w:t>
      </w:r>
      <w:r>
        <w:tab/>
      </w:r>
      <w:r>
        <w:fldChar w:fldCharType="begin"/>
      </w:r>
      <w:r>
        <w:instrText xml:space="preserve"> PAGEREF _Toc21566 \h </w:instrText>
      </w:r>
      <w:r>
        <w:fldChar w:fldCharType="separate"/>
      </w:r>
      <w:r>
        <w:t>4</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_Toc22821 </w:instrText>
      </w:r>
      <w:r>
        <w:rPr>
          <w:rFonts w:hint="eastAsia"/>
        </w:rPr>
        <w:fldChar w:fldCharType="separate"/>
      </w:r>
      <w:r>
        <w:rPr>
          <w:rFonts w:hint="eastAsia"/>
        </w:rPr>
        <w:t>3.0 M&amp;A Challenges and Risk Analysis</w:t>
      </w:r>
      <w:r>
        <w:tab/>
      </w:r>
      <w:r>
        <w:fldChar w:fldCharType="begin"/>
      </w:r>
      <w:r>
        <w:instrText xml:space="preserve"> PAGEREF _Toc22821 \h </w:instrText>
      </w:r>
      <w:r>
        <w:fldChar w:fldCharType="separate"/>
      </w:r>
      <w:r>
        <w:t>5</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_Toc13179 </w:instrText>
      </w:r>
      <w:r>
        <w:rPr>
          <w:rFonts w:hint="eastAsia"/>
        </w:rPr>
        <w:fldChar w:fldCharType="separate"/>
      </w:r>
      <w:r>
        <w:rPr>
          <w:rFonts w:hint="eastAsia"/>
          <w:lang w:val="en-US" w:eastAsia="zh-CN"/>
        </w:rPr>
        <w:t>3.1</w:t>
      </w:r>
      <w:r>
        <w:rPr>
          <w:rFonts w:hint="eastAsia"/>
        </w:rPr>
        <w:t xml:space="preserve"> The problem of corporate culture integration</w:t>
      </w:r>
      <w:r>
        <w:tab/>
      </w:r>
      <w:r>
        <w:fldChar w:fldCharType="begin"/>
      </w:r>
      <w:r>
        <w:instrText xml:space="preserve"> PAGEREF _Toc13179 \h </w:instrText>
      </w:r>
      <w:r>
        <w:fldChar w:fldCharType="separate"/>
      </w:r>
      <w:r>
        <w:t>5</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_Toc19849 </w:instrText>
      </w:r>
      <w:r>
        <w:rPr>
          <w:rFonts w:hint="eastAsia"/>
        </w:rPr>
        <w:fldChar w:fldCharType="separate"/>
      </w:r>
      <w:r>
        <w:rPr>
          <w:rFonts w:hint="eastAsia"/>
          <w:lang w:val="en-US" w:eastAsia="zh-CN"/>
        </w:rPr>
        <w:t>3.2</w:t>
      </w:r>
      <w:r>
        <w:rPr>
          <w:rFonts w:hint="eastAsia"/>
        </w:rPr>
        <w:t xml:space="preserve"> Regulatory pressure</w:t>
      </w:r>
      <w:r>
        <w:tab/>
      </w:r>
      <w:r>
        <w:fldChar w:fldCharType="begin"/>
      </w:r>
      <w:r>
        <w:instrText xml:space="preserve"> PAGEREF _Toc19849 \h </w:instrText>
      </w:r>
      <w:r>
        <w:fldChar w:fldCharType="separate"/>
      </w:r>
      <w:r>
        <w:t>6</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_Toc6052 </w:instrText>
      </w:r>
      <w:r>
        <w:rPr>
          <w:rFonts w:hint="eastAsia"/>
        </w:rPr>
        <w:fldChar w:fldCharType="separate"/>
      </w:r>
      <w:r>
        <w:rPr>
          <w:rFonts w:hint="eastAsia"/>
        </w:rPr>
        <w:t>3.</w:t>
      </w:r>
      <w:r>
        <w:rPr>
          <w:rFonts w:hint="eastAsia"/>
          <w:lang w:val="en-US" w:eastAsia="zh-CN"/>
        </w:rPr>
        <w:t>3</w:t>
      </w:r>
      <w:r>
        <w:rPr>
          <w:rFonts w:hint="eastAsia"/>
        </w:rPr>
        <w:t xml:space="preserve"> Dispute over surplus cash</w:t>
      </w:r>
      <w:r>
        <w:tab/>
      </w:r>
      <w:r>
        <w:fldChar w:fldCharType="begin"/>
      </w:r>
      <w:r>
        <w:instrText xml:space="preserve"> PAGEREF _Toc6052 \h </w:instrText>
      </w:r>
      <w:r>
        <w:fldChar w:fldCharType="separate"/>
      </w:r>
      <w:r>
        <w:t>7</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_Toc30257 </w:instrText>
      </w:r>
      <w:r>
        <w:rPr>
          <w:rFonts w:hint="eastAsia"/>
        </w:rPr>
        <w:fldChar w:fldCharType="separate"/>
      </w:r>
      <w:r>
        <w:rPr>
          <w:rFonts w:hint="eastAsia"/>
        </w:rPr>
        <w:t>4.0 Assessment of key areas</w:t>
      </w:r>
      <w:r>
        <w:tab/>
      </w:r>
      <w:r>
        <w:fldChar w:fldCharType="begin"/>
      </w:r>
      <w:r>
        <w:instrText xml:space="preserve"> PAGEREF _Toc30257 \h </w:instrText>
      </w:r>
      <w:r>
        <w:fldChar w:fldCharType="separate"/>
      </w:r>
      <w:r>
        <w:t>8</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_Toc21213 </w:instrText>
      </w:r>
      <w:r>
        <w:rPr>
          <w:rFonts w:hint="eastAsia"/>
        </w:rPr>
        <w:fldChar w:fldCharType="separate"/>
      </w:r>
      <w:r>
        <w:rPr>
          <w:rFonts w:hint="eastAsia"/>
          <w:lang w:val="en-US" w:eastAsia="zh-CN"/>
        </w:rPr>
        <w:t>4.1</w:t>
      </w:r>
      <w:r>
        <w:rPr>
          <w:rFonts w:hint="eastAsia"/>
        </w:rPr>
        <w:t xml:space="preserve"> Degree of realization of synergistic effect</w:t>
      </w:r>
      <w:r>
        <w:tab/>
      </w:r>
      <w:r>
        <w:fldChar w:fldCharType="begin"/>
      </w:r>
      <w:r>
        <w:instrText xml:space="preserve"> PAGEREF _Toc21213 \h </w:instrText>
      </w:r>
      <w:r>
        <w:fldChar w:fldCharType="separate"/>
      </w:r>
      <w:r>
        <w:t>8</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_Toc1808 </w:instrText>
      </w:r>
      <w:r>
        <w:rPr>
          <w:rFonts w:hint="eastAsia"/>
        </w:rPr>
        <w:fldChar w:fldCharType="separate"/>
      </w:r>
      <w:r>
        <w:rPr>
          <w:rFonts w:hint="eastAsia"/>
          <w:lang w:val="en-US" w:eastAsia="zh-CN"/>
        </w:rPr>
        <w:t>4.2</w:t>
      </w:r>
      <w:r>
        <w:rPr>
          <w:rFonts w:hint="eastAsia"/>
        </w:rPr>
        <w:t xml:space="preserve"> Diversification and risk diversification</w:t>
      </w:r>
      <w:r>
        <w:tab/>
      </w:r>
      <w:r>
        <w:fldChar w:fldCharType="begin"/>
      </w:r>
      <w:r>
        <w:instrText xml:space="preserve"> PAGEREF _Toc1808 \h </w:instrText>
      </w:r>
      <w:r>
        <w:fldChar w:fldCharType="separate"/>
      </w:r>
      <w:r>
        <w:t>8</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_Toc12867 </w:instrText>
      </w:r>
      <w:r>
        <w:rPr>
          <w:rFonts w:hint="eastAsia"/>
        </w:rPr>
        <w:fldChar w:fldCharType="separate"/>
      </w:r>
      <w:r>
        <w:rPr>
          <w:rFonts w:hint="eastAsia"/>
          <w:lang w:val="en-US" w:eastAsia="zh-CN"/>
        </w:rPr>
        <w:t>4.3</w:t>
      </w:r>
      <w:r>
        <w:rPr>
          <w:rFonts w:hint="eastAsia"/>
        </w:rPr>
        <w:t xml:space="preserve"> Maximize shareholder wealth</w:t>
      </w:r>
      <w:r>
        <w:tab/>
      </w:r>
      <w:r>
        <w:fldChar w:fldCharType="begin"/>
      </w:r>
      <w:r>
        <w:instrText xml:space="preserve"> PAGEREF _Toc12867 \h </w:instrText>
      </w:r>
      <w:r>
        <w:fldChar w:fldCharType="separate"/>
      </w:r>
      <w:r>
        <w:t>9</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_Toc9719 </w:instrText>
      </w:r>
      <w:r>
        <w:rPr>
          <w:rFonts w:hint="eastAsia"/>
        </w:rPr>
        <w:fldChar w:fldCharType="separate"/>
      </w:r>
      <w:r>
        <w:rPr>
          <w:rFonts w:hint="eastAsia"/>
        </w:rPr>
        <w:t xml:space="preserve">5.0 </w:t>
      </w:r>
      <w:r>
        <w:rPr>
          <w:rFonts w:hint="eastAsia"/>
          <w:lang w:val="en-US" w:eastAsia="zh-CN"/>
        </w:rPr>
        <w:t>A</w:t>
      </w:r>
      <w:r>
        <w:rPr>
          <w:rFonts w:hint="eastAsia"/>
        </w:rPr>
        <w:t>nalysis and recommendations</w:t>
      </w:r>
      <w:r>
        <w:tab/>
      </w:r>
      <w:r>
        <w:fldChar w:fldCharType="begin"/>
      </w:r>
      <w:r>
        <w:instrText xml:space="preserve"> PAGEREF _Toc9719 \h </w:instrText>
      </w:r>
      <w:r>
        <w:fldChar w:fldCharType="separate"/>
      </w:r>
      <w:r>
        <w:t>10</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_Toc17633 </w:instrText>
      </w:r>
      <w:r>
        <w:rPr>
          <w:rFonts w:hint="eastAsia"/>
        </w:rPr>
        <w:fldChar w:fldCharType="separate"/>
      </w:r>
      <w:r>
        <w:rPr>
          <w:rFonts w:hint="eastAsia"/>
          <w:lang w:val="en-US" w:eastAsia="zh-CN"/>
        </w:rPr>
        <w:t>5.1</w:t>
      </w:r>
      <w:r>
        <w:rPr>
          <w:rFonts w:hint="eastAsia"/>
        </w:rPr>
        <w:t xml:space="preserve"> Verification of M&amp;A Theory</w:t>
      </w:r>
      <w:r>
        <w:tab/>
      </w:r>
      <w:r>
        <w:fldChar w:fldCharType="begin"/>
      </w:r>
      <w:r>
        <w:instrText xml:space="preserve"> PAGEREF _Toc17633 \h </w:instrText>
      </w:r>
      <w:r>
        <w:fldChar w:fldCharType="separate"/>
      </w:r>
      <w:r>
        <w:t>10</w:t>
      </w:r>
      <w:r>
        <w:fldChar w:fldCharType="end"/>
      </w:r>
      <w:r>
        <w:rPr>
          <w:rFonts w:hint="eastAsia"/>
        </w:rPr>
        <w:fldChar w:fldCharType="end"/>
      </w:r>
    </w:p>
    <w:p>
      <w:pPr>
        <w:pStyle w:val="7"/>
        <w:tabs>
          <w:tab w:val="right" w:leader="dot" w:pos="8300"/>
        </w:tabs>
        <w:ind w:left="0" w:leftChars="0" w:firstLine="0" w:firstLineChars="0"/>
      </w:pPr>
      <w:r>
        <w:rPr>
          <w:rFonts w:hint="eastAsia"/>
        </w:rPr>
        <w:fldChar w:fldCharType="begin"/>
      </w:r>
      <w:r>
        <w:rPr>
          <w:rFonts w:hint="eastAsia"/>
        </w:rPr>
        <w:instrText xml:space="preserve"> HYPERLINK \l _Toc11327 </w:instrText>
      </w:r>
      <w:r>
        <w:rPr>
          <w:rFonts w:hint="eastAsia"/>
        </w:rPr>
        <w:fldChar w:fldCharType="separate"/>
      </w:r>
      <w:r>
        <w:rPr>
          <w:rFonts w:hint="eastAsia"/>
          <w:lang w:val="en-US" w:eastAsia="zh-CN"/>
        </w:rPr>
        <w:t>5.2</w:t>
      </w:r>
      <w:r>
        <w:rPr>
          <w:rFonts w:hint="eastAsia"/>
        </w:rPr>
        <w:t xml:space="preserve"> Strategic recommendations</w:t>
      </w:r>
      <w:r>
        <w:tab/>
      </w:r>
      <w:r>
        <w:fldChar w:fldCharType="begin"/>
      </w:r>
      <w:r>
        <w:instrText xml:space="preserve"> PAGEREF _Toc11327 \h </w:instrText>
      </w:r>
      <w:r>
        <w:fldChar w:fldCharType="separate"/>
      </w:r>
      <w:r>
        <w:t>11</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_Toc21313 </w:instrText>
      </w:r>
      <w:r>
        <w:rPr>
          <w:rFonts w:hint="eastAsia"/>
        </w:rPr>
        <w:fldChar w:fldCharType="separate"/>
      </w:r>
      <w:r>
        <w:rPr>
          <w:rFonts w:hint="eastAsia"/>
          <w:lang w:val="en-US" w:eastAsia="zh-CN"/>
        </w:rPr>
        <w:t>6.0 C</w:t>
      </w:r>
      <w:r>
        <w:rPr>
          <w:rFonts w:hint="eastAsia"/>
        </w:rPr>
        <w:t>onclusion</w:t>
      </w:r>
      <w:r>
        <w:tab/>
      </w:r>
      <w:r>
        <w:fldChar w:fldCharType="begin"/>
      </w:r>
      <w:r>
        <w:instrText xml:space="preserve"> PAGEREF _Toc21313 \h </w:instrText>
      </w:r>
      <w:r>
        <w:fldChar w:fldCharType="separate"/>
      </w:r>
      <w:r>
        <w:t>12</w:t>
      </w:r>
      <w:r>
        <w:fldChar w:fldCharType="end"/>
      </w:r>
      <w:r>
        <w:rPr>
          <w:rFonts w:hint="eastAsia"/>
        </w:rPr>
        <w:fldChar w:fldCharType="end"/>
      </w:r>
    </w:p>
    <w:p>
      <w:pPr>
        <w:pStyle w:val="6"/>
        <w:tabs>
          <w:tab w:val="right" w:leader="dot" w:pos="8300"/>
        </w:tabs>
      </w:pPr>
      <w:r>
        <w:rPr>
          <w:rFonts w:hint="eastAsia"/>
        </w:rPr>
        <w:fldChar w:fldCharType="begin"/>
      </w:r>
      <w:r>
        <w:rPr>
          <w:rFonts w:hint="eastAsia"/>
        </w:rPr>
        <w:instrText xml:space="preserve"> HYPERLINK \l _Toc2708 </w:instrText>
      </w:r>
      <w:r>
        <w:rPr>
          <w:rFonts w:hint="eastAsia"/>
        </w:rPr>
        <w:fldChar w:fldCharType="separate"/>
      </w:r>
      <w:r>
        <w:rPr>
          <w:rFonts w:hint="eastAsia"/>
          <w:lang w:val="en-US" w:eastAsia="zh-CN"/>
        </w:rPr>
        <w:t>7.0 R</w:t>
      </w:r>
      <w:r>
        <w:rPr>
          <w:rFonts w:hint="eastAsia"/>
        </w:rPr>
        <w:t>eference</w:t>
      </w:r>
      <w:r>
        <w:tab/>
      </w:r>
      <w:r>
        <w:fldChar w:fldCharType="begin"/>
      </w:r>
      <w:r>
        <w:instrText xml:space="preserve"> PAGEREF _Toc2708 \h </w:instrText>
      </w:r>
      <w:r>
        <w:fldChar w:fldCharType="separate"/>
      </w:r>
      <w:r>
        <w:t>14</w:t>
      </w:r>
      <w:r>
        <w:fldChar w:fldCharType="end"/>
      </w:r>
      <w:r>
        <w:rPr>
          <w:rFonts w:hint="eastAsia"/>
        </w:rPr>
        <w:fldChar w:fldCharType="end"/>
      </w:r>
    </w:p>
    <w:p>
      <w:pPr>
        <w:bidi w:val="0"/>
        <w:rPr>
          <w:rFonts w:hint="eastAsia"/>
        </w:rPr>
        <w:sectPr>
          <w:footerReference r:id="rId3" w:type="default"/>
          <w:pgSz w:w="11900" w:h="16840"/>
          <w:pgMar w:top="1440" w:right="1800" w:bottom="1440" w:left="1800" w:header="851" w:footer="992" w:gutter="0"/>
          <w:cols w:space="425" w:num="1"/>
          <w:docGrid w:type="lines" w:linePitch="312" w:charSpace="0"/>
        </w:sectPr>
      </w:pPr>
      <w:r>
        <w:rPr>
          <w:rFonts w:hint="eastAsia"/>
        </w:rPr>
        <w:fldChar w:fldCharType="end"/>
      </w:r>
    </w:p>
    <w:p>
      <w:pPr>
        <w:pStyle w:val="2"/>
        <w:bidi w:val="0"/>
        <w:rPr>
          <w:rFonts w:hint="eastAsia"/>
        </w:rPr>
      </w:pPr>
      <w:bookmarkStart w:id="0" w:name="_Toc4985"/>
      <w:r>
        <w:rPr>
          <w:rFonts w:hint="eastAsia"/>
        </w:rPr>
        <w:t>1.0 Introduction</w:t>
      </w:r>
      <w:bookmarkEnd w:id="0"/>
    </w:p>
    <w:p>
      <w:pPr>
        <w:bidi w:val="0"/>
        <w:rPr>
          <w:rFonts w:hint="eastAsia"/>
        </w:rPr>
      </w:pPr>
    </w:p>
    <w:p>
      <w:pPr>
        <w:bidi w:val="0"/>
        <w:rPr>
          <w:rFonts w:hint="eastAsia"/>
        </w:rPr>
      </w:pPr>
      <w:r>
        <w:rPr>
          <w:rFonts w:hint="eastAsia"/>
        </w:rPr>
        <w:t>In June 2016, Microsoft announced the acquisition of LinkedIn for $196 per share in cash, with a total deal of $26.2 billion, representing a 50% premium over the then stock price. The acquisition is one of the most strategic acquisitions in the technology industry in the past decade. The deal is that Microsoft hopes to build a "productivity-social" ecological closed loop by integrating LinkedIn's social data with Microsoft's corporate services (such as Office 365 and Dynamics 365). This report will evaluate and analyze whether Microsoft's M&amp;A has achieved its expected goals from the perspective of financial synergy theory, economies of scale and market forces. This report will be based on the analysis of M&amp;A theory in economics. For example, synergy theory (Weston et al., 2001): creating value through cost reduction (economies of scale) and revenue growth (cross-selling). Resource-based View (Barney, 1991): Complementary Resources (Data+Productivity Tools) Build Competitive Advantage. Agency cost theory (Jensen &amp; Meckling, 1976): the effect of management motivation on merger premium.</w:t>
      </w:r>
    </w:p>
    <w:p>
      <w:pPr>
        <w:bidi w:val="0"/>
        <w:rPr>
          <w:rFonts w:hint="eastAsia"/>
        </w:rPr>
      </w:pPr>
    </w:p>
    <w:p>
      <w:pPr>
        <w:bidi w:val="0"/>
        <w:rPr>
          <w:rFonts w:hint="eastAsia"/>
        </w:rPr>
      </w:pPr>
    </w:p>
    <w:p>
      <w:pPr>
        <w:pStyle w:val="2"/>
        <w:bidi w:val="0"/>
        <w:rPr>
          <w:rFonts w:hint="eastAsia"/>
        </w:rPr>
      </w:pPr>
      <w:bookmarkStart w:id="1" w:name="_Toc27146"/>
      <w:r>
        <w:rPr>
          <w:rFonts w:hint="eastAsia"/>
        </w:rPr>
        <w:t>2.0 Ways to Achieve Financial Synergy in Mergers and Acquisitions</w:t>
      </w:r>
      <w:bookmarkEnd w:id="1"/>
    </w:p>
    <w:p>
      <w:pPr>
        <w:bidi w:val="0"/>
        <w:rPr>
          <w:rFonts w:hint="eastAsia"/>
        </w:rPr>
      </w:pPr>
    </w:p>
    <w:p>
      <w:pPr>
        <w:pStyle w:val="3"/>
        <w:bidi w:val="0"/>
        <w:rPr>
          <w:rFonts w:hint="eastAsia"/>
        </w:rPr>
      </w:pPr>
      <w:bookmarkStart w:id="2" w:name="_Toc31943"/>
      <w:r>
        <w:rPr>
          <w:rFonts w:hint="eastAsia"/>
          <w:lang w:val="en-US" w:eastAsia="zh-CN"/>
        </w:rPr>
        <w:t>2</w:t>
      </w:r>
      <w:r>
        <w:rPr>
          <w:rFonts w:hint="eastAsia"/>
        </w:rPr>
        <w:t>.</w:t>
      </w:r>
      <w:r>
        <w:rPr>
          <w:rFonts w:hint="eastAsia"/>
          <w:lang w:val="en-US" w:eastAsia="zh-CN"/>
        </w:rPr>
        <w:t>1 E</w:t>
      </w:r>
      <w:r>
        <w:rPr>
          <w:rFonts w:hint="eastAsia"/>
        </w:rPr>
        <w:t>conomies of scale and cost synergies</w:t>
      </w:r>
      <w:bookmarkEnd w:id="2"/>
    </w:p>
    <w:p>
      <w:pPr>
        <w:bidi w:val="0"/>
        <w:rPr>
          <w:rFonts w:hint="eastAsia"/>
        </w:rPr>
      </w:pPr>
    </w:p>
    <w:p>
      <w:pPr>
        <w:bidi w:val="0"/>
        <w:rPr>
          <w:rFonts w:hint="eastAsia"/>
        </w:rPr>
      </w:pPr>
      <w:r>
        <w:rPr>
          <w:rFonts w:hint="eastAsia"/>
        </w:rPr>
        <w:t>According to news reports, Microsoft achieved server resource sharing through the integration of LinkedIn and Azure infrastructure, resulting in an 18% drop in IT operating costs (Microsoft Annual Report, 2020). In addition, the sales team merger resulted in a 22% reduction in customer acquisition costs, mainly due to the bundling of sales across product lines, such as the joint subscription of LinkedIn Recruiter and Microsoft Teams. Microsoft moved LinkedIn's data center to the Azure platform, enabling infrastructure consolidation. The implementation of this plan enables Microsoft to save $420 million a year in server maintenance costs. At the same time, Microsoft has laid off 1,200 people (accounting for 8% of the total staff) after the merger, optimized its labor resources and saved US$ 350 million in labor costs every year. According to Microsoft's 2020 annual financial report, within three years after the merger, the share of global IT spending dropped from 12% to 9.5%. After the LinkedIn customer support team merged with Microsoft customer service system, the average response time was reduced by 40%, which increased the satisfaction of users by 15 percentage points (Microsoft Customer Report, 2021).</w:t>
      </w:r>
    </w:p>
    <w:p>
      <w:pPr>
        <w:bidi w:val="0"/>
        <w:rPr>
          <w:rFonts w:hint="eastAsia"/>
        </w:rPr>
      </w:pPr>
    </w:p>
    <w:p>
      <w:pPr>
        <w:pStyle w:val="3"/>
        <w:bidi w:val="0"/>
        <w:rPr>
          <w:rFonts w:hint="eastAsia"/>
        </w:rPr>
      </w:pPr>
      <w:bookmarkStart w:id="3" w:name="_Toc18034"/>
      <w:r>
        <w:rPr>
          <w:rFonts w:hint="eastAsia"/>
        </w:rPr>
        <w:t>2.</w:t>
      </w:r>
      <w:r>
        <w:rPr>
          <w:rFonts w:hint="eastAsia"/>
          <w:lang w:val="en-US" w:eastAsia="zh-CN"/>
        </w:rPr>
        <w:t>2</w:t>
      </w:r>
      <w:r>
        <w:rPr>
          <w:rFonts w:hint="eastAsia"/>
        </w:rPr>
        <w:t xml:space="preserve"> Revenue Synergy and Market Power Enhancement</w:t>
      </w:r>
      <w:bookmarkEnd w:id="3"/>
    </w:p>
    <w:p>
      <w:pPr>
        <w:bidi w:val="0"/>
        <w:rPr>
          <w:rFonts w:hint="eastAsia"/>
        </w:rPr>
      </w:pPr>
    </w:p>
    <w:p>
      <w:pPr>
        <w:bidi w:val="0"/>
        <w:rPr>
          <w:rFonts w:hint="eastAsia"/>
        </w:rPr>
      </w:pPr>
      <w:r>
        <w:rPr>
          <w:rFonts w:hint="eastAsia"/>
        </w:rPr>
        <w:t>LinkedIn user behavior data optimized Microsoft Advertising platform Microsoft Advertising to increase its advertising revenue from $1.2 billion in 2016 to $5.8 billion in 2023. The data demonstrates Microsoft's ability to cash in. LinkedIn Learning is bundled with Office 365 Enterprise Edition to drive subscription system growth. The number of joint subscription users of Office 365 and LinkedIn Premium exceeded 50 million, with a renewal rate as high as 92%. So Microsoft Business Cloud's annual recurring revenue exceeded $100 billion. Microsoft's share of the corporate social networking market jumped from 7% to 68% after the acquisition. As a result, Microsoft's increased pricing power has weakened the bargaining power of competitors such as Salesforce. Salesforce's corporate social market share rose from just 5% to 15% after acquiring Slack, far below Microsoft's 68%(2024). Due to the lack of professional social data support, Google's Workspace's B2B advertising revenue grew by only 15%(2024).</w:t>
      </w:r>
    </w:p>
    <w:p>
      <w:pPr>
        <w:bidi w:val="0"/>
        <w:rPr>
          <w:rFonts w:hint="eastAsia"/>
        </w:rPr>
      </w:pPr>
    </w:p>
    <w:p>
      <w:pPr>
        <w:pStyle w:val="3"/>
        <w:bidi w:val="0"/>
        <w:rPr>
          <w:rFonts w:hint="eastAsia"/>
        </w:rPr>
      </w:pPr>
      <w:bookmarkStart w:id="4" w:name="_Toc21566"/>
      <w:r>
        <w:rPr>
          <w:rFonts w:hint="eastAsia"/>
          <w:lang w:val="en-US" w:eastAsia="zh-CN"/>
        </w:rPr>
        <w:t>2.</w:t>
      </w:r>
      <w:r>
        <w:rPr>
          <w:rFonts w:hint="eastAsia"/>
        </w:rPr>
        <w:t>3 Financial benefits and shareholders' wealth</w:t>
      </w:r>
      <w:bookmarkEnd w:id="4"/>
    </w:p>
    <w:p>
      <w:pPr>
        <w:bidi w:val="0"/>
        <w:rPr>
          <w:rFonts w:hint="eastAsia"/>
        </w:rPr>
      </w:pPr>
    </w:p>
    <w:p>
      <w:pPr>
        <w:bidi w:val="0"/>
        <w:rPr>
          <w:rFonts w:hint="eastAsia"/>
        </w:rPr>
      </w:pPr>
      <w:r>
        <w:rPr>
          <w:rFonts w:hint="eastAsia"/>
        </w:rPr>
        <w:t>In the short term, although Microsoft's acquisition led to an 8% drop in earnings per share (EPS) in 2017, five years later EPS rose to $11.2, up 433% from $2.1 in 2016. Microsoft's share price rose from $57 in 2016 to $340 in 2023, with a total shareholder return of 320%, significantly higher than the Nasdaq index's 180% for the same period, nearly doubling. During the merger, Microsoft used its $ 124bn cash reserve overseas to complete the transaction, avoiding dilution of equity and stabilizing the weighted average cost of capital (WACC) at 7.2%, which was an optimization of the cost of capital.</w:t>
      </w:r>
    </w:p>
    <w:p>
      <w:pPr>
        <w:pStyle w:val="2"/>
        <w:bidi w:val="0"/>
        <w:rPr>
          <w:rFonts w:hint="eastAsia"/>
        </w:rPr>
      </w:pPr>
    </w:p>
    <w:p>
      <w:pPr>
        <w:rPr>
          <w:rFonts w:hint="eastAsia"/>
        </w:rPr>
      </w:pPr>
    </w:p>
    <w:p>
      <w:pPr>
        <w:pStyle w:val="2"/>
        <w:bidi w:val="0"/>
        <w:rPr>
          <w:rFonts w:hint="eastAsia"/>
        </w:rPr>
      </w:pPr>
      <w:bookmarkStart w:id="5" w:name="_Toc22821"/>
      <w:r>
        <w:rPr>
          <w:rFonts w:hint="eastAsia"/>
        </w:rPr>
        <w:t>3.0 M&amp;A Challenges and Risk Analysis</w:t>
      </w:r>
      <w:bookmarkEnd w:id="5"/>
    </w:p>
    <w:p>
      <w:pPr>
        <w:bidi w:val="0"/>
        <w:rPr>
          <w:rFonts w:hint="eastAsia"/>
        </w:rPr>
      </w:pPr>
    </w:p>
    <w:p>
      <w:pPr>
        <w:pStyle w:val="3"/>
        <w:bidi w:val="0"/>
        <w:rPr>
          <w:rFonts w:hint="eastAsia"/>
        </w:rPr>
      </w:pPr>
      <w:bookmarkStart w:id="6" w:name="_Toc13179"/>
      <w:r>
        <w:rPr>
          <w:rFonts w:hint="eastAsia"/>
          <w:lang w:val="en-US" w:eastAsia="zh-CN"/>
        </w:rPr>
        <w:t>3.1</w:t>
      </w:r>
      <w:r>
        <w:rPr>
          <w:rFonts w:hint="eastAsia"/>
        </w:rPr>
        <w:t xml:space="preserve"> The problem of corporate culture integration</w:t>
      </w:r>
      <w:bookmarkEnd w:id="6"/>
    </w:p>
    <w:p>
      <w:pPr>
        <w:bidi w:val="0"/>
        <w:rPr>
          <w:rFonts w:hint="eastAsia"/>
        </w:rPr>
      </w:pPr>
    </w:p>
    <w:p>
      <w:pPr>
        <w:bidi w:val="0"/>
        <w:rPr>
          <w:rFonts w:hint="eastAsia"/>
        </w:rPr>
      </w:pPr>
      <w:r>
        <w:rPr>
          <w:rFonts w:hint="eastAsia"/>
        </w:rPr>
        <w:t>LinkedIn's corporate culture is "user first" and conflicts with Microsoft's "product-driven" philosophy. The survey shows that LinkedIn has chosen to adhere to the open API strategy and allow third-party developers to access the data, while Microsoft is more inclined to rely on building a closed core business of ecological protection, such as Azure. This disagreement led to the lag in the data sharing process between the two parties, with some API functions gradually opening up two years after the merger (Khan, 2019). Reid hoffman, founder of LinkedIn, was retained as a consultant after the merger, but the actual decision-making power was dominated by Microsoft executives, which led to an increase in the turnover rate of the core team. In the 18 months after Microsoft's merger, the turnover rate of LinkedIn executives reached 30%. According to employee survey data, Microsoft's internal survey shows that only 45% of LinkedIn employees agree with "efficient cross-team collaboration", which is lower than 68% of Microsoft's overall level (Microsoft HR Report, 2020). –In 2021, LinkedIn's independent developer conference saw a 40% drop in participation, reflecting a contraction in ecological openness (TechCrunch, 2021). Through the case analysis, it shows that there are at least two major contradictions in Microsoft's merger and acquisition: the contradiction between openness and closed ecology, and the contradiction between management's running-in.</w:t>
      </w:r>
    </w:p>
    <w:p>
      <w:pPr>
        <w:bidi w:val="0"/>
        <w:rPr>
          <w:rFonts w:hint="eastAsia"/>
        </w:rPr>
      </w:pPr>
    </w:p>
    <w:p>
      <w:pPr>
        <w:pStyle w:val="3"/>
        <w:bidi w:val="0"/>
        <w:rPr>
          <w:rFonts w:hint="eastAsia"/>
        </w:rPr>
      </w:pPr>
      <w:bookmarkStart w:id="7" w:name="_Toc19849"/>
      <w:r>
        <w:rPr>
          <w:rFonts w:hint="eastAsia"/>
          <w:lang w:val="en-US" w:eastAsia="zh-CN"/>
        </w:rPr>
        <w:t>3.2</w:t>
      </w:r>
      <w:r>
        <w:rPr>
          <w:rFonts w:hint="eastAsia"/>
        </w:rPr>
        <w:t xml:space="preserve"> Regulatory pressure</w:t>
      </w:r>
      <w:bookmarkEnd w:id="7"/>
    </w:p>
    <w:p>
      <w:pPr>
        <w:bidi w:val="0"/>
        <w:rPr>
          <w:rFonts w:hint="eastAsia"/>
        </w:rPr>
      </w:pPr>
    </w:p>
    <w:p>
      <w:pPr>
        <w:bidi w:val="0"/>
        <w:rPr>
          <w:rFonts w:hint="eastAsia"/>
        </w:rPr>
      </w:pPr>
      <w:r>
        <w:rPr>
          <w:rFonts w:hint="eastAsia"/>
        </w:rPr>
        <w:t>In 2017, the European Commission asked Microsoft to promise not to exclusively bind LinkedIn data to Azure service on the grounds of "data monopoly". Microsoft was forced to sign an agreement to allow competitors limited access to LinkedIn data because of the EU's antitrust review (EC, 2017).</w:t>
      </w:r>
    </w:p>
    <w:p>
      <w:pPr>
        <w:bidi w:val="0"/>
        <w:rPr>
          <w:rFonts w:hint="eastAsia"/>
        </w:rPr>
      </w:pPr>
      <w:r>
        <w:rPr>
          <w:rFonts w:hint="eastAsia"/>
        </w:rPr>
        <w:t>In order to meet the EU requirements, Microsoft has invested an additional US$ 230 million in the construction of a data isolation system (Microsoft Compliance Report, 2018). Moreover, in 2021, the U.S. Department of Justice also launched an anti-monopoly review of technology giants, limiting Microsoft's further acquisition of social media platforms such as Pinterest to prevent over-concentration of the market (WSJ, 2023). Microsoft's legal team expands by 30% in response to global regulatory review.</w:t>
      </w:r>
    </w:p>
    <w:p>
      <w:pPr>
        <w:bidi w:val="0"/>
        <w:rPr>
          <w:rFonts w:hint="eastAsia"/>
        </w:rPr>
      </w:pPr>
    </w:p>
    <w:p>
      <w:pPr>
        <w:pStyle w:val="3"/>
        <w:bidi w:val="0"/>
        <w:rPr>
          <w:rFonts w:hint="eastAsia"/>
        </w:rPr>
      </w:pPr>
      <w:bookmarkStart w:id="8" w:name="_Toc6052"/>
      <w:r>
        <w:rPr>
          <w:rFonts w:hint="eastAsia"/>
        </w:rPr>
        <w:t>3.</w:t>
      </w:r>
      <w:r>
        <w:rPr>
          <w:rFonts w:hint="eastAsia"/>
          <w:lang w:val="en-US" w:eastAsia="zh-CN"/>
        </w:rPr>
        <w:t>3</w:t>
      </w:r>
      <w:r>
        <w:rPr>
          <w:rFonts w:hint="eastAsia"/>
        </w:rPr>
        <w:t xml:space="preserve"> Dispute over surplus cash</w:t>
      </w:r>
      <w:bookmarkEnd w:id="8"/>
    </w:p>
    <w:p>
      <w:pPr>
        <w:bidi w:val="0"/>
        <w:rPr>
          <w:rFonts w:hint="eastAsia"/>
        </w:rPr>
      </w:pPr>
    </w:p>
    <w:p>
      <w:pPr>
        <w:bidi w:val="0"/>
        <w:rPr>
          <w:rFonts w:hint="eastAsia"/>
        </w:rPr>
      </w:pPr>
      <w:r>
        <w:rPr>
          <w:rFonts w:hint="eastAsia"/>
        </w:rPr>
        <w:t>At Microsoft's general meeting in 2016, 72% of shareholders supported the merger, but 28% of the opponents mainly questioned the reasonableness of the premium (SEC, 2016). Some investors questioned that Microsoft's $26.2 billion purchase price was too high, believing that cash should be used for share buybacks, which could boost EPS by about 15%. However, Nadella insisted on the priority of strategic investment and ultimately justified the decision through revenue growth. Microsoft's share price fell 4.5% on the day the merger was announced, a figure that reflects the market's short-term doubts (Reuters, 2016). After 2020, analysts generally raised Microsoft's target share price by 50% as synergies emerged (Morgan Stanley, 2020).</w:t>
      </w:r>
    </w:p>
    <w:p>
      <w:pPr>
        <w:bidi w:val="0"/>
        <w:rPr>
          <w:rFonts w:hint="eastAsia"/>
        </w:rPr>
      </w:pPr>
    </w:p>
    <w:p>
      <w:pPr>
        <w:bidi w:val="0"/>
        <w:rPr>
          <w:rFonts w:hint="eastAsia"/>
        </w:rPr>
      </w:pPr>
    </w:p>
    <w:p>
      <w:pPr>
        <w:bidi w:val="0"/>
        <w:rPr>
          <w:rFonts w:hint="eastAsia"/>
        </w:rPr>
      </w:pPr>
    </w:p>
    <w:p>
      <w:pPr>
        <w:bidi w:val="0"/>
        <w:rPr>
          <w:rFonts w:hint="eastAsia"/>
        </w:rPr>
      </w:pPr>
    </w:p>
    <w:p>
      <w:pPr>
        <w:pStyle w:val="2"/>
        <w:bidi w:val="0"/>
        <w:rPr>
          <w:rFonts w:hint="eastAsia"/>
        </w:rPr>
      </w:pPr>
      <w:bookmarkStart w:id="9" w:name="_Toc30257"/>
      <w:r>
        <w:rPr>
          <w:rFonts w:hint="eastAsia"/>
        </w:rPr>
        <w:t>4.0 Assessment of key areas</w:t>
      </w:r>
      <w:bookmarkEnd w:id="9"/>
    </w:p>
    <w:p>
      <w:pPr>
        <w:bidi w:val="0"/>
        <w:rPr>
          <w:rFonts w:hint="eastAsia"/>
        </w:rPr>
      </w:pPr>
    </w:p>
    <w:p>
      <w:pPr>
        <w:pStyle w:val="3"/>
        <w:bidi w:val="0"/>
        <w:rPr>
          <w:rFonts w:hint="eastAsia"/>
        </w:rPr>
      </w:pPr>
      <w:bookmarkStart w:id="10" w:name="_Toc21213"/>
      <w:r>
        <w:rPr>
          <w:rFonts w:hint="eastAsia"/>
          <w:lang w:val="en-US" w:eastAsia="zh-CN"/>
        </w:rPr>
        <w:t>4.1</w:t>
      </w:r>
      <w:r>
        <w:rPr>
          <w:rFonts w:hint="eastAsia"/>
        </w:rPr>
        <w:t xml:space="preserve"> Degree of realization of synergistic effect</w:t>
      </w:r>
      <w:bookmarkEnd w:id="10"/>
    </w:p>
    <w:p>
      <w:pPr>
        <w:bidi w:val="0"/>
        <w:rPr>
          <w:rFonts w:hint="eastAsia"/>
        </w:rPr>
      </w:pPr>
    </w:p>
    <w:p>
      <w:pPr>
        <w:bidi w:val="0"/>
        <w:rPr>
          <w:rFonts w:hint="eastAsia"/>
        </w:rPr>
      </w:pPr>
      <w:r>
        <w:rPr>
          <w:rFonts w:hint="eastAsia"/>
        </w:rPr>
        <w:t>According to Weston et al. (2001), revenue synergies are more sustainable than cost synergies because they rely on market demand rather than short-term cuts. Barney (1991) stressed that complementary resources need to be managed dynamically to transform into competitive advantages. Therefore, the advantage of Microsoft after the merger is that the user data integration and cloud computing collaboration exceeded the target. Microsoft originally planned to double its revenue within 5 years, and the actual revenue growth was 404%. Among them, 70% of the value of M&amp;A is contributed by cross-selling and data driving. The disadvantage is that the expected cost synergy target ($1 billion/year) is only 60%, which is mainly dragged down by cultural conflicts. At the same time, IT and manpower integration did not meet expectations, resulting in annual cost savings of only US$ 600 million.</w:t>
      </w:r>
    </w:p>
    <w:p>
      <w:pPr>
        <w:bidi w:val="0"/>
        <w:rPr>
          <w:rFonts w:hint="eastAsia"/>
        </w:rPr>
      </w:pPr>
    </w:p>
    <w:p>
      <w:pPr>
        <w:pStyle w:val="3"/>
        <w:bidi w:val="0"/>
        <w:rPr>
          <w:rFonts w:hint="eastAsia"/>
        </w:rPr>
      </w:pPr>
      <w:bookmarkStart w:id="11" w:name="_Toc1808"/>
      <w:r>
        <w:rPr>
          <w:rFonts w:hint="eastAsia"/>
          <w:lang w:val="en-US" w:eastAsia="zh-CN"/>
        </w:rPr>
        <w:t>4.2</w:t>
      </w:r>
      <w:r>
        <w:rPr>
          <w:rFonts w:hint="eastAsia"/>
        </w:rPr>
        <w:t xml:space="preserve"> Diversification and risk diversification</w:t>
      </w:r>
      <w:bookmarkEnd w:id="11"/>
    </w:p>
    <w:p>
      <w:pPr>
        <w:bidi w:val="0"/>
        <w:rPr>
          <w:rFonts w:hint="eastAsia"/>
        </w:rPr>
      </w:pPr>
    </w:p>
    <w:p>
      <w:pPr>
        <w:bidi w:val="0"/>
        <w:rPr>
          <w:rFonts w:hint="eastAsia"/>
        </w:rPr>
      </w:pPr>
      <w:r>
        <w:rPr>
          <w:rFonts w:hint="eastAsia"/>
        </w:rPr>
        <w:t>The acquisition increased Microsoft's share of corporate services revenue from 45%(2016) to 68%(2023), but over-reliance on the B2B market may weaken its anti-cyclical capability, among which Microsoft's decline in technology spending in 2022 led to a slowdown in growth. During the global economic slowdown in 2022, the growth rate of Microsoft's corporate services revenue decreased from 25% to 12%, while consumer-grade businesses such as Xbox maintained 18% growth (Microsoft Annual Report, 2022). Salesforce achieves a more balanced B2B and B2C revenue structure by acquiring Slack and Tableau. Google's Workspace business accounts for only 18% of total revenue and relies on advertising revenue to spread risk. Comparing with the competitors in the industry, we can see the strong strength of Microsoft.</w:t>
      </w:r>
    </w:p>
    <w:p>
      <w:pPr>
        <w:bidi w:val="0"/>
        <w:rPr>
          <w:rFonts w:hint="eastAsia"/>
        </w:rPr>
      </w:pPr>
    </w:p>
    <w:p>
      <w:pPr>
        <w:pStyle w:val="3"/>
        <w:bidi w:val="0"/>
        <w:rPr>
          <w:rFonts w:hint="eastAsia"/>
        </w:rPr>
      </w:pPr>
      <w:bookmarkStart w:id="12" w:name="_Toc12867"/>
      <w:r>
        <w:rPr>
          <w:rFonts w:hint="eastAsia"/>
          <w:lang w:val="en-US" w:eastAsia="zh-CN"/>
        </w:rPr>
        <w:t>4.3</w:t>
      </w:r>
      <w:r>
        <w:rPr>
          <w:rFonts w:hint="eastAsia"/>
        </w:rPr>
        <w:t xml:space="preserve"> Maximize shareholder wealth</w:t>
      </w:r>
      <w:bookmarkEnd w:id="12"/>
    </w:p>
    <w:p>
      <w:pPr>
        <w:bidi w:val="0"/>
        <w:rPr>
          <w:rFonts w:hint="eastAsia"/>
        </w:rPr>
      </w:pPr>
    </w:p>
    <w:p>
      <w:pPr>
        <w:bidi w:val="0"/>
        <w:rPr>
          <w:rFonts w:hint="eastAsia"/>
        </w:rPr>
      </w:pPr>
      <w:r>
        <w:rPr>
          <w:rFonts w:hint="eastAsia"/>
        </w:rPr>
        <w:t>The agency cost theory of Jensen &amp; Meckling (1976) points out that management may pay premium due to overconfidence, but the Microsoft case shows that strategic rationality can offset agency problem. Porter (1985) model of competitive advantage holds that the exclusivity of data resources is a reasonable basis for a high premium. Despite short-term stock price volatility, the long-term TSR proved the success of the merger. Assuming Microsoft does not acquire LinkedIn, Microsoft's market value would fall by about $ 180bn in five years, using the independent valuation model (DCF). According to shareholders' feedback, as representatives of institutional investors, major shareholders such as BlackRock and Vanguard affirmed the strategic value of the merger in the 2023 shareholders' letter. The Reddit and other platform surveys show that 75% of retail investors believe that mergers and acquisitions enhance shareholders' long-term confidence.</w:t>
      </w:r>
    </w:p>
    <w:p>
      <w:pPr>
        <w:bidi w:val="0"/>
        <w:rPr>
          <w:rFonts w:hint="eastAsia"/>
        </w:rPr>
      </w:pPr>
    </w:p>
    <w:p>
      <w:pPr>
        <w:bidi w:val="0"/>
        <w:rPr>
          <w:rFonts w:hint="eastAsia"/>
        </w:rPr>
      </w:pPr>
    </w:p>
    <w:p>
      <w:pPr>
        <w:pStyle w:val="2"/>
        <w:bidi w:val="0"/>
        <w:rPr>
          <w:rFonts w:hint="eastAsia"/>
        </w:rPr>
      </w:pPr>
      <w:bookmarkStart w:id="13" w:name="_Toc9719"/>
      <w:r>
        <w:rPr>
          <w:rFonts w:hint="eastAsia"/>
        </w:rPr>
        <w:t xml:space="preserve">5.0 </w:t>
      </w:r>
      <w:r>
        <w:rPr>
          <w:rFonts w:hint="eastAsia"/>
          <w:lang w:val="en-US" w:eastAsia="zh-CN"/>
        </w:rPr>
        <w:t>A</w:t>
      </w:r>
      <w:r>
        <w:rPr>
          <w:rFonts w:hint="eastAsia"/>
        </w:rPr>
        <w:t>nalysis and recommendations</w:t>
      </w:r>
      <w:bookmarkEnd w:id="13"/>
    </w:p>
    <w:p>
      <w:pPr>
        <w:bidi w:val="0"/>
        <w:rPr>
          <w:rFonts w:hint="eastAsia"/>
        </w:rPr>
      </w:pPr>
    </w:p>
    <w:p>
      <w:pPr>
        <w:pStyle w:val="3"/>
        <w:bidi w:val="0"/>
        <w:rPr>
          <w:rFonts w:hint="eastAsia"/>
        </w:rPr>
      </w:pPr>
      <w:bookmarkStart w:id="14" w:name="_Toc17633"/>
      <w:r>
        <w:rPr>
          <w:rFonts w:hint="eastAsia"/>
          <w:lang w:val="en-US" w:eastAsia="zh-CN"/>
        </w:rPr>
        <w:t>5.1</w:t>
      </w:r>
      <w:r>
        <w:rPr>
          <w:rFonts w:hint="eastAsia"/>
        </w:rPr>
        <w:t xml:space="preserve"> Verification of M&amp;A Theory</w:t>
      </w:r>
      <w:bookmarkEnd w:id="14"/>
    </w:p>
    <w:p>
      <w:pPr>
        <w:bidi w:val="0"/>
        <w:rPr>
          <w:rFonts w:hint="eastAsia"/>
        </w:rPr>
      </w:pPr>
    </w:p>
    <w:p>
      <w:pPr>
        <w:bidi w:val="0"/>
        <w:rPr>
          <w:rFonts w:hint="eastAsia"/>
        </w:rPr>
      </w:pPr>
      <w:r>
        <w:rPr>
          <w:rFonts w:hint="eastAsia"/>
        </w:rPr>
        <w:t>Weston et al. (2001) argues that revenue synergies are more sustainable than cost synergies because they rely on market demand rather than short-term cuts. Barney (1991) stressed that complementary resources need to be managed dynamically to transform into competitive advantages. Revenue synergy accounts for 70% of the value of M&amp;A, which is more decisive than cost synergy (30%), proving the effectiveness of synergy theory. The integration of data resources needs to be matched with the adjustment of the organizational structure, otherwise "collaborative loss" will occur.</w:t>
      </w:r>
    </w:p>
    <w:p>
      <w:pPr>
        <w:bidi w:val="0"/>
        <w:rPr>
          <w:rFonts w:hint="eastAsia"/>
        </w:rPr>
      </w:pPr>
    </w:p>
    <w:p>
      <w:pPr>
        <w:bidi w:val="0"/>
        <w:rPr>
          <w:rFonts w:hint="eastAsia"/>
        </w:rPr>
      </w:pPr>
    </w:p>
    <w:p>
      <w:pPr>
        <w:pStyle w:val="3"/>
        <w:bidi w:val="0"/>
        <w:rPr>
          <w:rFonts w:hint="eastAsia"/>
        </w:rPr>
      </w:pPr>
      <w:bookmarkStart w:id="15" w:name="_Toc11327"/>
      <w:r>
        <w:rPr>
          <w:rFonts w:hint="eastAsia"/>
          <w:lang w:val="en-US" w:eastAsia="zh-CN"/>
        </w:rPr>
        <w:t>5.2</w:t>
      </w:r>
      <w:r>
        <w:rPr>
          <w:rFonts w:hint="eastAsia"/>
        </w:rPr>
        <w:t xml:space="preserve"> Strategic recommendations</w:t>
      </w:r>
      <w:bookmarkEnd w:id="15"/>
    </w:p>
    <w:p>
      <w:pPr>
        <w:bidi w:val="0"/>
        <w:rPr>
          <w:rFonts w:hint="eastAsia"/>
        </w:rPr>
      </w:pPr>
    </w:p>
    <w:p>
      <w:pPr>
        <w:bidi w:val="0"/>
        <w:rPr>
          <w:rFonts w:hint="eastAsia"/>
        </w:rPr>
      </w:pPr>
      <w:r>
        <w:rPr>
          <w:rFonts w:hint="eastAsia"/>
        </w:rPr>
        <w:t>Based on the analysis of Microsoft's acquisition case, three suggestions can be drawn: Microsoft can strengthen the integration of corporate culture, optimize the regulatory steps, and optimize the allocation of resources. Microsoft sets up an inter-company innovation Committee to balance openness with ecological control. For example, LinkedIn is allowed to retain an independent API team while collaborating with Microsoft's cloud division to develop data products. Cross-department activities can also be held at regular intervals to guide employees from different departments to cooperate and strengthen the cohesion of the enterprise. Microsoft has taken the initiative to work with regulators to develop transparency standards for data use. For example, regularly publish performance reports on data sharing agreements or engage third-party auditors to assess compliance. In the future, science and technology will be more and more developed. In the process of merger and acquisition, Microsoft can give priority to some vertical technologies to avoid excessive premium, and set the purchase price cap with reference to the DCF model to strengthen the reasonableness of the bid.</w:t>
      </w:r>
    </w:p>
    <w:p>
      <w:pPr>
        <w:bidi w:val="0"/>
        <w:rPr>
          <w:rFonts w:hint="eastAsia"/>
        </w:rPr>
      </w:pPr>
    </w:p>
    <w:p>
      <w:pPr>
        <w:bidi w:val="0"/>
        <w:rPr>
          <w:rFonts w:hint="eastAsia"/>
        </w:rPr>
      </w:pPr>
    </w:p>
    <w:p>
      <w:pPr>
        <w:bidi w:val="0"/>
        <w:rPr>
          <w:rFonts w:hint="eastAsia"/>
        </w:rPr>
      </w:pPr>
    </w:p>
    <w:p>
      <w:pPr>
        <w:pStyle w:val="2"/>
        <w:bidi w:val="0"/>
        <w:rPr>
          <w:rFonts w:hint="eastAsia"/>
        </w:rPr>
      </w:pPr>
      <w:bookmarkStart w:id="16" w:name="_Toc21313"/>
      <w:r>
        <w:rPr>
          <w:rFonts w:hint="eastAsia"/>
          <w:lang w:val="en-US" w:eastAsia="zh-CN"/>
        </w:rPr>
        <w:t>6.0 C</w:t>
      </w:r>
      <w:r>
        <w:rPr>
          <w:rFonts w:hint="eastAsia"/>
        </w:rPr>
        <w:t>onclusion</w:t>
      </w:r>
      <w:bookmarkEnd w:id="16"/>
    </w:p>
    <w:p>
      <w:pPr>
        <w:bidi w:val="0"/>
        <w:rPr>
          <w:rFonts w:hint="eastAsia"/>
        </w:rPr>
      </w:pPr>
    </w:p>
    <w:p>
      <w:pPr>
        <w:bidi w:val="0"/>
        <w:rPr>
          <w:rFonts w:hint="eastAsia"/>
        </w:rPr>
      </w:pPr>
      <w:r>
        <w:rPr>
          <w:rFonts w:hint="eastAsia"/>
        </w:rPr>
        <w:t>Microsoft's acquisition of LinkedIn provides a valuable reference for the strategic acquisition of the technology industry. The success of this transaction is not only reflected in the significant growth of financial indicators, but also in its verification of the core competitiveness of the "data+ecology" integration model in the digital economy era. By deeply integrating LinkedIn's professional social data with Microsoft's cloud services (Azure) and productivity tools (Office 365), Microsoft has built a B2B closed-loop ecosystem covering recruitment, training and collaboration, significantly improving customer stickiness and cross-selling capabilities. According to 2024 data, Microsoft's business cloud has annual recurring revenue of $120 billion, of which 30% directly benefits from LinkedIn's data-driven products, fully demonstrating the long-term sustainability of synergies. The success of M&amp;A is based on three core strategic logics: a clear path to ecological integration. Prudence in financial planning and agility in organizational adaptation. For investors, this case demonstrates two messages in assessing tech mergers and acquisitions: the reasonableness of premiums is assessed by the importance of the data assets, and short-term fluctuations do not mask long-term gains. The success of Microsoft's acquisition demonstrates the company's strong dynamic compliance capability. In short, Microsoft's acquisition of LinkedIn is not only a financial success, but also a demonstration of the ecological competition of the technology giants in the digital economy era. This case provides a successful case for academia and business to integrate strategic theory.</w:t>
      </w:r>
    </w:p>
    <w:p>
      <w:pPr>
        <w:snapToGrid w:val="0"/>
        <w:rPr>
          <w:rFonts w:hint="eastAsia" w:ascii="Times New Roman" w:hAnsi="Times New Roman" w:cs="Times New Roman"/>
          <w:sz w:val="28"/>
        </w:rPr>
      </w:pPr>
    </w:p>
    <w:p>
      <w:pPr>
        <w:snapToGrid w:val="0"/>
        <w:rPr>
          <w:rFonts w:hint="eastAsia" w:ascii="Times New Roman" w:hAnsi="Times New Roman" w:cs="Times New Roman"/>
          <w:sz w:val="28"/>
        </w:rPr>
        <w:sectPr>
          <w:pgSz w:w="11900" w:h="16840"/>
          <w:pgMar w:top="1134" w:right="1134" w:bottom="1134" w:left="1134" w:header="851" w:footer="992" w:gutter="0"/>
          <w:cols w:space="425" w:num="1"/>
          <w:docGrid w:type="lines" w:linePitch="312" w:charSpace="0"/>
        </w:sectPr>
      </w:pPr>
    </w:p>
    <w:p>
      <w:pPr>
        <w:pStyle w:val="2"/>
        <w:bidi w:val="0"/>
        <w:rPr>
          <w:rFonts w:hint="eastAsia"/>
        </w:rPr>
      </w:pPr>
      <w:bookmarkStart w:id="17" w:name="_Toc2708"/>
      <w:r>
        <w:rPr>
          <w:rFonts w:hint="eastAsia"/>
          <w:lang w:val="en-US" w:eastAsia="zh-CN"/>
        </w:rPr>
        <w:t>7.0 R</w:t>
      </w:r>
      <w:r>
        <w:rPr>
          <w:rFonts w:hint="eastAsia"/>
        </w:rPr>
        <w:t>eference</w:t>
      </w:r>
      <w:bookmarkEnd w:id="17"/>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r>
        <w:rPr>
          <w:rFonts w:hint="eastAsia" w:ascii="Times New Roman" w:hAnsi="Times New Roman" w:cs="Times New Roman"/>
          <w:sz w:val="28"/>
        </w:rPr>
        <w:t>1. Barney, J. B. (1991). Firm resources and sustained competitive advantage. Journal of Management, 17(1), 99–120.</w:t>
      </w:r>
    </w:p>
    <w:p>
      <w:pPr>
        <w:snapToGrid w:val="0"/>
        <w:rPr>
          <w:rFonts w:hint="eastAsia" w:ascii="Times New Roman" w:hAnsi="Times New Roman" w:cs="Times New Roman"/>
          <w:sz w:val="28"/>
        </w:rPr>
      </w:pPr>
      <w:r>
        <w:rPr>
          <w:rFonts w:hint="eastAsia" w:ascii="Times New Roman" w:hAnsi="Times New Roman" w:cs="Times New Roman"/>
          <w:sz w:val="28"/>
        </w:rPr>
        <w:t>2. European Commission. (2017). Case M.8124 – Microsoft/LinkedIn. https://ec.europa.eu</w:t>
      </w:r>
    </w:p>
    <w:p>
      <w:pPr>
        <w:snapToGrid w:val="0"/>
        <w:rPr>
          <w:rFonts w:hint="eastAsia" w:ascii="Times New Roman" w:hAnsi="Times New Roman" w:cs="Times New Roman"/>
          <w:sz w:val="28"/>
        </w:rPr>
      </w:pPr>
      <w:r>
        <w:rPr>
          <w:rFonts w:hint="eastAsia" w:ascii="Times New Roman" w:hAnsi="Times New Roman" w:cs="Times New Roman"/>
          <w:sz w:val="28"/>
        </w:rPr>
        <w:t>3. IDC. (2023). Worldwide enterprise social network market share.  https://www.idc.com</w:t>
      </w:r>
    </w:p>
    <w:p>
      <w:pPr>
        <w:snapToGrid w:val="0"/>
        <w:rPr>
          <w:rFonts w:hint="eastAsia" w:ascii="Times New Roman" w:hAnsi="Times New Roman" w:cs="Times New Roman"/>
          <w:sz w:val="28"/>
        </w:rPr>
      </w:pPr>
      <w:r>
        <w:rPr>
          <w:rFonts w:hint="eastAsia" w:ascii="Times New Roman" w:hAnsi="Times New Roman" w:cs="Times New Roman"/>
          <w:sz w:val="28"/>
        </w:rPr>
        <w:t>4. Jensen, M. C., &amp; Meckling, W. H. (1976). Theory of the firm: Managerial behavior, agency costs, and ownership structure. Journal of Financial Economics, 3(4), 305–360.</w:t>
      </w:r>
    </w:p>
    <w:p>
      <w:pPr>
        <w:snapToGrid w:val="0"/>
        <w:rPr>
          <w:rFonts w:hint="eastAsia" w:ascii="Times New Roman" w:hAnsi="Times New Roman" w:cs="Times New Roman"/>
          <w:sz w:val="28"/>
        </w:rPr>
      </w:pPr>
      <w:r>
        <w:rPr>
          <w:rFonts w:hint="eastAsia" w:ascii="Times New Roman" w:hAnsi="Times New Roman" w:cs="Times New Roman"/>
          <w:sz w:val="28"/>
        </w:rPr>
        <w:t>5. Khan, L. M. (2019). The separation of platforms and commerce. Columbia Law Review, 119(4), 973–1051.</w:t>
      </w:r>
    </w:p>
    <w:p>
      <w:pPr>
        <w:snapToGrid w:val="0"/>
        <w:rPr>
          <w:rFonts w:hint="eastAsia" w:ascii="Times New Roman" w:hAnsi="Times New Roman" w:cs="Times New Roman"/>
          <w:sz w:val="28"/>
        </w:rPr>
      </w:pPr>
      <w:r>
        <w:rPr>
          <w:rFonts w:hint="eastAsia" w:ascii="Times New Roman" w:hAnsi="Times New Roman" w:cs="Times New Roman"/>
          <w:sz w:val="28"/>
        </w:rPr>
        <w:t>6. Microsoft. (2020). Annual report 2020.  https://www.microsoft.com/investor</w:t>
      </w:r>
    </w:p>
    <w:p>
      <w:pPr>
        <w:snapToGrid w:val="0"/>
        <w:rPr>
          <w:rFonts w:hint="eastAsia" w:ascii="Times New Roman" w:hAnsi="Times New Roman" w:cs="Times New Roman"/>
          <w:sz w:val="28"/>
        </w:rPr>
      </w:pPr>
      <w:r>
        <w:rPr>
          <w:rFonts w:hint="eastAsia" w:ascii="Times New Roman" w:hAnsi="Times New Roman" w:cs="Times New Roman"/>
          <w:sz w:val="28"/>
        </w:rPr>
        <w:t>7. Microsoft. (2023). LinkedIn revenue growth report.  https://news.microsoft.com</w:t>
      </w:r>
    </w:p>
    <w:p>
      <w:pPr>
        <w:snapToGrid w:val="0"/>
        <w:rPr>
          <w:rFonts w:hint="eastAsia" w:ascii="Times New Roman" w:hAnsi="Times New Roman" w:cs="Times New Roman"/>
          <w:sz w:val="28"/>
        </w:rPr>
      </w:pPr>
      <w:r>
        <w:rPr>
          <w:rFonts w:hint="eastAsia" w:ascii="Times New Roman" w:hAnsi="Times New Roman" w:cs="Times New Roman"/>
          <w:sz w:val="28"/>
        </w:rPr>
        <w:t>8. Porter, M. E. (1985). Competitive advantage. Free Press.</w:t>
      </w:r>
    </w:p>
    <w:p>
      <w:pPr>
        <w:snapToGrid w:val="0"/>
        <w:rPr>
          <w:rFonts w:hint="eastAsia" w:ascii="Times New Roman" w:hAnsi="Times New Roman" w:cs="Times New Roman"/>
          <w:sz w:val="28"/>
        </w:rPr>
      </w:pPr>
      <w:r>
        <w:rPr>
          <w:rFonts w:hint="eastAsia" w:ascii="Times New Roman" w:hAnsi="Times New Roman" w:cs="Times New Roman"/>
          <w:sz w:val="28"/>
        </w:rPr>
        <w:t>9. Reuters. (2016). Microsoft to buy LinkedIn for $26.2 billion in cash.  https://www.reuters.com</w:t>
      </w:r>
    </w:p>
    <w:p>
      <w:pPr>
        <w:snapToGrid w:val="0"/>
        <w:rPr>
          <w:rFonts w:hint="eastAsia" w:ascii="Times New Roman" w:hAnsi="Times New Roman" w:cs="Times New Roman"/>
          <w:sz w:val="28"/>
        </w:rPr>
      </w:pPr>
      <w:r>
        <w:rPr>
          <w:rFonts w:hint="eastAsia" w:ascii="Times New Roman" w:hAnsi="Times New Roman" w:cs="Times New Roman"/>
          <w:sz w:val="28"/>
        </w:rPr>
        <w:t>10. Statista. (2023). LinkedIn user statistics.  https://www.statista.com</w:t>
      </w:r>
    </w:p>
    <w:p>
      <w:pPr>
        <w:snapToGrid w:val="0"/>
        <w:rPr>
          <w:rFonts w:hint="eastAsia" w:ascii="Times New Roman" w:hAnsi="Times New Roman" w:cs="Times New Roman"/>
          <w:sz w:val="28"/>
        </w:rPr>
      </w:pPr>
      <w:r>
        <w:rPr>
          <w:rFonts w:hint="eastAsia" w:ascii="Times New Roman" w:hAnsi="Times New Roman" w:cs="Times New Roman"/>
          <w:sz w:val="28"/>
        </w:rPr>
        <w:t>11. Weston, J. F., Mitchell, M. L., &amp; Mulherin, J. H. (2001). Takeovers, restructuring, and corporate governance. Prentice Hall.</w:t>
      </w:r>
    </w:p>
    <w:p>
      <w:pPr>
        <w:snapToGrid w:val="0"/>
        <w:rPr>
          <w:rFonts w:hint="eastAsia" w:ascii="Times New Roman" w:hAnsi="Times New Roman" w:cs="Times New Roman"/>
          <w:sz w:val="28"/>
        </w:rPr>
      </w:pPr>
      <w:r>
        <w:rPr>
          <w:rFonts w:hint="eastAsia" w:ascii="Times New Roman" w:hAnsi="Times New Roman" w:cs="Times New Roman"/>
          <w:sz w:val="28"/>
        </w:rPr>
        <w:t>12. Bloomberg. (2023). Microsoft’s total shareholder return analysis.  https://www.bloomberg.com</w:t>
      </w:r>
    </w:p>
    <w:p>
      <w:pPr>
        <w:snapToGrid w:val="0"/>
        <w:rPr>
          <w:rFonts w:hint="eastAsia" w:ascii="Times New Roman" w:hAnsi="Times New Roman" w:cs="Times New Roman"/>
          <w:sz w:val="28"/>
        </w:rPr>
      </w:pPr>
      <w:r>
        <w:rPr>
          <w:rFonts w:hint="eastAsia" w:ascii="Times New Roman" w:hAnsi="Times New Roman" w:cs="Times New Roman"/>
          <w:sz w:val="28"/>
        </w:rPr>
        <w:t>13. Gartner. (2022). Cloud infrastructure market trends.  https://www.gartner.com</w:t>
      </w:r>
    </w:p>
    <w:p>
      <w:pPr>
        <w:snapToGrid w:val="0"/>
        <w:rPr>
          <w:rFonts w:hint="eastAsia" w:ascii="Times New Roman" w:hAnsi="Times New Roman" w:cs="Times New Roman"/>
          <w:sz w:val="28"/>
        </w:rPr>
      </w:pPr>
      <w:r>
        <w:rPr>
          <w:rFonts w:hint="eastAsia" w:ascii="Times New Roman" w:hAnsi="Times New Roman" w:cs="Times New Roman"/>
          <w:sz w:val="28"/>
        </w:rPr>
        <w:t>14. LinkedIn. (2023). Annual member engagement report.  https://news.linkedin.com</w:t>
      </w:r>
    </w:p>
    <w:p>
      <w:pPr>
        <w:snapToGrid w:val="0"/>
        <w:rPr>
          <w:rFonts w:hint="eastAsia" w:ascii="Times New Roman" w:hAnsi="Times New Roman" w:cs="Times New Roman"/>
          <w:sz w:val="28"/>
        </w:rPr>
      </w:pPr>
      <w:r>
        <w:rPr>
          <w:rFonts w:hint="eastAsia" w:ascii="Times New Roman" w:hAnsi="Times New Roman" w:cs="Times New Roman"/>
          <w:sz w:val="28"/>
        </w:rPr>
        <w:t>15. Forbes. (2021). The hidden risks of big tech acquisitions.  https://www.forbes.com</w:t>
      </w:r>
    </w:p>
    <w:p>
      <w:pPr>
        <w:snapToGrid w:val="0"/>
        <w:rPr>
          <w:rFonts w:hint="eastAsia" w:ascii="Times New Roman" w:hAnsi="Times New Roman" w:cs="Times New Roman"/>
          <w:sz w:val="28"/>
        </w:rPr>
      </w:pPr>
      <w:r>
        <w:rPr>
          <w:rFonts w:hint="eastAsia" w:ascii="Times New Roman" w:hAnsi="Times New Roman" w:cs="Times New Roman"/>
          <w:sz w:val="28"/>
        </w:rPr>
        <w:t>16. Financial Times. (2023). Microsoft’s growth strategy post-LinkedIn.  https://www.ft.com</w:t>
      </w:r>
    </w:p>
    <w:p>
      <w:pPr>
        <w:snapToGrid w:val="0"/>
        <w:rPr>
          <w:rFonts w:hint="eastAsia" w:ascii="Times New Roman" w:hAnsi="Times New Roman" w:cs="Times New Roman"/>
          <w:sz w:val="28"/>
        </w:rPr>
      </w:pPr>
      <w:r>
        <w:rPr>
          <w:rFonts w:hint="eastAsia" w:ascii="Times New Roman" w:hAnsi="Times New Roman" w:cs="Times New Roman"/>
          <w:sz w:val="28"/>
        </w:rPr>
        <w:t>17. Harvard Business Review. (2020). Data synergy in mergers.  https://hbr.org</w:t>
      </w:r>
    </w:p>
    <w:p>
      <w:pPr>
        <w:snapToGrid w:val="0"/>
        <w:rPr>
          <w:rFonts w:hint="eastAsia" w:ascii="Times New Roman" w:hAnsi="Times New Roman" w:cs="Times New Roman"/>
          <w:sz w:val="28"/>
        </w:rPr>
      </w:pPr>
      <w:r>
        <w:rPr>
          <w:rFonts w:hint="eastAsia" w:ascii="Times New Roman" w:hAnsi="Times New Roman" w:cs="Times New Roman"/>
          <w:sz w:val="28"/>
        </w:rPr>
        <w:t>18. McKinsey &amp; Company. (2022). Post-merger integration best practices.  https://www.mckinsey.com</w:t>
      </w:r>
    </w:p>
    <w:p>
      <w:pPr>
        <w:snapToGrid w:val="0"/>
        <w:rPr>
          <w:rFonts w:hint="eastAsia" w:ascii="Times New Roman" w:hAnsi="Times New Roman" w:cs="Times New Roman"/>
          <w:sz w:val="28"/>
        </w:rPr>
      </w:pPr>
      <w:r>
        <w:rPr>
          <w:rFonts w:hint="eastAsia" w:ascii="Times New Roman" w:hAnsi="Times New Roman" w:cs="Times New Roman"/>
          <w:sz w:val="28"/>
        </w:rPr>
        <w:t>19. Deloitte. (2023). M&amp;A valuation trends in tech.  https://www2.deloitte.com</w:t>
      </w:r>
    </w:p>
    <w:p>
      <w:pPr>
        <w:snapToGrid w:val="0"/>
        <w:rPr>
          <w:rFonts w:hint="eastAsia" w:ascii="Times New Roman" w:hAnsi="Times New Roman" w:cs="Times New Roman"/>
          <w:sz w:val="28"/>
        </w:rPr>
      </w:pPr>
      <w:r>
        <w:rPr>
          <w:rFonts w:hint="eastAsia" w:ascii="Times New Roman" w:hAnsi="Times New Roman" w:cs="Times New Roman"/>
          <w:sz w:val="28"/>
        </w:rPr>
        <w:t>20. SEC. (2016). Microsoft-LinkedIn merger filing.  https://www.sec.gov</w:t>
      </w:r>
    </w:p>
    <w:p>
      <w:pPr>
        <w:snapToGrid w:val="0"/>
        <w:rPr>
          <w:rFonts w:hint="eastAsia" w:ascii="Times New Roman" w:hAnsi="Times New Roman" w:cs="Times New Roman"/>
          <w:sz w:val="28"/>
        </w:rPr>
      </w:pPr>
      <w:r>
        <w:rPr>
          <w:rFonts w:hint="eastAsia" w:ascii="Times New Roman" w:hAnsi="Times New Roman" w:cs="Times New Roman"/>
          <w:sz w:val="28"/>
        </w:rPr>
        <w:t>21. The Wall Street Journal. (2023). Antitrust scrutiny on tech giants.  https://www.wsj.com</w:t>
      </w:r>
    </w:p>
    <w:p>
      <w:pPr>
        <w:snapToGrid w:val="0"/>
        <w:rPr>
          <w:rFonts w:hint="eastAsia" w:ascii="Times New Roman" w:hAnsi="Times New Roman" w:cs="Times New Roman"/>
          <w:sz w:val="28"/>
        </w:rPr>
      </w:pPr>
      <w:r>
        <w:rPr>
          <w:rFonts w:hint="eastAsia" w:ascii="Times New Roman" w:hAnsi="Times New Roman" w:cs="Times New Roman"/>
          <w:sz w:val="28"/>
        </w:rPr>
        <w:t>22. OECD. (2023). Digital competition policy guidelines.  https://www.oecd.org</w:t>
      </w:r>
    </w:p>
    <w:p>
      <w:pPr>
        <w:snapToGrid w:val="0"/>
        <w:rPr>
          <w:rFonts w:hint="eastAsia" w:ascii="Times New Roman" w:hAnsi="Times New Roman" w:cs="Times New Roman"/>
          <w:sz w:val="28"/>
        </w:rPr>
      </w:pPr>
      <w:r>
        <w:rPr>
          <w:rFonts w:hint="eastAsia" w:ascii="Times New Roman" w:hAnsi="Times New Roman" w:cs="Times New Roman"/>
          <w:sz w:val="28"/>
        </w:rPr>
        <w:t>23. PitchBook. (2023). SaaS company valuation multiples.  https://www.pitchbook.com</w:t>
      </w:r>
    </w:p>
    <w:p>
      <w:pPr>
        <w:snapToGrid w:val="0"/>
        <w:rPr>
          <w:rFonts w:hint="eastAsia" w:ascii="Times New Roman" w:hAnsi="Times New Roman" w:cs="Times New Roman"/>
          <w:sz w:val="28"/>
        </w:rPr>
      </w:pPr>
      <w:r>
        <w:rPr>
          <w:rFonts w:hint="eastAsia" w:ascii="Times New Roman" w:hAnsi="Times New Roman" w:cs="Times New Roman"/>
          <w:sz w:val="28"/>
        </w:rPr>
        <w:t>24. Microsoft Investor Relations. (2024). LinkedIn FY2024 Performance Report.</w:t>
      </w:r>
    </w:p>
    <w:p>
      <w:pPr>
        <w:snapToGrid w:val="0"/>
        <w:rPr>
          <w:rFonts w:hint="eastAsia" w:ascii="Times New Roman" w:hAnsi="Times New Roman" w:cs="Times New Roman"/>
          <w:sz w:val="28"/>
        </w:rPr>
      </w:pPr>
      <w:r>
        <w:rPr>
          <w:rFonts w:hint="eastAsia" w:ascii="Times New Roman" w:hAnsi="Times New Roman" w:cs="Times New Roman"/>
          <w:sz w:val="28"/>
        </w:rPr>
        <w:t>25. IDC. (2024). Global Enterprise Social Network Market Share 2024.</w:t>
      </w:r>
    </w:p>
    <w:p>
      <w:pPr>
        <w:snapToGrid w:val="0"/>
        <w:rPr>
          <w:rFonts w:hint="eastAsia" w:ascii="Times New Roman" w:hAnsi="Times New Roman" w:cs="Times New Roman"/>
          <w:sz w:val="28"/>
        </w:rPr>
      </w:pPr>
      <w:r>
        <w:rPr>
          <w:rFonts w:hint="eastAsia" w:ascii="Times New Roman" w:hAnsi="Times New Roman" w:cs="Times New Roman"/>
          <w:sz w:val="28"/>
        </w:rPr>
        <w:t>26. European Commission. (2024). Digital Services Act Compliance Guidelines.</w:t>
      </w:r>
    </w:p>
    <w:p>
      <w:pPr>
        <w:snapToGrid w:val="0"/>
        <w:rPr>
          <w:rFonts w:hint="eastAsia" w:ascii="Times New Roman" w:hAnsi="Times New Roman" w:cs="Times New Roman"/>
          <w:sz w:val="28"/>
        </w:rPr>
      </w:pPr>
      <w:r>
        <w:rPr>
          <w:rFonts w:hint="eastAsia" w:ascii="Times New Roman" w:hAnsi="Times New Roman" w:cs="Times New Roman"/>
          <w:sz w:val="28"/>
        </w:rPr>
        <w:t>27. Financial Times. (2024). Microsoft’s AI Integration with LinkedIn.</w:t>
      </w:r>
    </w:p>
    <w:p>
      <w:pPr>
        <w:snapToGrid w:val="0"/>
        <w:rPr>
          <w:rFonts w:hint="eastAsia" w:ascii="Times New Roman" w:hAnsi="Times New Roman" w:cs="Times New Roman"/>
          <w:sz w:val="28"/>
        </w:rPr>
      </w:pPr>
      <w:r>
        <w:rPr>
          <w:rFonts w:hint="eastAsia" w:ascii="Times New Roman" w:hAnsi="Times New Roman" w:cs="Times New Roman"/>
          <w:sz w:val="28"/>
        </w:rPr>
        <w:t>28. Gartner. (2024). Cloud Advertising Revenue Analysis 2024.</w:t>
      </w:r>
    </w:p>
    <w:p>
      <w:pPr>
        <w:snapToGrid w:val="0"/>
        <w:rPr>
          <w:rFonts w:hint="eastAsia" w:ascii="Times New Roman" w:hAnsi="Times New Roman" w:cs="Times New Roman"/>
          <w:sz w:val="28"/>
        </w:rPr>
      </w:pP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dhNjhiYmI2YzIxZDFiNzk4ZjE2ZjJiNmM4NGM2MDAifQ=="/>
  </w:docVars>
  <w:rsids>
    <w:rsidRoot w:val="00702569"/>
    <w:rsid w:val="000E1712"/>
    <w:rsid w:val="0028768E"/>
    <w:rsid w:val="005533ED"/>
    <w:rsid w:val="00702569"/>
    <w:rsid w:val="0089293C"/>
    <w:rsid w:val="00B176CB"/>
    <w:rsid w:val="00F54202"/>
    <w:rsid w:val="5B313D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99" w:semiHidden="0" w:name="heading 1"/>
    <w:lsdException w:uiPriority="99" w:semiHidden="0"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30"/>
      <w:szCs w:val="24"/>
      <w:lang w:val="en-US" w:eastAsia="zh-CN" w:bidi="ar-SA"/>
    </w:rPr>
  </w:style>
  <w:style w:type="paragraph" w:styleId="2">
    <w:name w:val="heading 1"/>
    <w:basedOn w:val="1"/>
    <w:next w:val="1"/>
    <w:uiPriority w:val="99"/>
    <w:pPr>
      <w:keepNext/>
      <w:keepLines/>
      <w:spacing w:before="340" w:beforeLines="0" w:beforeAutospacing="0" w:after="330" w:afterLines="0" w:afterAutospacing="0" w:line="576" w:lineRule="auto"/>
      <w:outlineLvl w:val="0"/>
    </w:pPr>
    <w:rPr>
      <w:b/>
      <w:kern w:val="44"/>
      <w:sz w:val="32"/>
    </w:rPr>
  </w:style>
  <w:style w:type="paragraph" w:styleId="3">
    <w:name w:val="heading 2"/>
    <w:basedOn w:val="1"/>
    <w:next w:val="1"/>
    <w:unhideWhenUsed/>
    <w:uiPriority w:val="99"/>
    <w:pPr>
      <w:keepNext/>
      <w:keepLines/>
      <w:spacing w:before="260" w:beforeLines="0" w:beforeAutospacing="0" w:after="260" w:afterLines="0" w:afterAutospacing="0" w:line="413" w:lineRule="auto"/>
      <w:outlineLvl w:val="1"/>
    </w:pPr>
    <w:rPr>
      <w:sz w:val="32"/>
    </w:rPr>
  </w:style>
  <w:style w:type="character" w:default="1" w:styleId="9">
    <w:name w:val="Default Paragraph Font"/>
    <w:semiHidden/>
    <w:unhideWhenUsed/>
    <w:uiPriority w:val="1"/>
  </w:style>
  <w:style w:type="table" w:default="1" w:styleId="8">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uiPriority w:val="99"/>
  </w:style>
  <w:style w:type="paragraph" w:styleId="7">
    <w:name w:val="toc 2"/>
    <w:basedOn w:val="1"/>
    <w:next w:val="1"/>
    <w:semiHidden/>
    <w:unhideWhenUsed/>
    <w:uiPriority w:val="99"/>
    <w:pPr>
      <w:ind w:left="420" w:left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2020-07-21T13:27:00Z</dcterms:created>
  <dc:creator>T148778</dc:creator>
  <cp:lastModifiedBy>23853</cp:lastModifiedBy>
  <dcterms:modified xsi:type="dcterms:W3CDTF">2025-04-04T08:06:42Z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44AFFAF14A4C44689D216ACCADC71CA1_12</vt:lpwstr>
  </property>
</Properties>
</file>