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22FCA" w14:textId="41EC46C1" w:rsidR="00AA4571" w:rsidRPr="00232DF1" w:rsidRDefault="009D7F95" w:rsidP="009D7F95">
      <w:pPr>
        <w:pStyle w:val="Title"/>
        <w:rPr>
          <w:sz w:val="52"/>
          <w:szCs w:val="52"/>
        </w:rPr>
      </w:pPr>
      <w:r w:rsidRPr="00232DF1">
        <w:rPr>
          <w:sz w:val="52"/>
          <w:szCs w:val="52"/>
        </w:rPr>
        <w:t>How does sex and gender shape social life?</w:t>
      </w:r>
    </w:p>
    <w:p w14:paraId="206322CC" w14:textId="163AA6EE" w:rsidR="009D7F95" w:rsidRDefault="009D7F95" w:rsidP="009D7F95"/>
    <w:p w14:paraId="6322C27D" w14:textId="03D5E76E" w:rsidR="009D7F95" w:rsidRDefault="00C77163" w:rsidP="009D7F95">
      <w:pPr>
        <w:rPr>
          <w:sz w:val="24"/>
          <w:szCs w:val="24"/>
        </w:rPr>
      </w:pPr>
      <w:r>
        <w:rPr>
          <w:sz w:val="24"/>
          <w:szCs w:val="24"/>
        </w:rPr>
        <w:t>Biological sex is a constant throughout humanity</w:t>
      </w:r>
      <w:r w:rsidR="00D83270">
        <w:rPr>
          <w:sz w:val="24"/>
          <w:szCs w:val="24"/>
        </w:rPr>
        <w:t>, with everyone being either a male or a female; the genders that also develop are constant but wide ranging in their variety, influenced by the environment and the culture the person lives in. Every group, however, has different ways of interpreting and structuring the sexes and the genders within their societies. For clarity, sex refers to the physical distinction as in male or female and gender refers to the person’s internal identification of masculine or feminine and the behaviours of th</w:t>
      </w:r>
      <w:r w:rsidR="005C6E87">
        <w:rPr>
          <w:sz w:val="24"/>
          <w:szCs w:val="24"/>
        </w:rPr>
        <w:t>e group the person displays.</w:t>
      </w:r>
    </w:p>
    <w:p w14:paraId="0D2E1BA7" w14:textId="7B767C21" w:rsidR="006B3B5C" w:rsidRDefault="00D83270" w:rsidP="009D7F95">
      <w:pPr>
        <w:rPr>
          <w:sz w:val="24"/>
          <w:szCs w:val="24"/>
        </w:rPr>
      </w:pPr>
      <w:r>
        <w:rPr>
          <w:sz w:val="24"/>
          <w:szCs w:val="24"/>
        </w:rPr>
        <w:t xml:space="preserve">The </w:t>
      </w:r>
      <w:proofErr w:type="spellStart"/>
      <w:r>
        <w:rPr>
          <w:sz w:val="24"/>
          <w:szCs w:val="24"/>
        </w:rPr>
        <w:t>Sambia</w:t>
      </w:r>
      <w:proofErr w:type="spellEnd"/>
      <w:r>
        <w:rPr>
          <w:sz w:val="24"/>
          <w:szCs w:val="24"/>
        </w:rPr>
        <w:t xml:space="preserve"> are a tribe that live in the highlands of Papua New Guinea, this group lives with a highly segregated outlook on biological sex and the roles of males and females play. </w:t>
      </w:r>
      <w:r w:rsidR="005C6E87">
        <w:rPr>
          <w:sz w:val="24"/>
          <w:szCs w:val="24"/>
        </w:rPr>
        <w:t xml:space="preserve">The practices of the </w:t>
      </w:r>
      <w:proofErr w:type="spellStart"/>
      <w:r w:rsidR="005C6E87">
        <w:rPr>
          <w:sz w:val="24"/>
          <w:szCs w:val="24"/>
        </w:rPr>
        <w:t>Sambia</w:t>
      </w:r>
      <w:proofErr w:type="spellEnd"/>
      <w:r w:rsidR="005C6E87">
        <w:rPr>
          <w:sz w:val="24"/>
          <w:szCs w:val="24"/>
        </w:rPr>
        <w:t xml:space="preserve"> in relation to their interpretation of sex and gender could be considered abhorrent to Europeans and Americans but they provide a unique contrast to our own views. Gilbert </w:t>
      </w:r>
      <w:proofErr w:type="spellStart"/>
      <w:r w:rsidR="005C6E87">
        <w:rPr>
          <w:sz w:val="24"/>
          <w:szCs w:val="24"/>
        </w:rPr>
        <w:t>Herdt</w:t>
      </w:r>
      <w:proofErr w:type="spellEnd"/>
      <w:r w:rsidR="005C6E87">
        <w:rPr>
          <w:sz w:val="24"/>
          <w:szCs w:val="24"/>
        </w:rPr>
        <w:t xml:space="preserve"> </w:t>
      </w:r>
      <w:sdt>
        <w:sdtPr>
          <w:rPr>
            <w:sz w:val="24"/>
            <w:szCs w:val="24"/>
          </w:rPr>
          <w:id w:val="-345330449"/>
          <w:citation/>
        </w:sdtPr>
        <w:sdtContent>
          <w:r w:rsidR="005C6E87">
            <w:rPr>
              <w:sz w:val="24"/>
              <w:szCs w:val="24"/>
            </w:rPr>
            <w:fldChar w:fldCharType="begin"/>
          </w:r>
          <w:r w:rsidR="005C6E87">
            <w:rPr>
              <w:sz w:val="24"/>
              <w:szCs w:val="24"/>
            </w:rPr>
            <w:instrText xml:space="preserve">CITATION Gil87 \n  \l 2057 </w:instrText>
          </w:r>
          <w:r w:rsidR="005C6E87">
            <w:rPr>
              <w:sz w:val="24"/>
              <w:szCs w:val="24"/>
            </w:rPr>
            <w:fldChar w:fldCharType="separate"/>
          </w:r>
          <w:r w:rsidR="00BF0E5C" w:rsidRPr="00BF0E5C">
            <w:rPr>
              <w:noProof/>
              <w:sz w:val="24"/>
              <w:szCs w:val="24"/>
            </w:rPr>
            <w:t>(1987)</w:t>
          </w:r>
          <w:r w:rsidR="005C6E87">
            <w:rPr>
              <w:sz w:val="24"/>
              <w:szCs w:val="24"/>
            </w:rPr>
            <w:fldChar w:fldCharType="end"/>
          </w:r>
        </w:sdtContent>
      </w:sdt>
      <w:r w:rsidR="005C6E87">
        <w:rPr>
          <w:sz w:val="24"/>
          <w:szCs w:val="24"/>
        </w:rPr>
        <w:t xml:space="preserve"> explains how young boys are in a social grey area between being a man and a woman</w:t>
      </w:r>
      <w:r w:rsidR="00232DF1">
        <w:rPr>
          <w:sz w:val="24"/>
          <w:szCs w:val="24"/>
        </w:rPr>
        <w:t xml:space="preserve">: their sex is male but because they live with the polluting females most of the time they are contaminated and are not truly male till ritual and initiation purifies them of this female influence. This idea of pollution is very jarring to a European or an American where sexes are treated on a mostly equal level, but this division between the </w:t>
      </w:r>
      <w:proofErr w:type="spellStart"/>
      <w:r w:rsidR="00232DF1">
        <w:rPr>
          <w:sz w:val="24"/>
          <w:szCs w:val="24"/>
        </w:rPr>
        <w:t>Sambian</w:t>
      </w:r>
      <w:proofErr w:type="spellEnd"/>
      <w:r w:rsidR="00232DF1">
        <w:rPr>
          <w:sz w:val="24"/>
          <w:szCs w:val="24"/>
        </w:rPr>
        <w:t xml:space="preserve"> sexes is a central part of their culture. </w:t>
      </w:r>
      <w:r w:rsidR="006B3B5C">
        <w:rPr>
          <w:sz w:val="24"/>
          <w:szCs w:val="24"/>
        </w:rPr>
        <w:t>This separation is the cultural manifestation of:</w:t>
      </w:r>
    </w:p>
    <w:p w14:paraId="1BE0C6F5" w14:textId="5FF7090B" w:rsidR="006B3B5C" w:rsidRDefault="006B3B5C" w:rsidP="00FB1754">
      <w:pPr>
        <w:ind w:left="720"/>
        <w:rPr>
          <w:sz w:val="24"/>
          <w:szCs w:val="24"/>
        </w:rPr>
      </w:pPr>
      <w:r>
        <w:rPr>
          <w:sz w:val="24"/>
          <w:szCs w:val="24"/>
        </w:rPr>
        <w:t xml:space="preserve">An invisible tapestry of spatial taboos and architectural designs </w:t>
      </w:r>
      <w:r w:rsidR="00FB1754">
        <w:rPr>
          <w:sz w:val="24"/>
          <w:szCs w:val="24"/>
        </w:rPr>
        <w:t xml:space="preserve">to </w:t>
      </w:r>
      <w:r>
        <w:rPr>
          <w:sz w:val="24"/>
          <w:szCs w:val="24"/>
        </w:rPr>
        <w:t>separate women from men inside the hamlet, its narrow confines segregated into men’s and women’s spaces. Zones of female movement are polluted, according to male dogma; since no area is immune to this contagion</w:t>
      </w:r>
      <w:r w:rsidR="00FB1754">
        <w:rPr>
          <w:sz w:val="24"/>
          <w:szCs w:val="24"/>
        </w:rPr>
        <w:t xml:space="preserve"> </w:t>
      </w:r>
      <w:sdt>
        <w:sdtPr>
          <w:rPr>
            <w:sz w:val="24"/>
            <w:szCs w:val="24"/>
          </w:rPr>
          <w:id w:val="1248614553"/>
          <w:citation/>
        </w:sdtPr>
        <w:sdtContent>
          <w:r w:rsidR="00FB1754">
            <w:rPr>
              <w:sz w:val="24"/>
              <w:szCs w:val="24"/>
            </w:rPr>
            <w:fldChar w:fldCharType="begin"/>
          </w:r>
          <w:r w:rsidR="00FB1754">
            <w:rPr>
              <w:sz w:val="24"/>
              <w:szCs w:val="24"/>
            </w:rPr>
            <w:instrText xml:space="preserve">CITATION Gil87 \p 71 \l 2057 </w:instrText>
          </w:r>
          <w:r w:rsidR="00FB1754">
            <w:rPr>
              <w:sz w:val="24"/>
              <w:szCs w:val="24"/>
            </w:rPr>
            <w:fldChar w:fldCharType="separate"/>
          </w:r>
          <w:r w:rsidR="00BF0E5C" w:rsidRPr="00BF0E5C">
            <w:rPr>
              <w:noProof/>
              <w:sz w:val="24"/>
              <w:szCs w:val="24"/>
            </w:rPr>
            <w:t>(Herdt, 1987, p. 71)</w:t>
          </w:r>
          <w:r w:rsidR="00FB1754">
            <w:rPr>
              <w:sz w:val="24"/>
              <w:szCs w:val="24"/>
            </w:rPr>
            <w:fldChar w:fldCharType="end"/>
          </w:r>
        </w:sdtContent>
      </w:sdt>
    </w:p>
    <w:p w14:paraId="26E7CC36" w14:textId="4F7BA417" w:rsidR="00FB1754" w:rsidRDefault="00FB1754" w:rsidP="00FB1754">
      <w:pPr>
        <w:rPr>
          <w:sz w:val="24"/>
          <w:szCs w:val="24"/>
        </w:rPr>
      </w:pPr>
      <w:r>
        <w:rPr>
          <w:sz w:val="24"/>
          <w:szCs w:val="24"/>
        </w:rPr>
        <w:t xml:space="preserve">This physical divide is key to protecting the males from any contamination exuded by women, in their dogma at least. </w:t>
      </w:r>
      <w:r w:rsidR="00013D34">
        <w:rPr>
          <w:sz w:val="24"/>
          <w:szCs w:val="24"/>
        </w:rPr>
        <w:t>If they do not protect themselves then they run the risk of losing their earned masculinity they acquired during the men’s secret society rituals</w:t>
      </w:r>
      <w:r w:rsidR="00F7703B">
        <w:rPr>
          <w:sz w:val="24"/>
          <w:szCs w:val="24"/>
        </w:rPr>
        <w:t xml:space="preserve">. This protection of their masculinity and avoidance of women is also compounded by the way they talk. Gilbert </w:t>
      </w:r>
      <w:sdt>
        <w:sdtPr>
          <w:rPr>
            <w:sz w:val="24"/>
            <w:szCs w:val="24"/>
          </w:rPr>
          <w:id w:val="-518626576"/>
          <w:citation/>
        </w:sdtPr>
        <w:sdtContent>
          <w:r w:rsidR="00F7703B">
            <w:rPr>
              <w:sz w:val="24"/>
              <w:szCs w:val="24"/>
            </w:rPr>
            <w:fldChar w:fldCharType="begin"/>
          </w:r>
          <w:r w:rsidR="00F7703B">
            <w:rPr>
              <w:sz w:val="24"/>
              <w:szCs w:val="24"/>
            </w:rPr>
            <w:instrText xml:space="preserve">CITATION Gil87 \n  \l 2057 </w:instrText>
          </w:r>
          <w:r w:rsidR="00F7703B">
            <w:rPr>
              <w:sz w:val="24"/>
              <w:szCs w:val="24"/>
            </w:rPr>
            <w:fldChar w:fldCharType="separate"/>
          </w:r>
          <w:r w:rsidR="00BF0E5C" w:rsidRPr="00BF0E5C">
            <w:rPr>
              <w:noProof/>
              <w:sz w:val="24"/>
              <w:szCs w:val="24"/>
            </w:rPr>
            <w:t>(1987)</w:t>
          </w:r>
          <w:r w:rsidR="00F7703B">
            <w:rPr>
              <w:sz w:val="24"/>
              <w:szCs w:val="24"/>
            </w:rPr>
            <w:fldChar w:fldCharType="end"/>
          </w:r>
        </w:sdtContent>
      </w:sdt>
      <w:r w:rsidR="00F7703B">
        <w:rPr>
          <w:sz w:val="24"/>
          <w:szCs w:val="24"/>
        </w:rPr>
        <w:t xml:space="preserve"> highlights that the </w:t>
      </w:r>
      <w:proofErr w:type="spellStart"/>
      <w:r w:rsidR="00F7703B">
        <w:rPr>
          <w:sz w:val="24"/>
          <w:szCs w:val="24"/>
        </w:rPr>
        <w:t>Sambia</w:t>
      </w:r>
      <w:proofErr w:type="spellEnd"/>
      <w:r w:rsidR="00F7703B">
        <w:rPr>
          <w:sz w:val="24"/>
          <w:szCs w:val="24"/>
        </w:rPr>
        <w:t xml:space="preserve"> have three ways of talking: public, secret and private talk. Each of these methods is used to isolate the opposite sex from matters within the gender, such as males using hushed secret talk in their clubhouse to discuss a male-only ritual</w:t>
      </w:r>
      <w:r w:rsidR="00A80E4F">
        <w:rPr>
          <w:sz w:val="24"/>
          <w:szCs w:val="24"/>
        </w:rPr>
        <w:t xml:space="preserve">. </w:t>
      </w:r>
      <w:r w:rsidR="00024BC5">
        <w:rPr>
          <w:sz w:val="24"/>
          <w:szCs w:val="24"/>
        </w:rPr>
        <w:t>This culture’s harsh segregation can be considered one of the worst in terms of the perception of women, but in terms of the physical repercussions it is not the worst.</w:t>
      </w:r>
    </w:p>
    <w:p w14:paraId="742A6850" w14:textId="72BF7FC5" w:rsidR="00DA18D7" w:rsidRDefault="004A591D" w:rsidP="00FB1754">
      <w:pPr>
        <w:rPr>
          <w:sz w:val="24"/>
          <w:szCs w:val="24"/>
        </w:rPr>
      </w:pPr>
      <w:r>
        <w:rPr>
          <w:sz w:val="24"/>
          <w:szCs w:val="24"/>
        </w:rPr>
        <w:t xml:space="preserve">The Yanomamo have a degree of disdain for females, but not to the same extent as the </w:t>
      </w:r>
      <w:proofErr w:type="spellStart"/>
      <w:r>
        <w:rPr>
          <w:sz w:val="24"/>
          <w:szCs w:val="24"/>
        </w:rPr>
        <w:t>Sambia</w:t>
      </w:r>
      <w:proofErr w:type="spellEnd"/>
      <w:r>
        <w:rPr>
          <w:sz w:val="24"/>
          <w:szCs w:val="24"/>
        </w:rPr>
        <w:t>. One principle</w:t>
      </w:r>
      <w:r w:rsidR="00AC591E">
        <w:rPr>
          <w:sz w:val="24"/>
          <w:szCs w:val="24"/>
        </w:rPr>
        <w:t xml:space="preserve">, outlined by Napoleon </w:t>
      </w:r>
      <w:proofErr w:type="spellStart"/>
      <w:r w:rsidR="00AC591E">
        <w:rPr>
          <w:sz w:val="24"/>
          <w:szCs w:val="24"/>
        </w:rPr>
        <w:t>Chagnon</w:t>
      </w:r>
      <w:proofErr w:type="spellEnd"/>
      <w:r w:rsidR="00AC591E">
        <w:rPr>
          <w:sz w:val="24"/>
          <w:szCs w:val="24"/>
        </w:rPr>
        <w:t xml:space="preserve">, </w:t>
      </w:r>
      <w:r>
        <w:rPr>
          <w:sz w:val="24"/>
          <w:szCs w:val="24"/>
        </w:rPr>
        <w:t>of the Yanomamo is that</w:t>
      </w:r>
      <w:r w:rsidR="00AC591E">
        <w:rPr>
          <w:sz w:val="24"/>
          <w:szCs w:val="24"/>
        </w:rPr>
        <w:t xml:space="preserve"> when a man returns from a hunting trip the wife should immediately rush home and prepare a meal but</w:t>
      </w:r>
      <w:r>
        <w:rPr>
          <w:sz w:val="24"/>
          <w:szCs w:val="24"/>
        </w:rPr>
        <w:t xml:space="preserve"> </w:t>
      </w:r>
      <w:r w:rsidR="00AC591E">
        <w:rPr>
          <w:sz w:val="24"/>
          <w:szCs w:val="24"/>
        </w:rPr>
        <w:t>“</w:t>
      </w:r>
      <w:r w:rsidR="00AC591E" w:rsidRPr="00AC591E">
        <w:rPr>
          <w:sz w:val="24"/>
          <w:szCs w:val="24"/>
        </w:rPr>
        <w:t>Should the wife be slow at doing this, the husband is within his rights to beat her.</w:t>
      </w:r>
      <w:r w:rsidR="00AC591E" w:rsidRPr="00AC591E">
        <w:rPr>
          <w:sz w:val="24"/>
          <w:szCs w:val="24"/>
        </w:rPr>
        <w:t>”</w:t>
      </w:r>
      <w:r w:rsidR="00AC591E">
        <w:rPr>
          <w:sz w:val="24"/>
          <w:szCs w:val="24"/>
        </w:rPr>
        <w:t xml:space="preserve"> </w:t>
      </w:r>
      <w:sdt>
        <w:sdtPr>
          <w:rPr>
            <w:sz w:val="24"/>
            <w:szCs w:val="24"/>
          </w:rPr>
          <w:id w:val="505873719"/>
          <w:citation/>
        </w:sdtPr>
        <w:sdtContent>
          <w:r w:rsidR="00AC591E">
            <w:rPr>
              <w:sz w:val="24"/>
              <w:szCs w:val="24"/>
            </w:rPr>
            <w:fldChar w:fldCharType="begin"/>
          </w:r>
          <w:r w:rsidR="00AC591E">
            <w:rPr>
              <w:sz w:val="24"/>
              <w:szCs w:val="24"/>
            </w:rPr>
            <w:instrText xml:space="preserve">CITATION Nap68 \p 112 \l 2057 </w:instrText>
          </w:r>
          <w:r w:rsidR="00AC591E">
            <w:rPr>
              <w:sz w:val="24"/>
              <w:szCs w:val="24"/>
            </w:rPr>
            <w:fldChar w:fldCharType="separate"/>
          </w:r>
          <w:r w:rsidR="00BF0E5C" w:rsidRPr="00BF0E5C">
            <w:rPr>
              <w:noProof/>
              <w:sz w:val="24"/>
              <w:szCs w:val="24"/>
            </w:rPr>
            <w:t>(Chagnon, 1968, p. 112)</w:t>
          </w:r>
          <w:r w:rsidR="00AC591E">
            <w:rPr>
              <w:sz w:val="24"/>
              <w:szCs w:val="24"/>
            </w:rPr>
            <w:fldChar w:fldCharType="end"/>
          </w:r>
        </w:sdtContent>
      </w:sdt>
      <w:r w:rsidR="00AC591E">
        <w:rPr>
          <w:sz w:val="24"/>
          <w:szCs w:val="24"/>
        </w:rPr>
        <w:t xml:space="preserve"> which is clearly another idea that Europeans and Americans do not agree with. </w:t>
      </w:r>
      <w:r w:rsidR="00393DEC">
        <w:rPr>
          <w:sz w:val="24"/>
          <w:szCs w:val="24"/>
        </w:rPr>
        <w:t xml:space="preserve">Comparisons can be drawn with in the disdain that some husbands have for </w:t>
      </w:r>
      <w:r w:rsidR="00393DEC">
        <w:rPr>
          <w:sz w:val="24"/>
          <w:szCs w:val="24"/>
        </w:rPr>
        <w:lastRenderedPageBreak/>
        <w:t xml:space="preserve">their wives within the </w:t>
      </w:r>
      <w:proofErr w:type="spellStart"/>
      <w:r w:rsidR="00393DEC">
        <w:rPr>
          <w:sz w:val="24"/>
          <w:szCs w:val="24"/>
        </w:rPr>
        <w:t>Sambia</w:t>
      </w:r>
      <w:proofErr w:type="spellEnd"/>
      <w:r w:rsidR="00393DEC">
        <w:rPr>
          <w:sz w:val="24"/>
          <w:szCs w:val="24"/>
        </w:rPr>
        <w:t xml:space="preserve">, but the dislike is more physical than psychological. </w:t>
      </w:r>
      <w:r w:rsidR="00DE33DD">
        <w:rPr>
          <w:sz w:val="24"/>
          <w:szCs w:val="24"/>
        </w:rPr>
        <w:t xml:space="preserve">The women within the tribe also have a similarly bound role as Yanomamo society is male orientated; girls are expected </w:t>
      </w:r>
      <w:r w:rsidR="0003179E">
        <w:rPr>
          <w:sz w:val="24"/>
          <w:szCs w:val="24"/>
        </w:rPr>
        <w:t xml:space="preserve">to take up domestic jobs by the time they are 10 </w:t>
      </w:r>
      <w:r w:rsidR="00DA18D7">
        <w:rPr>
          <w:sz w:val="24"/>
          <w:szCs w:val="24"/>
        </w:rPr>
        <w:t>whilst</w:t>
      </w:r>
      <w:r w:rsidR="0003179E">
        <w:rPr>
          <w:sz w:val="24"/>
          <w:szCs w:val="24"/>
        </w:rPr>
        <w:t xml:space="preserve"> boys can continue their childhood into their teenage years</w:t>
      </w:r>
      <w:r w:rsidR="00C34371">
        <w:rPr>
          <w:sz w:val="24"/>
          <w:szCs w:val="24"/>
        </w:rPr>
        <w:t xml:space="preserve">. The men have a role of warrior, gardener and hunter whilst the women also have a role of gardeners but also take on the role of cook, babysitter and gatherer. </w:t>
      </w:r>
      <w:r w:rsidR="00DA18D7">
        <w:rPr>
          <w:sz w:val="24"/>
          <w:szCs w:val="24"/>
        </w:rPr>
        <w:t>Despite the abuses they suffer from their husbands, the women have a way of measuring their husband’s love by the amount of minor beatings they receive</w:t>
      </w:r>
      <w:r w:rsidR="00DA18D7" w:rsidRPr="00DA18D7">
        <w:rPr>
          <w:sz w:val="24"/>
          <w:szCs w:val="24"/>
        </w:rPr>
        <w:t xml:space="preserve"> </w:t>
      </w:r>
      <w:sdt>
        <w:sdtPr>
          <w:rPr>
            <w:sz w:val="24"/>
            <w:szCs w:val="24"/>
          </w:rPr>
          <w:id w:val="-1052775134"/>
          <w:citation/>
        </w:sdtPr>
        <w:sdtContent>
          <w:r w:rsidR="00DA18D7">
            <w:rPr>
              <w:sz w:val="24"/>
              <w:szCs w:val="24"/>
            </w:rPr>
            <w:fldChar w:fldCharType="begin"/>
          </w:r>
          <w:r w:rsidR="00DA18D7">
            <w:rPr>
              <w:sz w:val="24"/>
              <w:szCs w:val="24"/>
            </w:rPr>
            <w:instrText xml:space="preserve">CITATION Nap68 \p 111 \l 2057 </w:instrText>
          </w:r>
          <w:r w:rsidR="00DA18D7">
            <w:rPr>
              <w:sz w:val="24"/>
              <w:szCs w:val="24"/>
            </w:rPr>
            <w:fldChar w:fldCharType="separate"/>
          </w:r>
          <w:r w:rsidR="00BF0E5C" w:rsidRPr="00BF0E5C">
            <w:rPr>
              <w:noProof/>
              <w:sz w:val="24"/>
              <w:szCs w:val="24"/>
            </w:rPr>
            <w:t>(Chagnon, 1968, p. 111)</w:t>
          </w:r>
          <w:r w:rsidR="00DA18D7">
            <w:rPr>
              <w:sz w:val="24"/>
              <w:szCs w:val="24"/>
            </w:rPr>
            <w:fldChar w:fldCharType="end"/>
          </w:r>
        </w:sdtContent>
      </w:sdt>
      <w:r w:rsidR="00DA18D7">
        <w:rPr>
          <w:sz w:val="24"/>
          <w:szCs w:val="24"/>
        </w:rPr>
        <w:t xml:space="preserve">. As cruel as these encounters and lot in life can sounds, the women accept it because they know that their extended family will protect them if their husband becomes too abusive or violent towards her. Though not as severe as the </w:t>
      </w:r>
      <w:proofErr w:type="spellStart"/>
      <w:r w:rsidR="00DA18D7">
        <w:rPr>
          <w:sz w:val="24"/>
          <w:szCs w:val="24"/>
        </w:rPr>
        <w:t>Sambia</w:t>
      </w:r>
      <w:proofErr w:type="spellEnd"/>
      <w:r w:rsidR="00DA18D7">
        <w:rPr>
          <w:sz w:val="24"/>
          <w:szCs w:val="24"/>
        </w:rPr>
        <w:t xml:space="preserve"> in their treatment of women, the Yanomamo still have a male dominated society in which women are expected to take on the menial domestic roles and serve their husbands.</w:t>
      </w:r>
    </w:p>
    <w:p w14:paraId="6D311F61" w14:textId="7F381382" w:rsidR="000B2922" w:rsidRDefault="000B2922" w:rsidP="00FB1754">
      <w:pPr>
        <w:rPr>
          <w:sz w:val="24"/>
          <w:szCs w:val="24"/>
        </w:rPr>
      </w:pPr>
      <w:r>
        <w:rPr>
          <w:sz w:val="24"/>
          <w:szCs w:val="24"/>
        </w:rPr>
        <w:t>In contrast, the Ju/’</w:t>
      </w:r>
      <w:proofErr w:type="spellStart"/>
      <w:r>
        <w:rPr>
          <w:sz w:val="24"/>
          <w:szCs w:val="24"/>
        </w:rPr>
        <w:t>hoansi</w:t>
      </w:r>
      <w:proofErr w:type="spellEnd"/>
      <w:r>
        <w:rPr>
          <w:sz w:val="24"/>
          <w:szCs w:val="24"/>
        </w:rPr>
        <w:t xml:space="preserve"> have a considerably fair</w:t>
      </w:r>
      <w:r w:rsidR="005A7D6B">
        <w:rPr>
          <w:sz w:val="24"/>
          <w:szCs w:val="24"/>
        </w:rPr>
        <w:t>er</w:t>
      </w:r>
      <w:r>
        <w:rPr>
          <w:sz w:val="24"/>
          <w:szCs w:val="24"/>
        </w:rPr>
        <w:t xml:space="preserve"> perspective when concerning roles. </w:t>
      </w:r>
      <w:r w:rsidR="005A7D6B">
        <w:rPr>
          <w:sz w:val="24"/>
          <w:szCs w:val="24"/>
        </w:rPr>
        <w:t>Two of the most important roles within their community is that of the healer and storyteller, both of which are occupations open to men and women. Peters-Golden says that “To become a healer is a grand aspiration of many, and the Ju/’</w:t>
      </w:r>
      <w:proofErr w:type="spellStart"/>
      <w:r w:rsidR="005A7D6B">
        <w:rPr>
          <w:sz w:val="24"/>
          <w:szCs w:val="24"/>
        </w:rPr>
        <w:t>hoansi</w:t>
      </w:r>
      <w:proofErr w:type="spellEnd"/>
      <w:r w:rsidR="005A7D6B">
        <w:rPr>
          <w:sz w:val="24"/>
          <w:szCs w:val="24"/>
        </w:rPr>
        <w:t xml:space="preserve"> believe it to be accessible to all. Nearly half the men and one-third of the women are acknowledged as having the power to heal” </w:t>
      </w:r>
      <w:sdt>
        <w:sdtPr>
          <w:rPr>
            <w:sz w:val="24"/>
            <w:szCs w:val="24"/>
          </w:rPr>
          <w:id w:val="-1141115503"/>
          <w:citation/>
        </w:sdtPr>
        <w:sdtContent>
          <w:r w:rsidR="005A7D6B">
            <w:rPr>
              <w:sz w:val="24"/>
              <w:szCs w:val="24"/>
            </w:rPr>
            <w:fldChar w:fldCharType="begin"/>
          </w:r>
          <w:r w:rsidR="005A7D6B">
            <w:rPr>
              <w:sz w:val="24"/>
              <w:szCs w:val="24"/>
            </w:rPr>
            <w:instrText xml:space="preserve">CITATION Hol94 \p 109-110 \n  \l 2057 </w:instrText>
          </w:r>
          <w:r w:rsidR="005A7D6B">
            <w:rPr>
              <w:sz w:val="24"/>
              <w:szCs w:val="24"/>
            </w:rPr>
            <w:fldChar w:fldCharType="separate"/>
          </w:r>
          <w:r w:rsidR="00BF0E5C" w:rsidRPr="00BF0E5C">
            <w:rPr>
              <w:noProof/>
              <w:sz w:val="24"/>
              <w:szCs w:val="24"/>
            </w:rPr>
            <w:t>(1994, pp. 109-110)</w:t>
          </w:r>
          <w:r w:rsidR="005A7D6B">
            <w:rPr>
              <w:sz w:val="24"/>
              <w:szCs w:val="24"/>
            </w:rPr>
            <w:fldChar w:fldCharType="end"/>
          </w:r>
        </w:sdtContent>
      </w:sdt>
      <w:r w:rsidR="00377C2E">
        <w:rPr>
          <w:sz w:val="24"/>
          <w:szCs w:val="24"/>
        </w:rPr>
        <w:t xml:space="preserve">. This provides a much more equal footing for both men and women when compared to the </w:t>
      </w:r>
      <w:proofErr w:type="spellStart"/>
      <w:r w:rsidR="00377C2E">
        <w:rPr>
          <w:sz w:val="24"/>
          <w:szCs w:val="24"/>
        </w:rPr>
        <w:t>Sambia</w:t>
      </w:r>
      <w:proofErr w:type="spellEnd"/>
      <w:r w:rsidR="00377C2E">
        <w:rPr>
          <w:sz w:val="24"/>
          <w:szCs w:val="24"/>
        </w:rPr>
        <w:t xml:space="preserve"> who would likely never let a woman hold such a prestigious role within the community, they would only ever be able to work within the roles deemed appropriate for</w:t>
      </w:r>
      <w:r w:rsidR="00BF0E5C">
        <w:rPr>
          <w:sz w:val="24"/>
          <w:szCs w:val="24"/>
        </w:rPr>
        <w:t xml:space="preserve"> her by the secret</w:t>
      </w:r>
      <w:r w:rsidR="00377C2E">
        <w:rPr>
          <w:sz w:val="24"/>
          <w:szCs w:val="24"/>
        </w:rPr>
        <w:t xml:space="preserve"> </w:t>
      </w:r>
      <w:r w:rsidR="00BF0E5C">
        <w:rPr>
          <w:sz w:val="24"/>
          <w:szCs w:val="24"/>
        </w:rPr>
        <w:t>society</w:t>
      </w:r>
      <w:r w:rsidR="00377C2E">
        <w:rPr>
          <w:sz w:val="24"/>
          <w:szCs w:val="24"/>
        </w:rPr>
        <w:t xml:space="preserve">. </w:t>
      </w:r>
      <w:r w:rsidR="00A3140C">
        <w:rPr>
          <w:sz w:val="24"/>
          <w:szCs w:val="24"/>
        </w:rPr>
        <w:t xml:space="preserve">Though the </w:t>
      </w:r>
      <w:proofErr w:type="spellStart"/>
      <w:r w:rsidR="00A3140C">
        <w:rPr>
          <w:sz w:val="24"/>
          <w:szCs w:val="24"/>
        </w:rPr>
        <w:t>Sambia</w:t>
      </w:r>
      <w:proofErr w:type="spellEnd"/>
      <w:r w:rsidR="00A3140C">
        <w:rPr>
          <w:sz w:val="24"/>
          <w:szCs w:val="24"/>
        </w:rPr>
        <w:t xml:space="preserve"> have their secret societies and the lore that is associated with them held only by the people of that sex, the Ju/’</w:t>
      </w:r>
      <w:proofErr w:type="spellStart"/>
      <w:r w:rsidR="00A3140C">
        <w:rPr>
          <w:sz w:val="24"/>
          <w:szCs w:val="24"/>
        </w:rPr>
        <w:t>hoansi</w:t>
      </w:r>
      <w:proofErr w:type="spellEnd"/>
      <w:r w:rsidR="00A3140C">
        <w:rPr>
          <w:sz w:val="24"/>
          <w:szCs w:val="24"/>
        </w:rPr>
        <w:t xml:space="preserve"> have a tradition of storytelling, “in some places, a few individuals are expert storytellers, known for their skill and set apart from others in their talent. Among the Ju/’</w:t>
      </w:r>
      <w:proofErr w:type="spellStart"/>
      <w:r w:rsidR="00A3140C">
        <w:rPr>
          <w:sz w:val="24"/>
          <w:szCs w:val="24"/>
        </w:rPr>
        <w:t>hoansi</w:t>
      </w:r>
      <w:proofErr w:type="spellEnd"/>
      <w:r w:rsidR="00A3140C">
        <w:rPr>
          <w:sz w:val="24"/>
          <w:szCs w:val="24"/>
        </w:rPr>
        <w:t xml:space="preserve">, however, it is old people who are the storytellers – and every old person rises to the occasion” </w:t>
      </w:r>
      <w:sdt>
        <w:sdtPr>
          <w:rPr>
            <w:sz w:val="24"/>
            <w:szCs w:val="24"/>
          </w:rPr>
          <w:id w:val="-1458094034"/>
          <w:citation/>
        </w:sdtPr>
        <w:sdtContent>
          <w:r w:rsidR="00A3140C">
            <w:rPr>
              <w:sz w:val="24"/>
              <w:szCs w:val="24"/>
            </w:rPr>
            <w:fldChar w:fldCharType="begin"/>
          </w:r>
          <w:r w:rsidR="00A3140C">
            <w:rPr>
              <w:sz w:val="24"/>
              <w:szCs w:val="24"/>
            </w:rPr>
            <w:instrText xml:space="preserve">CITATION Hol94 \p 106 \l 2057 </w:instrText>
          </w:r>
          <w:r w:rsidR="00A3140C">
            <w:rPr>
              <w:sz w:val="24"/>
              <w:szCs w:val="24"/>
            </w:rPr>
            <w:fldChar w:fldCharType="separate"/>
          </w:r>
          <w:r w:rsidR="00A3140C" w:rsidRPr="00A3140C">
            <w:rPr>
              <w:noProof/>
              <w:sz w:val="24"/>
              <w:szCs w:val="24"/>
            </w:rPr>
            <w:t>(Peters-Golden, 1994, p. 106)</w:t>
          </w:r>
          <w:r w:rsidR="00A3140C">
            <w:rPr>
              <w:sz w:val="24"/>
              <w:szCs w:val="24"/>
            </w:rPr>
            <w:fldChar w:fldCharType="end"/>
          </w:r>
        </w:sdtContent>
      </w:sdt>
      <w:r w:rsidR="00A3140C">
        <w:rPr>
          <w:sz w:val="24"/>
          <w:szCs w:val="24"/>
        </w:rPr>
        <w:t xml:space="preserve">. Though the </w:t>
      </w:r>
      <w:proofErr w:type="spellStart"/>
      <w:r w:rsidR="00A3140C">
        <w:rPr>
          <w:sz w:val="24"/>
          <w:szCs w:val="24"/>
        </w:rPr>
        <w:t>Sambia</w:t>
      </w:r>
      <w:proofErr w:type="spellEnd"/>
      <w:r w:rsidR="00A3140C">
        <w:rPr>
          <w:sz w:val="24"/>
          <w:szCs w:val="24"/>
        </w:rPr>
        <w:t xml:space="preserve"> have the stories of their sex told within the confines of their group, the Ju/’</w:t>
      </w:r>
      <w:proofErr w:type="spellStart"/>
      <w:r w:rsidR="00A3140C">
        <w:rPr>
          <w:sz w:val="24"/>
          <w:szCs w:val="24"/>
        </w:rPr>
        <w:t>hoansi</w:t>
      </w:r>
      <w:proofErr w:type="spellEnd"/>
      <w:r w:rsidR="00A3140C">
        <w:rPr>
          <w:sz w:val="24"/>
          <w:szCs w:val="24"/>
        </w:rPr>
        <w:t xml:space="preserve"> tell stories openly to any and all, although it is mostly amongst other elders with the youth listening informally. </w:t>
      </w:r>
      <w:r w:rsidR="007F7CE3">
        <w:rPr>
          <w:sz w:val="24"/>
          <w:szCs w:val="24"/>
        </w:rPr>
        <w:t>This group has a much more open social life where sex is concerned, their egalitarianism means no sex is above the other and this shows throughout their society.</w:t>
      </w:r>
    </w:p>
    <w:p w14:paraId="25514F06" w14:textId="5A4D41DD" w:rsidR="007F7CE3" w:rsidRPr="000B2922" w:rsidRDefault="007F7CE3" w:rsidP="00FB1754">
      <w:pPr>
        <w:rPr>
          <w:sz w:val="24"/>
          <w:szCs w:val="24"/>
        </w:rPr>
      </w:pPr>
      <w:r>
        <w:rPr>
          <w:sz w:val="24"/>
          <w:szCs w:val="24"/>
        </w:rPr>
        <w:t xml:space="preserve">Sex and gender play a large part in social life. Some groups, such as the </w:t>
      </w:r>
      <w:proofErr w:type="spellStart"/>
      <w:r>
        <w:rPr>
          <w:sz w:val="24"/>
          <w:szCs w:val="24"/>
        </w:rPr>
        <w:t>Sambia</w:t>
      </w:r>
      <w:proofErr w:type="spellEnd"/>
      <w:r>
        <w:rPr>
          <w:sz w:val="24"/>
          <w:szCs w:val="24"/>
        </w:rPr>
        <w:t>, have an extreme perspective (by European and American standards) whilst others have a much more open one as with the Ju/’</w:t>
      </w:r>
      <w:proofErr w:type="spellStart"/>
      <w:r>
        <w:rPr>
          <w:sz w:val="24"/>
          <w:szCs w:val="24"/>
        </w:rPr>
        <w:t>hoansi</w:t>
      </w:r>
      <w:proofErr w:type="spellEnd"/>
      <w:r>
        <w:rPr>
          <w:sz w:val="24"/>
          <w:szCs w:val="24"/>
        </w:rPr>
        <w:t>. Their perceptions of sex and gender are shaped by their environment, for better or for worse and each tribe is neither right nor wrong in their rationalisation, as it is how their people interpret the information in front of them.</w:t>
      </w:r>
    </w:p>
    <w:bookmarkStart w:id="0" w:name="_GoBack" w:displacedByCustomXml="next"/>
    <w:bookmarkEnd w:id="0" w:displacedByCustomXml="next"/>
    <w:sdt>
      <w:sdtPr>
        <w:id w:val="1100836102"/>
        <w:docPartObj>
          <w:docPartGallery w:val="Bibliographies"/>
          <w:docPartUnique/>
        </w:docPartObj>
      </w:sdtPr>
      <w:sdtEndPr>
        <w:rPr>
          <w:rFonts w:asciiTheme="minorHAnsi" w:eastAsiaTheme="minorEastAsia" w:hAnsiTheme="minorHAnsi" w:cstheme="minorBidi"/>
          <w:color w:val="auto"/>
          <w:sz w:val="22"/>
          <w:szCs w:val="22"/>
          <w:lang w:val="en-GB" w:eastAsia="ja-JP"/>
        </w:rPr>
      </w:sdtEndPr>
      <w:sdtContent>
        <w:p w14:paraId="58703B14" w14:textId="2A0C1B6D" w:rsidR="0032245D" w:rsidRDefault="0032245D">
          <w:pPr>
            <w:pStyle w:val="Heading1"/>
          </w:pPr>
          <w:r>
            <w:t>References</w:t>
          </w:r>
        </w:p>
        <w:sdt>
          <w:sdtPr>
            <w:id w:val="-573587230"/>
            <w:bibliography/>
          </w:sdtPr>
          <w:sdtContent>
            <w:p w14:paraId="1269E4E8" w14:textId="77777777" w:rsidR="00BF0E5C" w:rsidRDefault="0032245D" w:rsidP="00BF0E5C">
              <w:pPr>
                <w:pStyle w:val="Bibliography"/>
                <w:rPr>
                  <w:noProof/>
                  <w:sz w:val="24"/>
                  <w:szCs w:val="24"/>
                  <w:lang w:val="en-US"/>
                </w:rPr>
              </w:pPr>
              <w:r>
                <w:fldChar w:fldCharType="begin"/>
              </w:r>
              <w:r>
                <w:instrText xml:space="preserve"> BIBLIOGRAPHY </w:instrText>
              </w:r>
              <w:r>
                <w:fldChar w:fldCharType="separate"/>
              </w:r>
              <w:r w:rsidR="00BF0E5C">
                <w:rPr>
                  <w:noProof/>
                  <w:lang w:val="en-US"/>
                </w:rPr>
                <w:t xml:space="preserve">Chagnon, N. A., 1968. </w:t>
              </w:r>
              <w:r w:rsidR="00BF0E5C">
                <w:rPr>
                  <w:i/>
                  <w:iCs/>
                  <w:noProof/>
                  <w:lang w:val="en-US"/>
                </w:rPr>
                <w:t xml:space="preserve">Yanomamo: The Fierce People. </w:t>
              </w:r>
              <w:r w:rsidR="00BF0E5C">
                <w:rPr>
                  <w:noProof/>
                  <w:lang w:val="en-US"/>
                </w:rPr>
                <w:t>3rd ed. New York: Thomson Learning.</w:t>
              </w:r>
            </w:p>
            <w:p w14:paraId="037F4518" w14:textId="77777777" w:rsidR="00BF0E5C" w:rsidRDefault="00BF0E5C" w:rsidP="00BF0E5C">
              <w:pPr>
                <w:pStyle w:val="Bibliography"/>
                <w:rPr>
                  <w:noProof/>
                  <w:lang w:val="en-US"/>
                </w:rPr>
              </w:pPr>
              <w:r>
                <w:rPr>
                  <w:noProof/>
                  <w:lang w:val="en-US"/>
                </w:rPr>
                <w:t xml:space="preserve">Herdt, G., 1987. Gender and Socialisation. In: </w:t>
              </w:r>
              <w:r>
                <w:rPr>
                  <w:i/>
                  <w:iCs/>
                  <w:noProof/>
                  <w:lang w:val="en-US"/>
                </w:rPr>
                <w:t xml:space="preserve">The Sambia: Ritual and Gender in New Guinea. </w:t>
              </w:r>
              <w:r>
                <w:rPr>
                  <w:noProof/>
                  <w:lang w:val="en-US"/>
                </w:rPr>
                <w:t>Belmont: Wadsworth Publishing, pp. 67-99.</w:t>
              </w:r>
            </w:p>
            <w:p w14:paraId="448A4EA9" w14:textId="77777777" w:rsidR="00BF0E5C" w:rsidRDefault="00BF0E5C" w:rsidP="00BF0E5C">
              <w:pPr>
                <w:pStyle w:val="Bibliography"/>
                <w:rPr>
                  <w:noProof/>
                  <w:lang w:val="en-US"/>
                </w:rPr>
              </w:pPr>
              <w:r>
                <w:rPr>
                  <w:noProof/>
                  <w:lang w:val="en-US"/>
                </w:rPr>
                <w:t xml:space="preserve">Peters-Golden, H., 1994. The Ju/'hoansi: Reciprocity and Sharing. In: 4th, ed. </w:t>
              </w:r>
              <w:r>
                <w:rPr>
                  <w:i/>
                  <w:iCs/>
                  <w:noProof/>
                  <w:lang w:val="en-US"/>
                </w:rPr>
                <w:t xml:space="preserve">Culture Sketches: Case Studies in Anthropology. </w:t>
              </w:r>
              <w:r>
                <w:rPr>
                  <w:noProof/>
                  <w:lang w:val="en-US"/>
                </w:rPr>
                <w:t>New York: McGraw-Hill, pp. 97-117.</w:t>
              </w:r>
            </w:p>
            <w:p w14:paraId="64976374" w14:textId="5BCDD17C" w:rsidR="0032245D" w:rsidRDefault="0032245D" w:rsidP="00BF0E5C">
              <w:r>
                <w:rPr>
                  <w:b/>
                  <w:bCs/>
                  <w:noProof/>
                </w:rPr>
                <w:lastRenderedPageBreak/>
                <w:fldChar w:fldCharType="end"/>
              </w:r>
            </w:p>
          </w:sdtContent>
        </w:sdt>
      </w:sdtContent>
    </w:sdt>
    <w:p w14:paraId="37A4C4FE" w14:textId="77777777" w:rsidR="0032245D" w:rsidRPr="009D7F95" w:rsidRDefault="0032245D" w:rsidP="009D7F95">
      <w:pPr>
        <w:rPr>
          <w:sz w:val="24"/>
          <w:szCs w:val="24"/>
        </w:rPr>
      </w:pPr>
    </w:p>
    <w:sectPr w:rsidR="0032245D" w:rsidRPr="009D7F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62760" w14:textId="77777777" w:rsidR="00A56D10" w:rsidRDefault="00A56D10" w:rsidP="0032245D">
      <w:pPr>
        <w:spacing w:after="0" w:line="240" w:lineRule="auto"/>
      </w:pPr>
      <w:r>
        <w:separator/>
      </w:r>
    </w:p>
  </w:endnote>
  <w:endnote w:type="continuationSeparator" w:id="0">
    <w:p w14:paraId="22DFC110" w14:textId="77777777" w:rsidR="00A56D10" w:rsidRDefault="00A56D10" w:rsidP="00322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3D02F" w14:textId="77777777" w:rsidR="00A56D10" w:rsidRDefault="00A56D10" w:rsidP="0032245D">
      <w:pPr>
        <w:spacing w:after="0" w:line="240" w:lineRule="auto"/>
      </w:pPr>
      <w:r>
        <w:separator/>
      </w:r>
    </w:p>
  </w:footnote>
  <w:footnote w:type="continuationSeparator" w:id="0">
    <w:p w14:paraId="6883FA43" w14:textId="77777777" w:rsidR="00A56D10" w:rsidRDefault="00A56D10" w:rsidP="003224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F95"/>
    <w:rsid w:val="00013D34"/>
    <w:rsid w:val="00024BC5"/>
    <w:rsid w:val="0003179E"/>
    <w:rsid w:val="000B2922"/>
    <w:rsid w:val="001813FF"/>
    <w:rsid w:val="001F0DB3"/>
    <w:rsid w:val="00232DF1"/>
    <w:rsid w:val="002961FA"/>
    <w:rsid w:val="0032245D"/>
    <w:rsid w:val="00377C2E"/>
    <w:rsid w:val="00393DEC"/>
    <w:rsid w:val="003D51E5"/>
    <w:rsid w:val="003F5A85"/>
    <w:rsid w:val="004A591D"/>
    <w:rsid w:val="005A7D6B"/>
    <w:rsid w:val="005C6E87"/>
    <w:rsid w:val="006B3B5C"/>
    <w:rsid w:val="006B50C8"/>
    <w:rsid w:val="007F7CE3"/>
    <w:rsid w:val="009D7F95"/>
    <w:rsid w:val="00A3140C"/>
    <w:rsid w:val="00A56D10"/>
    <w:rsid w:val="00A80E4F"/>
    <w:rsid w:val="00AA4571"/>
    <w:rsid w:val="00AC591E"/>
    <w:rsid w:val="00BF0E5C"/>
    <w:rsid w:val="00C34371"/>
    <w:rsid w:val="00C77163"/>
    <w:rsid w:val="00D83270"/>
    <w:rsid w:val="00DA18D7"/>
    <w:rsid w:val="00DE33DD"/>
    <w:rsid w:val="00F7703B"/>
    <w:rsid w:val="00FB175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44A03F"/>
  <w15:chartTrackingRefBased/>
  <w15:docId w15:val="{C0056F88-B14F-4BC6-9CAE-883E3B63A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45D"/>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7F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F9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22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45D"/>
  </w:style>
  <w:style w:type="paragraph" w:styleId="Footer">
    <w:name w:val="footer"/>
    <w:basedOn w:val="Normal"/>
    <w:link w:val="FooterChar"/>
    <w:uiPriority w:val="99"/>
    <w:unhideWhenUsed/>
    <w:rsid w:val="00322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45D"/>
  </w:style>
  <w:style w:type="character" w:customStyle="1" w:styleId="Heading1Char">
    <w:name w:val="Heading 1 Char"/>
    <w:basedOn w:val="DefaultParagraphFont"/>
    <w:link w:val="Heading1"/>
    <w:uiPriority w:val="9"/>
    <w:rsid w:val="0032245D"/>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322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996502">
      <w:bodyDiv w:val="1"/>
      <w:marLeft w:val="0"/>
      <w:marRight w:val="0"/>
      <w:marTop w:val="0"/>
      <w:marBottom w:val="0"/>
      <w:divBdr>
        <w:top w:val="none" w:sz="0" w:space="0" w:color="auto"/>
        <w:left w:val="none" w:sz="0" w:space="0" w:color="auto"/>
        <w:bottom w:val="none" w:sz="0" w:space="0" w:color="auto"/>
        <w:right w:val="none" w:sz="0" w:space="0" w:color="auto"/>
      </w:divBdr>
    </w:div>
    <w:div w:id="121582607">
      <w:bodyDiv w:val="1"/>
      <w:marLeft w:val="0"/>
      <w:marRight w:val="0"/>
      <w:marTop w:val="0"/>
      <w:marBottom w:val="0"/>
      <w:divBdr>
        <w:top w:val="none" w:sz="0" w:space="0" w:color="auto"/>
        <w:left w:val="none" w:sz="0" w:space="0" w:color="auto"/>
        <w:bottom w:val="none" w:sz="0" w:space="0" w:color="auto"/>
        <w:right w:val="none" w:sz="0" w:space="0" w:color="auto"/>
      </w:divBdr>
    </w:div>
    <w:div w:id="269123175">
      <w:bodyDiv w:val="1"/>
      <w:marLeft w:val="0"/>
      <w:marRight w:val="0"/>
      <w:marTop w:val="0"/>
      <w:marBottom w:val="0"/>
      <w:divBdr>
        <w:top w:val="none" w:sz="0" w:space="0" w:color="auto"/>
        <w:left w:val="none" w:sz="0" w:space="0" w:color="auto"/>
        <w:bottom w:val="none" w:sz="0" w:space="0" w:color="auto"/>
        <w:right w:val="none" w:sz="0" w:space="0" w:color="auto"/>
      </w:divBdr>
    </w:div>
    <w:div w:id="346947663">
      <w:bodyDiv w:val="1"/>
      <w:marLeft w:val="0"/>
      <w:marRight w:val="0"/>
      <w:marTop w:val="0"/>
      <w:marBottom w:val="0"/>
      <w:divBdr>
        <w:top w:val="none" w:sz="0" w:space="0" w:color="auto"/>
        <w:left w:val="none" w:sz="0" w:space="0" w:color="auto"/>
        <w:bottom w:val="none" w:sz="0" w:space="0" w:color="auto"/>
        <w:right w:val="none" w:sz="0" w:space="0" w:color="auto"/>
      </w:divBdr>
    </w:div>
    <w:div w:id="407578725">
      <w:bodyDiv w:val="1"/>
      <w:marLeft w:val="0"/>
      <w:marRight w:val="0"/>
      <w:marTop w:val="0"/>
      <w:marBottom w:val="0"/>
      <w:divBdr>
        <w:top w:val="none" w:sz="0" w:space="0" w:color="auto"/>
        <w:left w:val="none" w:sz="0" w:space="0" w:color="auto"/>
        <w:bottom w:val="none" w:sz="0" w:space="0" w:color="auto"/>
        <w:right w:val="none" w:sz="0" w:space="0" w:color="auto"/>
      </w:divBdr>
    </w:div>
    <w:div w:id="689919743">
      <w:bodyDiv w:val="1"/>
      <w:marLeft w:val="0"/>
      <w:marRight w:val="0"/>
      <w:marTop w:val="0"/>
      <w:marBottom w:val="0"/>
      <w:divBdr>
        <w:top w:val="none" w:sz="0" w:space="0" w:color="auto"/>
        <w:left w:val="none" w:sz="0" w:space="0" w:color="auto"/>
        <w:bottom w:val="none" w:sz="0" w:space="0" w:color="auto"/>
        <w:right w:val="none" w:sz="0" w:space="0" w:color="auto"/>
      </w:divBdr>
    </w:div>
    <w:div w:id="691734855">
      <w:bodyDiv w:val="1"/>
      <w:marLeft w:val="0"/>
      <w:marRight w:val="0"/>
      <w:marTop w:val="0"/>
      <w:marBottom w:val="0"/>
      <w:divBdr>
        <w:top w:val="none" w:sz="0" w:space="0" w:color="auto"/>
        <w:left w:val="none" w:sz="0" w:space="0" w:color="auto"/>
        <w:bottom w:val="none" w:sz="0" w:space="0" w:color="auto"/>
        <w:right w:val="none" w:sz="0" w:space="0" w:color="auto"/>
      </w:divBdr>
    </w:div>
    <w:div w:id="745298158">
      <w:bodyDiv w:val="1"/>
      <w:marLeft w:val="0"/>
      <w:marRight w:val="0"/>
      <w:marTop w:val="0"/>
      <w:marBottom w:val="0"/>
      <w:divBdr>
        <w:top w:val="none" w:sz="0" w:space="0" w:color="auto"/>
        <w:left w:val="none" w:sz="0" w:space="0" w:color="auto"/>
        <w:bottom w:val="none" w:sz="0" w:space="0" w:color="auto"/>
        <w:right w:val="none" w:sz="0" w:space="0" w:color="auto"/>
      </w:divBdr>
    </w:div>
    <w:div w:id="749426080">
      <w:bodyDiv w:val="1"/>
      <w:marLeft w:val="0"/>
      <w:marRight w:val="0"/>
      <w:marTop w:val="0"/>
      <w:marBottom w:val="0"/>
      <w:divBdr>
        <w:top w:val="none" w:sz="0" w:space="0" w:color="auto"/>
        <w:left w:val="none" w:sz="0" w:space="0" w:color="auto"/>
        <w:bottom w:val="none" w:sz="0" w:space="0" w:color="auto"/>
        <w:right w:val="none" w:sz="0" w:space="0" w:color="auto"/>
      </w:divBdr>
    </w:div>
    <w:div w:id="809246742">
      <w:bodyDiv w:val="1"/>
      <w:marLeft w:val="0"/>
      <w:marRight w:val="0"/>
      <w:marTop w:val="0"/>
      <w:marBottom w:val="0"/>
      <w:divBdr>
        <w:top w:val="none" w:sz="0" w:space="0" w:color="auto"/>
        <w:left w:val="none" w:sz="0" w:space="0" w:color="auto"/>
        <w:bottom w:val="none" w:sz="0" w:space="0" w:color="auto"/>
        <w:right w:val="none" w:sz="0" w:space="0" w:color="auto"/>
      </w:divBdr>
    </w:div>
    <w:div w:id="905258615">
      <w:bodyDiv w:val="1"/>
      <w:marLeft w:val="0"/>
      <w:marRight w:val="0"/>
      <w:marTop w:val="0"/>
      <w:marBottom w:val="0"/>
      <w:divBdr>
        <w:top w:val="none" w:sz="0" w:space="0" w:color="auto"/>
        <w:left w:val="none" w:sz="0" w:space="0" w:color="auto"/>
        <w:bottom w:val="none" w:sz="0" w:space="0" w:color="auto"/>
        <w:right w:val="none" w:sz="0" w:space="0" w:color="auto"/>
      </w:divBdr>
    </w:div>
    <w:div w:id="952517343">
      <w:bodyDiv w:val="1"/>
      <w:marLeft w:val="0"/>
      <w:marRight w:val="0"/>
      <w:marTop w:val="0"/>
      <w:marBottom w:val="0"/>
      <w:divBdr>
        <w:top w:val="none" w:sz="0" w:space="0" w:color="auto"/>
        <w:left w:val="none" w:sz="0" w:space="0" w:color="auto"/>
        <w:bottom w:val="none" w:sz="0" w:space="0" w:color="auto"/>
        <w:right w:val="none" w:sz="0" w:space="0" w:color="auto"/>
      </w:divBdr>
    </w:div>
    <w:div w:id="1080905747">
      <w:bodyDiv w:val="1"/>
      <w:marLeft w:val="0"/>
      <w:marRight w:val="0"/>
      <w:marTop w:val="0"/>
      <w:marBottom w:val="0"/>
      <w:divBdr>
        <w:top w:val="none" w:sz="0" w:space="0" w:color="auto"/>
        <w:left w:val="none" w:sz="0" w:space="0" w:color="auto"/>
        <w:bottom w:val="none" w:sz="0" w:space="0" w:color="auto"/>
        <w:right w:val="none" w:sz="0" w:space="0" w:color="auto"/>
      </w:divBdr>
    </w:div>
    <w:div w:id="1145200451">
      <w:bodyDiv w:val="1"/>
      <w:marLeft w:val="0"/>
      <w:marRight w:val="0"/>
      <w:marTop w:val="0"/>
      <w:marBottom w:val="0"/>
      <w:divBdr>
        <w:top w:val="none" w:sz="0" w:space="0" w:color="auto"/>
        <w:left w:val="none" w:sz="0" w:space="0" w:color="auto"/>
        <w:bottom w:val="none" w:sz="0" w:space="0" w:color="auto"/>
        <w:right w:val="none" w:sz="0" w:space="0" w:color="auto"/>
      </w:divBdr>
    </w:div>
    <w:div w:id="1169559198">
      <w:bodyDiv w:val="1"/>
      <w:marLeft w:val="0"/>
      <w:marRight w:val="0"/>
      <w:marTop w:val="0"/>
      <w:marBottom w:val="0"/>
      <w:divBdr>
        <w:top w:val="none" w:sz="0" w:space="0" w:color="auto"/>
        <w:left w:val="none" w:sz="0" w:space="0" w:color="auto"/>
        <w:bottom w:val="none" w:sz="0" w:space="0" w:color="auto"/>
        <w:right w:val="none" w:sz="0" w:space="0" w:color="auto"/>
      </w:divBdr>
    </w:div>
    <w:div w:id="1187519451">
      <w:bodyDiv w:val="1"/>
      <w:marLeft w:val="0"/>
      <w:marRight w:val="0"/>
      <w:marTop w:val="0"/>
      <w:marBottom w:val="0"/>
      <w:divBdr>
        <w:top w:val="none" w:sz="0" w:space="0" w:color="auto"/>
        <w:left w:val="none" w:sz="0" w:space="0" w:color="auto"/>
        <w:bottom w:val="none" w:sz="0" w:space="0" w:color="auto"/>
        <w:right w:val="none" w:sz="0" w:space="0" w:color="auto"/>
      </w:divBdr>
    </w:div>
    <w:div w:id="1284768198">
      <w:bodyDiv w:val="1"/>
      <w:marLeft w:val="0"/>
      <w:marRight w:val="0"/>
      <w:marTop w:val="0"/>
      <w:marBottom w:val="0"/>
      <w:divBdr>
        <w:top w:val="none" w:sz="0" w:space="0" w:color="auto"/>
        <w:left w:val="none" w:sz="0" w:space="0" w:color="auto"/>
        <w:bottom w:val="none" w:sz="0" w:space="0" w:color="auto"/>
        <w:right w:val="none" w:sz="0" w:space="0" w:color="auto"/>
      </w:divBdr>
    </w:div>
    <w:div w:id="1291090674">
      <w:bodyDiv w:val="1"/>
      <w:marLeft w:val="0"/>
      <w:marRight w:val="0"/>
      <w:marTop w:val="0"/>
      <w:marBottom w:val="0"/>
      <w:divBdr>
        <w:top w:val="none" w:sz="0" w:space="0" w:color="auto"/>
        <w:left w:val="none" w:sz="0" w:space="0" w:color="auto"/>
        <w:bottom w:val="none" w:sz="0" w:space="0" w:color="auto"/>
        <w:right w:val="none" w:sz="0" w:space="0" w:color="auto"/>
      </w:divBdr>
    </w:div>
    <w:div w:id="1453204356">
      <w:bodyDiv w:val="1"/>
      <w:marLeft w:val="0"/>
      <w:marRight w:val="0"/>
      <w:marTop w:val="0"/>
      <w:marBottom w:val="0"/>
      <w:divBdr>
        <w:top w:val="none" w:sz="0" w:space="0" w:color="auto"/>
        <w:left w:val="none" w:sz="0" w:space="0" w:color="auto"/>
        <w:bottom w:val="none" w:sz="0" w:space="0" w:color="auto"/>
        <w:right w:val="none" w:sz="0" w:space="0" w:color="auto"/>
      </w:divBdr>
    </w:div>
    <w:div w:id="1550191152">
      <w:bodyDiv w:val="1"/>
      <w:marLeft w:val="0"/>
      <w:marRight w:val="0"/>
      <w:marTop w:val="0"/>
      <w:marBottom w:val="0"/>
      <w:divBdr>
        <w:top w:val="none" w:sz="0" w:space="0" w:color="auto"/>
        <w:left w:val="none" w:sz="0" w:space="0" w:color="auto"/>
        <w:bottom w:val="none" w:sz="0" w:space="0" w:color="auto"/>
        <w:right w:val="none" w:sz="0" w:space="0" w:color="auto"/>
      </w:divBdr>
    </w:div>
    <w:div w:id="1699702497">
      <w:bodyDiv w:val="1"/>
      <w:marLeft w:val="0"/>
      <w:marRight w:val="0"/>
      <w:marTop w:val="0"/>
      <w:marBottom w:val="0"/>
      <w:divBdr>
        <w:top w:val="none" w:sz="0" w:space="0" w:color="auto"/>
        <w:left w:val="none" w:sz="0" w:space="0" w:color="auto"/>
        <w:bottom w:val="none" w:sz="0" w:space="0" w:color="auto"/>
        <w:right w:val="none" w:sz="0" w:space="0" w:color="auto"/>
      </w:divBdr>
    </w:div>
    <w:div w:id="1711297816">
      <w:bodyDiv w:val="1"/>
      <w:marLeft w:val="0"/>
      <w:marRight w:val="0"/>
      <w:marTop w:val="0"/>
      <w:marBottom w:val="0"/>
      <w:divBdr>
        <w:top w:val="none" w:sz="0" w:space="0" w:color="auto"/>
        <w:left w:val="none" w:sz="0" w:space="0" w:color="auto"/>
        <w:bottom w:val="none" w:sz="0" w:space="0" w:color="auto"/>
        <w:right w:val="none" w:sz="0" w:space="0" w:color="auto"/>
      </w:divBdr>
    </w:div>
    <w:div w:id="1774009971">
      <w:bodyDiv w:val="1"/>
      <w:marLeft w:val="0"/>
      <w:marRight w:val="0"/>
      <w:marTop w:val="0"/>
      <w:marBottom w:val="0"/>
      <w:divBdr>
        <w:top w:val="none" w:sz="0" w:space="0" w:color="auto"/>
        <w:left w:val="none" w:sz="0" w:space="0" w:color="auto"/>
        <w:bottom w:val="none" w:sz="0" w:space="0" w:color="auto"/>
        <w:right w:val="none" w:sz="0" w:space="0" w:color="auto"/>
      </w:divBdr>
    </w:div>
    <w:div w:id="1935672438">
      <w:bodyDiv w:val="1"/>
      <w:marLeft w:val="0"/>
      <w:marRight w:val="0"/>
      <w:marTop w:val="0"/>
      <w:marBottom w:val="0"/>
      <w:divBdr>
        <w:top w:val="none" w:sz="0" w:space="0" w:color="auto"/>
        <w:left w:val="none" w:sz="0" w:space="0" w:color="auto"/>
        <w:bottom w:val="none" w:sz="0" w:space="0" w:color="auto"/>
        <w:right w:val="none" w:sz="0" w:space="0" w:color="auto"/>
      </w:divBdr>
    </w:div>
    <w:div w:id="1936815908">
      <w:bodyDiv w:val="1"/>
      <w:marLeft w:val="0"/>
      <w:marRight w:val="0"/>
      <w:marTop w:val="0"/>
      <w:marBottom w:val="0"/>
      <w:divBdr>
        <w:top w:val="none" w:sz="0" w:space="0" w:color="auto"/>
        <w:left w:val="none" w:sz="0" w:space="0" w:color="auto"/>
        <w:bottom w:val="none" w:sz="0" w:space="0" w:color="auto"/>
        <w:right w:val="none" w:sz="0" w:space="0" w:color="auto"/>
      </w:divBdr>
    </w:div>
    <w:div w:id="1975716032">
      <w:bodyDiv w:val="1"/>
      <w:marLeft w:val="0"/>
      <w:marRight w:val="0"/>
      <w:marTop w:val="0"/>
      <w:marBottom w:val="0"/>
      <w:divBdr>
        <w:top w:val="none" w:sz="0" w:space="0" w:color="auto"/>
        <w:left w:val="none" w:sz="0" w:space="0" w:color="auto"/>
        <w:bottom w:val="none" w:sz="0" w:space="0" w:color="auto"/>
        <w:right w:val="none" w:sz="0" w:space="0" w:color="auto"/>
      </w:divBdr>
    </w:div>
    <w:div w:id="2048555226">
      <w:bodyDiv w:val="1"/>
      <w:marLeft w:val="0"/>
      <w:marRight w:val="0"/>
      <w:marTop w:val="0"/>
      <w:marBottom w:val="0"/>
      <w:divBdr>
        <w:top w:val="none" w:sz="0" w:space="0" w:color="auto"/>
        <w:left w:val="none" w:sz="0" w:space="0" w:color="auto"/>
        <w:bottom w:val="none" w:sz="0" w:space="0" w:color="auto"/>
        <w:right w:val="none" w:sz="0" w:space="0" w:color="auto"/>
      </w:divBdr>
    </w:div>
    <w:div w:id="2065446639">
      <w:bodyDiv w:val="1"/>
      <w:marLeft w:val="0"/>
      <w:marRight w:val="0"/>
      <w:marTop w:val="0"/>
      <w:marBottom w:val="0"/>
      <w:divBdr>
        <w:top w:val="none" w:sz="0" w:space="0" w:color="auto"/>
        <w:left w:val="none" w:sz="0" w:space="0" w:color="auto"/>
        <w:bottom w:val="none" w:sz="0" w:space="0" w:color="auto"/>
        <w:right w:val="none" w:sz="0" w:space="0" w:color="auto"/>
      </w:divBdr>
    </w:div>
    <w:div w:id="2104840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Nap68</b:Tag>
    <b:SourceType>Book</b:SourceType>
    <b:Guid>{1870BB6D-F673-407E-86E2-79F47890ACDA}</b:Guid>
    <b:Author>
      <b:Author>
        <b:NameList>
          <b:Person>
            <b:Last>Chagnon</b:Last>
            <b:First>Napoleon</b:First>
            <b:Middle>A.</b:Middle>
          </b:Person>
        </b:NameList>
      </b:Author>
    </b:Author>
    <b:Title>Yanomamo: The Fierce People</b:Title>
    <b:Year>1968</b:Year>
    <b:City>New York</b:City>
    <b:Publisher>Thomson Learning</b:Publisher>
    <b:Edition>3rd</b:Edition>
    <b:RefOrder>2</b:RefOrder>
  </b:Source>
  <b:Source>
    <b:Tag>Hol94</b:Tag>
    <b:SourceType>BookSection</b:SourceType>
    <b:Guid>{6A4802B0-CEB4-4CE9-95D5-F6296D5D2618}</b:Guid>
    <b:Title>The Ju/'hoansi: Reciprocity and Sharing</b:Title>
    <b:Year>1994</b:Year>
    <b:City>New York</b:City>
    <b:Publisher>McGraw-Hill</b:Publisher>
    <b:Author>
      <b:Author>
        <b:NameList>
          <b:Person>
            <b:Last>Peters-Golden</b:Last>
            <b:First>Holly</b:First>
          </b:Person>
        </b:NameList>
      </b:Author>
      <b:Editor>
        <b:NameList>
          <b:Person>
            <b:Last>4th</b:Last>
          </b:Person>
        </b:NameList>
      </b:Editor>
    </b:Author>
    <b:BookTitle>Culture Sketches: Case Studies in Anthropology</b:BookTitle>
    <b:Pages>97-117</b:Pages>
    <b:RefOrder>3</b:RefOrder>
  </b:Source>
  <b:Source>
    <b:Tag>Gil87</b:Tag>
    <b:SourceType>BookSection</b:SourceType>
    <b:Guid>{2A4CF68D-E997-4246-B7C7-7AEF05F6AFE6}</b:Guid>
    <b:Author>
      <b:Author>
        <b:NameList>
          <b:Person>
            <b:Last>Herdt</b:Last>
            <b:First>Gilbert</b:First>
          </b:Person>
        </b:NameList>
      </b:Author>
    </b:Author>
    <b:Title>Gender and Socialisation</b:Title>
    <b:BookTitle>The Sambia: Ritual and Gender in New Guinea</b:BookTitle>
    <b:Year>1987</b:Year>
    <b:Pages>67-99</b:Pages>
    <b:City>Belmont</b:City>
    <b:Publisher>Wadsworth Publishing</b:Publisher>
    <b:RefOrder>1</b:RefOrder>
  </b:Source>
</b:Sources>
</file>

<file path=customXml/itemProps1.xml><?xml version="1.0" encoding="utf-8"?>
<ds:datastoreItem xmlns:ds="http://schemas.openxmlformats.org/officeDocument/2006/customXml" ds:itemID="{458B06E7-D6DF-4563-8CD6-F156FD72A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3</Pages>
  <Words>1035</Words>
  <Characters>5901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10</cp:revision>
  <dcterms:created xsi:type="dcterms:W3CDTF">2019-11-05T11:36:00Z</dcterms:created>
  <dcterms:modified xsi:type="dcterms:W3CDTF">2019-11-06T18:07:00Z</dcterms:modified>
</cp:coreProperties>
</file>