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EF23FF" w14:textId="77777777" w:rsidR="00E12E4C" w:rsidRDefault="00E12E4C" w:rsidP="00034160">
      <w:pPr>
        <w:spacing w:line="360" w:lineRule="auto"/>
        <w:rPr>
          <w:b/>
          <w:bCs/>
          <w:spacing w:val="5"/>
          <w:sz w:val="32"/>
          <w:szCs w:val="32"/>
        </w:rPr>
      </w:pPr>
      <w:r w:rsidRPr="00E12E4C">
        <w:rPr>
          <w:b/>
          <w:bCs/>
          <w:spacing w:val="5"/>
          <w:sz w:val="32"/>
          <w:szCs w:val="32"/>
        </w:rPr>
        <w:t>The Nature and Future of Ancient Civilisations: Interdisciplinary Approaches and Global Perspectives</w:t>
      </w:r>
    </w:p>
    <w:p w14:paraId="0FF14227" w14:textId="409B97A2" w:rsidR="00FA1388" w:rsidRPr="00FA1388" w:rsidRDefault="00FA1388" w:rsidP="00034160">
      <w:pPr>
        <w:spacing w:line="360" w:lineRule="auto"/>
        <w:rPr>
          <w:spacing w:val="5"/>
        </w:rPr>
      </w:pPr>
      <w:r w:rsidRPr="00FA1388">
        <w:rPr>
          <w:spacing w:val="5"/>
        </w:rPr>
        <w:t xml:space="preserve">The study of Ancient Civilisations focuses on the historical societies that </w:t>
      </w:r>
      <w:r w:rsidR="000C294E">
        <w:rPr>
          <w:spacing w:val="5"/>
        </w:rPr>
        <w:t>developed</w:t>
      </w:r>
      <w:r w:rsidRPr="00FA1388">
        <w:rPr>
          <w:spacing w:val="5"/>
        </w:rPr>
        <w:t xml:space="preserve"> across the globe from approximately 3500 BCE to 1500 CE. It explores the </w:t>
      </w:r>
      <w:r w:rsidR="00E30B70" w:rsidRPr="00FA1388">
        <w:rPr>
          <w:spacing w:val="5"/>
        </w:rPr>
        <w:t>advance</w:t>
      </w:r>
      <w:r w:rsidR="00E30B70">
        <w:rPr>
          <w:spacing w:val="5"/>
        </w:rPr>
        <w:t>ment</w:t>
      </w:r>
      <w:r w:rsidRPr="00FA1388">
        <w:rPr>
          <w:spacing w:val="5"/>
        </w:rPr>
        <w:t xml:space="preserve"> of art, literature, religion, philosophy, language, and the political and military aspects of these societies. Ancient Civilisations studies employ comparative and interdisciplinary approaches, drawing on numerous aspects of the humanities to gather and analyse evidence to better understand the ancient world</w:t>
      </w:r>
      <w:r w:rsidR="00A65E8C">
        <w:rPr>
          <w:spacing w:val="5"/>
        </w:rPr>
        <w:t>.</w:t>
      </w:r>
    </w:p>
    <w:p w14:paraId="3583924F" w14:textId="77777777" w:rsidR="00FA1388" w:rsidRPr="00FA1388" w:rsidRDefault="00FA1388" w:rsidP="00034160">
      <w:pPr>
        <w:spacing w:line="360" w:lineRule="auto"/>
        <w:rPr>
          <w:spacing w:val="5"/>
        </w:rPr>
      </w:pPr>
      <w:r w:rsidRPr="00FA1388">
        <w:rPr>
          <w:spacing w:val="5"/>
        </w:rPr>
        <w:t>In recent years, the technological methods used to gather and analyse data for the study of Ancient Civilisations have advanced considerably. These advancements, coupled with a shift in perspective to include lesser-studied regions and civilisations, are reshaping our understanding of ancient societies and their interconnectedness. Expanding the geographical and cultural scope of Ancient Civilisations studies has brought to the fore the importance of preserving ancient sites and artefacts for future generations. The discipline is, therefore, not only concerned with reconstructing the past but also with ensuring the preservation of its material remains.</w:t>
      </w:r>
    </w:p>
    <w:p w14:paraId="10A732EB" w14:textId="77777777" w:rsidR="00CD6FCE" w:rsidRDefault="00CD6FCE" w:rsidP="00034160">
      <w:pPr>
        <w:spacing w:line="360" w:lineRule="auto"/>
        <w:rPr>
          <w:b/>
          <w:bCs/>
          <w:spacing w:val="5"/>
        </w:rPr>
      </w:pPr>
    </w:p>
    <w:p w14:paraId="2F5A33F3" w14:textId="0F7B84ED" w:rsidR="00FA1388" w:rsidRDefault="00FA1388" w:rsidP="00034160">
      <w:pPr>
        <w:spacing w:line="360" w:lineRule="auto"/>
        <w:rPr>
          <w:b/>
          <w:bCs/>
          <w:spacing w:val="5"/>
        </w:rPr>
      </w:pPr>
      <w:r w:rsidRPr="00FA1388">
        <w:rPr>
          <w:b/>
          <w:bCs/>
          <w:spacing w:val="5"/>
        </w:rPr>
        <w:t>Ancient Civilisations and the Humanities</w:t>
      </w:r>
    </w:p>
    <w:p w14:paraId="4FF28267" w14:textId="496CD961" w:rsidR="003A72AD" w:rsidRPr="00FA1388" w:rsidRDefault="003A72AD" w:rsidP="00034160">
      <w:pPr>
        <w:spacing w:line="360" w:lineRule="auto"/>
        <w:rPr>
          <w:spacing w:val="5"/>
        </w:rPr>
      </w:pPr>
      <w:r w:rsidRPr="00FA1388">
        <w:rPr>
          <w:spacing w:val="5"/>
        </w:rPr>
        <w:t>‘</w:t>
      </w:r>
      <w:r>
        <w:rPr>
          <w:spacing w:val="5"/>
        </w:rPr>
        <w:t>C</w:t>
      </w:r>
      <w:r w:rsidRPr="00FA1388">
        <w:rPr>
          <w:spacing w:val="5"/>
        </w:rPr>
        <w:t xml:space="preserve">ivilisation’ refers to a human society that has developed complex material and spiritual resources and a well-organised cultural, political, and legal structure. Such a society is characterised by the presence of urban centres, a writing system with mechanisms for record-keeping and literature, art, philosophy, a belief system with accompanying places of worship and a priestly class, and a formalised political structure, often with a centralised government. Furthermore, civilisations typically have an organised military, surplus food production, specialist trades, and established domestic and foreign trade networks </w:t>
      </w:r>
      <w:r>
        <w:rPr>
          <w:spacing w:val="5"/>
        </w:rPr>
        <w:t>usually</w:t>
      </w:r>
      <w:r w:rsidRPr="00FA1388">
        <w:rPr>
          <w:spacing w:val="5"/>
        </w:rPr>
        <w:t xml:space="preserve"> centred around marketplaces.</w:t>
      </w:r>
      <w:r w:rsidR="003D03A8">
        <w:rPr>
          <w:spacing w:val="5"/>
        </w:rPr>
        <w:t xml:space="preserve"> The study of Ancient Civilisations </w:t>
      </w:r>
      <w:r w:rsidR="00195059">
        <w:rPr>
          <w:spacing w:val="5"/>
        </w:rPr>
        <w:t>investigates these key themes.</w:t>
      </w:r>
    </w:p>
    <w:p w14:paraId="3287B217" w14:textId="77777777" w:rsidR="00FA1388" w:rsidRPr="00FA1388" w:rsidRDefault="00FA1388" w:rsidP="00034160">
      <w:pPr>
        <w:spacing w:line="360" w:lineRule="auto"/>
        <w:rPr>
          <w:spacing w:val="5"/>
        </w:rPr>
      </w:pPr>
      <w:r w:rsidRPr="00FA1388">
        <w:rPr>
          <w:spacing w:val="5"/>
        </w:rPr>
        <w:t xml:space="preserve">The field of Ancient Civilisations sits within the broader context of the Humanities, an academic domain that includes disciplines such as Anthropology, Archaeology, History, Classics, Philosophy, Art History, Musicology, Media Studies, Cultural, Ethnic and Gender Studies, Linguistics, English Language and Literature, and Religious Studies. </w:t>
      </w:r>
      <w:r w:rsidRPr="00FA1388">
        <w:rPr>
          <w:spacing w:val="5"/>
        </w:rPr>
        <w:lastRenderedPageBreak/>
        <w:t>These subjects share a focus on the human experience, exploring how individuals and societies understand and interact with the world around them, whether through artistic, philosophical, religious, or social lenses.</w:t>
      </w:r>
    </w:p>
    <w:p w14:paraId="206E7B64" w14:textId="498D1873" w:rsidR="00AF537D" w:rsidRPr="002C165C" w:rsidRDefault="00FA1388" w:rsidP="00034160">
      <w:pPr>
        <w:spacing w:line="360" w:lineRule="auto"/>
        <w:rPr>
          <w:b/>
          <w:bCs/>
          <w:spacing w:val="5"/>
        </w:rPr>
      </w:pPr>
      <w:r w:rsidRPr="00FA1388">
        <w:rPr>
          <w:spacing w:val="5"/>
        </w:rPr>
        <w:t xml:space="preserve">An interdisciplinary approach is essential to the study of Ancient Civilisations, as it enables scholars to draw upon methodologies from various fields to construct a more holistic understanding of past societies. For example, archaeology provides material evidence, history offers textual sources, and anthropology contextualises these findings within broader human behaviours and social structures. </w:t>
      </w:r>
      <w:r w:rsidR="00032DB1">
        <w:rPr>
          <w:spacing w:val="5"/>
        </w:rPr>
        <w:t>Integrating</w:t>
      </w:r>
      <w:r w:rsidRPr="00FA1388">
        <w:rPr>
          <w:spacing w:val="5"/>
        </w:rPr>
        <w:t xml:space="preserve"> methods from philosophy, linguistics, and even creative writing allows for the interpretation of beliefs, values, and social dynamics that might not be immediately apparent from material evidence alone. By combining these approaches, students gain a broader and more nuanced perspective on the complexity of ancient societies. </w:t>
      </w:r>
      <w:r w:rsidR="0091681C">
        <w:rPr>
          <w:spacing w:val="5"/>
        </w:rPr>
        <w:t>Fo</w:t>
      </w:r>
      <w:r w:rsidR="002C165C">
        <w:rPr>
          <w:spacing w:val="5"/>
        </w:rPr>
        <w:t xml:space="preserve">r example, </w:t>
      </w:r>
      <w:r w:rsidR="002C165C" w:rsidRPr="002C165C">
        <w:rPr>
          <w:spacing w:val="5"/>
        </w:rPr>
        <w:t>t</w:t>
      </w:r>
      <w:r w:rsidR="0091681C" w:rsidRPr="002C165C">
        <w:rPr>
          <w:spacing w:val="5"/>
        </w:rPr>
        <w:t xml:space="preserve">he study of human remains using isotope analysis has become a pivotal interdisciplinary approach. </w:t>
      </w:r>
      <w:r w:rsidR="00621882" w:rsidRPr="00621882">
        <w:rPr>
          <w:spacing w:val="5"/>
        </w:rPr>
        <w:t>Researchers such as Richard Evershed have employed experimental approaches to the analysis of absorbed organic residues in archaeological ceramics to gain insights into ancient diets. By integrating techniques from chemistry and archaeology, Evershed’s work has enabled the identification of lipid biomarkers preserved in pottery, revealing details about the types of foods processed or stored in these vessels.</w:t>
      </w:r>
      <w:r w:rsidR="00C44C60">
        <w:rPr>
          <w:rStyle w:val="FootnoteReference"/>
          <w:spacing w:val="5"/>
        </w:rPr>
        <w:footnoteReference w:id="2"/>
      </w:r>
      <w:r w:rsidR="00621882" w:rsidRPr="00621882">
        <w:rPr>
          <w:spacing w:val="5"/>
        </w:rPr>
        <w:t xml:space="preserve"> This method provides a deeper understanding of dietary practices in ancient populations that would not be apparent from traditional archaeological methods alone, offering a more nuanced picture of subsistence and food production in past societies.</w:t>
      </w:r>
    </w:p>
    <w:p w14:paraId="0E6FA081" w14:textId="77777777" w:rsidR="002C165C" w:rsidRDefault="002C165C" w:rsidP="00034160">
      <w:pPr>
        <w:spacing w:line="360" w:lineRule="auto"/>
        <w:rPr>
          <w:b/>
          <w:bCs/>
          <w:spacing w:val="5"/>
        </w:rPr>
      </w:pPr>
    </w:p>
    <w:p w14:paraId="04EC05F3" w14:textId="3CB88914" w:rsidR="00FA1388" w:rsidRPr="00FA1388" w:rsidRDefault="00FA1388" w:rsidP="00034160">
      <w:pPr>
        <w:spacing w:line="360" w:lineRule="auto"/>
        <w:rPr>
          <w:spacing w:val="5"/>
        </w:rPr>
      </w:pPr>
      <w:r w:rsidRPr="00FA1388">
        <w:rPr>
          <w:b/>
          <w:bCs/>
          <w:spacing w:val="5"/>
        </w:rPr>
        <w:t>The Convergence of the Humanities and the Sciences</w:t>
      </w:r>
    </w:p>
    <w:p w14:paraId="1CC61B99" w14:textId="1F73F2BE" w:rsidR="005C1CBF" w:rsidRPr="005C1CBF" w:rsidRDefault="0099610B" w:rsidP="005C1CBF">
      <w:pPr>
        <w:spacing w:line="360" w:lineRule="auto"/>
        <w:rPr>
          <w:spacing w:val="5"/>
        </w:rPr>
      </w:pPr>
      <w:r w:rsidRPr="0099610B">
        <w:rPr>
          <w:spacing w:val="5"/>
        </w:rPr>
        <w:t>It is crucial to recognise that the study of Ancient Civilisations and the humanities</w:t>
      </w:r>
      <w:r w:rsidR="00032DB1">
        <w:rPr>
          <w:spacing w:val="5"/>
        </w:rPr>
        <w:t>,</w:t>
      </w:r>
      <w:r w:rsidRPr="0099610B">
        <w:rPr>
          <w:spacing w:val="5"/>
        </w:rPr>
        <w:t xml:space="preserve"> more broadly, must incorporate the sciences. </w:t>
      </w:r>
      <w:r w:rsidR="00877198">
        <w:rPr>
          <w:spacing w:val="5"/>
        </w:rPr>
        <w:t>T</w:t>
      </w:r>
      <w:r w:rsidR="0002723F">
        <w:rPr>
          <w:spacing w:val="5"/>
        </w:rPr>
        <w:t xml:space="preserve">his </w:t>
      </w:r>
      <w:r w:rsidRPr="0099610B">
        <w:rPr>
          <w:spacing w:val="5"/>
        </w:rPr>
        <w:t>integration remains essential for a comprehensive understanding of the past.</w:t>
      </w:r>
      <w:r>
        <w:rPr>
          <w:spacing w:val="5"/>
        </w:rPr>
        <w:t xml:space="preserve"> </w:t>
      </w:r>
      <w:r w:rsidR="0098498D">
        <w:rPr>
          <w:spacing w:val="5"/>
        </w:rPr>
        <w:t>The</w:t>
      </w:r>
      <w:r w:rsidR="00FA1388" w:rsidRPr="00FA1388">
        <w:rPr>
          <w:spacing w:val="5"/>
        </w:rPr>
        <w:t xml:space="preserve"> separation between the two disciplines is a relatively recent development, originating in the 19th century with the professionalisation of academia</w:t>
      </w:r>
      <w:r w:rsidR="004F79C3">
        <w:rPr>
          <w:spacing w:val="5"/>
        </w:rPr>
        <w:t xml:space="preserve"> and the form</w:t>
      </w:r>
      <w:r w:rsidR="007921BB">
        <w:rPr>
          <w:spacing w:val="5"/>
        </w:rPr>
        <w:t>a</w:t>
      </w:r>
      <w:r w:rsidR="004F79C3">
        <w:rPr>
          <w:spacing w:val="5"/>
        </w:rPr>
        <w:t xml:space="preserve">lisation </w:t>
      </w:r>
      <w:r w:rsidR="00AE79B5">
        <w:rPr>
          <w:spacing w:val="5"/>
        </w:rPr>
        <w:t xml:space="preserve">of scientific knowledge, resulting in the </w:t>
      </w:r>
      <w:r w:rsidR="007921BB">
        <w:rPr>
          <w:spacing w:val="5"/>
        </w:rPr>
        <w:t xml:space="preserve">establishment of the </w:t>
      </w:r>
      <w:r w:rsidR="00AE79B5">
        <w:rPr>
          <w:spacing w:val="5"/>
        </w:rPr>
        <w:t>empirical method</w:t>
      </w:r>
      <w:r w:rsidR="00FA1388" w:rsidRPr="00FA1388">
        <w:rPr>
          <w:spacing w:val="5"/>
        </w:rPr>
        <w:t xml:space="preserve">. </w:t>
      </w:r>
      <w:r w:rsidR="007921BB">
        <w:rPr>
          <w:spacing w:val="5"/>
        </w:rPr>
        <w:t>Before</w:t>
      </w:r>
      <w:r w:rsidR="005C1CBF" w:rsidRPr="005C1CBF">
        <w:rPr>
          <w:spacing w:val="5"/>
        </w:rPr>
        <w:t xml:space="preserve"> this period, many scholars </w:t>
      </w:r>
      <w:r w:rsidR="005C1CBF" w:rsidRPr="005C1CBF">
        <w:rPr>
          <w:spacing w:val="5"/>
        </w:rPr>
        <w:lastRenderedPageBreak/>
        <w:t xml:space="preserve">operated within a framework where disciplines were less rigidly defined. For example, figures like Leonardo da Vinci and Isaac Newton engaged in what we would today call both scientific and artistic or philosophical inquiries without the sense of disciplinary boundaries that became characteristic </w:t>
      </w:r>
      <w:proofErr w:type="gramStart"/>
      <w:r w:rsidR="005C1CBF" w:rsidRPr="005C1CBF">
        <w:rPr>
          <w:spacing w:val="5"/>
        </w:rPr>
        <w:t>later on</w:t>
      </w:r>
      <w:proofErr w:type="gramEnd"/>
      <w:r w:rsidR="005C1CBF" w:rsidRPr="005C1CBF">
        <w:rPr>
          <w:spacing w:val="5"/>
        </w:rPr>
        <w:t>.</w:t>
      </w:r>
      <w:r w:rsidR="00BC61B8">
        <w:rPr>
          <w:spacing w:val="5"/>
        </w:rPr>
        <w:t xml:space="preserve"> </w:t>
      </w:r>
      <w:r w:rsidR="005C1CBF" w:rsidRPr="005C1CBF">
        <w:rPr>
          <w:spacing w:val="5"/>
        </w:rPr>
        <w:t>Thus, the division between the two fields</w:t>
      </w:r>
      <w:r w:rsidR="008C6AF1">
        <w:rPr>
          <w:spacing w:val="5"/>
        </w:rPr>
        <w:t xml:space="preserve"> </w:t>
      </w:r>
      <w:r w:rsidR="005C1CBF" w:rsidRPr="005C1CBF">
        <w:rPr>
          <w:spacing w:val="5"/>
        </w:rPr>
        <w:t>is not absolute and continues to evolve as interdisciplinary collaboration becomes more common in both research and academic teaching.</w:t>
      </w:r>
    </w:p>
    <w:p w14:paraId="20D136F3" w14:textId="4C885A93" w:rsidR="00FA1388" w:rsidRPr="00FA1388" w:rsidRDefault="00FA1388" w:rsidP="00034160">
      <w:pPr>
        <w:spacing w:line="360" w:lineRule="auto"/>
        <w:rPr>
          <w:spacing w:val="5"/>
        </w:rPr>
      </w:pPr>
      <w:r w:rsidRPr="00FA1388">
        <w:rPr>
          <w:spacing w:val="5"/>
        </w:rPr>
        <w:t>For example, Archaeology</w:t>
      </w:r>
      <w:r w:rsidR="003C6B52">
        <w:rPr>
          <w:spacing w:val="5"/>
        </w:rPr>
        <w:t xml:space="preserve">, a </w:t>
      </w:r>
      <w:r w:rsidRPr="00FA1388">
        <w:rPr>
          <w:spacing w:val="5"/>
        </w:rPr>
        <w:t>subfield of Anthropology</w:t>
      </w:r>
      <w:r w:rsidR="003C6B52">
        <w:rPr>
          <w:spacing w:val="5"/>
        </w:rPr>
        <w:t xml:space="preserve">, </w:t>
      </w:r>
      <w:r w:rsidRPr="00FA1388">
        <w:rPr>
          <w:spacing w:val="5"/>
        </w:rPr>
        <w:t xml:space="preserve">relies heavily on the methods and techniques of the natural sciences to collect and analyse material remains. </w:t>
      </w:r>
      <w:r w:rsidR="00D73E10" w:rsidRPr="00FA1388">
        <w:rPr>
          <w:spacing w:val="5"/>
        </w:rPr>
        <w:t>As stated by Renfrew and Bahn, Archaeology ‘extends across many disciplines: the natural sciences for the collection and analysis of the material remains of past human activity; the social sciences for questions about human behaviour.’</w:t>
      </w:r>
      <w:r w:rsidR="00D73E10">
        <w:rPr>
          <w:rStyle w:val="FootnoteReference"/>
          <w:spacing w:val="5"/>
        </w:rPr>
        <w:footnoteReference w:id="3"/>
      </w:r>
      <w:r w:rsidR="00D73E10" w:rsidRPr="00FA1388">
        <w:rPr>
          <w:spacing w:val="5"/>
        </w:rPr>
        <w:t xml:space="preserve"> </w:t>
      </w:r>
      <w:r w:rsidR="00D73E10">
        <w:rPr>
          <w:spacing w:val="5"/>
        </w:rPr>
        <w:t xml:space="preserve"> </w:t>
      </w:r>
      <w:r w:rsidRPr="00FA1388">
        <w:rPr>
          <w:spacing w:val="5"/>
        </w:rPr>
        <w:t xml:space="preserve">The analysis of ancient human activity often involves collaboration with specialists in disciplines such as biology, chemistry, and environmental science. Techniques such as radiocarbon dating, DNA analysis, and isotope analysis, drawn from the natural sciences, are essential for establishing timelines, tracing human migration, and </w:t>
      </w:r>
      <w:r w:rsidR="0045236F" w:rsidRPr="0045236F">
        <w:rPr>
          <w:spacing w:val="5"/>
        </w:rPr>
        <w:t>the origins of materials used in ancient trade networks</w:t>
      </w:r>
      <w:r w:rsidR="004B1810">
        <w:rPr>
          <w:spacing w:val="5"/>
        </w:rPr>
        <w:t>, to name some examples</w:t>
      </w:r>
      <w:r w:rsidRPr="00FA1388">
        <w:rPr>
          <w:spacing w:val="5"/>
        </w:rPr>
        <w:t xml:space="preserve">. Similarly, tools from the social sciences, such as ethnographic comparison, are crucial for exploring questions about human behaviour and social organisation. </w:t>
      </w:r>
    </w:p>
    <w:p w14:paraId="1C832825" w14:textId="77777777" w:rsidR="0010222D" w:rsidRDefault="0010222D" w:rsidP="00034160">
      <w:pPr>
        <w:spacing w:line="360" w:lineRule="auto"/>
        <w:rPr>
          <w:b/>
          <w:bCs/>
          <w:spacing w:val="5"/>
        </w:rPr>
      </w:pPr>
    </w:p>
    <w:p w14:paraId="1535BD1B" w14:textId="40ABDE7D" w:rsidR="00FA1388" w:rsidRPr="00FA1388" w:rsidRDefault="00FA1388" w:rsidP="00034160">
      <w:pPr>
        <w:spacing w:line="360" w:lineRule="auto"/>
        <w:rPr>
          <w:spacing w:val="5"/>
        </w:rPr>
      </w:pPr>
      <w:r w:rsidRPr="00FA1388">
        <w:rPr>
          <w:b/>
          <w:bCs/>
          <w:spacing w:val="5"/>
        </w:rPr>
        <w:t>Material Culture and Historical Methodologies</w:t>
      </w:r>
    </w:p>
    <w:p w14:paraId="49A46A75" w14:textId="372F95BA" w:rsidR="00FA1388" w:rsidRPr="00FA1388" w:rsidRDefault="00FA1388" w:rsidP="00034160">
      <w:pPr>
        <w:spacing w:line="360" w:lineRule="auto"/>
        <w:rPr>
          <w:spacing w:val="5"/>
        </w:rPr>
      </w:pPr>
      <w:r w:rsidRPr="00FA1388">
        <w:rPr>
          <w:spacing w:val="5"/>
        </w:rPr>
        <w:t>Defined as the 'study of our human past using the material remains that have survived'</w:t>
      </w:r>
      <w:r w:rsidR="00312A9A">
        <w:rPr>
          <w:rStyle w:val="FootnoteReference"/>
          <w:spacing w:val="5"/>
        </w:rPr>
        <w:footnoteReference w:id="4"/>
      </w:r>
      <w:r w:rsidRPr="00FA1388">
        <w:rPr>
          <w:spacing w:val="5"/>
        </w:rPr>
        <w:t xml:space="preserve">, </w:t>
      </w:r>
      <w:r w:rsidR="0051292E">
        <w:rPr>
          <w:spacing w:val="5"/>
        </w:rPr>
        <w:t>A</w:t>
      </w:r>
      <w:r w:rsidRPr="00FA1388">
        <w:rPr>
          <w:spacing w:val="5"/>
        </w:rPr>
        <w:t>rchaeology involves the excavation and analysis of structures, artefacts, ecofacts, and features</w:t>
      </w:r>
      <w:r w:rsidR="0051292E">
        <w:rPr>
          <w:spacing w:val="5"/>
        </w:rPr>
        <w:t xml:space="preserve"> and activity areas</w:t>
      </w:r>
      <w:r w:rsidRPr="00FA1388">
        <w:rPr>
          <w:spacing w:val="5"/>
        </w:rPr>
        <w:t xml:space="preserve">, with a key focus on understanding </w:t>
      </w:r>
      <w:r w:rsidR="0051292E">
        <w:rPr>
          <w:spacing w:val="5"/>
        </w:rPr>
        <w:t>them</w:t>
      </w:r>
      <w:r w:rsidRPr="00FA1388">
        <w:rPr>
          <w:spacing w:val="5"/>
        </w:rPr>
        <w:t xml:space="preserve"> within their original context. Material culture, which includes objects made, used, or modified by humans, provides critical insights into </w:t>
      </w:r>
      <w:r w:rsidR="00960E0B">
        <w:rPr>
          <w:spacing w:val="5"/>
        </w:rPr>
        <w:t>ancient peoples'</w:t>
      </w:r>
      <w:r w:rsidRPr="00FA1388">
        <w:rPr>
          <w:spacing w:val="5"/>
        </w:rPr>
        <w:t xml:space="preserve"> everyday lives, economic practices, and social structures. By examining these artefacts within their specific cultural and historical context, archaeologists can build a picture of how ancient societies functioned.</w:t>
      </w:r>
    </w:p>
    <w:p w14:paraId="4394E671" w14:textId="14B08828" w:rsidR="00FA1388" w:rsidRPr="00FA1388" w:rsidRDefault="00FA1388" w:rsidP="00034160">
      <w:pPr>
        <w:spacing w:line="360" w:lineRule="auto"/>
        <w:rPr>
          <w:i/>
          <w:iCs/>
          <w:spacing w:val="5"/>
        </w:rPr>
      </w:pPr>
      <w:r w:rsidRPr="00FA1388">
        <w:rPr>
          <w:spacing w:val="5"/>
        </w:rPr>
        <w:lastRenderedPageBreak/>
        <w:t>The study of Ancient Civilisations also draws on various historical methodologies, including diplomatics (the study of documents and archives), epigraphy (the study of ancient inscriptions), historical geography, and chronology (the establishment of historical timelines). Scholars of Ancient Civilisations integrate these methodologies with archaeological findings to create a more comprehensive picture of past societies.</w:t>
      </w:r>
      <w:r w:rsidR="001D53A2" w:rsidRPr="00CC50CF">
        <w:rPr>
          <w:rFonts w:ascii="Calibri" w:eastAsia="Times New Roman" w:hAnsi="Calibri" w:cs="Calibri"/>
          <w:spacing w:val="5"/>
          <w:shd w:val="clear" w:color="auto" w:fill="FFFFFF"/>
        </w:rPr>
        <w:t xml:space="preserve"> For example, scholars use aspects of Classics and Literary Studies to interpret the epics of the Ancient Greek poet Homer, using neoanalysis to ‘study the genetic aspect of the Homeric poems…to identify source material from other poems that preceded the received Homeric epics.’</w:t>
      </w:r>
      <w:r w:rsidR="001D53A2" w:rsidRPr="00CC50CF">
        <w:rPr>
          <w:rStyle w:val="FootnoteReference"/>
          <w:rFonts w:ascii="Calibri" w:eastAsia="Times New Roman" w:hAnsi="Calibri" w:cs="Calibri"/>
          <w:spacing w:val="5"/>
          <w:shd w:val="clear" w:color="auto" w:fill="FFFFFF"/>
        </w:rPr>
        <w:footnoteReference w:id="5"/>
      </w:r>
      <w:r w:rsidR="001D53A2" w:rsidRPr="00CC50CF">
        <w:rPr>
          <w:rFonts w:ascii="Calibri" w:eastAsia="Times New Roman" w:hAnsi="Calibri" w:cs="Calibri"/>
          <w:spacing w:val="5"/>
          <w:shd w:val="clear" w:color="auto" w:fill="FFFFFF"/>
        </w:rPr>
        <w:t xml:space="preserve"> </w:t>
      </w:r>
      <w:r w:rsidRPr="00FA1388">
        <w:rPr>
          <w:spacing w:val="5"/>
        </w:rPr>
        <w:t xml:space="preserve">This approach highlights the intertextuality of the Homeric poems, revealing how they draw upon pre-existing traditions and sources to create a unified narrative. By applying such interdisciplinary approaches, scholars utilise evidence from various fields to deepen their understanding of ancient texts. </w:t>
      </w:r>
    </w:p>
    <w:p w14:paraId="257B384F" w14:textId="77777777" w:rsidR="001B7BC1" w:rsidRDefault="001B7BC1" w:rsidP="00034160">
      <w:pPr>
        <w:spacing w:line="360" w:lineRule="auto"/>
        <w:rPr>
          <w:b/>
          <w:bCs/>
          <w:spacing w:val="5"/>
        </w:rPr>
      </w:pPr>
    </w:p>
    <w:p w14:paraId="42595205" w14:textId="7EF20372" w:rsidR="00FA1388" w:rsidRPr="00FA1388" w:rsidRDefault="00FA1388" w:rsidP="00034160">
      <w:pPr>
        <w:spacing w:line="360" w:lineRule="auto"/>
        <w:rPr>
          <w:spacing w:val="5"/>
        </w:rPr>
      </w:pPr>
      <w:r w:rsidRPr="00FA1388">
        <w:rPr>
          <w:b/>
          <w:bCs/>
          <w:spacing w:val="5"/>
        </w:rPr>
        <w:t>Technological Advances in Data Collection and Analysis</w:t>
      </w:r>
    </w:p>
    <w:p w14:paraId="77AC62E7" w14:textId="6CB0704B" w:rsidR="00FA1388" w:rsidRPr="00FA1388" w:rsidRDefault="00FA1388" w:rsidP="00034160">
      <w:pPr>
        <w:spacing w:line="360" w:lineRule="auto"/>
        <w:rPr>
          <w:spacing w:val="5"/>
        </w:rPr>
      </w:pPr>
      <w:r w:rsidRPr="00FA1388">
        <w:rPr>
          <w:spacing w:val="5"/>
        </w:rPr>
        <w:t xml:space="preserve">In recent years, the study of Ancient Civilisations has been transformed by the introduction of cutting-edge technologies. New data collection tools, such as LIDAR (Light Detection and Ranging), GPR (Ground Penetrating Radar), satellite imagery, and DNA and isotope analysis, have revolutionised </w:t>
      </w:r>
      <w:r w:rsidR="00EF7124">
        <w:rPr>
          <w:spacing w:val="5"/>
        </w:rPr>
        <w:t>how</w:t>
      </w:r>
      <w:r w:rsidRPr="00FA1388">
        <w:rPr>
          <w:spacing w:val="5"/>
        </w:rPr>
        <w:t xml:space="preserve"> archaeologists and historians gather information. These technologies allow researchers to uncover previously hidden structures and features, analyse human remains for clues about diet, migration, and health, and map out ancient landscapes with unprecedented precision.</w:t>
      </w:r>
    </w:p>
    <w:p w14:paraId="2B5B36FF" w14:textId="4C83FF7D" w:rsidR="00FA1388" w:rsidRPr="00FA1388" w:rsidRDefault="00FA1388" w:rsidP="00034160">
      <w:pPr>
        <w:spacing w:line="360" w:lineRule="auto"/>
        <w:rPr>
          <w:spacing w:val="5"/>
        </w:rPr>
      </w:pPr>
      <w:r w:rsidRPr="00FA1388">
        <w:rPr>
          <w:spacing w:val="5"/>
        </w:rPr>
        <w:t>On the analytical side, 3D modelling, GIS (Geographic Information Systems), AI for pattern recognition, and technologies such as VR (Virtual Reality) and AR (Augmented Reality) enable scholars to reconstruct ancient sites and artefacts, simulate ancient environments and visualise complex data in new and innovative ways. These advancements are not merely about technological progress; they are reshaping our understanding of the ancient world by revealing connections and complexities that were previously inaccessible.</w:t>
      </w:r>
    </w:p>
    <w:p w14:paraId="4648A1BE" w14:textId="77777777" w:rsidR="001B7BC1" w:rsidRDefault="001B7BC1" w:rsidP="00034160">
      <w:pPr>
        <w:spacing w:line="360" w:lineRule="auto"/>
        <w:rPr>
          <w:b/>
          <w:bCs/>
          <w:spacing w:val="5"/>
        </w:rPr>
      </w:pPr>
    </w:p>
    <w:p w14:paraId="6559B0DF" w14:textId="032BE6F9" w:rsidR="00FA1388" w:rsidRPr="00FA1388" w:rsidRDefault="00FA1388" w:rsidP="00034160">
      <w:pPr>
        <w:spacing w:line="360" w:lineRule="auto"/>
        <w:rPr>
          <w:spacing w:val="5"/>
        </w:rPr>
      </w:pPr>
      <w:r w:rsidRPr="00FA1388">
        <w:rPr>
          <w:b/>
          <w:bCs/>
          <w:spacing w:val="5"/>
        </w:rPr>
        <w:lastRenderedPageBreak/>
        <w:t>Decolonisation and Inclusivity in Ancient Civilisations</w:t>
      </w:r>
    </w:p>
    <w:p w14:paraId="3CE34BDB" w14:textId="3BF77824" w:rsidR="00FA1388" w:rsidRPr="00FA1388" w:rsidRDefault="00FA1388" w:rsidP="00034160">
      <w:pPr>
        <w:spacing w:line="360" w:lineRule="auto"/>
        <w:rPr>
          <w:spacing w:val="5"/>
        </w:rPr>
      </w:pPr>
      <w:r w:rsidRPr="00FA1388">
        <w:rPr>
          <w:spacing w:val="5"/>
        </w:rPr>
        <w:t xml:space="preserve">Another significant development in the study of Ancient Civilisations is the growing emphasis on decolonisation and the inclusion of lesser-studied regions and civilisations. Traditionally, Ancient Civilisations as a discipline has focused heavily on the Greco-Roman world, often </w:t>
      </w:r>
      <w:r w:rsidR="00EF010A">
        <w:rPr>
          <w:spacing w:val="5"/>
        </w:rPr>
        <w:t>excluding</w:t>
      </w:r>
      <w:r w:rsidRPr="00FA1388">
        <w:rPr>
          <w:spacing w:val="5"/>
        </w:rPr>
        <w:t xml:space="preserve"> other equally complex and significant societies. Today, there is a concerted effort to broaden the scope of study to include civilisations in regions such as sub-Saharan Africa, Central Asia, and the Americas. This shift reflects the increasing globalisation of scholarship and a recognition of the colonial biases that have shaped the discipline's focus in the past.</w:t>
      </w:r>
    </w:p>
    <w:p w14:paraId="76E1D929" w14:textId="33D7C905" w:rsidR="00FA1388" w:rsidRPr="00FA1388" w:rsidRDefault="00FA1388" w:rsidP="00034160">
      <w:pPr>
        <w:spacing w:line="360" w:lineRule="auto"/>
        <w:rPr>
          <w:i/>
          <w:iCs/>
          <w:spacing w:val="5"/>
        </w:rPr>
      </w:pPr>
      <w:r w:rsidRPr="00FA1388">
        <w:rPr>
          <w:spacing w:val="5"/>
        </w:rPr>
        <w:t xml:space="preserve">This new perspective not only enriches our understanding of the diversity of ancient civilisations but also challenges long-standing assumptions about the progression of human societies. </w:t>
      </w:r>
      <w:r w:rsidR="00713892">
        <w:rPr>
          <w:spacing w:val="5"/>
        </w:rPr>
        <w:t>D</w:t>
      </w:r>
      <w:r w:rsidRPr="00FA1388">
        <w:rPr>
          <w:spacing w:val="5"/>
        </w:rPr>
        <w:t xml:space="preserve">ecolonising archaeology and history </w:t>
      </w:r>
      <w:proofErr w:type="gramStart"/>
      <w:r w:rsidRPr="00FA1388">
        <w:rPr>
          <w:spacing w:val="5"/>
        </w:rPr>
        <w:t>involves</w:t>
      </w:r>
      <w:proofErr w:type="gramEnd"/>
      <w:r w:rsidRPr="00FA1388">
        <w:rPr>
          <w:spacing w:val="5"/>
        </w:rPr>
        <w:t xml:space="preserve"> rethinking how we classify and value different </w:t>
      </w:r>
      <w:r w:rsidR="00713892">
        <w:rPr>
          <w:spacing w:val="5"/>
        </w:rPr>
        <w:t>cultur</w:t>
      </w:r>
      <w:r w:rsidRPr="00FA1388">
        <w:rPr>
          <w:spacing w:val="5"/>
        </w:rPr>
        <w:t xml:space="preserve">es and questioning the legacy of colonial-era narratives that portrayed non-European civilisations as 'primitive'. </w:t>
      </w:r>
      <w:proofErr w:type="spellStart"/>
      <w:r w:rsidRPr="00FA1388">
        <w:rPr>
          <w:spacing w:val="5"/>
        </w:rPr>
        <w:t>Scarre</w:t>
      </w:r>
      <w:proofErr w:type="spellEnd"/>
      <w:r w:rsidRPr="00FA1388">
        <w:rPr>
          <w:spacing w:val="5"/>
        </w:rPr>
        <w:t xml:space="preserve">, Fagan and Golden write in </w:t>
      </w:r>
      <w:r w:rsidRPr="00FA1388">
        <w:rPr>
          <w:i/>
          <w:iCs/>
          <w:spacing w:val="5"/>
        </w:rPr>
        <w:t>Ancient Civilisations</w:t>
      </w:r>
      <w:r w:rsidRPr="00FA1388">
        <w:rPr>
          <w:spacing w:val="5"/>
        </w:rPr>
        <w:t>, ‘The notion that “civilization” is a condition superior to “barbarism” underlay nineteenth-century doctrines of racial superiority of more than a century ago…Such a value-laden contrast has no place in Archaeology’</w:t>
      </w:r>
      <w:r w:rsidR="00920196">
        <w:rPr>
          <w:rStyle w:val="FootnoteReference"/>
          <w:spacing w:val="5"/>
        </w:rPr>
        <w:footnoteReference w:id="6"/>
      </w:r>
      <w:r w:rsidRPr="00FA1388">
        <w:rPr>
          <w:spacing w:val="5"/>
        </w:rPr>
        <w:t xml:space="preserve">. They go on to explain that Sir Edward Taylor, a prominent anthropologist in the 19th century, promoted a well-established three-tier system when defining human development, from ‘simple hunting “savagery”’ to early agriculture and settlements ‘“barbarism”’ to complex ‘“civilisation”’. These terms pushed the colonial narrative, justifying the domination and “civilisation” of various ethnic groups, and today, are no longer acceptable. </w:t>
      </w:r>
    </w:p>
    <w:p w14:paraId="1B2A91E6" w14:textId="77777777" w:rsidR="000E3049" w:rsidRDefault="000E3049" w:rsidP="00034160">
      <w:pPr>
        <w:spacing w:line="360" w:lineRule="auto"/>
        <w:rPr>
          <w:b/>
          <w:bCs/>
          <w:spacing w:val="5"/>
        </w:rPr>
      </w:pPr>
    </w:p>
    <w:p w14:paraId="5154FA79" w14:textId="3003C1B2" w:rsidR="00FA1388" w:rsidRPr="00FA1388" w:rsidRDefault="00FA1388" w:rsidP="00034160">
      <w:pPr>
        <w:spacing w:line="360" w:lineRule="auto"/>
        <w:rPr>
          <w:spacing w:val="5"/>
        </w:rPr>
      </w:pPr>
      <w:r w:rsidRPr="00FA1388">
        <w:rPr>
          <w:b/>
          <w:bCs/>
          <w:spacing w:val="5"/>
        </w:rPr>
        <w:t>Preservation and Conservation of Ancient Sites</w:t>
      </w:r>
    </w:p>
    <w:p w14:paraId="4419C21B" w14:textId="4061E809" w:rsidR="00FA1388" w:rsidRPr="00FA1388" w:rsidRDefault="00FA1388" w:rsidP="00034160">
      <w:pPr>
        <w:spacing w:line="360" w:lineRule="auto"/>
        <w:rPr>
          <w:spacing w:val="5"/>
        </w:rPr>
      </w:pPr>
      <w:r w:rsidRPr="00FA1388">
        <w:rPr>
          <w:spacing w:val="5"/>
        </w:rPr>
        <w:t xml:space="preserve">A crucial aspect of the future of Ancient Civilisations studies is the preservation and conservation of ancient sites in the face of growing environmental and human threats. As sites continue to degrade due to climate change, urban development, and </w:t>
      </w:r>
      <w:r w:rsidR="0058473F">
        <w:rPr>
          <w:spacing w:val="5"/>
        </w:rPr>
        <w:t>tourism</w:t>
      </w:r>
      <w:r w:rsidRPr="00FA1388">
        <w:rPr>
          <w:spacing w:val="5"/>
        </w:rPr>
        <w:t xml:space="preserve">, </w:t>
      </w:r>
      <w:r w:rsidRPr="00FA1388">
        <w:rPr>
          <w:spacing w:val="5"/>
        </w:rPr>
        <w:lastRenderedPageBreak/>
        <w:t>scholars and policymakers are increasingly focused on finding sustainable ways to preserve these important cultural landmarks.</w:t>
      </w:r>
    </w:p>
    <w:p w14:paraId="2B3870F5" w14:textId="6A637407" w:rsidR="00FA1388" w:rsidRDefault="00FA1388" w:rsidP="00034160">
      <w:pPr>
        <w:spacing w:line="360" w:lineRule="auto"/>
        <w:rPr>
          <w:spacing w:val="5"/>
        </w:rPr>
      </w:pPr>
      <w:r w:rsidRPr="00FA1388">
        <w:rPr>
          <w:spacing w:val="5"/>
        </w:rPr>
        <w:t xml:space="preserve">Modern technologies such as digital preservation, which involves creating detailed 3D models of sites and artefacts, and climate change adaptation strategies are becoming essential tools in these efforts. Furthermore, sustainable site management and stronger legislation protecting cultural heritage are critical for ensuring the long-term survival of ancient sites. A vital element of these conservation efforts is the involvement of local and indigenous communities, who often possess invaluable traditional knowledge about the land and its history. Engaging these communities </w:t>
      </w:r>
      <w:r w:rsidR="00B14052">
        <w:rPr>
          <w:spacing w:val="5"/>
        </w:rPr>
        <w:t>helps preserve sites and</w:t>
      </w:r>
      <w:r w:rsidRPr="00FA1388">
        <w:rPr>
          <w:spacing w:val="5"/>
        </w:rPr>
        <w:t xml:space="preserve"> maintains the cultural significance of these locations for their descendants. </w:t>
      </w:r>
    </w:p>
    <w:p w14:paraId="7F6A2C29" w14:textId="77777777" w:rsidR="007200E9" w:rsidRDefault="007200E9" w:rsidP="00034160">
      <w:pPr>
        <w:spacing w:line="360" w:lineRule="auto"/>
        <w:rPr>
          <w:spacing w:val="5"/>
        </w:rPr>
      </w:pPr>
    </w:p>
    <w:p w14:paraId="040C8F7E" w14:textId="77777777" w:rsidR="007200E9" w:rsidRPr="007200E9" w:rsidRDefault="007200E9" w:rsidP="007200E9">
      <w:pPr>
        <w:spacing w:line="360" w:lineRule="auto"/>
        <w:rPr>
          <w:spacing w:val="5"/>
        </w:rPr>
      </w:pPr>
      <w:r w:rsidRPr="007200E9">
        <w:rPr>
          <w:spacing w:val="5"/>
        </w:rPr>
        <w:t>In conclusion, the study of Ancient Civilisations is undergoing a significant transformation shaped by interdisciplinary collaboration, technological advancements, and a commitment to inclusivity. As scholars increasingly integrate methodologies from the humanities and sciences, they are uncovering the complexities and interconnectedness of ancient societies previously obscured by traditional narratives. The ongoing emphasis on decolonisation and the inclusion of diverse civilisations enriches our understanding of human history and challenges outdated perspectives that have long dominated the field.</w:t>
      </w:r>
    </w:p>
    <w:p w14:paraId="094E9E74" w14:textId="3EDB399B" w:rsidR="007200E9" w:rsidRDefault="007200E9" w:rsidP="00034160">
      <w:pPr>
        <w:spacing w:line="360" w:lineRule="auto"/>
        <w:rPr>
          <w:spacing w:val="5"/>
        </w:rPr>
      </w:pPr>
      <w:r w:rsidRPr="007200E9">
        <w:rPr>
          <w:spacing w:val="5"/>
        </w:rPr>
        <w:t xml:space="preserve">Furthermore, as the discipline faces pressing challenges related to the preservation of ancient sites, it is crucial that scholars engage with local and indigenous communities to ensure that these cultural legacies are protected for future generations. The future of Ancient Civilisations studies lies in reconstructing the past </w:t>
      </w:r>
      <w:r w:rsidR="00BF5A08">
        <w:rPr>
          <w:spacing w:val="5"/>
        </w:rPr>
        <w:t>and</w:t>
      </w:r>
      <w:r w:rsidRPr="007200E9">
        <w:rPr>
          <w:spacing w:val="5"/>
        </w:rPr>
        <w:t xml:space="preserve"> fostering a more equitable and comprehensive understanding of the diverse tapestry of human history. By embracing these interdisciplinary and inclusive approaches, scholars can pave the way for a richer, more nuanced exploration of the ancient world, highlighting its relevance to contemporary society.</w:t>
      </w:r>
    </w:p>
    <w:p w14:paraId="6F30C84C" w14:textId="3D80F662" w:rsidR="00B04C80" w:rsidRDefault="00B04C80">
      <w:pPr>
        <w:spacing w:after="160" w:line="278" w:lineRule="auto"/>
        <w:rPr>
          <w:spacing w:val="5"/>
        </w:rPr>
      </w:pPr>
      <w:r>
        <w:rPr>
          <w:spacing w:val="5"/>
        </w:rPr>
        <w:br w:type="page"/>
      </w:r>
    </w:p>
    <w:p w14:paraId="1778E14D" w14:textId="07CD2687" w:rsidR="00B04C80" w:rsidRDefault="00B04C80" w:rsidP="00034160">
      <w:pPr>
        <w:spacing w:line="360" w:lineRule="auto"/>
        <w:rPr>
          <w:b/>
          <w:bCs/>
          <w:spacing w:val="5"/>
        </w:rPr>
      </w:pPr>
      <w:r w:rsidRPr="00B04C80">
        <w:rPr>
          <w:b/>
          <w:bCs/>
          <w:spacing w:val="5"/>
        </w:rPr>
        <w:lastRenderedPageBreak/>
        <w:t>Bibliography</w:t>
      </w:r>
    </w:p>
    <w:p w14:paraId="41696F6F" w14:textId="30510942" w:rsidR="006277F8" w:rsidRPr="00B6544F" w:rsidRDefault="006277F8" w:rsidP="00956500">
      <w:pPr>
        <w:rPr>
          <w:rFonts w:ascii="Calibri" w:hAnsi="Calibri" w:cs="Calibri"/>
        </w:rPr>
      </w:pPr>
      <w:r w:rsidRPr="00AB39BD">
        <w:rPr>
          <w:rFonts w:ascii="Calibri" w:hAnsi="Calibri" w:cs="Calibri"/>
        </w:rPr>
        <w:t>Evershed,</w:t>
      </w:r>
      <w:r w:rsidRPr="00AB39BD">
        <w:rPr>
          <w:rFonts w:ascii="Calibri" w:hAnsi="Calibri" w:cs="Calibri"/>
        </w:rPr>
        <w:t xml:space="preserve"> </w:t>
      </w:r>
      <w:r w:rsidRPr="00AB39BD">
        <w:rPr>
          <w:rFonts w:ascii="Calibri" w:hAnsi="Calibri" w:cs="Calibri"/>
        </w:rPr>
        <w:t>Richard</w:t>
      </w:r>
      <w:r w:rsidR="00AB39BD" w:rsidRPr="00AB39BD">
        <w:rPr>
          <w:rFonts w:ascii="Calibri" w:hAnsi="Calibri" w:cs="Calibri"/>
        </w:rPr>
        <w:t>,</w:t>
      </w:r>
      <w:r w:rsidRPr="00AB39BD">
        <w:rPr>
          <w:rFonts w:ascii="Calibri" w:hAnsi="Calibri" w:cs="Calibri"/>
        </w:rPr>
        <w:t xml:space="preserve"> </w:t>
      </w:r>
      <w:r w:rsidR="00B6544F">
        <w:rPr>
          <w:rFonts w:ascii="Calibri" w:hAnsi="Calibri" w:cs="Calibri"/>
        </w:rPr>
        <w:t>‘</w:t>
      </w:r>
      <w:r w:rsidRPr="00B6544F">
        <w:rPr>
          <w:rFonts w:ascii="Calibri" w:hAnsi="Calibri" w:cs="Calibri"/>
        </w:rPr>
        <w:t>Experimental Approaches to the Interpretation of Absorbed Organic</w:t>
      </w:r>
      <w:r w:rsidR="00485ECC" w:rsidRPr="00B6544F">
        <w:rPr>
          <w:rFonts w:ascii="Calibri" w:hAnsi="Calibri" w:cs="Calibri"/>
        </w:rPr>
        <w:br/>
      </w:r>
      <w:r w:rsidRPr="00B6544F">
        <w:rPr>
          <w:rFonts w:ascii="Calibri" w:hAnsi="Calibri" w:cs="Calibri"/>
        </w:rPr>
        <w:t>Residues in Archaeological Ceramics</w:t>
      </w:r>
      <w:r w:rsidR="00B6544F">
        <w:rPr>
          <w:rFonts w:ascii="Calibri" w:hAnsi="Calibri" w:cs="Calibri"/>
        </w:rPr>
        <w:t>’</w:t>
      </w:r>
      <w:r w:rsidRPr="00AB39BD">
        <w:rPr>
          <w:rFonts w:ascii="Calibri" w:hAnsi="Calibri" w:cs="Calibri"/>
          <w:i/>
          <w:iCs/>
        </w:rPr>
        <w:t xml:space="preserve">, World Archaeology, </w:t>
      </w:r>
      <w:r w:rsidRPr="00B6544F">
        <w:rPr>
          <w:rFonts w:ascii="Calibri" w:hAnsi="Calibri" w:cs="Calibri"/>
        </w:rPr>
        <w:t>Vol. 40, No. 1, Experimental Archaeology (2008), p. 26-4</w:t>
      </w:r>
    </w:p>
    <w:p w14:paraId="105E13F6" w14:textId="77777777" w:rsidR="00AB39BD" w:rsidRPr="00AB39BD" w:rsidRDefault="00AB39BD" w:rsidP="00956500">
      <w:pPr>
        <w:rPr>
          <w:rFonts w:ascii="Calibri" w:hAnsi="Calibri" w:cs="Calibri"/>
          <w:i/>
          <w:iCs/>
        </w:rPr>
      </w:pPr>
    </w:p>
    <w:p w14:paraId="04308EB3" w14:textId="21409B97" w:rsidR="00AB39BD" w:rsidRPr="00AB39BD" w:rsidRDefault="00AB39BD" w:rsidP="00956500">
      <w:pPr>
        <w:pStyle w:val="FootnoteText"/>
        <w:rPr>
          <w:sz w:val="24"/>
          <w:szCs w:val="24"/>
        </w:rPr>
      </w:pPr>
      <w:r w:rsidRPr="00AB39BD">
        <w:rPr>
          <w:rFonts w:ascii="Calibri" w:hAnsi="Calibri" w:cs="Calibri"/>
          <w:sz w:val="24"/>
          <w:szCs w:val="24"/>
        </w:rPr>
        <w:t>Price</w:t>
      </w:r>
      <w:r w:rsidR="00B170CC">
        <w:rPr>
          <w:rFonts w:ascii="Calibri" w:hAnsi="Calibri" w:cs="Calibri"/>
          <w:sz w:val="24"/>
          <w:szCs w:val="24"/>
        </w:rPr>
        <w:t xml:space="preserve">, </w:t>
      </w:r>
      <w:r w:rsidR="00B170CC" w:rsidRPr="00AB39BD">
        <w:rPr>
          <w:rFonts w:ascii="Calibri" w:hAnsi="Calibri" w:cs="Calibri"/>
          <w:sz w:val="24"/>
          <w:szCs w:val="24"/>
        </w:rPr>
        <w:t>T. Douglas</w:t>
      </w:r>
      <w:r w:rsidRPr="00AB39BD">
        <w:rPr>
          <w:rFonts w:ascii="Calibri" w:hAnsi="Calibri" w:cs="Calibri"/>
          <w:sz w:val="24"/>
          <w:szCs w:val="24"/>
        </w:rPr>
        <w:t xml:space="preserve"> &amp; Knudson, </w:t>
      </w:r>
      <w:r w:rsidR="0019104E" w:rsidRPr="00AB39BD">
        <w:rPr>
          <w:rFonts w:ascii="Calibri" w:hAnsi="Calibri" w:cs="Calibri"/>
          <w:sz w:val="24"/>
          <w:szCs w:val="24"/>
        </w:rPr>
        <w:t>Kelly J</w:t>
      </w:r>
      <w:r w:rsidR="00805A7D">
        <w:rPr>
          <w:rFonts w:ascii="Calibri" w:hAnsi="Calibri" w:cs="Calibri"/>
          <w:sz w:val="24"/>
          <w:szCs w:val="24"/>
        </w:rPr>
        <w:t>,</w:t>
      </w:r>
      <w:r w:rsidR="0019104E" w:rsidRPr="00AB39BD">
        <w:rPr>
          <w:rFonts w:ascii="Calibri" w:hAnsi="Calibri" w:cs="Calibri"/>
          <w:sz w:val="24"/>
          <w:szCs w:val="24"/>
        </w:rPr>
        <w:t xml:space="preserve"> </w:t>
      </w:r>
      <w:r w:rsidRPr="00AB39BD">
        <w:rPr>
          <w:rFonts w:ascii="Calibri" w:hAnsi="Calibri" w:cs="Calibri"/>
          <w:i/>
          <w:iCs/>
          <w:sz w:val="24"/>
          <w:szCs w:val="24"/>
        </w:rPr>
        <w:t xml:space="preserve">Principles of Archaeology, </w:t>
      </w:r>
      <w:r w:rsidRPr="00AB39BD">
        <w:rPr>
          <w:rFonts w:ascii="Calibri" w:hAnsi="Calibri" w:cs="Calibri"/>
          <w:sz w:val="24"/>
          <w:szCs w:val="24"/>
        </w:rPr>
        <w:t>2</w:t>
      </w:r>
      <w:r w:rsidRPr="00AB39BD">
        <w:rPr>
          <w:rFonts w:ascii="Calibri" w:hAnsi="Calibri" w:cs="Calibri"/>
          <w:sz w:val="24"/>
          <w:szCs w:val="24"/>
          <w:vertAlign w:val="superscript"/>
        </w:rPr>
        <w:t>nd</w:t>
      </w:r>
      <w:r w:rsidRPr="00AB39BD">
        <w:rPr>
          <w:rFonts w:ascii="Calibri" w:hAnsi="Calibri" w:cs="Calibri"/>
          <w:sz w:val="24"/>
          <w:szCs w:val="24"/>
        </w:rPr>
        <w:t xml:space="preserve"> </w:t>
      </w:r>
      <w:proofErr w:type="spellStart"/>
      <w:r w:rsidRPr="00AB39BD">
        <w:rPr>
          <w:rFonts w:ascii="Calibri" w:hAnsi="Calibri" w:cs="Calibri"/>
          <w:sz w:val="24"/>
          <w:szCs w:val="24"/>
        </w:rPr>
        <w:t>edn</w:t>
      </w:r>
      <w:proofErr w:type="spellEnd"/>
      <w:r w:rsidRPr="00AB39BD">
        <w:rPr>
          <w:rFonts w:ascii="Calibri" w:hAnsi="Calibri" w:cs="Calibri"/>
          <w:sz w:val="24"/>
          <w:szCs w:val="24"/>
        </w:rPr>
        <w:t>. (Thames &amp; Hudson 2018), p.2</w:t>
      </w:r>
      <w:r w:rsidR="00805A7D">
        <w:rPr>
          <w:rFonts w:ascii="Calibri" w:hAnsi="Calibri" w:cs="Calibri"/>
          <w:sz w:val="24"/>
          <w:szCs w:val="24"/>
        </w:rPr>
        <w:t>3</w:t>
      </w:r>
    </w:p>
    <w:p w14:paraId="55DF23B2" w14:textId="77777777" w:rsidR="00AB39BD" w:rsidRPr="00AB39BD" w:rsidRDefault="00AB39BD" w:rsidP="00956500">
      <w:pPr>
        <w:rPr>
          <w:rFonts w:ascii="Calibri" w:hAnsi="Calibri" w:cs="Calibri"/>
        </w:rPr>
      </w:pPr>
    </w:p>
    <w:p w14:paraId="0AD7B55F" w14:textId="77777777" w:rsidR="00805A7D" w:rsidRPr="00AB39BD" w:rsidRDefault="00805A7D" w:rsidP="00805A7D">
      <w:pPr>
        <w:pStyle w:val="FootnoteText"/>
        <w:rPr>
          <w:sz w:val="24"/>
          <w:szCs w:val="24"/>
        </w:rPr>
      </w:pPr>
      <w:r w:rsidRPr="00AB39BD">
        <w:rPr>
          <w:rFonts w:ascii="Calibri" w:hAnsi="Calibri" w:cs="Calibri"/>
          <w:sz w:val="24"/>
          <w:szCs w:val="24"/>
        </w:rPr>
        <w:t>Price</w:t>
      </w:r>
      <w:r>
        <w:rPr>
          <w:rFonts w:ascii="Calibri" w:hAnsi="Calibri" w:cs="Calibri"/>
          <w:sz w:val="24"/>
          <w:szCs w:val="24"/>
        </w:rPr>
        <w:t xml:space="preserve">, </w:t>
      </w:r>
      <w:r w:rsidRPr="00AB39BD">
        <w:rPr>
          <w:rFonts w:ascii="Calibri" w:hAnsi="Calibri" w:cs="Calibri"/>
          <w:sz w:val="24"/>
          <w:szCs w:val="24"/>
        </w:rPr>
        <w:t>T. Douglas &amp; Knudson, Kelly J</w:t>
      </w:r>
      <w:r>
        <w:rPr>
          <w:rFonts w:ascii="Calibri" w:hAnsi="Calibri" w:cs="Calibri"/>
          <w:sz w:val="24"/>
          <w:szCs w:val="24"/>
        </w:rPr>
        <w:t>,</w:t>
      </w:r>
      <w:r w:rsidRPr="00AB39BD">
        <w:rPr>
          <w:rFonts w:ascii="Calibri" w:hAnsi="Calibri" w:cs="Calibri"/>
          <w:sz w:val="24"/>
          <w:szCs w:val="24"/>
        </w:rPr>
        <w:t xml:space="preserve"> </w:t>
      </w:r>
      <w:r w:rsidRPr="00AB39BD">
        <w:rPr>
          <w:rFonts w:ascii="Calibri" w:hAnsi="Calibri" w:cs="Calibri"/>
          <w:i/>
          <w:iCs/>
          <w:sz w:val="24"/>
          <w:szCs w:val="24"/>
        </w:rPr>
        <w:t xml:space="preserve">Principles of Archaeology, </w:t>
      </w:r>
      <w:r w:rsidRPr="00AB39BD">
        <w:rPr>
          <w:rFonts w:ascii="Calibri" w:hAnsi="Calibri" w:cs="Calibri"/>
          <w:sz w:val="24"/>
          <w:szCs w:val="24"/>
        </w:rPr>
        <w:t>2</w:t>
      </w:r>
      <w:r w:rsidRPr="00AB39BD">
        <w:rPr>
          <w:rFonts w:ascii="Calibri" w:hAnsi="Calibri" w:cs="Calibri"/>
          <w:sz w:val="24"/>
          <w:szCs w:val="24"/>
          <w:vertAlign w:val="superscript"/>
        </w:rPr>
        <w:t>nd</w:t>
      </w:r>
      <w:r w:rsidRPr="00AB39BD">
        <w:rPr>
          <w:rFonts w:ascii="Calibri" w:hAnsi="Calibri" w:cs="Calibri"/>
          <w:sz w:val="24"/>
          <w:szCs w:val="24"/>
        </w:rPr>
        <w:t xml:space="preserve"> </w:t>
      </w:r>
      <w:proofErr w:type="spellStart"/>
      <w:r w:rsidRPr="00AB39BD">
        <w:rPr>
          <w:rFonts w:ascii="Calibri" w:hAnsi="Calibri" w:cs="Calibri"/>
          <w:sz w:val="24"/>
          <w:szCs w:val="24"/>
        </w:rPr>
        <w:t>edn</w:t>
      </w:r>
      <w:proofErr w:type="spellEnd"/>
      <w:r w:rsidRPr="00AB39BD">
        <w:rPr>
          <w:rFonts w:ascii="Calibri" w:hAnsi="Calibri" w:cs="Calibri"/>
          <w:sz w:val="24"/>
          <w:szCs w:val="24"/>
        </w:rPr>
        <w:t>. (Thames &amp; Hudson 2018), p.24</w:t>
      </w:r>
    </w:p>
    <w:p w14:paraId="7B6FD5E9" w14:textId="77777777" w:rsidR="00B04C80" w:rsidRPr="00FA1388" w:rsidRDefault="00B04C80" w:rsidP="00956500">
      <w:pPr>
        <w:rPr>
          <w:b/>
          <w:bCs/>
          <w:spacing w:val="5"/>
        </w:rPr>
      </w:pPr>
    </w:p>
    <w:p w14:paraId="0D2ADE3C" w14:textId="7BEFA0DE" w:rsidR="008F213C" w:rsidRPr="00AB39BD" w:rsidRDefault="008F213C" w:rsidP="00956500">
      <w:proofErr w:type="spellStart"/>
      <w:r w:rsidRPr="00AB39BD">
        <w:t>Scarre</w:t>
      </w:r>
      <w:proofErr w:type="spellEnd"/>
      <w:r w:rsidRPr="00AB39BD">
        <w:t xml:space="preserve">, </w:t>
      </w:r>
      <w:r w:rsidR="00805A7D" w:rsidRPr="00AB39BD">
        <w:t>Chris</w:t>
      </w:r>
      <w:r w:rsidR="00805A7D">
        <w:t xml:space="preserve">, </w:t>
      </w:r>
      <w:r w:rsidRPr="00AB39BD">
        <w:t>Fagan,</w:t>
      </w:r>
      <w:r w:rsidR="00805A7D">
        <w:t xml:space="preserve"> </w:t>
      </w:r>
      <w:r w:rsidR="00805A7D" w:rsidRPr="00AB39BD">
        <w:t>Brian M.</w:t>
      </w:r>
      <w:proofErr w:type="gramStart"/>
      <w:r w:rsidR="00214172">
        <w:t>,</w:t>
      </w:r>
      <w:r w:rsidR="00805A7D" w:rsidRPr="00AB39BD">
        <w:t xml:space="preserve"> </w:t>
      </w:r>
      <w:r w:rsidRPr="00AB39BD">
        <w:t xml:space="preserve"> and</w:t>
      </w:r>
      <w:proofErr w:type="gramEnd"/>
      <w:r w:rsidRPr="00AB39BD">
        <w:t xml:space="preserve"> Golden, </w:t>
      </w:r>
      <w:r w:rsidR="00805A7D" w:rsidRPr="00AB39BD">
        <w:t>Charles </w:t>
      </w:r>
      <w:r w:rsidR="00805A7D" w:rsidRPr="00AB39BD">
        <w:rPr>
          <w:i/>
          <w:iCs/>
        </w:rPr>
        <w:t xml:space="preserve"> </w:t>
      </w:r>
      <w:r w:rsidRPr="00AB39BD">
        <w:rPr>
          <w:i/>
          <w:iCs/>
        </w:rPr>
        <w:t xml:space="preserve">Ancient Civilizations, </w:t>
      </w:r>
      <w:r w:rsidRPr="00AB39BD">
        <w:t>5</w:t>
      </w:r>
      <w:r w:rsidRPr="00AB39BD">
        <w:rPr>
          <w:vertAlign w:val="superscript"/>
        </w:rPr>
        <w:t>th</w:t>
      </w:r>
      <w:r w:rsidRPr="00AB39BD">
        <w:t xml:space="preserve"> </w:t>
      </w:r>
      <w:proofErr w:type="spellStart"/>
      <w:r w:rsidRPr="00AB39BD">
        <w:t>edn</w:t>
      </w:r>
      <w:proofErr w:type="spellEnd"/>
      <w:r w:rsidRPr="00AB39BD">
        <w:t>. (Routledge, Taylor &amp; Francis Group 2021), p.6</w:t>
      </w:r>
    </w:p>
    <w:p w14:paraId="20BC35DC" w14:textId="77777777" w:rsidR="008F213C" w:rsidRPr="00AB39BD" w:rsidRDefault="008F213C" w:rsidP="00956500">
      <w:pPr>
        <w:rPr>
          <w:spacing w:val="5"/>
        </w:rPr>
      </w:pPr>
    </w:p>
    <w:p w14:paraId="265CF5EB" w14:textId="6B2C6FE4" w:rsidR="00CB378F" w:rsidRPr="00AB39BD" w:rsidRDefault="00CB378F" w:rsidP="00956500">
      <w:proofErr w:type="spellStart"/>
      <w:r w:rsidRPr="00AB39BD">
        <w:t>Tsagalis</w:t>
      </w:r>
      <w:proofErr w:type="spellEnd"/>
      <w:r w:rsidRPr="00AB39BD">
        <w:t>,</w:t>
      </w:r>
      <w:r w:rsidR="00214172">
        <w:t xml:space="preserve"> </w:t>
      </w:r>
      <w:r w:rsidR="00214172" w:rsidRPr="00AB39BD">
        <w:t>Christos</w:t>
      </w:r>
      <w:r w:rsidR="002A06C2">
        <w:t>,</w:t>
      </w:r>
      <w:r w:rsidRPr="00AB39BD">
        <w:t xml:space="preserve"> neoanalysis. </w:t>
      </w:r>
      <w:r w:rsidRPr="00AB39BD">
        <w:rPr>
          <w:i/>
          <w:iCs/>
        </w:rPr>
        <w:t>Oxford Classical Dictionary.</w:t>
      </w:r>
      <w:r w:rsidRPr="00AB39BD">
        <w:t xml:space="preserve"> (2021, November 29).  Retrieved 17 Oct. 2024, from </w:t>
      </w:r>
      <w:hyperlink r:id="rId8" w:history="1">
        <w:r w:rsidRPr="00AB39BD">
          <w:rPr>
            <w:rStyle w:val="Hyperlink"/>
          </w:rPr>
          <w:t>https://oxfordre.com/classics/view/10.1093/acrefore/9780199381135.001.0001/acrefore-9780199381135-e-8250</w:t>
        </w:r>
      </w:hyperlink>
      <w:r w:rsidRPr="00AB39BD">
        <w:t>.</w:t>
      </w:r>
    </w:p>
    <w:sectPr w:rsidR="00CB378F" w:rsidRPr="00AB39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C06794" w14:textId="77777777" w:rsidR="00E44E66" w:rsidRDefault="00E44E66">
      <w:r>
        <w:separator/>
      </w:r>
    </w:p>
  </w:endnote>
  <w:endnote w:type="continuationSeparator" w:id="0">
    <w:p w14:paraId="0B24251F" w14:textId="77777777" w:rsidR="00E44E66" w:rsidRDefault="00E44E66">
      <w:r>
        <w:continuationSeparator/>
      </w:r>
    </w:p>
  </w:endnote>
  <w:endnote w:type="continuationNotice" w:id="1">
    <w:p w14:paraId="1065A4BC" w14:textId="77777777" w:rsidR="00E44E66" w:rsidRDefault="00E44E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ordia New (Headings CS)">
    <w:altName w:val="Cambria"/>
    <w:panose1 w:val="020B0604020202020204"/>
    <w:charset w:val="00"/>
    <w:family w:val="roman"/>
    <w:notTrueType/>
    <w:pitch w:val="default"/>
  </w:font>
  <w:font w:name="Angsana New">
    <w:panose1 w:val="02020603050405020304"/>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DCA2C" w14:textId="77777777" w:rsidR="00E44E66" w:rsidRDefault="00E44E66">
      <w:r>
        <w:separator/>
      </w:r>
    </w:p>
  </w:footnote>
  <w:footnote w:type="continuationSeparator" w:id="0">
    <w:p w14:paraId="6F33E199" w14:textId="77777777" w:rsidR="00E44E66" w:rsidRDefault="00E44E66">
      <w:r>
        <w:continuationSeparator/>
      </w:r>
    </w:p>
  </w:footnote>
  <w:footnote w:type="continuationNotice" w:id="1">
    <w:p w14:paraId="4544F51D" w14:textId="77777777" w:rsidR="00E44E66" w:rsidRDefault="00E44E66"/>
  </w:footnote>
  <w:footnote w:id="2">
    <w:p w14:paraId="44EFBCFB" w14:textId="24A42DDC" w:rsidR="00C44C60" w:rsidRDefault="00C44C60">
      <w:pPr>
        <w:pStyle w:val="FootnoteText"/>
      </w:pPr>
      <w:r>
        <w:rPr>
          <w:rStyle w:val="FootnoteReference"/>
        </w:rPr>
        <w:footnoteRef/>
      </w:r>
      <w:r>
        <w:t xml:space="preserve"> </w:t>
      </w:r>
      <w:r w:rsidR="00F15520">
        <w:rPr>
          <w:rFonts w:ascii="Calibri" w:hAnsi="Calibri" w:cs="Calibri"/>
          <w:szCs w:val="20"/>
        </w:rPr>
        <w:t>Richard Evershed</w:t>
      </w:r>
      <w:r w:rsidR="00F15520" w:rsidRPr="0067684C">
        <w:rPr>
          <w:rFonts w:ascii="Calibri" w:hAnsi="Calibri" w:cs="Calibri"/>
          <w:szCs w:val="20"/>
        </w:rPr>
        <w:t xml:space="preserve">, </w:t>
      </w:r>
      <w:r w:rsidR="0056566A" w:rsidRPr="0056566A">
        <w:rPr>
          <w:rFonts w:ascii="Calibri" w:hAnsi="Calibri" w:cs="Calibri"/>
          <w:i/>
          <w:iCs/>
          <w:szCs w:val="20"/>
        </w:rPr>
        <w:t>Experimental Approaches to the Interpretation of Absorbed Organic Residues in Archaeological Ceramics</w:t>
      </w:r>
      <w:r w:rsidR="00F15520" w:rsidRPr="0067684C">
        <w:rPr>
          <w:rFonts w:ascii="Calibri" w:hAnsi="Calibri" w:cs="Calibri"/>
          <w:i/>
          <w:iCs/>
          <w:szCs w:val="20"/>
        </w:rPr>
        <w:t xml:space="preserve">, </w:t>
      </w:r>
      <w:r w:rsidR="00E4751B" w:rsidRPr="00D82310">
        <w:rPr>
          <w:rFonts w:ascii="Calibri" w:hAnsi="Calibri" w:cs="Calibri"/>
          <w:i/>
          <w:iCs/>
          <w:szCs w:val="20"/>
        </w:rPr>
        <w:t>World A</w:t>
      </w:r>
      <w:r w:rsidR="00E4751B" w:rsidRPr="00D82310">
        <w:rPr>
          <w:rFonts w:ascii="Calibri" w:hAnsi="Calibri" w:cs="Calibri"/>
          <w:i/>
          <w:iCs/>
          <w:szCs w:val="20"/>
        </w:rPr>
        <w:t>r</w:t>
      </w:r>
      <w:r w:rsidR="00E4751B" w:rsidRPr="00D82310">
        <w:rPr>
          <w:rFonts w:ascii="Calibri" w:hAnsi="Calibri" w:cs="Calibri"/>
          <w:i/>
          <w:iCs/>
          <w:szCs w:val="20"/>
        </w:rPr>
        <w:t>chaeology</w:t>
      </w:r>
      <w:r w:rsidR="00E4751B" w:rsidRPr="00E4751B">
        <w:rPr>
          <w:rFonts w:ascii="Calibri" w:hAnsi="Calibri" w:cs="Calibri"/>
          <w:i/>
          <w:iCs/>
          <w:szCs w:val="20"/>
        </w:rPr>
        <w:t>, Vol. 40, No. 1, Experimental Archaeology (</w:t>
      </w:r>
      <w:proofErr w:type="gramStart"/>
      <w:r w:rsidR="00E4751B" w:rsidRPr="00E4751B">
        <w:rPr>
          <w:rFonts w:ascii="Calibri" w:hAnsi="Calibri" w:cs="Calibri"/>
          <w:i/>
          <w:iCs/>
          <w:szCs w:val="20"/>
        </w:rPr>
        <w:t>Mar.,</w:t>
      </w:r>
      <w:proofErr w:type="gramEnd"/>
      <w:r w:rsidR="00E4751B" w:rsidRPr="00E4751B">
        <w:rPr>
          <w:rFonts w:ascii="Calibri" w:hAnsi="Calibri" w:cs="Calibri"/>
          <w:i/>
          <w:iCs/>
          <w:szCs w:val="20"/>
        </w:rPr>
        <w:t xml:space="preserve"> 2008), pp. 26-4</w:t>
      </w:r>
    </w:p>
  </w:footnote>
  <w:footnote w:id="3">
    <w:p w14:paraId="6045199B" w14:textId="77777777" w:rsidR="00D73E10" w:rsidRDefault="00D73E10" w:rsidP="00D73E10">
      <w:pPr>
        <w:pStyle w:val="FootnoteText"/>
      </w:pPr>
      <w:r>
        <w:rPr>
          <w:rStyle w:val="FootnoteReference"/>
        </w:rPr>
        <w:footnoteRef/>
      </w:r>
      <w:r>
        <w:t xml:space="preserve"> </w:t>
      </w:r>
      <w:r w:rsidRPr="0067684C">
        <w:rPr>
          <w:rFonts w:ascii="Calibri" w:hAnsi="Calibri" w:cs="Calibri"/>
          <w:szCs w:val="20"/>
        </w:rPr>
        <w:t xml:space="preserve">T. Douglas Price &amp; Kelly J Knudson, </w:t>
      </w:r>
      <w:r w:rsidRPr="0067684C">
        <w:rPr>
          <w:rFonts w:ascii="Calibri" w:hAnsi="Calibri" w:cs="Calibri"/>
          <w:i/>
          <w:iCs/>
          <w:szCs w:val="20"/>
        </w:rPr>
        <w:t xml:space="preserve">Principles of Archaeology, </w:t>
      </w:r>
      <w:r w:rsidRPr="0067684C">
        <w:rPr>
          <w:rFonts w:ascii="Calibri" w:hAnsi="Calibri" w:cs="Calibri"/>
          <w:szCs w:val="20"/>
        </w:rPr>
        <w:t>2</w:t>
      </w:r>
      <w:r w:rsidRPr="0067684C">
        <w:rPr>
          <w:rFonts w:ascii="Calibri" w:hAnsi="Calibri" w:cs="Calibri"/>
          <w:szCs w:val="20"/>
          <w:vertAlign w:val="superscript"/>
        </w:rPr>
        <w:t>nd</w:t>
      </w:r>
      <w:r w:rsidRPr="0067684C">
        <w:rPr>
          <w:rFonts w:ascii="Calibri" w:hAnsi="Calibri" w:cs="Calibri"/>
          <w:szCs w:val="20"/>
        </w:rPr>
        <w:t xml:space="preserve"> </w:t>
      </w:r>
      <w:proofErr w:type="spellStart"/>
      <w:r w:rsidRPr="0067684C">
        <w:rPr>
          <w:rFonts w:ascii="Calibri" w:hAnsi="Calibri" w:cs="Calibri"/>
          <w:szCs w:val="20"/>
        </w:rPr>
        <w:t>edn</w:t>
      </w:r>
      <w:proofErr w:type="spellEnd"/>
      <w:r w:rsidRPr="0067684C">
        <w:rPr>
          <w:rFonts w:ascii="Calibri" w:hAnsi="Calibri" w:cs="Calibri"/>
          <w:szCs w:val="20"/>
        </w:rPr>
        <w:t>. (Thames &amp; Hudson 2018), p.24</w:t>
      </w:r>
    </w:p>
  </w:footnote>
  <w:footnote w:id="4">
    <w:p w14:paraId="3C2FA5B9" w14:textId="1EF40F45" w:rsidR="00312A9A" w:rsidRDefault="00312A9A">
      <w:pPr>
        <w:pStyle w:val="FootnoteText"/>
      </w:pPr>
      <w:r>
        <w:rPr>
          <w:rStyle w:val="FootnoteReference"/>
        </w:rPr>
        <w:footnoteRef/>
      </w:r>
      <w:r>
        <w:t xml:space="preserve"> </w:t>
      </w:r>
      <w:r w:rsidR="008F213C">
        <w:rPr>
          <w:rFonts w:ascii="Calibri" w:hAnsi="Calibri" w:cs="Calibri"/>
        </w:rPr>
        <w:t>Price</w:t>
      </w:r>
      <w:r w:rsidRPr="0067684C">
        <w:rPr>
          <w:rFonts w:ascii="Calibri" w:hAnsi="Calibri" w:cs="Calibri"/>
        </w:rPr>
        <w:t xml:space="preserve"> and others, </w:t>
      </w:r>
      <w:r w:rsidRPr="0067684C">
        <w:rPr>
          <w:rFonts w:ascii="Calibri" w:hAnsi="Calibri" w:cs="Calibri"/>
          <w:i/>
          <w:iCs/>
        </w:rPr>
        <w:t>Principles of Archaeology</w:t>
      </w:r>
      <w:r w:rsidRPr="0067684C">
        <w:rPr>
          <w:rFonts w:ascii="Calibri" w:hAnsi="Calibri" w:cs="Calibri"/>
        </w:rPr>
        <w:t>), p.23</w:t>
      </w:r>
    </w:p>
  </w:footnote>
  <w:footnote w:id="5">
    <w:p w14:paraId="7223415C" w14:textId="77777777" w:rsidR="001D53A2" w:rsidRDefault="001D53A2" w:rsidP="001D53A2">
      <w:pPr>
        <w:pStyle w:val="FootnoteText"/>
      </w:pPr>
      <w:r>
        <w:rPr>
          <w:rStyle w:val="FootnoteReference"/>
        </w:rPr>
        <w:footnoteRef/>
      </w:r>
      <w:r>
        <w:t xml:space="preserve"> Christos </w:t>
      </w:r>
      <w:proofErr w:type="spellStart"/>
      <w:r w:rsidRPr="00B05C61">
        <w:t>Tsagalis</w:t>
      </w:r>
      <w:proofErr w:type="spellEnd"/>
      <w:r w:rsidRPr="00B05C61">
        <w:t>, neoanalysis. </w:t>
      </w:r>
      <w:r w:rsidRPr="00B05C61">
        <w:rPr>
          <w:i/>
          <w:iCs/>
        </w:rPr>
        <w:t>Oxford Classical Dictionary.</w:t>
      </w:r>
      <w:r w:rsidRPr="00B05C61">
        <w:t xml:space="preserve"> (2021, November 29). </w:t>
      </w:r>
      <w:r>
        <w:t xml:space="preserve"> </w:t>
      </w:r>
      <w:r w:rsidRPr="00B05C61">
        <w:t>Retrieved 17 Oct. 2024, from https://oxfordre.com/classics/view/10.1093/acrefore/9780199381135.001.0001/acrefore-9780199381135-e-8250.</w:t>
      </w:r>
    </w:p>
  </w:footnote>
  <w:footnote w:id="6">
    <w:p w14:paraId="363B1CC0" w14:textId="7BE579FF" w:rsidR="00920196" w:rsidRDefault="00920196">
      <w:pPr>
        <w:pStyle w:val="FootnoteText"/>
      </w:pPr>
      <w:r>
        <w:rPr>
          <w:rStyle w:val="FootnoteReference"/>
        </w:rPr>
        <w:footnoteRef/>
      </w:r>
      <w:r>
        <w:t xml:space="preserve"> </w:t>
      </w:r>
      <w:r w:rsidR="004236CE" w:rsidRPr="00EE1BDC">
        <w:t xml:space="preserve">Chris </w:t>
      </w:r>
      <w:proofErr w:type="spellStart"/>
      <w:r w:rsidR="004236CE" w:rsidRPr="00EE1BDC">
        <w:t>Scarre</w:t>
      </w:r>
      <w:proofErr w:type="spellEnd"/>
      <w:r w:rsidR="004236CE" w:rsidRPr="00EE1BDC">
        <w:t>, Brian M. Fagan, and Charles Golden</w:t>
      </w:r>
      <w:r w:rsidR="004236CE">
        <w:t xml:space="preserve">, </w:t>
      </w:r>
      <w:r w:rsidR="004236CE" w:rsidRPr="0011336B">
        <w:rPr>
          <w:i/>
          <w:iCs/>
        </w:rPr>
        <w:t>Ancient Civilizations</w:t>
      </w:r>
      <w:r w:rsidR="004236CE">
        <w:rPr>
          <w:i/>
          <w:iCs/>
        </w:rPr>
        <w:t xml:space="preserve">, </w:t>
      </w:r>
      <w:r w:rsidR="004236CE" w:rsidRPr="00F05336">
        <w:t>5</w:t>
      </w:r>
      <w:r w:rsidR="004236CE" w:rsidRPr="00F05336">
        <w:rPr>
          <w:vertAlign w:val="superscript"/>
        </w:rPr>
        <w:t>th</w:t>
      </w:r>
      <w:r w:rsidR="004236CE" w:rsidRPr="00F05336">
        <w:t xml:space="preserve"> </w:t>
      </w:r>
      <w:proofErr w:type="spellStart"/>
      <w:r w:rsidR="004236CE" w:rsidRPr="00F05336">
        <w:t>edn</w:t>
      </w:r>
      <w:proofErr w:type="spellEnd"/>
      <w:r w:rsidR="004236CE" w:rsidRPr="00F05336">
        <w:t>.</w:t>
      </w:r>
      <w:r w:rsidR="004236CE">
        <w:t xml:space="preserve"> (</w:t>
      </w:r>
      <w:r w:rsidR="004236CE" w:rsidRPr="00A04364">
        <w:t>Routledge, Taylor &amp; Francis Group</w:t>
      </w:r>
      <w:r w:rsidR="004236CE">
        <w:t xml:space="preserve"> 2021), p.6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D4F9F"/>
    <w:multiLevelType w:val="hybridMultilevel"/>
    <w:tmpl w:val="9EC21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9369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918"/>
    <w:rsid w:val="00022CDA"/>
    <w:rsid w:val="00024662"/>
    <w:rsid w:val="00025B63"/>
    <w:rsid w:val="000271DA"/>
    <w:rsid w:val="0002723F"/>
    <w:rsid w:val="00032DB1"/>
    <w:rsid w:val="00034160"/>
    <w:rsid w:val="00034868"/>
    <w:rsid w:val="000373D2"/>
    <w:rsid w:val="000466B9"/>
    <w:rsid w:val="0005022B"/>
    <w:rsid w:val="00061A5B"/>
    <w:rsid w:val="000644FB"/>
    <w:rsid w:val="00065817"/>
    <w:rsid w:val="00071CC5"/>
    <w:rsid w:val="000726D5"/>
    <w:rsid w:val="000864C0"/>
    <w:rsid w:val="00087041"/>
    <w:rsid w:val="00087550"/>
    <w:rsid w:val="0009618E"/>
    <w:rsid w:val="00097D16"/>
    <w:rsid w:val="000C294E"/>
    <w:rsid w:val="000C37B2"/>
    <w:rsid w:val="000C7DE1"/>
    <w:rsid w:val="000D0C32"/>
    <w:rsid w:val="000D1520"/>
    <w:rsid w:val="000D2771"/>
    <w:rsid w:val="000E3049"/>
    <w:rsid w:val="000F06BF"/>
    <w:rsid w:val="000F0BCB"/>
    <w:rsid w:val="000F28BB"/>
    <w:rsid w:val="000F449F"/>
    <w:rsid w:val="000F4F5C"/>
    <w:rsid w:val="000F5EBB"/>
    <w:rsid w:val="000F6D52"/>
    <w:rsid w:val="00100364"/>
    <w:rsid w:val="0010222D"/>
    <w:rsid w:val="00102B6B"/>
    <w:rsid w:val="00102DB1"/>
    <w:rsid w:val="00102EF9"/>
    <w:rsid w:val="00105CFF"/>
    <w:rsid w:val="0011336B"/>
    <w:rsid w:val="00114DC0"/>
    <w:rsid w:val="001154EC"/>
    <w:rsid w:val="0011705B"/>
    <w:rsid w:val="00123282"/>
    <w:rsid w:val="00137B55"/>
    <w:rsid w:val="001502CD"/>
    <w:rsid w:val="00153C62"/>
    <w:rsid w:val="0016506F"/>
    <w:rsid w:val="00165BA1"/>
    <w:rsid w:val="001671DE"/>
    <w:rsid w:val="00167321"/>
    <w:rsid w:val="001745DE"/>
    <w:rsid w:val="00174FA8"/>
    <w:rsid w:val="00187BA7"/>
    <w:rsid w:val="0019104E"/>
    <w:rsid w:val="001927C1"/>
    <w:rsid w:val="00195059"/>
    <w:rsid w:val="001950EA"/>
    <w:rsid w:val="001A2804"/>
    <w:rsid w:val="001A3223"/>
    <w:rsid w:val="001B1F91"/>
    <w:rsid w:val="001B3283"/>
    <w:rsid w:val="001B32ED"/>
    <w:rsid w:val="001B479F"/>
    <w:rsid w:val="001B7BC1"/>
    <w:rsid w:val="001C2EC4"/>
    <w:rsid w:val="001D1F05"/>
    <w:rsid w:val="001D45CB"/>
    <w:rsid w:val="001D53A2"/>
    <w:rsid w:val="001D5F29"/>
    <w:rsid w:val="001E0169"/>
    <w:rsid w:val="001E5CFB"/>
    <w:rsid w:val="001F364B"/>
    <w:rsid w:val="001F3FB6"/>
    <w:rsid w:val="001F5D22"/>
    <w:rsid w:val="001F7320"/>
    <w:rsid w:val="0020161F"/>
    <w:rsid w:val="00201A24"/>
    <w:rsid w:val="00204DF7"/>
    <w:rsid w:val="002054B3"/>
    <w:rsid w:val="00206FE4"/>
    <w:rsid w:val="002118DB"/>
    <w:rsid w:val="00212CFD"/>
    <w:rsid w:val="00213841"/>
    <w:rsid w:val="00214172"/>
    <w:rsid w:val="00216F00"/>
    <w:rsid w:val="00217E9D"/>
    <w:rsid w:val="0022174F"/>
    <w:rsid w:val="00222C45"/>
    <w:rsid w:val="0022449F"/>
    <w:rsid w:val="00230E57"/>
    <w:rsid w:val="00234C9D"/>
    <w:rsid w:val="00234F47"/>
    <w:rsid w:val="00240588"/>
    <w:rsid w:val="00256CEF"/>
    <w:rsid w:val="00261643"/>
    <w:rsid w:val="00261817"/>
    <w:rsid w:val="0026687B"/>
    <w:rsid w:val="00274870"/>
    <w:rsid w:val="002769DA"/>
    <w:rsid w:val="002830E1"/>
    <w:rsid w:val="002912DA"/>
    <w:rsid w:val="00291B39"/>
    <w:rsid w:val="002945C6"/>
    <w:rsid w:val="00296D08"/>
    <w:rsid w:val="002A03E3"/>
    <w:rsid w:val="002A06C2"/>
    <w:rsid w:val="002B54D0"/>
    <w:rsid w:val="002C165C"/>
    <w:rsid w:val="002C5C4C"/>
    <w:rsid w:val="002C7C41"/>
    <w:rsid w:val="002D010F"/>
    <w:rsid w:val="002D3629"/>
    <w:rsid w:val="002E0ABE"/>
    <w:rsid w:val="002E393B"/>
    <w:rsid w:val="002E4E15"/>
    <w:rsid w:val="002F53ED"/>
    <w:rsid w:val="0030187E"/>
    <w:rsid w:val="003035C0"/>
    <w:rsid w:val="00304318"/>
    <w:rsid w:val="0030527E"/>
    <w:rsid w:val="003070F3"/>
    <w:rsid w:val="00312A9A"/>
    <w:rsid w:val="00317512"/>
    <w:rsid w:val="00325839"/>
    <w:rsid w:val="00327062"/>
    <w:rsid w:val="003423F6"/>
    <w:rsid w:val="00343B0D"/>
    <w:rsid w:val="00347EE1"/>
    <w:rsid w:val="0035232E"/>
    <w:rsid w:val="00353BE0"/>
    <w:rsid w:val="003546DF"/>
    <w:rsid w:val="00357448"/>
    <w:rsid w:val="00364E33"/>
    <w:rsid w:val="00365740"/>
    <w:rsid w:val="00367E4D"/>
    <w:rsid w:val="003725D5"/>
    <w:rsid w:val="0037340E"/>
    <w:rsid w:val="00376A62"/>
    <w:rsid w:val="00377049"/>
    <w:rsid w:val="003772CA"/>
    <w:rsid w:val="0038653B"/>
    <w:rsid w:val="0039079A"/>
    <w:rsid w:val="003969D5"/>
    <w:rsid w:val="00397A34"/>
    <w:rsid w:val="00397DCA"/>
    <w:rsid w:val="003A63A1"/>
    <w:rsid w:val="003A72AD"/>
    <w:rsid w:val="003B25F8"/>
    <w:rsid w:val="003B60E2"/>
    <w:rsid w:val="003C1907"/>
    <w:rsid w:val="003C19EB"/>
    <w:rsid w:val="003C3658"/>
    <w:rsid w:val="003C6B52"/>
    <w:rsid w:val="003D03A8"/>
    <w:rsid w:val="003F12C0"/>
    <w:rsid w:val="003F34CE"/>
    <w:rsid w:val="003F4A69"/>
    <w:rsid w:val="003F596A"/>
    <w:rsid w:val="00401349"/>
    <w:rsid w:val="00401D0A"/>
    <w:rsid w:val="00402BBA"/>
    <w:rsid w:val="0040380F"/>
    <w:rsid w:val="004055C4"/>
    <w:rsid w:val="00406C1B"/>
    <w:rsid w:val="004071EC"/>
    <w:rsid w:val="00414F62"/>
    <w:rsid w:val="00417B10"/>
    <w:rsid w:val="0042072C"/>
    <w:rsid w:val="00422583"/>
    <w:rsid w:val="004236CE"/>
    <w:rsid w:val="00427736"/>
    <w:rsid w:val="0042784B"/>
    <w:rsid w:val="00427EFE"/>
    <w:rsid w:val="004316A8"/>
    <w:rsid w:val="00434BB1"/>
    <w:rsid w:val="00446D11"/>
    <w:rsid w:val="004475C2"/>
    <w:rsid w:val="00450CA8"/>
    <w:rsid w:val="0045236F"/>
    <w:rsid w:val="004577E6"/>
    <w:rsid w:val="004613F5"/>
    <w:rsid w:val="0046165D"/>
    <w:rsid w:val="00466461"/>
    <w:rsid w:val="0047643D"/>
    <w:rsid w:val="00476918"/>
    <w:rsid w:val="00481012"/>
    <w:rsid w:val="00484843"/>
    <w:rsid w:val="00485ECC"/>
    <w:rsid w:val="00491F71"/>
    <w:rsid w:val="004949B1"/>
    <w:rsid w:val="00495BF6"/>
    <w:rsid w:val="0049622B"/>
    <w:rsid w:val="004A047F"/>
    <w:rsid w:val="004A4A56"/>
    <w:rsid w:val="004B1810"/>
    <w:rsid w:val="004B3060"/>
    <w:rsid w:val="004B4CF6"/>
    <w:rsid w:val="004B5DD1"/>
    <w:rsid w:val="004C2C19"/>
    <w:rsid w:val="004C41A4"/>
    <w:rsid w:val="004C7861"/>
    <w:rsid w:val="004D4F0D"/>
    <w:rsid w:val="004D702E"/>
    <w:rsid w:val="004E4B74"/>
    <w:rsid w:val="004E51D6"/>
    <w:rsid w:val="004F2C66"/>
    <w:rsid w:val="004F45FE"/>
    <w:rsid w:val="004F79C3"/>
    <w:rsid w:val="00500482"/>
    <w:rsid w:val="00501935"/>
    <w:rsid w:val="0050261F"/>
    <w:rsid w:val="00505973"/>
    <w:rsid w:val="00505CA2"/>
    <w:rsid w:val="00506242"/>
    <w:rsid w:val="00510263"/>
    <w:rsid w:val="0051292E"/>
    <w:rsid w:val="005166F7"/>
    <w:rsid w:val="00517F13"/>
    <w:rsid w:val="00520152"/>
    <w:rsid w:val="00521E07"/>
    <w:rsid w:val="00524448"/>
    <w:rsid w:val="00541DAC"/>
    <w:rsid w:val="005445FC"/>
    <w:rsid w:val="00545BA3"/>
    <w:rsid w:val="005466C0"/>
    <w:rsid w:val="00552F99"/>
    <w:rsid w:val="0055681F"/>
    <w:rsid w:val="00557875"/>
    <w:rsid w:val="005651F7"/>
    <w:rsid w:val="0056566A"/>
    <w:rsid w:val="00572F4D"/>
    <w:rsid w:val="005738EA"/>
    <w:rsid w:val="00575F96"/>
    <w:rsid w:val="00580DE1"/>
    <w:rsid w:val="005845A2"/>
    <w:rsid w:val="0058473F"/>
    <w:rsid w:val="00591CD3"/>
    <w:rsid w:val="00591DE6"/>
    <w:rsid w:val="00592173"/>
    <w:rsid w:val="00592CBE"/>
    <w:rsid w:val="005945E0"/>
    <w:rsid w:val="0059562B"/>
    <w:rsid w:val="00595870"/>
    <w:rsid w:val="00595CB6"/>
    <w:rsid w:val="00596713"/>
    <w:rsid w:val="005A076A"/>
    <w:rsid w:val="005A2726"/>
    <w:rsid w:val="005B5C6B"/>
    <w:rsid w:val="005C1CBF"/>
    <w:rsid w:val="005C686E"/>
    <w:rsid w:val="005D1883"/>
    <w:rsid w:val="005D7A35"/>
    <w:rsid w:val="005E4901"/>
    <w:rsid w:val="005F73B2"/>
    <w:rsid w:val="005F7749"/>
    <w:rsid w:val="00610579"/>
    <w:rsid w:val="00610B68"/>
    <w:rsid w:val="00613453"/>
    <w:rsid w:val="006146B2"/>
    <w:rsid w:val="006153B5"/>
    <w:rsid w:val="0061790B"/>
    <w:rsid w:val="006213BC"/>
    <w:rsid w:val="00621882"/>
    <w:rsid w:val="006219AB"/>
    <w:rsid w:val="00622D8E"/>
    <w:rsid w:val="00625AF5"/>
    <w:rsid w:val="00625E65"/>
    <w:rsid w:val="006277F8"/>
    <w:rsid w:val="00634013"/>
    <w:rsid w:val="00634625"/>
    <w:rsid w:val="00635978"/>
    <w:rsid w:val="00635B82"/>
    <w:rsid w:val="00652C59"/>
    <w:rsid w:val="0066045E"/>
    <w:rsid w:val="00661492"/>
    <w:rsid w:val="0067146B"/>
    <w:rsid w:val="0067385F"/>
    <w:rsid w:val="00677CF7"/>
    <w:rsid w:val="00681DEE"/>
    <w:rsid w:val="006825A2"/>
    <w:rsid w:val="00686041"/>
    <w:rsid w:val="006864D4"/>
    <w:rsid w:val="00686D6C"/>
    <w:rsid w:val="00695642"/>
    <w:rsid w:val="00696303"/>
    <w:rsid w:val="006A09B0"/>
    <w:rsid w:val="006C201C"/>
    <w:rsid w:val="006C4911"/>
    <w:rsid w:val="006C6BB8"/>
    <w:rsid w:val="006D0604"/>
    <w:rsid w:val="006D0D29"/>
    <w:rsid w:val="006D503A"/>
    <w:rsid w:val="006D73A2"/>
    <w:rsid w:val="006D7539"/>
    <w:rsid w:val="006E2629"/>
    <w:rsid w:val="006E30A2"/>
    <w:rsid w:val="006E4F3E"/>
    <w:rsid w:val="006E64D9"/>
    <w:rsid w:val="006F0DCD"/>
    <w:rsid w:val="006F1574"/>
    <w:rsid w:val="006F47C4"/>
    <w:rsid w:val="006F6CFA"/>
    <w:rsid w:val="006F79AC"/>
    <w:rsid w:val="00713892"/>
    <w:rsid w:val="007146C1"/>
    <w:rsid w:val="00715A2B"/>
    <w:rsid w:val="007200E9"/>
    <w:rsid w:val="00721357"/>
    <w:rsid w:val="00723292"/>
    <w:rsid w:val="007254B0"/>
    <w:rsid w:val="00726124"/>
    <w:rsid w:val="007279D0"/>
    <w:rsid w:val="0073511D"/>
    <w:rsid w:val="00736AA4"/>
    <w:rsid w:val="00737F46"/>
    <w:rsid w:val="00740068"/>
    <w:rsid w:val="00746B7B"/>
    <w:rsid w:val="00756874"/>
    <w:rsid w:val="00761131"/>
    <w:rsid w:val="00765753"/>
    <w:rsid w:val="007674AA"/>
    <w:rsid w:val="00777DA6"/>
    <w:rsid w:val="007852C6"/>
    <w:rsid w:val="007921BB"/>
    <w:rsid w:val="00793108"/>
    <w:rsid w:val="00793BD9"/>
    <w:rsid w:val="00794330"/>
    <w:rsid w:val="00796C07"/>
    <w:rsid w:val="007A1A7C"/>
    <w:rsid w:val="007A2184"/>
    <w:rsid w:val="007A3254"/>
    <w:rsid w:val="007B1307"/>
    <w:rsid w:val="007B27CE"/>
    <w:rsid w:val="007B50FD"/>
    <w:rsid w:val="007B5244"/>
    <w:rsid w:val="007B5B3B"/>
    <w:rsid w:val="007C236E"/>
    <w:rsid w:val="007D0BE6"/>
    <w:rsid w:val="007D4C78"/>
    <w:rsid w:val="007D5484"/>
    <w:rsid w:val="007E2C28"/>
    <w:rsid w:val="007E30C9"/>
    <w:rsid w:val="007E4C3E"/>
    <w:rsid w:val="007E57DB"/>
    <w:rsid w:val="00805A7D"/>
    <w:rsid w:val="008143EF"/>
    <w:rsid w:val="00814B96"/>
    <w:rsid w:val="00814E85"/>
    <w:rsid w:val="00815738"/>
    <w:rsid w:val="00820E5B"/>
    <w:rsid w:val="00824386"/>
    <w:rsid w:val="00834359"/>
    <w:rsid w:val="00836A52"/>
    <w:rsid w:val="00841EF0"/>
    <w:rsid w:val="00844F52"/>
    <w:rsid w:val="00846BE5"/>
    <w:rsid w:val="00846C7D"/>
    <w:rsid w:val="00850FC7"/>
    <w:rsid w:val="008607F7"/>
    <w:rsid w:val="00861DFA"/>
    <w:rsid w:val="00862F58"/>
    <w:rsid w:val="008659FC"/>
    <w:rsid w:val="00866264"/>
    <w:rsid w:val="008668DD"/>
    <w:rsid w:val="00871AD1"/>
    <w:rsid w:val="00872FA8"/>
    <w:rsid w:val="00877198"/>
    <w:rsid w:val="00885828"/>
    <w:rsid w:val="008870EE"/>
    <w:rsid w:val="0089444C"/>
    <w:rsid w:val="008A09F9"/>
    <w:rsid w:val="008A5DDD"/>
    <w:rsid w:val="008C3B9C"/>
    <w:rsid w:val="008C6417"/>
    <w:rsid w:val="008C6AF1"/>
    <w:rsid w:val="008D0845"/>
    <w:rsid w:val="008D393E"/>
    <w:rsid w:val="008D3B72"/>
    <w:rsid w:val="008D7349"/>
    <w:rsid w:val="008E4F3B"/>
    <w:rsid w:val="008F213C"/>
    <w:rsid w:val="008F228A"/>
    <w:rsid w:val="008F4D09"/>
    <w:rsid w:val="008F68A9"/>
    <w:rsid w:val="00902170"/>
    <w:rsid w:val="00904E3F"/>
    <w:rsid w:val="00910D38"/>
    <w:rsid w:val="00915D31"/>
    <w:rsid w:val="00915D83"/>
    <w:rsid w:val="0091681C"/>
    <w:rsid w:val="00920196"/>
    <w:rsid w:val="00921FDD"/>
    <w:rsid w:val="00927306"/>
    <w:rsid w:val="009305EC"/>
    <w:rsid w:val="00934921"/>
    <w:rsid w:val="0094013B"/>
    <w:rsid w:val="00945D2E"/>
    <w:rsid w:val="00945FE8"/>
    <w:rsid w:val="00953869"/>
    <w:rsid w:val="00956500"/>
    <w:rsid w:val="00960E0B"/>
    <w:rsid w:val="0096137E"/>
    <w:rsid w:val="0096282C"/>
    <w:rsid w:val="009717FB"/>
    <w:rsid w:val="00972E5A"/>
    <w:rsid w:val="00973682"/>
    <w:rsid w:val="00973C40"/>
    <w:rsid w:val="0097578A"/>
    <w:rsid w:val="009843C3"/>
    <w:rsid w:val="0098498D"/>
    <w:rsid w:val="00984F22"/>
    <w:rsid w:val="0098767E"/>
    <w:rsid w:val="0099610B"/>
    <w:rsid w:val="009A52FC"/>
    <w:rsid w:val="009A5E63"/>
    <w:rsid w:val="009A7EF3"/>
    <w:rsid w:val="009B096B"/>
    <w:rsid w:val="009C0093"/>
    <w:rsid w:val="009C29C4"/>
    <w:rsid w:val="009C6E08"/>
    <w:rsid w:val="009D2212"/>
    <w:rsid w:val="009D338E"/>
    <w:rsid w:val="009D39F4"/>
    <w:rsid w:val="009E1C89"/>
    <w:rsid w:val="009E208E"/>
    <w:rsid w:val="009E431E"/>
    <w:rsid w:val="009E6458"/>
    <w:rsid w:val="009F3751"/>
    <w:rsid w:val="00A04364"/>
    <w:rsid w:val="00A056E2"/>
    <w:rsid w:val="00A064F5"/>
    <w:rsid w:val="00A07F41"/>
    <w:rsid w:val="00A126F4"/>
    <w:rsid w:val="00A12C9C"/>
    <w:rsid w:val="00A12F77"/>
    <w:rsid w:val="00A14341"/>
    <w:rsid w:val="00A15CB2"/>
    <w:rsid w:val="00A21324"/>
    <w:rsid w:val="00A242EE"/>
    <w:rsid w:val="00A24DFD"/>
    <w:rsid w:val="00A27A17"/>
    <w:rsid w:val="00A3093A"/>
    <w:rsid w:val="00A335E7"/>
    <w:rsid w:val="00A4427E"/>
    <w:rsid w:val="00A45ADC"/>
    <w:rsid w:val="00A47F77"/>
    <w:rsid w:val="00A6144E"/>
    <w:rsid w:val="00A65E8C"/>
    <w:rsid w:val="00A70066"/>
    <w:rsid w:val="00A850CE"/>
    <w:rsid w:val="00A873E7"/>
    <w:rsid w:val="00A87582"/>
    <w:rsid w:val="00A875DE"/>
    <w:rsid w:val="00A87EA3"/>
    <w:rsid w:val="00A926E2"/>
    <w:rsid w:val="00A9578B"/>
    <w:rsid w:val="00AA1FBA"/>
    <w:rsid w:val="00AB0F99"/>
    <w:rsid w:val="00AB1095"/>
    <w:rsid w:val="00AB39BD"/>
    <w:rsid w:val="00AB4008"/>
    <w:rsid w:val="00AB6FE2"/>
    <w:rsid w:val="00AB7AF6"/>
    <w:rsid w:val="00AC10CE"/>
    <w:rsid w:val="00AC1788"/>
    <w:rsid w:val="00AC3A1D"/>
    <w:rsid w:val="00AC7656"/>
    <w:rsid w:val="00AD55BD"/>
    <w:rsid w:val="00AD5874"/>
    <w:rsid w:val="00AD7AA9"/>
    <w:rsid w:val="00AE0881"/>
    <w:rsid w:val="00AE3511"/>
    <w:rsid w:val="00AE7458"/>
    <w:rsid w:val="00AE79B5"/>
    <w:rsid w:val="00AF537D"/>
    <w:rsid w:val="00B00A7B"/>
    <w:rsid w:val="00B04C80"/>
    <w:rsid w:val="00B10715"/>
    <w:rsid w:val="00B13586"/>
    <w:rsid w:val="00B13A5E"/>
    <w:rsid w:val="00B14052"/>
    <w:rsid w:val="00B17071"/>
    <w:rsid w:val="00B170CC"/>
    <w:rsid w:val="00B224C4"/>
    <w:rsid w:val="00B23351"/>
    <w:rsid w:val="00B40DA3"/>
    <w:rsid w:val="00B41231"/>
    <w:rsid w:val="00B46D0D"/>
    <w:rsid w:val="00B52BFB"/>
    <w:rsid w:val="00B54B1D"/>
    <w:rsid w:val="00B57783"/>
    <w:rsid w:val="00B6052B"/>
    <w:rsid w:val="00B61635"/>
    <w:rsid w:val="00B63D1C"/>
    <w:rsid w:val="00B6544F"/>
    <w:rsid w:val="00B66B39"/>
    <w:rsid w:val="00B71FB1"/>
    <w:rsid w:val="00B74142"/>
    <w:rsid w:val="00B74A19"/>
    <w:rsid w:val="00B76DB2"/>
    <w:rsid w:val="00B77970"/>
    <w:rsid w:val="00B80E6D"/>
    <w:rsid w:val="00B82390"/>
    <w:rsid w:val="00B85B56"/>
    <w:rsid w:val="00B926B0"/>
    <w:rsid w:val="00B9542D"/>
    <w:rsid w:val="00B975A2"/>
    <w:rsid w:val="00BA2E7A"/>
    <w:rsid w:val="00BA514E"/>
    <w:rsid w:val="00BC1AD1"/>
    <w:rsid w:val="00BC592A"/>
    <w:rsid w:val="00BC61B8"/>
    <w:rsid w:val="00BD1C45"/>
    <w:rsid w:val="00BD2F87"/>
    <w:rsid w:val="00BE3883"/>
    <w:rsid w:val="00BE67D8"/>
    <w:rsid w:val="00BF3BDD"/>
    <w:rsid w:val="00BF5A08"/>
    <w:rsid w:val="00BF7293"/>
    <w:rsid w:val="00C16A2A"/>
    <w:rsid w:val="00C24FD6"/>
    <w:rsid w:val="00C25336"/>
    <w:rsid w:val="00C25BC3"/>
    <w:rsid w:val="00C32E27"/>
    <w:rsid w:val="00C428F3"/>
    <w:rsid w:val="00C44C60"/>
    <w:rsid w:val="00C47FB6"/>
    <w:rsid w:val="00C52401"/>
    <w:rsid w:val="00C543DE"/>
    <w:rsid w:val="00C62064"/>
    <w:rsid w:val="00C6403F"/>
    <w:rsid w:val="00C6609E"/>
    <w:rsid w:val="00C73ED9"/>
    <w:rsid w:val="00C9299D"/>
    <w:rsid w:val="00C94D92"/>
    <w:rsid w:val="00CA2A66"/>
    <w:rsid w:val="00CA3F7C"/>
    <w:rsid w:val="00CA4825"/>
    <w:rsid w:val="00CB0100"/>
    <w:rsid w:val="00CB378F"/>
    <w:rsid w:val="00CB4F34"/>
    <w:rsid w:val="00CB7ADD"/>
    <w:rsid w:val="00CC1DF4"/>
    <w:rsid w:val="00CC2528"/>
    <w:rsid w:val="00CC63E5"/>
    <w:rsid w:val="00CC6B43"/>
    <w:rsid w:val="00CD1106"/>
    <w:rsid w:val="00CD3F63"/>
    <w:rsid w:val="00CD6FCE"/>
    <w:rsid w:val="00CE611E"/>
    <w:rsid w:val="00CF07B9"/>
    <w:rsid w:val="00CF0BC4"/>
    <w:rsid w:val="00CF303F"/>
    <w:rsid w:val="00CF403A"/>
    <w:rsid w:val="00D0049C"/>
    <w:rsid w:val="00D0183C"/>
    <w:rsid w:val="00D05E0D"/>
    <w:rsid w:val="00D16B5A"/>
    <w:rsid w:val="00D16B78"/>
    <w:rsid w:val="00D16B7C"/>
    <w:rsid w:val="00D20DC6"/>
    <w:rsid w:val="00D21557"/>
    <w:rsid w:val="00D2365E"/>
    <w:rsid w:val="00D23AE6"/>
    <w:rsid w:val="00D2554B"/>
    <w:rsid w:val="00D4052A"/>
    <w:rsid w:val="00D47FD2"/>
    <w:rsid w:val="00D54D27"/>
    <w:rsid w:val="00D55ACE"/>
    <w:rsid w:val="00D61BF1"/>
    <w:rsid w:val="00D63162"/>
    <w:rsid w:val="00D6662E"/>
    <w:rsid w:val="00D67416"/>
    <w:rsid w:val="00D73E10"/>
    <w:rsid w:val="00D82310"/>
    <w:rsid w:val="00D837C6"/>
    <w:rsid w:val="00D8437D"/>
    <w:rsid w:val="00D93566"/>
    <w:rsid w:val="00D94A7B"/>
    <w:rsid w:val="00D95984"/>
    <w:rsid w:val="00D96241"/>
    <w:rsid w:val="00D96CDB"/>
    <w:rsid w:val="00D96FE7"/>
    <w:rsid w:val="00DA0A9E"/>
    <w:rsid w:val="00DA22A9"/>
    <w:rsid w:val="00DA405A"/>
    <w:rsid w:val="00DA457E"/>
    <w:rsid w:val="00DB74B9"/>
    <w:rsid w:val="00DC0168"/>
    <w:rsid w:val="00DC2F3C"/>
    <w:rsid w:val="00DF0A38"/>
    <w:rsid w:val="00DF33AB"/>
    <w:rsid w:val="00DF7A39"/>
    <w:rsid w:val="00E0013E"/>
    <w:rsid w:val="00E00933"/>
    <w:rsid w:val="00E01985"/>
    <w:rsid w:val="00E03A4C"/>
    <w:rsid w:val="00E03F7C"/>
    <w:rsid w:val="00E05FA5"/>
    <w:rsid w:val="00E102B0"/>
    <w:rsid w:val="00E10E07"/>
    <w:rsid w:val="00E12E4C"/>
    <w:rsid w:val="00E2281C"/>
    <w:rsid w:val="00E30B70"/>
    <w:rsid w:val="00E3130B"/>
    <w:rsid w:val="00E316CC"/>
    <w:rsid w:val="00E338B3"/>
    <w:rsid w:val="00E34656"/>
    <w:rsid w:val="00E37C39"/>
    <w:rsid w:val="00E44E66"/>
    <w:rsid w:val="00E4751B"/>
    <w:rsid w:val="00E47FD6"/>
    <w:rsid w:val="00E50CCD"/>
    <w:rsid w:val="00E54034"/>
    <w:rsid w:val="00E7297E"/>
    <w:rsid w:val="00E81AC9"/>
    <w:rsid w:val="00E834D8"/>
    <w:rsid w:val="00E85542"/>
    <w:rsid w:val="00E85F98"/>
    <w:rsid w:val="00E93484"/>
    <w:rsid w:val="00E95EF7"/>
    <w:rsid w:val="00E964F6"/>
    <w:rsid w:val="00EA3695"/>
    <w:rsid w:val="00EA5987"/>
    <w:rsid w:val="00EA6001"/>
    <w:rsid w:val="00EB0B1F"/>
    <w:rsid w:val="00EB321A"/>
    <w:rsid w:val="00EB6472"/>
    <w:rsid w:val="00EB74AC"/>
    <w:rsid w:val="00EC101B"/>
    <w:rsid w:val="00EC36B5"/>
    <w:rsid w:val="00EC4DBB"/>
    <w:rsid w:val="00EC7AA6"/>
    <w:rsid w:val="00ED11B6"/>
    <w:rsid w:val="00ED4124"/>
    <w:rsid w:val="00EE193B"/>
    <w:rsid w:val="00EE1BDC"/>
    <w:rsid w:val="00EE1D48"/>
    <w:rsid w:val="00EE51F0"/>
    <w:rsid w:val="00EF010A"/>
    <w:rsid w:val="00EF0F2C"/>
    <w:rsid w:val="00EF4EA8"/>
    <w:rsid w:val="00EF7124"/>
    <w:rsid w:val="00EF79E1"/>
    <w:rsid w:val="00F03B17"/>
    <w:rsid w:val="00F05336"/>
    <w:rsid w:val="00F15520"/>
    <w:rsid w:val="00F1560F"/>
    <w:rsid w:val="00F1577B"/>
    <w:rsid w:val="00F25B2D"/>
    <w:rsid w:val="00F31C3B"/>
    <w:rsid w:val="00F322C4"/>
    <w:rsid w:val="00F335EE"/>
    <w:rsid w:val="00F34C13"/>
    <w:rsid w:val="00F36142"/>
    <w:rsid w:val="00F45894"/>
    <w:rsid w:val="00F50324"/>
    <w:rsid w:val="00F50522"/>
    <w:rsid w:val="00F54438"/>
    <w:rsid w:val="00F564B6"/>
    <w:rsid w:val="00F641CC"/>
    <w:rsid w:val="00F655DF"/>
    <w:rsid w:val="00F67090"/>
    <w:rsid w:val="00F84E8F"/>
    <w:rsid w:val="00F92635"/>
    <w:rsid w:val="00F94711"/>
    <w:rsid w:val="00F95980"/>
    <w:rsid w:val="00F96ED7"/>
    <w:rsid w:val="00F97CE1"/>
    <w:rsid w:val="00FA1388"/>
    <w:rsid w:val="00FB29FD"/>
    <w:rsid w:val="00FB3192"/>
    <w:rsid w:val="00FB6BDE"/>
    <w:rsid w:val="00FC475D"/>
    <w:rsid w:val="00FC595D"/>
    <w:rsid w:val="00FD04D0"/>
    <w:rsid w:val="00FD2BF3"/>
    <w:rsid w:val="00FD3264"/>
    <w:rsid w:val="00FD4251"/>
    <w:rsid w:val="00FD5A46"/>
    <w:rsid w:val="00FD5B9E"/>
    <w:rsid w:val="00FD69D6"/>
    <w:rsid w:val="00FE0AB3"/>
    <w:rsid w:val="00FE11C1"/>
    <w:rsid w:val="00FF0E83"/>
    <w:rsid w:val="00FF2FB8"/>
    <w:rsid w:val="00FF35DE"/>
    <w:rsid w:val="00FF7261"/>
  </w:rsids>
  <m:mathPr>
    <m:mathFont m:val="Cambria Math"/>
    <m:brkBin m:val="before"/>
    <m:brkBinSub m:val="--"/>
    <m:smallFrac m:val="0"/>
    <m:dispDef/>
    <m:lMargin m:val="0"/>
    <m:rMargin m:val="0"/>
    <m:defJc m:val="centerGroup"/>
    <m:wrapIndent m:val="1440"/>
    <m:intLim m:val="subSup"/>
    <m:naryLim m:val="undOvr"/>
  </m:mathPr>
  <w:themeFontLang w:val="en-GB" w:bidi="th-TH"/>
  <w:clrSchemeMapping w:bg1="light1" w:t1="dark1" w:bg2="light2" w:t2="dark2" w:accent1="accent1" w:accent2="accent2" w:accent3="accent3" w:accent4="accent4" w:accent5="accent5" w:accent6="accent6" w:hyperlink="hyperlink" w:followedHyperlink="followedHyperlink"/>
  <w:decimalSymbol w:val="."/>
  <w:listSeparator w:val=","/>
  <w14:docId w14:val="67761949"/>
  <w15:chartTrackingRefBased/>
  <w15:docId w15:val="{7A10AD05-EDC2-4E09-A25B-22C3ED2D7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imes New Roman"/>
        <w:sz w:val="24"/>
        <w:szCs w:val="24"/>
        <w:lang w:val="en-GB" w:eastAsia="en-GB" w:bidi="th-TH"/>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4D09"/>
    <w:pPr>
      <w:spacing w:after="0" w:line="240" w:lineRule="auto"/>
    </w:pPr>
  </w:style>
  <w:style w:type="paragraph" w:styleId="Heading1">
    <w:name w:val="heading 1"/>
    <w:basedOn w:val="Normal"/>
    <w:next w:val="Normal"/>
    <w:link w:val="Heading1Char"/>
    <w:uiPriority w:val="9"/>
    <w:qFormat/>
    <w:rsid w:val="00476918"/>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476918"/>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476918"/>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476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9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9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9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9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918"/>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476918"/>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476918"/>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476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918"/>
    <w:rPr>
      <w:rFonts w:eastAsiaTheme="majorEastAsia" w:cstheme="majorBidi"/>
      <w:color w:val="272727" w:themeColor="text1" w:themeTint="D8"/>
    </w:rPr>
  </w:style>
  <w:style w:type="paragraph" w:styleId="Title">
    <w:name w:val="Title"/>
    <w:basedOn w:val="Normal"/>
    <w:next w:val="Normal"/>
    <w:link w:val="TitleChar"/>
    <w:uiPriority w:val="10"/>
    <w:qFormat/>
    <w:rsid w:val="00726124"/>
    <w:pPr>
      <w:spacing w:after="80"/>
      <w:contextualSpacing/>
    </w:pPr>
    <w:rPr>
      <w:rFonts w:asciiTheme="majorHAnsi" w:eastAsia="Times New Roman" w:hAnsiTheme="majorHAnsi" w:cs="Cordia New (Headings CS)"/>
      <w:b/>
      <w:spacing w:val="10"/>
      <w:kern w:val="28"/>
      <w:sz w:val="32"/>
      <w:szCs w:val="71"/>
      <w:shd w:val="clear" w:color="auto" w:fill="FFFFFF"/>
    </w:rPr>
  </w:style>
  <w:style w:type="character" w:customStyle="1" w:styleId="TitleChar">
    <w:name w:val="Title Char"/>
    <w:basedOn w:val="DefaultParagraphFont"/>
    <w:link w:val="Title"/>
    <w:uiPriority w:val="10"/>
    <w:rsid w:val="00476918"/>
    <w:rPr>
      <w:rFonts w:asciiTheme="majorHAnsi" w:eastAsia="Times New Roman" w:hAnsiTheme="majorHAnsi" w:cs="Cordia New (Headings CS)"/>
      <w:b/>
      <w:spacing w:val="10"/>
      <w:kern w:val="28"/>
      <w:sz w:val="32"/>
      <w:szCs w:val="71"/>
    </w:rPr>
  </w:style>
  <w:style w:type="paragraph" w:styleId="Subtitle">
    <w:name w:val="Subtitle"/>
    <w:basedOn w:val="Normal"/>
    <w:next w:val="Normal"/>
    <w:link w:val="SubtitleChar"/>
    <w:uiPriority w:val="11"/>
    <w:qFormat/>
    <w:rsid w:val="0047691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476918"/>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476918"/>
    <w:pPr>
      <w:spacing w:before="160"/>
      <w:jc w:val="center"/>
    </w:pPr>
    <w:rPr>
      <w:i/>
      <w:iCs/>
      <w:color w:val="404040" w:themeColor="text1" w:themeTint="BF"/>
    </w:rPr>
  </w:style>
  <w:style w:type="character" w:customStyle="1" w:styleId="QuoteChar">
    <w:name w:val="Quote Char"/>
    <w:basedOn w:val="DefaultParagraphFont"/>
    <w:link w:val="Quote"/>
    <w:uiPriority w:val="29"/>
    <w:rsid w:val="00476918"/>
    <w:rPr>
      <w:i/>
      <w:iCs/>
      <w:color w:val="404040" w:themeColor="text1" w:themeTint="BF"/>
    </w:rPr>
  </w:style>
  <w:style w:type="paragraph" w:styleId="ListParagraph">
    <w:name w:val="List Paragraph"/>
    <w:basedOn w:val="Normal"/>
    <w:uiPriority w:val="34"/>
    <w:qFormat/>
    <w:rsid w:val="00476918"/>
    <w:pPr>
      <w:ind w:left="720"/>
      <w:contextualSpacing/>
    </w:pPr>
  </w:style>
  <w:style w:type="character" w:styleId="IntenseEmphasis">
    <w:name w:val="Intense Emphasis"/>
    <w:basedOn w:val="DefaultParagraphFont"/>
    <w:uiPriority w:val="21"/>
    <w:qFormat/>
    <w:rsid w:val="00476918"/>
    <w:rPr>
      <w:i/>
      <w:iCs/>
      <w:color w:val="0F4761" w:themeColor="accent1" w:themeShade="BF"/>
    </w:rPr>
  </w:style>
  <w:style w:type="paragraph" w:styleId="IntenseQuote">
    <w:name w:val="Intense Quote"/>
    <w:basedOn w:val="Normal"/>
    <w:next w:val="Normal"/>
    <w:link w:val="IntenseQuoteChar"/>
    <w:uiPriority w:val="30"/>
    <w:qFormat/>
    <w:rsid w:val="00476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918"/>
    <w:rPr>
      <w:i/>
      <w:iCs/>
      <w:color w:val="0F4761" w:themeColor="accent1" w:themeShade="BF"/>
    </w:rPr>
  </w:style>
  <w:style w:type="character" w:styleId="IntenseReference">
    <w:name w:val="Intense Reference"/>
    <w:basedOn w:val="DefaultParagraphFont"/>
    <w:uiPriority w:val="32"/>
    <w:qFormat/>
    <w:rsid w:val="00476918"/>
    <w:rPr>
      <w:b/>
      <w:bCs/>
      <w:smallCaps/>
      <w:color w:val="0F4761" w:themeColor="accent1" w:themeShade="BF"/>
      <w:spacing w:val="5"/>
    </w:rPr>
  </w:style>
  <w:style w:type="paragraph" w:styleId="Header">
    <w:name w:val="header"/>
    <w:basedOn w:val="Normal"/>
    <w:link w:val="HeaderChar"/>
    <w:uiPriority w:val="99"/>
    <w:semiHidden/>
    <w:unhideWhenUsed/>
    <w:rsid w:val="00F564B6"/>
    <w:pPr>
      <w:tabs>
        <w:tab w:val="center" w:pos="4513"/>
        <w:tab w:val="right" w:pos="9026"/>
      </w:tabs>
    </w:pPr>
    <w:rPr>
      <w:rFonts w:cs="Angsana New"/>
      <w:szCs w:val="30"/>
    </w:rPr>
  </w:style>
  <w:style w:type="character" w:customStyle="1" w:styleId="HeaderChar">
    <w:name w:val="Header Char"/>
    <w:basedOn w:val="DefaultParagraphFont"/>
    <w:link w:val="Header"/>
    <w:uiPriority w:val="99"/>
    <w:semiHidden/>
    <w:rsid w:val="00CE611E"/>
    <w:rPr>
      <w:rFonts w:cs="Angsana New"/>
      <w:szCs w:val="30"/>
    </w:rPr>
  </w:style>
  <w:style w:type="paragraph" w:styleId="Footer">
    <w:name w:val="footer"/>
    <w:basedOn w:val="Normal"/>
    <w:link w:val="FooterChar"/>
    <w:uiPriority w:val="99"/>
    <w:semiHidden/>
    <w:unhideWhenUsed/>
    <w:rsid w:val="00F564B6"/>
    <w:pPr>
      <w:tabs>
        <w:tab w:val="center" w:pos="4513"/>
        <w:tab w:val="right" w:pos="9026"/>
      </w:tabs>
    </w:pPr>
    <w:rPr>
      <w:rFonts w:cs="Angsana New"/>
      <w:szCs w:val="30"/>
    </w:rPr>
  </w:style>
  <w:style w:type="character" w:customStyle="1" w:styleId="FooterChar">
    <w:name w:val="Footer Char"/>
    <w:basedOn w:val="DefaultParagraphFont"/>
    <w:link w:val="Footer"/>
    <w:uiPriority w:val="99"/>
    <w:semiHidden/>
    <w:rsid w:val="00CE611E"/>
    <w:rPr>
      <w:rFonts w:cs="Angsana New"/>
      <w:szCs w:val="30"/>
    </w:rPr>
  </w:style>
  <w:style w:type="paragraph" w:styleId="FootnoteText">
    <w:name w:val="footnote text"/>
    <w:basedOn w:val="Normal"/>
    <w:link w:val="FootnoteTextChar"/>
    <w:uiPriority w:val="99"/>
    <w:unhideWhenUsed/>
    <w:rsid w:val="00CE611E"/>
    <w:rPr>
      <w:rFonts w:cs="Angsana New"/>
      <w:sz w:val="20"/>
      <w:szCs w:val="25"/>
    </w:rPr>
  </w:style>
  <w:style w:type="character" w:customStyle="1" w:styleId="FootnoteTextChar">
    <w:name w:val="Footnote Text Char"/>
    <w:basedOn w:val="DefaultParagraphFont"/>
    <w:link w:val="FootnoteText"/>
    <w:uiPriority w:val="99"/>
    <w:rsid w:val="00CE611E"/>
    <w:rPr>
      <w:rFonts w:ascii="Calibri" w:hAnsi="Calibri" w:cs="Angsana New"/>
      <w:color w:val="1D2125"/>
      <w:sz w:val="20"/>
      <w:szCs w:val="25"/>
    </w:rPr>
  </w:style>
  <w:style w:type="character" w:styleId="FootnoteReference">
    <w:name w:val="footnote reference"/>
    <w:basedOn w:val="DefaultParagraphFont"/>
    <w:uiPriority w:val="99"/>
    <w:semiHidden/>
    <w:unhideWhenUsed/>
    <w:rsid w:val="00CE611E"/>
    <w:rPr>
      <w:vertAlign w:val="superscript"/>
    </w:rPr>
  </w:style>
  <w:style w:type="character" w:styleId="Hyperlink">
    <w:name w:val="Hyperlink"/>
    <w:basedOn w:val="DefaultParagraphFont"/>
    <w:uiPriority w:val="99"/>
    <w:unhideWhenUsed/>
    <w:rsid w:val="00CE611E"/>
    <w:rPr>
      <w:color w:val="467886" w:themeColor="hyperlink"/>
      <w:u w:val="single"/>
    </w:rPr>
  </w:style>
  <w:style w:type="character" w:styleId="UnresolvedMention">
    <w:name w:val="Unresolved Mention"/>
    <w:basedOn w:val="DefaultParagraphFont"/>
    <w:uiPriority w:val="99"/>
    <w:semiHidden/>
    <w:unhideWhenUsed/>
    <w:rsid w:val="00CE611E"/>
    <w:rPr>
      <w:color w:val="605E5C"/>
      <w:shd w:val="clear" w:color="auto" w:fill="E1DFDD"/>
    </w:rPr>
  </w:style>
  <w:style w:type="paragraph" w:styleId="NormalWeb">
    <w:name w:val="Normal (Web)"/>
    <w:basedOn w:val="Normal"/>
    <w:uiPriority w:val="99"/>
    <w:semiHidden/>
    <w:unhideWhenUsed/>
    <w:rsid w:val="008F4D09"/>
    <w:pPr>
      <w:spacing w:before="100" w:beforeAutospacing="1" w:after="100" w:afterAutospacing="1"/>
    </w:pPr>
  </w:style>
  <w:style w:type="character" w:styleId="FollowedHyperlink">
    <w:name w:val="FollowedHyperlink"/>
    <w:basedOn w:val="DefaultParagraphFont"/>
    <w:uiPriority w:val="99"/>
    <w:semiHidden/>
    <w:unhideWhenUsed/>
    <w:rsid w:val="00E4751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5533">
      <w:bodyDiv w:val="1"/>
      <w:marLeft w:val="0"/>
      <w:marRight w:val="0"/>
      <w:marTop w:val="0"/>
      <w:marBottom w:val="0"/>
      <w:divBdr>
        <w:top w:val="none" w:sz="0" w:space="0" w:color="auto"/>
        <w:left w:val="none" w:sz="0" w:space="0" w:color="auto"/>
        <w:bottom w:val="none" w:sz="0" w:space="0" w:color="auto"/>
        <w:right w:val="none" w:sz="0" w:space="0" w:color="auto"/>
      </w:divBdr>
    </w:div>
    <w:div w:id="144200579">
      <w:bodyDiv w:val="1"/>
      <w:marLeft w:val="0"/>
      <w:marRight w:val="0"/>
      <w:marTop w:val="0"/>
      <w:marBottom w:val="0"/>
      <w:divBdr>
        <w:top w:val="none" w:sz="0" w:space="0" w:color="auto"/>
        <w:left w:val="none" w:sz="0" w:space="0" w:color="auto"/>
        <w:bottom w:val="none" w:sz="0" w:space="0" w:color="auto"/>
        <w:right w:val="none" w:sz="0" w:space="0" w:color="auto"/>
      </w:divBdr>
    </w:div>
    <w:div w:id="427241453">
      <w:bodyDiv w:val="1"/>
      <w:marLeft w:val="0"/>
      <w:marRight w:val="0"/>
      <w:marTop w:val="0"/>
      <w:marBottom w:val="0"/>
      <w:divBdr>
        <w:top w:val="none" w:sz="0" w:space="0" w:color="auto"/>
        <w:left w:val="none" w:sz="0" w:space="0" w:color="auto"/>
        <w:bottom w:val="none" w:sz="0" w:space="0" w:color="auto"/>
        <w:right w:val="none" w:sz="0" w:space="0" w:color="auto"/>
      </w:divBdr>
    </w:div>
    <w:div w:id="470365356">
      <w:bodyDiv w:val="1"/>
      <w:marLeft w:val="0"/>
      <w:marRight w:val="0"/>
      <w:marTop w:val="0"/>
      <w:marBottom w:val="0"/>
      <w:divBdr>
        <w:top w:val="none" w:sz="0" w:space="0" w:color="auto"/>
        <w:left w:val="none" w:sz="0" w:space="0" w:color="auto"/>
        <w:bottom w:val="none" w:sz="0" w:space="0" w:color="auto"/>
        <w:right w:val="none" w:sz="0" w:space="0" w:color="auto"/>
      </w:divBdr>
    </w:div>
    <w:div w:id="908080032">
      <w:bodyDiv w:val="1"/>
      <w:marLeft w:val="0"/>
      <w:marRight w:val="0"/>
      <w:marTop w:val="0"/>
      <w:marBottom w:val="0"/>
      <w:divBdr>
        <w:top w:val="none" w:sz="0" w:space="0" w:color="auto"/>
        <w:left w:val="none" w:sz="0" w:space="0" w:color="auto"/>
        <w:bottom w:val="none" w:sz="0" w:space="0" w:color="auto"/>
        <w:right w:val="none" w:sz="0" w:space="0" w:color="auto"/>
      </w:divBdr>
    </w:div>
    <w:div w:id="1147822546">
      <w:bodyDiv w:val="1"/>
      <w:marLeft w:val="0"/>
      <w:marRight w:val="0"/>
      <w:marTop w:val="0"/>
      <w:marBottom w:val="0"/>
      <w:divBdr>
        <w:top w:val="none" w:sz="0" w:space="0" w:color="auto"/>
        <w:left w:val="none" w:sz="0" w:space="0" w:color="auto"/>
        <w:bottom w:val="none" w:sz="0" w:space="0" w:color="auto"/>
        <w:right w:val="none" w:sz="0" w:space="0" w:color="auto"/>
      </w:divBdr>
    </w:div>
    <w:div w:id="1359507230">
      <w:bodyDiv w:val="1"/>
      <w:marLeft w:val="0"/>
      <w:marRight w:val="0"/>
      <w:marTop w:val="0"/>
      <w:marBottom w:val="0"/>
      <w:divBdr>
        <w:top w:val="none" w:sz="0" w:space="0" w:color="auto"/>
        <w:left w:val="none" w:sz="0" w:space="0" w:color="auto"/>
        <w:bottom w:val="none" w:sz="0" w:space="0" w:color="auto"/>
        <w:right w:val="none" w:sz="0" w:space="0" w:color="auto"/>
      </w:divBdr>
    </w:div>
    <w:div w:id="1520584342">
      <w:bodyDiv w:val="1"/>
      <w:marLeft w:val="0"/>
      <w:marRight w:val="0"/>
      <w:marTop w:val="0"/>
      <w:marBottom w:val="0"/>
      <w:divBdr>
        <w:top w:val="none" w:sz="0" w:space="0" w:color="auto"/>
        <w:left w:val="none" w:sz="0" w:space="0" w:color="auto"/>
        <w:bottom w:val="none" w:sz="0" w:space="0" w:color="auto"/>
        <w:right w:val="none" w:sz="0" w:space="0" w:color="auto"/>
      </w:divBdr>
    </w:div>
    <w:div w:id="1933271701">
      <w:bodyDiv w:val="1"/>
      <w:marLeft w:val="0"/>
      <w:marRight w:val="0"/>
      <w:marTop w:val="0"/>
      <w:marBottom w:val="0"/>
      <w:divBdr>
        <w:top w:val="none" w:sz="0" w:space="0" w:color="auto"/>
        <w:left w:val="none" w:sz="0" w:space="0" w:color="auto"/>
        <w:bottom w:val="none" w:sz="0" w:space="0" w:color="auto"/>
        <w:right w:val="none" w:sz="0" w:space="0" w:color="auto"/>
      </w:divBdr>
    </w:div>
    <w:div w:id="1935936894">
      <w:bodyDiv w:val="1"/>
      <w:marLeft w:val="0"/>
      <w:marRight w:val="0"/>
      <w:marTop w:val="0"/>
      <w:marBottom w:val="0"/>
      <w:divBdr>
        <w:top w:val="none" w:sz="0" w:space="0" w:color="auto"/>
        <w:left w:val="none" w:sz="0" w:space="0" w:color="auto"/>
        <w:bottom w:val="none" w:sz="0" w:space="0" w:color="auto"/>
        <w:right w:val="none" w:sz="0" w:space="0" w:color="auto"/>
      </w:divBdr>
    </w:div>
    <w:div w:id="206602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fordre.com/classics/view/10.1093/acrefore/9780199381135.001.0001/acrefore-9780199381135-e-825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865F3E-9B63-B14A-B371-511199056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1564</TotalTime>
  <Pages>7</Pages>
  <Words>2090</Words>
  <Characters>11914</Characters>
  <Application>Microsoft Office Word</Application>
  <DocSecurity>0</DocSecurity>
  <Lines>99</Lines>
  <Paragraphs>27</Paragraphs>
  <ScaleCrop>false</ScaleCrop>
  <Company/>
  <LinksUpToDate>false</LinksUpToDate>
  <CharactersWithSpaces>13977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Negus (2405169)</dc:creator>
  <cp:keywords/>
  <dc:description/>
  <cp:lastModifiedBy>Lucy Negus (2405169)</cp:lastModifiedBy>
  <cp:revision>573</cp:revision>
  <dcterms:created xsi:type="dcterms:W3CDTF">2024-10-10T23:42:00Z</dcterms:created>
  <dcterms:modified xsi:type="dcterms:W3CDTF">2024-10-20T20:43:00Z</dcterms:modified>
</cp:coreProperties>
</file>