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4CBC" w:rsidRPr="00975F6F" w:rsidRDefault="006779B0" w:rsidP="00975F6F">
      <w:pPr>
        <w:rPr>
          <w:i/>
        </w:rPr>
      </w:pPr>
      <w:bookmarkStart w:id="0" w:name="_GoBack"/>
      <w:bookmarkEnd w:id="0"/>
      <w:r w:rsidRPr="00975F6F">
        <w:rPr>
          <w:i/>
        </w:rPr>
        <w:t xml:space="preserve">To What Extent was the Reign of </w:t>
      </w:r>
      <w:r w:rsidR="00AC4CBC" w:rsidRPr="00975F6F">
        <w:rPr>
          <w:i/>
        </w:rPr>
        <w:t>Henry I</w:t>
      </w:r>
      <w:r w:rsidRPr="00975F6F">
        <w:rPr>
          <w:i/>
        </w:rPr>
        <w:t xml:space="preserve"> a Turning Point in English History?</w:t>
      </w:r>
    </w:p>
    <w:p w:rsidR="00975F6F" w:rsidRDefault="00975F6F" w:rsidP="00975F6F"/>
    <w:p w:rsidR="00DF3D68" w:rsidRDefault="00A220D1" w:rsidP="00E57ECE">
      <w:r>
        <w:t>To argue whether or not Henry I’s reign was in fact a turning point in English history, it is vital to consider how Henry’</w:t>
      </w:r>
      <w:r w:rsidR="000713C5">
        <w:t>s rule</w:t>
      </w:r>
      <w:r>
        <w:t xml:space="preserve"> influenced change not only in society but for England in its entirely, which means his effect on towns, trade, religion and court must be identified. These factors collide to provide a</w:t>
      </w:r>
      <w:r w:rsidR="000C7E69">
        <w:t xml:space="preserve"> significant case in which the argument of Henry’s influence </w:t>
      </w:r>
      <w:r w:rsidR="000713C5">
        <w:t xml:space="preserve">brought, however in order to put these factors into context, it must also be acknowledged that there is always a limiting issue to such an argument and in this case this refers to the fact that Henry I’s positive reforms were overshadowed by </w:t>
      </w:r>
      <w:r w:rsidR="00CC5D0F">
        <w:t xml:space="preserve">his own wars and </w:t>
      </w:r>
      <w:r w:rsidR="000713C5">
        <w:t>the war between his own daughter, Empress Matilda, and his nephew Stephen who took the throne after his death. In addition, it must also be considered that the extent of Henry’s changes must be compared to how England functioned beforehand, which means looking at key points of the rule of William II.</w:t>
      </w:r>
    </w:p>
    <w:p w:rsidR="00DF3D68" w:rsidRPr="00E57ECE" w:rsidRDefault="008F1DCD" w:rsidP="00E57ECE">
      <w:r>
        <w:t>The reign of William the II saw relatively less advancements and successes in comparison to his younger brother, Henry I. This is evidenced by William’s lack of motivation to replace the Archbishop of Canterbury, Lanfranc, after his death in 1089</w:t>
      </w:r>
      <w:r>
        <w:rPr>
          <w:rStyle w:val="FootnoteReference"/>
        </w:rPr>
        <w:footnoteReference w:id="1"/>
      </w:r>
      <w:r>
        <w:t xml:space="preserve"> despite this being an important role and the position remained empty until </w:t>
      </w:r>
      <w:r w:rsidR="009F2DFC">
        <w:t>William hastily appointed Anselm to the position for fear of his immortal soul after becoming ill</w:t>
      </w:r>
      <w:r w:rsidR="009F2DFC">
        <w:rPr>
          <w:rStyle w:val="FootnoteReference"/>
        </w:rPr>
        <w:footnoteReference w:id="2"/>
      </w:r>
      <w:r w:rsidR="005B367E">
        <w:t>. Through this single piece of evidence it can be argued that the William II had very little intention of diverg</w:t>
      </w:r>
      <w:r w:rsidR="00F6298A">
        <w:t>ing power from himself and this only promotes the idea that he was not a hugely successful king. Although there were certain aspects of his reign that were positive such as external affairs concerning Malcom III, King of Scotland, whereby he put down a rebellion and forced Malcom to pay him homage, these factors do not equate to a large turning point in English history, therefore in comparison to the more prominent changes made during Henry II’s rule it can be seen that William II falls behind his younger brother’s abilities to rule England effectively.</w:t>
      </w:r>
    </w:p>
    <w:p w:rsidR="00E57ECE" w:rsidRDefault="003E01E9" w:rsidP="00E57ECE">
      <w:r>
        <w:t xml:space="preserve">Although </w:t>
      </w:r>
      <w:r w:rsidR="00E57ECE" w:rsidRPr="00E57ECE">
        <w:t>Henry was present when William died in a hunting accident in 1100</w:t>
      </w:r>
      <w:r w:rsidR="007039F3">
        <w:rPr>
          <w:rStyle w:val="FootnoteReference"/>
        </w:rPr>
        <w:footnoteReference w:id="3"/>
      </w:r>
      <w:r w:rsidR="00167339">
        <w:t xml:space="preserve"> Henry </w:t>
      </w:r>
      <w:r w:rsidR="00FA3F9D">
        <w:t>displayed a keen intent to seize power as he almost immediately took the throne of England for himself after his brother’s death</w:t>
      </w:r>
      <w:r w:rsidR="00832C5F">
        <w:t xml:space="preserve"> </w:t>
      </w:r>
      <w:r w:rsidR="00167339">
        <w:t xml:space="preserve">took precautions to ensure that he received </w:t>
      </w:r>
      <w:r w:rsidR="00832C5F">
        <w:t>support from the barons</w:t>
      </w:r>
      <w:r w:rsidR="00832C5F">
        <w:rPr>
          <w:rStyle w:val="FootnoteReference"/>
        </w:rPr>
        <w:footnoteReference w:id="4"/>
      </w:r>
      <w:r w:rsidR="00E57ECE" w:rsidRPr="00E57ECE">
        <w:t xml:space="preserve">, </w:t>
      </w:r>
      <w:r w:rsidR="004835B4">
        <w:t xml:space="preserve">whereby he promised </w:t>
      </w:r>
      <w:r w:rsidR="00E57ECE" w:rsidRPr="00E57ECE">
        <w:t>to correct many of William's less popular policies</w:t>
      </w:r>
      <w:r w:rsidR="0081064D">
        <w:t xml:space="preserve"> at his coronation with a charter</w:t>
      </w:r>
      <w:r w:rsidR="0081064D">
        <w:rPr>
          <w:rStyle w:val="FootnoteReference"/>
        </w:rPr>
        <w:footnoteReference w:id="5"/>
      </w:r>
      <w:r w:rsidR="00E57ECE" w:rsidRPr="00E57ECE">
        <w:t xml:space="preserve">. </w:t>
      </w:r>
      <w:r w:rsidR="00A57756">
        <w:t>To begin with Henry announces his intent to revert the policies back to the customs of Edward the Confessor whilst also maintaining that he would reduce the oppression of the Church instigated by William II and also prevent the abuse of barons’ property rights</w:t>
      </w:r>
      <w:r w:rsidR="00A57756">
        <w:rPr>
          <w:rStyle w:val="FootnoteReference"/>
        </w:rPr>
        <w:footnoteReference w:id="6"/>
      </w:r>
      <w:r w:rsidR="00AC64BA">
        <w:t>. Already this announcement demonstrates a turning point for England as Henry’s coronation promises numerous changes such as the ones mentioned before</w:t>
      </w:r>
      <w:r w:rsidR="00167339">
        <w:t xml:space="preserve"> which would not only affect the nobility but would also reduce the pressure on the lower class</w:t>
      </w:r>
      <w:r w:rsidR="00AC64BA">
        <w:t xml:space="preserve">. In addition to this, </w:t>
      </w:r>
      <w:r w:rsidR="00E57ECE" w:rsidRPr="00E57ECE">
        <w:t>Henry married Matilda of Scotland </w:t>
      </w:r>
      <w:r w:rsidR="005C2E4A">
        <w:t>for political gain</w:t>
      </w:r>
      <w:r w:rsidR="00AC64BA">
        <w:rPr>
          <w:rStyle w:val="FootnoteReference"/>
        </w:rPr>
        <w:footnoteReference w:id="7"/>
      </w:r>
      <w:r w:rsidR="005C2E4A">
        <w:t>, not only improving his claim to the throne through his father but also through the Anglo-Saxon roots that Matilda held</w:t>
      </w:r>
      <w:r w:rsidR="00E57ECE" w:rsidRPr="00E57ECE">
        <w:t>.</w:t>
      </w:r>
      <w:r w:rsidR="004646E4">
        <w:t xml:space="preserve"> This viewpoint is supported by </w:t>
      </w:r>
      <w:r w:rsidR="004646E4" w:rsidRPr="00D15723">
        <w:t xml:space="preserve">Historian Warren Hollister </w:t>
      </w:r>
      <w:r w:rsidR="004646E4">
        <w:t xml:space="preserve">who </w:t>
      </w:r>
      <w:r w:rsidR="004646E4" w:rsidRPr="00D15723">
        <w:t>argues that Henry and Matilda were emotionally close, bu</w:t>
      </w:r>
      <w:r w:rsidR="004646E4">
        <w:t>t their union was also</w:t>
      </w:r>
      <w:r w:rsidR="004646E4" w:rsidRPr="00D15723">
        <w:t xml:space="preserve"> </w:t>
      </w:r>
      <w:r w:rsidR="004646E4" w:rsidRPr="00CA4F6F">
        <w:t>politically motivated</w:t>
      </w:r>
      <w:r w:rsidR="004646E4">
        <w:rPr>
          <w:rStyle w:val="FootnoteReference"/>
          <w:b/>
        </w:rPr>
        <w:footnoteReference w:id="8"/>
      </w:r>
      <w:r w:rsidR="004646E4" w:rsidRPr="00D15723">
        <w:t>.</w:t>
      </w:r>
      <w:r w:rsidR="00EA7BFA">
        <w:t xml:space="preserve"> </w:t>
      </w:r>
      <w:r w:rsidR="00EA7BFA" w:rsidRPr="00D15723">
        <w:t xml:space="preserve">For Henry, </w:t>
      </w:r>
      <w:r w:rsidR="00EA7BFA" w:rsidRPr="00D15723">
        <w:lastRenderedPageBreak/>
        <w:t>marrying Matilda gave</w:t>
      </w:r>
      <w:r w:rsidR="00EA3CEF">
        <w:t xml:space="preserve"> his reign increased legitimacy</w:t>
      </w:r>
      <w:r w:rsidR="00EA7BFA" w:rsidRPr="00D15723">
        <w:t xml:space="preserve"> and for </w:t>
      </w:r>
      <w:r w:rsidR="00EA3CEF">
        <w:t>Matilda who was said to be</w:t>
      </w:r>
      <w:r w:rsidR="00EA7BFA" w:rsidRPr="00D15723">
        <w:t xml:space="preserve"> an ambitious woman, it was an opportunity for high status and power in England</w:t>
      </w:r>
      <w:r w:rsidR="00EA7BFA">
        <w:rPr>
          <w:rStyle w:val="FootnoteReference"/>
        </w:rPr>
        <w:footnoteReference w:id="9"/>
      </w:r>
      <w:r w:rsidR="00EA7BFA" w:rsidRPr="00D15723">
        <w:t>.</w:t>
      </w:r>
      <w:r w:rsidR="00164279">
        <w:t xml:space="preserve"> It is known that Henry spent a great deal of his time in military campaigns or in governmental activity</w:t>
      </w:r>
      <w:r w:rsidR="00164279">
        <w:rPr>
          <w:rStyle w:val="FootnoteReference"/>
        </w:rPr>
        <w:footnoteReference w:id="10"/>
      </w:r>
      <w:r w:rsidR="00164279">
        <w:t xml:space="preserve"> and along with possessing many qualities which equipped him well for ruling England</w:t>
      </w:r>
      <w:r w:rsidR="00164279">
        <w:rPr>
          <w:rStyle w:val="FootnoteReference"/>
        </w:rPr>
        <w:footnoteReference w:id="11"/>
      </w:r>
      <w:r w:rsidR="00164279">
        <w:t>, Henry proved to be a highly efficient king which of course impacted England itself.</w:t>
      </w:r>
    </w:p>
    <w:p w:rsidR="00D15723" w:rsidRPr="00D15723" w:rsidRDefault="005000DF" w:rsidP="00D15723">
      <w:r>
        <w:t>P</w:t>
      </w:r>
      <w:r w:rsidR="004C5A0C">
        <w:t xml:space="preserve">erhaps the first major turning point for England was the threat of war from </w:t>
      </w:r>
      <w:r w:rsidR="00E57ECE" w:rsidRPr="00E57ECE">
        <w:t>Robert who invaded in 1101</w:t>
      </w:r>
      <w:r w:rsidR="004C5A0C">
        <w:t xml:space="preserve"> as he</w:t>
      </w:r>
      <w:r w:rsidR="00E57ECE" w:rsidRPr="00E57ECE">
        <w:t xml:space="preserve"> disputed Henry's control of England</w:t>
      </w:r>
      <w:r w:rsidR="004C5A0C">
        <w:rPr>
          <w:rStyle w:val="FootnoteReference"/>
        </w:rPr>
        <w:footnoteReference w:id="12"/>
      </w:r>
      <w:r w:rsidR="00E57ECE" w:rsidRPr="00E57ECE">
        <w:t xml:space="preserve">; this military campaign ended in a negotiated settlement that confirmed Henry as king. </w:t>
      </w:r>
      <w:r w:rsidR="00CC5D0F">
        <w:t xml:space="preserve">The peace was not to last as </w:t>
      </w:r>
      <w:r w:rsidR="00E57ECE" w:rsidRPr="00E57ECE">
        <w:t>Henry invaded the Duchy of Normandy in 1105 and 1106, finally defeating Robe</w:t>
      </w:r>
      <w:r w:rsidR="00CC5D0F">
        <w:t xml:space="preserve">rt at the Battle of </w:t>
      </w:r>
      <w:proofErr w:type="spellStart"/>
      <w:r w:rsidR="00CC5D0F">
        <w:t>Tinchebray</w:t>
      </w:r>
      <w:proofErr w:type="spellEnd"/>
      <w:r w:rsidR="00CC5D0F">
        <w:t xml:space="preserve"> where after this victory </w:t>
      </w:r>
      <w:r w:rsidR="00E57ECE" w:rsidRPr="00E57ECE">
        <w:t>Robert</w:t>
      </w:r>
      <w:r w:rsidR="00CC5D0F">
        <w:t xml:space="preserve"> was kept</w:t>
      </w:r>
      <w:r w:rsidR="00E57ECE" w:rsidRPr="00E57ECE">
        <w:t xml:space="preserve"> imprisoned for the rest of his life</w:t>
      </w:r>
      <w:r w:rsidR="00A858C8">
        <w:rPr>
          <w:rStyle w:val="FootnoteReference"/>
        </w:rPr>
        <w:footnoteReference w:id="13"/>
      </w:r>
      <w:r w:rsidR="00E57ECE" w:rsidRPr="00E57ECE">
        <w:t>. Henry's control of Normandy was challenged by Louis VI of France</w:t>
      </w:r>
      <w:r w:rsidR="00A859A5">
        <w:t xml:space="preserve"> after he came to the throne in 1108. This led to a strenuous relationship between Louis and Henry as both continually sought to assert their own power</w:t>
      </w:r>
      <w:r w:rsidR="00A859A5">
        <w:rPr>
          <w:rStyle w:val="FootnoteReference"/>
        </w:rPr>
        <w:footnoteReference w:id="14"/>
      </w:r>
      <w:r w:rsidR="00A859A5">
        <w:t>. Although further confrontations occurred throughout Henry I’s reign such as the initial 11</w:t>
      </w:r>
      <w:r w:rsidR="00BC201C">
        <w:t>08 dispute, antagonised further when</w:t>
      </w:r>
      <w:r w:rsidR="00E57ECE" w:rsidRPr="00E57ECE">
        <w:t> Baldwin VII of Flanders and </w:t>
      </w:r>
      <w:proofErr w:type="spellStart"/>
      <w:r w:rsidR="00E57ECE">
        <w:t>Fulk</w:t>
      </w:r>
      <w:proofErr w:type="spellEnd"/>
      <w:r w:rsidR="00E57ECE">
        <w:t xml:space="preserve"> V of Anjou</w:t>
      </w:r>
      <w:r w:rsidR="00BC201C">
        <w:t xml:space="preserve"> allied themselves with Louis from 1109</w:t>
      </w:r>
      <w:r w:rsidR="00BC201C">
        <w:rPr>
          <w:rStyle w:val="FootnoteReference"/>
        </w:rPr>
        <w:footnoteReference w:id="15"/>
      </w:r>
      <w:r w:rsidR="00BC201C">
        <w:t xml:space="preserve">. A number </w:t>
      </w:r>
      <w:r w:rsidR="00A83EA8">
        <w:t xml:space="preserve">of clashes ensued between Henry I and Louis who remained supported by those against Henry’s claim to the English throne which proved pivotal in England’s history since war demanded high expenses and food produce, turning the economy out of balance. </w:t>
      </w:r>
      <w:r w:rsidR="00E57ECE" w:rsidRPr="00E57ECE">
        <w:t xml:space="preserve">Following Henry's victory at the Battle of </w:t>
      </w:r>
      <w:proofErr w:type="spellStart"/>
      <w:r w:rsidR="00E57ECE" w:rsidRPr="00E57ECE">
        <w:t>Brémule</w:t>
      </w:r>
      <w:proofErr w:type="spellEnd"/>
      <w:r w:rsidR="00E57ECE" w:rsidRPr="00E57ECE">
        <w:t>, a favourable peace settlement was agreed with Louis in 1120</w:t>
      </w:r>
      <w:r w:rsidR="00781D07">
        <w:t xml:space="preserve"> where William </w:t>
      </w:r>
      <w:proofErr w:type="spellStart"/>
      <w:r w:rsidR="00781D07">
        <w:t>Adelin</w:t>
      </w:r>
      <w:proofErr w:type="spellEnd"/>
      <w:r w:rsidR="00781D07">
        <w:t>, Henry</w:t>
      </w:r>
      <w:r w:rsidR="008344F3">
        <w:t xml:space="preserve"> I</w:t>
      </w:r>
      <w:r w:rsidR="00781D07">
        <w:t>’s son, gave homage to Louis in return for confirmation to his rights to the Norman Duchy</w:t>
      </w:r>
      <w:r w:rsidR="00781D07">
        <w:rPr>
          <w:rStyle w:val="FootnoteReference"/>
        </w:rPr>
        <w:footnoteReference w:id="16"/>
      </w:r>
      <w:r w:rsidR="00E57ECE" w:rsidRPr="00E57ECE">
        <w:t>.</w:t>
      </w:r>
      <w:r w:rsidR="00BB7EE6">
        <w:t xml:space="preserve"> </w:t>
      </w:r>
      <w:r w:rsidR="00CA4F6F">
        <w:t>These continuous wars and rebellions from the baronage were detrimental to Henry’s rule, drawing him away from England itself for long periods of time which therefore limit his effectiveness in ruling, consequentially meaning that the impact of his reign was limited due to the demands of war.</w:t>
      </w:r>
    </w:p>
    <w:p w:rsidR="00C90D9C" w:rsidRDefault="00EA7BFA" w:rsidP="00455650">
      <w:r>
        <w:t>Although war was a major factor in which Henry</w:t>
      </w:r>
      <w:r w:rsidR="008344F3">
        <w:t xml:space="preserve"> </w:t>
      </w:r>
      <w:r>
        <w:t>I demonstrated his ability to rule competently, the effects of war limits his effectiveness however in other areas, Henry excelled. For example, due to William II’s less favourable view of the Church he</w:t>
      </w:r>
      <w:r w:rsidR="00D510D2" w:rsidRPr="00D510D2">
        <w:t xml:space="preserve"> had left</w:t>
      </w:r>
      <w:r>
        <w:t xml:space="preserve"> many church positions unfilled. Therefore Henry made a point to nominate candidates</w:t>
      </w:r>
      <w:r w:rsidR="00D510D2" w:rsidRPr="00D510D2">
        <w:t xml:space="preserve"> in an effort to build further support for his new government</w:t>
      </w:r>
      <w:r w:rsidR="00A60D8A">
        <w:rPr>
          <w:rStyle w:val="FootnoteReference"/>
        </w:rPr>
        <w:footnoteReference w:id="17"/>
      </w:r>
      <w:r w:rsidR="001B4522">
        <w:t>. By gaining favour with the church Henry was able to not only further solidify</w:t>
      </w:r>
      <w:r w:rsidR="00AE1809">
        <w:t xml:space="preserve"> his popularity but also further increase his level of power and control.</w:t>
      </w:r>
      <w:r w:rsidR="00B17300">
        <w:t xml:space="preserve"> Through the influence of the Church Henry was able to more effectively govern England and the administration of both England and Normandy became extensively connected to Henry’s relationship with the Church</w:t>
      </w:r>
      <w:r w:rsidR="00B17300">
        <w:rPr>
          <w:rStyle w:val="FootnoteReference"/>
        </w:rPr>
        <w:footnoteReference w:id="18"/>
      </w:r>
      <w:r w:rsidR="00B17300">
        <w:t>. During the reign of William the Conqueror, the English Church had been reformed</w:t>
      </w:r>
      <w:r w:rsidR="00B17300">
        <w:rPr>
          <w:rStyle w:val="FootnoteReference"/>
        </w:rPr>
        <w:footnoteReference w:id="19"/>
      </w:r>
      <w:r w:rsidR="00442278">
        <w:t xml:space="preserve"> however this w</w:t>
      </w:r>
      <w:r w:rsidR="008344F3">
        <w:t>as then destroyed by William II who appeared to have very little religious motivation but everything changed once more when Henry I gained power</w:t>
      </w:r>
      <w:r w:rsidR="008344F3">
        <w:rPr>
          <w:rStyle w:val="FootnoteReference"/>
        </w:rPr>
        <w:footnoteReference w:id="20"/>
      </w:r>
      <w:r w:rsidR="008344F3">
        <w:t>. The ideals of Henry believed in refo</w:t>
      </w:r>
      <w:r w:rsidR="00A207EE">
        <w:t xml:space="preserve">rm, however his ascent to the English throne meant that his involvement with the investiture controversy most definitely constituted as a turning point for English history. Over the course of his reign Henry faced a number </w:t>
      </w:r>
      <w:r w:rsidR="00A207EE">
        <w:lastRenderedPageBreak/>
        <w:t>of ecclesiastical difficulties with the papacy, however Henry was able to maintain a diplomatic relationship with his Archbishops throughout his reign and even held councils of reformation in 1102 and 1108</w:t>
      </w:r>
      <w:r w:rsidR="00A207EE">
        <w:rPr>
          <w:rStyle w:val="FootnoteReference"/>
        </w:rPr>
        <w:footnoteReference w:id="21"/>
      </w:r>
      <w:r w:rsidR="00975F6F">
        <w:t xml:space="preserve">. </w:t>
      </w:r>
      <w:r w:rsidR="00213AE9">
        <w:t>By appointing a number of his own officials to papal positions such as bishops despite the investiture controversy, Henry was able to formulate his own unified body of administrators and advisers which he could maintain a high level of influence whilst being able to discuss politics</w:t>
      </w:r>
      <w:r w:rsidR="00213AE9">
        <w:rPr>
          <w:rStyle w:val="FootnoteReference"/>
        </w:rPr>
        <w:footnoteReference w:id="22"/>
      </w:r>
      <w:r w:rsidR="00213AE9">
        <w:t xml:space="preserve">. Although not a perfect relationship, Henry I was able to sustain a reasonable affiliation with the Church and influence its reform in English heritage which proved to be of high significance to England due to its reliance on religion. Despite the fact that the impact Henry’s authority had was not deeply profound or entirely overwhelming, the demonstration that </w:t>
      </w:r>
      <w:r w:rsidR="00580315">
        <w:t>he</w:t>
      </w:r>
      <w:r w:rsidR="00C96ACB">
        <w:t xml:space="preserve"> had the power to exert such authority was a large indicator of his ability to control.</w:t>
      </w:r>
    </w:p>
    <w:p w:rsidR="00D07658" w:rsidRDefault="00A86543" w:rsidP="00455650">
      <w:r>
        <w:t>On the subject of power and influence, Henry I was also credible for his apparent intelligence and aptitude for administration. To maintain power, Henry had to form alliances in order to solidify his claim to the English throne and also maintain control along the borders of Normandy, Scotland and Wales.</w:t>
      </w:r>
      <w:r w:rsidR="00A005FF">
        <w:t xml:space="preserve"> Once his power was asserted, Henry ensured to rule through his barons whom he manipulated for his own purposes</w:t>
      </w:r>
      <w:r w:rsidR="00A005FF">
        <w:rPr>
          <w:rStyle w:val="FootnoteReference"/>
        </w:rPr>
        <w:footnoteReference w:id="23"/>
      </w:r>
      <w:r w:rsidR="00A005FF">
        <w:t xml:space="preserve"> and also ensured to reward his allies in order to uphold their loyalty to him</w:t>
      </w:r>
      <w:r w:rsidR="00A005FF">
        <w:rPr>
          <w:rStyle w:val="FootnoteReference"/>
        </w:rPr>
        <w:footnoteReference w:id="24"/>
      </w:r>
      <w:r w:rsidR="00A005FF">
        <w:t xml:space="preserve"> or in contrast, severely punish his enemies. Through the “reconstruction of the baronage” as it is identified by Hollister, Henry was able to form a hierarchy of loyalists which proved to be largely dependent on him also</w:t>
      </w:r>
      <w:r w:rsidR="00A005FF">
        <w:rPr>
          <w:rStyle w:val="FootnoteReference"/>
        </w:rPr>
        <w:footnoteReference w:id="25"/>
      </w:r>
      <w:r w:rsidR="00A005FF">
        <w:t>.</w:t>
      </w:r>
      <w:r w:rsidR="009B4E69">
        <w:t xml:space="preserve"> This reconstruction of the baronage was also seen within the court itself as </w:t>
      </w:r>
      <w:r w:rsidR="00BE27C2">
        <w:t>which proved to be a menagerie of splendour and a large demonstration of Henry’s wealth as more castles were built</w:t>
      </w:r>
      <w:r w:rsidR="00BE27C2">
        <w:rPr>
          <w:rStyle w:val="FootnoteReference"/>
        </w:rPr>
        <w:footnoteReference w:id="26"/>
      </w:r>
      <w:r w:rsidR="00BE27C2">
        <w:t xml:space="preserve"> however it is also said that there were stricter rules and laws set within the court, such as the prohibition of pillaging surroundings villages that William Rufus had allowed</w:t>
      </w:r>
      <w:r w:rsidR="00BE27C2">
        <w:rPr>
          <w:rStyle w:val="FootnoteReference"/>
        </w:rPr>
        <w:footnoteReference w:id="27"/>
      </w:r>
      <w:r w:rsidR="00BE27C2">
        <w:t xml:space="preserve"> during his reign. This in itself is a turning point in English history as the court being overturned is hugely significant. For upper class society, the court makes the centre of the king’s domestic life and by continually rewarding those loyal to him and deposing those that would later become his enemies, Henry is changing the social structure of England itself which would not only have impact upon the lower class but also politics due to the fact that many would simply seek to gain his favour and earn titles, land and property.</w:t>
      </w:r>
      <w:r w:rsidR="002345D7">
        <w:t xml:space="preserve"> On the other hand, adjustments were also made to the English royal justice system</w:t>
      </w:r>
      <w:r w:rsidR="002345D7">
        <w:rPr>
          <w:rStyle w:val="FootnoteReference"/>
        </w:rPr>
        <w:footnoteReference w:id="28"/>
      </w:r>
      <w:r w:rsidR="002345D7">
        <w:t xml:space="preserve"> which Henry spearheaded in order to make firm his rule. By instigating central government institutions within the already existing structure of Anglo-Saxon systems of justice, taxes and local government</w:t>
      </w:r>
      <w:r w:rsidR="00A14264">
        <w:rPr>
          <w:rStyle w:val="FootnoteReference"/>
        </w:rPr>
        <w:footnoteReference w:id="29"/>
      </w:r>
      <w:r w:rsidR="002345D7">
        <w:t>, Henry portrayed his capability for administration further. Of all factors, the changes made to the government and justice system are the most significant and had the largest impact upon England’s history.</w:t>
      </w:r>
      <w:r w:rsidR="00625CE7">
        <w:t xml:space="preserve"> Other such changes concern the royal exchequer which audited the King’s revenues from the shires</w:t>
      </w:r>
      <w:r w:rsidR="00625CE7">
        <w:rPr>
          <w:rStyle w:val="FootnoteReference"/>
        </w:rPr>
        <w:footnoteReference w:id="30"/>
      </w:r>
      <w:r w:rsidR="00261F79">
        <w:t xml:space="preserve"> and more laws were formally recorded</w:t>
      </w:r>
      <w:r w:rsidR="00261F79">
        <w:rPr>
          <w:rStyle w:val="FootnoteReference"/>
        </w:rPr>
        <w:footnoteReference w:id="31"/>
      </w:r>
      <w:r w:rsidR="00261F79">
        <w:t xml:space="preserve">, something that not had been done before Henry I. </w:t>
      </w:r>
      <w:r w:rsidR="00DD3DF1">
        <w:t>These advancements and adjustments were also made in Normandy where necessary after Henry restored order under his own authority</w:t>
      </w:r>
      <w:r w:rsidR="00DD3DF1">
        <w:rPr>
          <w:rStyle w:val="FootnoteReference"/>
        </w:rPr>
        <w:footnoteReference w:id="32"/>
      </w:r>
      <w:r w:rsidR="00DD3DF1">
        <w:t xml:space="preserve"> which proved just as effective as it did in England.</w:t>
      </w:r>
      <w:r w:rsidR="00CA5710">
        <w:t xml:space="preserve"> These momentous changes affected England hugely for the reformation of the governmental system would have had an undeniable impact upon the country itself, though arguably these changes were due to necessity and because of these administrative reforms, Henry was able to gather more power for himself through the system.</w:t>
      </w:r>
    </w:p>
    <w:p w:rsidR="008A1FBA" w:rsidRDefault="00EC1650" w:rsidP="00455650">
      <w:r>
        <w:t>An overall conclusion to Henry I’s reign is aptly described by modern historian Judith Green who surmises Henry’s developments in government were periodic with an increasing tempo</w:t>
      </w:r>
      <w:r>
        <w:rPr>
          <w:rStyle w:val="FootnoteReference"/>
        </w:rPr>
        <w:footnoteReference w:id="33"/>
      </w:r>
      <w:r>
        <w:t xml:space="preserve"> which correlates to the changes that have been previously identified. Through this progress it can be said that Henry did in fact offer numerous changes that were desperately needed in order for England to advance, the heavy taxation which was renewed in order for Henry to fight his wars</w:t>
      </w:r>
      <w:r>
        <w:rPr>
          <w:rStyle w:val="FootnoteReference"/>
        </w:rPr>
        <w:footnoteReference w:id="34"/>
      </w:r>
      <w:r>
        <w:t xml:space="preserve"> meant that </w:t>
      </w:r>
      <w:r w:rsidR="00C716B0">
        <w:t xml:space="preserve">there was a detrimental effect on the ordinary people that were subjected to Henry’s rule. </w:t>
      </w:r>
      <w:r w:rsidR="00040D2E">
        <w:t>The argument over the fact whether or not Henry’s rule was a turning point for English history is still debatable, as although he did in fact use his power to completely change administrative laws as well</w:t>
      </w:r>
      <w:r w:rsidR="00C90D9C">
        <w:t xml:space="preserve"> </w:t>
      </w:r>
      <w:r w:rsidR="00040D2E">
        <w:t>as the justice system, the extent of which Henry is solely responsible is in question. His reign can be considered successful</w:t>
      </w:r>
      <w:r w:rsidR="00DA3830">
        <w:t xml:space="preserve"> in comparison to his brother William II</w:t>
      </w:r>
      <w:r w:rsidR="00040D2E">
        <w:t>, however, without the support of his advisors and particularly the church more difficulty would have ensued. Furthermore, the impact of his reign were not entirely positive, particularly on the lower classes as they were heavily taxed</w:t>
      </w:r>
      <w:r w:rsidR="00C743F4">
        <w:rPr>
          <w:rStyle w:val="FootnoteReference"/>
        </w:rPr>
        <w:footnoteReference w:id="35"/>
      </w:r>
      <w:r w:rsidR="00040D2E">
        <w:t xml:space="preserve"> </w:t>
      </w:r>
      <w:r w:rsidR="00C743F4">
        <w:t>periodically during</w:t>
      </w:r>
      <w:r w:rsidR="00040D2E">
        <w:t xml:space="preserve"> the thirty five</w:t>
      </w:r>
      <w:r w:rsidR="00B315DE">
        <w:t xml:space="preserve"> years of his reign in order to pay for his military campaigns. Contemporary historians argue that as a whole, the period in which Henry was king witnessed a considerable growth in the scale and in the range of government activity</w:t>
      </w:r>
      <w:r w:rsidR="00B315DE">
        <w:rPr>
          <w:rStyle w:val="FootnoteReference"/>
        </w:rPr>
        <w:footnoteReference w:id="36"/>
      </w:r>
      <w:r w:rsidR="00B315DE">
        <w:t xml:space="preserve">, which is a certain aspect in which England saw improvement and therefore had a turning point in its history. Overall it can be said that England did indeed see a turning point during the reign of Henry I in comparison to his predecessors, however this </w:t>
      </w:r>
      <w:r w:rsidR="008C471D">
        <w:t>is limited by the fact that the improvements were predominantly made to the government and justice system alone. The changes were limited, which therefore limit the argument that Henry’s reign was in fact a turning point in English history.</w:t>
      </w:r>
    </w:p>
    <w:p w:rsidR="008A1FBA" w:rsidRDefault="008A1FBA" w:rsidP="00455650"/>
    <w:p w:rsidR="008A1FBA" w:rsidRDefault="008A1FBA" w:rsidP="00455650"/>
    <w:p w:rsidR="008A1FBA" w:rsidRDefault="008A1FBA" w:rsidP="00455650"/>
    <w:p w:rsidR="008A1FBA" w:rsidRDefault="008A1FBA" w:rsidP="00455650"/>
    <w:p w:rsidR="008A1FBA" w:rsidRDefault="008A1FBA" w:rsidP="00455650"/>
    <w:p w:rsidR="008A1FBA" w:rsidRDefault="008A1FBA" w:rsidP="00455650"/>
    <w:p w:rsidR="008A1FBA" w:rsidRDefault="008A1FBA" w:rsidP="00455650"/>
    <w:p w:rsidR="008A1FBA" w:rsidRDefault="008A1FBA" w:rsidP="00455650"/>
    <w:p w:rsidR="008A1FBA" w:rsidRDefault="008A1FBA" w:rsidP="00C743F4"/>
    <w:p w:rsidR="008C471D" w:rsidRDefault="008C471D" w:rsidP="00C743F4"/>
    <w:p w:rsidR="008C471D" w:rsidRDefault="008C471D" w:rsidP="00C743F4">
      <w:r>
        <w:t>Bibliography:</w:t>
      </w:r>
    </w:p>
    <w:p w:rsidR="002314A0" w:rsidRPr="002314A0" w:rsidRDefault="002314A0" w:rsidP="00C743F4">
      <w:r>
        <w:rPr>
          <w:i/>
        </w:rPr>
        <w:t>Modern Scholarship</w:t>
      </w:r>
    </w:p>
    <w:p w:rsidR="00695E06" w:rsidRPr="00695E06" w:rsidRDefault="00695E06" w:rsidP="008C471D">
      <w:r>
        <w:t xml:space="preserve">C. W. Hollister, </w:t>
      </w:r>
      <w:r>
        <w:rPr>
          <w:i/>
        </w:rPr>
        <w:t>Henry I</w:t>
      </w:r>
      <w:r>
        <w:t xml:space="preserve"> (London: Yale University Press, 2003).</w:t>
      </w:r>
    </w:p>
    <w:p w:rsidR="000F6A8D" w:rsidRPr="00252F5A" w:rsidRDefault="000F6A8D" w:rsidP="000F6A8D">
      <w:r>
        <w:t xml:space="preserve">C. A </w:t>
      </w:r>
      <w:r w:rsidRPr="00252F5A">
        <w:t xml:space="preserve">Newman, </w:t>
      </w:r>
      <w:proofErr w:type="gramStart"/>
      <w:r w:rsidRPr="00252F5A">
        <w:rPr>
          <w:i/>
        </w:rPr>
        <w:t>The</w:t>
      </w:r>
      <w:proofErr w:type="gramEnd"/>
      <w:r w:rsidRPr="00252F5A">
        <w:rPr>
          <w:i/>
        </w:rPr>
        <w:t xml:space="preserve"> Anglo-Norman No</w:t>
      </w:r>
      <w:r>
        <w:rPr>
          <w:i/>
        </w:rPr>
        <w:t>bility in the Reign of Henry I: T</w:t>
      </w:r>
      <w:r w:rsidRPr="00252F5A">
        <w:rPr>
          <w:i/>
        </w:rPr>
        <w:t xml:space="preserve">he Second Generation </w:t>
      </w:r>
      <w:r w:rsidRPr="00252F5A">
        <w:t>(Philadelp</w:t>
      </w:r>
      <w:r>
        <w:t>hia</w:t>
      </w:r>
      <w:r w:rsidRPr="00252F5A">
        <w:t>: University of Pennsylvania Press</w:t>
      </w:r>
      <w:r>
        <w:t>,</w:t>
      </w:r>
      <w:r w:rsidRPr="00252F5A">
        <w:t xml:space="preserve"> </w:t>
      </w:r>
      <w:r>
        <w:t>1988).</w:t>
      </w:r>
    </w:p>
    <w:p w:rsidR="000F6A8D" w:rsidRDefault="000F6A8D" w:rsidP="000F6A8D">
      <w:r>
        <w:t xml:space="preserve">C. H. </w:t>
      </w:r>
      <w:r w:rsidRPr="00252F5A">
        <w:t xml:space="preserve">Haskins, </w:t>
      </w:r>
      <w:r w:rsidRPr="00AC22F2">
        <w:rPr>
          <w:i/>
        </w:rPr>
        <w:t xml:space="preserve">Norman Institutions </w:t>
      </w:r>
      <w:r w:rsidRPr="00252F5A">
        <w:t>(Cambridge: Harvard University Press</w:t>
      </w:r>
      <w:r>
        <w:t>,</w:t>
      </w:r>
      <w:r w:rsidRPr="00252F5A">
        <w:t xml:space="preserve"> </w:t>
      </w:r>
      <w:r>
        <w:t>1918).</w:t>
      </w:r>
    </w:p>
    <w:p w:rsidR="000F6A8D" w:rsidRDefault="000F6A8D" w:rsidP="000F6A8D">
      <w:r>
        <w:t xml:space="preserve">E. </w:t>
      </w:r>
      <w:r w:rsidRPr="00DB21DA">
        <w:t xml:space="preserve">Hallam, </w:t>
      </w:r>
      <w:r>
        <w:t xml:space="preserve">J. A. </w:t>
      </w:r>
      <w:proofErr w:type="spellStart"/>
      <w:r w:rsidRPr="00DB21DA">
        <w:t>Everard</w:t>
      </w:r>
      <w:proofErr w:type="spellEnd"/>
      <w:r w:rsidRPr="00DB21DA">
        <w:t xml:space="preserve">, </w:t>
      </w:r>
      <w:proofErr w:type="spellStart"/>
      <w:r w:rsidRPr="00DB21DA">
        <w:rPr>
          <w:i/>
        </w:rPr>
        <w:t>Capetian</w:t>
      </w:r>
      <w:proofErr w:type="spellEnd"/>
      <w:r w:rsidRPr="00DB21DA">
        <w:rPr>
          <w:i/>
        </w:rPr>
        <w:t xml:space="preserve"> France, 987–1328 </w:t>
      </w:r>
      <w:r w:rsidRPr="00DB21DA">
        <w:t>(</w:t>
      </w:r>
      <w:r>
        <w:t xml:space="preserve">Harlow: Longman, </w:t>
      </w:r>
      <w:r w:rsidRPr="00DB21DA">
        <w:t>20</w:t>
      </w:r>
      <w:r>
        <w:t>01).</w:t>
      </w:r>
    </w:p>
    <w:p w:rsidR="008C471D" w:rsidRPr="00C743F4" w:rsidRDefault="008C471D" w:rsidP="008C471D">
      <w:r>
        <w:t xml:space="preserve">J. A Green, </w:t>
      </w:r>
      <w:proofErr w:type="gramStart"/>
      <w:r>
        <w:rPr>
          <w:i/>
        </w:rPr>
        <w:t>The</w:t>
      </w:r>
      <w:proofErr w:type="gramEnd"/>
      <w:r>
        <w:rPr>
          <w:i/>
        </w:rPr>
        <w:t xml:space="preserve"> Government of England Under Henry I </w:t>
      </w:r>
      <w:r>
        <w:t xml:space="preserve">(Cambridge: </w:t>
      </w:r>
      <w:r w:rsidR="008A1FBA" w:rsidRPr="00C743F4">
        <w:t>Cambridge University Press</w:t>
      </w:r>
      <w:r>
        <w:t>,</w:t>
      </w:r>
      <w:r w:rsidR="00F00419">
        <w:t xml:space="preserve"> 1986</w:t>
      </w:r>
      <w:r>
        <w:t>).</w:t>
      </w:r>
    </w:p>
    <w:p w:rsidR="00625CE7" w:rsidRPr="00DB21DA" w:rsidRDefault="00695E06" w:rsidP="00DB21DA">
      <w:r>
        <w:t xml:space="preserve">J. A Green, </w:t>
      </w:r>
      <w:r>
        <w:rPr>
          <w:i/>
        </w:rPr>
        <w:t>Henry I: King of England and Duke of Normandy</w:t>
      </w:r>
      <w:r>
        <w:t xml:space="preserve"> (Cambridge: Cambridge University Press, 2009).</w:t>
      </w:r>
    </w:p>
    <w:p w:rsidR="000F6A8D" w:rsidRPr="00252F5A" w:rsidRDefault="000F6A8D" w:rsidP="000F6A8D">
      <w:proofErr w:type="spellStart"/>
      <w:r w:rsidRPr="00252F5A">
        <w:t>Mayr-Harting</w:t>
      </w:r>
      <w:proofErr w:type="spellEnd"/>
      <w:r w:rsidRPr="00252F5A">
        <w:t>, Henry (2011). Religion, Politics and Society in Britain, 1066–1272. Harlow, UK: Longman</w:t>
      </w:r>
    </w:p>
    <w:p w:rsidR="000F6A8D" w:rsidRPr="000A2DD4" w:rsidRDefault="000F6A8D" w:rsidP="000F6A8D">
      <w:r>
        <w:t xml:space="preserve">M. </w:t>
      </w:r>
      <w:r w:rsidRPr="000A2DD4">
        <w:t xml:space="preserve">Brett, </w:t>
      </w:r>
      <w:proofErr w:type="gramStart"/>
      <w:r w:rsidRPr="000A2DD4">
        <w:rPr>
          <w:i/>
        </w:rPr>
        <w:t>The</w:t>
      </w:r>
      <w:proofErr w:type="gramEnd"/>
      <w:r w:rsidRPr="000A2DD4">
        <w:rPr>
          <w:i/>
        </w:rPr>
        <w:t xml:space="preserve"> English Church Under Henry I </w:t>
      </w:r>
      <w:r w:rsidRPr="000A2DD4">
        <w:t>(</w:t>
      </w:r>
      <w:r>
        <w:t>Oxford:</w:t>
      </w:r>
      <w:r w:rsidRPr="000A2DD4">
        <w:t xml:space="preserve"> Oxford University Press</w:t>
      </w:r>
      <w:r>
        <w:t>,</w:t>
      </w:r>
      <w:r w:rsidRPr="000A2DD4">
        <w:t xml:space="preserve"> </w:t>
      </w:r>
      <w:r>
        <w:t>1975).</w:t>
      </w:r>
    </w:p>
    <w:p w:rsidR="000F6A8D" w:rsidRDefault="007C21C8">
      <w:r>
        <w:t xml:space="preserve">S. N. Vaughn, </w:t>
      </w:r>
      <w:r>
        <w:rPr>
          <w:i/>
        </w:rPr>
        <w:t xml:space="preserve">Henry I and the English Church: The Archbishops and the King </w:t>
      </w:r>
      <w:r>
        <w:t>(Wo</w:t>
      </w:r>
      <w:r w:rsidR="000F6A8D">
        <w:t xml:space="preserve">odbridge: </w:t>
      </w:r>
      <w:proofErr w:type="spellStart"/>
      <w:r w:rsidR="000F6A8D">
        <w:t>Boydell</w:t>
      </w:r>
      <w:proofErr w:type="spellEnd"/>
      <w:r w:rsidR="000F6A8D">
        <w:t xml:space="preserve"> Press, 2007).</w:t>
      </w:r>
    </w:p>
    <w:p w:rsidR="008F1DCD" w:rsidRDefault="008F1DCD"/>
    <w:p w:rsidR="008F1DCD" w:rsidRPr="008F1DCD" w:rsidRDefault="008F1DCD">
      <w:pPr>
        <w:rPr>
          <w:i/>
        </w:rPr>
      </w:pPr>
      <w:r w:rsidRPr="008F1DCD">
        <w:rPr>
          <w:i/>
        </w:rPr>
        <w:t>Journals</w:t>
      </w:r>
    </w:p>
    <w:p w:rsidR="008F1DCD" w:rsidRPr="00252F5A" w:rsidRDefault="008F1DCD">
      <w:r>
        <w:t xml:space="preserve">E. B </w:t>
      </w:r>
      <w:proofErr w:type="spellStart"/>
      <w:r>
        <w:t>Fryde</w:t>
      </w:r>
      <w:proofErr w:type="spellEnd"/>
      <w:r>
        <w:t xml:space="preserve">, D. E. Greenway, S. Porter, I. Roy, </w:t>
      </w:r>
      <w:r>
        <w:rPr>
          <w:i/>
        </w:rPr>
        <w:t>Handbook of British Chronology</w:t>
      </w:r>
      <w:r>
        <w:t xml:space="preserve"> (Cambridge: Cambridge University Press, 1996)</w:t>
      </w:r>
    </w:p>
    <w:sectPr w:rsidR="008F1DCD" w:rsidRPr="00252F5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0408" w:rsidRDefault="00D40408" w:rsidP="001F06A1">
      <w:pPr>
        <w:spacing w:after="0" w:line="240" w:lineRule="auto"/>
      </w:pPr>
      <w:r>
        <w:separator/>
      </w:r>
    </w:p>
  </w:endnote>
  <w:endnote w:type="continuationSeparator" w:id="0">
    <w:p w:rsidR="00D40408" w:rsidRDefault="00D40408" w:rsidP="001F06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0408" w:rsidRDefault="00D40408" w:rsidP="001F06A1">
      <w:pPr>
        <w:spacing w:after="0" w:line="240" w:lineRule="auto"/>
      </w:pPr>
      <w:r>
        <w:separator/>
      </w:r>
    </w:p>
  </w:footnote>
  <w:footnote w:type="continuationSeparator" w:id="0">
    <w:p w:rsidR="00D40408" w:rsidRDefault="00D40408" w:rsidP="001F06A1">
      <w:pPr>
        <w:spacing w:after="0" w:line="240" w:lineRule="auto"/>
      </w:pPr>
      <w:r>
        <w:continuationSeparator/>
      </w:r>
    </w:p>
  </w:footnote>
  <w:footnote w:id="1">
    <w:p w:rsidR="008F1DCD" w:rsidRPr="008F1DCD" w:rsidRDefault="008F1DCD">
      <w:pPr>
        <w:pStyle w:val="FootnoteText"/>
      </w:pPr>
      <w:r>
        <w:rPr>
          <w:rStyle w:val="FootnoteReference"/>
        </w:rPr>
        <w:footnoteRef/>
      </w:r>
      <w:r>
        <w:t xml:space="preserve"> E. B </w:t>
      </w:r>
      <w:proofErr w:type="spellStart"/>
      <w:r>
        <w:t>Fryde</w:t>
      </w:r>
      <w:proofErr w:type="spellEnd"/>
      <w:r>
        <w:t xml:space="preserve">, D. E. Greenway, S. Porter, I. Roy, </w:t>
      </w:r>
      <w:r>
        <w:rPr>
          <w:i/>
        </w:rPr>
        <w:t>Handbook of British Chronology</w:t>
      </w:r>
      <w:r>
        <w:t xml:space="preserve"> (Cambridge: Cambridge University Press, 1996)</w:t>
      </w:r>
    </w:p>
  </w:footnote>
  <w:footnote w:id="2">
    <w:p w:rsidR="009F2DFC" w:rsidRDefault="009F2DFC">
      <w:pPr>
        <w:pStyle w:val="FootnoteText"/>
      </w:pPr>
      <w:r>
        <w:rPr>
          <w:rStyle w:val="FootnoteReference"/>
        </w:rPr>
        <w:footnoteRef/>
      </w:r>
      <w:r>
        <w:t xml:space="preserve"> R. W. Southern </w:t>
      </w:r>
      <w:r>
        <w:rPr>
          <w:i/>
        </w:rPr>
        <w:t xml:space="preserve">St. Anselm: A Portrait in a Landscape </w:t>
      </w:r>
      <w:r>
        <w:t>(Cambridge: Cambridge University Press, 1990)</w:t>
      </w:r>
    </w:p>
  </w:footnote>
  <w:footnote w:id="3">
    <w:p w:rsidR="007039F3" w:rsidRDefault="007039F3">
      <w:pPr>
        <w:pStyle w:val="FootnoteText"/>
      </w:pPr>
      <w:r>
        <w:rPr>
          <w:rStyle w:val="FootnoteReference"/>
        </w:rPr>
        <w:footnoteRef/>
      </w:r>
      <w:r>
        <w:t xml:space="preserve"> </w:t>
      </w:r>
      <w:r w:rsidR="002B16C5" w:rsidRPr="002B16C5">
        <w:t xml:space="preserve">C. W. Hollister, </w:t>
      </w:r>
      <w:r w:rsidR="002B16C5" w:rsidRPr="002B16C5">
        <w:rPr>
          <w:i/>
        </w:rPr>
        <w:t>Henry I</w:t>
      </w:r>
      <w:r w:rsidR="002B16C5" w:rsidRPr="002B16C5">
        <w:t xml:space="preserve"> (Londo</w:t>
      </w:r>
      <w:r w:rsidR="002B16C5">
        <w:t>n: Yale University Press, 2003)</w:t>
      </w:r>
    </w:p>
  </w:footnote>
  <w:footnote w:id="4">
    <w:p w:rsidR="00832C5F" w:rsidRPr="00C90D9C" w:rsidRDefault="00832C5F">
      <w:pPr>
        <w:pStyle w:val="FootnoteText"/>
      </w:pPr>
      <w:r>
        <w:rPr>
          <w:rStyle w:val="FootnoteReference"/>
        </w:rPr>
        <w:footnoteRef/>
      </w:r>
      <w:r>
        <w:t xml:space="preserve"> </w:t>
      </w:r>
      <w:r w:rsidR="00C90D9C">
        <w:t xml:space="preserve">J. A. Green, </w:t>
      </w:r>
      <w:r w:rsidR="00C90D9C">
        <w:rPr>
          <w:i/>
        </w:rPr>
        <w:t>Henry I: King of England and Duke of Normandy</w:t>
      </w:r>
      <w:r w:rsidR="00C90D9C">
        <w:t xml:space="preserve"> (Cambridge: Cambridge University Pres, 2009)</w:t>
      </w:r>
    </w:p>
  </w:footnote>
  <w:footnote w:id="5">
    <w:p w:rsidR="0081064D" w:rsidRPr="0081064D" w:rsidRDefault="0081064D">
      <w:pPr>
        <w:pStyle w:val="FootnoteText"/>
      </w:pPr>
      <w:r>
        <w:rPr>
          <w:rStyle w:val="FootnoteReference"/>
        </w:rPr>
        <w:footnoteRef/>
      </w:r>
      <w:r>
        <w:t xml:space="preserve"> </w:t>
      </w:r>
      <w:r w:rsidR="00C90D9C">
        <w:rPr>
          <w:i/>
        </w:rPr>
        <w:t>ibid</w:t>
      </w:r>
    </w:p>
  </w:footnote>
  <w:footnote w:id="6">
    <w:p w:rsidR="00A57756" w:rsidRDefault="00A57756">
      <w:pPr>
        <w:pStyle w:val="FootnoteText"/>
      </w:pPr>
      <w:r>
        <w:rPr>
          <w:rStyle w:val="FootnoteReference"/>
        </w:rPr>
        <w:footnoteRef/>
      </w:r>
      <w:r>
        <w:t xml:space="preserve"> </w:t>
      </w:r>
      <w:r w:rsidR="002B16C5">
        <w:t xml:space="preserve">C. W. Hollister, </w:t>
      </w:r>
      <w:r w:rsidR="002B16C5">
        <w:rPr>
          <w:i/>
        </w:rPr>
        <w:t>Henry I</w:t>
      </w:r>
      <w:r w:rsidR="002B16C5">
        <w:t xml:space="preserve"> (London: Yale University Press, 2003)</w:t>
      </w:r>
    </w:p>
  </w:footnote>
  <w:footnote w:id="7">
    <w:p w:rsidR="00AC64BA" w:rsidRDefault="00AC64BA">
      <w:pPr>
        <w:pStyle w:val="FootnoteText"/>
      </w:pPr>
      <w:r>
        <w:rPr>
          <w:rStyle w:val="FootnoteReference"/>
        </w:rPr>
        <w:footnoteRef/>
      </w:r>
      <w:r>
        <w:t xml:space="preserve"> </w:t>
      </w:r>
      <w:r w:rsidR="002B16C5">
        <w:rPr>
          <w:i/>
        </w:rPr>
        <w:t>ibid</w:t>
      </w:r>
    </w:p>
  </w:footnote>
  <w:footnote w:id="8">
    <w:p w:rsidR="004646E4" w:rsidRDefault="004646E4" w:rsidP="004646E4">
      <w:pPr>
        <w:pStyle w:val="FootnoteText"/>
      </w:pPr>
      <w:r>
        <w:rPr>
          <w:rStyle w:val="FootnoteReference"/>
        </w:rPr>
        <w:footnoteRef/>
      </w:r>
      <w:r>
        <w:t xml:space="preserve"> </w:t>
      </w:r>
      <w:r w:rsidR="002B16C5">
        <w:rPr>
          <w:i/>
        </w:rPr>
        <w:t>ibid</w:t>
      </w:r>
    </w:p>
  </w:footnote>
  <w:footnote w:id="9">
    <w:p w:rsidR="00EA7BFA" w:rsidRDefault="00EA7BFA" w:rsidP="00EA7BFA">
      <w:pPr>
        <w:pStyle w:val="FootnoteText"/>
      </w:pPr>
      <w:r>
        <w:rPr>
          <w:rStyle w:val="FootnoteReference"/>
        </w:rPr>
        <w:footnoteRef/>
      </w:r>
      <w:r w:rsidR="00DB21DA">
        <w:t xml:space="preserve"> </w:t>
      </w:r>
      <w:r w:rsidR="002B16C5">
        <w:rPr>
          <w:i/>
        </w:rPr>
        <w:t>ibid</w:t>
      </w:r>
    </w:p>
  </w:footnote>
  <w:footnote w:id="10">
    <w:p w:rsidR="00164279" w:rsidRDefault="00164279">
      <w:pPr>
        <w:pStyle w:val="FootnoteText"/>
      </w:pPr>
      <w:r>
        <w:rPr>
          <w:rStyle w:val="FootnoteReference"/>
        </w:rPr>
        <w:footnoteRef/>
      </w:r>
      <w:r>
        <w:t xml:space="preserve"> </w:t>
      </w:r>
      <w:r w:rsidR="00F00419">
        <w:t xml:space="preserve">J. A. Green, </w:t>
      </w:r>
      <w:r w:rsidR="00F00419">
        <w:rPr>
          <w:i/>
        </w:rPr>
        <w:t xml:space="preserve">The Government of England Under Henry I </w:t>
      </w:r>
      <w:r w:rsidR="00F00419">
        <w:t>(Cambridge: Cambridge University Press, 1986)</w:t>
      </w:r>
    </w:p>
  </w:footnote>
  <w:footnote w:id="11">
    <w:p w:rsidR="00164279" w:rsidRDefault="00164279">
      <w:pPr>
        <w:pStyle w:val="FootnoteText"/>
      </w:pPr>
      <w:r>
        <w:rPr>
          <w:rStyle w:val="FootnoteReference"/>
        </w:rPr>
        <w:footnoteRef/>
      </w:r>
      <w:r>
        <w:t xml:space="preserve"> </w:t>
      </w:r>
      <w:r w:rsidRPr="00C90D9C">
        <w:rPr>
          <w:i/>
        </w:rPr>
        <w:t>ibid</w:t>
      </w:r>
    </w:p>
  </w:footnote>
  <w:footnote w:id="12">
    <w:p w:rsidR="004C5A0C" w:rsidRDefault="004C5A0C">
      <w:pPr>
        <w:pStyle w:val="FootnoteText"/>
      </w:pPr>
      <w:r>
        <w:rPr>
          <w:rStyle w:val="FootnoteReference"/>
        </w:rPr>
        <w:footnoteRef/>
      </w:r>
      <w:r>
        <w:t xml:space="preserve"> </w:t>
      </w:r>
      <w:r w:rsidR="002B16C5">
        <w:t xml:space="preserve">C. W. Hollister, </w:t>
      </w:r>
      <w:r w:rsidR="002B16C5">
        <w:rPr>
          <w:i/>
        </w:rPr>
        <w:t>Henry I</w:t>
      </w:r>
      <w:r w:rsidR="002B16C5">
        <w:t xml:space="preserve"> (London: Yale University Press, 2003).</w:t>
      </w:r>
    </w:p>
  </w:footnote>
  <w:footnote w:id="13">
    <w:p w:rsidR="00A858C8" w:rsidRDefault="00A858C8">
      <w:pPr>
        <w:pStyle w:val="FootnoteText"/>
      </w:pPr>
      <w:r>
        <w:rPr>
          <w:rStyle w:val="FootnoteReference"/>
        </w:rPr>
        <w:footnoteRef/>
      </w:r>
      <w:r>
        <w:t xml:space="preserve"> </w:t>
      </w:r>
      <w:r w:rsidR="002B16C5">
        <w:rPr>
          <w:i/>
        </w:rPr>
        <w:t>ibid</w:t>
      </w:r>
    </w:p>
  </w:footnote>
  <w:footnote w:id="14">
    <w:p w:rsidR="00A859A5" w:rsidRDefault="00A859A5">
      <w:pPr>
        <w:pStyle w:val="FootnoteText"/>
      </w:pPr>
      <w:r>
        <w:rPr>
          <w:rStyle w:val="FootnoteReference"/>
        </w:rPr>
        <w:footnoteRef/>
      </w:r>
      <w:r>
        <w:t xml:space="preserve"> </w:t>
      </w:r>
      <w:r w:rsidR="002B16C5">
        <w:rPr>
          <w:i/>
        </w:rPr>
        <w:t>ibid</w:t>
      </w:r>
    </w:p>
  </w:footnote>
  <w:footnote w:id="15">
    <w:p w:rsidR="00BC201C" w:rsidRPr="00C90D9C" w:rsidRDefault="00BC201C">
      <w:pPr>
        <w:pStyle w:val="FootnoteText"/>
      </w:pPr>
      <w:r>
        <w:rPr>
          <w:rStyle w:val="FootnoteReference"/>
        </w:rPr>
        <w:footnoteRef/>
      </w:r>
      <w:r>
        <w:t xml:space="preserve"> </w:t>
      </w:r>
      <w:r w:rsidR="00C90D9C">
        <w:t xml:space="preserve">E. Hallam, J. A. </w:t>
      </w:r>
      <w:proofErr w:type="spellStart"/>
      <w:r w:rsidR="00C90D9C">
        <w:t>Everard</w:t>
      </w:r>
      <w:proofErr w:type="spellEnd"/>
      <w:r w:rsidR="00C90D9C">
        <w:t xml:space="preserve">, </w:t>
      </w:r>
      <w:proofErr w:type="spellStart"/>
      <w:r w:rsidR="00C90D9C">
        <w:rPr>
          <w:i/>
        </w:rPr>
        <w:t>Capetian</w:t>
      </w:r>
      <w:proofErr w:type="spellEnd"/>
      <w:r w:rsidR="00C90D9C">
        <w:rPr>
          <w:i/>
        </w:rPr>
        <w:t xml:space="preserve"> France, 987-1328 </w:t>
      </w:r>
      <w:r w:rsidR="00C90D9C">
        <w:t>(Harlow: Longman, 2001)</w:t>
      </w:r>
    </w:p>
  </w:footnote>
  <w:footnote w:id="16">
    <w:p w:rsidR="00781D07" w:rsidRDefault="00781D07">
      <w:pPr>
        <w:pStyle w:val="FootnoteText"/>
      </w:pPr>
      <w:r>
        <w:rPr>
          <w:rStyle w:val="FootnoteReference"/>
        </w:rPr>
        <w:footnoteRef/>
      </w:r>
      <w:r>
        <w:t xml:space="preserve"> </w:t>
      </w:r>
      <w:r w:rsidR="002B16C5">
        <w:t xml:space="preserve">C. W. Hollister, </w:t>
      </w:r>
      <w:r w:rsidR="002B16C5">
        <w:rPr>
          <w:i/>
        </w:rPr>
        <w:t>Henry I</w:t>
      </w:r>
      <w:r w:rsidR="002B16C5">
        <w:t xml:space="preserve"> (London: Yale University Press, 2003).</w:t>
      </w:r>
    </w:p>
  </w:footnote>
  <w:footnote w:id="17">
    <w:p w:rsidR="00A60D8A" w:rsidRDefault="00A60D8A">
      <w:pPr>
        <w:pStyle w:val="FootnoteText"/>
      </w:pPr>
      <w:r>
        <w:rPr>
          <w:rStyle w:val="FootnoteReference"/>
        </w:rPr>
        <w:footnoteRef/>
      </w:r>
      <w:r>
        <w:t xml:space="preserve"> </w:t>
      </w:r>
      <w:r w:rsidR="002B16C5">
        <w:rPr>
          <w:i/>
        </w:rPr>
        <w:t>ibid</w:t>
      </w:r>
    </w:p>
  </w:footnote>
  <w:footnote w:id="18">
    <w:p w:rsidR="00B17300" w:rsidRDefault="00B17300">
      <w:pPr>
        <w:pStyle w:val="FootnoteText"/>
      </w:pPr>
      <w:r>
        <w:rPr>
          <w:rStyle w:val="FootnoteReference"/>
        </w:rPr>
        <w:footnoteRef/>
      </w:r>
      <w:r>
        <w:t xml:space="preserve"> Vaug</w:t>
      </w:r>
      <w:r w:rsidR="000A2DD4">
        <w:t>h</w:t>
      </w:r>
      <w:r>
        <w:t>n 2007 pg. 134</w:t>
      </w:r>
    </w:p>
  </w:footnote>
  <w:footnote w:id="19">
    <w:p w:rsidR="00B17300" w:rsidRDefault="00B17300">
      <w:pPr>
        <w:pStyle w:val="FootnoteText"/>
      </w:pPr>
      <w:r>
        <w:rPr>
          <w:rStyle w:val="FootnoteReference"/>
        </w:rPr>
        <w:footnoteRef/>
      </w:r>
      <w:r>
        <w:t xml:space="preserve"> </w:t>
      </w:r>
      <w:r w:rsidR="00C90D9C">
        <w:t xml:space="preserve">J. A. Green, </w:t>
      </w:r>
      <w:r w:rsidR="00C90D9C">
        <w:rPr>
          <w:i/>
        </w:rPr>
        <w:t>Henry I: King of England and Duke of Normandy</w:t>
      </w:r>
      <w:r w:rsidR="00C90D9C">
        <w:t xml:space="preserve"> (Cambridge: Cambridge University Pres, 2009)</w:t>
      </w:r>
    </w:p>
  </w:footnote>
  <w:footnote w:id="20">
    <w:p w:rsidR="008344F3" w:rsidRDefault="008344F3">
      <w:pPr>
        <w:pStyle w:val="FootnoteText"/>
      </w:pPr>
      <w:r>
        <w:rPr>
          <w:rStyle w:val="FootnoteReference"/>
        </w:rPr>
        <w:footnoteRef/>
      </w:r>
      <w:r>
        <w:t xml:space="preserve"> </w:t>
      </w:r>
      <w:r w:rsidR="00C90D9C">
        <w:rPr>
          <w:i/>
        </w:rPr>
        <w:t>ibid</w:t>
      </w:r>
    </w:p>
  </w:footnote>
  <w:footnote w:id="21">
    <w:p w:rsidR="00A207EE" w:rsidRPr="00DD7FE4" w:rsidRDefault="00A207EE">
      <w:pPr>
        <w:pStyle w:val="FootnoteText"/>
      </w:pPr>
      <w:r>
        <w:rPr>
          <w:rStyle w:val="FootnoteReference"/>
        </w:rPr>
        <w:footnoteRef/>
      </w:r>
      <w:r>
        <w:t xml:space="preserve"> </w:t>
      </w:r>
      <w:r w:rsidR="00DD7FE4">
        <w:t xml:space="preserve">S. N. Vaughn, </w:t>
      </w:r>
      <w:r w:rsidR="00DD7FE4">
        <w:rPr>
          <w:i/>
        </w:rPr>
        <w:t xml:space="preserve">Henry I and the English Church: The Archbishops and the King </w:t>
      </w:r>
      <w:r w:rsidR="00DD7FE4">
        <w:t xml:space="preserve">(Woodbridge: </w:t>
      </w:r>
      <w:proofErr w:type="spellStart"/>
      <w:r w:rsidR="00DD7FE4">
        <w:t>Boydell</w:t>
      </w:r>
      <w:proofErr w:type="spellEnd"/>
      <w:r w:rsidR="00DD7FE4">
        <w:t xml:space="preserve"> Press, 2007)</w:t>
      </w:r>
    </w:p>
  </w:footnote>
  <w:footnote w:id="22">
    <w:p w:rsidR="00213AE9" w:rsidRDefault="00213AE9">
      <w:pPr>
        <w:pStyle w:val="FootnoteText"/>
      </w:pPr>
      <w:r>
        <w:rPr>
          <w:rStyle w:val="FootnoteReference"/>
        </w:rPr>
        <w:footnoteRef/>
      </w:r>
      <w:r>
        <w:t xml:space="preserve"> </w:t>
      </w:r>
      <w:r w:rsidR="004B2D95">
        <w:t xml:space="preserve">M. </w:t>
      </w:r>
      <w:r>
        <w:t>Brett</w:t>
      </w:r>
      <w:r w:rsidR="004B2D95">
        <w:t xml:space="preserve">, </w:t>
      </w:r>
      <w:r w:rsidR="004B2D95">
        <w:rPr>
          <w:i/>
        </w:rPr>
        <w:t>The English Church Under Henry I</w:t>
      </w:r>
      <w:r>
        <w:t xml:space="preserve"> </w:t>
      </w:r>
      <w:r w:rsidR="004B2D95">
        <w:t xml:space="preserve">(Oxford: Oxford University Press, </w:t>
      </w:r>
      <w:r>
        <w:t>1975</w:t>
      </w:r>
      <w:r w:rsidR="004B2D95">
        <w:t>)</w:t>
      </w:r>
    </w:p>
  </w:footnote>
  <w:footnote w:id="23">
    <w:p w:rsidR="00A005FF" w:rsidRDefault="00A005FF">
      <w:pPr>
        <w:pStyle w:val="FootnoteText"/>
      </w:pPr>
      <w:r>
        <w:rPr>
          <w:rStyle w:val="FootnoteReference"/>
        </w:rPr>
        <w:footnoteRef/>
      </w:r>
      <w:r>
        <w:t xml:space="preserve"> </w:t>
      </w:r>
      <w:r w:rsidR="00C90D9C">
        <w:t xml:space="preserve">J. A. Green, </w:t>
      </w:r>
      <w:r w:rsidR="00C90D9C">
        <w:rPr>
          <w:i/>
        </w:rPr>
        <w:t>Henry I: King of England and Duke of Normandy</w:t>
      </w:r>
      <w:r w:rsidR="00C90D9C">
        <w:t xml:space="preserve"> (Cambridge: Cambridge University Pres, 2009)</w:t>
      </w:r>
    </w:p>
  </w:footnote>
  <w:footnote w:id="24">
    <w:p w:rsidR="00A005FF" w:rsidRDefault="00A005FF">
      <w:pPr>
        <w:pStyle w:val="FootnoteText"/>
      </w:pPr>
      <w:r>
        <w:rPr>
          <w:rStyle w:val="FootnoteReference"/>
        </w:rPr>
        <w:footnoteRef/>
      </w:r>
      <w:r>
        <w:t xml:space="preserve"> </w:t>
      </w:r>
      <w:proofErr w:type="spellStart"/>
      <w:r>
        <w:t>Mayr-Harting</w:t>
      </w:r>
      <w:proofErr w:type="spellEnd"/>
      <w:r>
        <w:t xml:space="preserve"> 2011 pg. 47-48</w:t>
      </w:r>
    </w:p>
  </w:footnote>
  <w:footnote w:id="25">
    <w:p w:rsidR="00A005FF" w:rsidRDefault="00A005FF">
      <w:pPr>
        <w:pStyle w:val="FootnoteText"/>
      </w:pPr>
      <w:r>
        <w:rPr>
          <w:rStyle w:val="FootnoteReference"/>
        </w:rPr>
        <w:footnoteRef/>
      </w:r>
      <w:r>
        <w:t xml:space="preserve"> </w:t>
      </w:r>
      <w:r w:rsidR="002B16C5">
        <w:t xml:space="preserve">C. W. Hollister, </w:t>
      </w:r>
      <w:r w:rsidR="002B16C5">
        <w:rPr>
          <w:i/>
        </w:rPr>
        <w:t>Henry I</w:t>
      </w:r>
      <w:r w:rsidR="002B16C5">
        <w:t xml:space="preserve"> (London: Yale University Press, 2003).</w:t>
      </w:r>
    </w:p>
  </w:footnote>
  <w:footnote w:id="26">
    <w:p w:rsidR="00BE27C2" w:rsidRPr="002B16C5" w:rsidRDefault="00BE27C2">
      <w:pPr>
        <w:pStyle w:val="FootnoteText"/>
        <w:rPr>
          <w:i/>
        </w:rPr>
      </w:pPr>
      <w:r>
        <w:rPr>
          <w:rStyle w:val="FootnoteReference"/>
        </w:rPr>
        <w:footnoteRef/>
      </w:r>
      <w:r>
        <w:t xml:space="preserve"> </w:t>
      </w:r>
      <w:r w:rsidR="002B16C5">
        <w:rPr>
          <w:i/>
        </w:rPr>
        <w:t>ibid</w:t>
      </w:r>
    </w:p>
  </w:footnote>
  <w:footnote w:id="27">
    <w:p w:rsidR="00BE27C2" w:rsidRDefault="00BE27C2">
      <w:pPr>
        <w:pStyle w:val="FootnoteText"/>
      </w:pPr>
      <w:r>
        <w:rPr>
          <w:rStyle w:val="FootnoteReference"/>
        </w:rPr>
        <w:footnoteRef/>
      </w:r>
      <w:r>
        <w:t xml:space="preserve"> </w:t>
      </w:r>
      <w:r w:rsidR="002B16C5">
        <w:rPr>
          <w:i/>
        </w:rPr>
        <w:t>ibid</w:t>
      </w:r>
    </w:p>
  </w:footnote>
  <w:footnote w:id="28">
    <w:p w:rsidR="002345D7" w:rsidRDefault="002345D7">
      <w:pPr>
        <w:pStyle w:val="FootnoteText"/>
      </w:pPr>
      <w:r>
        <w:rPr>
          <w:rStyle w:val="FootnoteReference"/>
        </w:rPr>
        <w:footnoteRef/>
      </w:r>
      <w:r>
        <w:t xml:space="preserve"> </w:t>
      </w:r>
      <w:r w:rsidR="002B16C5">
        <w:rPr>
          <w:i/>
        </w:rPr>
        <w:t>ibid</w:t>
      </w:r>
    </w:p>
  </w:footnote>
  <w:footnote w:id="29">
    <w:p w:rsidR="00A14264" w:rsidRDefault="00A14264">
      <w:pPr>
        <w:pStyle w:val="FootnoteText"/>
      </w:pPr>
      <w:r>
        <w:rPr>
          <w:rStyle w:val="FootnoteReference"/>
        </w:rPr>
        <w:footnoteRef/>
      </w:r>
      <w:r>
        <w:t xml:space="preserve"> </w:t>
      </w:r>
      <w:r w:rsidR="002B16C5">
        <w:rPr>
          <w:i/>
        </w:rPr>
        <w:t>ibid</w:t>
      </w:r>
    </w:p>
  </w:footnote>
  <w:footnote w:id="30">
    <w:p w:rsidR="00625CE7" w:rsidRDefault="00625CE7">
      <w:pPr>
        <w:pStyle w:val="FootnoteText"/>
      </w:pPr>
      <w:r>
        <w:rPr>
          <w:rStyle w:val="FootnoteReference"/>
        </w:rPr>
        <w:footnoteRef/>
      </w:r>
      <w:r>
        <w:t xml:space="preserve"> </w:t>
      </w:r>
      <w:r w:rsidR="002B16C5">
        <w:rPr>
          <w:i/>
        </w:rPr>
        <w:t>ibid</w:t>
      </w:r>
    </w:p>
  </w:footnote>
  <w:footnote w:id="31">
    <w:p w:rsidR="00261F79" w:rsidRDefault="00261F79">
      <w:pPr>
        <w:pStyle w:val="FootnoteText"/>
      </w:pPr>
      <w:r>
        <w:rPr>
          <w:rStyle w:val="FootnoteReference"/>
        </w:rPr>
        <w:footnoteRef/>
      </w:r>
      <w:r>
        <w:t xml:space="preserve"> </w:t>
      </w:r>
      <w:r w:rsidR="00C90D9C">
        <w:t xml:space="preserve">C. A. </w:t>
      </w:r>
      <w:r>
        <w:t>Newman</w:t>
      </w:r>
      <w:r w:rsidR="00C90D9C">
        <w:t xml:space="preserve">, </w:t>
      </w:r>
      <w:r w:rsidR="00C90D9C">
        <w:rPr>
          <w:i/>
        </w:rPr>
        <w:t xml:space="preserve">The Anglo-Norman Nobility in the Reign of Henry I: The Second Generation </w:t>
      </w:r>
      <w:r w:rsidR="00C90D9C">
        <w:t>(Philadelphia: University of Pennsylvania Press, 1988)</w:t>
      </w:r>
    </w:p>
  </w:footnote>
  <w:footnote w:id="32">
    <w:p w:rsidR="00DD3DF1" w:rsidRDefault="00DD3DF1">
      <w:pPr>
        <w:pStyle w:val="FootnoteText"/>
      </w:pPr>
      <w:r>
        <w:rPr>
          <w:rStyle w:val="FootnoteReference"/>
        </w:rPr>
        <w:footnoteRef/>
      </w:r>
      <w:r>
        <w:t xml:space="preserve"> </w:t>
      </w:r>
      <w:r w:rsidR="00C90D9C">
        <w:t xml:space="preserve">C. H. </w:t>
      </w:r>
      <w:r>
        <w:t>Haskins</w:t>
      </w:r>
      <w:r w:rsidR="00C90D9C">
        <w:t xml:space="preserve">, </w:t>
      </w:r>
      <w:r w:rsidR="00C90D9C">
        <w:rPr>
          <w:i/>
        </w:rPr>
        <w:t>Norman Institutions</w:t>
      </w:r>
      <w:r>
        <w:t xml:space="preserve"> </w:t>
      </w:r>
      <w:r w:rsidR="00C90D9C">
        <w:t xml:space="preserve">(Cambridge: Harvard University Press, </w:t>
      </w:r>
      <w:r>
        <w:t>1918</w:t>
      </w:r>
      <w:r w:rsidR="00C90D9C">
        <w:t>)</w:t>
      </w:r>
    </w:p>
  </w:footnote>
  <w:footnote w:id="33">
    <w:p w:rsidR="00EC1650" w:rsidRDefault="00EC1650">
      <w:pPr>
        <w:pStyle w:val="FootnoteText"/>
      </w:pPr>
      <w:r>
        <w:rPr>
          <w:rStyle w:val="FootnoteReference"/>
        </w:rPr>
        <w:footnoteRef/>
      </w:r>
      <w:r>
        <w:t xml:space="preserve"> </w:t>
      </w:r>
      <w:r w:rsidR="00F00419">
        <w:t xml:space="preserve">J. A. Green, </w:t>
      </w:r>
      <w:r w:rsidR="00F00419">
        <w:rPr>
          <w:i/>
        </w:rPr>
        <w:t xml:space="preserve">The Government of England Under Henry I </w:t>
      </w:r>
      <w:r w:rsidR="00F00419">
        <w:t>(Cambridge: Cambridge University Press, 1986)</w:t>
      </w:r>
    </w:p>
  </w:footnote>
  <w:footnote w:id="34">
    <w:p w:rsidR="00EC1650" w:rsidRDefault="00EC1650">
      <w:pPr>
        <w:pStyle w:val="FootnoteText"/>
      </w:pPr>
      <w:r>
        <w:rPr>
          <w:rStyle w:val="FootnoteReference"/>
        </w:rPr>
        <w:footnoteRef/>
      </w:r>
      <w:r>
        <w:t xml:space="preserve"> </w:t>
      </w:r>
      <w:r w:rsidRPr="00F00419">
        <w:rPr>
          <w:i/>
        </w:rPr>
        <w:t>ibid</w:t>
      </w:r>
    </w:p>
  </w:footnote>
  <w:footnote w:id="35">
    <w:p w:rsidR="00C743F4" w:rsidRPr="00F00419" w:rsidRDefault="00C743F4">
      <w:pPr>
        <w:pStyle w:val="FootnoteText"/>
      </w:pPr>
      <w:r>
        <w:rPr>
          <w:rStyle w:val="FootnoteReference"/>
        </w:rPr>
        <w:footnoteRef/>
      </w:r>
      <w:r>
        <w:t xml:space="preserve"> </w:t>
      </w:r>
      <w:r w:rsidR="00F00419">
        <w:rPr>
          <w:i/>
        </w:rPr>
        <w:t>ibid</w:t>
      </w:r>
    </w:p>
  </w:footnote>
  <w:footnote w:id="36">
    <w:p w:rsidR="00B315DE" w:rsidRDefault="00B315DE">
      <w:pPr>
        <w:pStyle w:val="FootnoteText"/>
      </w:pPr>
      <w:r>
        <w:rPr>
          <w:rStyle w:val="FootnoteReference"/>
        </w:rPr>
        <w:footnoteRef/>
      </w:r>
      <w:r>
        <w:t xml:space="preserve"> </w:t>
      </w:r>
      <w:r w:rsidRPr="00F00419">
        <w:rPr>
          <w:i/>
        </w:rPr>
        <w:t>ibid</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4CBC"/>
    <w:rsid w:val="00040D2E"/>
    <w:rsid w:val="000713C5"/>
    <w:rsid w:val="000A2DD4"/>
    <w:rsid w:val="000C7E69"/>
    <w:rsid w:val="000E3B2C"/>
    <w:rsid w:val="000F0831"/>
    <w:rsid w:val="000F6A8D"/>
    <w:rsid w:val="00105765"/>
    <w:rsid w:val="00164279"/>
    <w:rsid w:val="00167339"/>
    <w:rsid w:val="001B4522"/>
    <w:rsid w:val="001F06A1"/>
    <w:rsid w:val="00206AF9"/>
    <w:rsid w:val="00213AE9"/>
    <w:rsid w:val="00226256"/>
    <w:rsid w:val="002314A0"/>
    <w:rsid w:val="002345D7"/>
    <w:rsid w:val="00252F5A"/>
    <w:rsid w:val="00261F79"/>
    <w:rsid w:val="002B16C5"/>
    <w:rsid w:val="002B5C05"/>
    <w:rsid w:val="002C5E4D"/>
    <w:rsid w:val="003E01E9"/>
    <w:rsid w:val="00442278"/>
    <w:rsid w:val="00455650"/>
    <w:rsid w:val="004646E4"/>
    <w:rsid w:val="004835B4"/>
    <w:rsid w:val="004B2D95"/>
    <w:rsid w:val="004C5A0C"/>
    <w:rsid w:val="005000DF"/>
    <w:rsid w:val="005177CC"/>
    <w:rsid w:val="00580315"/>
    <w:rsid w:val="005A195B"/>
    <w:rsid w:val="005B367E"/>
    <w:rsid w:val="005C2E4A"/>
    <w:rsid w:val="005F5170"/>
    <w:rsid w:val="006251D2"/>
    <w:rsid w:val="00625CE7"/>
    <w:rsid w:val="00644548"/>
    <w:rsid w:val="006779B0"/>
    <w:rsid w:val="00695E06"/>
    <w:rsid w:val="006C1F66"/>
    <w:rsid w:val="006D0630"/>
    <w:rsid w:val="006E34EA"/>
    <w:rsid w:val="007039F3"/>
    <w:rsid w:val="00704467"/>
    <w:rsid w:val="00781D07"/>
    <w:rsid w:val="007C21C8"/>
    <w:rsid w:val="007E1F6F"/>
    <w:rsid w:val="007E4AEA"/>
    <w:rsid w:val="0081064D"/>
    <w:rsid w:val="00832B12"/>
    <w:rsid w:val="00832C5F"/>
    <w:rsid w:val="008344F3"/>
    <w:rsid w:val="00855245"/>
    <w:rsid w:val="008A1FBA"/>
    <w:rsid w:val="008C471D"/>
    <w:rsid w:val="008F1DCD"/>
    <w:rsid w:val="00930FBF"/>
    <w:rsid w:val="00964063"/>
    <w:rsid w:val="00975F6F"/>
    <w:rsid w:val="009B4E69"/>
    <w:rsid w:val="009F2DFC"/>
    <w:rsid w:val="00A005FF"/>
    <w:rsid w:val="00A0737E"/>
    <w:rsid w:val="00A14264"/>
    <w:rsid w:val="00A207EE"/>
    <w:rsid w:val="00A220D1"/>
    <w:rsid w:val="00A57756"/>
    <w:rsid w:val="00A60D8A"/>
    <w:rsid w:val="00A83EA8"/>
    <w:rsid w:val="00A858C8"/>
    <w:rsid w:val="00A859A5"/>
    <w:rsid w:val="00A86543"/>
    <w:rsid w:val="00AC22F2"/>
    <w:rsid w:val="00AC4CBC"/>
    <w:rsid w:val="00AC5E73"/>
    <w:rsid w:val="00AC64BA"/>
    <w:rsid w:val="00AE1809"/>
    <w:rsid w:val="00B17300"/>
    <w:rsid w:val="00B315DE"/>
    <w:rsid w:val="00B44598"/>
    <w:rsid w:val="00BB7EE6"/>
    <w:rsid w:val="00BC201C"/>
    <w:rsid w:val="00BE27C2"/>
    <w:rsid w:val="00C716B0"/>
    <w:rsid w:val="00C743F4"/>
    <w:rsid w:val="00C90D9C"/>
    <w:rsid w:val="00C96ACB"/>
    <w:rsid w:val="00CA4F6F"/>
    <w:rsid w:val="00CA5710"/>
    <w:rsid w:val="00CC5D0F"/>
    <w:rsid w:val="00D07658"/>
    <w:rsid w:val="00D15723"/>
    <w:rsid w:val="00D40408"/>
    <w:rsid w:val="00D510D2"/>
    <w:rsid w:val="00D86019"/>
    <w:rsid w:val="00DA3830"/>
    <w:rsid w:val="00DB21DA"/>
    <w:rsid w:val="00DC501E"/>
    <w:rsid w:val="00DD3DF1"/>
    <w:rsid w:val="00DD7FE4"/>
    <w:rsid w:val="00DF3D68"/>
    <w:rsid w:val="00E276C8"/>
    <w:rsid w:val="00E36A95"/>
    <w:rsid w:val="00E57ECE"/>
    <w:rsid w:val="00E768FB"/>
    <w:rsid w:val="00EA3CEF"/>
    <w:rsid w:val="00EA7BFA"/>
    <w:rsid w:val="00EC1650"/>
    <w:rsid w:val="00F00419"/>
    <w:rsid w:val="00F6298A"/>
    <w:rsid w:val="00FA3F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6E9C179-B29A-4408-ABC2-B99F1AD71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8A1FBA"/>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57E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E57ECE"/>
    <w:rPr>
      <w:color w:val="0000FF"/>
      <w:u w:val="single"/>
    </w:rPr>
  </w:style>
  <w:style w:type="paragraph" w:styleId="FootnoteText">
    <w:name w:val="footnote text"/>
    <w:basedOn w:val="Normal"/>
    <w:link w:val="FootnoteTextChar"/>
    <w:uiPriority w:val="99"/>
    <w:semiHidden/>
    <w:unhideWhenUsed/>
    <w:rsid w:val="001F06A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F06A1"/>
    <w:rPr>
      <w:sz w:val="20"/>
      <w:szCs w:val="20"/>
    </w:rPr>
  </w:style>
  <w:style w:type="character" w:styleId="FootnoteReference">
    <w:name w:val="footnote reference"/>
    <w:basedOn w:val="DefaultParagraphFont"/>
    <w:uiPriority w:val="99"/>
    <w:semiHidden/>
    <w:unhideWhenUsed/>
    <w:rsid w:val="001F06A1"/>
    <w:rPr>
      <w:vertAlign w:val="superscript"/>
    </w:rPr>
  </w:style>
  <w:style w:type="character" w:customStyle="1" w:styleId="Heading3Char">
    <w:name w:val="Heading 3 Char"/>
    <w:basedOn w:val="DefaultParagraphFont"/>
    <w:link w:val="Heading3"/>
    <w:uiPriority w:val="9"/>
    <w:rsid w:val="008A1FBA"/>
    <w:rPr>
      <w:rFonts w:ascii="Times New Roman" w:eastAsia="Times New Roman" w:hAnsi="Times New Roman" w:cs="Times New Roman"/>
      <w:b/>
      <w:bCs/>
      <w:sz w:val="27"/>
      <w:szCs w:val="2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55891">
      <w:bodyDiv w:val="1"/>
      <w:marLeft w:val="0"/>
      <w:marRight w:val="0"/>
      <w:marTop w:val="0"/>
      <w:marBottom w:val="0"/>
      <w:divBdr>
        <w:top w:val="none" w:sz="0" w:space="0" w:color="auto"/>
        <w:left w:val="none" w:sz="0" w:space="0" w:color="auto"/>
        <w:bottom w:val="none" w:sz="0" w:space="0" w:color="auto"/>
        <w:right w:val="none" w:sz="0" w:space="0" w:color="auto"/>
      </w:divBdr>
    </w:div>
    <w:div w:id="66148096">
      <w:bodyDiv w:val="1"/>
      <w:marLeft w:val="0"/>
      <w:marRight w:val="0"/>
      <w:marTop w:val="0"/>
      <w:marBottom w:val="0"/>
      <w:divBdr>
        <w:top w:val="none" w:sz="0" w:space="0" w:color="auto"/>
        <w:left w:val="none" w:sz="0" w:space="0" w:color="auto"/>
        <w:bottom w:val="none" w:sz="0" w:space="0" w:color="auto"/>
        <w:right w:val="none" w:sz="0" w:space="0" w:color="auto"/>
      </w:divBdr>
    </w:div>
    <w:div w:id="329871277">
      <w:bodyDiv w:val="1"/>
      <w:marLeft w:val="0"/>
      <w:marRight w:val="0"/>
      <w:marTop w:val="0"/>
      <w:marBottom w:val="0"/>
      <w:divBdr>
        <w:top w:val="none" w:sz="0" w:space="0" w:color="auto"/>
        <w:left w:val="none" w:sz="0" w:space="0" w:color="auto"/>
        <w:bottom w:val="none" w:sz="0" w:space="0" w:color="auto"/>
        <w:right w:val="none" w:sz="0" w:space="0" w:color="auto"/>
      </w:divBdr>
    </w:div>
    <w:div w:id="924146001">
      <w:bodyDiv w:val="1"/>
      <w:marLeft w:val="0"/>
      <w:marRight w:val="0"/>
      <w:marTop w:val="0"/>
      <w:marBottom w:val="0"/>
      <w:divBdr>
        <w:top w:val="none" w:sz="0" w:space="0" w:color="auto"/>
        <w:left w:val="none" w:sz="0" w:space="0" w:color="auto"/>
        <w:bottom w:val="none" w:sz="0" w:space="0" w:color="auto"/>
        <w:right w:val="none" w:sz="0" w:space="0" w:color="auto"/>
      </w:divBdr>
    </w:div>
    <w:div w:id="1722175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44271C-AB8A-4040-9FE8-9DD42B113E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2228</Words>
  <Characters>11255</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dc:creator>
  <cp:keywords/>
  <dc:description/>
  <cp:lastModifiedBy>Angharad</cp:lastModifiedBy>
  <cp:revision>2</cp:revision>
  <dcterms:created xsi:type="dcterms:W3CDTF">2018-03-10T09:49:00Z</dcterms:created>
  <dcterms:modified xsi:type="dcterms:W3CDTF">2018-03-10T09:49:00Z</dcterms:modified>
</cp:coreProperties>
</file>