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5E2C" w:rsidRPr="00505E2C" w:rsidRDefault="00505E2C" w:rsidP="00505E2C">
      <w:pPr>
        <w:spacing w:line="360" w:lineRule="auto"/>
        <w:rPr>
          <w:b/>
          <w:i/>
        </w:rPr>
      </w:pPr>
      <w:r w:rsidRPr="00505E2C">
        <w:rPr>
          <w:b/>
          <w:i/>
        </w:rPr>
        <w:t xml:space="preserve">Amatus of </w:t>
      </w:r>
      <w:proofErr w:type="spellStart"/>
      <w:r w:rsidRPr="00505E2C">
        <w:rPr>
          <w:b/>
          <w:i/>
        </w:rPr>
        <w:t>Montecassiono</w:t>
      </w:r>
      <w:proofErr w:type="spellEnd"/>
      <w:r w:rsidRPr="00505E2C">
        <w:rPr>
          <w:b/>
          <w:i/>
        </w:rPr>
        <w:t xml:space="preserve"> </w:t>
      </w:r>
      <w:proofErr w:type="gramStart"/>
      <w:r w:rsidRPr="00505E2C">
        <w:rPr>
          <w:b/>
          <w:i/>
        </w:rPr>
        <w:t>The</w:t>
      </w:r>
      <w:proofErr w:type="gramEnd"/>
      <w:r w:rsidRPr="00505E2C">
        <w:rPr>
          <w:b/>
          <w:i/>
        </w:rPr>
        <w:t xml:space="preserve"> History of the Normans</w:t>
      </w:r>
    </w:p>
    <w:p w:rsidR="00505E2C" w:rsidRPr="00505E2C" w:rsidRDefault="00505E2C" w:rsidP="00505E2C">
      <w:pPr>
        <w:spacing w:line="360" w:lineRule="auto"/>
        <w:rPr>
          <w:b/>
        </w:rPr>
      </w:pPr>
    </w:p>
    <w:p w:rsidR="00505E2C" w:rsidRPr="00505E2C" w:rsidRDefault="00505E2C" w:rsidP="00505E2C">
      <w:pPr>
        <w:spacing w:line="360" w:lineRule="auto"/>
        <w:rPr>
          <w:b/>
        </w:rPr>
      </w:pPr>
      <w:r w:rsidRPr="00505E2C">
        <w:rPr>
          <w:b/>
        </w:rPr>
        <w:t>Book One</w:t>
      </w:r>
    </w:p>
    <w:p w:rsidR="00505E2C" w:rsidRPr="00505E2C" w:rsidRDefault="00505E2C" w:rsidP="00505E2C">
      <w:pPr>
        <w:spacing w:line="360" w:lineRule="auto"/>
      </w:pPr>
    </w:p>
    <w:p w:rsidR="00505E2C" w:rsidRPr="00505E2C" w:rsidRDefault="00505E2C" w:rsidP="00505E2C">
      <w:pPr>
        <w:spacing w:line="360" w:lineRule="auto"/>
      </w:pPr>
      <w:r w:rsidRPr="00505E2C">
        <w:t>[</w:t>
      </w:r>
      <w:r w:rsidRPr="00505E2C">
        <w:rPr>
          <w:i/>
        </w:rPr>
        <w:t>We find in the first chapter of the History of the Normans that</w:t>
      </w:r>
      <w:r w:rsidRPr="00505E2C">
        <w:t>] at the end of France there is a plain filled with woods and fruit trees. In this narrow place lived a great number of very robust and strong people who had previously lived on an island called ‘Nora’. And for this reason they were called ‘Normans’ that is men of ‘Nora’, for ‘man’ in the German language is the equivalent of [the French word] ‘home’. This people had increased to such a number that the fields and orchards were not sufficient for producing the necessities of life for so many.</w:t>
      </w:r>
    </w:p>
    <w:p w:rsidR="00505E2C" w:rsidRPr="00505E2C" w:rsidRDefault="00505E2C" w:rsidP="00505E2C">
      <w:pPr>
        <w:spacing w:line="360" w:lineRule="auto"/>
      </w:pPr>
    </w:p>
    <w:p w:rsidR="00505E2C" w:rsidRDefault="00505E2C" w:rsidP="00505E2C">
      <w:pPr>
        <w:spacing w:line="360" w:lineRule="auto"/>
      </w:pPr>
      <w:r w:rsidRPr="00505E2C">
        <w:t xml:space="preserve">Therefore, they scattered here and there throughout different parts of the world, that is, in various lands and </w:t>
      </w:r>
      <w:r w:rsidRPr="00505E2C">
        <w:rPr>
          <w:i/>
        </w:rPr>
        <w:t>countries</w:t>
      </w:r>
      <w:r w:rsidRPr="00505E2C">
        <w:t xml:space="preserve"> [</w:t>
      </w:r>
      <w:r w:rsidRPr="00505E2C">
        <w:rPr>
          <w:i/>
        </w:rPr>
        <w:t>for different countries are called ‘climes’ according to the diverse disposition of heaven</w:t>
      </w:r>
      <w:r w:rsidRPr="00505E2C">
        <w:t>]. Abandoning little in order to acquire much, these people departed, but they did not follow the custom of many who go through the world placing themselves in the service of others; rather, like the ancient warriors, they desired to have all people under their rule and dominion. They took up arms, breaking the bond of peace, and created a great army foot soldiers and horsemen. Now we shall tell you how they scattered throughout the world and made their way.</w:t>
      </w:r>
    </w:p>
    <w:p w:rsidR="00505E2C" w:rsidRDefault="00505E2C" w:rsidP="00505E2C">
      <w:pPr>
        <w:spacing w:line="360" w:lineRule="auto"/>
      </w:pPr>
      <w:bookmarkStart w:id="0" w:name="_GoBack"/>
      <w:bookmarkEnd w:id="0"/>
    </w:p>
    <w:p w:rsidR="00505E2C" w:rsidRDefault="00505E2C">
      <w:r>
        <w:br w:type="page"/>
      </w:r>
    </w:p>
    <w:p w:rsidR="00A36283" w:rsidRDefault="003C067C" w:rsidP="00C4385A">
      <w:pPr>
        <w:spacing w:line="360" w:lineRule="auto"/>
        <w:rPr>
          <w:sz w:val="24"/>
        </w:rPr>
      </w:pPr>
      <w:r>
        <w:rPr>
          <w:sz w:val="24"/>
        </w:rPr>
        <w:lastRenderedPageBreak/>
        <w:t xml:space="preserve">The extract that will be discussed throughout the course of this commentary </w:t>
      </w:r>
      <w:r w:rsidR="00A07B17">
        <w:rPr>
          <w:sz w:val="24"/>
        </w:rPr>
        <w:t xml:space="preserve">is a small section of </w:t>
      </w:r>
      <w:r w:rsidR="00A07B17">
        <w:rPr>
          <w:i/>
          <w:sz w:val="24"/>
        </w:rPr>
        <w:t xml:space="preserve">The History of The Normans, </w:t>
      </w:r>
      <w:r w:rsidR="00A07B17">
        <w:rPr>
          <w:sz w:val="24"/>
        </w:rPr>
        <w:t xml:space="preserve">written by </w:t>
      </w:r>
      <w:r w:rsidR="00A07B17" w:rsidRPr="00A07B17">
        <w:rPr>
          <w:sz w:val="24"/>
        </w:rPr>
        <w:t>Amatus of Montecassino</w:t>
      </w:r>
      <w:r w:rsidR="00A07B17">
        <w:rPr>
          <w:sz w:val="24"/>
        </w:rPr>
        <w:t>. Amatus was a Benedictine monk who composed his writin</w:t>
      </w:r>
      <w:r w:rsidR="00933882">
        <w:rPr>
          <w:sz w:val="24"/>
        </w:rPr>
        <w:t>gs at the Abbey of Montecassino and this work focuses on the history of the Norman arrival and occupation of Southern Italy.</w:t>
      </w:r>
      <w:r w:rsidR="00933882">
        <w:rPr>
          <w:rStyle w:val="FootnoteReference"/>
          <w:sz w:val="24"/>
        </w:rPr>
        <w:footnoteReference w:id="1"/>
      </w:r>
      <w:r w:rsidR="00933882">
        <w:rPr>
          <w:sz w:val="24"/>
        </w:rPr>
        <w:t xml:space="preserve"> The work was completed in the 1080’s, which makes it the earliest surviving contemporary account of the events in the area at the time.</w:t>
      </w:r>
      <w:r w:rsidR="00933882">
        <w:rPr>
          <w:rStyle w:val="FootnoteReference"/>
          <w:sz w:val="24"/>
        </w:rPr>
        <w:footnoteReference w:id="2"/>
      </w:r>
      <w:r w:rsidR="00B50069">
        <w:rPr>
          <w:sz w:val="24"/>
        </w:rPr>
        <w:t xml:space="preserve"> Therefore, this work of Amatus is generally considered among historians as one of the most useful sources to use when one is trying to gain a better understanding of the Normans in Southern Italy.</w:t>
      </w:r>
    </w:p>
    <w:p w:rsidR="00F36B7B" w:rsidRDefault="00F36B7B" w:rsidP="00C4385A">
      <w:pPr>
        <w:spacing w:line="360" w:lineRule="auto"/>
        <w:rPr>
          <w:sz w:val="24"/>
        </w:rPr>
      </w:pPr>
    </w:p>
    <w:p w:rsidR="00F36B7B" w:rsidRDefault="00F36B7B" w:rsidP="00C4385A">
      <w:pPr>
        <w:spacing w:line="360" w:lineRule="auto"/>
        <w:rPr>
          <w:sz w:val="24"/>
        </w:rPr>
      </w:pPr>
    </w:p>
    <w:p w:rsidR="00A36283" w:rsidRDefault="00A36283" w:rsidP="00C4385A">
      <w:pPr>
        <w:spacing w:line="360" w:lineRule="auto"/>
        <w:rPr>
          <w:sz w:val="24"/>
        </w:rPr>
      </w:pPr>
      <w:r>
        <w:rPr>
          <w:sz w:val="24"/>
        </w:rPr>
        <w:t xml:space="preserve">This particular section early in </w:t>
      </w:r>
      <w:r w:rsidRPr="00A36283">
        <w:rPr>
          <w:i/>
          <w:sz w:val="24"/>
        </w:rPr>
        <w:t>The History of the Normans</w:t>
      </w:r>
      <w:r>
        <w:rPr>
          <w:sz w:val="24"/>
        </w:rPr>
        <w:t xml:space="preserve"> focuses on the background of the Normans, how they arrived in Italy and other parts of the world and gives us a hint at the characterisation of the Normans that would be portrayed throughout the work.</w:t>
      </w:r>
      <w:r w:rsidR="0075058C">
        <w:rPr>
          <w:sz w:val="24"/>
        </w:rPr>
        <w:t xml:space="preserve"> This characterisation is one that would be reinforced by both other writers of his time as well as subsequent authors. The language used throughout the second paragraph of this extract is very strong and in certain ways can be interpreted as negative. It is, however, very similar to the language used by writers such as William of Malmesbury, who in his work </w:t>
      </w:r>
      <w:r w:rsidR="0075058C">
        <w:rPr>
          <w:i/>
          <w:sz w:val="24"/>
        </w:rPr>
        <w:t xml:space="preserve">The Deeds of the Kings of the English </w:t>
      </w:r>
      <w:r w:rsidR="0075058C">
        <w:rPr>
          <w:sz w:val="24"/>
        </w:rPr>
        <w:t>says of the Normans “</w:t>
      </w:r>
      <w:r w:rsidR="0075058C" w:rsidRPr="0075058C">
        <w:rPr>
          <w:sz w:val="24"/>
        </w:rPr>
        <w:t>The Normans... can hardly live without war, fierce in attacking their enemies, and when force fai</w:t>
      </w:r>
      <w:r w:rsidR="00B457C8">
        <w:rPr>
          <w:sz w:val="24"/>
        </w:rPr>
        <w:t>ls, ready to corrupt by bribery”.</w:t>
      </w:r>
      <w:r w:rsidR="00B457C8">
        <w:rPr>
          <w:rStyle w:val="FootnoteReference"/>
          <w:sz w:val="24"/>
        </w:rPr>
        <w:footnoteReference w:id="3"/>
      </w:r>
      <w:r w:rsidR="00EC6F18">
        <w:rPr>
          <w:sz w:val="24"/>
        </w:rPr>
        <w:t xml:space="preserve"> Although not saying exactly the same words, </w:t>
      </w:r>
      <w:r w:rsidR="00F36B7B">
        <w:rPr>
          <w:sz w:val="24"/>
        </w:rPr>
        <w:t>the message behind the text are almost the same in both of these examples; that the Normans would do whatever</w:t>
      </w:r>
      <w:r w:rsidR="000938D5">
        <w:rPr>
          <w:sz w:val="24"/>
        </w:rPr>
        <w:t xml:space="preserve"> it would take to achieve the things they desired and what stop at nothing to achieve what they wanted.</w:t>
      </w:r>
      <w:r w:rsidR="00D8254C">
        <w:rPr>
          <w:sz w:val="24"/>
        </w:rPr>
        <w:t xml:space="preserve"> It is also worth highlighting that not all sources from the period brand the Normans as such a stern, ruthless and determined group of people. Other sources imply that the Norman gift of being able to win battles and conquer land was a gift from God and was almost as if it was their sole right to have these things; a good example of this</w:t>
      </w:r>
      <w:r w:rsidR="007C65E3">
        <w:rPr>
          <w:sz w:val="24"/>
        </w:rPr>
        <w:t xml:space="preserve"> differing view of the extract</w:t>
      </w:r>
      <w:r w:rsidR="00D8254C">
        <w:rPr>
          <w:sz w:val="24"/>
        </w:rPr>
        <w:t xml:space="preserve"> can </w:t>
      </w:r>
      <w:r w:rsidR="00D8254C">
        <w:rPr>
          <w:sz w:val="24"/>
        </w:rPr>
        <w:lastRenderedPageBreak/>
        <w:t xml:space="preserve">be found in the </w:t>
      </w:r>
      <w:r w:rsidR="00D8254C" w:rsidRPr="007C65E3">
        <w:rPr>
          <w:i/>
          <w:sz w:val="24"/>
        </w:rPr>
        <w:t>Gesta Normannorum Ducum</w:t>
      </w:r>
      <w:r w:rsidR="00424F39">
        <w:rPr>
          <w:sz w:val="24"/>
        </w:rPr>
        <w:t xml:space="preserve"> of William of </w:t>
      </w:r>
      <w:proofErr w:type="spellStart"/>
      <w:r w:rsidR="00424F39">
        <w:rPr>
          <w:sz w:val="24"/>
        </w:rPr>
        <w:t>Jumieges</w:t>
      </w:r>
      <w:proofErr w:type="spellEnd"/>
      <w:r w:rsidR="00424F39">
        <w:rPr>
          <w:sz w:val="24"/>
        </w:rPr>
        <w:t xml:space="preserve">, who when describing William the Conqueror’s win at Hastings in </w:t>
      </w:r>
      <w:r w:rsidR="007C65E3">
        <w:rPr>
          <w:sz w:val="24"/>
        </w:rPr>
        <w:t>1066 referred</w:t>
      </w:r>
      <w:r w:rsidR="00424F39">
        <w:rPr>
          <w:sz w:val="24"/>
        </w:rPr>
        <w:t xml:space="preserve"> to the “pious, victorious and orthodox” new king as having the “strength of Samson” and the “profound depth of Solomon.</w:t>
      </w:r>
      <w:r w:rsidR="00424F39">
        <w:rPr>
          <w:rStyle w:val="FootnoteReference"/>
          <w:sz w:val="24"/>
        </w:rPr>
        <w:footnoteReference w:id="4"/>
      </w:r>
      <w:r w:rsidR="007C65E3">
        <w:rPr>
          <w:sz w:val="24"/>
        </w:rPr>
        <w:t xml:space="preserve"> While these are of course two separate accounts from two different events, </w:t>
      </w:r>
      <w:r w:rsidR="0038071B">
        <w:rPr>
          <w:sz w:val="24"/>
        </w:rPr>
        <w:t>each author is trying to put across what view they had of the Normans and the characters within, or at least the view that they wished to portray in their writings. The differences in these views is an interesting aspect of the historiography from the period and although each contemporary writer mentioned thus far in this commentary had their own reasons for writing in the way that they did, one can find even more drastically different views of the characters of the Normans when looking at accounts from people who were not linked to the Normans or the church and who they considered enemies such as the people the Normans came in to contact with on the crusades.</w:t>
      </w:r>
      <w:r w:rsidR="0038071B">
        <w:rPr>
          <w:rStyle w:val="FootnoteReference"/>
          <w:sz w:val="24"/>
        </w:rPr>
        <w:footnoteReference w:id="5"/>
      </w:r>
    </w:p>
    <w:p w:rsidR="00DE7CED" w:rsidRDefault="00DE7CED" w:rsidP="00C4385A">
      <w:pPr>
        <w:spacing w:line="360" w:lineRule="auto"/>
        <w:rPr>
          <w:sz w:val="24"/>
        </w:rPr>
      </w:pPr>
    </w:p>
    <w:p w:rsidR="00DE7CED" w:rsidRDefault="00DE7CED" w:rsidP="00C4385A">
      <w:pPr>
        <w:spacing w:line="360" w:lineRule="auto"/>
        <w:rPr>
          <w:sz w:val="24"/>
        </w:rPr>
      </w:pPr>
      <w:r>
        <w:rPr>
          <w:sz w:val="24"/>
        </w:rPr>
        <w:t xml:space="preserve">When thinking about these differing characterisations and the reliability of the words </w:t>
      </w:r>
      <w:r w:rsidR="0031470D">
        <w:rPr>
          <w:sz w:val="24"/>
        </w:rPr>
        <w:t>being used</w:t>
      </w:r>
      <w:r>
        <w:rPr>
          <w:sz w:val="24"/>
        </w:rPr>
        <w:t xml:space="preserve"> in sources such as the extract being discussed, it is important </w:t>
      </w:r>
      <w:r w:rsidR="0031470D">
        <w:rPr>
          <w:sz w:val="24"/>
        </w:rPr>
        <w:t xml:space="preserve">to think critically about the works and the authors who wrote them. In this particular work, one of the most significant examples of a problem modern historians come across when relying on this source is that the only surviving example is not a Latin original, but a French reproduction from the fourteenth century. While </w:t>
      </w:r>
      <w:r w:rsidR="007378CF">
        <w:rPr>
          <w:sz w:val="24"/>
        </w:rPr>
        <w:t>this itself is not necessarily a huge issue, what is an issue is that it was not only translated but edited and abbreviated, with the modern author Wolf claiming that this means that the corrupted surviving manuscript is not entirely correct on all details, while still remaining “not entirely inaccurate”.</w:t>
      </w:r>
      <w:r w:rsidR="007378CF">
        <w:rPr>
          <w:rStyle w:val="FootnoteReference"/>
          <w:sz w:val="24"/>
        </w:rPr>
        <w:footnoteReference w:id="6"/>
      </w:r>
    </w:p>
    <w:p w:rsidR="0060401D" w:rsidRDefault="0060401D" w:rsidP="00C4385A">
      <w:pPr>
        <w:spacing w:line="360" w:lineRule="auto"/>
        <w:rPr>
          <w:sz w:val="24"/>
        </w:rPr>
      </w:pPr>
    </w:p>
    <w:p w:rsidR="000F64A3" w:rsidRDefault="0060401D" w:rsidP="00C4385A">
      <w:pPr>
        <w:spacing w:line="360" w:lineRule="auto"/>
        <w:rPr>
          <w:sz w:val="24"/>
        </w:rPr>
      </w:pPr>
      <w:r>
        <w:rPr>
          <w:sz w:val="24"/>
        </w:rPr>
        <w:t xml:space="preserve">Nevertheless, this extract of </w:t>
      </w:r>
      <w:r w:rsidRPr="0060401D">
        <w:rPr>
          <w:i/>
          <w:sz w:val="24"/>
        </w:rPr>
        <w:t>The History of The Normans</w:t>
      </w:r>
      <w:r>
        <w:rPr>
          <w:i/>
          <w:sz w:val="24"/>
        </w:rPr>
        <w:t xml:space="preserve"> </w:t>
      </w:r>
      <w:r>
        <w:rPr>
          <w:sz w:val="24"/>
        </w:rPr>
        <w:t xml:space="preserve">still aims to give the reader a sense of the power that the Normans held, even if it was not as much of a positive or religious message as other writers portrayed, which is something that is continued throughout much </w:t>
      </w:r>
      <w:r>
        <w:rPr>
          <w:sz w:val="24"/>
        </w:rPr>
        <w:lastRenderedPageBreak/>
        <w:t>of the rest of Amatus’ work.</w:t>
      </w:r>
      <w:r>
        <w:rPr>
          <w:rStyle w:val="FootnoteReference"/>
          <w:sz w:val="24"/>
        </w:rPr>
        <w:footnoteReference w:id="7"/>
      </w:r>
      <w:r w:rsidR="00FD142D">
        <w:rPr>
          <w:sz w:val="24"/>
        </w:rPr>
        <w:t xml:space="preserve"> Even in this small extract that is being discussed, progressing from folk who lived on a small forested plain, to increasing very quickly in numbers before moving on to some of the descriptions previously discussed, the author is by no means trying to disregard the success of the Normans here but simply using a specific tone and method of portraying an image to the reader.</w:t>
      </w:r>
    </w:p>
    <w:p w:rsidR="000F64A3" w:rsidRDefault="000F64A3" w:rsidP="00C4385A">
      <w:pPr>
        <w:spacing w:line="360" w:lineRule="auto"/>
        <w:rPr>
          <w:sz w:val="24"/>
        </w:rPr>
      </w:pPr>
    </w:p>
    <w:p w:rsidR="000F64A3" w:rsidRDefault="000F64A3" w:rsidP="00C4385A">
      <w:pPr>
        <w:spacing w:line="360" w:lineRule="auto"/>
        <w:rPr>
          <w:sz w:val="24"/>
        </w:rPr>
      </w:pPr>
      <w:r>
        <w:rPr>
          <w:sz w:val="24"/>
        </w:rPr>
        <w:t xml:space="preserve">Aside from the language being used throughout the course of this extract, there are other interesting </w:t>
      </w:r>
      <w:r w:rsidR="003C4A87">
        <w:rPr>
          <w:sz w:val="24"/>
        </w:rPr>
        <w:t>parts to highlight. As an example of this, it almost seems as though the author is trying to justify the reasoning for all of the negative acts mentioned soon after on the fact that the Normans had multiplied so quickly within the reasonably small area of land that they occupied and had drained up all the food and resources available to them at that point, that they simply had no choice but to take a decision to extend their territories.</w:t>
      </w:r>
      <w:r w:rsidR="00A55F50">
        <w:rPr>
          <w:sz w:val="24"/>
        </w:rPr>
        <w:t xml:space="preserve"> This could be open to interpretation but if this is indeed what Amatus is trying to hint at here then it is certainly an interesting reasoning for the Normans not staying peacefully in Normandy. Similar justifications can also be found in other sources relating to different events, implying that the Normans simply had no choice but to make the decisions that they did as it was the only viable option at the time.</w:t>
      </w:r>
      <w:r w:rsidR="00A55F50">
        <w:rPr>
          <w:rStyle w:val="FootnoteReference"/>
          <w:sz w:val="24"/>
        </w:rPr>
        <w:footnoteReference w:id="8"/>
      </w:r>
      <w:r w:rsidR="00A55F50">
        <w:rPr>
          <w:sz w:val="24"/>
        </w:rPr>
        <w:t xml:space="preserve"> Claims that the Normans were simply doing what was best for the people or something that was the will of God were certainly not uncommon in the Middle </w:t>
      </w:r>
      <w:r w:rsidR="00347638">
        <w:rPr>
          <w:sz w:val="24"/>
        </w:rPr>
        <w:t>Ages</w:t>
      </w:r>
      <w:r w:rsidR="00A55F50">
        <w:rPr>
          <w:sz w:val="24"/>
        </w:rPr>
        <w:t xml:space="preserve"> and could demonstrate an element of rewriting history and portraying ideologies that benefited them from other </w:t>
      </w:r>
      <w:r w:rsidR="00347638">
        <w:rPr>
          <w:sz w:val="24"/>
        </w:rPr>
        <w:t>reason</w:t>
      </w:r>
      <w:r w:rsidR="00A55F50">
        <w:rPr>
          <w:sz w:val="24"/>
        </w:rPr>
        <w:t>s that could have been attributed.</w:t>
      </w:r>
    </w:p>
    <w:p w:rsidR="00347638" w:rsidRDefault="00347638" w:rsidP="00C4385A">
      <w:pPr>
        <w:spacing w:line="360" w:lineRule="auto"/>
        <w:rPr>
          <w:sz w:val="24"/>
        </w:rPr>
      </w:pPr>
    </w:p>
    <w:p w:rsidR="00347638" w:rsidRDefault="00347638" w:rsidP="00C4385A">
      <w:pPr>
        <w:spacing w:line="360" w:lineRule="auto"/>
        <w:rPr>
          <w:sz w:val="24"/>
        </w:rPr>
      </w:pPr>
    </w:p>
    <w:p w:rsidR="00A07B17" w:rsidRDefault="00347638" w:rsidP="00B2099B">
      <w:pPr>
        <w:spacing w:line="360" w:lineRule="auto"/>
        <w:rPr>
          <w:sz w:val="24"/>
        </w:rPr>
      </w:pPr>
      <w:r>
        <w:rPr>
          <w:sz w:val="24"/>
        </w:rPr>
        <w:t xml:space="preserve">To conclude this commentary, </w:t>
      </w:r>
      <w:r w:rsidR="00B2099B">
        <w:rPr>
          <w:sz w:val="24"/>
        </w:rPr>
        <w:t>this extract helps the reader gain an understanding of what views of the Norman occupation of Southern Italy there were in the immediate aftermath of the event itself. When also taken in to account with other primary source material from the time, it is also a useful element in further trying to decipher and understand the Norman myth.</w:t>
      </w:r>
    </w:p>
    <w:p w:rsidR="00A07B17" w:rsidRDefault="00A07B17" w:rsidP="00505E2C">
      <w:pPr>
        <w:spacing w:line="360" w:lineRule="auto"/>
        <w:rPr>
          <w:sz w:val="24"/>
        </w:rPr>
      </w:pPr>
    </w:p>
    <w:p w:rsidR="00A07B17" w:rsidRDefault="00A07B17" w:rsidP="00505E2C">
      <w:pPr>
        <w:spacing w:line="360" w:lineRule="auto"/>
        <w:rPr>
          <w:b/>
          <w:sz w:val="36"/>
        </w:rPr>
      </w:pPr>
      <w:r w:rsidRPr="00A07B17">
        <w:rPr>
          <w:b/>
          <w:sz w:val="36"/>
        </w:rPr>
        <w:t>Bibliography</w:t>
      </w:r>
    </w:p>
    <w:p w:rsidR="00A07B17" w:rsidRDefault="00A07B17" w:rsidP="00505E2C">
      <w:pPr>
        <w:spacing w:line="360" w:lineRule="auto"/>
        <w:rPr>
          <w:sz w:val="24"/>
        </w:rPr>
      </w:pPr>
    </w:p>
    <w:p w:rsidR="00A07B17" w:rsidRPr="00A07B17" w:rsidRDefault="00A07B17" w:rsidP="00505E2C">
      <w:pPr>
        <w:spacing w:line="360" w:lineRule="auto"/>
        <w:rPr>
          <w:sz w:val="32"/>
          <w:u w:val="single"/>
        </w:rPr>
      </w:pPr>
      <w:r w:rsidRPr="00A07B17">
        <w:rPr>
          <w:sz w:val="32"/>
          <w:u w:val="single"/>
        </w:rPr>
        <w:t>Primary Sources</w:t>
      </w:r>
    </w:p>
    <w:p w:rsidR="00A07B17" w:rsidRDefault="00A07B17" w:rsidP="00505E2C">
      <w:pPr>
        <w:spacing w:line="360" w:lineRule="auto"/>
        <w:rPr>
          <w:sz w:val="24"/>
        </w:rPr>
      </w:pPr>
      <w:r w:rsidRPr="00A07B17">
        <w:rPr>
          <w:sz w:val="24"/>
        </w:rPr>
        <w:t>Amatus of Montecassino</w:t>
      </w:r>
      <w:r>
        <w:rPr>
          <w:sz w:val="24"/>
        </w:rPr>
        <w:t xml:space="preserve">, </w:t>
      </w:r>
      <w:proofErr w:type="gramStart"/>
      <w:r>
        <w:rPr>
          <w:i/>
          <w:sz w:val="24"/>
        </w:rPr>
        <w:t>The</w:t>
      </w:r>
      <w:proofErr w:type="gramEnd"/>
      <w:r>
        <w:rPr>
          <w:i/>
          <w:sz w:val="24"/>
        </w:rPr>
        <w:t xml:space="preserve"> History of the Normans. </w:t>
      </w:r>
      <w:r>
        <w:rPr>
          <w:sz w:val="24"/>
        </w:rPr>
        <w:t xml:space="preserve">Translated by Prescott N. Dunbar (London: </w:t>
      </w:r>
      <w:proofErr w:type="spellStart"/>
      <w:r>
        <w:rPr>
          <w:sz w:val="24"/>
        </w:rPr>
        <w:t>Boydell</w:t>
      </w:r>
      <w:proofErr w:type="spellEnd"/>
      <w:r>
        <w:rPr>
          <w:sz w:val="24"/>
        </w:rPr>
        <w:t xml:space="preserve"> Press, 2004).</w:t>
      </w:r>
    </w:p>
    <w:p w:rsidR="007C65E3" w:rsidRDefault="007C65E3" w:rsidP="00505E2C">
      <w:pPr>
        <w:spacing w:line="360" w:lineRule="auto"/>
        <w:rPr>
          <w:sz w:val="24"/>
        </w:rPr>
      </w:pPr>
      <w:r w:rsidRPr="007C65E3">
        <w:rPr>
          <w:sz w:val="24"/>
        </w:rPr>
        <w:t xml:space="preserve">William of </w:t>
      </w:r>
      <w:proofErr w:type="spellStart"/>
      <w:r w:rsidRPr="007C65E3">
        <w:rPr>
          <w:sz w:val="24"/>
        </w:rPr>
        <w:t>Jumieges</w:t>
      </w:r>
      <w:proofErr w:type="spellEnd"/>
      <w:r w:rsidRPr="007C65E3">
        <w:rPr>
          <w:sz w:val="24"/>
        </w:rPr>
        <w:t xml:space="preserve">, </w:t>
      </w:r>
      <w:r w:rsidRPr="007C65E3">
        <w:rPr>
          <w:i/>
          <w:sz w:val="24"/>
        </w:rPr>
        <w:t>Gesta Normannorum Ducum</w:t>
      </w:r>
      <w:r w:rsidRPr="007C65E3">
        <w:rPr>
          <w:sz w:val="24"/>
        </w:rPr>
        <w:t xml:space="preserve">. Translated by E. </w:t>
      </w:r>
      <w:proofErr w:type="spellStart"/>
      <w:r w:rsidRPr="007C65E3">
        <w:rPr>
          <w:sz w:val="24"/>
        </w:rPr>
        <w:t>Houts</w:t>
      </w:r>
      <w:proofErr w:type="spellEnd"/>
      <w:r w:rsidRPr="007C65E3">
        <w:rPr>
          <w:sz w:val="24"/>
        </w:rPr>
        <w:t xml:space="preserve"> (London: Oxford University Press, 1995).</w:t>
      </w:r>
    </w:p>
    <w:p w:rsidR="00B457C8" w:rsidRPr="00A07B17" w:rsidRDefault="00B457C8" w:rsidP="00505E2C">
      <w:pPr>
        <w:spacing w:line="360" w:lineRule="auto"/>
        <w:rPr>
          <w:sz w:val="24"/>
        </w:rPr>
      </w:pPr>
      <w:r w:rsidRPr="00B457C8">
        <w:rPr>
          <w:sz w:val="24"/>
        </w:rPr>
        <w:t>William of Malmesbury</w:t>
      </w:r>
      <w:r w:rsidRPr="00B457C8">
        <w:rPr>
          <w:i/>
          <w:sz w:val="24"/>
        </w:rPr>
        <w:t xml:space="preserve">, </w:t>
      </w:r>
      <w:proofErr w:type="gramStart"/>
      <w:r w:rsidRPr="00B457C8">
        <w:rPr>
          <w:i/>
          <w:sz w:val="24"/>
        </w:rPr>
        <w:t>The</w:t>
      </w:r>
      <w:proofErr w:type="gramEnd"/>
      <w:r w:rsidRPr="00B457C8">
        <w:rPr>
          <w:i/>
          <w:sz w:val="24"/>
        </w:rPr>
        <w:t xml:space="preserve"> Deeds of the Kings of the English. </w:t>
      </w:r>
      <w:r w:rsidRPr="00B457C8">
        <w:rPr>
          <w:sz w:val="24"/>
        </w:rPr>
        <w:t>Translated by J. A. Giles (Oxford: CreateSpace, 2016).</w:t>
      </w:r>
    </w:p>
    <w:p w:rsidR="00A07B17" w:rsidRDefault="00A07B17" w:rsidP="00505E2C">
      <w:pPr>
        <w:spacing w:line="360" w:lineRule="auto"/>
        <w:rPr>
          <w:sz w:val="32"/>
          <w:u w:val="single"/>
        </w:rPr>
      </w:pPr>
    </w:p>
    <w:p w:rsidR="00A07B17" w:rsidRPr="00A07B17" w:rsidRDefault="00A07B17" w:rsidP="00505E2C">
      <w:pPr>
        <w:spacing w:line="360" w:lineRule="auto"/>
        <w:rPr>
          <w:sz w:val="32"/>
          <w:u w:val="single"/>
        </w:rPr>
      </w:pPr>
    </w:p>
    <w:p w:rsidR="00E21F22" w:rsidRPr="00A07B17" w:rsidRDefault="00A07B17" w:rsidP="00505E2C">
      <w:pPr>
        <w:spacing w:line="360" w:lineRule="auto"/>
        <w:rPr>
          <w:sz w:val="32"/>
          <w:u w:val="single"/>
        </w:rPr>
      </w:pPr>
      <w:r w:rsidRPr="00A07B17">
        <w:rPr>
          <w:sz w:val="32"/>
          <w:u w:val="single"/>
        </w:rPr>
        <w:t>Secondary Sources</w:t>
      </w:r>
    </w:p>
    <w:p w:rsidR="00E21F22" w:rsidRDefault="00E21F22" w:rsidP="00C4385A">
      <w:pPr>
        <w:spacing w:line="360" w:lineRule="auto"/>
        <w:rPr>
          <w:sz w:val="24"/>
        </w:rPr>
      </w:pPr>
      <w:r>
        <w:rPr>
          <w:sz w:val="24"/>
        </w:rPr>
        <w:t>Bates. D, and Curry. A,</w:t>
      </w:r>
      <w:r w:rsidRPr="00E21F22">
        <w:rPr>
          <w:sz w:val="24"/>
        </w:rPr>
        <w:t xml:space="preserve"> </w:t>
      </w:r>
      <w:r w:rsidRPr="00E21F22">
        <w:rPr>
          <w:i/>
          <w:sz w:val="24"/>
        </w:rPr>
        <w:t xml:space="preserve">England and Normandy in the Middle Ages </w:t>
      </w:r>
      <w:r w:rsidRPr="00E21F22">
        <w:rPr>
          <w:sz w:val="24"/>
        </w:rPr>
        <w:t xml:space="preserve">(London: </w:t>
      </w:r>
      <w:r>
        <w:rPr>
          <w:sz w:val="24"/>
        </w:rPr>
        <w:t>The Hambledon Press, 1994).</w:t>
      </w:r>
    </w:p>
    <w:p w:rsidR="00737D29" w:rsidRDefault="00737D29" w:rsidP="00C4385A">
      <w:pPr>
        <w:spacing w:line="360" w:lineRule="auto"/>
        <w:rPr>
          <w:sz w:val="24"/>
        </w:rPr>
      </w:pPr>
      <w:r w:rsidRPr="00737D29">
        <w:rPr>
          <w:sz w:val="24"/>
        </w:rPr>
        <w:t>Housley</w:t>
      </w:r>
      <w:r>
        <w:rPr>
          <w:sz w:val="24"/>
        </w:rPr>
        <w:t>. N</w:t>
      </w:r>
      <w:r w:rsidRPr="00737D29">
        <w:rPr>
          <w:sz w:val="24"/>
        </w:rPr>
        <w:t xml:space="preserve">, </w:t>
      </w:r>
      <w:r w:rsidRPr="00737D29">
        <w:rPr>
          <w:i/>
          <w:sz w:val="24"/>
        </w:rPr>
        <w:t xml:space="preserve">Contesting the Crusades </w:t>
      </w:r>
      <w:r w:rsidRPr="00737D29">
        <w:rPr>
          <w:sz w:val="24"/>
        </w:rPr>
        <w:t>(Mald</w:t>
      </w:r>
      <w:r>
        <w:rPr>
          <w:sz w:val="24"/>
        </w:rPr>
        <w:t>en: Blackwell Publishers, 2006).</w:t>
      </w:r>
    </w:p>
    <w:p w:rsidR="00921AB7" w:rsidRDefault="00921AB7" w:rsidP="00C4385A">
      <w:pPr>
        <w:spacing w:line="360" w:lineRule="auto"/>
        <w:rPr>
          <w:sz w:val="24"/>
        </w:rPr>
      </w:pPr>
      <w:r>
        <w:rPr>
          <w:sz w:val="24"/>
        </w:rPr>
        <w:t>Loud. G,</w:t>
      </w:r>
      <w:r w:rsidRPr="00921AB7">
        <w:rPr>
          <w:sz w:val="24"/>
        </w:rPr>
        <w:t xml:space="preserve"> </w:t>
      </w:r>
      <w:r w:rsidRPr="00921AB7">
        <w:rPr>
          <w:i/>
          <w:sz w:val="24"/>
        </w:rPr>
        <w:t xml:space="preserve">Conquerors and Churchmen in Norman Italy </w:t>
      </w:r>
      <w:r w:rsidRPr="00921AB7">
        <w:rPr>
          <w:sz w:val="24"/>
        </w:rPr>
        <w:t xml:space="preserve">(New York: </w:t>
      </w:r>
      <w:proofErr w:type="spellStart"/>
      <w:r w:rsidRPr="00921AB7">
        <w:rPr>
          <w:sz w:val="24"/>
        </w:rPr>
        <w:t>Ashgate</w:t>
      </w:r>
      <w:proofErr w:type="spellEnd"/>
      <w:r w:rsidRPr="00921AB7">
        <w:rPr>
          <w:sz w:val="24"/>
        </w:rPr>
        <w:t>, 1999).</w:t>
      </w:r>
    </w:p>
    <w:p w:rsidR="005D7303" w:rsidRDefault="00D170C4" w:rsidP="00C4385A">
      <w:pPr>
        <w:spacing w:line="360" w:lineRule="auto"/>
        <w:rPr>
          <w:sz w:val="24"/>
        </w:rPr>
      </w:pPr>
      <w:r w:rsidRPr="00D170C4">
        <w:rPr>
          <w:sz w:val="24"/>
        </w:rPr>
        <w:t>Loud</w:t>
      </w:r>
      <w:r>
        <w:rPr>
          <w:sz w:val="24"/>
        </w:rPr>
        <w:t>. G,</w:t>
      </w:r>
      <w:r w:rsidRPr="00D170C4">
        <w:rPr>
          <w:i/>
          <w:sz w:val="24"/>
        </w:rPr>
        <w:t xml:space="preserve"> </w:t>
      </w:r>
      <w:proofErr w:type="gramStart"/>
      <w:r w:rsidRPr="00D170C4">
        <w:rPr>
          <w:i/>
          <w:sz w:val="24"/>
        </w:rPr>
        <w:t>The</w:t>
      </w:r>
      <w:proofErr w:type="gramEnd"/>
      <w:r w:rsidRPr="00D170C4">
        <w:rPr>
          <w:i/>
          <w:sz w:val="24"/>
        </w:rPr>
        <w:t xml:space="preserve"> Age of Robert Guiscard: Southern Italy and the Norman Conquest </w:t>
      </w:r>
      <w:r w:rsidRPr="00D170C4">
        <w:rPr>
          <w:sz w:val="24"/>
        </w:rPr>
        <w:t>(Harlow: Pearson Education Limited, 2000)</w:t>
      </w:r>
      <w:r w:rsidR="00E21F22">
        <w:rPr>
          <w:sz w:val="24"/>
        </w:rPr>
        <w:t>.</w:t>
      </w:r>
    </w:p>
    <w:p w:rsidR="007378CF" w:rsidRPr="00D170C4" w:rsidRDefault="007378CF" w:rsidP="00C4385A">
      <w:pPr>
        <w:spacing w:line="360" w:lineRule="auto"/>
        <w:rPr>
          <w:sz w:val="24"/>
        </w:rPr>
      </w:pPr>
      <w:r>
        <w:rPr>
          <w:sz w:val="24"/>
        </w:rPr>
        <w:t>Wolf. K,</w:t>
      </w:r>
      <w:r w:rsidRPr="007378CF">
        <w:rPr>
          <w:sz w:val="24"/>
        </w:rPr>
        <w:t xml:space="preserve"> </w:t>
      </w:r>
      <w:r w:rsidRPr="007378CF">
        <w:rPr>
          <w:i/>
          <w:sz w:val="24"/>
        </w:rPr>
        <w:t xml:space="preserve">Making History: The Normans and their Historians in Eleventh Century Italy </w:t>
      </w:r>
      <w:r w:rsidRPr="007378CF">
        <w:rPr>
          <w:sz w:val="24"/>
        </w:rPr>
        <w:t>(Philadelphia: Pennsylvania</w:t>
      </w:r>
      <w:r>
        <w:rPr>
          <w:sz w:val="24"/>
        </w:rPr>
        <w:t xml:space="preserve"> University Press, 1995).</w:t>
      </w:r>
    </w:p>
    <w:sectPr w:rsidR="007378CF" w:rsidRPr="00D170C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0455" w:rsidRDefault="00FC0455" w:rsidP="00A07B17">
      <w:pPr>
        <w:spacing w:after="0" w:line="240" w:lineRule="auto"/>
      </w:pPr>
      <w:r>
        <w:separator/>
      </w:r>
    </w:p>
  </w:endnote>
  <w:endnote w:type="continuationSeparator" w:id="0">
    <w:p w:rsidR="00FC0455" w:rsidRDefault="00FC0455" w:rsidP="00A07B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0455" w:rsidRDefault="00FC0455" w:rsidP="00A07B17">
      <w:pPr>
        <w:spacing w:after="0" w:line="240" w:lineRule="auto"/>
      </w:pPr>
      <w:r>
        <w:separator/>
      </w:r>
    </w:p>
  </w:footnote>
  <w:footnote w:type="continuationSeparator" w:id="0">
    <w:p w:rsidR="00FC0455" w:rsidRDefault="00FC0455" w:rsidP="00A07B17">
      <w:pPr>
        <w:spacing w:after="0" w:line="240" w:lineRule="auto"/>
      </w:pPr>
      <w:r>
        <w:continuationSeparator/>
      </w:r>
    </w:p>
  </w:footnote>
  <w:footnote w:id="1">
    <w:p w:rsidR="00933882" w:rsidRPr="00C4385A" w:rsidRDefault="00933882">
      <w:pPr>
        <w:pStyle w:val="FootnoteText"/>
      </w:pPr>
      <w:r>
        <w:rPr>
          <w:rStyle w:val="FootnoteReference"/>
        </w:rPr>
        <w:footnoteRef/>
      </w:r>
      <w:r>
        <w:t xml:space="preserve"> </w:t>
      </w:r>
      <w:r w:rsidR="00C4385A">
        <w:t xml:space="preserve">D. Bates, and A. Curry, </w:t>
      </w:r>
      <w:r w:rsidR="00C4385A">
        <w:rPr>
          <w:i/>
        </w:rPr>
        <w:t xml:space="preserve">England and Normandy in the Middle Ages </w:t>
      </w:r>
      <w:r w:rsidR="00C4385A">
        <w:t xml:space="preserve">(London: </w:t>
      </w:r>
      <w:r w:rsidR="00E21F22">
        <w:t>The Hambledon Press, 1994), p.115.</w:t>
      </w:r>
    </w:p>
  </w:footnote>
  <w:footnote w:id="2">
    <w:p w:rsidR="00933882" w:rsidRPr="00697FAB" w:rsidRDefault="00933882">
      <w:pPr>
        <w:pStyle w:val="FootnoteText"/>
      </w:pPr>
      <w:r>
        <w:rPr>
          <w:rStyle w:val="FootnoteReference"/>
        </w:rPr>
        <w:footnoteRef/>
      </w:r>
      <w:r>
        <w:t xml:space="preserve"> G. Loud</w:t>
      </w:r>
      <w:r w:rsidRPr="00933882">
        <w:rPr>
          <w:i/>
        </w:rPr>
        <w:t>, The Age of Robert Guiscard: Southern Italy and the Norman Conquest</w:t>
      </w:r>
      <w:r w:rsidR="00697FAB">
        <w:rPr>
          <w:i/>
        </w:rPr>
        <w:t xml:space="preserve"> </w:t>
      </w:r>
      <w:r w:rsidR="00697FAB">
        <w:t>(Harlow: Pearson Education Limited, 2000)</w:t>
      </w:r>
      <w:r w:rsidR="00D170C4">
        <w:t>,</w:t>
      </w:r>
      <w:r w:rsidR="00697FAB">
        <w:t xml:space="preserve"> pp.4-5.</w:t>
      </w:r>
    </w:p>
  </w:footnote>
  <w:footnote w:id="3">
    <w:p w:rsidR="00B457C8" w:rsidRPr="00B457C8" w:rsidRDefault="00B457C8">
      <w:pPr>
        <w:pStyle w:val="FootnoteText"/>
      </w:pPr>
      <w:r>
        <w:rPr>
          <w:rStyle w:val="FootnoteReference"/>
        </w:rPr>
        <w:footnoteRef/>
      </w:r>
      <w:r>
        <w:t xml:space="preserve"> </w:t>
      </w:r>
      <w:r w:rsidRPr="00B457C8">
        <w:t>William of Malmesbury</w:t>
      </w:r>
      <w:r w:rsidRPr="00B457C8">
        <w:rPr>
          <w:i/>
        </w:rPr>
        <w:t xml:space="preserve">, </w:t>
      </w:r>
      <w:proofErr w:type="gramStart"/>
      <w:r w:rsidRPr="00B457C8">
        <w:rPr>
          <w:i/>
        </w:rPr>
        <w:t>The</w:t>
      </w:r>
      <w:proofErr w:type="gramEnd"/>
      <w:r w:rsidRPr="00B457C8">
        <w:rPr>
          <w:i/>
        </w:rPr>
        <w:t xml:space="preserve"> Deeds of the Kings of the English</w:t>
      </w:r>
      <w:r>
        <w:rPr>
          <w:i/>
        </w:rPr>
        <w:t xml:space="preserve">. </w:t>
      </w:r>
      <w:r>
        <w:t xml:space="preserve">Translated by J. A. Giles (Oxford: </w:t>
      </w:r>
      <w:r w:rsidRPr="00B457C8">
        <w:t>CreateSpace</w:t>
      </w:r>
      <w:r>
        <w:t>, 2016).</w:t>
      </w:r>
    </w:p>
  </w:footnote>
  <w:footnote w:id="4">
    <w:p w:rsidR="00424F39" w:rsidRDefault="00424F39">
      <w:pPr>
        <w:pStyle w:val="FootnoteText"/>
      </w:pPr>
      <w:r>
        <w:rPr>
          <w:rStyle w:val="FootnoteReference"/>
        </w:rPr>
        <w:footnoteRef/>
      </w:r>
      <w:r>
        <w:t xml:space="preserve"> William of </w:t>
      </w:r>
      <w:proofErr w:type="spellStart"/>
      <w:r>
        <w:t>Jumieges</w:t>
      </w:r>
      <w:proofErr w:type="spellEnd"/>
      <w:r w:rsidR="007C65E3">
        <w:t xml:space="preserve">, </w:t>
      </w:r>
      <w:r w:rsidR="007C65E3" w:rsidRPr="007C65E3">
        <w:rPr>
          <w:i/>
        </w:rPr>
        <w:t>Gesta Normannorum Ducum</w:t>
      </w:r>
      <w:r w:rsidR="007C65E3">
        <w:t xml:space="preserve">. Translated by E. </w:t>
      </w:r>
      <w:proofErr w:type="spellStart"/>
      <w:r w:rsidR="007C65E3">
        <w:t>Houts</w:t>
      </w:r>
      <w:proofErr w:type="spellEnd"/>
      <w:r w:rsidR="007C65E3">
        <w:t xml:space="preserve"> (London: Oxford University Press, 1995).</w:t>
      </w:r>
    </w:p>
  </w:footnote>
  <w:footnote w:id="5">
    <w:p w:rsidR="0038071B" w:rsidRPr="00737D29" w:rsidRDefault="0038071B">
      <w:pPr>
        <w:pStyle w:val="FootnoteText"/>
      </w:pPr>
      <w:r>
        <w:rPr>
          <w:rStyle w:val="FootnoteReference"/>
        </w:rPr>
        <w:footnoteRef/>
      </w:r>
      <w:r>
        <w:t xml:space="preserve"> </w:t>
      </w:r>
      <w:r w:rsidR="00737D29">
        <w:t xml:space="preserve">N. Housley, </w:t>
      </w:r>
      <w:r w:rsidR="00737D29">
        <w:rPr>
          <w:i/>
        </w:rPr>
        <w:t xml:space="preserve">Contesting the Crusades </w:t>
      </w:r>
      <w:r w:rsidR="00737D29">
        <w:t>(Malden: Blackwell Publishers, 2006), pp.84-88.</w:t>
      </w:r>
    </w:p>
  </w:footnote>
  <w:footnote w:id="6">
    <w:p w:rsidR="007378CF" w:rsidRPr="007378CF" w:rsidRDefault="007378CF">
      <w:pPr>
        <w:pStyle w:val="FootnoteText"/>
      </w:pPr>
      <w:r>
        <w:rPr>
          <w:rStyle w:val="FootnoteReference"/>
        </w:rPr>
        <w:footnoteRef/>
      </w:r>
      <w:r>
        <w:t xml:space="preserve"> K. Wolf, </w:t>
      </w:r>
      <w:r>
        <w:rPr>
          <w:i/>
        </w:rPr>
        <w:t xml:space="preserve">Making History: The Normans and their Historians in Eleventh Century Italy </w:t>
      </w:r>
      <w:r>
        <w:t>(Philadelphia: Pennsylvania University Press, 1995), pp.133-140.</w:t>
      </w:r>
    </w:p>
  </w:footnote>
  <w:footnote w:id="7">
    <w:p w:rsidR="0060401D" w:rsidRDefault="0060401D">
      <w:pPr>
        <w:pStyle w:val="FootnoteText"/>
      </w:pPr>
      <w:r>
        <w:rPr>
          <w:rStyle w:val="FootnoteReference"/>
        </w:rPr>
        <w:footnoteRef/>
      </w:r>
      <w:r>
        <w:t xml:space="preserve"> </w:t>
      </w:r>
      <w:r w:rsidRPr="0060401D">
        <w:t xml:space="preserve">Amatus of Montecassino, </w:t>
      </w:r>
      <w:proofErr w:type="gramStart"/>
      <w:r w:rsidRPr="0060401D">
        <w:rPr>
          <w:i/>
        </w:rPr>
        <w:t>The</w:t>
      </w:r>
      <w:proofErr w:type="gramEnd"/>
      <w:r w:rsidRPr="0060401D">
        <w:rPr>
          <w:i/>
        </w:rPr>
        <w:t xml:space="preserve"> History of the Normans. </w:t>
      </w:r>
      <w:r w:rsidRPr="0060401D">
        <w:t xml:space="preserve">Translated by Prescott N. Dunbar (London: </w:t>
      </w:r>
      <w:proofErr w:type="spellStart"/>
      <w:r w:rsidRPr="0060401D">
        <w:t>Boydell</w:t>
      </w:r>
      <w:proofErr w:type="spellEnd"/>
      <w:r w:rsidRPr="0060401D">
        <w:t xml:space="preserve"> Press, 2004).</w:t>
      </w:r>
    </w:p>
  </w:footnote>
  <w:footnote w:id="8">
    <w:p w:rsidR="00A55F50" w:rsidRPr="00921AB7" w:rsidRDefault="00A55F50">
      <w:pPr>
        <w:pStyle w:val="FootnoteText"/>
      </w:pPr>
      <w:r>
        <w:rPr>
          <w:rStyle w:val="FootnoteReference"/>
        </w:rPr>
        <w:footnoteRef/>
      </w:r>
      <w:r>
        <w:t xml:space="preserve"> </w:t>
      </w:r>
      <w:r w:rsidR="00921AB7">
        <w:t xml:space="preserve">G. Loud, </w:t>
      </w:r>
      <w:r w:rsidR="00921AB7">
        <w:rPr>
          <w:i/>
        </w:rPr>
        <w:t xml:space="preserve">Conquerors and Churchmen in Norman Italy </w:t>
      </w:r>
      <w:r w:rsidR="00921AB7">
        <w:t xml:space="preserve">(New York: </w:t>
      </w:r>
      <w:proofErr w:type="spellStart"/>
      <w:r w:rsidR="00921AB7">
        <w:t>Ashgate</w:t>
      </w:r>
      <w:proofErr w:type="spellEnd"/>
      <w:r w:rsidR="00921AB7">
        <w:t xml:space="preserve">, 1999). </w:t>
      </w:r>
      <w:proofErr w:type="gramStart"/>
      <w:r w:rsidR="00921AB7">
        <w:t>pp.48-49</w:t>
      </w:r>
      <w:proofErr w:type="gramEnd"/>
      <w:r w:rsidR="00921AB7">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7B17" w:rsidRDefault="00A07B17">
    <w:pPr>
      <w:pStyle w:val="Header"/>
    </w:pPr>
    <w:r>
      <w:tab/>
    </w:r>
    <w:r>
      <w:tab/>
      <w:t>Jordan James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5F1"/>
    <w:rsid w:val="000938D5"/>
    <w:rsid w:val="000F64A3"/>
    <w:rsid w:val="0031470D"/>
    <w:rsid w:val="00347638"/>
    <w:rsid w:val="0038071B"/>
    <w:rsid w:val="003C067C"/>
    <w:rsid w:val="003C4A87"/>
    <w:rsid w:val="003C65F1"/>
    <w:rsid w:val="00424F39"/>
    <w:rsid w:val="00505E2C"/>
    <w:rsid w:val="005D7303"/>
    <w:rsid w:val="0060401D"/>
    <w:rsid w:val="00697FAB"/>
    <w:rsid w:val="007378CF"/>
    <w:rsid w:val="00737D29"/>
    <w:rsid w:val="0075058C"/>
    <w:rsid w:val="007C65E3"/>
    <w:rsid w:val="008F5DC9"/>
    <w:rsid w:val="00921AB7"/>
    <w:rsid w:val="00933882"/>
    <w:rsid w:val="00A07B17"/>
    <w:rsid w:val="00A36283"/>
    <w:rsid w:val="00A55F50"/>
    <w:rsid w:val="00B2099B"/>
    <w:rsid w:val="00B328A2"/>
    <w:rsid w:val="00B457C8"/>
    <w:rsid w:val="00B50069"/>
    <w:rsid w:val="00C4385A"/>
    <w:rsid w:val="00D170C4"/>
    <w:rsid w:val="00D8254C"/>
    <w:rsid w:val="00DE7CED"/>
    <w:rsid w:val="00E21F22"/>
    <w:rsid w:val="00EC6F18"/>
    <w:rsid w:val="00F36B7B"/>
    <w:rsid w:val="00F54471"/>
    <w:rsid w:val="00FC0455"/>
    <w:rsid w:val="00FD14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B1E3608-A667-4000-ADEB-112FB1740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7B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B17"/>
  </w:style>
  <w:style w:type="paragraph" w:styleId="Footer">
    <w:name w:val="footer"/>
    <w:basedOn w:val="Normal"/>
    <w:link w:val="FooterChar"/>
    <w:uiPriority w:val="99"/>
    <w:unhideWhenUsed/>
    <w:rsid w:val="00A07B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B17"/>
  </w:style>
  <w:style w:type="paragraph" w:styleId="FootnoteText">
    <w:name w:val="footnote text"/>
    <w:basedOn w:val="Normal"/>
    <w:link w:val="FootnoteTextChar"/>
    <w:uiPriority w:val="99"/>
    <w:semiHidden/>
    <w:unhideWhenUsed/>
    <w:rsid w:val="009338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3882"/>
    <w:rPr>
      <w:sz w:val="20"/>
      <w:szCs w:val="20"/>
    </w:rPr>
  </w:style>
  <w:style w:type="character" w:styleId="FootnoteReference">
    <w:name w:val="footnote reference"/>
    <w:basedOn w:val="DefaultParagraphFont"/>
    <w:uiPriority w:val="99"/>
    <w:semiHidden/>
    <w:unhideWhenUsed/>
    <w:rsid w:val="009338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BD2C7-4019-49D1-AC56-C3BD737D6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5</Pages>
  <Words>1260</Words>
  <Characters>7183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James</dc:creator>
  <cp:keywords/>
  <dc:description/>
  <cp:lastModifiedBy>Jordan James</cp:lastModifiedBy>
  <cp:revision>50</cp:revision>
  <dcterms:created xsi:type="dcterms:W3CDTF">2018-11-09T15:34:00Z</dcterms:created>
  <dcterms:modified xsi:type="dcterms:W3CDTF">2018-11-09T20:49:00Z</dcterms:modified>
</cp:coreProperties>
</file>