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BE350" w14:textId="77777777" w:rsidR="00E838F2" w:rsidRPr="00E838F2" w:rsidRDefault="00E838F2" w:rsidP="00E838F2">
      <w:pPr>
        <w:spacing w:before="240" w:after="720" w:line="562" w:lineRule="atLeast"/>
        <w:outlineLvl w:val="0"/>
        <w:rPr>
          <w:rFonts w:ascii="LinLibertine" w:eastAsia="Times New Roman" w:hAnsi="LinLibertine" w:cs="Times New Roman"/>
          <w:b/>
          <w:bCs/>
          <w:color w:val="000000"/>
          <w:kern w:val="36"/>
          <w:sz w:val="43"/>
          <w:szCs w:val="43"/>
          <w:lang w:eastAsia="en-GB"/>
        </w:rPr>
      </w:pPr>
      <w:r w:rsidRPr="00E838F2">
        <w:rPr>
          <w:rFonts w:ascii="LinLibertine" w:eastAsia="Times New Roman" w:hAnsi="LinLibertine" w:cs="Times New Roman"/>
          <w:b/>
          <w:bCs/>
          <w:color w:val="000000"/>
          <w:kern w:val="36"/>
          <w:sz w:val="43"/>
          <w:szCs w:val="43"/>
          <w:lang w:eastAsia="en-GB"/>
        </w:rPr>
        <w:fldChar w:fldCharType="begin"/>
      </w:r>
      <w:r w:rsidRPr="00E838F2">
        <w:rPr>
          <w:rFonts w:ascii="LinLibertine" w:eastAsia="Times New Roman" w:hAnsi="LinLibertine" w:cs="Times New Roman"/>
          <w:b/>
          <w:bCs/>
          <w:color w:val="000000"/>
          <w:kern w:val="36"/>
          <w:sz w:val="43"/>
          <w:szCs w:val="43"/>
          <w:lang w:eastAsia="en-GB"/>
        </w:rPr>
        <w:instrText xml:space="preserve"> HYPERLINK "https://jigsaw.vitalsource.com/books/9781317435839/epub/OEBPS/xhtml/content.xhtml" \l "bck_Ch021" </w:instrText>
      </w:r>
      <w:r w:rsidRPr="00E838F2">
        <w:rPr>
          <w:rFonts w:ascii="LinLibertine" w:eastAsia="Times New Roman" w:hAnsi="LinLibertine" w:cs="Times New Roman"/>
          <w:b/>
          <w:bCs/>
          <w:color w:val="000000"/>
          <w:kern w:val="36"/>
          <w:sz w:val="43"/>
          <w:szCs w:val="43"/>
          <w:lang w:eastAsia="en-GB"/>
        </w:rPr>
        <w:fldChar w:fldCharType="separate"/>
      </w:r>
      <w:r w:rsidRPr="00E838F2">
        <w:rPr>
          <w:rFonts w:ascii="LinLibertine" w:eastAsia="Times New Roman" w:hAnsi="LinLibertine" w:cs="Times New Roman"/>
          <w:b/>
          <w:bCs/>
          <w:color w:val="0000FF"/>
          <w:kern w:val="36"/>
          <w:sz w:val="43"/>
          <w:szCs w:val="43"/>
          <w:u w:val="single"/>
          <w:lang w:eastAsia="en-GB"/>
        </w:rPr>
        <w:t>21</w:t>
      </w:r>
      <w:r w:rsidRPr="00E838F2">
        <w:rPr>
          <w:rFonts w:ascii="LinLibertine" w:eastAsia="Times New Roman" w:hAnsi="LinLibertine" w:cs="Times New Roman"/>
          <w:b/>
          <w:bCs/>
          <w:color w:val="0000FF"/>
          <w:kern w:val="36"/>
          <w:sz w:val="43"/>
          <w:szCs w:val="43"/>
          <w:u w:val="single"/>
          <w:lang w:eastAsia="en-GB"/>
        </w:rPr>
        <w:br/>
        <w:t xml:space="preserve">The </w:t>
      </w:r>
      <w:proofErr w:type="spellStart"/>
      <w:r w:rsidRPr="00E838F2">
        <w:rPr>
          <w:rFonts w:ascii="LinLibertine" w:eastAsia="Times New Roman" w:hAnsi="LinLibertine" w:cs="Times New Roman"/>
          <w:b/>
          <w:bCs/>
          <w:color w:val="0000FF"/>
          <w:kern w:val="36"/>
          <w:sz w:val="43"/>
          <w:szCs w:val="43"/>
          <w:u w:val="single"/>
          <w:lang w:eastAsia="en-GB"/>
        </w:rPr>
        <w:t>PerformanceStat</w:t>
      </w:r>
      <w:proofErr w:type="spellEnd"/>
      <w:r w:rsidRPr="00E838F2">
        <w:rPr>
          <w:rFonts w:ascii="LinLibertine" w:eastAsia="Times New Roman" w:hAnsi="LinLibertine" w:cs="Times New Roman"/>
          <w:b/>
          <w:bCs/>
          <w:color w:val="0000FF"/>
          <w:kern w:val="36"/>
          <w:sz w:val="43"/>
          <w:szCs w:val="43"/>
          <w:u w:val="single"/>
          <w:lang w:eastAsia="en-GB"/>
        </w:rPr>
        <w:t xml:space="preserve"> leadership strategy</w:t>
      </w:r>
      <w:r w:rsidRPr="00E838F2">
        <w:rPr>
          <w:rFonts w:ascii="LinLibertine" w:eastAsia="Times New Roman" w:hAnsi="LinLibertine" w:cs="Times New Roman"/>
          <w:b/>
          <w:bCs/>
          <w:color w:val="000000"/>
          <w:kern w:val="36"/>
          <w:sz w:val="43"/>
          <w:szCs w:val="43"/>
          <w:lang w:eastAsia="en-GB"/>
        </w:rPr>
        <w:fldChar w:fldCharType="end"/>
      </w:r>
    </w:p>
    <w:p w14:paraId="2B4C2238" w14:textId="77777777" w:rsidR="00E838F2" w:rsidRPr="00E838F2" w:rsidRDefault="00E838F2" w:rsidP="00E838F2">
      <w:pPr>
        <w:spacing w:after="720" w:line="437" w:lineRule="atLeast"/>
        <w:rPr>
          <w:rFonts w:ascii="LinLibertine" w:eastAsia="Times New Roman" w:hAnsi="LinLibertine" w:cs="Times New Roman"/>
          <w:i/>
          <w:iCs/>
          <w:color w:val="000000"/>
          <w:sz w:val="34"/>
          <w:szCs w:val="34"/>
          <w:lang w:eastAsia="en-GB"/>
        </w:rPr>
      </w:pPr>
      <w:r w:rsidRPr="00E838F2">
        <w:rPr>
          <w:rFonts w:ascii="LinLibertine" w:eastAsia="Times New Roman" w:hAnsi="LinLibertine" w:cs="Times New Roman"/>
          <w:i/>
          <w:iCs/>
          <w:color w:val="000000"/>
          <w:sz w:val="34"/>
          <w:szCs w:val="34"/>
          <w:lang w:eastAsia="en-GB"/>
        </w:rPr>
        <w:t xml:space="preserve">Robert D. </w:t>
      </w:r>
      <w:proofErr w:type="spellStart"/>
      <w:r w:rsidRPr="00E838F2">
        <w:rPr>
          <w:rFonts w:ascii="LinLibertine" w:eastAsia="Times New Roman" w:hAnsi="LinLibertine" w:cs="Times New Roman"/>
          <w:i/>
          <w:iCs/>
          <w:color w:val="000000"/>
          <w:sz w:val="34"/>
          <w:szCs w:val="34"/>
          <w:lang w:eastAsia="en-GB"/>
        </w:rPr>
        <w:t>Behn</w:t>
      </w:r>
      <w:proofErr w:type="spellEnd"/>
    </w:p>
    <w:p w14:paraId="22C993FD"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History, examples, and definition of “</w:t>
      </w:r>
      <w:proofErr w:type="spellStart"/>
      <w:r w:rsidRPr="00E838F2">
        <w:rPr>
          <w:rFonts w:ascii="LinLibertine" w:eastAsia="Times New Roman" w:hAnsi="LinLibertine" w:cs="Times New Roman"/>
          <w:b/>
          <w:bCs/>
          <w:color w:val="000000"/>
          <w:sz w:val="36"/>
          <w:szCs w:val="36"/>
          <w:lang w:eastAsia="en-GB"/>
        </w:rPr>
        <w:t>PerformanceStat</w:t>
      </w:r>
      <w:proofErr w:type="spellEnd"/>
      <w:r w:rsidRPr="00E838F2">
        <w:rPr>
          <w:rFonts w:ascii="LinLibertine" w:eastAsia="Times New Roman" w:hAnsi="LinLibertine" w:cs="Times New Roman"/>
          <w:b/>
          <w:bCs/>
          <w:color w:val="000000"/>
          <w:sz w:val="36"/>
          <w:szCs w:val="36"/>
          <w:lang w:eastAsia="en-GB"/>
        </w:rPr>
        <w:t>”</w:t>
      </w:r>
    </w:p>
    <w:p w14:paraId="2A3F1BFD"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is not conceptually complex; but implementing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is challenging.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is not a big expense in the budget; but in the leadership’s time,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is quite costly. A number of public executives have found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to be effective; but in any new organization,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requires adaptation.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can improve performance and produce results; but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does so only if it is implemented with subtlety and persistence—and with a focus on purpose.</w:t>
      </w:r>
    </w:p>
    <w:p w14:paraId="522192E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This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strategy—comes in many forms.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began in 1994 with CompStat in the New York City Police Department and expanded to police departments across the United States and also in Canada and Australia (Moore, 2003; Moore and Braga, 2003; Mazerolle et al., 2011).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was soon adapted by a number of public agencies in New York: the Human Resources Administration created </w:t>
      </w:r>
      <w:proofErr w:type="spellStart"/>
      <w:r w:rsidRPr="00E838F2">
        <w:rPr>
          <w:rFonts w:ascii="LinLibertine" w:eastAsia="Times New Roman" w:hAnsi="LinLibertine" w:cs="Times New Roman"/>
          <w:color w:val="000000"/>
          <w:sz w:val="24"/>
          <w:szCs w:val="24"/>
          <w:lang w:eastAsia="en-GB"/>
        </w:rPr>
        <w:t>JobStat</w:t>
      </w:r>
      <w:proofErr w:type="spellEnd"/>
      <w:r w:rsidRPr="00E838F2">
        <w:rPr>
          <w:rFonts w:ascii="LinLibertine" w:eastAsia="Times New Roman" w:hAnsi="LinLibertine" w:cs="Times New Roman"/>
          <w:color w:val="000000"/>
          <w:sz w:val="24"/>
          <w:szCs w:val="24"/>
          <w:lang w:eastAsia="en-GB"/>
        </w:rPr>
        <w:t xml:space="preserve"> (Smith and </w:t>
      </w:r>
      <w:proofErr w:type="spellStart"/>
      <w:r w:rsidRPr="00E838F2">
        <w:rPr>
          <w:rFonts w:ascii="LinLibertine" w:eastAsia="Times New Roman" w:hAnsi="LinLibertine" w:cs="Times New Roman"/>
          <w:color w:val="000000"/>
          <w:sz w:val="24"/>
          <w:szCs w:val="24"/>
          <w:lang w:eastAsia="en-GB"/>
        </w:rPr>
        <w:t>Grinker</w:t>
      </w:r>
      <w:proofErr w:type="spellEnd"/>
      <w:r w:rsidRPr="00E838F2">
        <w:rPr>
          <w:rFonts w:ascii="LinLibertine" w:eastAsia="Times New Roman" w:hAnsi="LinLibertine" w:cs="Times New Roman"/>
          <w:color w:val="000000"/>
          <w:sz w:val="24"/>
          <w:szCs w:val="24"/>
          <w:lang w:eastAsia="en-GB"/>
        </w:rPr>
        <w:t xml:space="preserve">, 2005), and the Administration for Children Services developed </w:t>
      </w:r>
      <w:proofErr w:type="spellStart"/>
      <w:r w:rsidRPr="00E838F2">
        <w:rPr>
          <w:rFonts w:ascii="LinLibertine" w:eastAsia="Times New Roman" w:hAnsi="LinLibertine" w:cs="Times New Roman"/>
          <w:color w:val="000000"/>
          <w:sz w:val="24"/>
          <w:szCs w:val="24"/>
          <w:lang w:eastAsia="en-GB"/>
        </w:rPr>
        <w:t>ChildStat</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Helbig</w:t>
      </w:r>
      <w:proofErr w:type="spellEnd"/>
      <w:r w:rsidRPr="00E838F2">
        <w:rPr>
          <w:rFonts w:ascii="LinLibertine" w:eastAsia="Times New Roman" w:hAnsi="LinLibertine" w:cs="Times New Roman"/>
          <w:color w:val="000000"/>
          <w:sz w:val="24"/>
          <w:szCs w:val="24"/>
          <w:lang w:eastAsia="en-GB"/>
        </w:rPr>
        <w:t xml:space="preserve">, 2010). Then public agencies elsewhere in the U.S. began to use the strategy. For example, Philadelphia and Baltimore each developed their own </w:t>
      </w:r>
      <w:proofErr w:type="spellStart"/>
      <w:r w:rsidRPr="00E838F2">
        <w:rPr>
          <w:rFonts w:ascii="LinLibertine" w:eastAsia="Times New Roman" w:hAnsi="LinLibertine" w:cs="Times New Roman"/>
          <w:color w:val="000000"/>
          <w:sz w:val="24"/>
          <w:szCs w:val="24"/>
          <w:lang w:eastAsia="en-GB"/>
        </w:rPr>
        <w:t>SchoolStat</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Patusky</w:t>
      </w:r>
      <w:proofErr w:type="spellEnd"/>
      <w:r w:rsidRPr="00E838F2">
        <w:rPr>
          <w:rFonts w:ascii="LinLibertine" w:eastAsia="Times New Roman" w:hAnsi="LinLibertine" w:cs="Times New Roman"/>
          <w:color w:val="000000"/>
          <w:sz w:val="24"/>
          <w:szCs w:val="24"/>
          <w:lang w:eastAsia="en-GB"/>
        </w:rPr>
        <w:t xml:space="preserve"> et al., 2007), and the Rhode Island Department of Education established its </w:t>
      </w:r>
      <w:proofErr w:type="spellStart"/>
      <w:r w:rsidRPr="00E838F2">
        <w:rPr>
          <w:rFonts w:ascii="LinLibertine" w:eastAsia="Times New Roman" w:hAnsi="LinLibertine" w:cs="Times New Roman"/>
          <w:color w:val="000000"/>
          <w:sz w:val="24"/>
          <w:szCs w:val="24"/>
          <w:lang w:eastAsia="en-GB"/>
        </w:rPr>
        <w:t>EdStat</w:t>
      </w:r>
      <w:proofErr w:type="spellEnd"/>
      <w:r w:rsidRPr="00E838F2">
        <w:rPr>
          <w:rFonts w:ascii="LinLibertine" w:eastAsia="Times New Roman" w:hAnsi="LinLibertine" w:cs="Times New Roman"/>
          <w:color w:val="000000"/>
          <w:sz w:val="24"/>
          <w:szCs w:val="24"/>
          <w:lang w:eastAsia="en-GB"/>
        </w:rPr>
        <w:t>.</w:t>
      </w:r>
    </w:p>
    <w:p w14:paraId="6D0D6129"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Meanwhile,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was also being adapted by entire jurisdictions. The city of Baltimore, Maryland created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2007). Then numerous other municipalities (and a couple of states) created their own adaptations: for example, Atlanta, Georgia, created </w:t>
      </w:r>
      <w:proofErr w:type="spellStart"/>
      <w:r w:rsidRPr="00E838F2">
        <w:rPr>
          <w:rFonts w:ascii="LinLibertine" w:eastAsia="Times New Roman" w:hAnsi="LinLibertine" w:cs="Times New Roman"/>
          <w:color w:val="000000"/>
          <w:sz w:val="24"/>
          <w:szCs w:val="24"/>
          <w:lang w:eastAsia="en-GB"/>
        </w:rPr>
        <w:t>ATLStat</w:t>
      </w:r>
      <w:proofErr w:type="spellEnd"/>
      <w:r w:rsidRPr="00E838F2">
        <w:rPr>
          <w:rFonts w:ascii="LinLibertine" w:eastAsia="Times New Roman" w:hAnsi="LinLibertine" w:cs="Times New Roman"/>
          <w:color w:val="000000"/>
          <w:sz w:val="24"/>
          <w:szCs w:val="24"/>
          <w:lang w:eastAsia="en-GB"/>
        </w:rPr>
        <w:t xml:space="preserve">; Washington State designed its GMAP (for Government Management Accountability and Performance); and Rotterdam in the Netherlands designed its own </w:t>
      </w:r>
      <w:proofErr w:type="spellStart"/>
      <w:r w:rsidRPr="00E838F2">
        <w:rPr>
          <w:rFonts w:ascii="LinLibertine" w:eastAsia="Times New Roman" w:hAnsi="LinLibertine" w:cs="Times New Roman"/>
          <w:color w:val="000000"/>
          <w:sz w:val="24"/>
          <w:szCs w:val="24"/>
          <w:lang w:eastAsia="en-GB"/>
        </w:rPr>
        <w:t>MaasStat</w:t>
      </w:r>
      <w:proofErr w:type="spellEnd"/>
      <w:r w:rsidRPr="00E838F2">
        <w:rPr>
          <w:rFonts w:ascii="LinLibertine" w:eastAsia="Times New Roman" w:hAnsi="LinLibertine" w:cs="Times New Roman"/>
          <w:color w:val="000000"/>
          <w:sz w:val="24"/>
          <w:szCs w:val="24"/>
          <w:lang w:eastAsia="en-GB"/>
        </w:rPr>
        <w:t xml:space="preserve"> (named for its Maas River). Even agencies in the U.S. national government chose to employ the strategy: </w:t>
      </w:r>
      <w:proofErr w:type="spellStart"/>
      <w:r w:rsidRPr="00E838F2">
        <w:rPr>
          <w:rFonts w:ascii="LinLibertine" w:eastAsia="Times New Roman" w:hAnsi="LinLibertine" w:cs="Times New Roman"/>
          <w:color w:val="000000"/>
          <w:sz w:val="24"/>
          <w:szCs w:val="24"/>
          <w:lang w:eastAsia="en-GB"/>
        </w:rPr>
        <w:t>HUDStat</w:t>
      </w:r>
      <w:proofErr w:type="spellEnd"/>
      <w:r w:rsidRPr="00E838F2">
        <w:rPr>
          <w:rFonts w:ascii="LinLibertine" w:eastAsia="Times New Roman" w:hAnsi="LinLibertine" w:cs="Times New Roman"/>
          <w:color w:val="000000"/>
          <w:sz w:val="24"/>
          <w:szCs w:val="24"/>
          <w:lang w:eastAsia="en-GB"/>
        </w:rPr>
        <w:t xml:space="preserve"> at the Department of Housing and Urban Development, </w:t>
      </w:r>
      <w:proofErr w:type="spellStart"/>
      <w:r w:rsidRPr="00E838F2">
        <w:rPr>
          <w:rFonts w:ascii="LinLibertine" w:eastAsia="Times New Roman" w:hAnsi="LinLibertine" w:cs="Times New Roman"/>
          <w:color w:val="000000"/>
          <w:sz w:val="24"/>
          <w:szCs w:val="24"/>
          <w:lang w:eastAsia="en-GB"/>
        </w:rPr>
        <w:t>FEMAStat</w:t>
      </w:r>
      <w:proofErr w:type="spellEnd"/>
      <w:r w:rsidRPr="00E838F2">
        <w:rPr>
          <w:rFonts w:ascii="LinLibertine" w:eastAsia="Times New Roman" w:hAnsi="LinLibertine" w:cs="Times New Roman"/>
          <w:color w:val="000000"/>
          <w:sz w:val="24"/>
          <w:szCs w:val="24"/>
          <w:lang w:eastAsia="en-GB"/>
        </w:rPr>
        <w:t xml:space="preserve"> at the Federal Emergency and Management Agency, and </w:t>
      </w:r>
      <w:proofErr w:type="spellStart"/>
      <w:r w:rsidRPr="00E838F2">
        <w:rPr>
          <w:rFonts w:ascii="LinLibertine" w:eastAsia="Times New Roman" w:hAnsi="LinLibertine" w:cs="Times New Roman"/>
          <w:color w:val="000000"/>
          <w:sz w:val="24"/>
          <w:szCs w:val="24"/>
          <w:lang w:eastAsia="en-GB"/>
        </w:rPr>
        <w:t>FDATrack</w:t>
      </w:r>
      <w:proofErr w:type="spellEnd"/>
      <w:r w:rsidRPr="00E838F2">
        <w:rPr>
          <w:rFonts w:ascii="LinLibertine" w:eastAsia="Times New Roman" w:hAnsi="LinLibertine" w:cs="Times New Roman"/>
          <w:color w:val="000000"/>
          <w:sz w:val="24"/>
          <w:szCs w:val="24"/>
          <w:lang w:eastAsia="en-GB"/>
        </w:rPr>
        <w:t xml:space="preserve"> at the Food and Drug Administration. For all of these adaptions of this leadership strategy, I coined the word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w:t>
      </w:r>
    </w:p>
    <w:p w14:paraId="3555596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What, however, is this </w:t>
      </w: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—this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There is, of course, no one “model” that everyone can copy. There exists no “system” that a manager can drop cleanly into an organization, push the start button and walk away, self-</w:t>
      </w:r>
      <w:proofErr w:type="spellStart"/>
      <w:r w:rsidRPr="00E838F2">
        <w:rPr>
          <w:rFonts w:ascii="LinLibertine" w:eastAsia="Times New Roman" w:hAnsi="LinLibertine" w:cs="Times New Roman"/>
          <w:color w:val="000000"/>
          <w:sz w:val="24"/>
          <w:szCs w:val="24"/>
          <w:lang w:eastAsia="en-GB"/>
        </w:rPr>
        <w:t>satisified</w:t>
      </w:r>
      <w:proofErr w:type="spellEnd"/>
      <w:r w:rsidRPr="00E838F2">
        <w:rPr>
          <w:rFonts w:ascii="LinLibertine" w:eastAsia="Times New Roman" w:hAnsi="LinLibertine" w:cs="Times New Roman"/>
          <w:color w:val="000000"/>
          <w:sz w:val="24"/>
          <w:szCs w:val="24"/>
          <w:lang w:eastAsia="en-GB"/>
        </w:rPr>
        <w:t xml:space="preserve"> that the “system” will automatically produce wonderful results. Each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different—with those differences depending upon the purposes that the organization’s leadership team seeks to accomplish, the results it wants to produce, and the resources (from money, to personnel, to culture) with which to produce those results. Still, effective </w:t>
      </w:r>
      <w:proofErr w:type="spellStart"/>
      <w:r w:rsidRPr="00E838F2">
        <w:rPr>
          <w:rFonts w:ascii="LinLibertine" w:eastAsia="Times New Roman" w:hAnsi="LinLibertine" w:cs="Times New Roman"/>
          <w:color w:val="000000"/>
          <w:sz w:val="24"/>
          <w:szCs w:val="24"/>
          <w:lang w:eastAsia="en-GB"/>
        </w:rPr>
        <w:t>PerformanceStats</w:t>
      </w:r>
      <w:proofErr w:type="spellEnd"/>
      <w:r w:rsidRPr="00E838F2">
        <w:rPr>
          <w:rFonts w:ascii="LinLibertine" w:eastAsia="Times New Roman" w:hAnsi="LinLibertine" w:cs="Times New Roman"/>
          <w:color w:val="000000"/>
          <w:sz w:val="24"/>
          <w:szCs w:val="24"/>
          <w:lang w:eastAsia="en-GB"/>
        </w:rPr>
        <w:t xml:space="preserve">—not the </w:t>
      </w:r>
      <w:proofErr w:type="spellStart"/>
      <w:r w:rsidRPr="00E838F2">
        <w:rPr>
          <w:rFonts w:ascii="LinLibertine" w:eastAsia="Times New Roman" w:hAnsi="LinLibertine" w:cs="Times New Roman"/>
          <w:color w:val="000000"/>
          <w:sz w:val="24"/>
          <w:szCs w:val="24"/>
          <w:lang w:eastAsia="en-GB"/>
        </w:rPr>
        <w:t>MimicStats</w:t>
      </w:r>
      <w:proofErr w:type="spellEnd"/>
      <w:r w:rsidRPr="00E838F2">
        <w:rPr>
          <w:rFonts w:ascii="LinLibertine" w:eastAsia="Times New Roman" w:hAnsi="LinLibertine" w:cs="Times New Roman"/>
          <w:color w:val="000000"/>
          <w:sz w:val="24"/>
          <w:szCs w:val="24"/>
          <w:lang w:eastAsia="en-GB"/>
        </w:rPr>
        <w:t xml:space="preserve"> that are little more than on-line dashboards or </w:t>
      </w:r>
      <w:r w:rsidRPr="00E838F2">
        <w:rPr>
          <w:rFonts w:ascii="LinLibertine" w:eastAsia="Times New Roman" w:hAnsi="LinLibertine" w:cs="Times New Roman"/>
          <w:color w:val="000000"/>
          <w:sz w:val="24"/>
          <w:szCs w:val="24"/>
          <w:lang w:eastAsia="en-GB"/>
        </w:rPr>
        <w:lastRenderedPageBreak/>
        <w:t>mere show-and-tell presentations—have a lot of </w:t>
      </w:r>
      <w:r w:rsidRPr="00E838F2">
        <w:rPr>
          <w:rFonts w:ascii="LinLibertine" w:eastAsia="Times New Roman" w:hAnsi="LinLibertine" w:cs="Times New Roman"/>
          <w:i/>
          <w:iCs/>
          <w:color w:val="000000"/>
          <w:sz w:val="24"/>
          <w:szCs w:val="24"/>
          <w:lang w:eastAsia="en-GB"/>
        </w:rPr>
        <w:t>its</w:t>
      </w:r>
      <w:r w:rsidRPr="00E838F2">
        <w:rPr>
          <w:rFonts w:ascii="LinLibertine" w:eastAsia="Times New Roman" w:hAnsi="LinLibertine" w:cs="Times New Roman"/>
          <w:color w:val="000000"/>
          <w:sz w:val="24"/>
          <w:szCs w:val="24"/>
          <w:lang w:eastAsia="en-GB"/>
        </w:rPr>
        <w:t>—a lot of moving parts. Here’s the definition:</w:t>
      </w:r>
    </w:p>
    <w:p w14:paraId="2653B9D5" w14:textId="77777777" w:rsidR="00E838F2" w:rsidRPr="00E838F2" w:rsidRDefault="00E838F2" w:rsidP="00E838F2">
      <w:pPr>
        <w:spacing w:after="0" w:line="281" w:lineRule="atLeast"/>
        <w:jc w:val="both"/>
        <w:rPr>
          <w:rFonts w:ascii="LinLibertine" w:eastAsia="Times New Roman" w:hAnsi="LinLibertine" w:cs="Times New Roman"/>
          <w:color w:val="000000"/>
          <w:lang w:eastAsia="en-GB"/>
        </w:rPr>
      </w:pPr>
      <w:r w:rsidRPr="00E838F2">
        <w:rPr>
          <w:rFonts w:ascii="LinLibertine" w:eastAsia="Times New Roman" w:hAnsi="LinLibertine" w:cs="Times New Roman"/>
          <w:color w:val="000000"/>
          <w:lang w:eastAsia="en-GB"/>
        </w:rPr>
        <w:t xml:space="preserve">A jurisdiction or agency is employing a </w:t>
      </w:r>
      <w:proofErr w:type="spellStart"/>
      <w:r w:rsidRPr="00E838F2">
        <w:rPr>
          <w:rFonts w:ascii="LinLibertine" w:eastAsia="Times New Roman" w:hAnsi="LinLibertine" w:cs="Times New Roman"/>
          <w:color w:val="000000"/>
          <w:lang w:eastAsia="en-GB"/>
        </w:rPr>
        <w:t>PerformanceStat</w:t>
      </w:r>
      <w:proofErr w:type="spellEnd"/>
      <w:r w:rsidRPr="00E838F2">
        <w:rPr>
          <w:rFonts w:ascii="LinLibertine" w:eastAsia="Times New Roman" w:hAnsi="LinLibertine" w:cs="Times New Roman"/>
          <w:color w:val="000000"/>
          <w:lang w:eastAsia="en-GB"/>
        </w:rPr>
        <w:t> </w:t>
      </w:r>
      <w:r w:rsidRPr="00E838F2">
        <w:rPr>
          <w:rFonts w:ascii="LinLibertine" w:eastAsia="Times New Roman" w:hAnsi="LinLibertine" w:cs="Times New Roman"/>
          <w:i/>
          <w:iCs/>
          <w:color w:val="000000"/>
          <w:lang w:eastAsia="en-GB"/>
        </w:rPr>
        <w:t>leadership strategy</w:t>
      </w:r>
      <w:r w:rsidRPr="00E838F2">
        <w:rPr>
          <w:rFonts w:ascii="LinLibertine" w:eastAsia="Times New Roman" w:hAnsi="LinLibertine" w:cs="Times New Roman"/>
          <w:color w:val="000000"/>
          <w:lang w:eastAsia="en-GB"/>
        </w:rPr>
        <w:t> if, in an effort to achieve specific public </w:t>
      </w:r>
      <w:r w:rsidRPr="00E838F2">
        <w:rPr>
          <w:rFonts w:ascii="LinLibertine" w:eastAsia="Times New Roman" w:hAnsi="LinLibertine" w:cs="Times New Roman"/>
          <w:i/>
          <w:iCs/>
          <w:color w:val="000000"/>
          <w:lang w:eastAsia="en-GB"/>
        </w:rPr>
        <w:t>purposes</w:t>
      </w:r>
      <w:r w:rsidRPr="00E838F2">
        <w:rPr>
          <w:rFonts w:ascii="LinLibertine" w:eastAsia="Times New Roman" w:hAnsi="LinLibertine" w:cs="Times New Roman"/>
          <w:color w:val="000000"/>
          <w:lang w:eastAsia="en-GB"/>
        </w:rPr>
        <w:t>, its leadership team </w:t>
      </w:r>
      <w:r w:rsidRPr="00E838F2">
        <w:rPr>
          <w:rFonts w:ascii="LinLibertine" w:eastAsia="Times New Roman" w:hAnsi="LinLibertine" w:cs="Times New Roman"/>
          <w:i/>
          <w:iCs/>
          <w:color w:val="000000"/>
          <w:lang w:eastAsia="en-GB"/>
        </w:rPr>
        <w:t>persists</w:t>
      </w:r>
      <w:r w:rsidRPr="00E838F2">
        <w:rPr>
          <w:rFonts w:ascii="LinLibertine" w:eastAsia="Times New Roman" w:hAnsi="LinLibertine" w:cs="Times New Roman"/>
          <w:color w:val="000000"/>
          <w:lang w:eastAsia="en-GB"/>
        </w:rPr>
        <w:t> in holding an ongoing series of </w:t>
      </w:r>
      <w:r w:rsidRPr="00E838F2">
        <w:rPr>
          <w:rFonts w:ascii="LinLibertine" w:eastAsia="Times New Roman" w:hAnsi="LinLibertine" w:cs="Times New Roman"/>
          <w:i/>
          <w:iCs/>
          <w:color w:val="000000"/>
          <w:lang w:eastAsia="en-GB"/>
        </w:rPr>
        <w:t>regular, frequent, integrated meetings</w:t>
      </w:r>
      <w:r w:rsidRPr="00E838F2">
        <w:rPr>
          <w:rFonts w:ascii="LinLibertine" w:eastAsia="Times New Roman" w:hAnsi="LinLibertine" w:cs="Times New Roman"/>
          <w:color w:val="000000"/>
          <w:lang w:eastAsia="en-GB"/>
        </w:rPr>
        <w:t> during which the chief executive and/or the principal members of the chief executive’s leadership team plus the director (and the top managers) of different sub-units use </w:t>
      </w:r>
      <w:r w:rsidRPr="00E838F2">
        <w:rPr>
          <w:rFonts w:ascii="LinLibertine" w:eastAsia="Times New Roman" w:hAnsi="LinLibertine" w:cs="Times New Roman"/>
          <w:i/>
          <w:iCs/>
          <w:color w:val="000000"/>
          <w:lang w:eastAsia="en-GB"/>
        </w:rPr>
        <w:t>current data</w:t>
      </w:r>
      <w:r w:rsidRPr="00E838F2">
        <w:rPr>
          <w:rFonts w:ascii="LinLibertine" w:eastAsia="Times New Roman" w:hAnsi="LinLibertine" w:cs="Times New Roman"/>
          <w:color w:val="000000"/>
          <w:lang w:eastAsia="en-GB"/>
        </w:rPr>
        <w:t> to </w:t>
      </w:r>
      <w:proofErr w:type="spellStart"/>
      <w:r w:rsidRPr="00E838F2">
        <w:rPr>
          <w:rFonts w:ascii="LinLibertine" w:eastAsia="Times New Roman" w:hAnsi="LinLibertine" w:cs="Times New Roman"/>
          <w:i/>
          <w:iCs/>
          <w:color w:val="000000"/>
          <w:lang w:eastAsia="en-GB"/>
        </w:rPr>
        <w:t>analyze</w:t>
      </w:r>
      <w:proofErr w:type="spellEnd"/>
      <w:r w:rsidRPr="00E838F2">
        <w:rPr>
          <w:rFonts w:ascii="LinLibertine" w:eastAsia="Times New Roman" w:hAnsi="LinLibertine" w:cs="Times New Roman"/>
          <w:color w:val="000000"/>
          <w:lang w:eastAsia="en-GB"/>
        </w:rPr>
        <w:t> specific, previously defined aspects of each unit’s recent </w:t>
      </w:r>
      <w:r w:rsidRPr="00E838F2">
        <w:rPr>
          <w:rFonts w:ascii="LinLibertine" w:eastAsia="Times New Roman" w:hAnsi="LinLibertine" w:cs="Times New Roman"/>
          <w:i/>
          <w:iCs/>
          <w:color w:val="000000"/>
          <w:lang w:eastAsia="en-GB"/>
        </w:rPr>
        <w:t>performance</w:t>
      </w:r>
      <w:r w:rsidRPr="00E838F2">
        <w:rPr>
          <w:rFonts w:ascii="LinLibertine" w:eastAsia="Times New Roman" w:hAnsi="LinLibertine" w:cs="Times New Roman"/>
          <w:color w:val="000000"/>
          <w:lang w:eastAsia="en-GB"/>
        </w:rPr>
        <w:t>; to provide </w:t>
      </w:r>
      <w:r w:rsidRPr="00E838F2">
        <w:rPr>
          <w:rFonts w:ascii="LinLibertine" w:eastAsia="Times New Roman" w:hAnsi="LinLibertine" w:cs="Times New Roman"/>
          <w:i/>
          <w:iCs/>
          <w:color w:val="000000"/>
          <w:lang w:eastAsia="en-GB"/>
        </w:rPr>
        <w:t>feedback</w:t>
      </w:r>
      <w:r w:rsidRPr="00E838F2">
        <w:rPr>
          <w:rFonts w:ascii="LinLibertine" w:eastAsia="Times New Roman" w:hAnsi="LinLibertine" w:cs="Times New Roman"/>
          <w:color w:val="000000"/>
          <w:lang w:eastAsia="en-GB"/>
        </w:rPr>
        <w:t> on recent progress compared with </w:t>
      </w:r>
      <w:r w:rsidRPr="00E838F2">
        <w:rPr>
          <w:rFonts w:ascii="LinLibertine" w:eastAsia="Times New Roman" w:hAnsi="LinLibertine" w:cs="Times New Roman"/>
          <w:i/>
          <w:iCs/>
          <w:color w:val="000000"/>
          <w:lang w:eastAsia="en-GB"/>
        </w:rPr>
        <w:t>targets</w:t>
      </w:r>
      <w:r w:rsidRPr="00E838F2">
        <w:rPr>
          <w:rFonts w:ascii="LinLibertine" w:eastAsia="Times New Roman" w:hAnsi="LinLibertine" w:cs="Times New Roman"/>
          <w:color w:val="000000"/>
          <w:lang w:eastAsia="en-GB"/>
        </w:rPr>
        <w:t>; to </w:t>
      </w:r>
      <w:r w:rsidRPr="00E838F2">
        <w:rPr>
          <w:rFonts w:ascii="LinLibertine" w:eastAsia="Times New Roman" w:hAnsi="LinLibertine" w:cs="Times New Roman"/>
          <w:i/>
          <w:iCs/>
          <w:color w:val="000000"/>
          <w:lang w:eastAsia="en-GB"/>
        </w:rPr>
        <w:t>follow-up</w:t>
      </w:r>
      <w:r w:rsidRPr="00E838F2">
        <w:rPr>
          <w:rFonts w:ascii="LinLibertine" w:eastAsia="Times New Roman" w:hAnsi="LinLibertine" w:cs="Times New Roman"/>
          <w:color w:val="000000"/>
          <w:lang w:eastAsia="en-GB"/>
        </w:rPr>
        <w:t> on previous decisions and commitments to produce </w:t>
      </w:r>
      <w:r w:rsidRPr="00E838F2">
        <w:rPr>
          <w:rFonts w:ascii="LinLibertine" w:eastAsia="Times New Roman" w:hAnsi="LinLibertine" w:cs="Times New Roman"/>
          <w:i/>
          <w:iCs/>
          <w:color w:val="000000"/>
          <w:lang w:eastAsia="en-GB"/>
        </w:rPr>
        <w:t>results</w:t>
      </w:r>
      <w:r w:rsidRPr="00E838F2">
        <w:rPr>
          <w:rFonts w:ascii="LinLibertine" w:eastAsia="Times New Roman" w:hAnsi="LinLibertine" w:cs="Times New Roman"/>
          <w:color w:val="000000"/>
          <w:lang w:eastAsia="en-GB"/>
        </w:rPr>
        <w:t>; to examine and </w:t>
      </w:r>
      <w:r w:rsidRPr="00E838F2">
        <w:rPr>
          <w:rFonts w:ascii="LinLibertine" w:eastAsia="Times New Roman" w:hAnsi="LinLibertine" w:cs="Times New Roman"/>
          <w:i/>
          <w:iCs/>
          <w:color w:val="000000"/>
          <w:lang w:eastAsia="en-GB"/>
        </w:rPr>
        <w:t>learn</w:t>
      </w:r>
      <w:r w:rsidRPr="00E838F2">
        <w:rPr>
          <w:rFonts w:ascii="LinLibertine" w:eastAsia="Times New Roman" w:hAnsi="LinLibertine" w:cs="Times New Roman"/>
          <w:color w:val="000000"/>
          <w:lang w:eastAsia="en-GB"/>
        </w:rPr>
        <w:t> from each unit’s efforts to improve </w:t>
      </w:r>
      <w:r w:rsidRPr="00E838F2">
        <w:rPr>
          <w:rFonts w:ascii="LinLibertine" w:eastAsia="Times New Roman" w:hAnsi="LinLibertine" w:cs="Times New Roman"/>
          <w:i/>
          <w:iCs/>
          <w:color w:val="000000"/>
          <w:lang w:eastAsia="en-GB"/>
        </w:rPr>
        <w:t>performance</w:t>
      </w:r>
      <w:r w:rsidRPr="00E838F2">
        <w:rPr>
          <w:rFonts w:ascii="LinLibertine" w:eastAsia="Times New Roman" w:hAnsi="LinLibertine" w:cs="Times New Roman"/>
          <w:color w:val="000000"/>
          <w:lang w:eastAsia="en-GB"/>
        </w:rPr>
        <w:t>; to identify and solve </w:t>
      </w:r>
      <w:r w:rsidRPr="00E838F2">
        <w:rPr>
          <w:rFonts w:ascii="LinLibertine" w:eastAsia="Times New Roman" w:hAnsi="LinLibertine" w:cs="Times New Roman"/>
          <w:i/>
          <w:iCs/>
          <w:color w:val="000000"/>
          <w:lang w:eastAsia="en-GB"/>
        </w:rPr>
        <w:t>performance-deficit</w:t>
      </w:r>
      <w:r w:rsidRPr="00E838F2">
        <w:rPr>
          <w:rFonts w:ascii="LinLibertine" w:eastAsia="Times New Roman" w:hAnsi="LinLibertine" w:cs="Times New Roman"/>
          <w:color w:val="000000"/>
          <w:lang w:eastAsia="en-GB"/>
        </w:rPr>
        <w:t> problems; and to set and achieve the next </w:t>
      </w:r>
      <w:r w:rsidRPr="00E838F2">
        <w:rPr>
          <w:rFonts w:ascii="LinLibertine" w:eastAsia="Times New Roman" w:hAnsi="LinLibertine" w:cs="Times New Roman"/>
          <w:i/>
          <w:iCs/>
          <w:color w:val="000000"/>
          <w:lang w:eastAsia="en-GB"/>
        </w:rPr>
        <w:t>performance targets</w:t>
      </w:r>
      <w:r w:rsidRPr="00E838F2">
        <w:rPr>
          <w:rFonts w:ascii="LinLibertine" w:eastAsia="Times New Roman" w:hAnsi="LinLibertine" w:cs="Times New Roman"/>
          <w:color w:val="000000"/>
          <w:lang w:eastAsia="en-GB"/>
        </w:rPr>
        <w:t>.</w:t>
      </w:r>
    </w:p>
    <w:p w14:paraId="750CEC0E" w14:textId="77777777" w:rsidR="00E838F2" w:rsidRPr="00E838F2" w:rsidRDefault="00E838F2" w:rsidP="00E838F2">
      <w:pPr>
        <w:spacing w:before="120" w:line="281" w:lineRule="atLeast"/>
        <w:jc w:val="right"/>
        <w:rPr>
          <w:rFonts w:ascii="LinLibertine" w:eastAsia="Times New Roman" w:hAnsi="LinLibertine" w:cs="Times New Roman"/>
          <w:color w:val="000000"/>
          <w:sz w:val="19"/>
          <w:szCs w:val="19"/>
          <w:lang w:eastAsia="en-GB"/>
        </w:rPr>
      </w:pPr>
      <w:r w:rsidRPr="00E838F2">
        <w:rPr>
          <w:rFonts w:ascii="LinLibertine" w:eastAsia="Times New Roman" w:hAnsi="LinLibertine" w:cs="Times New Roman"/>
          <w:color w:val="000000"/>
          <w:sz w:val="19"/>
          <w:szCs w:val="19"/>
          <w:lang w:eastAsia="en-GB"/>
        </w:rPr>
        <w:t>(</w:t>
      </w:r>
      <w:proofErr w:type="spellStart"/>
      <w:r w:rsidRPr="00E838F2">
        <w:rPr>
          <w:rFonts w:ascii="LinLibertine" w:eastAsia="Times New Roman" w:hAnsi="LinLibertine" w:cs="Times New Roman"/>
          <w:color w:val="000000"/>
          <w:sz w:val="19"/>
          <w:szCs w:val="19"/>
          <w:lang w:eastAsia="en-GB"/>
        </w:rPr>
        <w:t>Behn</w:t>
      </w:r>
      <w:proofErr w:type="spellEnd"/>
      <w:r w:rsidRPr="00E838F2">
        <w:rPr>
          <w:rFonts w:ascii="LinLibertine" w:eastAsia="Times New Roman" w:hAnsi="LinLibertine" w:cs="Times New Roman"/>
          <w:color w:val="000000"/>
          <w:sz w:val="19"/>
          <w:szCs w:val="19"/>
          <w:lang w:eastAsia="en-GB"/>
        </w:rPr>
        <w:t>, 2014)</w:t>
      </w:r>
    </w:p>
    <w:p w14:paraId="0BC8C076"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None of the components of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original or unprecedented. None is conceptually complex. All have been used by numerous public agencies—many over centuries. The uniqueness of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comes in the implementation—in how the organization’s leadership combines these components plus the diligence, constancy, subtlety, creativity, and tenacity with which they are employed.</w:t>
      </w:r>
    </w:p>
    <w:p w14:paraId="2F8C2D95"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Still, there are six aspects of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that distinguish it from other approaches to performance management:</w:t>
      </w:r>
    </w:p>
    <w:p w14:paraId="2FBD883E"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budget driven: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not driven by the annual budget process but by an independent analytic staff who concentrate not on allocating funds but on producing results.</w:t>
      </w:r>
    </w:p>
    <w:p w14:paraId="15208792"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purely punitive: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relies on an analytic team that not only evaluates sub-unit performance but also seeks to </w:t>
      </w:r>
      <w:r w:rsidRPr="00E838F2">
        <w:rPr>
          <w:rFonts w:ascii="LinLibertine" w:eastAsia="Times New Roman" w:hAnsi="LinLibertine" w:cs="Times New Roman"/>
          <w:i/>
          <w:iCs/>
          <w:color w:val="000000"/>
          <w:sz w:val="24"/>
          <w:szCs w:val="24"/>
          <w:lang w:eastAsia="en-GB"/>
        </w:rPr>
        <w:t>learn</w:t>
      </w:r>
      <w:r w:rsidRPr="00E838F2">
        <w:rPr>
          <w:rFonts w:ascii="LinLibertine" w:eastAsia="Times New Roman" w:hAnsi="LinLibertine" w:cs="Times New Roman"/>
          <w:color w:val="000000"/>
          <w:sz w:val="24"/>
          <w:szCs w:val="24"/>
          <w:lang w:eastAsia="en-GB"/>
        </w:rPr>
        <w:t> from the successes of positive deviants (</w:t>
      </w:r>
      <w:proofErr w:type="spellStart"/>
      <w:r w:rsidRPr="00E838F2">
        <w:rPr>
          <w:rFonts w:ascii="LinLibertine" w:eastAsia="Times New Roman" w:hAnsi="LinLibertine" w:cs="Times New Roman"/>
          <w:color w:val="000000"/>
          <w:sz w:val="24"/>
          <w:szCs w:val="24"/>
          <w:lang w:eastAsia="en-GB"/>
        </w:rPr>
        <w:t>Spreitzer</w:t>
      </w:r>
      <w:proofErr w:type="spellEnd"/>
      <w:r w:rsidRPr="00E838F2">
        <w:rPr>
          <w:rFonts w:ascii="LinLibertine" w:eastAsia="Times New Roman" w:hAnsi="LinLibertine" w:cs="Times New Roman"/>
          <w:color w:val="000000"/>
          <w:sz w:val="24"/>
          <w:szCs w:val="24"/>
          <w:lang w:eastAsia="en-GB"/>
        </w:rPr>
        <w:t xml:space="preserve"> and </w:t>
      </w:r>
      <w:proofErr w:type="spellStart"/>
      <w:r w:rsidRPr="00E838F2">
        <w:rPr>
          <w:rFonts w:ascii="LinLibertine" w:eastAsia="Times New Roman" w:hAnsi="LinLibertine" w:cs="Times New Roman"/>
          <w:color w:val="000000"/>
          <w:sz w:val="24"/>
          <w:szCs w:val="24"/>
          <w:lang w:eastAsia="en-GB"/>
        </w:rPr>
        <w:t>Sonenshein</w:t>
      </w:r>
      <w:proofErr w:type="spellEnd"/>
      <w:r w:rsidRPr="00E838F2">
        <w:rPr>
          <w:rFonts w:ascii="LinLibertine" w:eastAsia="Times New Roman" w:hAnsi="LinLibertine" w:cs="Times New Roman"/>
          <w:color w:val="000000"/>
          <w:sz w:val="24"/>
          <w:szCs w:val="24"/>
          <w:lang w:eastAsia="en-GB"/>
        </w:rPr>
        <w:t>, 2004) to help the sub-units </w:t>
      </w:r>
      <w:r w:rsidRPr="00E838F2">
        <w:rPr>
          <w:rFonts w:ascii="LinLibertine" w:eastAsia="Times New Roman" w:hAnsi="LinLibertine" w:cs="Times New Roman"/>
          <w:i/>
          <w:iCs/>
          <w:color w:val="000000"/>
          <w:sz w:val="24"/>
          <w:szCs w:val="24"/>
          <w:lang w:eastAsia="en-GB"/>
        </w:rPr>
        <w:t>improve</w:t>
      </w:r>
      <w:r w:rsidRPr="00E838F2">
        <w:rPr>
          <w:rFonts w:ascii="LinLibertine" w:eastAsia="Times New Roman" w:hAnsi="LinLibertine" w:cs="Times New Roman"/>
          <w:color w:val="000000"/>
          <w:sz w:val="24"/>
          <w:szCs w:val="24"/>
          <w:lang w:eastAsia="en-GB"/>
        </w:rPr>
        <w:t> performance, and to </w:t>
      </w:r>
      <w:proofErr w:type="spellStart"/>
      <w:r w:rsidRPr="00E838F2">
        <w:rPr>
          <w:rFonts w:ascii="LinLibertine" w:eastAsia="Times New Roman" w:hAnsi="LinLibertine" w:cs="Times New Roman"/>
          <w:i/>
          <w:iCs/>
          <w:color w:val="000000"/>
          <w:sz w:val="24"/>
          <w:szCs w:val="24"/>
          <w:lang w:eastAsia="en-GB"/>
        </w:rPr>
        <w:t>motivate</w:t>
      </w:r>
      <w:r w:rsidRPr="00E838F2">
        <w:rPr>
          <w:rFonts w:ascii="LinLibertine" w:eastAsia="Times New Roman" w:hAnsi="LinLibertine" w:cs="Times New Roman"/>
          <w:color w:val="000000"/>
          <w:sz w:val="24"/>
          <w:szCs w:val="24"/>
          <w:lang w:eastAsia="en-GB"/>
        </w:rPr>
        <w:t>individuals</w:t>
      </w:r>
      <w:proofErr w:type="spellEnd"/>
      <w:r w:rsidRPr="00E838F2">
        <w:rPr>
          <w:rFonts w:ascii="LinLibertine" w:eastAsia="Times New Roman" w:hAnsi="LinLibertine" w:cs="Times New Roman"/>
          <w:color w:val="000000"/>
          <w:sz w:val="24"/>
          <w:szCs w:val="24"/>
          <w:lang w:eastAsia="en-GB"/>
        </w:rPr>
        <w:t xml:space="preserve"> and teams to do so.</w:t>
      </w:r>
    </w:p>
    <w:p w14:paraId="1BFDA5BD"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fleeting: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not a temporary fad but an enduring leadership strategy for the ongoing management of an agency or jurisdiction that continues over years.</w:t>
      </w:r>
    </w:p>
    <w:p w14:paraId="6CCBF1E3"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randomly episodic: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part of the regular routine and rhythm of the chief executive’s leadership team and their management of their organization.</w:t>
      </w:r>
    </w:p>
    <w:p w14:paraId="670B9470"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involves regular, frequent follow-up: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requires more than meetings and questions, staff and data, a room and technology; it also requires the chief executive’s leadership team and 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staff to follow up on the issues </w:t>
      </w:r>
      <w:proofErr w:type="spellStart"/>
      <w:r w:rsidRPr="00E838F2">
        <w:rPr>
          <w:rFonts w:ascii="LinLibertine" w:eastAsia="Times New Roman" w:hAnsi="LinLibertine" w:cs="Times New Roman"/>
          <w:color w:val="000000"/>
          <w:sz w:val="24"/>
          <w:szCs w:val="24"/>
          <w:lang w:eastAsia="en-GB"/>
        </w:rPr>
        <w:t>analyzed</w:t>
      </w:r>
      <w:proofErr w:type="spellEnd"/>
      <w:r w:rsidRPr="00E838F2">
        <w:rPr>
          <w:rFonts w:ascii="LinLibertine" w:eastAsia="Times New Roman" w:hAnsi="LinLibertine" w:cs="Times New Roman"/>
          <w:color w:val="000000"/>
          <w:sz w:val="24"/>
          <w:szCs w:val="24"/>
          <w:lang w:eastAsia="en-GB"/>
        </w:rPr>
        <w:t xml:space="preserve"> during each meeting, not only at the next meeting but also immediately after each meeting.</w:t>
      </w:r>
    </w:p>
    <w:p w14:paraId="424A7A02" w14:textId="77777777" w:rsidR="00E838F2" w:rsidRPr="00E838F2" w:rsidRDefault="00E838F2" w:rsidP="00E838F2">
      <w:pPr>
        <w:numPr>
          <w:ilvl w:val="0"/>
          <w:numId w:val="1"/>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w:t>
      </w:r>
      <w:proofErr w:type="spellStart"/>
      <w:r w:rsidRPr="00E838F2">
        <w:rPr>
          <w:rFonts w:ascii="LinLibertine" w:eastAsia="Times New Roman" w:hAnsi="LinLibertine" w:cs="Times New Roman"/>
          <w:color w:val="000000"/>
          <w:sz w:val="24"/>
          <w:szCs w:val="24"/>
          <w:lang w:eastAsia="en-GB"/>
        </w:rPr>
        <w:t>uni</w:t>
      </w:r>
      <w:proofErr w:type="spellEnd"/>
      <w:r w:rsidRPr="00E838F2">
        <w:rPr>
          <w:rFonts w:ascii="LinLibertine" w:eastAsia="Times New Roman" w:hAnsi="LinLibertine" w:cs="Times New Roman"/>
          <w:color w:val="000000"/>
          <w:sz w:val="24"/>
          <w:szCs w:val="24"/>
          <w:lang w:eastAsia="en-GB"/>
        </w:rPr>
        <w:t xml:space="preserve">-directional: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creates </w:t>
      </w:r>
      <w:r w:rsidRPr="00E838F2">
        <w:rPr>
          <w:rFonts w:ascii="LinLibertine" w:eastAsia="Times New Roman" w:hAnsi="LinLibertine" w:cs="Times New Roman"/>
          <w:i/>
          <w:iCs/>
          <w:color w:val="000000"/>
          <w:sz w:val="24"/>
          <w:szCs w:val="24"/>
          <w:lang w:eastAsia="en-GB"/>
        </w:rPr>
        <w:t>mutual responsibility</w:t>
      </w:r>
      <w:r w:rsidRPr="00E838F2">
        <w:rPr>
          <w:rFonts w:ascii="LinLibertine" w:eastAsia="Times New Roman" w:hAnsi="LinLibertine" w:cs="Times New Roman"/>
          <w:color w:val="000000"/>
          <w:sz w:val="24"/>
          <w:szCs w:val="24"/>
          <w:lang w:eastAsia="en-GB"/>
        </w:rPr>
        <w:t>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2001: 120–140) with sub-unit directors responsible to the executive for concentrating their sub-unit’s efforts on improving performance, as judged by the executive’s key indicators, and with the executive responsible to each sub-unit for ensuring it has the resources and flexibility necessary to produce the desired results.</w:t>
      </w:r>
    </w:p>
    <w:p w14:paraId="3E377917"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Too often, too many public executives launch—with much fanfare—a fancy new initiative to improve performance. Maybe it is some high-tech performance-measurement software purchased from an aggressive vendor. Maybe it is a high-tech but “citizen-friendly,” on-line database. Maybe it is a new—“get tough on the bums”—accountability system.</w:t>
      </w:r>
    </w:p>
    <w:p w14:paraId="712D4371"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lastRenderedPageBreak/>
        <w:t>Improving performance is not, however, simple. Producing results that matter to citizens is not easy. To keep a public organization focused on producing results that matter to citizens, the leadership needs to engage everyone in a variety of initiatives, activities, analyses, and projects—all selected and designed to help achieve their key purposes.</w:t>
      </w:r>
    </w:p>
    <w:p w14:paraId="708128F4" w14:textId="77777777" w:rsidR="00E838F2" w:rsidRPr="00E838F2" w:rsidRDefault="00E838F2" w:rsidP="00E838F2">
      <w:pPr>
        <w:shd w:val="clear" w:color="auto" w:fill="E7E7E8"/>
        <w:spacing w:after="240" w:line="240" w:lineRule="auto"/>
        <w:rPr>
          <w:rFonts w:ascii="LinLibertine" w:eastAsia="Times New Roman" w:hAnsi="LinLibertine" w:cs="Times New Roman"/>
          <w:b/>
          <w:bCs/>
          <w:color w:val="000000"/>
          <w:sz w:val="31"/>
          <w:szCs w:val="31"/>
          <w:lang w:eastAsia="en-GB"/>
        </w:rPr>
      </w:pPr>
      <w:r w:rsidRPr="00E838F2">
        <w:rPr>
          <w:rFonts w:ascii="LinLibertine" w:eastAsia="Times New Roman" w:hAnsi="LinLibertine" w:cs="Times New Roman"/>
          <w:b/>
          <w:bCs/>
          <w:color w:val="000000"/>
          <w:sz w:val="31"/>
          <w:szCs w:val="31"/>
          <w:lang w:eastAsia="en-GB"/>
        </w:rPr>
        <w:t>Learning objectives</w:t>
      </w:r>
    </w:p>
    <w:p w14:paraId="260D0FDA" w14:textId="77777777" w:rsidR="00E838F2" w:rsidRPr="00E838F2" w:rsidRDefault="00E838F2" w:rsidP="00E838F2">
      <w:pPr>
        <w:shd w:val="clear" w:color="auto" w:fill="E7E7E8"/>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This chapter will help readers:</w:t>
      </w:r>
    </w:p>
    <w:p w14:paraId="5E25F7BC"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to identify the key features of 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w:t>
      </w:r>
    </w:p>
    <w:p w14:paraId="719DC375"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discern the subtleties of these features and grasp how they work and reinforce each other to produce results;</w:t>
      </w:r>
    </w:p>
    <w:p w14:paraId="4C604961"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appreciate the role of data and analysis in identifying key performance deficits;</w:t>
      </w:r>
    </w:p>
    <w:p w14:paraId="24EBDB0B"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understand the necessity of establishing performance targets;</w:t>
      </w:r>
    </w:p>
    <w:p w14:paraId="073EEF72"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comprehend how the strategy can motivate teams and individuals to work not only harder but also smarter;</w:t>
      </w:r>
    </w:p>
    <w:p w14:paraId="14748F9B"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recognize the importance of feedback and follow-up;</w:t>
      </w:r>
    </w:p>
    <w:p w14:paraId="56B5E0B5"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grasp the need to adapt the strategy to different purposes and different circumstances;</w:t>
      </w:r>
    </w:p>
    <w:p w14:paraId="1A7A70D3" w14:textId="77777777" w:rsidR="00E838F2" w:rsidRPr="00E838F2" w:rsidRDefault="00E838F2" w:rsidP="00E838F2">
      <w:pPr>
        <w:numPr>
          <w:ilvl w:val="0"/>
          <w:numId w:val="2"/>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to implement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in their organizations.</w:t>
      </w:r>
    </w:p>
    <w:p w14:paraId="664705CC"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 xml:space="preserve">Leading the </w:t>
      </w:r>
      <w:proofErr w:type="spellStart"/>
      <w:r w:rsidRPr="00E838F2">
        <w:rPr>
          <w:rFonts w:ascii="LinLibertine" w:eastAsia="Times New Roman" w:hAnsi="LinLibertine" w:cs="Times New Roman"/>
          <w:b/>
          <w:bCs/>
          <w:color w:val="000000"/>
          <w:sz w:val="36"/>
          <w:szCs w:val="36"/>
          <w:lang w:eastAsia="en-GB"/>
        </w:rPr>
        <w:t>PerformanceStat</w:t>
      </w:r>
      <w:proofErr w:type="spellEnd"/>
      <w:r w:rsidRPr="00E838F2">
        <w:rPr>
          <w:rFonts w:ascii="LinLibertine" w:eastAsia="Times New Roman" w:hAnsi="LinLibertine" w:cs="Times New Roman"/>
          <w:b/>
          <w:bCs/>
          <w:color w:val="000000"/>
          <w:sz w:val="36"/>
          <w:szCs w:val="36"/>
          <w:lang w:eastAsia="en-GB"/>
        </w:rPr>
        <w:t xml:space="preserve"> way</w:t>
      </w:r>
    </w:p>
    <w:p w14:paraId="4DB65753"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t>Performance measures and performance deficits</w:t>
      </w:r>
    </w:p>
    <w:p w14:paraId="6740DA6D"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Every organization has performance deficits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2006). These are places along its value chain—from inputs, to activities and processes, to outputs, to outcomes—where there exists a problem that hinders or hurts the organization’s ability to produce improved results. Thus, if this performance deficit can be eliminated or at least mitigated, the organization will be able to improve its performance.</w:t>
      </w:r>
    </w:p>
    <w:p w14:paraId="3E08682E"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For a company that is manufacturing cars of inferior quality, a performance deficit might be the car’s design or the layout of the production line. It might be the deficiency of a vendor’s ignition system or inferior work on the production line. To improve its performance, the firm needs to identify and eliminate or mitigate its key deficits. In the public sector, however, identifying performance deficits is not such a mechanical process. Some might think the key performance deficits are obvious; others might find that they are much more subtle.</w:t>
      </w:r>
    </w:p>
    <w:p w14:paraId="63918BB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For example, the Civil Aviation Authority (CAA) of the United Kingdom seeks to “enable civil aviation to best meet the needs of its users and society in a safe and sustainable manner.” Not very surprising. This mission provides, however, absolutely no basis for measuring, managing, or improving performance.</w:t>
      </w:r>
    </w:p>
    <w:p w14:paraId="61A9F7F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What performance measure is most useful? Deaths from airplane accidents is the ultimate measure. Any single death is certainly a failure in performance. Still, this measure doesn’t really help CAA executives improve performance. Nor does it help its users evaluate them. After all, in any given year, a very safe aerospace system might have a major accident; conversely, an unsafe system might escape with zero accidents. The </w:t>
      </w:r>
      <w:r w:rsidRPr="00E838F2">
        <w:rPr>
          <w:rFonts w:ascii="LinLibertine" w:eastAsia="Times New Roman" w:hAnsi="LinLibertine" w:cs="Times New Roman"/>
          <w:color w:val="000000"/>
          <w:sz w:val="24"/>
          <w:szCs w:val="24"/>
          <w:lang w:eastAsia="en-GB"/>
        </w:rPr>
        <w:lastRenderedPageBreak/>
        <w:t>very low probabilities of any accident mean that the CAA could have improved and yet this year’s fatalities could go up. Or it might be precisely the reverse.</w:t>
      </w:r>
    </w:p>
    <w:p w14:paraId="509AD509"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To manage the CAA, its executives need some other measure—something that focuses attention on a current and significant problem, something that can have a causal impact on fatalities, something the CAA can do something about. For example: near misses. If the CAA can reduce the number of near misses, it will also reduce the probability of deaths. Nevertheless, the relationship between near misses and deaths will always be uncertain. The number of near misses can go down, and deaths can still go up. Still, the CAA could decide that its most significant performance deficit is the number of near misses.</w:t>
      </w:r>
    </w:p>
    <w:p w14:paraId="5EEBA25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Then, an analysis of last year’s near-miss data might uncover a large number in a particular category. There might be more near misses at specific airports or at a particular time of the day. If the CAA can identify that near misses are significantly above the normal in particular circumstances, it could focus on this as a specific and important performance deficit that it needs to eliminate or mitigate.</w:t>
      </w:r>
    </w:p>
    <w:p w14:paraId="10BFEF4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Every organization has multiple performance deficits. Thus, its leadership team needs to choose a few on which to focus. And this choice is a judgment. It reflects the particular performance problems facing the agency, and its leadership’s analysis about which ones to tackle first. The CAA in the United Kingdom and the Federal Aviation Administration in the United States have essentially the same responsibilities. Yet in any given year, the two organizations might have quite different performance deficits. Thus, the leadership teams of the CAA and of the FAA might focus on fixing quite different problems.</w:t>
      </w:r>
    </w:p>
    <w:p w14:paraId="2E4B1A1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By specifying a particular performance deficit that needs to be eliminated or mitigated, the leadership team can focus the entire organization on what it needs to do next to improve performance.</w:t>
      </w:r>
    </w:p>
    <w:p w14:paraId="123486AD"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t>Data and analysis</w:t>
      </w:r>
    </w:p>
    <w:p w14:paraId="041F55AC"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Of course, the organization cannot identify its performance deficits unless it has data that reveal the problem. If neither the CAA nor the FAA is collecting near-miss data, neither will have any idea how many it has. And it certainly will be unable to conduct any kind of analysis to determine whether near misses are a significant threat and, if so, which category of near misses is potentially the most dangerous.</w:t>
      </w:r>
    </w:p>
    <w:p w14:paraId="41264B27"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Actually, the US FAA does have such data. In 1976, it created the Aviation Safety Reporting System, a voluntary and anonymous process that is actually operated by the National Aeronautics and Space Administration to ensure the confidentiality of those who report a near miss to which their own </w:t>
      </w:r>
      <w:proofErr w:type="spellStart"/>
      <w:r w:rsidRPr="00E838F2">
        <w:rPr>
          <w:rFonts w:ascii="LinLibertine" w:eastAsia="Times New Roman" w:hAnsi="LinLibertine" w:cs="Times New Roman"/>
          <w:color w:val="000000"/>
          <w:sz w:val="24"/>
          <w:szCs w:val="24"/>
          <w:lang w:eastAsia="en-GB"/>
        </w:rPr>
        <w:t>behavior</w:t>
      </w:r>
      <w:proofErr w:type="spellEnd"/>
      <w:r w:rsidRPr="00E838F2">
        <w:rPr>
          <w:rFonts w:ascii="LinLibertine" w:eastAsia="Times New Roman" w:hAnsi="LinLibertine" w:cs="Times New Roman"/>
          <w:color w:val="000000"/>
          <w:sz w:val="24"/>
          <w:szCs w:val="24"/>
          <w:lang w:eastAsia="en-GB"/>
        </w:rPr>
        <w:t xml:space="preserve"> or error might have contributed. Thus, to improve its performance and to reduce the number of near misses (and thus the probability of an accident), the FAA could </w:t>
      </w:r>
      <w:proofErr w:type="spellStart"/>
      <w:r w:rsidRPr="00E838F2">
        <w:rPr>
          <w:rFonts w:ascii="LinLibertine" w:eastAsia="Times New Roman" w:hAnsi="LinLibertine" w:cs="Times New Roman"/>
          <w:color w:val="000000"/>
          <w:sz w:val="24"/>
          <w:szCs w:val="24"/>
          <w:lang w:eastAsia="en-GB"/>
        </w:rPr>
        <w:t>analyze</w:t>
      </w:r>
      <w:proofErr w:type="spellEnd"/>
      <w:r w:rsidRPr="00E838F2">
        <w:rPr>
          <w:rFonts w:ascii="LinLibertine" w:eastAsia="Times New Roman" w:hAnsi="LinLibertine" w:cs="Times New Roman"/>
          <w:color w:val="000000"/>
          <w:sz w:val="24"/>
          <w:szCs w:val="24"/>
          <w:lang w:eastAsia="en-GB"/>
        </w:rPr>
        <w:t xml:space="preserve"> these data.</w:t>
      </w:r>
    </w:p>
    <w:p w14:paraId="751DDC53"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Every day, the New York City Police Department (NYPD) gets lots of data—data on its outputs (arrests) and on its outcomes (crimes). Moreover, these data can (when </w:t>
      </w:r>
      <w:proofErr w:type="spellStart"/>
      <w:r w:rsidRPr="00E838F2">
        <w:rPr>
          <w:rFonts w:ascii="LinLibertine" w:eastAsia="Times New Roman" w:hAnsi="LinLibertine" w:cs="Times New Roman"/>
          <w:color w:val="000000"/>
          <w:sz w:val="24"/>
          <w:szCs w:val="24"/>
          <w:lang w:eastAsia="en-GB"/>
        </w:rPr>
        <w:t>analyzed</w:t>
      </w:r>
      <w:proofErr w:type="spellEnd"/>
      <w:r w:rsidRPr="00E838F2">
        <w:rPr>
          <w:rFonts w:ascii="LinLibertine" w:eastAsia="Times New Roman" w:hAnsi="LinLibertine" w:cs="Times New Roman"/>
          <w:color w:val="000000"/>
          <w:sz w:val="24"/>
          <w:szCs w:val="24"/>
          <w:lang w:eastAsia="en-GB"/>
        </w:rPr>
        <w:t>) reveal specific performance deficits. Moreover, NYPD has a simple, first-order analytic tool for identifying its performance deficits: the dots on a map, with each dot representing a specific crime. The spatial clustering of dots reveals a problem—a hot-spot of crime that needs attention (Braga and Weisburd, 2010). To observe such patterns, no one needs any training in statistics. (Of course, having identified the hot-spot, the police still have to develop a strategy for eliminating or mitigating this deficit—for attacking the particular crimes that the dots represent.)</w:t>
      </w:r>
    </w:p>
    <w:p w14:paraId="159A4F1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lastRenderedPageBreak/>
        <w:t>Most other public agencies, however, are not so lucky. Unlike the police, they don’t collect data simply by going about their regular, daily business. And when they do manage to collect some data—data that might be in some way related to their performance—it often isn’t obvious what kind of analysis will—or even might—reveal some significant performance deficits. For most public agencies, the performance deficits do not jump out of their data.</w:t>
      </w:r>
    </w:p>
    <w:p w14:paraId="5BD917C5"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Thus, a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 requires not only data: input data, process data, output data, and/or outcome data. It also requires one or more clever analysts who can sift through the data, identify categories of data that appear (potentially) interesting, parse these data to see what kind of relationships they reveal (between, for example, activities and outputs), and suggest the performance deficits to attack next. Clever analysts—those who not only understand data but also know something about the organization’s operational challenges—might even be able to offer some ideas about the tactics that might be most effective in eliminating or mitigating those deficits.</w:t>
      </w:r>
    </w:p>
    <w:p w14:paraId="3271C86B"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t>Performance deficits and performance targets</w:t>
      </w:r>
    </w:p>
    <w:p w14:paraId="52228145"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An operational performance deficit provides the focus that a multitude of performance measures dilutes. It reflects a significant problem that the organization faces. And it drives the organization to do the analytic work necessary to determine the causes of this deficiency plus the operational work necessary to eliminate (or, at least, to reduce) it. But it is not enough. For after the leadership has identified an important performance deficit to attack, it still needs to specify how it will know whether or not it has satisfactorily eliminated or mitigated it.</w:t>
      </w:r>
    </w:p>
    <w:p w14:paraId="10C60A1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Thus, to improve performance—and to demonstrate that it is improving—the agency needs some performance targets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2003). Such targets not only provide a standard against which to measure success. They also motivate people and, when achieved, provide a sense of accomplishment. When William Bratton was first appointed commissioner of the New York City Police Department in 1994, he set three performance targets: to reduce crime by 10 percent in the first year, by 25 percent over two years, and by 40 percent over three years (Bratton, 1998: 194 and 202). By identifying a consequential performance deficit—plus the target to be achieved in the next year—the leaders of a governmental jurisdiction or public agency provide a basis for both measuring and motivating their own performance.</w:t>
      </w:r>
    </w:p>
    <w:p w14:paraId="187DB58D"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On </w:t>
      </w:r>
      <w:r w:rsidRPr="00E838F2">
        <w:rPr>
          <w:rFonts w:ascii="LinLibertine" w:eastAsia="Times New Roman" w:hAnsi="LinLibertine" w:cs="Times New Roman"/>
          <w:i/>
          <w:iCs/>
          <w:color w:val="000000"/>
          <w:sz w:val="24"/>
          <w:szCs w:val="24"/>
          <w:lang w:eastAsia="en-GB"/>
        </w:rPr>
        <w:t>how many</w:t>
      </w:r>
      <w:r w:rsidRPr="00E838F2">
        <w:rPr>
          <w:rFonts w:ascii="LinLibertine" w:eastAsia="Times New Roman" w:hAnsi="LinLibertine" w:cs="Times New Roman"/>
          <w:color w:val="000000"/>
          <w:sz w:val="24"/>
          <w:szCs w:val="24"/>
          <w:lang w:eastAsia="en-GB"/>
        </w:rPr>
        <w:t> targets should a leadership team focus? Not too many. Maybe just one or two. And should this target be an outcome—such as Bratton’s target for the reduction in crime? Or should it be an output target? Or should it (could it) be an activity or process target? As usual, there is no right answer. It all depends upon the nature of the performance deficit.</w:t>
      </w:r>
    </w:p>
    <w:p w14:paraId="29AAA79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And how can an agency’s managers choose their targets? Again, this decision will depend upon the agency’s “performance deficit”: the significant aspect of its work that it has decided it needs to improve next. A police department can choose an outcome target because its work can produce a change in this outcome in a year (or sometimes even less). But a local department of mental health lacks the capacity to produce a noticeable change in its community’s mental health so quickly. It will have to identify performance deficits earlier in the value chain and focus on them—relying on their understanding of cause-and-effect relationships between activities and outcomes to corroborate the effectiveness of their strategy.</w:t>
      </w:r>
    </w:p>
    <w:p w14:paraId="12ECC6CB"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lastRenderedPageBreak/>
        <w:t>The delegation of responsibility plus management discretion</w:t>
      </w:r>
    </w:p>
    <w:p w14:paraId="2093194A"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Who, however, will actually achieve the target? Who will eliminate or mitigate the performance deficit? Who will produce the desired results? It won’t be the leadership team in headquarters. Few police chiefs actually arrest a bad guy. Few directors of mental health departments conduct therapy sessions. The actual results will have to be produced by the organization’s sub-unit managers, its front-line supervisors, and its front-line workers. These are the people who do the organization’s actual work.</w:t>
      </w:r>
    </w:p>
    <w:p w14:paraId="463DE08F"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Thus, one of the challenges facing the leadership team of any governmental jurisdiction or public agency that seeks to improve performance is clear: how to motivate everyone to achieve their targets? This is never easy, though the creation of a specific target is an important first step. For it gives everyone something specific to aim for. And, when people achieve their target, they gain a sense of accomplishment.</w:t>
      </w:r>
    </w:p>
    <w:p w14:paraId="4EDC9C0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The existence of a significant performance target creates intrinsic motivation (Deci, 1975; Grant, 2007). It gives everyone the opportunity to earn some esteem—the self-esteem and the esteem of others that comes only from accomplishing something significant (Maslow, 1943).</w:t>
      </w:r>
    </w:p>
    <w:p w14:paraId="005A765D"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Unfortunately, this intrinsic motivation—this opportunity to earn some esteem—is negated or even eliminated if those achieving the result are mere robots, obsequiously carrying out the precise orders and sycophantically following the detailed procedures set down by their bosses. Minions don’t get much of a sense of accomplishment.</w:t>
      </w:r>
    </w:p>
    <w:p w14:paraId="297B7BA5"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If however, the sub-units are given targets plus the discretion in developing their own strategies for achieving those targets, they can earn a sense of accomplishment. Moreover, excellent sub-unit managers know more about the details of their own performance deficits—the crimes committed in their precinct; the mental and emotional challenges facing those who visit their clinics—and thus should be able to develop more nuanced strategies for dealing with them. Specific targets combined with managerial discretion can provide people with both the opportunity and the motivation to develop and implement intelligent strategies for achieving those targets.</w:t>
      </w:r>
    </w:p>
    <w:p w14:paraId="014322B7"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t>Meetings, follow-up, and feedback</w:t>
      </w:r>
    </w:p>
    <w:p w14:paraId="07978A12"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Many of the </w:t>
      </w:r>
      <w:proofErr w:type="spellStart"/>
      <w:r w:rsidRPr="00E838F2">
        <w:rPr>
          <w:rFonts w:ascii="LinLibertine" w:eastAsia="Times New Roman" w:hAnsi="LinLibertine" w:cs="Times New Roman"/>
          <w:color w:val="000000"/>
          <w:sz w:val="24"/>
          <w:szCs w:val="24"/>
          <w:lang w:eastAsia="en-GB"/>
        </w:rPr>
        <w:t>MimicStats</w:t>
      </w:r>
      <w:proofErr w:type="spellEnd"/>
      <w:r w:rsidRPr="00E838F2">
        <w:rPr>
          <w:rFonts w:ascii="LinLibertine" w:eastAsia="Times New Roman" w:hAnsi="LinLibertine" w:cs="Times New Roman"/>
          <w:color w:val="000000"/>
          <w:sz w:val="24"/>
          <w:szCs w:val="24"/>
          <w:lang w:eastAsia="en-GB"/>
        </w:rPr>
        <w:t xml:space="preserve"> that lack the potential to improve performance are missing the meetings and their essential activity—the opportunity for significant follow-up and real feedback. Some do not hold any meetings at all.</w:t>
      </w:r>
    </w:p>
    <w:p w14:paraId="5B9881DF"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Others do hold meetings, but they are essentially show and tell, in which one of the organization’s managers describes all of the wonderful things that his or her sub-unit is doing. The organization’s leadership team has not prepared for the meeting. They have not conferred beforehand to decide what issues to raise. They have not asked their analysts (that is, if they have any analysts) to provide them with some assessment of the sub-unit’s progress. They might not even have thought about what progress for this sub-unit might mean, because they have not specified what the sub-unit’s purpose is, what results it needs to produce, what its performance deficits are, let alone what its performance targets should be.</w:t>
      </w:r>
    </w:p>
    <w:p w14:paraId="04BB293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Consequently, this organization’s leadership team (if you can call it a “leadership” team) can do little more than sit passively listening to the sub-unit’s presentation, which (of course) consists of a series of anecdotes (sprinkled with a few bits of data) suggesting that the sub-unit is doing a fantastic job. Some members of the organization’s leadership </w:t>
      </w:r>
      <w:r w:rsidRPr="00E838F2">
        <w:rPr>
          <w:rFonts w:ascii="LinLibertine" w:eastAsia="Times New Roman" w:hAnsi="LinLibertine" w:cs="Times New Roman"/>
          <w:color w:val="000000"/>
          <w:sz w:val="24"/>
          <w:szCs w:val="24"/>
          <w:lang w:eastAsia="en-GB"/>
        </w:rPr>
        <w:lastRenderedPageBreak/>
        <w:t>team might be able to ask a penetrating question that exposes a performance deficit or two and pushes the sub-unit to do something before the next meeting. Otherwise, everyone leaves the meeting with the warm and fuzzy feeling that they are all performing quite terrifically.</w:t>
      </w:r>
    </w:p>
    <w:p w14:paraId="1B299D18"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Still, even such a show-and-tell meeting accomplishes a little. For the sub-unit manager does not want to look like a complete idiot. He or she has to prepare. And that preparation may force the sub-unit manager to, if nothing else, think about the questions that might be asked. Then, having identified potential questions, to do something. Doing something might be nothing more than developing a suitable response for each predictable question. But this manager might—but only might—actually do something so that, when a logical question is asked, he or she can report how the organization has anticipated this issue and actually done something about it.</w:t>
      </w:r>
    </w:p>
    <w:p w14:paraId="267C615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At an effective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meeting, however, the members of the leadership team will probe. They have met with this sub-unit before. Indeed, they have met on a regular basis many times before. Maybe just two weeks ago; in Baltimore City Council, every department has its own bi-weekly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meeting. Maybe it was three months ago; in the U.S., the </w:t>
      </w:r>
      <w:r w:rsidRPr="00E838F2">
        <w:rPr>
          <w:rFonts w:ascii="LinLibertine" w:eastAsia="Times New Roman" w:hAnsi="LinLibertine" w:cs="Times New Roman"/>
          <w:i/>
          <w:iCs/>
          <w:color w:val="000000"/>
          <w:sz w:val="24"/>
          <w:szCs w:val="24"/>
          <w:lang w:eastAsia="en-GB"/>
        </w:rPr>
        <w:t>Government Performance and Modernization Act</w:t>
      </w:r>
      <w:r w:rsidRPr="00E838F2">
        <w:rPr>
          <w:rFonts w:ascii="LinLibertine" w:eastAsia="Times New Roman" w:hAnsi="LinLibertine" w:cs="Times New Roman"/>
          <w:color w:val="000000"/>
          <w:sz w:val="24"/>
          <w:szCs w:val="24"/>
          <w:lang w:eastAsia="en-GB"/>
        </w:rPr>
        <w:t> (United States Congress, 2011) requires every department to hold “quarterly priority performance reviews.” If the members of the organization’s leadership team have been diligent in using these meetings to scrutinize performance deficits and to drive significantly improved results, they will remember (regardless of how frequently these meetings are held) the questions asked and the answers given. They will know what they want to ask at the next meeting; they will know of whom to ask it; and they will know what answers are acceptable and which are not. Moreover, just in case they forget some detail, they have an analytical staff to remind them.</w:t>
      </w:r>
    </w:p>
    <w:p w14:paraId="0CAEDBE3"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Thus, one of the things that distinguishes a serious, results-producing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 from mere </w:t>
      </w:r>
      <w:proofErr w:type="spellStart"/>
      <w:r w:rsidRPr="00E838F2">
        <w:rPr>
          <w:rFonts w:ascii="LinLibertine" w:eastAsia="Times New Roman" w:hAnsi="LinLibertine" w:cs="Times New Roman"/>
          <w:color w:val="000000"/>
          <w:sz w:val="24"/>
          <w:szCs w:val="24"/>
          <w:lang w:eastAsia="en-GB"/>
        </w:rPr>
        <w:t>MimicStat</w:t>
      </w:r>
      <w:proofErr w:type="spellEnd"/>
      <w:r w:rsidRPr="00E838F2">
        <w:rPr>
          <w:rFonts w:ascii="LinLibertine" w:eastAsia="Times New Roman" w:hAnsi="LinLibertine" w:cs="Times New Roman"/>
          <w:color w:val="000000"/>
          <w:sz w:val="24"/>
          <w:szCs w:val="24"/>
          <w:lang w:eastAsia="en-GB"/>
        </w:rPr>
        <w:t xml:space="preserve"> is the essential follow-up. Indeed, the absence of follow-up is one of the “big errors” that many make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2008). For the meetings and their follow-up provide an important impetus to create the continual performance improvement: “What’s the performance deficit?” “What are you doing about it?” “What improved results do you anticipate will result?” “When do you expect to be finished doing that?” “I look forward to your progress report at the next meeting.”</w:t>
      </w:r>
    </w:p>
    <w:p w14:paraId="2B365D6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Then, at the next meeting this discussion will continue. If the sub-unit has not made the promised progress, the question moves to who must do what: Does the sub-unit need to change its approach? Does the leadership team need to provide a missing but critical resource (money, talent, flexibility, training, guidance)? What is the revised timetable for the anticipated improvements? Or, if the sub-unit has indeed produced the promised progress, the question will shift to the next performance deficit that needs to be addressed.</w:t>
      </w:r>
    </w:p>
    <w:p w14:paraId="5FAAB66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All the while, the leadership team is providing useful feedback. 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analysts are scrutinizing the data for progress and problems, and calling both to the attention of the leadership team. Thus, at the meetings (and in between too), the leadership team is able to publicly recognize the accomplishments of those who have proven successful, thus confirming that significant successes are possible and valued. The leadership team can also offer advice, assistance, and encouragement for those who are striving and making progress, but have yet to achieve their targets.</w:t>
      </w:r>
    </w:p>
    <w:p w14:paraId="3325444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At the same time, if an organization’s leadership team is serious about improving performance, it cannot tolerate sub-unit managers who resist either actively or passively. Indifferent, incompetent, or insubordinate </w:t>
      </w:r>
      <w:proofErr w:type="spellStart"/>
      <w:r w:rsidRPr="00E838F2">
        <w:rPr>
          <w:rFonts w:ascii="LinLibertine" w:eastAsia="Times New Roman" w:hAnsi="LinLibertine" w:cs="Times New Roman"/>
          <w:color w:val="000000"/>
          <w:sz w:val="24"/>
          <w:szCs w:val="24"/>
          <w:lang w:eastAsia="en-GB"/>
        </w:rPr>
        <w:t>behavior</w:t>
      </w:r>
      <w:proofErr w:type="spellEnd"/>
      <w:r w:rsidRPr="00E838F2">
        <w:rPr>
          <w:rFonts w:ascii="LinLibertine" w:eastAsia="Times New Roman" w:hAnsi="LinLibertine" w:cs="Times New Roman"/>
          <w:color w:val="000000"/>
          <w:sz w:val="24"/>
          <w:szCs w:val="24"/>
          <w:lang w:eastAsia="en-GB"/>
        </w:rPr>
        <w:t xml:space="preserve"> by sub-unit managers automatically </w:t>
      </w:r>
      <w:r w:rsidRPr="00E838F2">
        <w:rPr>
          <w:rFonts w:ascii="LinLibertine" w:eastAsia="Times New Roman" w:hAnsi="LinLibertine" w:cs="Times New Roman"/>
          <w:color w:val="000000"/>
          <w:sz w:val="24"/>
          <w:szCs w:val="24"/>
          <w:lang w:eastAsia="en-GB"/>
        </w:rPr>
        <w:lastRenderedPageBreak/>
        <w:t xml:space="preserve">undermines the morale and the motivation of everyone else. Fortunately,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has a built-in opportunity both for dramatizing that such </w:t>
      </w:r>
      <w:proofErr w:type="spellStart"/>
      <w:r w:rsidRPr="00E838F2">
        <w:rPr>
          <w:rFonts w:ascii="LinLibertine" w:eastAsia="Times New Roman" w:hAnsi="LinLibertine" w:cs="Times New Roman"/>
          <w:color w:val="000000"/>
          <w:sz w:val="24"/>
          <w:szCs w:val="24"/>
          <w:lang w:eastAsia="en-GB"/>
        </w:rPr>
        <w:t>behavior</w:t>
      </w:r>
      <w:proofErr w:type="spellEnd"/>
      <w:r w:rsidRPr="00E838F2">
        <w:rPr>
          <w:rFonts w:ascii="LinLibertine" w:eastAsia="Times New Roman" w:hAnsi="LinLibertine" w:cs="Times New Roman"/>
          <w:color w:val="000000"/>
          <w:sz w:val="24"/>
          <w:szCs w:val="24"/>
          <w:lang w:eastAsia="en-GB"/>
        </w:rPr>
        <w:t xml:space="preserve"> is unacceptable and for reproving the recalcitrant and punishing the saboteurs: Simply ask follow-up questions, and more follow-up questions, and then even more follow-up questions.</w:t>
      </w:r>
    </w:p>
    <w:p w14:paraId="37B9E323"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These are quasi-public meetings. Citizens, legislators, and journalists may not be in the room, but subordinates and peers are. Thus, when probing questions are asked, the managers who respond with detailed explanations of what they have done and coherent descriptions of what they plan to do next will earn attention and praise. Conversely, the inability to provide adequate answers is, itself, embarrassing. By regularly questioning sub-unit managers about their lack of analytical insight, operational effectiveness, or strategic coherence, the leadership team can ensure that everyone in the organization understands that dedicated and competent work is valued and that indifference, ineffectiveness, incompetence, and insubordination are unacceptable.</w:t>
      </w:r>
    </w:p>
    <w:p w14:paraId="714B9326" w14:textId="77777777" w:rsidR="00E838F2" w:rsidRPr="00E838F2" w:rsidRDefault="00E838F2" w:rsidP="00E838F2">
      <w:pPr>
        <w:spacing w:before="480" w:after="240" w:line="374" w:lineRule="atLeast"/>
        <w:outlineLvl w:val="2"/>
        <w:rPr>
          <w:rFonts w:ascii="LinLibertine" w:eastAsia="Times New Roman" w:hAnsi="LinLibertine" w:cs="Times New Roman"/>
          <w:b/>
          <w:bCs/>
          <w:i/>
          <w:iCs/>
          <w:color w:val="000000"/>
          <w:sz w:val="29"/>
          <w:szCs w:val="29"/>
          <w:lang w:eastAsia="en-GB"/>
        </w:rPr>
      </w:pPr>
      <w:r w:rsidRPr="00E838F2">
        <w:rPr>
          <w:rFonts w:ascii="LinLibertine" w:eastAsia="Times New Roman" w:hAnsi="LinLibertine" w:cs="Times New Roman"/>
          <w:b/>
          <w:bCs/>
          <w:i/>
          <w:iCs/>
          <w:color w:val="000000"/>
          <w:sz w:val="29"/>
          <w:szCs w:val="29"/>
          <w:lang w:eastAsia="en-GB"/>
        </w:rPr>
        <w:t>Developing organizational competence</w:t>
      </w:r>
    </w:p>
    <w:p w14:paraId="7B59060C"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is often described as being all about accountability. As all public employees know, this means: “When they do something good, nothing happens. But when they screw up, all hell can break loose”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2001: 3). But if the middle managers, front-line supervisors, and front-line workers lack the operational capacity to produce the desired results, no amount of accountability will improve performance. “Accountability cannot coerce competence”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2010).</w:t>
      </w:r>
    </w:p>
    <w:p w14:paraId="2149F445"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Yes, for the slackers, some traditional accountability may be necessary (if only to convince the conscientious that their efforts are appreciated). Still, when an organization’s leadership team seeks to ratchet up performance, it needs to be sure that those who are most directly responsible for producing the desired improvements have the required resources, necessary operational capacity, and essential organizational competence. This means that 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meetings are often a negotiation: What does a sub-unit need in order to achieve a higher level of results? What results could a sub-unit achieve with a higher level of resources, capacity, or competence?</w:t>
      </w:r>
    </w:p>
    <w:p w14:paraId="2D2CC2ED"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Does the organization need new equipment? Does it need new training for its front-line workers? Does it need the flexibility to redesign tasks and modify work-unit assignments?</w:t>
      </w:r>
    </w:p>
    <w:p w14:paraId="293EB8FE"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Does it have the latitude to reassign front-line supervisors who may have attained their positions through seniority but lack the skills to lead and motivate their units? Does it need to send its middle managers off for some appropriate executive education? Results-producing sub-units may have already acquired these prerequisites for their current level of performance. Nevertheless, even for them to ratchet up results to the next level, they are likely to need something more, be it resources, capacity, or competence.</w:t>
      </w:r>
    </w:p>
    <w:p w14:paraId="664BB945"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When a leadership team puts pressure on sub-units to improve performance, it needs to ensure that these sub-units actually have what is necessary to produce the desired results.</w:t>
      </w:r>
    </w:p>
    <w:p w14:paraId="020F7379"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Adaptation is necessary!</w:t>
      </w:r>
    </w:p>
    <w:p w14:paraId="25CD8F8C" w14:textId="77777777" w:rsidR="00E838F2" w:rsidRPr="00E838F2" w:rsidRDefault="00E838F2" w:rsidP="00E838F2">
      <w:pPr>
        <w:spacing w:before="240" w:after="0" w:line="240" w:lineRule="auto"/>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lastRenderedPageBreak/>
        <w:t>The New York City Police Department is unique. No other police department on the planet is precisely like it. Indeed, today’s NYPD is not identical to the NYPD of 1994 when it created CompStat. Thus, the CompStat strategy that NYPD employs today is different in a variety of ways, large and small, from the original. It has to be. Similarly, every other police department’s CompStat is different too. Yes, all of them have data and analysis. All have meetings, follow-up, and feedback. Yet exactly how they employ these essential components of the strategy depends on their unique aspects of their situations. All have the purpose of reducing crime. Yet, their performance deficits are different because the nature of their crimes—the patterns of their crimes; the circumstances of their crimes—are different.</w:t>
      </w:r>
    </w:p>
    <w:p w14:paraId="5A08B63E"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Similarly, every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is different. Baltimore’s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today is different from the original 2000 version; indeed, it is now on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3.0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2012). Although Somerville based its version of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on Baltimore’s </w:t>
      </w:r>
      <w:proofErr w:type="spellStart"/>
      <w:r w:rsidRPr="00E838F2">
        <w:rPr>
          <w:rFonts w:ascii="LinLibertine" w:eastAsia="Times New Roman" w:hAnsi="LinLibertine" w:cs="Times New Roman"/>
          <w:color w:val="000000"/>
          <w:sz w:val="24"/>
          <w:szCs w:val="24"/>
          <w:lang w:eastAsia="en-GB"/>
        </w:rPr>
        <w:t>CitiStat</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SomerStat</w:t>
      </w:r>
      <w:proofErr w:type="spellEnd"/>
      <w:r w:rsidRPr="00E838F2">
        <w:rPr>
          <w:rFonts w:ascii="LinLibertine" w:eastAsia="Times New Roman" w:hAnsi="LinLibertine" w:cs="Times New Roman"/>
          <w:color w:val="000000"/>
          <w:sz w:val="24"/>
          <w:szCs w:val="24"/>
          <w:lang w:eastAsia="en-GB"/>
        </w:rPr>
        <w:t xml:space="preserve"> is different. It has to be. Baltimore has a population of 600,000 and, for example, in 2010 had 223 murders; Somerville has a population of 75,000, with zero murders in 2010. The problems these cities face are different, the results their mayors seek to produce are different. And thus their versions of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also have to be different.</w:t>
      </w:r>
    </w:p>
    <w:p w14:paraId="1B4444D6"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Certainly, the most visible features of all </w:t>
      </w:r>
      <w:proofErr w:type="spellStart"/>
      <w:r w:rsidRPr="00E838F2">
        <w:rPr>
          <w:rFonts w:ascii="LinLibertine" w:eastAsia="Times New Roman" w:hAnsi="LinLibertine" w:cs="Times New Roman"/>
          <w:color w:val="000000"/>
          <w:sz w:val="24"/>
          <w:szCs w:val="24"/>
          <w:lang w:eastAsia="en-GB"/>
        </w:rPr>
        <w:t>PerformanceStats</w:t>
      </w:r>
      <w:proofErr w:type="spellEnd"/>
      <w:r w:rsidRPr="00E838F2">
        <w:rPr>
          <w:rFonts w:ascii="LinLibertine" w:eastAsia="Times New Roman" w:hAnsi="LinLibertine" w:cs="Times New Roman"/>
          <w:color w:val="000000"/>
          <w:sz w:val="24"/>
          <w:szCs w:val="24"/>
          <w:lang w:eastAsia="en-GB"/>
        </w:rPr>
        <w:t xml:space="preserve"> are similar: the meetings, the data (sometimes on maps), the performance deficits and performance targets; the meetings with follow-up and feedback, some kinds of questions (whether rigorously probing or permissively indulgent). Nevertheless, the purposes that each organization’s leadership team is attempting to achieve are different. They have to be; their organizations are different. And thus how they employ their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strategy to achieve these purposes—to eliminate or mitigate their performance deficits and to produce the results they desire—will be different.</w:t>
      </w:r>
    </w:p>
    <w:p w14:paraId="25119731"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Indeed, if you have seen one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you have seen one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w:t>
      </w:r>
    </w:p>
    <w:p w14:paraId="2EE1F749"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The individual components of the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 are quite ordinary. All have been discussed in a multitude of public administration textbooks. Their implementation, however, requires a subtle appreciation of how these components can work in this particular organization to have an impact on people and on their efforts to achieve specific results. Then the leadership team has to experiment with how to make these components work within their own circumstances. Moreover, they have to figure out how to combine those individual components into a coherent strategy.</w:t>
      </w:r>
    </w:p>
    <w:p w14:paraId="2DD8861C" w14:textId="77777777" w:rsidR="00E838F2" w:rsidRPr="00E838F2" w:rsidRDefault="00E838F2" w:rsidP="00E838F2">
      <w:pPr>
        <w:spacing w:after="0" w:line="240" w:lineRule="auto"/>
        <w:ind w:firstLine="24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i/>
          <w:iCs/>
          <w:color w:val="000000"/>
          <w:sz w:val="24"/>
          <w:szCs w:val="24"/>
          <w:lang w:eastAsia="en-GB"/>
        </w:rPr>
        <w:t>It</w:t>
      </w:r>
      <w:r w:rsidRPr="00E838F2">
        <w:rPr>
          <w:rFonts w:ascii="LinLibertine" w:eastAsia="Times New Roman" w:hAnsi="LinLibertine" w:cs="Times New Roman"/>
          <w:color w:val="000000"/>
          <w:sz w:val="24"/>
          <w:szCs w:val="24"/>
          <w:lang w:eastAsia="en-GB"/>
        </w:rPr>
        <w:t xml:space="preserve"> is not </w:t>
      </w:r>
      <w:proofErr w:type="spellStart"/>
      <w:r w:rsidRPr="00E838F2">
        <w:rPr>
          <w:rFonts w:ascii="LinLibertine" w:eastAsia="Times New Roman" w:hAnsi="LinLibertine" w:cs="Times New Roman"/>
          <w:color w:val="000000"/>
          <w:sz w:val="24"/>
          <w:szCs w:val="24"/>
          <w:lang w:eastAsia="en-GB"/>
        </w:rPr>
        <w:t>MimicStat</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MimicStat</w:t>
      </w:r>
      <w:proofErr w:type="spellEnd"/>
      <w:r w:rsidRPr="00E838F2">
        <w:rPr>
          <w:rFonts w:ascii="LinLibertine" w:eastAsia="Times New Roman" w:hAnsi="LinLibertine" w:cs="Times New Roman"/>
          <w:color w:val="000000"/>
          <w:sz w:val="24"/>
          <w:szCs w:val="24"/>
          <w:lang w:eastAsia="en-GB"/>
        </w:rPr>
        <w:t xml:space="preserve"> doesn’t work.</w:t>
      </w:r>
    </w:p>
    <w:p w14:paraId="669DAACC"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Questions for review and discussion</w:t>
      </w:r>
    </w:p>
    <w:p w14:paraId="49AE5104" w14:textId="77777777" w:rsidR="00E838F2" w:rsidRPr="00E838F2" w:rsidRDefault="00E838F2" w:rsidP="00E838F2">
      <w:pPr>
        <w:numPr>
          <w:ilvl w:val="0"/>
          <w:numId w:val="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In creating a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for a governmental jurisdiction (e.g. a state or a local authority), what are the key decisions that the leadership team must make?</w:t>
      </w:r>
    </w:p>
    <w:p w14:paraId="3F66D86D" w14:textId="77777777" w:rsidR="00E838F2" w:rsidRPr="00E838F2" w:rsidRDefault="00E838F2" w:rsidP="00E838F2">
      <w:pPr>
        <w:numPr>
          <w:ilvl w:val="0"/>
          <w:numId w:val="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In creating a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for a public agency (e.g. a national passport agency or a local unemployment advisory service), what are the key decisions that the leadership team must make?</w:t>
      </w:r>
    </w:p>
    <w:p w14:paraId="67899C7F" w14:textId="77777777" w:rsidR="00E838F2" w:rsidRPr="00E838F2" w:rsidRDefault="00E838F2" w:rsidP="00E838F2">
      <w:pPr>
        <w:numPr>
          <w:ilvl w:val="0"/>
          <w:numId w:val="3"/>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What are the differences between a </w:t>
      </w:r>
      <w:proofErr w:type="spellStart"/>
      <w:r w:rsidRPr="00E838F2">
        <w:rPr>
          <w:rFonts w:ascii="LinLibertine" w:eastAsia="Times New Roman" w:hAnsi="LinLibertine" w:cs="Times New Roman"/>
          <w:color w:val="000000"/>
          <w:sz w:val="24"/>
          <w:szCs w:val="24"/>
          <w:lang w:eastAsia="en-GB"/>
        </w:rPr>
        <w:t>JurisdictionStat</w:t>
      </w:r>
      <w:proofErr w:type="spellEnd"/>
      <w:r w:rsidRPr="00E838F2">
        <w:rPr>
          <w:rFonts w:ascii="LinLibertine" w:eastAsia="Times New Roman" w:hAnsi="LinLibertine" w:cs="Times New Roman"/>
          <w:color w:val="000000"/>
          <w:sz w:val="24"/>
          <w:szCs w:val="24"/>
          <w:lang w:eastAsia="en-GB"/>
        </w:rPr>
        <w:t xml:space="preserve"> and an </w:t>
      </w:r>
      <w:proofErr w:type="spellStart"/>
      <w:r w:rsidRPr="00E838F2">
        <w:rPr>
          <w:rFonts w:ascii="LinLibertine" w:eastAsia="Times New Roman" w:hAnsi="LinLibertine" w:cs="Times New Roman"/>
          <w:color w:val="000000"/>
          <w:sz w:val="24"/>
          <w:szCs w:val="24"/>
          <w:lang w:eastAsia="en-GB"/>
        </w:rPr>
        <w:t>AgencyStat</w:t>
      </w:r>
      <w:proofErr w:type="spellEnd"/>
      <w:r w:rsidRPr="00E838F2">
        <w:rPr>
          <w:rFonts w:ascii="LinLibertine" w:eastAsia="Times New Roman" w:hAnsi="LinLibertine" w:cs="Times New Roman"/>
          <w:color w:val="000000"/>
          <w:sz w:val="24"/>
          <w:szCs w:val="24"/>
          <w:lang w:eastAsia="en-GB"/>
        </w:rPr>
        <w:t>? What are the comparative advantages and disadvantages of each?</w:t>
      </w:r>
    </w:p>
    <w:p w14:paraId="2545983E"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Reader exercises</w:t>
      </w:r>
    </w:p>
    <w:p w14:paraId="79EE4FC5" w14:textId="77777777" w:rsidR="00E838F2" w:rsidRPr="00E838F2" w:rsidRDefault="00E838F2" w:rsidP="00E838F2">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lastRenderedPageBreak/>
        <w:t>Identify an important performance deficit for a governmental jurisdiction in which you live. Specify a performance target that, if achieved, would eliminate or significantly mitigate this performance deficit.</w:t>
      </w:r>
    </w:p>
    <w:p w14:paraId="4677432F" w14:textId="77777777" w:rsidR="00E838F2" w:rsidRPr="00E838F2" w:rsidRDefault="00E838F2" w:rsidP="00E838F2">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Identify an important performance deficit for a public agency whose services you use. Specify a performance target that, if achieved, would eliminate or significantly mitigate this performance deficit.</w:t>
      </w:r>
    </w:p>
    <w:p w14:paraId="68593D69"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Class exercises (in small groups)</w:t>
      </w:r>
    </w:p>
    <w:p w14:paraId="4295CF18" w14:textId="77777777" w:rsidR="00E838F2" w:rsidRPr="00E838F2" w:rsidRDefault="00E838F2" w:rsidP="00E838F2">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For a governmental jurisdiction or public agency with which you are familiar, develop a list of potential performance targets (including how demanding you will make them). For each target, specify its advantages and disadvantages.</w:t>
      </w:r>
    </w:p>
    <w:p w14:paraId="08369F6B" w14:textId="77777777" w:rsidR="00E838F2" w:rsidRPr="00E838F2" w:rsidRDefault="00E838F2" w:rsidP="00E838F2">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Design a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leadership strategy for a governmental jurisdiction or public agency with which you are familiar. Determine the key decisions that you must make—including key performance targets—and then specify them as explicitly as you can.</w:t>
      </w:r>
    </w:p>
    <w:p w14:paraId="328E7B3A"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Further reading</w:t>
      </w:r>
    </w:p>
    <w:p w14:paraId="1F1A321E"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(2014), </w:t>
      </w:r>
      <w:r w:rsidRPr="00E838F2">
        <w:rPr>
          <w:rFonts w:ascii="LinLibertine" w:eastAsia="Times New Roman" w:hAnsi="LinLibertine" w:cs="Times New Roman"/>
          <w:i/>
          <w:iCs/>
          <w:color w:val="000000"/>
          <w:sz w:val="24"/>
          <w:szCs w:val="24"/>
          <w:lang w:eastAsia="en-GB"/>
        </w:rPr>
        <w:t xml:space="preserve">The </w:t>
      </w:r>
      <w:proofErr w:type="spellStart"/>
      <w:r w:rsidRPr="00E838F2">
        <w:rPr>
          <w:rFonts w:ascii="LinLibertine" w:eastAsia="Times New Roman" w:hAnsi="LinLibertine" w:cs="Times New Roman"/>
          <w:i/>
          <w:iCs/>
          <w:color w:val="000000"/>
          <w:sz w:val="24"/>
          <w:szCs w:val="24"/>
          <w:lang w:eastAsia="en-GB"/>
        </w:rPr>
        <w:t>PerformanceStat</w:t>
      </w:r>
      <w:proofErr w:type="spellEnd"/>
      <w:r w:rsidRPr="00E838F2">
        <w:rPr>
          <w:rFonts w:ascii="LinLibertine" w:eastAsia="Times New Roman" w:hAnsi="LinLibertine" w:cs="Times New Roman"/>
          <w:i/>
          <w:iCs/>
          <w:color w:val="000000"/>
          <w:sz w:val="24"/>
          <w:szCs w:val="24"/>
          <w:lang w:eastAsia="en-GB"/>
        </w:rPr>
        <w:t xml:space="preserve"> Potential: A Leadership Strategy for Producing Results</w:t>
      </w:r>
      <w:r w:rsidRPr="00E838F2">
        <w:rPr>
          <w:rFonts w:ascii="LinLibertine" w:eastAsia="Times New Roman" w:hAnsi="LinLibertine" w:cs="Times New Roman"/>
          <w:color w:val="000000"/>
          <w:sz w:val="24"/>
          <w:szCs w:val="24"/>
          <w:lang w:eastAsia="en-GB"/>
        </w:rPr>
        <w:t>. Washington, DC: Brookings Institution Press.</w:t>
      </w:r>
    </w:p>
    <w:p w14:paraId="4B017EC4" w14:textId="77777777" w:rsidR="00E838F2" w:rsidRPr="00E838F2" w:rsidRDefault="00E838F2" w:rsidP="00E838F2">
      <w:pPr>
        <w:spacing w:before="480" w:after="240" w:line="468" w:lineRule="atLeast"/>
        <w:outlineLvl w:val="1"/>
        <w:rPr>
          <w:rFonts w:ascii="LinLibertine" w:eastAsia="Times New Roman" w:hAnsi="LinLibertine" w:cs="Times New Roman"/>
          <w:b/>
          <w:bCs/>
          <w:color w:val="000000"/>
          <w:sz w:val="36"/>
          <w:szCs w:val="36"/>
          <w:lang w:eastAsia="en-GB"/>
        </w:rPr>
      </w:pPr>
      <w:r w:rsidRPr="00E838F2">
        <w:rPr>
          <w:rFonts w:ascii="LinLibertine" w:eastAsia="Times New Roman" w:hAnsi="LinLibertine" w:cs="Times New Roman"/>
          <w:b/>
          <w:bCs/>
          <w:color w:val="000000"/>
          <w:sz w:val="36"/>
          <w:szCs w:val="36"/>
          <w:lang w:eastAsia="en-GB"/>
        </w:rPr>
        <w:t>References</w:t>
      </w:r>
    </w:p>
    <w:p w14:paraId="13690530"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(2001), </w:t>
      </w:r>
      <w:r w:rsidRPr="00E838F2">
        <w:rPr>
          <w:rFonts w:ascii="LinLibertine" w:eastAsia="Times New Roman" w:hAnsi="LinLibertine" w:cs="Times New Roman"/>
          <w:i/>
          <w:iCs/>
          <w:color w:val="000000"/>
          <w:sz w:val="24"/>
          <w:szCs w:val="24"/>
          <w:lang w:eastAsia="en-GB"/>
        </w:rPr>
        <w:t>Rethinking Democratic Accountability</w:t>
      </w:r>
      <w:r w:rsidRPr="00E838F2">
        <w:rPr>
          <w:rFonts w:ascii="LinLibertine" w:eastAsia="Times New Roman" w:hAnsi="LinLibertine" w:cs="Times New Roman"/>
          <w:color w:val="000000"/>
          <w:sz w:val="24"/>
          <w:szCs w:val="24"/>
          <w:lang w:eastAsia="en-GB"/>
        </w:rPr>
        <w:t>. Washington, DC: Brookings Institution Press.</w:t>
      </w:r>
    </w:p>
    <w:p w14:paraId="3EF8D010"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(2003), “On the executive responsibility to set: performance targets,” </w:t>
      </w:r>
      <w:r w:rsidRPr="00E838F2">
        <w:rPr>
          <w:rFonts w:ascii="LinLibertine" w:eastAsia="Times New Roman" w:hAnsi="LinLibertine" w:cs="Times New Roman"/>
          <w:i/>
          <w:iCs/>
          <w:color w:val="000000"/>
          <w:sz w:val="24"/>
          <w:szCs w:val="24"/>
          <w:lang w:eastAsia="en-GB"/>
        </w:rPr>
        <w:t xml:space="preserve">Bob </w:t>
      </w:r>
      <w:proofErr w:type="spellStart"/>
      <w:r w:rsidRPr="00E838F2">
        <w:rPr>
          <w:rFonts w:ascii="LinLibertine" w:eastAsia="Times New Roman" w:hAnsi="LinLibertine" w:cs="Times New Roman"/>
          <w:i/>
          <w:iCs/>
          <w:color w:val="000000"/>
          <w:sz w:val="24"/>
          <w:szCs w:val="24"/>
          <w:lang w:eastAsia="en-GB"/>
        </w:rPr>
        <w:t>Behn’s</w:t>
      </w:r>
      <w:proofErr w:type="spellEnd"/>
      <w:r w:rsidRPr="00E838F2">
        <w:rPr>
          <w:rFonts w:ascii="LinLibertine" w:eastAsia="Times New Roman" w:hAnsi="LinLibertine" w:cs="Times New Roman"/>
          <w:i/>
          <w:iCs/>
          <w:color w:val="000000"/>
          <w:sz w:val="24"/>
          <w:szCs w:val="24"/>
          <w:lang w:eastAsia="en-GB"/>
        </w:rPr>
        <w:t xml:space="preserve"> Public Management Report</w:t>
      </w:r>
      <w:r w:rsidRPr="00E838F2">
        <w:rPr>
          <w:rFonts w:ascii="LinLibertine" w:eastAsia="Times New Roman" w:hAnsi="LinLibertine" w:cs="Times New Roman"/>
          <w:color w:val="000000"/>
          <w:sz w:val="24"/>
          <w:szCs w:val="24"/>
          <w:lang w:eastAsia="en-GB"/>
        </w:rPr>
        <w:t>, 1 (1).</w:t>
      </w:r>
    </w:p>
    <w:p w14:paraId="6A52D68B"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(2006), “On why public managers need to focus on their: performance deficit,” </w:t>
      </w:r>
      <w:r w:rsidRPr="00E838F2">
        <w:rPr>
          <w:rFonts w:ascii="LinLibertine" w:eastAsia="Times New Roman" w:hAnsi="LinLibertine" w:cs="Times New Roman"/>
          <w:i/>
          <w:iCs/>
          <w:color w:val="000000"/>
          <w:sz w:val="24"/>
          <w:szCs w:val="24"/>
          <w:lang w:eastAsia="en-GB"/>
        </w:rPr>
        <w:t xml:space="preserve">Bob </w:t>
      </w:r>
      <w:proofErr w:type="spellStart"/>
      <w:r w:rsidRPr="00E838F2">
        <w:rPr>
          <w:rFonts w:ascii="LinLibertine" w:eastAsia="Times New Roman" w:hAnsi="LinLibertine" w:cs="Times New Roman"/>
          <w:i/>
          <w:iCs/>
          <w:color w:val="000000"/>
          <w:sz w:val="24"/>
          <w:szCs w:val="24"/>
          <w:lang w:eastAsia="en-GB"/>
        </w:rPr>
        <w:t>Behn’s</w:t>
      </w:r>
      <w:proofErr w:type="spellEnd"/>
      <w:r w:rsidRPr="00E838F2">
        <w:rPr>
          <w:rFonts w:ascii="LinLibertine" w:eastAsia="Times New Roman" w:hAnsi="LinLibertine" w:cs="Times New Roman"/>
          <w:i/>
          <w:iCs/>
          <w:color w:val="000000"/>
          <w:sz w:val="24"/>
          <w:szCs w:val="24"/>
          <w:lang w:eastAsia="en-GB"/>
        </w:rPr>
        <w:t xml:space="preserve"> Public Management Report</w:t>
      </w:r>
      <w:r w:rsidRPr="00E838F2">
        <w:rPr>
          <w:rFonts w:ascii="LinLibertine" w:eastAsia="Times New Roman" w:hAnsi="LinLibertine" w:cs="Times New Roman"/>
          <w:color w:val="000000"/>
          <w:sz w:val="24"/>
          <w:szCs w:val="24"/>
          <w:lang w:eastAsia="en-GB"/>
        </w:rPr>
        <w:t>, 4 (1).</w:t>
      </w:r>
    </w:p>
    <w:p w14:paraId="06FD7F72"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(2007), </w:t>
      </w:r>
      <w:r w:rsidRPr="00E838F2">
        <w:rPr>
          <w:rFonts w:ascii="LinLibertine" w:eastAsia="Times New Roman" w:hAnsi="LinLibertine" w:cs="Times New Roman"/>
          <w:i/>
          <w:iCs/>
          <w:color w:val="000000"/>
          <w:sz w:val="24"/>
          <w:szCs w:val="24"/>
          <w:lang w:eastAsia="en-GB"/>
        </w:rPr>
        <w:t xml:space="preserve">What All Mayors Would Like to Know About Baltimore’s </w:t>
      </w:r>
      <w:proofErr w:type="spellStart"/>
      <w:r w:rsidRPr="00E838F2">
        <w:rPr>
          <w:rFonts w:ascii="LinLibertine" w:eastAsia="Times New Roman" w:hAnsi="LinLibertine" w:cs="Times New Roman"/>
          <w:i/>
          <w:iCs/>
          <w:color w:val="000000"/>
          <w:sz w:val="24"/>
          <w:szCs w:val="24"/>
          <w:lang w:eastAsia="en-GB"/>
        </w:rPr>
        <w:t>CitiStat</w:t>
      </w:r>
      <w:proofErr w:type="spellEnd"/>
      <w:r w:rsidRPr="00E838F2">
        <w:rPr>
          <w:rFonts w:ascii="LinLibertine" w:eastAsia="Times New Roman" w:hAnsi="LinLibertine" w:cs="Times New Roman"/>
          <w:i/>
          <w:iCs/>
          <w:color w:val="000000"/>
          <w:sz w:val="24"/>
          <w:szCs w:val="24"/>
          <w:lang w:eastAsia="en-GB"/>
        </w:rPr>
        <w:t xml:space="preserve"> Performance Strategy</w:t>
      </w:r>
      <w:r w:rsidRPr="00E838F2">
        <w:rPr>
          <w:rFonts w:ascii="LinLibertine" w:eastAsia="Times New Roman" w:hAnsi="LinLibertine" w:cs="Times New Roman"/>
          <w:color w:val="000000"/>
          <w:sz w:val="24"/>
          <w:szCs w:val="24"/>
          <w:lang w:eastAsia="en-GB"/>
        </w:rPr>
        <w:t xml:space="preserve">. Washington, DC: IBM </w:t>
      </w:r>
      <w:proofErr w:type="spellStart"/>
      <w:r w:rsidRPr="00E838F2">
        <w:rPr>
          <w:rFonts w:ascii="LinLibertine" w:eastAsia="Times New Roman" w:hAnsi="LinLibertine" w:cs="Times New Roman"/>
          <w:color w:val="000000"/>
          <w:sz w:val="24"/>
          <w:szCs w:val="24"/>
          <w:lang w:eastAsia="en-GB"/>
        </w:rPr>
        <w:t>Center</w:t>
      </w:r>
      <w:proofErr w:type="spellEnd"/>
      <w:r w:rsidRPr="00E838F2">
        <w:rPr>
          <w:rFonts w:ascii="LinLibertine" w:eastAsia="Times New Roman" w:hAnsi="LinLibertine" w:cs="Times New Roman"/>
          <w:color w:val="000000"/>
          <w:sz w:val="24"/>
          <w:szCs w:val="24"/>
          <w:lang w:eastAsia="en-GB"/>
        </w:rPr>
        <w:t xml:space="preserve"> for the Business of Government.</w:t>
      </w:r>
    </w:p>
    <w:p w14:paraId="460EEFF0"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(2008), </w:t>
      </w:r>
      <w:r w:rsidRPr="00E838F2">
        <w:rPr>
          <w:rFonts w:ascii="LinLibertine" w:eastAsia="Times New Roman" w:hAnsi="LinLibertine" w:cs="Times New Roman"/>
          <w:i/>
          <w:iCs/>
          <w:color w:val="000000"/>
          <w:sz w:val="24"/>
          <w:szCs w:val="24"/>
          <w:lang w:eastAsia="en-GB"/>
        </w:rPr>
        <w:t xml:space="preserve">The Seven Big Errors of </w:t>
      </w:r>
      <w:proofErr w:type="spellStart"/>
      <w:r w:rsidRPr="00E838F2">
        <w:rPr>
          <w:rFonts w:ascii="LinLibertine" w:eastAsia="Times New Roman" w:hAnsi="LinLibertine" w:cs="Times New Roman"/>
          <w:i/>
          <w:iCs/>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Cambridge, MA: Rappaport Institute for Greater Boston and the </w:t>
      </w:r>
      <w:proofErr w:type="spellStart"/>
      <w:r w:rsidRPr="00E838F2">
        <w:rPr>
          <w:rFonts w:ascii="LinLibertine" w:eastAsia="Times New Roman" w:hAnsi="LinLibertine" w:cs="Times New Roman"/>
          <w:color w:val="000000"/>
          <w:sz w:val="24"/>
          <w:szCs w:val="24"/>
          <w:lang w:eastAsia="en-GB"/>
        </w:rPr>
        <w:t>Taubman</w:t>
      </w:r>
      <w:proofErr w:type="spellEnd"/>
      <w:r w:rsidRPr="00E838F2">
        <w:rPr>
          <w:rFonts w:ascii="LinLibertine" w:eastAsia="Times New Roman" w:hAnsi="LinLibertine" w:cs="Times New Roman"/>
          <w:color w:val="000000"/>
          <w:sz w:val="24"/>
          <w:szCs w:val="24"/>
          <w:lang w:eastAsia="en-GB"/>
        </w:rPr>
        <w:t xml:space="preserve"> </w:t>
      </w:r>
      <w:proofErr w:type="spellStart"/>
      <w:r w:rsidRPr="00E838F2">
        <w:rPr>
          <w:rFonts w:ascii="LinLibertine" w:eastAsia="Times New Roman" w:hAnsi="LinLibertine" w:cs="Times New Roman"/>
          <w:color w:val="000000"/>
          <w:sz w:val="24"/>
          <w:szCs w:val="24"/>
          <w:lang w:eastAsia="en-GB"/>
        </w:rPr>
        <w:t>Center</w:t>
      </w:r>
      <w:proofErr w:type="spellEnd"/>
      <w:r w:rsidRPr="00E838F2">
        <w:rPr>
          <w:rFonts w:ascii="LinLibertine" w:eastAsia="Times New Roman" w:hAnsi="LinLibertine" w:cs="Times New Roman"/>
          <w:color w:val="000000"/>
          <w:sz w:val="24"/>
          <w:szCs w:val="24"/>
          <w:lang w:eastAsia="en-GB"/>
        </w:rPr>
        <w:t xml:space="preserve"> for State and Local Government.</w:t>
      </w:r>
    </w:p>
    <w:p w14:paraId="46179484"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(2010), “On why all public officials need to accept that accountability cannot coerce competence,” </w:t>
      </w:r>
      <w:r w:rsidRPr="00E838F2">
        <w:rPr>
          <w:rFonts w:ascii="LinLibertine" w:eastAsia="Times New Roman" w:hAnsi="LinLibertine" w:cs="Times New Roman"/>
          <w:i/>
          <w:iCs/>
          <w:color w:val="000000"/>
          <w:sz w:val="24"/>
          <w:szCs w:val="24"/>
          <w:lang w:eastAsia="en-GB"/>
        </w:rPr>
        <w:t xml:space="preserve">Bob </w:t>
      </w:r>
      <w:proofErr w:type="spellStart"/>
      <w:r w:rsidRPr="00E838F2">
        <w:rPr>
          <w:rFonts w:ascii="LinLibertine" w:eastAsia="Times New Roman" w:hAnsi="LinLibertine" w:cs="Times New Roman"/>
          <w:i/>
          <w:iCs/>
          <w:color w:val="000000"/>
          <w:sz w:val="24"/>
          <w:szCs w:val="24"/>
          <w:lang w:eastAsia="en-GB"/>
        </w:rPr>
        <w:t>Behn’s</w:t>
      </w:r>
      <w:proofErr w:type="spellEnd"/>
      <w:r w:rsidRPr="00E838F2">
        <w:rPr>
          <w:rFonts w:ascii="LinLibertine" w:eastAsia="Times New Roman" w:hAnsi="LinLibertine" w:cs="Times New Roman"/>
          <w:i/>
          <w:iCs/>
          <w:color w:val="000000"/>
          <w:sz w:val="24"/>
          <w:szCs w:val="24"/>
          <w:lang w:eastAsia="en-GB"/>
        </w:rPr>
        <w:t xml:space="preserve"> Performance Leadership Report</w:t>
      </w:r>
      <w:r w:rsidRPr="00E838F2">
        <w:rPr>
          <w:rFonts w:ascii="LinLibertine" w:eastAsia="Times New Roman" w:hAnsi="LinLibertine" w:cs="Times New Roman"/>
          <w:color w:val="000000"/>
          <w:sz w:val="24"/>
          <w:szCs w:val="24"/>
          <w:lang w:eastAsia="en-GB"/>
        </w:rPr>
        <w:t>, 9 (2).</w:t>
      </w:r>
    </w:p>
    <w:p w14:paraId="11A96CFD"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(2012), “On how performance-focuses cities are moving up to </w:t>
      </w:r>
      <w:proofErr w:type="spellStart"/>
      <w:r w:rsidRPr="00E838F2">
        <w:rPr>
          <w:rFonts w:ascii="LinLibertine" w:eastAsia="Times New Roman" w:hAnsi="LinLibertine" w:cs="Times New Roman"/>
          <w:color w:val="000000"/>
          <w:sz w:val="24"/>
          <w:szCs w:val="24"/>
          <w:lang w:eastAsia="en-GB"/>
        </w:rPr>
        <w:t>PerformanceStat</w:t>
      </w:r>
      <w:proofErr w:type="spellEnd"/>
      <w:r w:rsidRPr="00E838F2">
        <w:rPr>
          <w:rFonts w:ascii="LinLibertine" w:eastAsia="Times New Roman" w:hAnsi="LinLibertine" w:cs="Times New Roman"/>
          <w:color w:val="000000"/>
          <w:sz w:val="24"/>
          <w:szCs w:val="24"/>
          <w:lang w:eastAsia="en-GB"/>
        </w:rPr>
        <w:t xml:space="preserve"> 3.0 (or </w:t>
      </w:r>
      <w:proofErr w:type="spellStart"/>
      <w:r w:rsidRPr="00E838F2">
        <w:rPr>
          <w:rFonts w:ascii="LinLibertine" w:eastAsia="Times New Roman" w:hAnsi="LinLibertine" w:cs="Times New Roman"/>
          <w:color w:val="000000"/>
          <w:sz w:val="24"/>
          <w:szCs w:val="24"/>
          <w:lang w:eastAsia="en-GB"/>
        </w:rPr>
        <w:t>CollaborationStat</w:t>
      </w:r>
      <w:proofErr w:type="spellEnd"/>
      <w:r w:rsidRPr="00E838F2">
        <w:rPr>
          <w:rFonts w:ascii="LinLibertine" w:eastAsia="Times New Roman" w:hAnsi="LinLibertine" w:cs="Times New Roman"/>
          <w:color w:val="000000"/>
          <w:sz w:val="24"/>
          <w:szCs w:val="24"/>
          <w:lang w:eastAsia="en-GB"/>
        </w:rPr>
        <w:t>),” </w:t>
      </w:r>
      <w:r w:rsidRPr="00E838F2">
        <w:rPr>
          <w:rFonts w:ascii="LinLibertine" w:eastAsia="Times New Roman" w:hAnsi="LinLibertine" w:cs="Times New Roman"/>
          <w:i/>
          <w:iCs/>
          <w:color w:val="000000"/>
          <w:sz w:val="24"/>
          <w:szCs w:val="24"/>
          <w:lang w:eastAsia="en-GB"/>
        </w:rPr>
        <w:t xml:space="preserve">Bob </w:t>
      </w:r>
      <w:proofErr w:type="spellStart"/>
      <w:r w:rsidRPr="00E838F2">
        <w:rPr>
          <w:rFonts w:ascii="LinLibertine" w:eastAsia="Times New Roman" w:hAnsi="LinLibertine" w:cs="Times New Roman"/>
          <w:i/>
          <w:iCs/>
          <w:color w:val="000000"/>
          <w:sz w:val="24"/>
          <w:szCs w:val="24"/>
          <w:lang w:eastAsia="en-GB"/>
        </w:rPr>
        <w:t>Behn’s</w:t>
      </w:r>
      <w:proofErr w:type="spellEnd"/>
      <w:r w:rsidRPr="00E838F2">
        <w:rPr>
          <w:rFonts w:ascii="LinLibertine" w:eastAsia="Times New Roman" w:hAnsi="LinLibertine" w:cs="Times New Roman"/>
          <w:i/>
          <w:iCs/>
          <w:color w:val="000000"/>
          <w:sz w:val="24"/>
          <w:szCs w:val="24"/>
          <w:lang w:eastAsia="en-GB"/>
        </w:rPr>
        <w:t xml:space="preserve"> Performance Leadership Report</w:t>
      </w:r>
      <w:r w:rsidRPr="00E838F2">
        <w:rPr>
          <w:rFonts w:ascii="LinLibertine" w:eastAsia="Times New Roman" w:hAnsi="LinLibertine" w:cs="Times New Roman"/>
          <w:color w:val="000000"/>
          <w:sz w:val="24"/>
          <w:szCs w:val="24"/>
          <w:lang w:eastAsia="en-GB"/>
        </w:rPr>
        <w:t>, 10 (3).</w:t>
      </w:r>
    </w:p>
    <w:p w14:paraId="2BC6E201"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Robert D. </w:t>
      </w:r>
      <w:proofErr w:type="spellStart"/>
      <w:r w:rsidRPr="00E838F2">
        <w:rPr>
          <w:rFonts w:ascii="LinLibertine" w:eastAsia="Times New Roman" w:hAnsi="LinLibertine" w:cs="Times New Roman"/>
          <w:color w:val="000000"/>
          <w:sz w:val="24"/>
          <w:szCs w:val="24"/>
          <w:lang w:eastAsia="en-GB"/>
        </w:rPr>
        <w:t>Behn</w:t>
      </w:r>
      <w:proofErr w:type="spellEnd"/>
      <w:r w:rsidRPr="00E838F2">
        <w:rPr>
          <w:rFonts w:ascii="LinLibertine" w:eastAsia="Times New Roman" w:hAnsi="LinLibertine" w:cs="Times New Roman"/>
          <w:color w:val="000000"/>
          <w:sz w:val="24"/>
          <w:szCs w:val="24"/>
          <w:lang w:eastAsia="en-GB"/>
        </w:rPr>
        <w:t xml:space="preserve"> (2014), </w:t>
      </w:r>
      <w:r w:rsidRPr="00E838F2">
        <w:rPr>
          <w:rFonts w:ascii="LinLibertine" w:eastAsia="Times New Roman" w:hAnsi="LinLibertine" w:cs="Times New Roman"/>
          <w:i/>
          <w:iCs/>
          <w:color w:val="000000"/>
          <w:sz w:val="24"/>
          <w:szCs w:val="24"/>
          <w:lang w:eastAsia="en-GB"/>
        </w:rPr>
        <w:t xml:space="preserve">The </w:t>
      </w:r>
      <w:proofErr w:type="spellStart"/>
      <w:r w:rsidRPr="00E838F2">
        <w:rPr>
          <w:rFonts w:ascii="LinLibertine" w:eastAsia="Times New Roman" w:hAnsi="LinLibertine" w:cs="Times New Roman"/>
          <w:i/>
          <w:iCs/>
          <w:color w:val="000000"/>
          <w:sz w:val="24"/>
          <w:szCs w:val="24"/>
          <w:lang w:eastAsia="en-GB"/>
        </w:rPr>
        <w:t>PerformanceStat</w:t>
      </w:r>
      <w:proofErr w:type="spellEnd"/>
      <w:r w:rsidRPr="00E838F2">
        <w:rPr>
          <w:rFonts w:ascii="LinLibertine" w:eastAsia="Times New Roman" w:hAnsi="LinLibertine" w:cs="Times New Roman"/>
          <w:i/>
          <w:iCs/>
          <w:color w:val="000000"/>
          <w:sz w:val="24"/>
          <w:szCs w:val="24"/>
          <w:lang w:eastAsia="en-GB"/>
        </w:rPr>
        <w:t xml:space="preserve"> Potential: A Leadership Strategy for Producing Results</w:t>
      </w:r>
      <w:r w:rsidRPr="00E838F2">
        <w:rPr>
          <w:rFonts w:ascii="LinLibertine" w:eastAsia="Times New Roman" w:hAnsi="LinLibertine" w:cs="Times New Roman"/>
          <w:color w:val="000000"/>
          <w:sz w:val="24"/>
          <w:szCs w:val="24"/>
          <w:lang w:eastAsia="en-GB"/>
        </w:rPr>
        <w:t>. Washington, DC: Brookings Institution Press.</w:t>
      </w:r>
    </w:p>
    <w:p w14:paraId="07D90DC5"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Anthony A. Braga and David L. Weisburd (2010), </w:t>
      </w:r>
      <w:r w:rsidRPr="00E838F2">
        <w:rPr>
          <w:rFonts w:ascii="LinLibertine" w:eastAsia="Times New Roman" w:hAnsi="LinLibertine" w:cs="Times New Roman"/>
          <w:i/>
          <w:iCs/>
          <w:color w:val="000000"/>
          <w:sz w:val="24"/>
          <w:szCs w:val="24"/>
          <w:lang w:eastAsia="en-GB"/>
        </w:rPr>
        <w:t>Policing Problem Places: Crime Hot Spots and Effective Prevention</w:t>
      </w:r>
      <w:r w:rsidRPr="00E838F2">
        <w:rPr>
          <w:rFonts w:ascii="LinLibertine" w:eastAsia="Times New Roman" w:hAnsi="LinLibertine" w:cs="Times New Roman"/>
          <w:color w:val="000000"/>
          <w:sz w:val="24"/>
          <w:szCs w:val="24"/>
          <w:lang w:eastAsia="en-GB"/>
        </w:rPr>
        <w:t>. Oxford: Oxford University Press.</w:t>
      </w:r>
    </w:p>
    <w:p w14:paraId="2CF1E408"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lastRenderedPageBreak/>
        <w:t xml:space="preserve">William Bratton (with Peter </w:t>
      </w:r>
      <w:proofErr w:type="spellStart"/>
      <w:r w:rsidRPr="00E838F2">
        <w:rPr>
          <w:rFonts w:ascii="LinLibertine" w:eastAsia="Times New Roman" w:hAnsi="LinLibertine" w:cs="Times New Roman"/>
          <w:color w:val="000000"/>
          <w:sz w:val="24"/>
          <w:szCs w:val="24"/>
          <w:lang w:eastAsia="en-GB"/>
        </w:rPr>
        <w:t>Knobler</w:t>
      </w:r>
      <w:proofErr w:type="spellEnd"/>
      <w:r w:rsidRPr="00E838F2">
        <w:rPr>
          <w:rFonts w:ascii="LinLibertine" w:eastAsia="Times New Roman" w:hAnsi="LinLibertine" w:cs="Times New Roman"/>
          <w:color w:val="000000"/>
          <w:sz w:val="24"/>
          <w:szCs w:val="24"/>
          <w:lang w:eastAsia="en-GB"/>
        </w:rPr>
        <w:t>) (1998), </w:t>
      </w:r>
      <w:r w:rsidRPr="00E838F2">
        <w:rPr>
          <w:rFonts w:ascii="LinLibertine" w:eastAsia="Times New Roman" w:hAnsi="LinLibertine" w:cs="Times New Roman"/>
          <w:i/>
          <w:iCs/>
          <w:color w:val="000000"/>
          <w:sz w:val="24"/>
          <w:szCs w:val="24"/>
          <w:lang w:eastAsia="en-GB"/>
        </w:rPr>
        <w:t>Turnaround: How America’s Top Cop Reversed the Crime Epidemic</w:t>
      </w:r>
      <w:r w:rsidRPr="00E838F2">
        <w:rPr>
          <w:rFonts w:ascii="LinLibertine" w:eastAsia="Times New Roman" w:hAnsi="LinLibertine" w:cs="Times New Roman"/>
          <w:color w:val="000000"/>
          <w:sz w:val="24"/>
          <w:szCs w:val="24"/>
          <w:lang w:eastAsia="en-GB"/>
        </w:rPr>
        <w:t>. New York: Random House.</w:t>
      </w:r>
    </w:p>
    <w:p w14:paraId="56C5D9DA"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Edward L. Deci (1975), </w:t>
      </w:r>
      <w:r w:rsidRPr="00E838F2">
        <w:rPr>
          <w:rFonts w:ascii="LinLibertine" w:eastAsia="Times New Roman" w:hAnsi="LinLibertine" w:cs="Times New Roman"/>
          <w:i/>
          <w:iCs/>
          <w:color w:val="000000"/>
          <w:sz w:val="24"/>
          <w:szCs w:val="24"/>
          <w:lang w:eastAsia="en-GB"/>
        </w:rPr>
        <w:t>Intrinsic Motivation</w:t>
      </w:r>
      <w:r w:rsidRPr="00E838F2">
        <w:rPr>
          <w:rFonts w:ascii="LinLibertine" w:eastAsia="Times New Roman" w:hAnsi="LinLibertine" w:cs="Times New Roman"/>
          <w:color w:val="000000"/>
          <w:sz w:val="24"/>
          <w:szCs w:val="24"/>
          <w:lang w:eastAsia="en-GB"/>
        </w:rPr>
        <w:t>. New York: Plenum.</w:t>
      </w:r>
    </w:p>
    <w:p w14:paraId="7F435CF4"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Adam M. Grant (2007), “Relational job design and the motivation to make a prosocial difference,” </w:t>
      </w:r>
      <w:r w:rsidRPr="00E838F2">
        <w:rPr>
          <w:rFonts w:ascii="LinLibertine" w:eastAsia="Times New Roman" w:hAnsi="LinLibertine" w:cs="Times New Roman"/>
          <w:i/>
          <w:iCs/>
          <w:color w:val="000000"/>
          <w:sz w:val="24"/>
          <w:szCs w:val="24"/>
          <w:lang w:eastAsia="en-GB"/>
        </w:rPr>
        <w:t>Academy of Management Review</w:t>
      </w:r>
      <w:r w:rsidRPr="00E838F2">
        <w:rPr>
          <w:rFonts w:ascii="LinLibertine" w:eastAsia="Times New Roman" w:hAnsi="LinLibertine" w:cs="Times New Roman"/>
          <w:color w:val="000000"/>
          <w:sz w:val="24"/>
          <w:szCs w:val="24"/>
          <w:lang w:eastAsia="en-GB"/>
        </w:rPr>
        <w:t>, 32 (2): 393–417.</w:t>
      </w:r>
    </w:p>
    <w:p w14:paraId="5651F7E6"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Natalie </w:t>
      </w:r>
      <w:proofErr w:type="spellStart"/>
      <w:r w:rsidRPr="00E838F2">
        <w:rPr>
          <w:rFonts w:ascii="LinLibertine" w:eastAsia="Times New Roman" w:hAnsi="LinLibertine" w:cs="Times New Roman"/>
          <w:color w:val="000000"/>
          <w:sz w:val="24"/>
          <w:szCs w:val="24"/>
          <w:lang w:eastAsia="en-GB"/>
        </w:rPr>
        <w:t>Helbig</w:t>
      </w:r>
      <w:proofErr w:type="spellEnd"/>
      <w:r w:rsidRPr="00E838F2">
        <w:rPr>
          <w:rFonts w:ascii="LinLibertine" w:eastAsia="Times New Roman" w:hAnsi="LinLibertine" w:cs="Times New Roman"/>
          <w:color w:val="000000"/>
          <w:sz w:val="24"/>
          <w:szCs w:val="24"/>
          <w:lang w:eastAsia="en-GB"/>
        </w:rPr>
        <w:t xml:space="preserve"> (2010), </w:t>
      </w:r>
      <w:r w:rsidRPr="00E838F2">
        <w:rPr>
          <w:rFonts w:ascii="LinLibertine" w:eastAsia="Times New Roman" w:hAnsi="LinLibertine" w:cs="Times New Roman"/>
          <w:i/>
          <w:iCs/>
          <w:color w:val="000000"/>
          <w:sz w:val="24"/>
          <w:szCs w:val="24"/>
          <w:lang w:eastAsia="en-GB"/>
        </w:rPr>
        <w:t>Thinking Beyond Performance Indicators: A Holistic Study of Organizational Information Use</w:t>
      </w:r>
      <w:r w:rsidRPr="00E838F2">
        <w:rPr>
          <w:rFonts w:ascii="LinLibertine" w:eastAsia="Times New Roman" w:hAnsi="LinLibertine" w:cs="Times New Roman"/>
          <w:color w:val="000000"/>
          <w:sz w:val="24"/>
          <w:szCs w:val="24"/>
          <w:lang w:eastAsia="en-GB"/>
        </w:rPr>
        <w:t> (Ph.D. dissertation). Albany, NY: University of Albany.</w:t>
      </w:r>
    </w:p>
    <w:p w14:paraId="21A004C1"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Abraham H. Maslow (1943), “A theory of human motivation,” </w:t>
      </w:r>
      <w:r w:rsidRPr="00E838F2">
        <w:rPr>
          <w:rFonts w:ascii="LinLibertine" w:eastAsia="Times New Roman" w:hAnsi="LinLibertine" w:cs="Times New Roman"/>
          <w:i/>
          <w:iCs/>
          <w:color w:val="000000"/>
          <w:sz w:val="24"/>
          <w:szCs w:val="24"/>
          <w:lang w:eastAsia="en-GB"/>
        </w:rPr>
        <w:t>Psychological Review</w:t>
      </w:r>
      <w:r w:rsidRPr="00E838F2">
        <w:rPr>
          <w:rFonts w:ascii="LinLibertine" w:eastAsia="Times New Roman" w:hAnsi="LinLibertine" w:cs="Times New Roman"/>
          <w:color w:val="000000"/>
          <w:sz w:val="24"/>
          <w:szCs w:val="24"/>
          <w:lang w:eastAsia="en-GB"/>
        </w:rPr>
        <w:t>, 50 (4): 370–396.</w:t>
      </w:r>
    </w:p>
    <w:p w14:paraId="12E31D8F"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Lorraine Mazerolle, James McBroom, and Sacha </w:t>
      </w:r>
      <w:proofErr w:type="spellStart"/>
      <w:r w:rsidRPr="00E838F2">
        <w:rPr>
          <w:rFonts w:ascii="LinLibertine" w:eastAsia="Times New Roman" w:hAnsi="LinLibertine" w:cs="Times New Roman"/>
          <w:color w:val="000000"/>
          <w:sz w:val="24"/>
          <w:szCs w:val="24"/>
          <w:lang w:eastAsia="en-GB"/>
        </w:rPr>
        <w:t>Rombouts</w:t>
      </w:r>
      <w:proofErr w:type="spellEnd"/>
      <w:r w:rsidRPr="00E838F2">
        <w:rPr>
          <w:rFonts w:ascii="LinLibertine" w:eastAsia="Times New Roman" w:hAnsi="LinLibertine" w:cs="Times New Roman"/>
          <w:color w:val="000000"/>
          <w:sz w:val="24"/>
          <w:szCs w:val="24"/>
          <w:lang w:eastAsia="en-GB"/>
        </w:rPr>
        <w:t xml:space="preserve"> (2011), “</w:t>
      </w:r>
      <w:proofErr w:type="spellStart"/>
      <w:r w:rsidRPr="00E838F2">
        <w:rPr>
          <w:rFonts w:ascii="LinLibertine" w:eastAsia="Times New Roman" w:hAnsi="LinLibertine" w:cs="Times New Roman"/>
          <w:color w:val="000000"/>
          <w:sz w:val="24"/>
          <w:szCs w:val="24"/>
          <w:lang w:eastAsia="en-GB"/>
        </w:rPr>
        <w:t>CompStat</w:t>
      </w:r>
      <w:proofErr w:type="spellEnd"/>
      <w:r w:rsidRPr="00E838F2">
        <w:rPr>
          <w:rFonts w:ascii="LinLibertine" w:eastAsia="Times New Roman" w:hAnsi="LinLibertine" w:cs="Times New Roman"/>
          <w:color w:val="000000"/>
          <w:sz w:val="24"/>
          <w:szCs w:val="24"/>
          <w:lang w:eastAsia="en-GB"/>
        </w:rPr>
        <w:t xml:space="preserve"> in Australia: an analysis of the spatial and temporal impact,” </w:t>
      </w:r>
      <w:r w:rsidRPr="00E838F2">
        <w:rPr>
          <w:rFonts w:ascii="LinLibertine" w:eastAsia="Times New Roman" w:hAnsi="LinLibertine" w:cs="Times New Roman"/>
          <w:i/>
          <w:iCs/>
          <w:color w:val="000000"/>
          <w:sz w:val="24"/>
          <w:szCs w:val="24"/>
          <w:lang w:eastAsia="en-GB"/>
        </w:rPr>
        <w:t>Journal of Criminal Justice</w:t>
      </w:r>
      <w:r w:rsidRPr="00E838F2">
        <w:rPr>
          <w:rFonts w:ascii="LinLibertine" w:eastAsia="Times New Roman" w:hAnsi="LinLibertine" w:cs="Times New Roman"/>
          <w:color w:val="000000"/>
          <w:sz w:val="24"/>
          <w:szCs w:val="24"/>
          <w:lang w:eastAsia="en-GB"/>
        </w:rPr>
        <w:t>, 39 (2): 128–136.</w:t>
      </w:r>
    </w:p>
    <w:p w14:paraId="2DF1A854"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Mark H. Moore (2003), “Sizing up CompStat: an important administrative innovation in policing,” </w:t>
      </w:r>
      <w:r w:rsidRPr="00E838F2">
        <w:rPr>
          <w:rFonts w:ascii="LinLibertine" w:eastAsia="Times New Roman" w:hAnsi="LinLibertine" w:cs="Times New Roman"/>
          <w:i/>
          <w:iCs/>
          <w:color w:val="000000"/>
          <w:sz w:val="24"/>
          <w:szCs w:val="24"/>
          <w:lang w:eastAsia="en-GB"/>
        </w:rPr>
        <w:t>Criminology &amp; Public Policy</w:t>
      </w:r>
      <w:r w:rsidRPr="00E838F2">
        <w:rPr>
          <w:rFonts w:ascii="LinLibertine" w:eastAsia="Times New Roman" w:hAnsi="LinLibertine" w:cs="Times New Roman"/>
          <w:color w:val="000000"/>
          <w:sz w:val="24"/>
          <w:szCs w:val="24"/>
          <w:lang w:eastAsia="en-GB"/>
        </w:rPr>
        <w:t>, 2 (3): 469–494.</w:t>
      </w:r>
    </w:p>
    <w:p w14:paraId="2AD36CE4"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Mark H. Moore and Anthony A. Braga (2003), “Measuring and improving police performance: the lessons of CompStat and its progeny,” </w:t>
      </w:r>
      <w:r w:rsidRPr="00E838F2">
        <w:rPr>
          <w:rFonts w:ascii="LinLibertine" w:eastAsia="Times New Roman" w:hAnsi="LinLibertine" w:cs="Times New Roman"/>
          <w:i/>
          <w:iCs/>
          <w:color w:val="000000"/>
          <w:sz w:val="24"/>
          <w:szCs w:val="24"/>
          <w:lang w:eastAsia="en-GB"/>
        </w:rPr>
        <w:t>Policing: An International Journal of Police Strategies &amp; Management</w:t>
      </w:r>
      <w:r w:rsidRPr="00E838F2">
        <w:rPr>
          <w:rFonts w:ascii="LinLibertine" w:eastAsia="Times New Roman" w:hAnsi="LinLibertine" w:cs="Times New Roman"/>
          <w:color w:val="000000"/>
          <w:sz w:val="24"/>
          <w:szCs w:val="24"/>
          <w:lang w:eastAsia="en-GB"/>
        </w:rPr>
        <w:t>, 26 (3): 439–453.</w:t>
      </w:r>
    </w:p>
    <w:p w14:paraId="0C054085"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Christopher </w:t>
      </w:r>
      <w:proofErr w:type="spellStart"/>
      <w:r w:rsidRPr="00E838F2">
        <w:rPr>
          <w:rFonts w:ascii="LinLibertine" w:eastAsia="Times New Roman" w:hAnsi="LinLibertine" w:cs="Times New Roman"/>
          <w:color w:val="000000"/>
          <w:sz w:val="24"/>
          <w:szCs w:val="24"/>
          <w:lang w:eastAsia="en-GB"/>
        </w:rPr>
        <w:t>Patusky</w:t>
      </w:r>
      <w:proofErr w:type="spellEnd"/>
      <w:r w:rsidRPr="00E838F2">
        <w:rPr>
          <w:rFonts w:ascii="LinLibertine" w:eastAsia="Times New Roman" w:hAnsi="LinLibertine" w:cs="Times New Roman"/>
          <w:color w:val="000000"/>
          <w:sz w:val="24"/>
          <w:szCs w:val="24"/>
          <w:lang w:eastAsia="en-GB"/>
        </w:rPr>
        <w:t xml:space="preserve">, Leigh </w:t>
      </w:r>
      <w:proofErr w:type="spellStart"/>
      <w:r w:rsidRPr="00E838F2">
        <w:rPr>
          <w:rFonts w:ascii="LinLibertine" w:eastAsia="Times New Roman" w:hAnsi="LinLibertine" w:cs="Times New Roman"/>
          <w:color w:val="000000"/>
          <w:sz w:val="24"/>
          <w:szCs w:val="24"/>
          <w:lang w:eastAsia="en-GB"/>
        </w:rPr>
        <w:t>Botwinik</w:t>
      </w:r>
      <w:proofErr w:type="spellEnd"/>
      <w:r w:rsidRPr="00E838F2">
        <w:rPr>
          <w:rFonts w:ascii="LinLibertine" w:eastAsia="Times New Roman" w:hAnsi="LinLibertine" w:cs="Times New Roman"/>
          <w:color w:val="000000"/>
          <w:sz w:val="24"/>
          <w:szCs w:val="24"/>
          <w:lang w:eastAsia="en-GB"/>
        </w:rPr>
        <w:t>, and Mary Shelley (2007), </w:t>
      </w:r>
      <w:r w:rsidRPr="00E838F2">
        <w:rPr>
          <w:rFonts w:ascii="LinLibertine" w:eastAsia="Times New Roman" w:hAnsi="LinLibertine" w:cs="Times New Roman"/>
          <w:i/>
          <w:iCs/>
          <w:color w:val="000000"/>
          <w:sz w:val="24"/>
          <w:szCs w:val="24"/>
          <w:lang w:eastAsia="en-GB"/>
        </w:rPr>
        <w:t xml:space="preserve">The Philadelphia </w:t>
      </w:r>
      <w:proofErr w:type="spellStart"/>
      <w:r w:rsidRPr="00E838F2">
        <w:rPr>
          <w:rFonts w:ascii="LinLibertine" w:eastAsia="Times New Roman" w:hAnsi="LinLibertine" w:cs="Times New Roman"/>
          <w:i/>
          <w:iCs/>
          <w:color w:val="000000"/>
          <w:sz w:val="24"/>
          <w:szCs w:val="24"/>
          <w:lang w:eastAsia="en-GB"/>
        </w:rPr>
        <w:t>SchoolStat</w:t>
      </w:r>
      <w:proofErr w:type="spellEnd"/>
      <w:r w:rsidRPr="00E838F2">
        <w:rPr>
          <w:rFonts w:ascii="LinLibertine" w:eastAsia="Times New Roman" w:hAnsi="LinLibertine" w:cs="Times New Roman"/>
          <w:i/>
          <w:iCs/>
          <w:color w:val="000000"/>
          <w:sz w:val="24"/>
          <w:szCs w:val="24"/>
          <w:lang w:eastAsia="en-GB"/>
        </w:rPr>
        <w:t xml:space="preserve"> Model</w:t>
      </w:r>
      <w:r w:rsidRPr="00E838F2">
        <w:rPr>
          <w:rFonts w:ascii="LinLibertine" w:eastAsia="Times New Roman" w:hAnsi="LinLibertine" w:cs="Times New Roman"/>
          <w:color w:val="000000"/>
          <w:sz w:val="24"/>
          <w:szCs w:val="24"/>
          <w:lang w:eastAsia="en-GB"/>
        </w:rPr>
        <w:t xml:space="preserve">. Washington, DC: IBM </w:t>
      </w:r>
      <w:proofErr w:type="spellStart"/>
      <w:r w:rsidRPr="00E838F2">
        <w:rPr>
          <w:rFonts w:ascii="LinLibertine" w:eastAsia="Times New Roman" w:hAnsi="LinLibertine" w:cs="Times New Roman"/>
          <w:color w:val="000000"/>
          <w:sz w:val="24"/>
          <w:szCs w:val="24"/>
          <w:lang w:eastAsia="en-GB"/>
        </w:rPr>
        <w:t>Center</w:t>
      </w:r>
      <w:proofErr w:type="spellEnd"/>
      <w:r w:rsidRPr="00E838F2">
        <w:rPr>
          <w:rFonts w:ascii="LinLibertine" w:eastAsia="Times New Roman" w:hAnsi="LinLibertine" w:cs="Times New Roman"/>
          <w:color w:val="000000"/>
          <w:sz w:val="24"/>
          <w:szCs w:val="24"/>
          <w:lang w:eastAsia="en-GB"/>
        </w:rPr>
        <w:t xml:space="preserve"> for the Business of Government.</w:t>
      </w:r>
    </w:p>
    <w:p w14:paraId="4088F20D"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Dennis C. Smith and William J. </w:t>
      </w:r>
      <w:proofErr w:type="spellStart"/>
      <w:r w:rsidRPr="00E838F2">
        <w:rPr>
          <w:rFonts w:ascii="LinLibertine" w:eastAsia="Times New Roman" w:hAnsi="LinLibertine" w:cs="Times New Roman"/>
          <w:color w:val="000000"/>
          <w:sz w:val="24"/>
          <w:szCs w:val="24"/>
          <w:lang w:eastAsia="en-GB"/>
        </w:rPr>
        <w:t>Grinker</w:t>
      </w:r>
      <w:proofErr w:type="spellEnd"/>
      <w:r w:rsidRPr="00E838F2">
        <w:rPr>
          <w:rFonts w:ascii="LinLibertine" w:eastAsia="Times New Roman" w:hAnsi="LinLibertine" w:cs="Times New Roman"/>
          <w:color w:val="000000"/>
          <w:sz w:val="24"/>
          <w:szCs w:val="24"/>
          <w:lang w:eastAsia="en-GB"/>
        </w:rPr>
        <w:t xml:space="preserve"> (2005), </w:t>
      </w:r>
      <w:r w:rsidRPr="00E838F2">
        <w:rPr>
          <w:rFonts w:ascii="LinLibertine" w:eastAsia="Times New Roman" w:hAnsi="LinLibertine" w:cs="Times New Roman"/>
          <w:i/>
          <w:iCs/>
          <w:color w:val="000000"/>
          <w:sz w:val="24"/>
          <w:szCs w:val="24"/>
          <w:lang w:eastAsia="en-GB"/>
        </w:rPr>
        <w:t>The transformation of Social Services Management in New York City: “</w:t>
      </w:r>
      <w:proofErr w:type="spellStart"/>
      <w:r w:rsidRPr="00E838F2">
        <w:rPr>
          <w:rFonts w:ascii="LinLibertine" w:eastAsia="Times New Roman" w:hAnsi="LinLibertine" w:cs="Times New Roman"/>
          <w:i/>
          <w:iCs/>
          <w:color w:val="000000"/>
          <w:sz w:val="24"/>
          <w:szCs w:val="24"/>
          <w:lang w:eastAsia="en-GB"/>
        </w:rPr>
        <w:t>CompStating</w:t>
      </w:r>
      <w:proofErr w:type="spellEnd"/>
      <w:r w:rsidRPr="00E838F2">
        <w:rPr>
          <w:rFonts w:ascii="LinLibertine" w:eastAsia="Times New Roman" w:hAnsi="LinLibertine" w:cs="Times New Roman"/>
          <w:i/>
          <w:iCs/>
          <w:color w:val="000000"/>
          <w:sz w:val="24"/>
          <w:szCs w:val="24"/>
          <w:lang w:eastAsia="en-GB"/>
        </w:rPr>
        <w:t>” Welfare</w:t>
      </w:r>
      <w:r w:rsidRPr="00E838F2">
        <w:rPr>
          <w:rFonts w:ascii="LinLibertine" w:eastAsia="Times New Roman" w:hAnsi="LinLibertine" w:cs="Times New Roman"/>
          <w:color w:val="000000"/>
          <w:sz w:val="24"/>
          <w:szCs w:val="24"/>
          <w:lang w:eastAsia="en-GB"/>
        </w:rPr>
        <w:t xml:space="preserve">. New York: </w:t>
      </w:r>
      <w:proofErr w:type="spellStart"/>
      <w:r w:rsidRPr="00E838F2">
        <w:rPr>
          <w:rFonts w:ascii="LinLibertine" w:eastAsia="Times New Roman" w:hAnsi="LinLibertine" w:cs="Times New Roman"/>
          <w:color w:val="000000"/>
          <w:sz w:val="24"/>
          <w:szCs w:val="24"/>
          <w:lang w:eastAsia="en-GB"/>
        </w:rPr>
        <w:t>Seedco</w:t>
      </w:r>
      <w:proofErr w:type="spellEnd"/>
      <w:r w:rsidRPr="00E838F2">
        <w:rPr>
          <w:rFonts w:ascii="LinLibertine" w:eastAsia="Times New Roman" w:hAnsi="LinLibertine" w:cs="Times New Roman"/>
          <w:color w:val="000000"/>
          <w:sz w:val="24"/>
          <w:szCs w:val="24"/>
          <w:lang w:eastAsia="en-GB"/>
        </w:rPr>
        <w:t>.</w:t>
      </w:r>
    </w:p>
    <w:p w14:paraId="60BABE5A"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 xml:space="preserve">Gretchen M. </w:t>
      </w:r>
      <w:proofErr w:type="spellStart"/>
      <w:r w:rsidRPr="00E838F2">
        <w:rPr>
          <w:rFonts w:ascii="LinLibertine" w:eastAsia="Times New Roman" w:hAnsi="LinLibertine" w:cs="Times New Roman"/>
          <w:color w:val="000000"/>
          <w:sz w:val="24"/>
          <w:szCs w:val="24"/>
          <w:lang w:eastAsia="en-GB"/>
        </w:rPr>
        <w:t>Spreitzer</w:t>
      </w:r>
      <w:proofErr w:type="spellEnd"/>
      <w:r w:rsidRPr="00E838F2">
        <w:rPr>
          <w:rFonts w:ascii="LinLibertine" w:eastAsia="Times New Roman" w:hAnsi="LinLibertine" w:cs="Times New Roman"/>
          <w:color w:val="000000"/>
          <w:sz w:val="24"/>
          <w:szCs w:val="24"/>
          <w:lang w:eastAsia="en-GB"/>
        </w:rPr>
        <w:t xml:space="preserve"> and Scott </w:t>
      </w:r>
      <w:proofErr w:type="spellStart"/>
      <w:r w:rsidRPr="00E838F2">
        <w:rPr>
          <w:rFonts w:ascii="LinLibertine" w:eastAsia="Times New Roman" w:hAnsi="LinLibertine" w:cs="Times New Roman"/>
          <w:color w:val="000000"/>
          <w:sz w:val="24"/>
          <w:szCs w:val="24"/>
          <w:lang w:eastAsia="en-GB"/>
        </w:rPr>
        <w:t>Sonenshein</w:t>
      </w:r>
      <w:proofErr w:type="spellEnd"/>
      <w:r w:rsidRPr="00E838F2">
        <w:rPr>
          <w:rFonts w:ascii="LinLibertine" w:eastAsia="Times New Roman" w:hAnsi="LinLibertine" w:cs="Times New Roman"/>
          <w:color w:val="000000"/>
          <w:sz w:val="24"/>
          <w:szCs w:val="24"/>
          <w:lang w:eastAsia="en-GB"/>
        </w:rPr>
        <w:t xml:space="preserve"> (2004), “Toward the construct definition of positive deviance,” </w:t>
      </w:r>
      <w:r w:rsidRPr="00E838F2">
        <w:rPr>
          <w:rFonts w:ascii="LinLibertine" w:eastAsia="Times New Roman" w:hAnsi="LinLibertine" w:cs="Times New Roman"/>
          <w:i/>
          <w:iCs/>
          <w:color w:val="000000"/>
          <w:sz w:val="24"/>
          <w:szCs w:val="24"/>
          <w:lang w:eastAsia="en-GB"/>
        </w:rPr>
        <w:t xml:space="preserve">American </w:t>
      </w:r>
      <w:proofErr w:type="spellStart"/>
      <w:r w:rsidRPr="00E838F2">
        <w:rPr>
          <w:rFonts w:ascii="LinLibertine" w:eastAsia="Times New Roman" w:hAnsi="LinLibertine" w:cs="Times New Roman"/>
          <w:i/>
          <w:iCs/>
          <w:color w:val="000000"/>
          <w:sz w:val="24"/>
          <w:szCs w:val="24"/>
          <w:lang w:eastAsia="en-GB"/>
        </w:rPr>
        <w:t>Behavioral</w:t>
      </w:r>
      <w:proofErr w:type="spellEnd"/>
      <w:r w:rsidRPr="00E838F2">
        <w:rPr>
          <w:rFonts w:ascii="LinLibertine" w:eastAsia="Times New Roman" w:hAnsi="LinLibertine" w:cs="Times New Roman"/>
          <w:i/>
          <w:iCs/>
          <w:color w:val="000000"/>
          <w:sz w:val="24"/>
          <w:szCs w:val="24"/>
          <w:lang w:eastAsia="en-GB"/>
        </w:rPr>
        <w:t xml:space="preserve"> Scientist</w:t>
      </w:r>
      <w:r w:rsidRPr="00E838F2">
        <w:rPr>
          <w:rFonts w:ascii="LinLibertine" w:eastAsia="Times New Roman" w:hAnsi="LinLibertine" w:cs="Times New Roman"/>
          <w:color w:val="000000"/>
          <w:sz w:val="24"/>
          <w:szCs w:val="24"/>
          <w:lang w:eastAsia="en-GB"/>
        </w:rPr>
        <w:t>, 47 (6): 828–847.</w:t>
      </w:r>
    </w:p>
    <w:p w14:paraId="77257688" w14:textId="77777777" w:rsidR="00E838F2" w:rsidRPr="00E838F2" w:rsidRDefault="00E838F2" w:rsidP="00E838F2">
      <w:pPr>
        <w:spacing w:after="0" w:line="240" w:lineRule="auto"/>
        <w:ind w:left="360" w:hanging="360"/>
        <w:jc w:val="both"/>
        <w:rPr>
          <w:rFonts w:ascii="LinLibertine" w:eastAsia="Times New Roman" w:hAnsi="LinLibertine" w:cs="Times New Roman"/>
          <w:color w:val="000000"/>
          <w:sz w:val="24"/>
          <w:szCs w:val="24"/>
          <w:lang w:eastAsia="en-GB"/>
        </w:rPr>
      </w:pPr>
      <w:r w:rsidRPr="00E838F2">
        <w:rPr>
          <w:rFonts w:ascii="LinLibertine" w:eastAsia="Times New Roman" w:hAnsi="LinLibertine" w:cs="Times New Roman"/>
          <w:color w:val="000000"/>
          <w:sz w:val="24"/>
          <w:szCs w:val="24"/>
          <w:lang w:eastAsia="en-GB"/>
        </w:rPr>
        <w:t>United States Congress (2011), “GPRA modernization of 2010,” H.R. 2141, </w:t>
      </w:r>
      <w:r w:rsidRPr="00E838F2">
        <w:rPr>
          <w:rFonts w:ascii="LinLibertine" w:eastAsia="Times New Roman" w:hAnsi="LinLibertine" w:cs="Times New Roman"/>
          <w:i/>
          <w:iCs/>
          <w:color w:val="000000"/>
          <w:sz w:val="24"/>
          <w:szCs w:val="24"/>
          <w:lang w:eastAsia="en-GB"/>
        </w:rPr>
        <w:t>Public Law</w:t>
      </w:r>
      <w:r w:rsidRPr="00E838F2">
        <w:rPr>
          <w:rFonts w:ascii="LinLibertine" w:eastAsia="Times New Roman" w:hAnsi="LinLibertine" w:cs="Times New Roman"/>
          <w:color w:val="000000"/>
          <w:sz w:val="24"/>
          <w:szCs w:val="24"/>
          <w:lang w:eastAsia="en-GB"/>
        </w:rPr>
        <w:t>, 4 January: 111–352.</w:t>
      </w:r>
    </w:p>
    <w:p w14:paraId="0F9046E0" w14:textId="77777777" w:rsidR="0001453D" w:rsidRDefault="0001453D"/>
    <w:sectPr w:rsidR="0001453D" w:rsidSect="00EE284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29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D6BC2" w14:textId="77777777" w:rsidR="00EE284F" w:rsidRDefault="00EE284F" w:rsidP="00EE284F">
      <w:pPr>
        <w:spacing w:after="0" w:line="240" w:lineRule="auto"/>
      </w:pPr>
      <w:r>
        <w:separator/>
      </w:r>
    </w:p>
  </w:endnote>
  <w:endnote w:type="continuationSeparator" w:id="0">
    <w:p w14:paraId="6BE7920F" w14:textId="77777777" w:rsidR="00EE284F" w:rsidRDefault="00EE284F" w:rsidP="00EE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nLibertine">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E4BB6" w14:textId="77777777" w:rsidR="00EE284F" w:rsidRDefault="00EE28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7109336"/>
      <w:docPartObj>
        <w:docPartGallery w:val="Page Numbers (Bottom of Page)"/>
        <w:docPartUnique/>
      </w:docPartObj>
    </w:sdtPr>
    <w:sdtEndPr>
      <w:rPr>
        <w:noProof/>
      </w:rPr>
    </w:sdtEndPr>
    <w:sdtContent>
      <w:p w14:paraId="24CCED34" w14:textId="010E2C95" w:rsidR="00EE284F" w:rsidRDefault="00EE284F">
        <w:pPr>
          <w:pStyle w:val="Footer"/>
          <w:jc w:val="right"/>
        </w:pPr>
        <w:r>
          <w:fldChar w:fldCharType="begin"/>
        </w:r>
        <w:r>
          <w:instrText xml:space="preserve"> PAGE   \* MERGEFORMAT </w:instrText>
        </w:r>
        <w:r>
          <w:fldChar w:fldCharType="separate"/>
        </w:r>
        <w:r w:rsidR="00461D7A">
          <w:rPr>
            <w:noProof/>
          </w:rPr>
          <w:t>291</w:t>
        </w:r>
        <w:r>
          <w:rPr>
            <w:noProof/>
          </w:rPr>
          <w:fldChar w:fldCharType="end"/>
        </w:r>
      </w:p>
    </w:sdtContent>
  </w:sdt>
  <w:p w14:paraId="03048740" w14:textId="77777777" w:rsidR="00EE284F" w:rsidRDefault="00EE28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199E4" w14:textId="77777777" w:rsidR="00EE284F" w:rsidRDefault="00EE28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DA84B" w14:textId="77777777" w:rsidR="00EE284F" w:rsidRDefault="00EE284F" w:rsidP="00EE284F">
      <w:pPr>
        <w:spacing w:after="0" w:line="240" w:lineRule="auto"/>
      </w:pPr>
      <w:r>
        <w:separator/>
      </w:r>
    </w:p>
  </w:footnote>
  <w:footnote w:type="continuationSeparator" w:id="0">
    <w:p w14:paraId="5C19B1CE" w14:textId="77777777" w:rsidR="00EE284F" w:rsidRDefault="00EE284F" w:rsidP="00EE2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A4AD1" w14:textId="77777777" w:rsidR="00EE284F" w:rsidRDefault="00EE28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823FC" w14:textId="5002F38C" w:rsidR="00EE284F" w:rsidRDefault="00461D7A">
    <w:pPr>
      <w:pStyle w:val="Header"/>
    </w:pPr>
    <w:r>
      <w:t xml:space="preserve">… </w:t>
    </w:r>
    <w:proofErr w:type="gramStart"/>
    <w:r w:rsidRPr="00461D7A">
      <w:t>in</w:t>
    </w:r>
    <w:proofErr w:type="gramEnd"/>
    <w:r w:rsidRPr="00461D7A">
      <w:t xml:space="preserve"> </w:t>
    </w:r>
    <w:proofErr w:type="spellStart"/>
    <w:r w:rsidRPr="00461D7A">
      <w:t>Bovaird</w:t>
    </w:r>
    <w:proofErr w:type="spellEnd"/>
    <w:r w:rsidRPr="00461D7A">
      <w:t xml:space="preserve">, T. and </w:t>
    </w:r>
    <w:proofErr w:type="spellStart"/>
    <w:r w:rsidRPr="00461D7A">
      <w:t>Loeffler</w:t>
    </w:r>
    <w:proofErr w:type="spellEnd"/>
    <w:r w:rsidRPr="00461D7A">
      <w:t>, E. (</w:t>
    </w:r>
    <w:proofErr w:type="spellStart"/>
    <w:r w:rsidRPr="00461D7A">
      <w:t>eds</w:t>
    </w:r>
    <w:proofErr w:type="spellEnd"/>
    <w:r w:rsidRPr="00461D7A">
      <w:t>) (2016) Public Management and Governance 3rd edition. Abingdon: Routledge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0F7DD" w14:textId="77777777" w:rsidR="00EE284F" w:rsidRDefault="00EE28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145B21"/>
    <w:multiLevelType w:val="multilevel"/>
    <w:tmpl w:val="9BB2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3A7663"/>
    <w:multiLevelType w:val="multilevel"/>
    <w:tmpl w:val="05AC0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3875CE"/>
    <w:multiLevelType w:val="multilevel"/>
    <w:tmpl w:val="7E84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160D5A"/>
    <w:multiLevelType w:val="multilevel"/>
    <w:tmpl w:val="C31A6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A25C00"/>
    <w:multiLevelType w:val="multilevel"/>
    <w:tmpl w:val="51827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24A"/>
    <w:rsid w:val="0001453D"/>
    <w:rsid w:val="00461D7A"/>
    <w:rsid w:val="006E1E9A"/>
    <w:rsid w:val="0097226F"/>
    <w:rsid w:val="00E838F2"/>
    <w:rsid w:val="00EE284F"/>
    <w:rsid w:val="00FB5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1C1455-9684-46C0-ADD6-1382EEF4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84F"/>
  </w:style>
  <w:style w:type="paragraph" w:styleId="Footer">
    <w:name w:val="footer"/>
    <w:basedOn w:val="Normal"/>
    <w:link w:val="FooterChar"/>
    <w:uiPriority w:val="99"/>
    <w:unhideWhenUsed/>
    <w:rsid w:val="00EE2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021461">
      <w:bodyDiv w:val="1"/>
      <w:marLeft w:val="0"/>
      <w:marRight w:val="0"/>
      <w:marTop w:val="0"/>
      <w:marBottom w:val="0"/>
      <w:divBdr>
        <w:top w:val="none" w:sz="0" w:space="0" w:color="auto"/>
        <w:left w:val="none" w:sz="0" w:space="0" w:color="auto"/>
        <w:bottom w:val="none" w:sz="0" w:space="0" w:color="auto"/>
        <w:right w:val="none" w:sz="0" w:space="0" w:color="auto"/>
      </w:divBdr>
      <w:divsChild>
        <w:div w:id="704477743">
          <w:marLeft w:val="0"/>
          <w:marRight w:val="0"/>
          <w:marTop w:val="0"/>
          <w:marBottom w:val="0"/>
          <w:divBdr>
            <w:top w:val="none" w:sz="0" w:space="0" w:color="auto"/>
            <w:left w:val="none" w:sz="0" w:space="0" w:color="auto"/>
            <w:bottom w:val="none" w:sz="0" w:space="0" w:color="auto"/>
            <w:right w:val="none" w:sz="0" w:space="0" w:color="auto"/>
          </w:divBdr>
          <w:divsChild>
            <w:div w:id="708795783">
              <w:marLeft w:val="360"/>
              <w:marRight w:val="0"/>
              <w:marTop w:val="240"/>
              <w:marBottom w:val="240"/>
              <w:divBdr>
                <w:top w:val="none" w:sz="0" w:space="0" w:color="auto"/>
                <w:left w:val="none" w:sz="0" w:space="0" w:color="auto"/>
                <w:bottom w:val="none" w:sz="0" w:space="0" w:color="auto"/>
                <w:right w:val="none" w:sz="0" w:space="0" w:color="auto"/>
              </w:divBdr>
            </w:div>
            <w:div w:id="1346244610">
              <w:marLeft w:val="0"/>
              <w:marRight w:val="0"/>
              <w:marTop w:val="240"/>
              <w:marBottom w:val="240"/>
              <w:divBdr>
                <w:top w:val="none" w:sz="0" w:space="0" w:color="auto"/>
                <w:left w:val="none" w:sz="0" w:space="0" w:color="auto"/>
                <w:bottom w:val="none" w:sz="0" w:space="0" w:color="auto"/>
                <w:right w:val="none" w:sz="0" w:space="0" w:color="auto"/>
              </w:divBdr>
            </w:div>
          </w:divsChild>
        </w:div>
        <w:div w:id="460802667">
          <w:marLeft w:val="0"/>
          <w:marRight w:val="0"/>
          <w:marTop w:val="0"/>
          <w:marBottom w:val="0"/>
          <w:divBdr>
            <w:top w:val="none" w:sz="0" w:space="0" w:color="auto"/>
            <w:left w:val="none" w:sz="0" w:space="0" w:color="auto"/>
            <w:bottom w:val="none" w:sz="0" w:space="0" w:color="auto"/>
            <w:right w:val="none" w:sz="0" w:space="0" w:color="auto"/>
          </w:divBdr>
          <w:divsChild>
            <w:div w:id="42564834">
              <w:marLeft w:val="0"/>
              <w:marRight w:val="0"/>
              <w:marTop w:val="0"/>
              <w:marBottom w:val="0"/>
              <w:divBdr>
                <w:top w:val="none" w:sz="0" w:space="0" w:color="auto"/>
                <w:left w:val="none" w:sz="0" w:space="0" w:color="auto"/>
                <w:bottom w:val="none" w:sz="0" w:space="0" w:color="auto"/>
                <w:right w:val="none" w:sz="0" w:space="0" w:color="auto"/>
              </w:divBdr>
            </w:div>
            <w:div w:id="580528227">
              <w:marLeft w:val="0"/>
              <w:marRight w:val="0"/>
              <w:marTop w:val="0"/>
              <w:marBottom w:val="0"/>
              <w:divBdr>
                <w:top w:val="none" w:sz="0" w:space="0" w:color="auto"/>
                <w:left w:val="none" w:sz="0" w:space="0" w:color="auto"/>
                <w:bottom w:val="none" w:sz="0" w:space="0" w:color="auto"/>
                <w:right w:val="none" w:sz="0" w:space="0" w:color="auto"/>
              </w:divBdr>
            </w:div>
            <w:div w:id="2118475662">
              <w:marLeft w:val="0"/>
              <w:marRight w:val="0"/>
              <w:marTop w:val="0"/>
              <w:marBottom w:val="0"/>
              <w:divBdr>
                <w:top w:val="none" w:sz="0" w:space="0" w:color="auto"/>
                <w:left w:val="none" w:sz="0" w:space="0" w:color="auto"/>
                <w:bottom w:val="none" w:sz="0" w:space="0" w:color="auto"/>
                <w:right w:val="none" w:sz="0" w:space="0" w:color="auto"/>
              </w:divBdr>
            </w:div>
            <w:div w:id="1544169744">
              <w:marLeft w:val="0"/>
              <w:marRight w:val="0"/>
              <w:marTop w:val="0"/>
              <w:marBottom w:val="0"/>
              <w:divBdr>
                <w:top w:val="none" w:sz="0" w:space="0" w:color="auto"/>
                <w:left w:val="none" w:sz="0" w:space="0" w:color="auto"/>
                <w:bottom w:val="none" w:sz="0" w:space="0" w:color="auto"/>
                <w:right w:val="none" w:sz="0" w:space="0" w:color="auto"/>
              </w:divBdr>
            </w:div>
            <w:div w:id="1603800314">
              <w:marLeft w:val="0"/>
              <w:marRight w:val="0"/>
              <w:marTop w:val="0"/>
              <w:marBottom w:val="0"/>
              <w:divBdr>
                <w:top w:val="none" w:sz="0" w:space="0" w:color="auto"/>
                <w:left w:val="none" w:sz="0" w:space="0" w:color="auto"/>
                <w:bottom w:val="none" w:sz="0" w:space="0" w:color="auto"/>
                <w:right w:val="none" w:sz="0" w:space="0" w:color="auto"/>
              </w:divBdr>
            </w:div>
            <w:div w:id="1713847888">
              <w:marLeft w:val="0"/>
              <w:marRight w:val="0"/>
              <w:marTop w:val="0"/>
              <w:marBottom w:val="0"/>
              <w:divBdr>
                <w:top w:val="none" w:sz="0" w:space="0" w:color="auto"/>
                <w:left w:val="none" w:sz="0" w:space="0" w:color="auto"/>
                <w:bottom w:val="none" w:sz="0" w:space="0" w:color="auto"/>
                <w:right w:val="none" w:sz="0" w:space="0" w:color="auto"/>
              </w:divBdr>
            </w:div>
          </w:divsChild>
        </w:div>
        <w:div w:id="1980765218">
          <w:marLeft w:val="0"/>
          <w:marRight w:val="0"/>
          <w:marTop w:val="0"/>
          <w:marBottom w:val="0"/>
          <w:divBdr>
            <w:top w:val="none" w:sz="0" w:space="0" w:color="auto"/>
            <w:left w:val="none" w:sz="0" w:space="0" w:color="auto"/>
            <w:bottom w:val="none" w:sz="0" w:space="0" w:color="auto"/>
            <w:right w:val="none" w:sz="0" w:space="0" w:color="auto"/>
          </w:divBdr>
        </w:div>
        <w:div w:id="2125729757">
          <w:marLeft w:val="0"/>
          <w:marRight w:val="0"/>
          <w:marTop w:val="0"/>
          <w:marBottom w:val="0"/>
          <w:divBdr>
            <w:top w:val="none" w:sz="0" w:space="0" w:color="auto"/>
            <w:left w:val="none" w:sz="0" w:space="0" w:color="auto"/>
            <w:bottom w:val="none" w:sz="0" w:space="0" w:color="auto"/>
            <w:right w:val="none" w:sz="0" w:space="0" w:color="auto"/>
          </w:divBdr>
        </w:div>
        <w:div w:id="101187787">
          <w:marLeft w:val="0"/>
          <w:marRight w:val="0"/>
          <w:marTop w:val="0"/>
          <w:marBottom w:val="0"/>
          <w:divBdr>
            <w:top w:val="none" w:sz="0" w:space="0" w:color="auto"/>
            <w:left w:val="none" w:sz="0" w:space="0" w:color="auto"/>
            <w:bottom w:val="none" w:sz="0" w:space="0" w:color="auto"/>
            <w:right w:val="none" w:sz="0" w:space="0" w:color="auto"/>
          </w:divBdr>
        </w:div>
        <w:div w:id="214397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5149</Words>
  <Characters>29350</Characters>
  <Application>Microsoft Office Word</Application>
  <DocSecurity>0</DocSecurity>
  <Lines>244</Lines>
  <Paragraphs>68</Paragraphs>
  <ScaleCrop>false</ScaleCrop>
  <Company/>
  <LinksUpToDate>false</LinksUpToDate>
  <CharactersWithSpaces>34431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5</cp:revision>
  <dcterms:created xsi:type="dcterms:W3CDTF">2019-01-30T11:07:00Z</dcterms:created>
  <dcterms:modified xsi:type="dcterms:W3CDTF">2019-09-02T12:16:00Z</dcterms:modified>
</cp:coreProperties>
</file>