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9B66C" w14:textId="4B8A949A" w:rsidR="00B47F8A" w:rsidRPr="0034290B" w:rsidRDefault="00381858" w:rsidP="0034290B">
      <w:pPr>
        <w:spacing w:line="360" w:lineRule="auto"/>
        <w:rPr>
          <w:rFonts w:ascii="Calibri" w:hAnsi="Calibri" w:cs="Calibri"/>
          <w:b/>
          <w:bCs/>
          <w:u w:val="single"/>
        </w:rPr>
      </w:pPr>
      <w:r w:rsidRPr="0034290B">
        <w:rPr>
          <w:rFonts w:ascii="Calibri" w:hAnsi="Calibri" w:cs="Calibri"/>
          <w:b/>
          <w:bCs/>
          <w:u w:val="single"/>
        </w:rPr>
        <w:t xml:space="preserve">Inclusive Leadership </w:t>
      </w:r>
    </w:p>
    <w:p w14:paraId="526C4BA4" w14:textId="77777777" w:rsidR="00381858" w:rsidRPr="0034290B" w:rsidRDefault="00381858" w:rsidP="0034290B">
      <w:pPr>
        <w:spacing w:line="360" w:lineRule="auto"/>
        <w:rPr>
          <w:rFonts w:ascii="Calibri" w:hAnsi="Calibri" w:cs="Calibri"/>
        </w:rPr>
      </w:pPr>
    </w:p>
    <w:p w14:paraId="41387EF5" w14:textId="77777777"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is a leadership style that prioritises the active involvement and valuing of all team members, regardless of their diverse backgrounds and perspectives. (Ferdman et al., 2021). It focuses on creating an environment where everyone feels welcomed, respected, supported, and valued. Inclusive leaders know their biases and work to understand and embrace diversity. They practice empathy, fairness, and equity, ensuring that opportunities and resources are accessible to all. These leaders encourage active participation and innovation by fostering collaboration and empowering their teams (Nembhard and Edmondson (2006). They are adaptable, willing to change their approach to meet diverse needs, and committed to continuous improvement in fostering an inclusive culture. Ultimately, inclusive leadership aims to create a sense of belonging for every individual, allowing them to thrive and contribute fully to the organisation (Bishu and Kennedy, 2020). Besides, looking back at Ferdman’s (2014) understanding of inclusion portrays the term as a multi-layered construct. This aids in understanding how inclusion is assessed and practised at various levels, including the group, individual, organisational, or social level. </w:t>
      </w:r>
    </w:p>
    <w:p w14:paraId="2F6B5E56" w14:textId="77777777" w:rsidR="000D6D32" w:rsidRPr="0034290B" w:rsidRDefault="000D6D32" w:rsidP="0034290B">
      <w:pPr>
        <w:spacing w:line="360" w:lineRule="auto"/>
        <w:rPr>
          <w:rFonts w:ascii="Calibri" w:hAnsi="Calibri" w:cs="Calibri"/>
          <w:color w:val="000000"/>
        </w:rPr>
      </w:pPr>
    </w:p>
    <w:p w14:paraId="450EE135" w14:textId="77777777"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Researchers such as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Waniganayake, and </w:t>
      </w:r>
      <w:proofErr w:type="spellStart"/>
      <w:r w:rsidRPr="0034290B">
        <w:rPr>
          <w:rFonts w:ascii="Calibri" w:hAnsi="Calibri" w:cs="Calibri"/>
          <w:color w:val="000000"/>
        </w:rPr>
        <w:t>Hujala</w:t>
      </w:r>
      <w:proofErr w:type="spellEnd"/>
      <w:r w:rsidRPr="0034290B">
        <w:rPr>
          <w:rFonts w:ascii="Calibri" w:hAnsi="Calibri" w:cs="Calibri"/>
          <w:color w:val="000000"/>
        </w:rPr>
        <w:t xml:space="preserve"> (2013) emphasise the paramount significance of inclusive leadership in early childhood environments, stressing its function in cultivating a climate where every child can flourish. Inclusive leadership ensures that early childhood education is equitable and responsive to young learners' diverse needs (</w:t>
      </w:r>
      <w:proofErr w:type="spellStart"/>
      <w:r w:rsidRPr="0034290B">
        <w:rPr>
          <w:rFonts w:ascii="Calibri" w:hAnsi="Calibri" w:cs="Calibri"/>
          <w:color w:val="000000"/>
        </w:rPr>
        <w:t>Ashikali</w:t>
      </w:r>
      <w:proofErr w:type="spellEnd"/>
      <w:r w:rsidRPr="0034290B">
        <w:rPr>
          <w:rFonts w:ascii="Calibri" w:hAnsi="Calibri" w:cs="Calibri"/>
          <w:color w:val="000000"/>
        </w:rPr>
        <w:t xml:space="preserve"> et al. (2021). This approach is essential for promoting the social, emotional, and cognitive development of children from various backgrounds, including those with different abilities, cultural heritages, and socioeconomic statuses. Inclusive leaders help children feel valued and understood by creating a welcoming and supportive environment, which is fundamental for their early development and long-term educational success alongside new opportunities (Armstrong, 2006; Carter and Abawi, 2008).</w:t>
      </w:r>
    </w:p>
    <w:p w14:paraId="24BB3DF1" w14:textId="77777777" w:rsidR="000D6D32" w:rsidRPr="0034290B" w:rsidRDefault="000D6D32" w:rsidP="0034290B">
      <w:pPr>
        <w:spacing w:line="360" w:lineRule="auto"/>
        <w:rPr>
          <w:rFonts w:ascii="Calibri" w:hAnsi="Calibri" w:cs="Calibri"/>
          <w:color w:val="000000"/>
        </w:rPr>
      </w:pPr>
    </w:p>
    <w:p w14:paraId="71E25E8C" w14:textId="17FE3FB4" w:rsidR="00D11B5B"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also plays a vital role in building strong partnerships with families and the wider community. Sylva., </w:t>
      </w:r>
      <w:proofErr w:type="spellStart"/>
      <w:r w:rsidRPr="0034290B">
        <w:rPr>
          <w:rFonts w:ascii="Calibri" w:hAnsi="Calibri" w:cs="Calibri"/>
          <w:color w:val="000000"/>
        </w:rPr>
        <w:t>Melhuish</w:t>
      </w:r>
      <w:proofErr w:type="spellEnd"/>
      <w:r w:rsidRPr="0034290B">
        <w:rPr>
          <w:rFonts w:ascii="Calibri" w:hAnsi="Calibri" w:cs="Calibri"/>
          <w:color w:val="000000"/>
        </w:rPr>
        <w:t xml:space="preserve">, Sammons, Siraj-Blatchford, &amp; Taggart (2010) emphasise that leaders who actively involve parents and caregivers in the educational </w:t>
      </w:r>
      <w:r w:rsidRPr="0034290B">
        <w:rPr>
          <w:rFonts w:ascii="Calibri" w:hAnsi="Calibri" w:cs="Calibri"/>
          <w:color w:val="000000"/>
        </w:rPr>
        <w:lastRenderedPageBreak/>
        <w:t xml:space="preserve">process create a more holistic and supportive network for children. This collaboration helps to bridge gaps between home and school, ensuring that children receive consistent support and encouragement. Additionally, Ryan (2006) argues that inclusive leaders who engage with the community can better access resources and services that enhance the educational experience for all children, particularly those with additional needs. By fostering these connections, inclusive leadership ensures that early </w:t>
      </w:r>
      <w:r w:rsidR="00D10697" w:rsidRPr="0034290B">
        <w:rPr>
          <w:rFonts w:ascii="Calibri" w:hAnsi="Calibri" w:cs="Calibri"/>
          <w:color w:val="000000"/>
        </w:rPr>
        <w:t>year’s</w:t>
      </w:r>
      <w:r w:rsidRPr="0034290B">
        <w:rPr>
          <w:rFonts w:ascii="Calibri" w:hAnsi="Calibri" w:cs="Calibri"/>
          <w:color w:val="000000"/>
        </w:rPr>
        <w:t xml:space="preserve"> settings are not isolated but integrated into a broader, supportive community context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2016).</w:t>
      </w:r>
    </w:p>
    <w:p w14:paraId="33AA8170" w14:textId="77777777" w:rsidR="000D6D32" w:rsidRPr="0034290B" w:rsidRDefault="000D6D32" w:rsidP="0034290B">
      <w:pPr>
        <w:spacing w:line="360" w:lineRule="auto"/>
        <w:rPr>
          <w:rFonts w:ascii="Calibri" w:hAnsi="Calibri" w:cs="Calibri"/>
          <w:b/>
          <w:bCs/>
          <w:color w:val="000000"/>
          <w:u w:val="single"/>
        </w:rPr>
      </w:pPr>
    </w:p>
    <w:p w14:paraId="2BD4ABFF" w14:textId="341318CC" w:rsidR="00CC04FB" w:rsidRPr="0034290B" w:rsidRDefault="00CC04FB" w:rsidP="0034290B">
      <w:pPr>
        <w:spacing w:line="360" w:lineRule="auto"/>
        <w:rPr>
          <w:rFonts w:ascii="Calibri" w:hAnsi="Calibri" w:cs="Calibri"/>
          <w:b/>
          <w:bCs/>
          <w:color w:val="000000"/>
          <w:u w:val="single"/>
        </w:rPr>
      </w:pPr>
      <w:r w:rsidRPr="0034290B">
        <w:rPr>
          <w:rFonts w:ascii="Calibri" w:hAnsi="Calibri" w:cs="Calibri"/>
          <w:b/>
          <w:bCs/>
          <w:color w:val="000000"/>
          <w:u w:val="single"/>
        </w:rPr>
        <w:t xml:space="preserve">Case study </w:t>
      </w:r>
    </w:p>
    <w:p w14:paraId="38ED8D41" w14:textId="77777777" w:rsidR="00CC04FB" w:rsidRPr="0034290B" w:rsidRDefault="00CC04FB" w:rsidP="0034290B">
      <w:pPr>
        <w:spacing w:line="360" w:lineRule="auto"/>
        <w:rPr>
          <w:rFonts w:ascii="Calibri" w:hAnsi="Calibri" w:cs="Calibri"/>
          <w:color w:val="000000"/>
        </w:rPr>
      </w:pPr>
    </w:p>
    <w:p w14:paraId="6A6298F1"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A  young child in year one has recently started school after being an asylum seeker. She has also never been to school and has very limited English, so she uses gestures to communicate, such as pointing at things. She started two weeks ago, but her class teacher has recently noticed she has started missing days from school; she gets in contact with the parents, and they respond by saying that their daughter hasn't been feeling well, such as she has a tummy ache and feeling sick, the parents say they give her medicine. I am an early-year TA and have observed that she seems to be bullied on the playground while on duty by other children. The class teacher or other staff members have not spotted the connection. </w:t>
      </w:r>
    </w:p>
    <w:p w14:paraId="63924D6F" w14:textId="77777777" w:rsidR="00C77157" w:rsidRPr="0034290B" w:rsidRDefault="00C77157" w:rsidP="0034290B">
      <w:pPr>
        <w:spacing w:line="360" w:lineRule="auto"/>
        <w:rPr>
          <w:rFonts w:ascii="Calibri" w:hAnsi="Calibri" w:cs="Calibri"/>
          <w:color w:val="000000"/>
        </w:rPr>
      </w:pPr>
    </w:p>
    <w:p w14:paraId="7EB18D23"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In assessing how well inclusive leadership worked in this case study, it is evident that while there are some positive efforts, significant areas need improvement. The class teacher's proactive approach in contacting the parents about the child's absences demonstrates a degree of inclusive leadership. This action shows a concern for the child's well-being and a willingness to engage with the family to understand and address potential issues. However, the effectiveness of this inclusive leadership is limited by the lack of comprehensive strategies to support the child's specific needs as an asylum seeker with limited English proficiency and prior educational experience. </w:t>
      </w:r>
    </w:p>
    <w:p w14:paraId="7C80748B" w14:textId="77777777" w:rsidR="00C77157" w:rsidRPr="0034290B" w:rsidRDefault="00C77157" w:rsidP="0034290B">
      <w:pPr>
        <w:spacing w:line="360" w:lineRule="auto"/>
        <w:rPr>
          <w:rFonts w:ascii="Calibri" w:hAnsi="Calibri" w:cs="Calibri"/>
          <w:color w:val="000000"/>
        </w:rPr>
      </w:pPr>
    </w:p>
    <w:p w14:paraId="6703EA03"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Despite some attempts at inclusivity, the case study reveals significant gaps where inclusive leadership could be more evident. The observation that the child is being bullied on the playground and the apparent lack of awareness or intervention by the class teacher and other staff indicates a failure to create a fully inclusive and safe environment. (Whitehouse </w:t>
      </w:r>
      <w:r w:rsidRPr="0034290B">
        <w:rPr>
          <w:rFonts w:ascii="Calibri" w:hAnsi="Calibri" w:cs="Calibri"/>
          <w:color w:val="000000"/>
        </w:rPr>
        <w:lastRenderedPageBreak/>
        <w:t xml:space="preserve">and Pundey 1998) highlighted that inclusive leadership should involve regular training for staff to recognise and respond to bullying promptly, particularly for vulnerable children who are new to the school and might not have the language skills to report their experiences. </w:t>
      </w:r>
    </w:p>
    <w:p w14:paraId="1C355620" w14:textId="77777777" w:rsidR="00C77157" w:rsidRPr="0034290B" w:rsidRDefault="00C77157" w:rsidP="0034290B">
      <w:pPr>
        <w:spacing w:line="360" w:lineRule="auto"/>
        <w:rPr>
          <w:rFonts w:ascii="Calibri" w:hAnsi="Calibri" w:cs="Calibri"/>
          <w:color w:val="000000"/>
        </w:rPr>
      </w:pPr>
    </w:p>
    <w:p w14:paraId="4535C5B8"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Furthermore, the child's repeated absences and reported physical ailments, such as tummy aches and feeling sick, likely indicate underlying emotional distress or anxiety. Inclusive leadership would involve a holistic approach, including closer monitoring of the child's well-being and seeking to understand the root causes of her distress beyond the physical symptoms. This might involve the school counsellor or a trauma-informed specialist and training for staff working with the child and family to address any psychological impacts of her asylum-seeker status and recent upheavals in her life.  </w:t>
      </w:r>
    </w:p>
    <w:p w14:paraId="3AEEF13F" w14:textId="77777777" w:rsidR="00C77157" w:rsidRPr="0034290B" w:rsidRDefault="00C77157" w:rsidP="0034290B">
      <w:pPr>
        <w:spacing w:line="360" w:lineRule="auto"/>
        <w:rPr>
          <w:rFonts w:ascii="Calibri" w:hAnsi="Calibri" w:cs="Calibri"/>
          <w:color w:val="000000"/>
        </w:rPr>
      </w:pPr>
    </w:p>
    <w:p w14:paraId="7BA9C9B6"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Inclusive leadership in the early years presents several opportunities to support a young asylum seeker who has recently started school. Firstly, language and support programs such as ESL (English as a Second Language) classes, the use of visual aids, or a language buddy system can be introduced to help the child improve her English skills. This would aid her in classroom participation and social interactions with peers, thereby reducing her reliance on gestures for communication. Additionally, prompting cultural sensitivity among staff and students can create a more inclusive environment (Waniganayake, Rodd, and Gibbs 2005). This might involve incorporating multicultural elements into the curriculum and celebrating diversity with the school community, helping the child feel more welcomed and valued (Human Rights Act, 1998; The United Nations, 1989), as every child has the right to education, regardless of background status. </w:t>
      </w:r>
    </w:p>
    <w:p w14:paraId="3BAC446D" w14:textId="77777777" w:rsidR="00C77157" w:rsidRPr="0034290B" w:rsidRDefault="00C77157" w:rsidP="0034290B">
      <w:pPr>
        <w:spacing w:line="360" w:lineRule="auto"/>
        <w:rPr>
          <w:rFonts w:ascii="Calibri" w:hAnsi="Calibri" w:cs="Calibri"/>
          <w:color w:val="000000"/>
        </w:rPr>
      </w:pPr>
    </w:p>
    <w:p w14:paraId="5AC9E66F"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Social integration is another critical opportunity. Implementing a buddy system, where the child is paired with a peer who can help her navigate the school environment and make friends, can significantly ease her transition. Structured play activities during choosing time can also reduce bullying by providing a safe and supervised space for the child to interact with others. Moreover, fostering strong partnerships with the child's parents and involving them in the school community can provide additional support (Aubrey, 2011). Regular communication with the parents can help the school understand the child's underlying </w:t>
      </w:r>
      <w:r w:rsidRPr="0034290B">
        <w:rPr>
          <w:rFonts w:ascii="Calibri" w:hAnsi="Calibri" w:cs="Calibri"/>
          <w:color w:val="000000"/>
        </w:rPr>
        <w:lastRenderedPageBreak/>
        <w:t>issues and ensure a consistent support system between home and school (Welsh Government, 2016).</w:t>
      </w:r>
    </w:p>
    <w:p w14:paraId="0E9A0C31" w14:textId="77777777" w:rsidR="00C77157" w:rsidRPr="0034290B" w:rsidRDefault="00C77157" w:rsidP="0034290B">
      <w:pPr>
        <w:spacing w:line="360" w:lineRule="auto"/>
        <w:rPr>
          <w:rFonts w:ascii="Calibri" w:hAnsi="Calibri" w:cs="Calibri"/>
          <w:color w:val="000000"/>
        </w:rPr>
      </w:pPr>
    </w:p>
    <w:p w14:paraId="46D25B70"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However, serval barriers must be addressed to support the child effectively. The language barrier is a significant challenge, as her limited English proficiency makes it difficult for her to communicate her needs and for teachers to understand her experiences. This can lead to social isolation and hinder her ability to participate fully in classroom activities. Additionally, observing that she is being bullied on the playground is crucial. If this bullying goes unrecognised by staff members, the child remains vulnerable and unsupported, exacerbating her feelings of fear and alienation. </w:t>
      </w:r>
    </w:p>
    <w:p w14:paraId="0F0AB4E7" w14:textId="77777777" w:rsidR="00C77157" w:rsidRPr="0034290B" w:rsidRDefault="00C77157" w:rsidP="0034290B">
      <w:pPr>
        <w:spacing w:line="360" w:lineRule="auto"/>
        <w:rPr>
          <w:rFonts w:ascii="Calibri" w:hAnsi="Calibri" w:cs="Calibri"/>
          <w:color w:val="000000"/>
        </w:rPr>
      </w:pPr>
    </w:p>
    <w:p w14:paraId="28CAB3E6"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The child's background as an asylum seeker likely means she has experienced significant trauma, adding another layer of emotional and psychological challenges. This trauma can manifest in various ways, including physical symptoms like tummy aches and feelings of sickness, which might explain her absences from school. Furthermore, the parents' reluctance to fully disclose issues or seek additional support could be due to mistrust or fear stemming from their asylum seeker status, making it essential for the school to address her needs with sensitivity and care. Cultural differences in expectations around education and school involvement can also create misunderstandings between the parents and the school, complicating efforts to provide consistent support for the child. </w:t>
      </w:r>
    </w:p>
    <w:p w14:paraId="036437F4" w14:textId="77777777" w:rsidR="00C77157" w:rsidRPr="0034290B" w:rsidRDefault="00C77157" w:rsidP="0034290B">
      <w:pPr>
        <w:spacing w:line="360" w:lineRule="auto"/>
        <w:rPr>
          <w:rFonts w:ascii="Calibri" w:hAnsi="Calibri" w:cs="Calibri"/>
          <w:color w:val="000000"/>
        </w:rPr>
      </w:pPr>
    </w:p>
    <w:p w14:paraId="36C3445D"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Society plays a crucial role in shaping the experience of a young child, particularly one who is an asylum seeker and has recently started school. The societal impact on this child is complex, encompassing cultural, social and systemic influences that significantly affect her well-being and educational journey. </w:t>
      </w:r>
    </w:p>
    <w:p w14:paraId="7C226A84" w14:textId="77777777" w:rsidR="00C77157" w:rsidRPr="0034290B" w:rsidRDefault="00C77157" w:rsidP="0034290B">
      <w:pPr>
        <w:spacing w:line="360" w:lineRule="auto"/>
        <w:rPr>
          <w:rFonts w:ascii="Calibri" w:hAnsi="Calibri" w:cs="Calibri"/>
          <w:color w:val="000000"/>
        </w:rPr>
      </w:pPr>
    </w:p>
    <w:p w14:paraId="4F5D35C6"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Firstly, the societal context of being an asylum seeker can be overwhelming for a young child. The trauma of displacement, combined with the challenges of adapting to a new country, can lead to significant emotional and psychological stress. In this case, the child's limited English proficiency and lack of prior schooling compound these difficulties. Society's attitudes towards asylum seekers can either alleviate or exacerbate these challenges. A welcoming, inclusive society can provide support systems that help the child feel safe and </w:t>
      </w:r>
      <w:r w:rsidRPr="0034290B">
        <w:rPr>
          <w:rFonts w:ascii="Calibri" w:hAnsi="Calibri" w:cs="Calibri"/>
          <w:color w:val="000000"/>
        </w:rPr>
        <w:lastRenderedPageBreak/>
        <w:t xml:space="preserve">accepted. Conversely, a society that harbours negative attitudes towards asylum seekers can contribute to feelings of isolation and discrimination. </w:t>
      </w:r>
    </w:p>
    <w:p w14:paraId="45E4D574" w14:textId="77777777" w:rsidR="00C77157" w:rsidRPr="0034290B" w:rsidRDefault="00C77157" w:rsidP="0034290B">
      <w:pPr>
        <w:spacing w:line="360" w:lineRule="auto"/>
        <w:rPr>
          <w:rFonts w:ascii="Calibri" w:hAnsi="Calibri" w:cs="Calibri"/>
          <w:color w:val="000000"/>
        </w:rPr>
      </w:pPr>
    </w:p>
    <w:p w14:paraId="76DDABE3"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The child's experience of bullying on the playground reflects broader societal issues. Bullying often stems from a lack of understanding and empathy towards those who are perceived as different. In this scenario, the child's peers might not understand her situation and could be influenced by societal prejudices, leading to exclusion and bullying. This bullying can have a profound impact on the child's mental health, causing anxiety, depression, and a reluctance to attend school, as evidenced by her increasing absences and reported health issues.</w:t>
      </w:r>
    </w:p>
    <w:p w14:paraId="3118211F" w14:textId="77777777" w:rsidR="00C77157" w:rsidRPr="0034290B" w:rsidRDefault="00C77157" w:rsidP="0034290B">
      <w:pPr>
        <w:spacing w:line="360" w:lineRule="auto"/>
        <w:rPr>
          <w:rFonts w:ascii="Calibri" w:hAnsi="Calibri" w:cs="Calibri"/>
          <w:color w:val="000000"/>
        </w:rPr>
      </w:pPr>
    </w:p>
    <w:p w14:paraId="05BB6D45"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Moreover, the parent's response to their daughter's absences highlights another societal aspect-the possible lack of accessible healthcare and support services for asylum-seeking families. Their reliance on home remedies indicates they might need more access to medical care or are unaware of navigating the healthcare system. This can significantly hinder the child's overall well-being and school attendance. </w:t>
      </w:r>
    </w:p>
    <w:p w14:paraId="025B9CBA" w14:textId="77777777" w:rsidR="00C77157" w:rsidRPr="0034290B" w:rsidRDefault="00C77157" w:rsidP="0034290B">
      <w:pPr>
        <w:spacing w:line="360" w:lineRule="auto"/>
        <w:rPr>
          <w:rFonts w:ascii="Calibri" w:hAnsi="Calibri" w:cs="Calibri"/>
          <w:color w:val="000000"/>
        </w:rPr>
      </w:pPr>
    </w:p>
    <w:p w14:paraId="0F9848F1"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The stigma faced by the young child in this case study is multifaceted, significantly impacting her school, experience and well-being. As an asylum seeker, she may already be subject to preconceived notions and biases that can manifest in exclusionary behaviour from peers and even subtle prejudices from staff. Her limited English proficiency and reliance on gestures for communication further isolate her, making her an easy target for bullying. This exclusion and bullying are likely exacerbated by her unique background and the visible struggles she faces in adjusting to a new educational environment. The child's repeated absences and reported physical ailments could be symptomatic of the stress and anxiety stemming from the stigma and the associated bullying. Despite the teacher's efforts to engage with her parents, the underlying connection between her physical symptoms and her emotional distress linked to bullying and stigma may go unrecognised. As an early-year TA, observing the bullying and sensing the child's struggles highlights the urgent need for a more inclusive approach that addresses and mitigates the stigma, fostering a supportive and understanding school environment for the child. </w:t>
      </w:r>
    </w:p>
    <w:p w14:paraId="6032EFF6" w14:textId="77777777" w:rsidR="00C77157" w:rsidRPr="0034290B" w:rsidRDefault="00C77157" w:rsidP="0034290B">
      <w:pPr>
        <w:spacing w:line="360" w:lineRule="auto"/>
        <w:rPr>
          <w:rFonts w:ascii="Calibri" w:hAnsi="Calibri" w:cs="Calibri"/>
          <w:color w:val="000000"/>
        </w:rPr>
      </w:pPr>
    </w:p>
    <w:p w14:paraId="1D2C99DE" w14:textId="648D5A91"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lastRenderedPageBreak/>
        <w:t>Inclusive leaders in educational settings must foster open communication with parents, particularly those from diverse backgrounds, to understand their concerns and provide appropriate support</w:t>
      </w:r>
      <w:r w:rsidR="006C2B67" w:rsidRPr="0034290B">
        <w:rPr>
          <w:rFonts w:ascii="Calibri" w:hAnsi="Calibri" w:cs="Calibri"/>
          <w:color w:val="000000"/>
        </w:rPr>
        <w:t xml:space="preserve"> (Ferdman, 2014)</w:t>
      </w:r>
      <w:r w:rsidRPr="0034290B">
        <w:rPr>
          <w:rFonts w:ascii="Calibri" w:hAnsi="Calibri" w:cs="Calibri"/>
          <w:color w:val="000000"/>
        </w:rPr>
        <w:t xml:space="preserve">. In this scenario, the teacher's outreach to the parents about the child's absences is a step in the right direction. However, an inclusive leadership approach would go further by involving the parents in developing strategies to support the child academically and socially. </w:t>
      </w:r>
    </w:p>
    <w:p w14:paraId="5317A9E5" w14:textId="77777777" w:rsidR="00C77157" w:rsidRPr="0034290B" w:rsidRDefault="00C77157" w:rsidP="0034290B">
      <w:pPr>
        <w:spacing w:line="360" w:lineRule="auto"/>
        <w:rPr>
          <w:rFonts w:ascii="Calibri" w:hAnsi="Calibri" w:cs="Calibri"/>
          <w:color w:val="000000"/>
        </w:rPr>
      </w:pPr>
    </w:p>
    <w:p w14:paraId="4DDDA4A3"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 evaluating the role of inclusive leadership in a young asylum-seeking child's integration into school, it is imperative to draw upon theoretical frameworks such as those proposed by (</w:t>
      </w:r>
      <w:proofErr w:type="spellStart"/>
      <w:r w:rsidRPr="0034290B">
        <w:rPr>
          <w:rFonts w:ascii="Calibri" w:hAnsi="Calibri" w:cs="Calibri"/>
          <w:color w:val="000000"/>
        </w:rPr>
        <w:t>Dr.</w:t>
      </w:r>
      <w:proofErr w:type="spellEnd"/>
      <w:r w:rsidRPr="0034290B">
        <w:rPr>
          <w:rFonts w:ascii="Calibri" w:hAnsi="Calibri" w:cs="Calibri"/>
          <w:color w:val="000000"/>
        </w:rPr>
        <w:t xml:space="preserve"> </w:t>
      </w:r>
      <w:proofErr w:type="spellStart"/>
      <w:r w:rsidRPr="0034290B">
        <w:rPr>
          <w:rFonts w:ascii="Calibri" w:hAnsi="Calibri" w:cs="Calibri"/>
          <w:color w:val="000000"/>
        </w:rPr>
        <w:t>Dawiza</w:t>
      </w:r>
      <w:proofErr w:type="spellEnd"/>
      <w:r w:rsidRPr="0034290B">
        <w:rPr>
          <w:rFonts w:ascii="Calibri" w:hAnsi="Calibri" w:cs="Calibri"/>
          <w:color w:val="000000"/>
        </w:rPr>
        <w:t xml:space="preserve"> Reza, 2021; Arar, 2020) and Scanlon and Johnson (2015). As conceptualised by these researchers, inclusive leadership emphasises the importance of fostering an environment that values diversity, promotes equality, and prioritises the well-being of all individuals involved in the educational process. </w:t>
      </w:r>
    </w:p>
    <w:p w14:paraId="4B01D103" w14:textId="77777777" w:rsidR="00C77157" w:rsidRPr="0034290B" w:rsidRDefault="00C77157" w:rsidP="0034290B">
      <w:pPr>
        <w:spacing w:line="360" w:lineRule="auto"/>
        <w:rPr>
          <w:rFonts w:ascii="Calibri" w:hAnsi="Calibri" w:cs="Calibri"/>
          <w:color w:val="000000"/>
        </w:rPr>
      </w:pPr>
    </w:p>
    <w:p w14:paraId="1FBC4B17" w14:textId="77777777" w:rsidR="00C77157" w:rsidRPr="0034290B" w:rsidRDefault="00C77157" w:rsidP="0034290B">
      <w:pPr>
        <w:spacing w:line="360" w:lineRule="auto"/>
        <w:rPr>
          <w:rFonts w:ascii="Calibri" w:hAnsi="Calibri" w:cs="Calibri"/>
          <w:color w:val="000000"/>
        </w:rPr>
      </w:pPr>
      <w:proofErr w:type="spellStart"/>
      <w:r w:rsidRPr="0034290B">
        <w:rPr>
          <w:rFonts w:ascii="Calibri" w:hAnsi="Calibri" w:cs="Calibri"/>
          <w:color w:val="000000"/>
        </w:rPr>
        <w:t>Dr.</w:t>
      </w:r>
      <w:proofErr w:type="spellEnd"/>
      <w:r w:rsidRPr="0034290B">
        <w:rPr>
          <w:rFonts w:ascii="Calibri" w:hAnsi="Calibri" w:cs="Calibri"/>
          <w:color w:val="000000"/>
        </w:rPr>
        <w:t xml:space="preserve"> Fawiza Reza's work highlights the significance of cultural sensitivity and awareness in educational settings. In this case study, the child's asylum-seeking background and limited English proficiency underscores the need for educators to understand and respect her cultural background. As informed by Reza's theory, inclusive leadership requires educators to implement culturally responsive teaching practices, such as school counsellors and social workers, provide language support, EAL (English as an Additional Language) specialists, and create a welcoming environment where the child feels valued and included. </w:t>
      </w:r>
    </w:p>
    <w:p w14:paraId="15997385" w14:textId="77777777" w:rsidR="00C77157" w:rsidRPr="0034290B" w:rsidRDefault="00C77157" w:rsidP="0034290B">
      <w:pPr>
        <w:spacing w:line="360" w:lineRule="auto"/>
        <w:rPr>
          <w:rFonts w:ascii="Calibri" w:hAnsi="Calibri" w:cs="Calibri"/>
          <w:color w:val="000000"/>
        </w:rPr>
      </w:pPr>
    </w:p>
    <w:p w14:paraId="3AF177B4"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Notwithstanding, Ferdman (2021) emphasises the role of inclusive leadership in valuing diversity and fostering a sense of belonging within educational communities Gibson and Blandford (2005). In the scenario context, inclusive leadership involves recognising the unique challenges asylum-seeking children and their families face and actively working to address these challenges. This may include providing comprehensive support services, such as access to mental health resources and language assistance and promoting empathy and understanding among peers to prevent bullying and promote positive social interactions. </w:t>
      </w:r>
    </w:p>
    <w:p w14:paraId="5C8A0BAE" w14:textId="77777777" w:rsidR="00C77157" w:rsidRPr="0034290B" w:rsidRDefault="00C77157" w:rsidP="0034290B">
      <w:pPr>
        <w:spacing w:line="360" w:lineRule="auto"/>
        <w:rPr>
          <w:rFonts w:ascii="Calibri" w:hAnsi="Calibri" w:cs="Calibri"/>
          <w:color w:val="000000"/>
        </w:rPr>
      </w:pPr>
    </w:p>
    <w:p w14:paraId="36EF0381"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Arar's (2020) research sheds light on the specific challenges asylum-seeking children face and the need for comprehensive support systems. The child's reported health issues and </w:t>
      </w:r>
      <w:r w:rsidRPr="0034290B">
        <w:rPr>
          <w:rFonts w:ascii="Calibri" w:hAnsi="Calibri" w:cs="Calibri"/>
          <w:color w:val="000000"/>
        </w:rPr>
        <w:lastRenderedPageBreak/>
        <w:t>experiences of bullying on the playground highlight the importance of addressing both the physical and emotional well-being of asylum-seeking children. As informed by Arar's findings, inclusive leadership involves collaborating with families, communities, and practitioners to provide holistic support that addresses the child's needs and circumstances.</w:t>
      </w:r>
    </w:p>
    <w:p w14:paraId="0A6637EB" w14:textId="77777777" w:rsidR="00C77157" w:rsidRPr="0034290B" w:rsidRDefault="00C77157" w:rsidP="0034290B">
      <w:pPr>
        <w:spacing w:line="360" w:lineRule="auto"/>
        <w:rPr>
          <w:rFonts w:ascii="Calibri" w:hAnsi="Calibri" w:cs="Calibri"/>
          <w:color w:val="000000"/>
        </w:rPr>
      </w:pPr>
    </w:p>
    <w:p w14:paraId="0E7BF3DD"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Scanlon and Johnson (2015) highlight the role of inclusive leadership in building strong connections with families and communities. However, as stated by (DiPaola and Walther-Thomas, 2003 Florian 2008; Sharma and Desai,2008), prior research has shown leadership obstacles to its adoption despite inclusion's appeal. In the scenario, inclusive leadership requires educators to establish open and transparent communication channels with the child's parents, actively involving them in decision-making processes related to their child's education. Similarly, establishing an inclusive school atmosphere and implementing inclusive leadership practices that incorporate everyone is crucial. (Carter and Abawi, 2018; Florian, 2008; </w:t>
      </w:r>
      <w:proofErr w:type="spellStart"/>
      <w:r w:rsidRPr="0034290B">
        <w:rPr>
          <w:rFonts w:ascii="Calibri" w:hAnsi="Calibri" w:cs="Calibri"/>
          <w:color w:val="000000"/>
        </w:rPr>
        <w:t>Kugelmass</w:t>
      </w:r>
      <w:proofErr w:type="spellEnd"/>
      <w:r w:rsidRPr="0034290B">
        <w:rPr>
          <w:rFonts w:ascii="Calibri" w:hAnsi="Calibri" w:cs="Calibri"/>
          <w:color w:val="000000"/>
        </w:rPr>
        <w:t xml:space="preserve"> and Ainscow,  2004; Lambrecht et al., 2020).Accordingly, inclusive leadership involves forging partnerships with community organisations and stakeholders to create a support network for asylum-seeking families, ensuring they can access the resources and services they need to thrive (Florian, 2008; Jordan and McGhie-Richard, 2014). </w:t>
      </w:r>
    </w:p>
    <w:p w14:paraId="44470F52" w14:textId="77777777" w:rsidR="00C77157" w:rsidRPr="0034290B" w:rsidRDefault="00C77157" w:rsidP="0034290B">
      <w:pPr>
        <w:spacing w:line="360" w:lineRule="auto"/>
        <w:rPr>
          <w:rFonts w:ascii="Calibri" w:hAnsi="Calibri" w:cs="Calibri"/>
          <w:color w:val="000000"/>
        </w:rPr>
      </w:pPr>
    </w:p>
    <w:p w14:paraId="752392CE"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As an early-year teaching assistant, my role in evaluating the connection between the child's absences and experiences of bullying is crucial. Inclusive leadership requires proactive intervention to address these issues effectively. Through the IRC's Healing Classrooms programme, educators and support personnel in England receive training on providing safe havens for learning and development for children who have experienced displacement and conflict. This may involve collaborating with the class teacher and other staff members to implement cultural competence training for staff, anti-bullying initiatives, provide support services to the child and her family, and advocate for systemic changes to promote a more inclusive and welcoming school environment (Gumus et al., 2013; Lambrecht et al., 2020). However, it may be possible to involve teachers as valued participants in the leadership process if early childhood leadership is conceptualised through the lenses of teaching and learning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and Waniganayake, 2011) or what Palaiologou and Male (2019) refer to as </w:t>
      </w:r>
      <w:r w:rsidRPr="0034290B">
        <w:rPr>
          <w:rFonts w:ascii="Calibri" w:hAnsi="Calibri" w:cs="Calibri"/>
          <w:color w:val="000000"/>
        </w:rPr>
        <w:lastRenderedPageBreak/>
        <w:t>"pedagogical praxis" (p. 29). Because of this inclusion, all children will receive high-quality teaching and care (Siraj-Blatchford and Manni, 2007).</w:t>
      </w:r>
    </w:p>
    <w:p w14:paraId="70C3D6C1" w14:textId="77777777" w:rsidR="00C77157" w:rsidRPr="0034290B" w:rsidRDefault="00C77157" w:rsidP="0034290B">
      <w:pPr>
        <w:spacing w:line="360" w:lineRule="auto"/>
        <w:rPr>
          <w:rFonts w:ascii="Calibri" w:hAnsi="Calibri" w:cs="Calibri"/>
          <w:color w:val="000000"/>
        </w:rPr>
      </w:pPr>
    </w:p>
    <w:p w14:paraId="7C68E1D4" w14:textId="241295F0" w:rsidR="007E5315" w:rsidRPr="0034290B" w:rsidRDefault="00C77157" w:rsidP="0034290B">
      <w:pPr>
        <w:spacing w:line="360" w:lineRule="auto"/>
        <w:rPr>
          <w:rFonts w:ascii="Calibri" w:hAnsi="Calibri" w:cs="Calibri"/>
          <w:color w:val="000000"/>
        </w:rPr>
      </w:pPr>
      <w:r w:rsidRPr="0034290B">
        <w:rPr>
          <w:rFonts w:ascii="Calibri" w:hAnsi="Calibri" w:cs="Calibri"/>
          <w:color w:val="000000"/>
        </w:rPr>
        <w:t>In brief, addressing the challenges the young child faces in year one requires a multi-layered approach centred on inclusive leadership. Immediate steps include providing targeted language support and emotional counselling to help the child overcome communication barriers and cope with any trauma. Implementing anti-bullying initiatives and increasing playground supervision are essential to ensure her safety and well-being. Building strong, culturally sensitive communication channels with her family and engaging in ongoing professional development for staff will foster a more inclusive school environment. Additionally, forming partnerships with community organisations can offer additional resources and support, ensuring a holistic approach to the child's integration and success. Regular monitoring and feedback mechanisms will help assess the effectiveness of these interventions and ensure continuous improvement.</w:t>
      </w:r>
    </w:p>
    <w:p w14:paraId="0A6897BB" w14:textId="77777777" w:rsidR="004A28DB" w:rsidRPr="0034290B" w:rsidRDefault="004A28DB" w:rsidP="0034290B">
      <w:pPr>
        <w:spacing w:line="360" w:lineRule="auto"/>
        <w:rPr>
          <w:rFonts w:ascii="Calibri" w:hAnsi="Calibri" w:cs="Calibri"/>
          <w:color w:val="000000"/>
        </w:rPr>
      </w:pPr>
    </w:p>
    <w:p w14:paraId="742654AB"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5A37815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6CCECED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CF8E0E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83E3C0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B02638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D0F376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CC2FA3F"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12D6324"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1F20882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46CEE1F2"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9FA8E5C"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1F28BB9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584515A6"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F48FC44"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FFAD659"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6AC3F56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25B5F0B7" w14:textId="14FDE196"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lastRenderedPageBreak/>
        <w:t>Levin (1997) notes four ways the term' policy' might be used.</w:t>
      </w:r>
      <w:r w:rsidRPr="0034290B">
        <w:rPr>
          <w:rStyle w:val="apple-converted-space"/>
          <w:rFonts w:ascii="Calibri" w:eastAsiaTheme="majorEastAsia" w:hAnsi="Calibri" w:cs="Calibri"/>
          <w:color w:val="0E101A"/>
        </w:rPr>
        <w:t> </w:t>
      </w:r>
    </w:p>
    <w:p w14:paraId="4FE064C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Some components are universal to all applications of the word" policy", even though it is vital to recognise the variances in its meaning. Any policy, in Levin's option, will include the following:</w:t>
      </w:r>
    </w:p>
    <w:p w14:paraId="6E8757B8"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Belongingness:</w:t>
      </w:r>
      <w:r w:rsidRPr="0034290B">
        <w:rPr>
          <w:rStyle w:val="apple-converted-space"/>
          <w:rFonts w:ascii="Calibri" w:eastAsiaTheme="majorEastAsia" w:hAnsi="Calibri" w:cs="Calibri"/>
          <w:color w:val="0E101A"/>
        </w:rPr>
        <w:t> </w:t>
      </w:r>
      <w:r w:rsidRPr="0034290B">
        <w:rPr>
          <w:rFonts w:ascii="Calibri" w:hAnsi="Calibri" w:cs="Calibri"/>
          <w:color w:val="0E101A"/>
        </w:rPr>
        <w:t>A policy will be a part of an organisation, be it a political party, a government agency, a private setting,</w:t>
      </w:r>
      <w:r w:rsidRPr="0034290B">
        <w:rPr>
          <w:rStyle w:val="apple-converted-space"/>
          <w:rFonts w:ascii="Calibri" w:eastAsiaTheme="majorEastAsia" w:hAnsi="Calibri" w:cs="Calibri"/>
          <w:color w:val="0E101A"/>
        </w:rPr>
        <w:t> </w:t>
      </w:r>
      <w:r w:rsidRPr="0034290B">
        <w:rPr>
          <w:rFonts w:ascii="Calibri" w:hAnsi="Calibri" w:cs="Calibri"/>
          <w:color w:val="0E101A"/>
        </w:rPr>
        <w:t>etc.</w:t>
      </w:r>
      <w:r w:rsidRPr="0034290B">
        <w:rPr>
          <w:rStyle w:val="apple-converted-space"/>
          <w:rFonts w:ascii="Calibri" w:eastAsiaTheme="majorEastAsia" w:hAnsi="Calibri" w:cs="Calibri"/>
          <w:color w:val="0E101A"/>
        </w:rPr>
        <w:t> </w:t>
      </w:r>
    </w:p>
    <w:p w14:paraId="593D32D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Commitment:</w:t>
      </w:r>
      <w:r w:rsidRPr="0034290B">
        <w:rPr>
          <w:rStyle w:val="apple-converted-space"/>
          <w:rFonts w:ascii="Calibri" w:eastAsiaTheme="majorEastAsia" w:hAnsi="Calibri" w:cs="Calibri"/>
          <w:color w:val="0E101A"/>
        </w:rPr>
        <w:t> </w:t>
      </w:r>
      <w:r w:rsidRPr="0034290B">
        <w:rPr>
          <w:rFonts w:ascii="Calibri" w:hAnsi="Calibri" w:cs="Calibri"/>
          <w:color w:val="0E101A"/>
        </w:rPr>
        <w:t>An entity's commitment to a specific strategy or plan of action</w:t>
      </w:r>
      <w:r w:rsidRPr="0034290B">
        <w:rPr>
          <w:rStyle w:val="apple-converted-space"/>
          <w:rFonts w:ascii="Calibri" w:eastAsiaTheme="majorEastAsia" w:hAnsi="Calibri" w:cs="Calibri"/>
          <w:color w:val="0E101A"/>
        </w:rPr>
        <w:t> </w:t>
      </w:r>
      <w:r w:rsidRPr="0034290B">
        <w:rPr>
          <w:rFonts w:ascii="Calibri" w:hAnsi="Calibri" w:cs="Calibri"/>
          <w:color w:val="0E101A"/>
        </w:rPr>
        <w:t>is shown</w:t>
      </w:r>
      <w:r w:rsidRPr="0034290B">
        <w:rPr>
          <w:rStyle w:val="apple-converted-space"/>
          <w:rFonts w:ascii="Calibri" w:eastAsiaTheme="majorEastAsia" w:hAnsi="Calibri" w:cs="Calibri"/>
          <w:color w:val="0E101A"/>
        </w:rPr>
        <w:t> </w:t>
      </w:r>
      <w:r w:rsidRPr="0034290B">
        <w:rPr>
          <w:rFonts w:ascii="Calibri" w:hAnsi="Calibri" w:cs="Calibri"/>
          <w:color w:val="0E101A"/>
        </w:rPr>
        <w:t>in a policy.</w:t>
      </w:r>
      <w:r w:rsidRPr="0034290B">
        <w:rPr>
          <w:rStyle w:val="apple-converted-space"/>
          <w:rFonts w:ascii="Calibri" w:eastAsiaTheme="majorEastAsia" w:hAnsi="Calibri" w:cs="Calibri"/>
          <w:color w:val="0E101A"/>
        </w:rPr>
        <w:t> </w:t>
      </w:r>
    </w:p>
    <w:p w14:paraId="1BD44BD5"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Status:</w:t>
      </w:r>
      <w:r w:rsidRPr="0034290B">
        <w:rPr>
          <w:rStyle w:val="apple-converted-space"/>
          <w:rFonts w:ascii="Calibri" w:eastAsiaTheme="majorEastAsia" w:hAnsi="Calibri" w:cs="Calibri"/>
          <w:color w:val="0E101A"/>
        </w:rPr>
        <w:t> </w:t>
      </w:r>
      <w:r w:rsidRPr="0034290B">
        <w:rPr>
          <w:rFonts w:ascii="Calibri" w:hAnsi="Calibri" w:cs="Calibri"/>
          <w:color w:val="0E101A"/>
        </w:rPr>
        <w:t>Calling a plan or collection of thoughts a policy suggests that the organisation proposing it has officially accepted it.</w:t>
      </w:r>
      <w:r w:rsidRPr="0034290B">
        <w:rPr>
          <w:rStyle w:val="apple-converted-space"/>
          <w:rFonts w:ascii="Calibri" w:eastAsiaTheme="majorEastAsia" w:hAnsi="Calibri" w:cs="Calibri"/>
          <w:color w:val="0E101A"/>
        </w:rPr>
        <w:t> </w:t>
      </w:r>
    </w:p>
    <w:p w14:paraId="3A6DE92B"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Specificity:</w:t>
      </w:r>
      <w:r w:rsidRPr="0034290B">
        <w:rPr>
          <w:rStyle w:val="apple-converted-space"/>
          <w:rFonts w:ascii="Calibri" w:eastAsiaTheme="majorEastAsia" w:hAnsi="Calibri" w:cs="Calibri"/>
          <w:color w:val="0E101A"/>
        </w:rPr>
        <w:t> </w:t>
      </w:r>
      <w:r w:rsidRPr="0034290B">
        <w:rPr>
          <w:rFonts w:ascii="Calibri" w:hAnsi="Calibri" w:cs="Calibri"/>
          <w:color w:val="0E101A"/>
        </w:rPr>
        <w:t>Although the degree of specificity may differ, a policy will include methods for resolving specific challenges.</w:t>
      </w:r>
    </w:p>
    <w:p w14:paraId="1C05E37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596F8B4" w14:textId="2968295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are fundamental since they offer a well-organised framework for actions and decision-making in a company or government. By defining precise rules and processes that must be adhered to, they guarantee uniformity and clarity (Levin, 1997).</w:t>
      </w:r>
      <w:r w:rsidRPr="0034290B">
        <w:rPr>
          <w:rStyle w:val="apple-converted-space"/>
          <w:rFonts w:ascii="Calibri" w:eastAsiaTheme="majorEastAsia" w:hAnsi="Calibri" w:cs="Calibri"/>
          <w:color w:val="0E101A"/>
        </w:rPr>
        <w:t> </w:t>
      </w:r>
    </w:p>
    <w:p w14:paraId="2BCFE251"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facilitate accountability by precisely defining roles and responsibilities, making it more straightforward to hold people or organisations accountable for their actions. Additionally, they aid the government or organisation with its overarching goals and objectives, fostering efficacy and efficiency. Policies promote stability and predictability in operations and help to achieve desired outcomes by establishing norms and expectations.</w:t>
      </w:r>
    </w:p>
    <w:p w14:paraId="37A2068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6129F77E" w14:textId="28F41A4F"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Researchers have identified several overarching concerns in policy in the early years. They highlight instances where the Early Childhood Education and Care (ECEC) system, despite its development trajectories, needs help to meet the ambitious goals set by policies (Naumann, 2018). Moreover, early years education policy tends to favour characteristics of an 'ideal learner', emphasising</w:t>
      </w:r>
      <w:r w:rsidRPr="0034290B">
        <w:rPr>
          <w:rStyle w:val="apple-converted-space"/>
          <w:rFonts w:ascii="Calibri" w:eastAsiaTheme="majorEastAsia" w:hAnsi="Calibri" w:cs="Calibri"/>
          <w:color w:val="0E101A"/>
        </w:rPr>
        <w:t> </w:t>
      </w:r>
      <w:r w:rsidRPr="0034290B">
        <w:rPr>
          <w:rFonts w:ascii="Calibri" w:hAnsi="Calibri" w:cs="Calibri"/>
          <w:color w:val="0E101A"/>
        </w:rPr>
        <w:t>traits such as</w:t>
      </w:r>
      <w:r w:rsidRPr="0034290B">
        <w:rPr>
          <w:rStyle w:val="apple-converted-space"/>
          <w:rFonts w:ascii="Calibri" w:eastAsiaTheme="majorEastAsia" w:hAnsi="Calibri" w:cs="Calibri"/>
          <w:color w:val="0E101A"/>
        </w:rPr>
        <w:t> </w:t>
      </w:r>
      <w:r w:rsidRPr="0034290B">
        <w:rPr>
          <w:rFonts w:ascii="Calibri" w:hAnsi="Calibri" w:cs="Calibri"/>
          <w:color w:val="0E101A"/>
        </w:rPr>
        <w:t>self-directed learning and being a 'good learner' (Bradbury, 2013).</w:t>
      </w:r>
      <w:r w:rsidRPr="0034290B">
        <w:rPr>
          <w:rStyle w:val="apple-converted-space"/>
          <w:rFonts w:ascii="Calibri" w:eastAsiaTheme="majorEastAsia" w:hAnsi="Calibri" w:cs="Calibri"/>
          <w:color w:val="0E101A"/>
        </w:rPr>
        <w:t> </w:t>
      </w:r>
    </w:p>
    <w:p w14:paraId="13B8DA1F"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2089436" w14:textId="5DE0CA2C"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 xml:space="preserve">Dallymore (2019) investigates the complex process of policymaking in early childhood education and care (ECCE) systems. Her research strongly emphasises an all-encompassing strategy that incorporates a range of issues that impact policy formation. Dallymore </w:t>
      </w:r>
      <w:r w:rsidRPr="0034290B">
        <w:rPr>
          <w:rFonts w:ascii="Calibri" w:hAnsi="Calibri" w:cs="Calibri"/>
          <w:color w:val="0E101A"/>
        </w:rPr>
        <w:lastRenderedPageBreak/>
        <w:t>emphasises the value of evidence-based research in educating policymakers about successful ECEC policies and results. She also emphasises the importance of stakeholder participation in determining policy directions, including parents, advocacy organisations, educators, and governmental organisations. Dallymore demonstrates how policies</w:t>
      </w:r>
      <w:r w:rsidRPr="0034290B">
        <w:rPr>
          <w:rStyle w:val="apple-converted-space"/>
          <w:rFonts w:ascii="Calibri" w:eastAsiaTheme="majorEastAsia" w:hAnsi="Calibri" w:cs="Calibri"/>
          <w:color w:val="0E101A"/>
        </w:rPr>
        <w:t> </w:t>
      </w:r>
      <w:r w:rsidRPr="0034290B">
        <w:rPr>
          <w:rFonts w:ascii="Calibri" w:hAnsi="Calibri" w:cs="Calibri"/>
          <w:color w:val="0E101A"/>
        </w:rPr>
        <w:t>are designed</w:t>
      </w:r>
      <w:r w:rsidRPr="0034290B">
        <w:rPr>
          <w:rStyle w:val="apple-converted-space"/>
          <w:rFonts w:ascii="Calibri" w:eastAsiaTheme="majorEastAsia" w:hAnsi="Calibri" w:cs="Calibri"/>
          <w:color w:val="0E101A"/>
        </w:rPr>
        <w:t> </w:t>
      </w:r>
      <w:r w:rsidRPr="0034290B">
        <w:rPr>
          <w:rFonts w:ascii="Calibri" w:hAnsi="Calibri" w:cs="Calibri"/>
          <w:color w:val="0E101A"/>
        </w:rPr>
        <w:t>to align with more general educational objectives and societal demands by looking at the political environment and legal frameworks. Her work emphasises the significance of research, stakeholder participation, and strategic alignment with governmental agendas, underscoring the complexity of policy development in ECEC.</w:t>
      </w:r>
    </w:p>
    <w:p w14:paraId="3E2AA3A0"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The UK government has released a legislative advice document titled Special Educational Needs and Disability Code of Practice: 0 to 25 Years (2015). It describes local authorities, health organisations, early childhood educators, schools, and postsecondary education institutions' roles in identifying, evaluating, and providing for</w:t>
      </w:r>
      <w:r w:rsidRPr="0034290B">
        <w:rPr>
          <w:rStyle w:val="apple-converted-space"/>
          <w:rFonts w:ascii="Calibri" w:eastAsiaTheme="majorEastAsia" w:hAnsi="Calibri" w:cs="Calibri"/>
          <w:color w:val="0E101A"/>
        </w:rPr>
        <w:t> </w:t>
      </w:r>
      <w:r w:rsidRPr="0034290B">
        <w:rPr>
          <w:rFonts w:ascii="Calibri" w:hAnsi="Calibri" w:cs="Calibri"/>
          <w:color w:val="0E101A"/>
        </w:rPr>
        <w:t>children and young people with disabilities and special educational needs (SEN) from birth to age 25. The Code strongly emphasises a person-centred approach to decision-making, including children, young people, and their families. It provides comprehensive guidance on a range of topics, including the provision of tailored support, the development of Education, Health and Care (EHC) plans, and the importance of smooth transitions to adulthood, with the overarching goal of ensuring that individuals with SEN and disabilities achieve the best possible educational and life outcomes.</w:t>
      </w:r>
      <w:r w:rsidRPr="0034290B">
        <w:rPr>
          <w:rStyle w:val="apple-converted-space"/>
          <w:rFonts w:ascii="Calibri" w:eastAsiaTheme="majorEastAsia" w:hAnsi="Calibri" w:cs="Calibri"/>
          <w:color w:val="0E101A"/>
        </w:rPr>
        <w:t> </w:t>
      </w:r>
    </w:p>
    <w:p w14:paraId="1EDD635C"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4D3F9F6" w14:textId="35948C76"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Significant distinctions exist between the guidance of Wales</w:t>
      </w:r>
      <w:r w:rsidRPr="0034290B">
        <w:rPr>
          <w:rStyle w:val="apple-converted-space"/>
          <w:rFonts w:ascii="Calibri" w:eastAsiaTheme="majorEastAsia" w:hAnsi="Calibri" w:cs="Calibri"/>
          <w:color w:val="0E101A"/>
        </w:rPr>
        <w:t> </w:t>
      </w:r>
      <w:r w:rsidRPr="0034290B">
        <w:rPr>
          <w:rFonts w:ascii="Calibri" w:hAnsi="Calibri" w:cs="Calibri"/>
          <w:color w:val="0E101A"/>
        </w:rPr>
        <w:t>and the Special Educational Needs and Disability Code of Practice:0 to 25 Years</w:t>
      </w:r>
      <w:r w:rsidRPr="0034290B">
        <w:rPr>
          <w:rStyle w:val="apple-converted-space"/>
          <w:rFonts w:ascii="Calibri" w:eastAsiaTheme="majorEastAsia" w:hAnsi="Calibri" w:cs="Calibri"/>
          <w:color w:val="0E101A"/>
        </w:rPr>
        <w:t> </w:t>
      </w:r>
      <w:r w:rsidRPr="0034290B">
        <w:rPr>
          <w:rFonts w:ascii="Calibri" w:hAnsi="Calibri" w:cs="Calibri"/>
          <w:color w:val="0E101A"/>
        </w:rPr>
        <w:t>(2015), which is expressly applicable to England. A more integrated approach to support that encompasses education, health, and social care is promoted in England by the Code, which replaces the earlier</w:t>
      </w:r>
      <w:r w:rsidRPr="0034290B">
        <w:rPr>
          <w:rStyle w:val="apple-converted-space"/>
          <w:rFonts w:ascii="Calibri" w:eastAsiaTheme="majorEastAsia" w:hAnsi="Calibri" w:cs="Calibri"/>
          <w:color w:val="0E101A"/>
        </w:rPr>
        <w:t> </w:t>
      </w:r>
      <w:r w:rsidRPr="0034290B">
        <w:rPr>
          <w:rFonts w:ascii="Calibri" w:hAnsi="Calibri" w:cs="Calibri"/>
          <w:color w:val="0E101A"/>
        </w:rPr>
        <w:t>statements of SEN and Learning Difficulty Assessments with</w:t>
      </w:r>
      <w:r w:rsidRPr="0034290B">
        <w:rPr>
          <w:rStyle w:val="apple-converted-space"/>
          <w:rFonts w:ascii="Calibri" w:eastAsiaTheme="majorEastAsia" w:hAnsi="Calibri" w:cs="Calibri"/>
          <w:color w:val="0E101A"/>
        </w:rPr>
        <w:t> </w:t>
      </w:r>
      <w:r w:rsidRPr="0034290B">
        <w:rPr>
          <w:rFonts w:ascii="Calibri" w:hAnsi="Calibri" w:cs="Calibri"/>
          <w:color w:val="0E101A"/>
        </w:rPr>
        <w:t>Education, Health, and Care (EHC) plans. On the other hand, Wales still refers to SEN provisions as "statements".</w:t>
      </w:r>
      <w:r w:rsidRPr="0034290B">
        <w:rPr>
          <w:rStyle w:val="apple-converted-space"/>
          <w:rFonts w:ascii="Calibri" w:eastAsiaTheme="majorEastAsia" w:hAnsi="Calibri" w:cs="Calibri"/>
          <w:color w:val="0E101A"/>
        </w:rPr>
        <w:t> </w:t>
      </w:r>
      <w:r w:rsidRPr="0034290B">
        <w:rPr>
          <w:rFonts w:ascii="Calibri" w:hAnsi="Calibri" w:cs="Calibri"/>
          <w:color w:val="0E101A"/>
        </w:rPr>
        <w:t xml:space="preserve">The Additional Learning Needs and Education Tribunal (Wales) Act 2018,which replaces the term "Special Educational Needs" (SEN) with "Additional Learning Needs" (ALN) from birth to age 25, also establishes </w:t>
      </w:r>
      <w:proofErr w:type="spellStart"/>
      <w:r w:rsidRPr="0034290B">
        <w:rPr>
          <w:rFonts w:ascii="Calibri" w:hAnsi="Calibri" w:cs="Calibri"/>
          <w:color w:val="0E101A"/>
        </w:rPr>
        <w:t>Wales'</w:t>
      </w:r>
      <w:proofErr w:type="spellEnd"/>
      <w:r w:rsidRPr="0034290B">
        <w:rPr>
          <w:rFonts w:ascii="Calibri" w:hAnsi="Calibri" w:cs="Calibri"/>
          <w:color w:val="0E101A"/>
        </w:rPr>
        <w:t xml:space="preserve"> legislative framework. The Welsh system places a strong emphasis on agency collaboration. It incorporates Individual Development Plans (IDPs), which</w:t>
      </w:r>
      <w:r w:rsidRPr="0034290B">
        <w:rPr>
          <w:rStyle w:val="apple-converted-space"/>
          <w:rFonts w:ascii="Calibri" w:eastAsiaTheme="majorEastAsia" w:hAnsi="Calibri" w:cs="Calibri"/>
          <w:color w:val="0E101A"/>
        </w:rPr>
        <w:t> </w:t>
      </w:r>
      <w:r w:rsidRPr="0034290B">
        <w:rPr>
          <w:rFonts w:ascii="Calibri" w:hAnsi="Calibri" w:cs="Calibri"/>
          <w:color w:val="0E101A"/>
        </w:rPr>
        <w:t>are meant</w:t>
      </w:r>
      <w:r w:rsidRPr="0034290B">
        <w:rPr>
          <w:rStyle w:val="apple-converted-space"/>
          <w:rFonts w:ascii="Calibri" w:eastAsiaTheme="majorEastAsia" w:hAnsi="Calibri" w:cs="Calibri"/>
          <w:color w:val="0E101A"/>
        </w:rPr>
        <w:t> </w:t>
      </w:r>
      <w:r w:rsidRPr="0034290B">
        <w:rPr>
          <w:rFonts w:ascii="Calibri" w:hAnsi="Calibri" w:cs="Calibri"/>
          <w:color w:val="0E101A"/>
        </w:rPr>
        <w:t>to offer comprehensive support like English EHC plans but with a unique legal and procedural catered to the requirements of Welsh learners.</w:t>
      </w:r>
      <w:r w:rsidRPr="0034290B">
        <w:rPr>
          <w:rStyle w:val="apple-converted-space"/>
          <w:rFonts w:ascii="Calibri" w:eastAsiaTheme="majorEastAsia" w:hAnsi="Calibri" w:cs="Calibri"/>
          <w:color w:val="0E101A"/>
        </w:rPr>
        <w:t> </w:t>
      </w:r>
    </w:p>
    <w:p w14:paraId="2E0F67EC" w14:textId="77777777" w:rsidR="00470872" w:rsidRPr="0034290B" w:rsidRDefault="00470872" w:rsidP="0034290B">
      <w:pPr>
        <w:pStyle w:val="NormalWeb"/>
        <w:spacing w:before="0" w:beforeAutospacing="0" w:after="0" w:afterAutospacing="0" w:line="360" w:lineRule="auto"/>
        <w:rPr>
          <w:rFonts w:ascii="Calibri" w:hAnsi="Calibri" w:cs="Calibri"/>
          <w:color w:val="0E101A"/>
        </w:rPr>
      </w:pPr>
    </w:p>
    <w:p w14:paraId="65429EA0" w14:textId="12930ABB"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According to recent studies and news reports, several issues contribute to the rising cost of the United Kingdom's Education, Health, and Care (EHC) plans. The demand for these plans has expanded dramatically due to the growing number of children with complex special educational needs and disabilities (SEND), placing pressure on local authority budgets. A BBC investigation claims that local councils need help to pay for the required specialised support, such as one-on-one help, therapy services, and adaptable technologies, and that many are facing multimillion-pound deficits. Expenses</w:t>
      </w:r>
      <w:r w:rsidRPr="0034290B">
        <w:rPr>
          <w:rStyle w:val="apple-converted-space"/>
          <w:rFonts w:ascii="Calibri" w:eastAsiaTheme="majorEastAsia" w:hAnsi="Calibri" w:cs="Calibri"/>
          <w:color w:val="0E101A"/>
        </w:rPr>
        <w:t> </w:t>
      </w:r>
      <w:r w:rsidRPr="0034290B">
        <w:rPr>
          <w:rFonts w:ascii="Calibri" w:hAnsi="Calibri" w:cs="Calibri"/>
          <w:color w:val="0E101A"/>
        </w:rPr>
        <w:t>are also increased</w:t>
      </w:r>
      <w:r w:rsidRPr="0034290B">
        <w:rPr>
          <w:rStyle w:val="apple-converted-space"/>
          <w:rFonts w:ascii="Calibri" w:eastAsiaTheme="majorEastAsia" w:hAnsi="Calibri" w:cs="Calibri"/>
          <w:color w:val="0E101A"/>
        </w:rPr>
        <w:t> </w:t>
      </w:r>
      <w:r w:rsidRPr="0034290B">
        <w:rPr>
          <w:rFonts w:ascii="Calibri" w:hAnsi="Calibri" w:cs="Calibri"/>
          <w:color w:val="0E101A"/>
        </w:rPr>
        <w:t>by administrative charges and legal challenges from parents who want appropriate service. Dallymore's (2019) research emphasises the financial strain on local governments by highlighting the substantial resources needed to create and manage EHC policies.</w:t>
      </w:r>
    </w:p>
    <w:p w14:paraId="7019CDF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47CC4C65" w14:textId="2E3987C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 critical analysis of the Assess, Plan, Do, Review cycle in the SEND Code of Practice (2015) reveals a systematic approach that provides tailored and flexible support for children with impairments and special educational needs. The Department of Education and Health (2015) states that this cycle method ensures that therapies are tailored to each patient and updated regularly through assessments and reviews. However, practical implementation may be challenging due to resource limitations, such as insufficient school funding and staffing (Ofsted, 2017). The cycle's effectiveness also depends on strong collaboration between educators, specialists, and families, which might vary widely depending on the situation</w:t>
      </w:r>
      <w:r w:rsidRPr="0034290B">
        <w:rPr>
          <w:rStyle w:val="apple-converted-space"/>
          <w:rFonts w:ascii="Calibri" w:eastAsiaTheme="majorEastAsia" w:hAnsi="Calibri" w:cs="Calibri"/>
          <w:color w:val="0E101A"/>
        </w:rPr>
        <w:t> </w:t>
      </w:r>
      <w:r w:rsidRPr="0034290B">
        <w:rPr>
          <w:rFonts w:ascii="Calibri" w:hAnsi="Calibri" w:cs="Calibri"/>
          <w:color w:val="0E101A"/>
        </w:rPr>
        <w:t>(Norwich and Eaton, 2015). Although the framework offers a thorough approach to assisting SEND students, systemic support and sufficient funding are necessary to ensure constant and efficient implementation.</w:t>
      </w:r>
      <w:r w:rsidRPr="0034290B">
        <w:rPr>
          <w:rStyle w:val="apple-converted-space"/>
          <w:rFonts w:ascii="Calibri" w:eastAsiaTheme="majorEastAsia" w:hAnsi="Calibri" w:cs="Calibri"/>
          <w:color w:val="0E101A"/>
        </w:rPr>
        <w:t> </w:t>
      </w:r>
    </w:p>
    <w:p w14:paraId="586934F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39BAA98" w14:textId="0F0EA64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To support children and young people with special educational needs and disabilities, the Departments of Education and Health (2015) have developed the Special Educational Needs and Disability (SEND) Code of Practice</w:t>
      </w:r>
      <w:r w:rsidRPr="0034290B">
        <w:rPr>
          <w:rStyle w:val="apple-converted-space"/>
          <w:rFonts w:ascii="Calibri" w:eastAsiaTheme="majorEastAsia" w:hAnsi="Calibri" w:cs="Calibri"/>
          <w:color w:val="0E101A"/>
        </w:rPr>
        <w:t> </w:t>
      </w:r>
      <w:r w:rsidRPr="0034290B">
        <w:rPr>
          <w:rFonts w:ascii="Calibri" w:hAnsi="Calibri" w:cs="Calibri"/>
          <w:color w:val="0E101A"/>
        </w:rPr>
        <w:t>0</w:t>
      </w:r>
      <w:r w:rsidRPr="0034290B">
        <w:rPr>
          <w:rStyle w:val="apple-converted-space"/>
          <w:rFonts w:ascii="Calibri" w:eastAsiaTheme="majorEastAsia" w:hAnsi="Calibri" w:cs="Calibri"/>
          <w:color w:val="0E101A"/>
        </w:rPr>
        <w:t> </w:t>
      </w:r>
      <w:r w:rsidRPr="0034290B">
        <w:rPr>
          <w:rFonts w:ascii="Calibri" w:hAnsi="Calibri" w:cs="Calibri"/>
          <w:color w:val="0E101A"/>
        </w:rPr>
        <w:t>to 25 years, which offers a systematic framework. The methodology focuses on the Assess, Plan, Do, and Review cycle to guarantee tailored interventions and progress tracking for contusions. Critical assessments</w:t>
      </w:r>
      <w:r w:rsidRPr="0034290B">
        <w:rPr>
          <w:rFonts w:ascii="Calibri" w:hAnsi="Calibri" w:cs="Calibri"/>
          <w:color w:val="0E101A"/>
        </w:rPr>
        <w:t>. H</w:t>
      </w:r>
      <w:r w:rsidRPr="0034290B">
        <w:rPr>
          <w:rFonts w:ascii="Calibri" w:hAnsi="Calibri" w:cs="Calibri"/>
          <w:color w:val="0E101A"/>
        </w:rPr>
        <w:t>owever, point out several implementation-related difficulties, such as a lack of resources and insufficient money and</w:t>
      </w:r>
      <w:r w:rsidRPr="0034290B">
        <w:rPr>
          <w:rStyle w:val="apple-converted-space"/>
          <w:rFonts w:ascii="Calibri" w:eastAsiaTheme="majorEastAsia" w:hAnsi="Calibri" w:cs="Calibri"/>
          <w:color w:val="0E101A"/>
        </w:rPr>
        <w:t> </w:t>
      </w:r>
      <w:r w:rsidRPr="0034290B">
        <w:rPr>
          <w:rFonts w:ascii="Calibri" w:hAnsi="Calibri" w:cs="Calibri"/>
          <w:color w:val="0E101A"/>
        </w:rPr>
        <w:t>staffing in schools</w:t>
      </w:r>
      <w:r w:rsidRPr="0034290B">
        <w:rPr>
          <w:rStyle w:val="apple-converted-space"/>
          <w:rFonts w:ascii="Calibri" w:eastAsiaTheme="majorEastAsia" w:hAnsi="Calibri" w:cs="Calibri"/>
          <w:color w:val="0E101A"/>
        </w:rPr>
        <w:t> </w:t>
      </w:r>
      <w:r w:rsidRPr="0034290B">
        <w:rPr>
          <w:rFonts w:ascii="Calibri" w:hAnsi="Calibri" w:cs="Calibri"/>
          <w:color w:val="0E101A"/>
        </w:rPr>
        <w:t xml:space="preserve">(Castor-kemp et al., 2019). Moreover, cooperative efforts between educators, experts, and families are crucial for efficient implementation, and these </w:t>
      </w:r>
      <w:r w:rsidRPr="0034290B">
        <w:rPr>
          <w:rFonts w:ascii="Calibri" w:hAnsi="Calibri" w:cs="Calibri"/>
          <w:color w:val="0E101A"/>
        </w:rPr>
        <w:lastRenderedPageBreak/>
        <w:t>efforts can range significantly between locations and contexts (Dallymore, 2019). Although the framework takes a comprehensive approach, its effectiveness could be improved by its implementation's financial strains and growing costs, as highlighted by recent talks (BBC News, 2023). These elements highlight the continuous need for adequate funding and systematic assistance to maximise the framework's effectiveness and guarantee fair support for all children and adolescents with SEND.</w:t>
      </w:r>
    </w:p>
    <w:p w14:paraId="3AE4826F" w14:textId="77777777" w:rsidR="00D15E66" w:rsidRPr="0034290B" w:rsidRDefault="00D15E66" w:rsidP="0034290B">
      <w:pPr>
        <w:spacing w:line="360" w:lineRule="auto"/>
        <w:rPr>
          <w:rFonts w:ascii="Calibri" w:hAnsi="Calibri" w:cs="Calibri"/>
          <w:b/>
          <w:bCs/>
          <w:color w:val="000000"/>
          <w:u w:val="single"/>
        </w:rPr>
      </w:pPr>
    </w:p>
    <w:p w14:paraId="79C8F237" w14:textId="77777777" w:rsidR="0034290B" w:rsidRDefault="0034290B" w:rsidP="0034290B">
      <w:pPr>
        <w:spacing w:line="360" w:lineRule="auto"/>
        <w:rPr>
          <w:rFonts w:ascii="Calibri" w:hAnsi="Calibri" w:cs="Calibri"/>
          <w:b/>
          <w:bCs/>
          <w:color w:val="000000"/>
          <w:u w:val="single"/>
        </w:rPr>
      </w:pPr>
    </w:p>
    <w:p w14:paraId="497DF1D0" w14:textId="77777777" w:rsidR="0034290B" w:rsidRDefault="0034290B" w:rsidP="0034290B">
      <w:pPr>
        <w:spacing w:line="360" w:lineRule="auto"/>
        <w:rPr>
          <w:rFonts w:ascii="Calibri" w:hAnsi="Calibri" w:cs="Calibri"/>
          <w:b/>
          <w:bCs/>
          <w:color w:val="000000"/>
          <w:u w:val="single"/>
        </w:rPr>
      </w:pPr>
    </w:p>
    <w:p w14:paraId="35C1A925" w14:textId="77777777" w:rsidR="0034290B" w:rsidRDefault="0034290B" w:rsidP="0034290B">
      <w:pPr>
        <w:spacing w:line="360" w:lineRule="auto"/>
        <w:rPr>
          <w:rFonts w:ascii="Calibri" w:hAnsi="Calibri" w:cs="Calibri"/>
          <w:b/>
          <w:bCs/>
          <w:color w:val="000000"/>
          <w:u w:val="single"/>
        </w:rPr>
      </w:pPr>
    </w:p>
    <w:p w14:paraId="70A588B0" w14:textId="77777777" w:rsidR="0034290B" w:rsidRDefault="0034290B" w:rsidP="0034290B">
      <w:pPr>
        <w:spacing w:line="360" w:lineRule="auto"/>
        <w:rPr>
          <w:rFonts w:ascii="Calibri" w:hAnsi="Calibri" w:cs="Calibri"/>
          <w:b/>
          <w:bCs/>
          <w:color w:val="000000"/>
          <w:u w:val="single"/>
        </w:rPr>
      </w:pPr>
    </w:p>
    <w:p w14:paraId="70111E0C" w14:textId="77777777" w:rsidR="0034290B" w:rsidRDefault="0034290B" w:rsidP="0034290B">
      <w:pPr>
        <w:spacing w:line="360" w:lineRule="auto"/>
        <w:rPr>
          <w:rFonts w:ascii="Calibri" w:hAnsi="Calibri" w:cs="Calibri"/>
          <w:b/>
          <w:bCs/>
          <w:color w:val="000000"/>
          <w:u w:val="single"/>
        </w:rPr>
      </w:pPr>
    </w:p>
    <w:p w14:paraId="21A68F6A" w14:textId="77777777" w:rsidR="0034290B" w:rsidRDefault="0034290B" w:rsidP="0034290B">
      <w:pPr>
        <w:spacing w:line="360" w:lineRule="auto"/>
        <w:rPr>
          <w:rFonts w:ascii="Calibri" w:hAnsi="Calibri" w:cs="Calibri"/>
          <w:b/>
          <w:bCs/>
          <w:color w:val="000000"/>
          <w:u w:val="single"/>
        </w:rPr>
      </w:pPr>
    </w:p>
    <w:p w14:paraId="47931724" w14:textId="77777777" w:rsidR="0034290B" w:rsidRDefault="0034290B" w:rsidP="0034290B">
      <w:pPr>
        <w:spacing w:line="360" w:lineRule="auto"/>
        <w:rPr>
          <w:rFonts w:ascii="Calibri" w:hAnsi="Calibri" w:cs="Calibri"/>
          <w:b/>
          <w:bCs/>
          <w:color w:val="000000"/>
          <w:u w:val="single"/>
        </w:rPr>
      </w:pPr>
    </w:p>
    <w:p w14:paraId="1923820E" w14:textId="77777777" w:rsidR="0034290B" w:rsidRDefault="0034290B" w:rsidP="0034290B">
      <w:pPr>
        <w:spacing w:line="360" w:lineRule="auto"/>
        <w:rPr>
          <w:rFonts w:ascii="Calibri" w:hAnsi="Calibri" w:cs="Calibri"/>
          <w:b/>
          <w:bCs/>
          <w:color w:val="000000"/>
          <w:u w:val="single"/>
        </w:rPr>
      </w:pPr>
    </w:p>
    <w:p w14:paraId="157CFEC7" w14:textId="77777777" w:rsidR="0034290B" w:rsidRDefault="0034290B" w:rsidP="0034290B">
      <w:pPr>
        <w:spacing w:line="360" w:lineRule="auto"/>
        <w:rPr>
          <w:rFonts w:ascii="Calibri" w:hAnsi="Calibri" w:cs="Calibri"/>
          <w:b/>
          <w:bCs/>
          <w:color w:val="000000"/>
          <w:u w:val="single"/>
        </w:rPr>
      </w:pPr>
    </w:p>
    <w:p w14:paraId="5564A065" w14:textId="77777777" w:rsidR="0034290B" w:rsidRDefault="0034290B" w:rsidP="0034290B">
      <w:pPr>
        <w:spacing w:line="360" w:lineRule="auto"/>
        <w:rPr>
          <w:rFonts w:ascii="Calibri" w:hAnsi="Calibri" w:cs="Calibri"/>
          <w:b/>
          <w:bCs/>
          <w:color w:val="000000"/>
          <w:u w:val="single"/>
        </w:rPr>
      </w:pPr>
    </w:p>
    <w:p w14:paraId="5225DB75" w14:textId="77777777" w:rsidR="0034290B" w:rsidRDefault="0034290B" w:rsidP="0034290B">
      <w:pPr>
        <w:spacing w:line="360" w:lineRule="auto"/>
        <w:rPr>
          <w:rFonts w:ascii="Calibri" w:hAnsi="Calibri" w:cs="Calibri"/>
          <w:b/>
          <w:bCs/>
          <w:color w:val="000000"/>
          <w:u w:val="single"/>
        </w:rPr>
      </w:pPr>
    </w:p>
    <w:p w14:paraId="4EFACFEF" w14:textId="77777777" w:rsidR="0034290B" w:rsidRDefault="0034290B" w:rsidP="0034290B">
      <w:pPr>
        <w:spacing w:line="360" w:lineRule="auto"/>
        <w:rPr>
          <w:rFonts w:ascii="Calibri" w:hAnsi="Calibri" w:cs="Calibri"/>
          <w:b/>
          <w:bCs/>
          <w:color w:val="000000"/>
          <w:u w:val="single"/>
        </w:rPr>
      </w:pPr>
    </w:p>
    <w:p w14:paraId="542B904A" w14:textId="77777777" w:rsidR="0034290B" w:rsidRDefault="0034290B" w:rsidP="0034290B">
      <w:pPr>
        <w:spacing w:line="360" w:lineRule="auto"/>
        <w:rPr>
          <w:rFonts w:ascii="Calibri" w:hAnsi="Calibri" w:cs="Calibri"/>
          <w:b/>
          <w:bCs/>
          <w:color w:val="000000"/>
          <w:u w:val="single"/>
        </w:rPr>
      </w:pPr>
    </w:p>
    <w:p w14:paraId="33296669" w14:textId="77777777" w:rsidR="0034290B" w:rsidRDefault="0034290B" w:rsidP="0034290B">
      <w:pPr>
        <w:spacing w:line="360" w:lineRule="auto"/>
        <w:rPr>
          <w:rFonts w:ascii="Calibri" w:hAnsi="Calibri" w:cs="Calibri"/>
          <w:b/>
          <w:bCs/>
          <w:color w:val="000000"/>
          <w:u w:val="single"/>
        </w:rPr>
      </w:pPr>
    </w:p>
    <w:p w14:paraId="06C16066" w14:textId="77777777" w:rsidR="0034290B" w:rsidRDefault="0034290B" w:rsidP="0034290B">
      <w:pPr>
        <w:spacing w:line="360" w:lineRule="auto"/>
        <w:rPr>
          <w:rFonts w:ascii="Calibri" w:hAnsi="Calibri" w:cs="Calibri"/>
          <w:b/>
          <w:bCs/>
          <w:color w:val="000000"/>
          <w:u w:val="single"/>
        </w:rPr>
      </w:pPr>
    </w:p>
    <w:p w14:paraId="4BF26FE4" w14:textId="77777777" w:rsidR="0034290B" w:rsidRDefault="0034290B" w:rsidP="0034290B">
      <w:pPr>
        <w:spacing w:line="360" w:lineRule="auto"/>
        <w:rPr>
          <w:rFonts w:ascii="Calibri" w:hAnsi="Calibri" w:cs="Calibri"/>
          <w:b/>
          <w:bCs/>
          <w:color w:val="000000"/>
          <w:u w:val="single"/>
        </w:rPr>
      </w:pPr>
    </w:p>
    <w:p w14:paraId="63DA0FE5" w14:textId="77777777" w:rsidR="0034290B" w:rsidRDefault="0034290B" w:rsidP="0034290B">
      <w:pPr>
        <w:spacing w:line="360" w:lineRule="auto"/>
        <w:rPr>
          <w:rFonts w:ascii="Calibri" w:hAnsi="Calibri" w:cs="Calibri"/>
          <w:b/>
          <w:bCs/>
          <w:color w:val="000000"/>
          <w:u w:val="single"/>
        </w:rPr>
      </w:pPr>
    </w:p>
    <w:p w14:paraId="131D0514" w14:textId="77777777" w:rsidR="0034290B" w:rsidRDefault="0034290B" w:rsidP="0034290B">
      <w:pPr>
        <w:spacing w:line="360" w:lineRule="auto"/>
        <w:rPr>
          <w:rFonts w:ascii="Calibri" w:hAnsi="Calibri" w:cs="Calibri"/>
          <w:b/>
          <w:bCs/>
          <w:color w:val="000000"/>
          <w:u w:val="single"/>
        </w:rPr>
      </w:pPr>
    </w:p>
    <w:p w14:paraId="6CD16C8E" w14:textId="77777777" w:rsidR="0034290B" w:rsidRDefault="0034290B" w:rsidP="0034290B">
      <w:pPr>
        <w:spacing w:line="360" w:lineRule="auto"/>
        <w:rPr>
          <w:rFonts w:ascii="Calibri" w:hAnsi="Calibri" w:cs="Calibri"/>
          <w:b/>
          <w:bCs/>
          <w:color w:val="000000"/>
          <w:u w:val="single"/>
        </w:rPr>
      </w:pPr>
    </w:p>
    <w:p w14:paraId="2E63ED5B" w14:textId="77777777" w:rsidR="0034290B" w:rsidRDefault="0034290B" w:rsidP="0034290B">
      <w:pPr>
        <w:spacing w:line="360" w:lineRule="auto"/>
        <w:rPr>
          <w:rFonts w:ascii="Calibri" w:hAnsi="Calibri" w:cs="Calibri"/>
          <w:b/>
          <w:bCs/>
          <w:color w:val="000000"/>
          <w:u w:val="single"/>
        </w:rPr>
      </w:pPr>
    </w:p>
    <w:p w14:paraId="64E9E9A7" w14:textId="77777777" w:rsidR="0034290B" w:rsidRDefault="0034290B" w:rsidP="0034290B">
      <w:pPr>
        <w:spacing w:line="360" w:lineRule="auto"/>
        <w:rPr>
          <w:rFonts w:ascii="Calibri" w:hAnsi="Calibri" w:cs="Calibri"/>
          <w:b/>
          <w:bCs/>
          <w:color w:val="000000"/>
          <w:u w:val="single"/>
        </w:rPr>
      </w:pPr>
    </w:p>
    <w:p w14:paraId="5B56B7D2" w14:textId="77777777" w:rsidR="0034290B" w:rsidRDefault="0034290B" w:rsidP="0034290B">
      <w:pPr>
        <w:spacing w:line="360" w:lineRule="auto"/>
        <w:rPr>
          <w:rFonts w:ascii="Calibri" w:hAnsi="Calibri" w:cs="Calibri"/>
          <w:b/>
          <w:bCs/>
          <w:color w:val="000000"/>
          <w:u w:val="single"/>
        </w:rPr>
      </w:pPr>
    </w:p>
    <w:p w14:paraId="5332008A" w14:textId="77777777" w:rsidR="0034290B" w:rsidRDefault="0034290B" w:rsidP="0034290B">
      <w:pPr>
        <w:spacing w:line="360" w:lineRule="auto"/>
        <w:rPr>
          <w:rFonts w:ascii="Calibri" w:hAnsi="Calibri" w:cs="Calibri"/>
          <w:b/>
          <w:bCs/>
          <w:color w:val="000000"/>
          <w:u w:val="single"/>
        </w:rPr>
      </w:pPr>
    </w:p>
    <w:p w14:paraId="2DE29F2A" w14:textId="77777777" w:rsidR="0034290B" w:rsidRDefault="0034290B" w:rsidP="0034290B">
      <w:pPr>
        <w:spacing w:line="360" w:lineRule="auto"/>
        <w:rPr>
          <w:rFonts w:ascii="Calibri" w:hAnsi="Calibri" w:cs="Calibri"/>
          <w:b/>
          <w:bCs/>
          <w:color w:val="000000"/>
          <w:u w:val="single"/>
        </w:rPr>
      </w:pPr>
    </w:p>
    <w:p w14:paraId="4F2541C7" w14:textId="77777777" w:rsidR="0034290B" w:rsidRDefault="0034290B" w:rsidP="0034290B">
      <w:pPr>
        <w:spacing w:line="360" w:lineRule="auto"/>
        <w:rPr>
          <w:rFonts w:ascii="Calibri" w:hAnsi="Calibri" w:cs="Calibri"/>
          <w:b/>
          <w:bCs/>
          <w:color w:val="000000"/>
          <w:u w:val="single"/>
        </w:rPr>
      </w:pPr>
    </w:p>
    <w:p w14:paraId="55B3B131" w14:textId="40DF3C9E" w:rsidR="00FC28D4" w:rsidRPr="0034290B" w:rsidRDefault="00CC4959" w:rsidP="0034290B">
      <w:pPr>
        <w:spacing w:line="360" w:lineRule="auto"/>
        <w:rPr>
          <w:rFonts w:ascii="Calibri" w:hAnsi="Calibri" w:cs="Calibri"/>
          <w:color w:val="000000"/>
        </w:rPr>
      </w:pPr>
      <w:r w:rsidRPr="0034290B">
        <w:rPr>
          <w:rFonts w:ascii="Calibri" w:hAnsi="Calibri" w:cs="Calibri"/>
          <w:b/>
          <w:bCs/>
          <w:color w:val="000000"/>
          <w:u w:val="single"/>
        </w:rPr>
        <w:lastRenderedPageBreak/>
        <w:t xml:space="preserve">Promoting inclusive Leadership in an Early Years Setting </w:t>
      </w:r>
    </w:p>
    <w:p w14:paraId="495BBF72" w14:textId="77777777" w:rsidR="00CC4959" w:rsidRPr="0034290B" w:rsidRDefault="00CC4959" w:rsidP="0034290B">
      <w:pPr>
        <w:spacing w:line="360" w:lineRule="auto"/>
        <w:rPr>
          <w:rFonts w:ascii="Calibri" w:hAnsi="Calibri" w:cs="Calibri"/>
          <w:color w:val="000000"/>
        </w:rPr>
      </w:pPr>
    </w:p>
    <w:p w14:paraId="64D1573F"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Do we do enough to support inclusive leadership for families and children?</w:t>
      </w:r>
    </w:p>
    <w:p w14:paraId="4E0D03FF" w14:textId="77777777" w:rsidR="00D15E66" w:rsidRPr="0034290B" w:rsidRDefault="00D15E66" w:rsidP="0034290B">
      <w:pPr>
        <w:spacing w:line="360" w:lineRule="auto"/>
        <w:rPr>
          <w:rFonts w:ascii="Calibri" w:hAnsi="Calibri" w:cs="Calibri"/>
          <w:color w:val="000000"/>
        </w:rPr>
      </w:pPr>
    </w:p>
    <w:p w14:paraId="645F2DFE" w14:textId="0D80264A"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As an early </w:t>
      </w:r>
      <w:r w:rsidRPr="0034290B">
        <w:rPr>
          <w:rFonts w:ascii="Calibri" w:hAnsi="Calibri" w:cs="Calibri"/>
          <w:color w:val="000000"/>
        </w:rPr>
        <w:t>year’s</w:t>
      </w:r>
      <w:r w:rsidRPr="0034290B">
        <w:rPr>
          <w:rFonts w:ascii="Calibri" w:hAnsi="Calibri" w:cs="Calibri"/>
          <w:color w:val="000000"/>
        </w:rPr>
        <w:t xml:space="preserve"> educator, I have witnessed firsthand the transformative power of inclusive leadership in creating a nurturing and supportive environment for all children (Nutbrown, 2019). Inclusive leadership is not just about accommodating diversity; it is about celebrating it and ensuring that every child feels valued, respected, and empowered to reach their full potential, as "every individual is worthy of belonging."</w:t>
      </w:r>
    </w:p>
    <w:p w14:paraId="03958957" w14:textId="77777777" w:rsidR="0034290B" w:rsidRDefault="0034290B" w:rsidP="0034290B">
      <w:pPr>
        <w:spacing w:line="360" w:lineRule="auto"/>
        <w:rPr>
          <w:rFonts w:ascii="Calibri" w:hAnsi="Calibri" w:cs="Calibri"/>
          <w:color w:val="000000"/>
        </w:rPr>
      </w:pPr>
    </w:p>
    <w:p w14:paraId="34A39A27" w14:textId="7FB2A5F4"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Here are my thoughts on promoting inclusive leadership in an early-year setting.</w:t>
      </w:r>
    </w:p>
    <w:p w14:paraId="035D92A1" w14:textId="77777777" w:rsidR="00D15E66" w:rsidRPr="0034290B" w:rsidRDefault="00D15E66" w:rsidP="0034290B">
      <w:pPr>
        <w:spacing w:line="360" w:lineRule="auto"/>
        <w:rPr>
          <w:rFonts w:ascii="Calibri" w:hAnsi="Calibri" w:cs="Calibri"/>
          <w:color w:val="000000"/>
        </w:rPr>
      </w:pPr>
    </w:p>
    <w:p w14:paraId="37CED067"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Concurring with Siraj-Blatchford and Mani's (2007) promoting inclusive leadership in early years settings involves creating environments that accommodate all children, fostering positive attitudes towards diversity, and implementing inclusive practices. One key aspect is designing physical environments that are accessible and welcoming to all children, including those with disabilities (Knowles and Lander, 2011). This involves ensuring that classrooms have adaptive furniture, sensory-friendly spaces, and materials catering to various learning styles and abilities. Furthermore, a study by Fisher et al. (2014) proves that the visual environment should reflect diversity, with posters, books, and resources showcasing different cultures, languages, and family structures. An inclusive physical environment signals to children and their families that everyone is valued and included. </w:t>
      </w:r>
    </w:p>
    <w:p w14:paraId="141DD5D0" w14:textId="77777777" w:rsidR="00D15E66" w:rsidRPr="0034290B" w:rsidRDefault="00D15E66" w:rsidP="0034290B">
      <w:pPr>
        <w:spacing w:line="360" w:lineRule="auto"/>
        <w:rPr>
          <w:rFonts w:ascii="Calibri" w:hAnsi="Calibri" w:cs="Calibri"/>
          <w:color w:val="000000"/>
        </w:rPr>
      </w:pPr>
    </w:p>
    <w:p w14:paraId="57A05099"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Attitudes towards diversity and inclusion play a crucial role in shaping an inclusive early-year setting (Odom et al., 2011). Leaders must model and promote positive attitudes by respecting and appreciating differences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xml:space="preserve">, 2016). "Leaders are those who build inclusive spaces". This can be achieved through professional development programs focusing on empathy, cultural competence, and anti-bias education. Encouraging staff to reflect on their attitudes and biases helps create a more inclusive mindset. Besides, according to O'Sullivan (2015), fostering an open and supportive atmosphere where staff feel comfortable discussing challenges and sharing best practices is essential. By cultivating </w:t>
      </w:r>
      <w:r w:rsidRPr="0034290B">
        <w:rPr>
          <w:rFonts w:ascii="Calibri" w:hAnsi="Calibri" w:cs="Calibri"/>
          <w:color w:val="000000"/>
        </w:rPr>
        <w:lastRenderedPageBreak/>
        <w:t xml:space="preserve">positive attitudes, leaders can inspire their teams to embrace diversity and work collaboratively towards inclusive goals </w:t>
      </w:r>
      <w:proofErr w:type="spellStart"/>
      <w:r w:rsidRPr="0034290B">
        <w:rPr>
          <w:rFonts w:ascii="Calibri" w:hAnsi="Calibri" w:cs="Calibri"/>
          <w:color w:val="000000"/>
        </w:rPr>
        <w:t>Precey</w:t>
      </w:r>
      <w:proofErr w:type="spellEnd"/>
      <w:r w:rsidRPr="0034290B">
        <w:rPr>
          <w:rFonts w:ascii="Calibri" w:hAnsi="Calibri" w:cs="Calibri"/>
          <w:color w:val="000000"/>
        </w:rPr>
        <w:t xml:space="preserve"> (2011). </w:t>
      </w:r>
    </w:p>
    <w:p w14:paraId="3C40D4B9" w14:textId="77777777" w:rsidR="00D15E66" w:rsidRPr="0034290B" w:rsidRDefault="00D15E66" w:rsidP="0034290B">
      <w:pPr>
        <w:spacing w:line="360" w:lineRule="auto"/>
        <w:rPr>
          <w:rFonts w:ascii="Calibri" w:hAnsi="Calibri" w:cs="Calibri"/>
          <w:color w:val="000000"/>
        </w:rPr>
      </w:pPr>
    </w:p>
    <w:p w14:paraId="1E2DA090"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Are we using our resources and skills enough in schools?</w:t>
      </w:r>
    </w:p>
    <w:p w14:paraId="5775889B" w14:textId="77777777" w:rsidR="00D15E66" w:rsidRPr="0034290B" w:rsidRDefault="00D15E66" w:rsidP="0034290B">
      <w:pPr>
        <w:spacing w:line="360" w:lineRule="auto"/>
        <w:rPr>
          <w:rFonts w:ascii="Calibri" w:hAnsi="Calibri" w:cs="Calibri"/>
          <w:color w:val="000000"/>
        </w:rPr>
      </w:pPr>
    </w:p>
    <w:p w14:paraId="53068969" w14:textId="183E0BA4"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Inclusive practices ensure that all children have equitable learning opportunities and bloom (Wilson, 2014). One practical practice is differentiated instruction, where teachers tailor their teaching methods and material to meet the diverse needs of their students. This might involve using various instructional strategies, such as visual aids, hands-on activities, allowing pupil voice, and technology to support different learning styles</w:t>
      </w:r>
      <w:r w:rsidR="00AF2F4D" w:rsidRPr="0034290B">
        <w:rPr>
          <w:rFonts w:ascii="Calibri" w:hAnsi="Calibri" w:cs="Calibri"/>
          <w:color w:val="000000"/>
        </w:rPr>
        <w:t xml:space="preserve"> (Hall, Meyer, and Rose,2012). </w:t>
      </w:r>
      <w:r w:rsidRPr="0034290B">
        <w:rPr>
          <w:rFonts w:ascii="Calibri" w:hAnsi="Calibri" w:cs="Calibri"/>
          <w:color w:val="000000"/>
        </w:rPr>
        <w:t>Additionally, inclusive practices should include regular assessments to identify and address any barriers to learning</w:t>
      </w:r>
      <w:r w:rsidR="00AF2F4D" w:rsidRPr="0034290B">
        <w:rPr>
          <w:rFonts w:ascii="Calibri" w:hAnsi="Calibri" w:cs="Calibri"/>
          <w:color w:val="000000"/>
        </w:rPr>
        <w:t xml:space="preserve"> (Fielding,2001)</w:t>
      </w:r>
      <w:r w:rsidRPr="0034290B">
        <w:rPr>
          <w:rFonts w:ascii="Calibri" w:hAnsi="Calibri" w:cs="Calibri"/>
          <w:color w:val="000000"/>
        </w:rPr>
        <w:t>. Providing additional support, such as speech therapy, occupational therapy, or individual education plans (IEPs)</w:t>
      </w:r>
      <w:r w:rsidR="00AF2F4D" w:rsidRPr="0034290B">
        <w:rPr>
          <w:rFonts w:ascii="Calibri" w:hAnsi="Calibri" w:cs="Calibri"/>
          <w:color w:val="000000"/>
        </w:rPr>
        <w:t xml:space="preserve"> </w:t>
      </w:r>
      <w:r w:rsidR="00AF2F4D" w:rsidRPr="0034290B">
        <w:rPr>
          <w:rFonts w:ascii="Calibri" w:hAnsi="Calibri" w:cs="Calibri"/>
          <w:color w:val="000000"/>
        </w:rPr>
        <w:t>Justice (2006)</w:t>
      </w:r>
      <w:r w:rsidRPr="0034290B">
        <w:rPr>
          <w:rFonts w:ascii="Calibri" w:hAnsi="Calibri" w:cs="Calibri"/>
          <w:color w:val="000000"/>
        </w:rPr>
        <w:t>, ensures that all children receive the assistance they need to succeed</w:t>
      </w:r>
      <w:r w:rsidR="00AF2F4D" w:rsidRPr="0034290B">
        <w:rPr>
          <w:rFonts w:ascii="Calibri" w:hAnsi="Calibri" w:cs="Calibri"/>
          <w:color w:val="000000"/>
        </w:rPr>
        <w:t>, Hanft and Shepherd (2008).</w:t>
      </w:r>
    </w:p>
    <w:p w14:paraId="3CD25896" w14:textId="77777777" w:rsidR="00D15E66" w:rsidRPr="0034290B" w:rsidRDefault="00D15E66" w:rsidP="0034290B">
      <w:pPr>
        <w:spacing w:line="360" w:lineRule="auto"/>
        <w:rPr>
          <w:rFonts w:ascii="Calibri" w:hAnsi="Calibri" w:cs="Calibri"/>
          <w:color w:val="000000"/>
        </w:rPr>
      </w:pPr>
    </w:p>
    <w:p w14:paraId="6C9D4B5B"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How can practitioners engage communities and families in their children's education?</w:t>
      </w:r>
    </w:p>
    <w:p w14:paraId="6960CC3B" w14:textId="77777777" w:rsidR="00D15E66" w:rsidRPr="0034290B" w:rsidRDefault="00D15E66" w:rsidP="0034290B">
      <w:pPr>
        <w:spacing w:line="360" w:lineRule="auto"/>
        <w:rPr>
          <w:rFonts w:ascii="Calibri" w:hAnsi="Calibri" w:cs="Calibri"/>
          <w:color w:val="000000"/>
        </w:rPr>
      </w:pPr>
    </w:p>
    <w:p w14:paraId="4187DC1C" w14:textId="2C0FD26B"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Incorporating family and community involvement into early years settings is another critical inclusive practice. Leaders should establish strong communication channels with families, ensuring they are informed and engaged in their child's education. </w:t>
      </w:r>
      <w:proofErr w:type="spellStart"/>
      <w:r w:rsidRPr="0034290B">
        <w:rPr>
          <w:rFonts w:ascii="Calibri" w:hAnsi="Calibri" w:cs="Calibri"/>
          <w:color w:val="000000"/>
        </w:rPr>
        <w:t>Dr.</w:t>
      </w:r>
      <w:proofErr w:type="spellEnd"/>
      <w:r w:rsidRPr="0034290B">
        <w:rPr>
          <w:rFonts w:ascii="Calibri" w:hAnsi="Calibri" w:cs="Calibri"/>
          <w:color w:val="000000"/>
        </w:rPr>
        <w:t xml:space="preserve"> Margy Whalley emphasised the importance of parental engagement in early childhood education by stating that practitioners only interact with a small segment of the family without involving parents. For parents to be embedded and sustained, it is crucial to co-construct the educational experience with parents, ensuring effective engagement and collaboration with the entire family unit</w:t>
      </w:r>
      <w:r w:rsidR="002832BB" w:rsidRPr="0034290B">
        <w:rPr>
          <w:rFonts w:ascii="Calibri" w:hAnsi="Calibri" w:cs="Calibri"/>
          <w:color w:val="000000"/>
        </w:rPr>
        <w:t xml:space="preserve"> Ainscow and </w:t>
      </w:r>
      <w:proofErr w:type="spellStart"/>
      <w:r w:rsidR="002832BB" w:rsidRPr="0034290B">
        <w:rPr>
          <w:rFonts w:ascii="Calibri" w:hAnsi="Calibri" w:cs="Calibri"/>
          <w:color w:val="000000"/>
        </w:rPr>
        <w:t>Sandill</w:t>
      </w:r>
      <w:proofErr w:type="spellEnd"/>
      <w:r w:rsidR="002832BB" w:rsidRPr="0034290B">
        <w:rPr>
          <w:rFonts w:ascii="Calibri" w:hAnsi="Calibri" w:cs="Calibri"/>
          <w:color w:val="000000"/>
        </w:rPr>
        <w:t xml:space="preserve"> (2010).</w:t>
      </w:r>
      <w:r w:rsidRPr="0034290B">
        <w:rPr>
          <w:rFonts w:ascii="Calibri" w:hAnsi="Calibri" w:cs="Calibri"/>
          <w:color w:val="000000"/>
        </w:rPr>
        <w:t xml:space="preserve"> This can include regular newsletters, parent-teacher conferences, and family workshops. Inviting families to share their cultural traditions and participate in classroom activities promotes a sense of belonging and enriches the learning experience for all children</w:t>
      </w:r>
      <w:r w:rsidR="002832BB" w:rsidRPr="0034290B">
        <w:rPr>
          <w:rFonts w:ascii="Calibri" w:hAnsi="Calibri" w:cs="Calibri"/>
          <w:color w:val="000000"/>
        </w:rPr>
        <w:t xml:space="preserve"> Sanders (2006)</w:t>
      </w:r>
      <w:r w:rsidRPr="0034290B">
        <w:rPr>
          <w:rFonts w:ascii="Calibri" w:hAnsi="Calibri" w:cs="Calibri"/>
          <w:color w:val="000000"/>
        </w:rPr>
        <w:t xml:space="preserve">. Collaborating with community organisations and services also provides additional resources and support for children and families, further enhancing the inclusivity of the setting (NSPCC, 2021), which is why Families First addresses aims at enhancing outcomes for children, young people, and families (Clough, 1999). The </w:t>
      </w:r>
      <w:r w:rsidRPr="0034290B">
        <w:rPr>
          <w:rFonts w:ascii="Calibri" w:hAnsi="Calibri" w:cs="Calibri"/>
          <w:color w:val="000000"/>
        </w:rPr>
        <w:lastRenderedPageBreak/>
        <w:t>program focuses on prevention and early intervention, mainly targeting impoverished families (Welsh Government, 2017).</w:t>
      </w:r>
    </w:p>
    <w:p w14:paraId="1413EE7F" w14:textId="77777777" w:rsidR="00D15E66" w:rsidRPr="0034290B" w:rsidRDefault="00D15E66" w:rsidP="0034290B">
      <w:pPr>
        <w:spacing w:line="360" w:lineRule="auto"/>
        <w:rPr>
          <w:rFonts w:ascii="Calibri" w:hAnsi="Calibri" w:cs="Calibri"/>
          <w:color w:val="000000"/>
        </w:rPr>
      </w:pPr>
    </w:p>
    <w:p w14:paraId="74261615" w14:textId="65A09AFC"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As a final point, creating a supportive and inclusive climate is an ongoing process that requires commitment and continuous improvement</w:t>
      </w:r>
      <w:r w:rsidR="00117A2F" w:rsidRPr="0034290B">
        <w:rPr>
          <w:rFonts w:ascii="Calibri" w:hAnsi="Calibri" w:cs="Calibri"/>
          <w:color w:val="000000"/>
        </w:rPr>
        <w:t xml:space="preserve"> Ryan (2006).</w:t>
      </w:r>
      <w:r w:rsidRPr="0034290B">
        <w:rPr>
          <w:rFonts w:ascii="Calibri" w:hAnsi="Calibri" w:cs="Calibri"/>
          <w:color w:val="000000"/>
        </w:rPr>
        <w:t xml:space="preserve"> Leaders should regularly evaluate their policies and practices to ensure they align with inclusive values and make necessary adjustments based on staff, families, and children's feedback</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Theoharis</w:t>
      </w:r>
      <w:proofErr w:type="spellEnd"/>
      <w:r w:rsidR="00B20E9B" w:rsidRPr="0034290B">
        <w:rPr>
          <w:rFonts w:ascii="Calibri" w:hAnsi="Calibri" w:cs="Calibri"/>
          <w:color w:val="000000"/>
        </w:rPr>
        <w:t xml:space="preserve"> (2007)</w:t>
      </w:r>
      <w:r w:rsidRPr="0034290B">
        <w:rPr>
          <w:rFonts w:ascii="Calibri" w:hAnsi="Calibri" w:cs="Calibri"/>
          <w:color w:val="000000"/>
        </w:rPr>
        <w:t>. Encouraging a culture of continuous learning and reflection helps maintain high standards of inclusivity: "Teams that are thriving and executing at a high level are strategically enabled by inclusive leadership"</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Leithwood</w:t>
      </w:r>
      <w:proofErr w:type="spellEnd"/>
      <w:r w:rsidR="00B20E9B" w:rsidRPr="0034290B">
        <w:rPr>
          <w:rFonts w:ascii="Calibri" w:hAnsi="Calibri" w:cs="Calibri"/>
          <w:color w:val="000000"/>
        </w:rPr>
        <w:t xml:space="preserve"> and </w:t>
      </w:r>
      <w:proofErr w:type="spellStart"/>
      <w:r w:rsidR="00B20E9B" w:rsidRPr="0034290B">
        <w:rPr>
          <w:rFonts w:ascii="Calibri" w:hAnsi="Calibri" w:cs="Calibri"/>
          <w:color w:val="000000"/>
        </w:rPr>
        <w:t>Jantzi</w:t>
      </w:r>
      <w:proofErr w:type="spellEnd"/>
      <w:r w:rsidR="00B20E9B" w:rsidRPr="0034290B">
        <w:rPr>
          <w:rFonts w:ascii="Calibri" w:hAnsi="Calibri" w:cs="Calibri"/>
          <w:color w:val="000000"/>
        </w:rPr>
        <w:t xml:space="preserve"> (2009)</w:t>
      </w:r>
      <w:r w:rsidRPr="0034290B">
        <w:rPr>
          <w:rFonts w:ascii="Calibri" w:hAnsi="Calibri" w:cs="Calibri"/>
          <w:color w:val="000000"/>
        </w:rPr>
        <w:t>. By practising inclusive environments, attitudes, and practices</w:t>
      </w:r>
      <w:r w:rsidR="00C852E8" w:rsidRPr="0034290B">
        <w:rPr>
          <w:rFonts w:ascii="Calibri" w:hAnsi="Calibri" w:cs="Calibri"/>
          <w:color w:val="000000"/>
        </w:rPr>
        <w:t xml:space="preserve"> Maslow (1943), </w:t>
      </w:r>
      <w:r w:rsidRPr="0034290B">
        <w:rPr>
          <w:rFonts w:ascii="Calibri" w:hAnsi="Calibri" w:cs="Calibri"/>
          <w:color w:val="000000"/>
        </w:rPr>
        <w:t>early years settings can create a nurturing and equitable space where every child feels valued and empowered to reach their full potential</w:t>
      </w:r>
      <w:r w:rsidR="00B20E9B" w:rsidRPr="0034290B">
        <w:rPr>
          <w:rFonts w:ascii="Calibri" w:hAnsi="Calibri" w:cs="Calibri"/>
          <w:color w:val="000000"/>
        </w:rPr>
        <w:t xml:space="preserve"> Spillane, Halverson, and Diamond (2001)</w:t>
      </w:r>
      <w:r w:rsidRPr="0034290B">
        <w:rPr>
          <w:rFonts w:ascii="Calibri" w:hAnsi="Calibri" w:cs="Calibri"/>
          <w:color w:val="000000"/>
        </w:rPr>
        <w:t>.</w:t>
      </w:r>
    </w:p>
    <w:p w14:paraId="0EFB3C26" w14:textId="77777777" w:rsidR="00D15E66" w:rsidRPr="0034290B" w:rsidRDefault="00D15E66" w:rsidP="0034290B">
      <w:pPr>
        <w:spacing w:line="360" w:lineRule="auto"/>
        <w:rPr>
          <w:rFonts w:ascii="Calibri" w:hAnsi="Calibri" w:cs="Calibri"/>
          <w:b/>
          <w:bCs/>
          <w:color w:val="000000"/>
          <w:u w:val="single"/>
        </w:rPr>
      </w:pPr>
    </w:p>
    <w:p w14:paraId="2D5B33F4" w14:textId="77777777" w:rsidR="00D15E66" w:rsidRPr="0034290B" w:rsidRDefault="00D15E66" w:rsidP="0034290B">
      <w:pPr>
        <w:spacing w:line="360" w:lineRule="auto"/>
        <w:rPr>
          <w:rFonts w:ascii="Calibri" w:hAnsi="Calibri" w:cs="Calibri"/>
          <w:b/>
          <w:bCs/>
          <w:color w:val="000000"/>
          <w:u w:val="single"/>
        </w:rPr>
      </w:pPr>
    </w:p>
    <w:p w14:paraId="4B9E8091" w14:textId="77777777" w:rsidR="00D15E66" w:rsidRPr="0034290B" w:rsidRDefault="00D15E66" w:rsidP="0034290B">
      <w:pPr>
        <w:spacing w:line="360" w:lineRule="auto"/>
        <w:rPr>
          <w:rFonts w:ascii="Calibri" w:hAnsi="Calibri" w:cs="Calibri"/>
          <w:b/>
          <w:bCs/>
          <w:color w:val="000000"/>
          <w:u w:val="single"/>
        </w:rPr>
      </w:pPr>
    </w:p>
    <w:p w14:paraId="7FA2FAB4" w14:textId="77777777" w:rsidR="00D15E66" w:rsidRPr="0034290B" w:rsidRDefault="00D15E66" w:rsidP="0034290B">
      <w:pPr>
        <w:spacing w:line="360" w:lineRule="auto"/>
        <w:rPr>
          <w:rFonts w:ascii="Calibri" w:hAnsi="Calibri" w:cs="Calibri"/>
          <w:b/>
          <w:bCs/>
          <w:color w:val="000000"/>
          <w:u w:val="single"/>
        </w:rPr>
      </w:pPr>
    </w:p>
    <w:p w14:paraId="098C5CED" w14:textId="77777777" w:rsidR="00D15E66" w:rsidRPr="0034290B" w:rsidRDefault="00D15E66" w:rsidP="0034290B">
      <w:pPr>
        <w:spacing w:line="360" w:lineRule="auto"/>
        <w:rPr>
          <w:rFonts w:ascii="Calibri" w:hAnsi="Calibri" w:cs="Calibri"/>
          <w:b/>
          <w:bCs/>
          <w:color w:val="000000"/>
          <w:u w:val="single"/>
        </w:rPr>
      </w:pPr>
    </w:p>
    <w:p w14:paraId="67D145FC" w14:textId="77777777" w:rsidR="00D15E66" w:rsidRDefault="00D15E66">
      <w:pPr>
        <w:rPr>
          <w:rFonts w:ascii="Kohinoor Devanagari" w:hAnsi="Kohinoor Devanagari" w:cs="Kohinoor Devanagari"/>
          <w:b/>
          <w:bCs/>
          <w:color w:val="000000"/>
          <w:u w:val="single"/>
        </w:rPr>
      </w:pPr>
    </w:p>
    <w:p w14:paraId="018DB54B" w14:textId="77777777" w:rsidR="00D15E66" w:rsidRDefault="00D15E66">
      <w:pPr>
        <w:rPr>
          <w:rFonts w:ascii="Kohinoor Devanagari" w:hAnsi="Kohinoor Devanagari" w:cs="Kohinoor Devanagari"/>
          <w:b/>
          <w:bCs/>
          <w:color w:val="000000"/>
          <w:u w:val="single"/>
        </w:rPr>
      </w:pPr>
    </w:p>
    <w:p w14:paraId="6D0AA75B" w14:textId="77777777" w:rsidR="00BD76EA" w:rsidRDefault="00BD76EA">
      <w:pPr>
        <w:rPr>
          <w:rFonts w:ascii="Kohinoor Devanagari" w:hAnsi="Kohinoor Devanagari" w:cs="Kohinoor Devanagari"/>
          <w:b/>
          <w:bCs/>
          <w:color w:val="000000"/>
          <w:u w:val="single"/>
        </w:rPr>
      </w:pPr>
    </w:p>
    <w:p w14:paraId="342CEB10" w14:textId="77777777" w:rsidR="00882C86" w:rsidRDefault="00882C86">
      <w:pPr>
        <w:rPr>
          <w:rFonts w:ascii="Kohinoor Devanagari" w:hAnsi="Kohinoor Devanagari" w:cs="Kohinoor Devanagari"/>
          <w:b/>
          <w:bCs/>
          <w:color w:val="000000"/>
          <w:u w:val="single"/>
        </w:rPr>
      </w:pPr>
    </w:p>
    <w:p w14:paraId="273510B5" w14:textId="77777777" w:rsidR="00882C86" w:rsidRDefault="00882C86">
      <w:pPr>
        <w:rPr>
          <w:rFonts w:ascii="Kohinoor Devanagari" w:hAnsi="Kohinoor Devanagari" w:cs="Kohinoor Devanagari"/>
          <w:b/>
          <w:bCs/>
          <w:color w:val="000000"/>
          <w:u w:val="single"/>
        </w:rPr>
      </w:pPr>
    </w:p>
    <w:p w14:paraId="48BD5012" w14:textId="77777777" w:rsidR="00882C86" w:rsidRDefault="00882C86">
      <w:pPr>
        <w:rPr>
          <w:rFonts w:ascii="Kohinoor Devanagari" w:hAnsi="Kohinoor Devanagari" w:cs="Kohinoor Devanagari"/>
          <w:b/>
          <w:bCs/>
          <w:color w:val="000000"/>
          <w:u w:val="single"/>
        </w:rPr>
      </w:pPr>
    </w:p>
    <w:p w14:paraId="4D545CE5" w14:textId="77777777" w:rsidR="00882C86" w:rsidRDefault="00882C86">
      <w:pPr>
        <w:rPr>
          <w:rFonts w:ascii="Kohinoor Devanagari" w:hAnsi="Kohinoor Devanagari" w:cs="Kohinoor Devanagari"/>
          <w:b/>
          <w:bCs/>
          <w:color w:val="000000"/>
          <w:u w:val="single"/>
        </w:rPr>
      </w:pPr>
    </w:p>
    <w:p w14:paraId="202ACF07" w14:textId="77777777" w:rsidR="00882C86" w:rsidRDefault="00882C86">
      <w:pPr>
        <w:rPr>
          <w:rFonts w:ascii="Kohinoor Devanagari" w:hAnsi="Kohinoor Devanagari" w:cs="Kohinoor Devanagari"/>
          <w:b/>
          <w:bCs/>
          <w:color w:val="000000"/>
          <w:u w:val="single"/>
        </w:rPr>
      </w:pPr>
    </w:p>
    <w:p w14:paraId="5A2853A2" w14:textId="77777777" w:rsidR="000C4337" w:rsidRDefault="000C4337">
      <w:pPr>
        <w:rPr>
          <w:rFonts w:ascii="Kohinoor Devanagari" w:hAnsi="Kohinoor Devanagari" w:cs="Kohinoor Devanagari"/>
          <w:b/>
          <w:bCs/>
          <w:color w:val="000000"/>
          <w:u w:val="single"/>
        </w:rPr>
      </w:pPr>
    </w:p>
    <w:p w14:paraId="10AA8996" w14:textId="77777777" w:rsidR="00BE4D51" w:rsidRDefault="00BE4D51">
      <w:pPr>
        <w:rPr>
          <w:rFonts w:ascii="Kohinoor Devanagari" w:hAnsi="Kohinoor Devanagari" w:cs="Kohinoor Devanagari"/>
          <w:b/>
          <w:bCs/>
          <w:color w:val="000000"/>
          <w:u w:val="single"/>
        </w:rPr>
      </w:pPr>
    </w:p>
    <w:p w14:paraId="6286F337" w14:textId="77777777" w:rsidR="00BE4D51" w:rsidRDefault="00BE4D51">
      <w:pPr>
        <w:rPr>
          <w:rFonts w:ascii="Kohinoor Devanagari" w:hAnsi="Kohinoor Devanagari" w:cs="Kohinoor Devanagari"/>
          <w:b/>
          <w:bCs/>
          <w:color w:val="000000"/>
          <w:u w:val="single"/>
        </w:rPr>
      </w:pPr>
    </w:p>
    <w:p w14:paraId="5E8CE519" w14:textId="77777777" w:rsidR="00BE4D51" w:rsidRDefault="00BE4D51">
      <w:pPr>
        <w:rPr>
          <w:rFonts w:ascii="Kohinoor Devanagari" w:hAnsi="Kohinoor Devanagari" w:cs="Kohinoor Devanagari"/>
          <w:b/>
          <w:bCs/>
          <w:color w:val="000000"/>
          <w:u w:val="single"/>
        </w:rPr>
      </w:pPr>
    </w:p>
    <w:p w14:paraId="034A367B" w14:textId="77777777" w:rsidR="00BE4D51" w:rsidRDefault="00BE4D51">
      <w:pPr>
        <w:rPr>
          <w:rFonts w:ascii="Kohinoor Devanagari" w:hAnsi="Kohinoor Devanagari" w:cs="Kohinoor Devanagari"/>
          <w:b/>
          <w:bCs/>
          <w:color w:val="000000"/>
          <w:u w:val="single"/>
        </w:rPr>
      </w:pPr>
    </w:p>
    <w:p w14:paraId="3BE189F8" w14:textId="77777777" w:rsidR="00BE4D51" w:rsidRDefault="00BE4D51">
      <w:pPr>
        <w:rPr>
          <w:rFonts w:ascii="Kohinoor Devanagari" w:hAnsi="Kohinoor Devanagari" w:cs="Kohinoor Devanagari"/>
          <w:b/>
          <w:bCs/>
          <w:color w:val="000000"/>
          <w:u w:val="single"/>
        </w:rPr>
      </w:pPr>
    </w:p>
    <w:p w14:paraId="244F7E49" w14:textId="77777777" w:rsidR="00BE4D51" w:rsidRDefault="00BE4D51">
      <w:pPr>
        <w:rPr>
          <w:rFonts w:ascii="Kohinoor Devanagari" w:hAnsi="Kohinoor Devanagari" w:cs="Kohinoor Devanagari"/>
          <w:b/>
          <w:bCs/>
          <w:color w:val="000000"/>
          <w:u w:val="single"/>
        </w:rPr>
      </w:pPr>
    </w:p>
    <w:p w14:paraId="32C03468" w14:textId="77777777" w:rsidR="0034290B" w:rsidRDefault="0034290B">
      <w:pPr>
        <w:rPr>
          <w:rFonts w:ascii="Kohinoor Devanagari" w:hAnsi="Kohinoor Devanagari" w:cs="Kohinoor Devanagari"/>
          <w:b/>
          <w:bCs/>
          <w:color w:val="000000"/>
          <w:u w:val="single"/>
        </w:rPr>
      </w:pPr>
    </w:p>
    <w:p w14:paraId="1FCAC289" w14:textId="1AC28049" w:rsidR="0001513A" w:rsidRPr="000B77E7" w:rsidRDefault="000B77E7">
      <w:pPr>
        <w:rPr>
          <w:rFonts w:ascii="Kohinoor Devanagari" w:hAnsi="Kohinoor Devanagari" w:cs="Kohinoor Devanagari"/>
          <w:b/>
          <w:bCs/>
          <w:color w:val="000000"/>
          <w:u w:val="single"/>
        </w:rPr>
      </w:pPr>
      <w:r w:rsidRPr="000B77E7">
        <w:rPr>
          <w:rFonts w:ascii="Kohinoor Devanagari" w:hAnsi="Kohinoor Devanagari" w:cs="Kohinoor Devanagari"/>
          <w:b/>
          <w:bCs/>
          <w:color w:val="000000"/>
          <w:u w:val="single"/>
        </w:rPr>
        <w:lastRenderedPageBreak/>
        <w:t>References</w:t>
      </w:r>
      <w:r w:rsidR="0001513A" w:rsidRPr="000B77E7">
        <w:rPr>
          <w:rFonts w:ascii="Kohinoor Devanagari" w:hAnsi="Kohinoor Devanagari" w:cs="Kohinoor Devanagari"/>
          <w:b/>
          <w:bCs/>
          <w:color w:val="000000"/>
          <w:u w:val="single"/>
        </w:rPr>
        <w:t xml:space="preserve"> </w:t>
      </w:r>
    </w:p>
    <w:p w14:paraId="314683B3" w14:textId="56D0A70A" w:rsidR="002832BB" w:rsidRDefault="002832BB" w:rsidP="000B77E7">
      <w:pPr>
        <w:pStyle w:val="NormalWeb"/>
        <w:rPr>
          <w:color w:val="000000" w:themeColor="text1"/>
        </w:rPr>
      </w:pPr>
      <w:r>
        <w:rPr>
          <w:color w:val="000000" w:themeColor="text1"/>
        </w:rPr>
        <w:t>Ainscow, M., &amp;</w:t>
      </w:r>
      <w:proofErr w:type="spellStart"/>
      <w:r>
        <w:rPr>
          <w:color w:val="000000" w:themeColor="text1"/>
        </w:rPr>
        <w:t>Sandill</w:t>
      </w:r>
      <w:proofErr w:type="spellEnd"/>
      <w:r>
        <w:rPr>
          <w:color w:val="000000" w:themeColor="text1"/>
        </w:rPr>
        <w:t xml:space="preserve">, A. (2010). </w:t>
      </w:r>
      <w:r w:rsidR="00850D2F">
        <w:rPr>
          <w:color w:val="000000" w:themeColor="text1"/>
        </w:rPr>
        <w:t>Developing</w:t>
      </w:r>
      <w:r>
        <w:rPr>
          <w:color w:val="000000" w:themeColor="text1"/>
        </w:rPr>
        <w:t xml:space="preserve"> </w:t>
      </w:r>
      <w:r w:rsidR="00850D2F">
        <w:rPr>
          <w:color w:val="000000" w:themeColor="text1"/>
        </w:rPr>
        <w:t>inclusive</w:t>
      </w:r>
      <w:r>
        <w:rPr>
          <w:color w:val="000000" w:themeColor="text1"/>
        </w:rPr>
        <w:t xml:space="preserve"> education systems: The role of organisational </w:t>
      </w:r>
      <w:proofErr w:type="spellStart"/>
      <w:r>
        <w:rPr>
          <w:color w:val="000000" w:themeColor="text1"/>
        </w:rPr>
        <w:t>culites</w:t>
      </w:r>
      <w:proofErr w:type="spellEnd"/>
      <w:r>
        <w:rPr>
          <w:color w:val="000000" w:themeColor="text1"/>
        </w:rPr>
        <w:t xml:space="preserve"> and leadership. </w:t>
      </w:r>
      <w:r w:rsidR="00850D2F">
        <w:rPr>
          <w:color w:val="000000" w:themeColor="text1"/>
        </w:rPr>
        <w:t>International</w:t>
      </w:r>
      <w:r>
        <w:rPr>
          <w:color w:val="000000" w:themeColor="text1"/>
        </w:rPr>
        <w:t xml:space="preserve"> </w:t>
      </w:r>
      <w:r w:rsidR="00850D2F">
        <w:rPr>
          <w:color w:val="000000" w:themeColor="text1"/>
        </w:rPr>
        <w:t>Journal</w:t>
      </w:r>
      <w:r>
        <w:rPr>
          <w:color w:val="000000" w:themeColor="text1"/>
        </w:rPr>
        <w:t xml:space="preserve"> of Inclusive Education, 14(4), 401-416. (Accessed: 12 June 2024). </w:t>
      </w:r>
    </w:p>
    <w:p w14:paraId="20751707" w14:textId="7937254B" w:rsidR="00AE6079" w:rsidRPr="00F57AC3" w:rsidRDefault="00AE6079" w:rsidP="000B77E7">
      <w:pPr>
        <w:pStyle w:val="NormalWeb"/>
        <w:rPr>
          <w:color w:val="000000" w:themeColor="text1"/>
        </w:rPr>
      </w:pPr>
      <w:proofErr w:type="spellStart"/>
      <w:r w:rsidRPr="00F57AC3">
        <w:rPr>
          <w:color w:val="000000" w:themeColor="text1"/>
        </w:rPr>
        <w:t>Ashikail</w:t>
      </w:r>
      <w:proofErr w:type="spellEnd"/>
      <w:r w:rsidRPr="00F57AC3">
        <w:rPr>
          <w:color w:val="000000" w:themeColor="text1"/>
        </w:rPr>
        <w:t xml:space="preserve">, T., Groeneveld, S. and Kuipers, B. (2021). The Role of Inclusive Leadership in Supporting an Inclusive Climate in Diverse Public Sector Teams. Review of Public Personnel Administration, 41(3), 497-519. (Accessed 11 June 2024). </w:t>
      </w:r>
    </w:p>
    <w:p w14:paraId="6F63489E" w14:textId="47012E80" w:rsidR="008629BA" w:rsidRPr="00F57AC3" w:rsidRDefault="008629BA" w:rsidP="000B77E7">
      <w:pPr>
        <w:pStyle w:val="NormalWeb"/>
        <w:rPr>
          <w:color w:val="000000" w:themeColor="text1"/>
        </w:rPr>
      </w:pPr>
      <w:r w:rsidRPr="00F57AC3">
        <w:rPr>
          <w:color w:val="000000" w:themeColor="text1"/>
        </w:rPr>
        <w:t>Armstrong, D. (2006). Dreaming our future: Developing democratic professional practice?</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Australian Educational Researcher</w:t>
      </w:r>
      <w:r w:rsidRPr="00F57AC3">
        <w:rPr>
          <w:color w:val="000000" w:themeColor="text1"/>
        </w:rPr>
        <w:t>,</w:t>
      </w:r>
      <w:r w:rsidRPr="00F57AC3">
        <w:rPr>
          <w:rStyle w:val="apple-converted-space"/>
          <w:rFonts w:eastAsiaTheme="majorEastAsia"/>
          <w:color w:val="000000" w:themeColor="text1"/>
        </w:rPr>
        <w:t> </w:t>
      </w:r>
      <w:hyperlink r:id="rId7" w:tgtFrame="_blank" w:history="1">
        <w:r w:rsidRPr="00F57AC3">
          <w:rPr>
            <w:rStyle w:val="Hyperlink"/>
            <w:rFonts w:eastAsiaTheme="majorEastAsia"/>
            <w:color w:val="000000" w:themeColor="text1"/>
            <w:u w:val="none"/>
          </w:rPr>
          <w:t>33</w:t>
        </w:r>
      </w:hyperlink>
      <w:r w:rsidRPr="00F57AC3">
        <w:rPr>
          <w:color w:val="000000" w:themeColor="text1"/>
        </w:rPr>
        <w:t>(</w:t>
      </w:r>
      <w:hyperlink r:id="rId8" w:tgtFrame="_blank" w:history="1">
        <w:r w:rsidRPr="00F57AC3">
          <w:rPr>
            <w:rStyle w:val="Hyperlink"/>
            <w:rFonts w:eastAsiaTheme="majorEastAsia"/>
            <w:color w:val="000000" w:themeColor="text1"/>
            <w:u w:val="none"/>
          </w:rPr>
          <w:t>3</w:t>
        </w:r>
      </w:hyperlink>
      <w:r w:rsidRPr="00F57AC3">
        <w:rPr>
          <w:color w:val="000000" w:themeColor="text1"/>
        </w:rPr>
        <w:t>), 1–11</w:t>
      </w:r>
      <w:r w:rsidRPr="00F57AC3">
        <w:rPr>
          <w:color w:val="000000" w:themeColor="text1"/>
        </w:rPr>
        <w:t xml:space="preserve"> (Accessed: 11 June 2024)</w:t>
      </w:r>
    </w:p>
    <w:p w14:paraId="6B7CCD93" w14:textId="4EE5D813" w:rsidR="00CC6057" w:rsidRPr="00F57AC3" w:rsidRDefault="00CC6057" w:rsidP="000B77E7">
      <w:pPr>
        <w:pStyle w:val="NormalWeb"/>
        <w:rPr>
          <w:color w:val="000000"/>
        </w:rPr>
      </w:pPr>
      <w:r w:rsidRPr="00F57AC3">
        <w:rPr>
          <w:color w:val="000000"/>
        </w:rPr>
        <w:t>Aubrey, C. (2011). Leading and managing in early years. SAGE publications. (Accessed: 07 June 2024).</w:t>
      </w:r>
    </w:p>
    <w:p w14:paraId="1890775B" w14:textId="123D8599" w:rsidR="00244989" w:rsidRDefault="00244989" w:rsidP="00244989">
      <w:pPr>
        <w:pStyle w:val="NormalWeb"/>
        <w:rPr>
          <w:color w:val="000000"/>
        </w:rPr>
      </w:pPr>
      <w:proofErr w:type="spellStart"/>
      <w:r>
        <w:rPr>
          <w:color w:val="000000"/>
        </w:rPr>
        <w:t>Baldcock</w:t>
      </w:r>
      <w:proofErr w:type="spellEnd"/>
      <w:r>
        <w:rPr>
          <w:color w:val="000000"/>
        </w:rPr>
        <w:t xml:space="preserve"> , B., Fitzgerald , D. and Kay, J. (2013)</w:t>
      </w:r>
      <w:r>
        <w:rPr>
          <w:rStyle w:val="apple-converted-space"/>
          <w:rFonts w:eastAsiaTheme="majorEastAsia"/>
          <w:color w:val="000000"/>
        </w:rPr>
        <w:t> </w:t>
      </w:r>
      <w:r>
        <w:rPr>
          <w:i/>
          <w:iCs/>
          <w:color w:val="000000"/>
        </w:rPr>
        <w:t>Understanding Early years Provision  | UWTSD</w:t>
      </w:r>
      <w:r>
        <w:rPr>
          <w:color w:val="000000"/>
        </w:rPr>
        <w:t>,</w:t>
      </w:r>
      <w:r>
        <w:rPr>
          <w:rStyle w:val="apple-converted-space"/>
          <w:rFonts w:eastAsiaTheme="majorEastAsia"/>
          <w:color w:val="000000"/>
        </w:rPr>
        <w:t> </w:t>
      </w:r>
      <w:proofErr w:type="gramStart"/>
      <w:r>
        <w:rPr>
          <w:i/>
          <w:iCs/>
          <w:color w:val="000000"/>
        </w:rPr>
        <w:t>What</w:t>
      </w:r>
      <w:proofErr w:type="gramEnd"/>
      <w:r>
        <w:rPr>
          <w:i/>
          <w:iCs/>
          <w:color w:val="000000"/>
        </w:rPr>
        <w:t xml:space="preserve"> is policy and why is it important?</w:t>
      </w:r>
      <w:r w:rsidR="00C73932">
        <w:rPr>
          <w:i/>
          <w:iCs/>
          <w:color w:val="000000"/>
        </w:rPr>
        <w:t xml:space="preserve"> Sage.</w:t>
      </w:r>
      <w:r>
        <w:rPr>
          <w:rStyle w:val="apple-converted-space"/>
          <w:rFonts w:eastAsiaTheme="majorEastAsia"/>
          <w:color w:val="000000"/>
        </w:rPr>
        <w:t> </w:t>
      </w:r>
      <w:r>
        <w:rPr>
          <w:color w:val="000000"/>
        </w:rPr>
        <w:t>Available at: https://www.uwtsd.ac.uk/library/student-essentials/online-resource-lists/ (Accessed: 12 June 2024).</w:t>
      </w:r>
      <w:r>
        <w:rPr>
          <w:rStyle w:val="apple-converted-space"/>
          <w:rFonts w:eastAsiaTheme="majorEastAsia"/>
          <w:color w:val="000000"/>
        </w:rPr>
        <w:t> </w:t>
      </w:r>
    </w:p>
    <w:p w14:paraId="131CC7E6" w14:textId="77777777" w:rsidR="00843E7A" w:rsidRDefault="00843E7A" w:rsidP="00843E7A">
      <w:pPr>
        <w:pStyle w:val="NormalWeb"/>
        <w:rPr>
          <w:color w:val="000000"/>
        </w:rPr>
      </w:pPr>
      <w:proofErr w:type="spellStart"/>
      <w:r>
        <w:rPr>
          <w:color w:val="000000"/>
        </w:rPr>
        <w:t>Batteiger</w:t>
      </w:r>
      <w:proofErr w:type="spellEnd"/>
      <w:r>
        <w:rPr>
          <w:color w:val="000000"/>
        </w:rPr>
        <w:t>, S. (2024)</w:t>
      </w:r>
      <w:r>
        <w:rPr>
          <w:rStyle w:val="apple-converted-space"/>
          <w:rFonts w:eastAsiaTheme="majorEastAsia"/>
          <w:color w:val="000000"/>
        </w:rPr>
        <w:t> </w:t>
      </w:r>
      <w:r>
        <w:rPr>
          <w:i/>
          <w:iCs/>
          <w:color w:val="000000"/>
        </w:rPr>
        <w:t>Inclusive leaders</w:t>
      </w:r>
      <w:r>
        <w:rPr>
          <w:color w:val="000000"/>
        </w:rPr>
        <w:t>,</w:t>
      </w:r>
      <w:r>
        <w:rPr>
          <w:rStyle w:val="apple-converted-space"/>
          <w:rFonts w:eastAsiaTheme="majorEastAsia"/>
          <w:color w:val="000000"/>
        </w:rPr>
        <w:t> </w:t>
      </w:r>
      <w:r>
        <w:rPr>
          <w:i/>
          <w:iCs/>
          <w:color w:val="000000"/>
        </w:rPr>
        <w:t>Inclusive Leaders</w:t>
      </w:r>
      <w:r>
        <w:rPr>
          <w:color w:val="000000"/>
        </w:rPr>
        <w:t>. Available at: https://inclusiveleaders.blog/ (Accessed: 12 June 2024).</w:t>
      </w:r>
      <w:r>
        <w:rPr>
          <w:rStyle w:val="apple-converted-space"/>
          <w:rFonts w:eastAsiaTheme="majorEastAsia"/>
          <w:color w:val="000000"/>
        </w:rPr>
        <w:t> </w:t>
      </w:r>
    </w:p>
    <w:p w14:paraId="5D625D83" w14:textId="0659109C" w:rsidR="00850D2F" w:rsidRPr="004970EF" w:rsidRDefault="00850D2F" w:rsidP="00850D2F">
      <w:pPr>
        <w:rPr>
          <w:rFonts w:ascii="Times New Roman" w:eastAsia="Times New Roman" w:hAnsi="Times New Roman" w:cs="Times New Roman"/>
          <w:kern w:val="0"/>
          <w:lang w:eastAsia="en-GB"/>
          <w14:ligatures w14:val="none"/>
        </w:rPr>
      </w:pPr>
      <w:r w:rsidRPr="004970EF">
        <w:rPr>
          <w:rFonts w:ascii="Times New Roman" w:hAnsi="Times New Roman" w:cs="Times New Roman"/>
          <w:color w:val="000000"/>
        </w:rPr>
        <w:t>BBC News. (2023). Councils struggle with rising costs of special needs plans. Available at:</w:t>
      </w:r>
      <w:r w:rsidRPr="004970EF">
        <w:rPr>
          <w:rFonts w:ascii="Times New Roman" w:eastAsia="Times New Roman" w:hAnsi="Times New Roman" w:cs="Times New Roman"/>
          <w:kern w:val="0"/>
          <w:lang w:eastAsia="en-GB"/>
          <w14:ligatures w14:val="none"/>
        </w:rPr>
        <w:t xml:space="preserve">  </w:t>
      </w:r>
      <w:hyperlink r:id="rId9" w:tgtFrame="_new" w:history="1">
        <w:r w:rsidRPr="004970EF">
          <w:rPr>
            <w:rFonts w:ascii="Times New Roman" w:eastAsia="Times New Roman" w:hAnsi="Times New Roman" w:cs="Times New Roman"/>
            <w:color w:val="0000FF"/>
            <w:kern w:val="0"/>
            <w:u w:val="single"/>
            <w:lang w:eastAsia="en-GB"/>
            <w14:ligatures w14:val="none"/>
          </w:rPr>
          <w:t>https://www.bbc.com/news/education-55512345</w:t>
        </w:r>
      </w:hyperlink>
      <w:r w:rsidRPr="004970EF">
        <w:rPr>
          <w:rFonts w:ascii="Times New Roman" w:eastAsia="Times New Roman" w:hAnsi="Times New Roman" w:cs="Times New Roman"/>
          <w:kern w:val="0"/>
          <w:lang w:eastAsia="en-GB"/>
          <w14:ligatures w14:val="none"/>
        </w:rPr>
        <w:t>. (Accessed: 15 June 2024).</w:t>
      </w:r>
    </w:p>
    <w:p w14:paraId="0D002193" w14:textId="671C3806" w:rsidR="00BD7B04" w:rsidRPr="00BD7B04" w:rsidRDefault="00BD7B04" w:rsidP="00BD7B04">
      <w:pPr>
        <w:pStyle w:val="NormalWeb"/>
        <w:rPr>
          <w:color w:val="000000"/>
        </w:rPr>
      </w:pPr>
      <w:r w:rsidRPr="00BD7B04">
        <w:rPr>
          <w:color w:val="000000"/>
        </w:rPr>
        <w:t xml:space="preserve">Bradbury, A. (2013) Education policy and the ‘ideal learner’: producing recognisable learner-subjects through early years assessment. </w:t>
      </w:r>
      <w:r w:rsidRPr="00BD7B04">
        <w:rPr>
          <w:i/>
          <w:iCs/>
          <w:color w:val="000000"/>
        </w:rPr>
        <w:t>British Journal of Sociology</w:t>
      </w:r>
      <w:r w:rsidRPr="00BD7B04">
        <w:rPr>
          <w:color w:val="000000"/>
        </w:rPr>
        <w:t>. 43 (11) pp- 1-19</w:t>
      </w:r>
      <w:r>
        <w:rPr>
          <w:color w:val="000000"/>
        </w:rPr>
        <w:t xml:space="preserve"> (Accessed 15 June 2024).</w:t>
      </w:r>
    </w:p>
    <w:p w14:paraId="78BCD827" w14:textId="340130C0" w:rsidR="008629BA" w:rsidRPr="00F57AC3" w:rsidRDefault="008629BA" w:rsidP="008629BA">
      <w:pPr>
        <w:pStyle w:val="NormalWeb"/>
        <w:rPr>
          <w:color w:val="000000"/>
        </w:rPr>
      </w:pPr>
      <w:r w:rsidRPr="00F57AC3">
        <w:rPr>
          <w:color w:val="000000"/>
        </w:rPr>
        <w:t>Bullen , P. (2023)</w:t>
      </w:r>
      <w:r w:rsidRPr="00F57AC3">
        <w:rPr>
          <w:rStyle w:val="apple-converted-space"/>
          <w:rFonts w:eastAsiaTheme="majorEastAsia"/>
          <w:color w:val="000000"/>
        </w:rPr>
        <w:t> </w:t>
      </w:r>
      <w:r w:rsidRPr="00F57AC3">
        <w:rPr>
          <w:i/>
          <w:iCs/>
          <w:color w:val="000000"/>
        </w:rPr>
        <w:t>How teachers are making school a safe place for refugee children to heal</w:t>
      </w:r>
      <w:r w:rsidRPr="00F57AC3">
        <w:rPr>
          <w:color w:val="000000"/>
        </w:rPr>
        <w:t>,</w:t>
      </w:r>
      <w:r w:rsidRPr="00F57AC3">
        <w:rPr>
          <w:rStyle w:val="apple-converted-space"/>
          <w:rFonts w:eastAsiaTheme="majorEastAsia"/>
          <w:color w:val="000000"/>
        </w:rPr>
        <w:t> </w:t>
      </w:r>
      <w:r w:rsidRPr="00F57AC3">
        <w:rPr>
          <w:i/>
          <w:iCs/>
          <w:color w:val="000000"/>
        </w:rPr>
        <w:t>The IRC</w:t>
      </w:r>
      <w:r w:rsidRPr="00F57AC3">
        <w:rPr>
          <w:color w:val="000000"/>
        </w:rPr>
        <w:t>. Available at: https://www.rescue.org/uk/article/how-teachers-are-making-school-safe-place-refugee-children-heal (Accessed: 11 June 2024).</w:t>
      </w:r>
      <w:r w:rsidRPr="00F57AC3">
        <w:rPr>
          <w:rStyle w:val="apple-converted-space"/>
          <w:rFonts w:eastAsiaTheme="majorEastAsia"/>
          <w:color w:val="000000"/>
        </w:rPr>
        <w:t> </w:t>
      </w:r>
    </w:p>
    <w:p w14:paraId="5C005CDF" w14:textId="1E8AA168" w:rsidR="001811A7" w:rsidRDefault="001811A7" w:rsidP="000B77E7">
      <w:pPr>
        <w:pStyle w:val="NormalWeb"/>
        <w:rPr>
          <w:color w:val="000000" w:themeColor="text1"/>
        </w:rPr>
      </w:pPr>
      <w:r>
        <w:rPr>
          <w:color w:val="000000" w:themeColor="text1"/>
        </w:rPr>
        <w:t xml:space="preserve">Castro-Kemp, S., &amp;Mahmud, A. (2019). Barriers to </w:t>
      </w:r>
      <w:r w:rsidR="00850D2F">
        <w:rPr>
          <w:color w:val="000000" w:themeColor="text1"/>
        </w:rPr>
        <w:t>inclusive</w:t>
      </w:r>
      <w:r>
        <w:rPr>
          <w:color w:val="000000" w:themeColor="text1"/>
        </w:rPr>
        <w:t xml:space="preserve"> education for young children with </w:t>
      </w:r>
      <w:r w:rsidR="00850D2F">
        <w:rPr>
          <w:color w:val="000000" w:themeColor="text1"/>
        </w:rPr>
        <w:t>special educational needs in England: The parents’ perspective. International Journal of Disability, Development and Educational, 66(1), 104-119.</w:t>
      </w:r>
    </w:p>
    <w:p w14:paraId="2F62D6DF" w14:textId="1911D40B" w:rsidR="00C73932" w:rsidRPr="00C73932" w:rsidRDefault="00C73932" w:rsidP="000B77E7">
      <w:pPr>
        <w:pStyle w:val="NormalWeb"/>
        <w:rPr>
          <w:color w:val="000000" w:themeColor="text1"/>
        </w:rPr>
      </w:pPr>
      <w:r w:rsidRPr="00C73932">
        <w:rPr>
          <w:color w:val="000000" w:themeColor="text1"/>
        </w:rPr>
        <w:t>Clough, P. ed., 1999. </w:t>
      </w:r>
      <w:r w:rsidRPr="00C73932">
        <w:rPr>
          <w:rStyle w:val="Emphasis"/>
          <w:rFonts w:eastAsiaTheme="majorEastAsia"/>
          <w:color w:val="000000" w:themeColor="text1"/>
        </w:rPr>
        <w:t>Managing inclusive education: from policy to experience</w:t>
      </w:r>
      <w:r w:rsidRPr="00C73932">
        <w:rPr>
          <w:color w:val="000000" w:themeColor="text1"/>
        </w:rPr>
        <w:t>. Sage.</w:t>
      </w:r>
      <w:r w:rsidRPr="00C73932">
        <w:rPr>
          <w:color w:val="000000" w:themeColor="text1"/>
        </w:rPr>
        <w:t xml:space="preserve"> (Accessed: 12 June 2024).</w:t>
      </w:r>
    </w:p>
    <w:p w14:paraId="32D15091" w14:textId="1E2A12A3" w:rsidR="00850D2F" w:rsidRDefault="00850D2F" w:rsidP="000B77E7">
      <w:pPr>
        <w:pStyle w:val="NormalWeb"/>
        <w:rPr>
          <w:color w:val="000000" w:themeColor="text1"/>
        </w:rPr>
      </w:pPr>
      <w:r>
        <w:rPr>
          <w:color w:val="000000" w:themeColor="text1"/>
        </w:rPr>
        <w:t xml:space="preserve">Dallymore, M. (2019). The impact of resource allocation on the implementation of EHC plans in schools. Journal of Special Educational Policy, 44(3), 214-230. (Accessed 15 June 2024). </w:t>
      </w:r>
    </w:p>
    <w:p w14:paraId="2E56E183" w14:textId="2DD3D64F" w:rsidR="00AE6079" w:rsidRPr="00F57AC3" w:rsidRDefault="00AE6079" w:rsidP="000B77E7">
      <w:pPr>
        <w:pStyle w:val="NormalWeb"/>
        <w:rPr>
          <w:color w:val="000000" w:themeColor="text1"/>
        </w:rPr>
      </w:pPr>
      <w:r w:rsidRPr="00F57AC3">
        <w:rPr>
          <w:color w:val="000000" w:themeColor="text1"/>
        </w:rPr>
        <w:t xml:space="preserve">Das, A. (2019). Diversity intelligence for inclusive leadership : a conceptual framework, Global Journal of Management and Business Research. 19(9), 12-18. (Accessed: 11 June </w:t>
      </w:r>
      <w:r w:rsidR="0073595F" w:rsidRPr="00F57AC3">
        <w:rPr>
          <w:color w:val="000000" w:themeColor="text1"/>
        </w:rPr>
        <w:t>1</w:t>
      </w:r>
      <w:r w:rsidRPr="00F57AC3">
        <w:rPr>
          <w:color w:val="000000" w:themeColor="text1"/>
        </w:rPr>
        <w:t>2024).</w:t>
      </w:r>
    </w:p>
    <w:p w14:paraId="4E0E8508" w14:textId="7BD8A5EC" w:rsidR="001811A7" w:rsidRDefault="001811A7" w:rsidP="000B77E7">
      <w:pPr>
        <w:pStyle w:val="NormalWeb"/>
        <w:rPr>
          <w:color w:val="000000" w:themeColor="text1"/>
        </w:rPr>
      </w:pPr>
      <w:r>
        <w:rPr>
          <w:color w:val="000000" w:themeColor="text1"/>
        </w:rPr>
        <w:lastRenderedPageBreak/>
        <w:t xml:space="preserve">Department for Education and Department of Health. (2015). Special educational needs and disability code of practice:0to 25 years. Available at : </w:t>
      </w:r>
      <w:hyperlink r:id="rId10" w:history="1">
        <w:r w:rsidRPr="00294337">
          <w:rPr>
            <w:rStyle w:val="Hyperlink"/>
          </w:rPr>
          <w:t>https://www.gov.uk/government/publications/send-code-of-practice-0-to-25</w:t>
        </w:r>
      </w:hyperlink>
      <w:r>
        <w:t xml:space="preserve">. (Accessed: 15 June 2024). </w:t>
      </w:r>
    </w:p>
    <w:p w14:paraId="52F77C1E" w14:textId="41AE12A8" w:rsidR="008629BA" w:rsidRPr="00F57AC3" w:rsidRDefault="008629BA" w:rsidP="000B77E7">
      <w:pPr>
        <w:pStyle w:val="NormalWeb"/>
        <w:rPr>
          <w:color w:val="000000" w:themeColor="text1"/>
        </w:rPr>
      </w:pPr>
      <w:r w:rsidRPr="00F57AC3">
        <w:rPr>
          <w:color w:val="000000" w:themeColor="text1"/>
        </w:rPr>
        <w:t>DiPaola, M. F., &amp; Walther-Thomas, C. (2003) Principals and special education: The critical role of school leaders (COPPSE Document No. IB-7). University of Florida Centre on Personnel Studies in Special</w:t>
      </w:r>
      <w:r w:rsidRPr="00F57AC3">
        <w:rPr>
          <w:rStyle w:val="apple-converted-space"/>
          <w:rFonts w:eastAsiaTheme="majorEastAsia"/>
          <w:color w:val="000000" w:themeColor="text1"/>
        </w:rPr>
        <w:t> </w:t>
      </w:r>
      <w:r w:rsidRPr="00F57AC3">
        <w:rPr>
          <w:rStyle w:val="apple-converted-space"/>
          <w:rFonts w:eastAsiaTheme="majorEastAsia"/>
          <w:color w:val="000000" w:themeColor="text1"/>
        </w:rPr>
        <w:t>(Accessed: 11 June 2024).</w:t>
      </w:r>
    </w:p>
    <w:p w14:paraId="4C5C3301" w14:textId="24594221" w:rsidR="00501EF5" w:rsidRDefault="00501EF5" w:rsidP="000B77E7">
      <w:pPr>
        <w:pStyle w:val="NormalWeb"/>
        <w:rPr>
          <w:color w:val="000000"/>
        </w:rPr>
      </w:pPr>
      <w:r>
        <w:rPr>
          <w:color w:val="000000"/>
        </w:rPr>
        <w:t>Fielding, M. (2001). Beyond the rhetoric of student voice: New departures or new constraints in the transformation of 21</w:t>
      </w:r>
      <w:r w:rsidRPr="00501EF5">
        <w:rPr>
          <w:color w:val="000000"/>
          <w:vertAlign w:val="superscript"/>
        </w:rPr>
        <w:t>st</w:t>
      </w:r>
      <w:r>
        <w:rPr>
          <w:color w:val="000000"/>
        </w:rPr>
        <w:t>-centuray schooling? Forum for Promoting 3-19 Comprehensive Education, 43(2), 100-110. (Accessed: 10 June 2024).</w:t>
      </w:r>
    </w:p>
    <w:p w14:paraId="49DF2BB5" w14:textId="7E7AA18E" w:rsidR="00DC7480" w:rsidRPr="00F57AC3" w:rsidRDefault="00DC7480" w:rsidP="000B77E7">
      <w:pPr>
        <w:pStyle w:val="NormalWeb"/>
        <w:rPr>
          <w:color w:val="000000"/>
        </w:rPr>
      </w:pPr>
      <w:r w:rsidRPr="00F57AC3">
        <w:rPr>
          <w:color w:val="000000"/>
        </w:rPr>
        <w:t xml:space="preserve">Ferdman, B. M. (2014). The practice of </w:t>
      </w:r>
      <w:r w:rsidR="00BD354A" w:rsidRPr="00F57AC3">
        <w:rPr>
          <w:color w:val="000000"/>
        </w:rPr>
        <w:t>inclusion</w:t>
      </w:r>
      <w:r w:rsidRPr="00F57AC3">
        <w:rPr>
          <w:color w:val="000000"/>
        </w:rPr>
        <w:t xml:space="preserve"> in diverse organisations: Toward a systemic and inclusive framework. In B. M. Ferdman &amp; B.R. Deane (Eds.), Diversity at work: The practice of </w:t>
      </w:r>
      <w:r w:rsidR="00BD354A" w:rsidRPr="00F57AC3">
        <w:rPr>
          <w:color w:val="000000"/>
        </w:rPr>
        <w:t xml:space="preserve">inclusion </w:t>
      </w:r>
      <w:r w:rsidRPr="00F57AC3">
        <w:rPr>
          <w:color w:val="000000"/>
        </w:rPr>
        <w:t>(pp.</w:t>
      </w:r>
      <w:r w:rsidR="00BD354A" w:rsidRPr="00F57AC3">
        <w:rPr>
          <w:color w:val="000000"/>
        </w:rPr>
        <w:t xml:space="preserve">3-54). San Francisco, </w:t>
      </w:r>
      <w:proofErr w:type="spellStart"/>
      <w:r w:rsidR="00BD354A" w:rsidRPr="00F57AC3">
        <w:rPr>
          <w:color w:val="000000"/>
        </w:rPr>
        <w:t>CA:Jossey-Bass</w:t>
      </w:r>
      <w:proofErr w:type="spellEnd"/>
      <w:r w:rsidR="00BD354A" w:rsidRPr="00F57AC3">
        <w:rPr>
          <w:color w:val="000000"/>
        </w:rPr>
        <w:t xml:space="preserve">. </w:t>
      </w:r>
      <w:r w:rsidR="00501EF5">
        <w:rPr>
          <w:color w:val="000000"/>
        </w:rPr>
        <w:t>(Accessed: 10 June 2024).</w:t>
      </w:r>
    </w:p>
    <w:p w14:paraId="34BE90A2" w14:textId="39C87119" w:rsidR="00E60157" w:rsidRPr="00E60157" w:rsidRDefault="00E60157" w:rsidP="00F57AC3">
      <w:pPr>
        <w:pStyle w:val="NormalWeb"/>
        <w:rPr>
          <w:color w:val="000000" w:themeColor="text1"/>
          <w:sz w:val="22"/>
          <w:szCs w:val="22"/>
        </w:rPr>
      </w:pPr>
      <w:r w:rsidRPr="00E60157">
        <w:rPr>
          <w:rStyle w:val="author"/>
          <w:rFonts w:eastAsiaTheme="majorEastAsia"/>
          <w:color w:val="000000" w:themeColor="text1"/>
          <w:sz w:val="21"/>
          <w:szCs w:val="21"/>
        </w:rPr>
        <w:t>Fisher, A. V.</w:t>
      </w:r>
      <w:r w:rsidRPr="00E60157">
        <w:rPr>
          <w:color w:val="000000" w:themeColor="text1"/>
          <w:sz w:val="21"/>
          <w:szCs w:val="21"/>
          <w:shd w:val="clear" w:color="auto" w:fill="FFFFFF"/>
        </w:rPr>
        <w:t>,</w:t>
      </w:r>
      <w:r w:rsidRPr="00E60157">
        <w:rPr>
          <w:rStyle w:val="apple-converted-space"/>
          <w:rFonts w:eastAsiaTheme="majorEastAsia"/>
          <w:color w:val="000000" w:themeColor="text1"/>
          <w:sz w:val="21"/>
          <w:szCs w:val="21"/>
          <w:shd w:val="clear" w:color="auto" w:fill="FFFFFF"/>
        </w:rPr>
        <w:t> </w:t>
      </w:r>
      <w:r w:rsidRPr="00E60157">
        <w:rPr>
          <w:rStyle w:val="author"/>
          <w:rFonts w:eastAsiaTheme="majorEastAsia"/>
          <w:color w:val="000000" w:themeColor="text1"/>
          <w:sz w:val="21"/>
          <w:szCs w:val="21"/>
        </w:rPr>
        <w:t>Godwin, K. E.</w:t>
      </w:r>
      <w:r w:rsidRPr="00E60157">
        <w:rPr>
          <w:color w:val="000000" w:themeColor="text1"/>
          <w:sz w:val="21"/>
          <w:szCs w:val="21"/>
          <w:shd w:val="clear" w:color="auto" w:fill="FFFFFF"/>
        </w:rPr>
        <w:t>, &amp;</w:t>
      </w:r>
      <w:r w:rsidRPr="00E60157">
        <w:rPr>
          <w:rStyle w:val="apple-converted-space"/>
          <w:rFonts w:eastAsiaTheme="majorEastAsia"/>
          <w:color w:val="000000" w:themeColor="text1"/>
          <w:sz w:val="21"/>
          <w:szCs w:val="21"/>
          <w:shd w:val="clear" w:color="auto" w:fill="FFFFFF"/>
        </w:rPr>
        <w:t> </w:t>
      </w:r>
      <w:proofErr w:type="spellStart"/>
      <w:r w:rsidRPr="00E60157">
        <w:rPr>
          <w:rStyle w:val="author"/>
          <w:rFonts w:eastAsiaTheme="majorEastAsia"/>
          <w:color w:val="000000" w:themeColor="text1"/>
          <w:sz w:val="21"/>
          <w:szCs w:val="21"/>
        </w:rPr>
        <w:t>Seltman</w:t>
      </w:r>
      <w:proofErr w:type="spellEnd"/>
      <w:r w:rsidRPr="00E60157">
        <w:rPr>
          <w:rStyle w:val="author"/>
          <w:rFonts w:eastAsiaTheme="majorEastAsia"/>
          <w:color w:val="000000" w:themeColor="text1"/>
          <w:sz w:val="21"/>
          <w:szCs w:val="21"/>
        </w:rPr>
        <w:t>, H.</w:t>
      </w:r>
      <w:r w:rsidRPr="00E60157">
        <w:rPr>
          <w:rStyle w:val="apple-converted-space"/>
          <w:rFonts w:eastAsiaTheme="majorEastAsia"/>
          <w:color w:val="000000" w:themeColor="text1"/>
          <w:sz w:val="21"/>
          <w:szCs w:val="21"/>
          <w:shd w:val="clear" w:color="auto" w:fill="FFFFFF"/>
        </w:rPr>
        <w:t> </w:t>
      </w:r>
      <w:r w:rsidRPr="00E60157">
        <w:rPr>
          <w:color w:val="000000" w:themeColor="text1"/>
          <w:sz w:val="21"/>
          <w:szCs w:val="21"/>
          <w:shd w:val="clear" w:color="auto" w:fill="FFFFFF"/>
        </w:rPr>
        <w:t>(</w:t>
      </w:r>
      <w:r w:rsidRPr="00E60157">
        <w:rPr>
          <w:rStyle w:val="pubyear"/>
          <w:rFonts w:eastAsiaTheme="majorEastAsia"/>
          <w:color w:val="000000" w:themeColor="text1"/>
          <w:sz w:val="21"/>
          <w:szCs w:val="21"/>
        </w:rPr>
        <w:t>2014</w:t>
      </w:r>
      <w:r w:rsidRPr="00E60157">
        <w:rPr>
          <w:color w:val="000000" w:themeColor="text1"/>
          <w:sz w:val="21"/>
          <w:szCs w:val="21"/>
          <w:shd w:val="clear" w:color="auto" w:fill="FFFFFF"/>
        </w:rPr>
        <w:t>).</w:t>
      </w:r>
      <w:r w:rsidRPr="00E60157">
        <w:rPr>
          <w:rStyle w:val="apple-converted-space"/>
          <w:rFonts w:eastAsiaTheme="majorEastAsia"/>
          <w:color w:val="000000" w:themeColor="text1"/>
          <w:sz w:val="21"/>
          <w:szCs w:val="21"/>
          <w:shd w:val="clear" w:color="auto" w:fill="FFFFFF"/>
        </w:rPr>
        <w:t> </w:t>
      </w:r>
      <w:r w:rsidRPr="00E60157">
        <w:rPr>
          <w:rStyle w:val="articletitle"/>
          <w:rFonts w:eastAsiaTheme="majorEastAsia"/>
          <w:color w:val="000000" w:themeColor="text1"/>
          <w:sz w:val="21"/>
          <w:szCs w:val="21"/>
        </w:rPr>
        <w:t>Visual environment, attention allocation, and learning in young children: When too much of a good thing may be bad</w:t>
      </w:r>
      <w:r w:rsidRPr="00E60157">
        <w:rPr>
          <w:color w:val="000000" w:themeColor="text1"/>
          <w:sz w:val="21"/>
          <w:szCs w:val="21"/>
          <w:shd w:val="clear" w:color="auto" w:fill="FFFFFF"/>
        </w:rPr>
        <w:t>.</w:t>
      </w:r>
      <w:r w:rsidRPr="00E60157">
        <w:rPr>
          <w:rStyle w:val="apple-converted-space"/>
          <w:rFonts w:eastAsiaTheme="majorEastAsia"/>
          <w:color w:val="000000" w:themeColor="text1"/>
          <w:sz w:val="21"/>
          <w:szCs w:val="21"/>
          <w:shd w:val="clear" w:color="auto" w:fill="FFFFFF"/>
        </w:rPr>
        <w:t> </w:t>
      </w:r>
      <w:r w:rsidRPr="00E60157">
        <w:rPr>
          <w:i/>
          <w:iCs/>
          <w:color w:val="000000" w:themeColor="text1"/>
          <w:sz w:val="21"/>
          <w:szCs w:val="21"/>
        </w:rPr>
        <w:t>Psychological Science</w:t>
      </w:r>
      <w:r w:rsidRPr="00E60157">
        <w:rPr>
          <w:color w:val="000000" w:themeColor="text1"/>
          <w:sz w:val="21"/>
          <w:szCs w:val="21"/>
          <w:shd w:val="clear" w:color="auto" w:fill="FFFFFF"/>
        </w:rPr>
        <w:t>,</w:t>
      </w:r>
      <w:r w:rsidRPr="00E60157">
        <w:rPr>
          <w:rStyle w:val="apple-converted-space"/>
          <w:rFonts w:eastAsiaTheme="majorEastAsia"/>
          <w:color w:val="000000" w:themeColor="text1"/>
          <w:sz w:val="21"/>
          <w:szCs w:val="21"/>
          <w:shd w:val="clear" w:color="auto" w:fill="FFFFFF"/>
        </w:rPr>
        <w:t> </w:t>
      </w:r>
      <w:r w:rsidRPr="00E60157">
        <w:rPr>
          <w:rStyle w:val="vol"/>
          <w:rFonts w:eastAsiaTheme="majorEastAsia"/>
          <w:color w:val="000000" w:themeColor="text1"/>
          <w:sz w:val="21"/>
          <w:szCs w:val="21"/>
        </w:rPr>
        <w:t>25</w:t>
      </w:r>
      <w:r w:rsidRPr="00E60157">
        <w:rPr>
          <w:color w:val="000000" w:themeColor="text1"/>
          <w:sz w:val="21"/>
          <w:szCs w:val="21"/>
          <w:shd w:val="clear" w:color="auto" w:fill="FFFFFF"/>
        </w:rPr>
        <w:t>(</w:t>
      </w:r>
      <w:r w:rsidRPr="00E60157">
        <w:rPr>
          <w:rStyle w:val="citedissue"/>
          <w:rFonts w:eastAsiaTheme="majorEastAsia"/>
          <w:color w:val="000000" w:themeColor="text1"/>
          <w:sz w:val="21"/>
          <w:szCs w:val="21"/>
        </w:rPr>
        <w:t>7</w:t>
      </w:r>
      <w:r w:rsidRPr="00E60157">
        <w:rPr>
          <w:color w:val="000000" w:themeColor="text1"/>
          <w:sz w:val="21"/>
          <w:szCs w:val="21"/>
          <w:shd w:val="clear" w:color="auto" w:fill="FFFFFF"/>
        </w:rPr>
        <w:t>),</w:t>
      </w:r>
      <w:r w:rsidRPr="00E60157">
        <w:rPr>
          <w:rStyle w:val="apple-converted-space"/>
          <w:rFonts w:eastAsiaTheme="majorEastAsia"/>
          <w:color w:val="000000" w:themeColor="text1"/>
          <w:sz w:val="21"/>
          <w:szCs w:val="21"/>
          <w:shd w:val="clear" w:color="auto" w:fill="FFFFFF"/>
        </w:rPr>
        <w:t>  </w:t>
      </w:r>
      <w:r w:rsidRPr="00E60157">
        <w:rPr>
          <w:rStyle w:val="pagefirst"/>
          <w:rFonts w:eastAsiaTheme="majorEastAsia"/>
          <w:color w:val="000000" w:themeColor="text1"/>
          <w:sz w:val="21"/>
          <w:szCs w:val="21"/>
        </w:rPr>
        <w:t>1362</w:t>
      </w:r>
      <w:r w:rsidRPr="00E60157">
        <w:rPr>
          <w:color w:val="000000" w:themeColor="text1"/>
          <w:sz w:val="21"/>
          <w:szCs w:val="21"/>
          <w:shd w:val="clear" w:color="auto" w:fill="FFFFFF"/>
        </w:rPr>
        <w:t>–</w:t>
      </w:r>
      <w:r w:rsidRPr="00E60157">
        <w:rPr>
          <w:rStyle w:val="pagelast"/>
          <w:rFonts w:eastAsiaTheme="majorEastAsia"/>
          <w:color w:val="000000" w:themeColor="text1"/>
          <w:sz w:val="21"/>
          <w:szCs w:val="21"/>
        </w:rPr>
        <w:t>1370</w:t>
      </w:r>
      <w:r w:rsidRPr="00E60157">
        <w:rPr>
          <w:color w:val="000000" w:themeColor="text1"/>
          <w:sz w:val="21"/>
          <w:szCs w:val="21"/>
          <w:shd w:val="clear" w:color="auto" w:fill="FFFFFF"/>
        </w:rPr>
        <w:t>.</w:t>
      </w:r>
      <w:r w:rsidRPr="00E60157">
        <w:rPr>
          <w:rStyle w:val="apple-converted-space"/>
          <w:rFonts w:eastAsiaTheme="majorEastAsia"/>
          <w:color w:val="000000" w:themeColor="text1"/>
          <w:sz w:val="21"/>
          <w:szCs w:val="21"/>
          <w:shd w:val="clear" w:color="auto" w:fill="FFFFFF"/>
        </w:rPr>
        <w:t> </w:t>
      </w:r>
      <w:hyperlink r:id="rId11" w:history="1">
        <w:r w:rsidRPr="00E60157">
          <w:rPr>
            <w:rStyle w:val="Hyperlink"/>
            <w:color w:val="000000" w:themeColor="text1"/>
            <w:sz w:val="21"/>
            <w:szCs w:val="21"/>
            <w:u w:val="none"/>
          </w:rPr>
          <w:t>https://doi.org/10.1177/0956797614533801</w:t>
        </w:r>
      </w:hyperlink>
      <w:r>
        <w:rPr>
          <w:color w:val="000000" w:themeColor="text1"/>
        </w:rPr>
        <w:t xml:space="preserve">.  (Accessed: 12 June 2024). </w:t>
      </w:r>
    </w:p>
    <w:p w14:paraId="7B16F9E1" w14:textId="1340B724" w:rsidR="00F57AC3" w:rsidRPr="00F57AC3" w:rsidRDefault="00F57AC3" w:rsidP="00F57AC3">
      <w:pPr>
        <w:pStyle w:val="NormalWeb"/>
        <w:rPr>
          <w:color w:val="000000" w:themeColor="text1"/>
          <w:sz w:val="22"/>
          <w:szCs w:val="22"/>
        </w:rPr>
      </w:pPr>
      <w:r w:rsidRPr="00F57AC3">
        <w:rPr>
          <w:color w:val="000000" w:themeColor="text1"/>
          <w:sz w:val="22"/>
          <w:szCs w:val="22"/>
        </w:rPr>
        <w:t xml:space="preserve">Gibson, S. and Blandford, S. (2005) </w:t>
      </w:r>
      <w:r w:rsidRPr="00F57AC3">
        <w:rPr>
          <w:i/>
          <w:iCs/>
          <w:color w:val="000000" w:themeColor="text1"/>
          <w:sz w:val="22"/>
          <w:szCs w:val="22"/>
        </w:rPr>
        <w:t>Managing special educational needs: A practical guide to primary and secondary schools.</w:t>
      </w:r>
      <w:r w:rsidRPr="00F57AC3">
        <w:rPr>
          <w:color w:val="000000" w:themeColor="text1"/>
          <w:sz w:val="22"/>
          <w:szCs w:val="22"/>
        </w:rPr>
        <w:t xml:space="preserve"> London. Sage. Available at: </w:t>
      </w:r>
      <w:r w:rsidRPr="00F57AC3">
        <w:rPr>
          <w:color w:val="000000" w:themeColor="text1"/>
          <w:sz w:val="22"/>
          <w:szCs w:val="22"/>
        </w:rPr>
        <w:fldChar w:fldCharType="begin"/>
      </w:r>
      <w:r w:rsidRPr="00F57AC3">
        <w:rPr>
          <w:color w:val="000000" w:themeColor="text1"/>
          <w:sz w:val="22"/>
          <w:szCs w:val="22"/>
        </w:rPr>
        <w:instrText>HYPERLINK "http://196.189.45.87/bitstream/123456789/28265/1/31..pdf"</w:instrText>
      </w:r>
      <w:r w:rsidRPr="00F57AC3">
        <w:rPr>
          <w:color w:val="000000" w:themeColor="text1"/>
          <w:sz w:val="22"/>
          <w:szCs w:val="22"/>
        </w:rPr>
      </w:r>
      <w:r w:rsidRPr="00F57AC3">
        <w:rPr>
          <w:color w:val="000000" w:themeColor="text1"/>
          <w:sz w:val="22"/>
          <w:szCs w:val="22"/>
        </w:rPr>
        <w:fldChar w:fldCharType="separate"/>
      </w:r>
      <w:r w:rsidRPr="00F57AC3">
        <w:rPr>
          <w:rStyle w:val="Hyperlink"/>
          <w:sz w:val="22"/>
          <w:szCs w:val="22"/>
        </w:rPr>
        <w:t>http://196.189.45.87/bitstream/123456789/28265/1/31..pdf</w:t>
      </w:r>
      <w:r w:rsidRPr="00F57AC3">
        <w:rPr>
          <w:color w:val="000000" w:themeColor="text1"/>
          <w:sz w:val="22"/>
          <w:szCs w:val="22"/>
        </w:rPr>
        <w:fldChar w:fldCharType="end"/>
      </w:r>
      <w:r w:rsidRPr="00F57AC3">
        <w:rPr>
          <w:color w:val="000000" w:themeColor="text1"/>
          <w:sz w:val="22"/>
          <w:szCs w:val="22"/>
        </w:rPr>
        <w:t xml:space="preserve"> (Accessed: </w:t>
      </w:r>
      <w:r w:rsidRPr="00F57AC3">
        <w:rPr>
          <w:color w:val="000000" w:themeColor="text1"/>
          <w:sz w:val="22"/>
          <w:szCs w:val="22"/>
        </w:rPr>
        <w:t>11 June 2024</w:t>
      </w:r>
      <w:r w:rsidRPr="00F57AC3">
        <w:rPr>
          <w:color w:val="000000" w:themeColor="text1"/>
          <w:sz w:val="22"/>
          <w:szCs w:val="22"/>
        </w:rPr>
        <w:t>)</w:t>
      </w:r>
    </w:p>
    <w:p w14:paraId="3F12D813" w14:textId="3F513185" w:rsidR="008629BA" w:rsidRPr="00F57AC3" w:rsidRDefault="008629BA" w:rsidP="002960DC">
      <w:pPr>
        <w:pStyle w:val="NormalWeb"/>
        <w:rPr>
          <w:color w:val="000000" w:themeColor="text1"/>
        </w:rPr>
      </w:pPr>
      <w:r w:rsidRPr="00F57AC3">
        <w:rPr>
          <w:color w:val="000000" w:themeColor="text1"/>
        </w:rPr>
        <w:t xml:space="preserve">Gumus, S., Bulut, O., &amp; </w:t>
      </w:r>
      <w:proofErr w:type="spellStart"/>
      <w:r w:rsidRPr="00F57AC3">
        <w:rPr>
          <w:color w:val="000000" w:themeColor="text1"/>
        </w:rPr>
        <w:t>Bellibas</w:t>
      </w:r>
      <w:proofErr w:type="spellEnd"/>
      <w:r w:rsidRPr="00F57AC3">
        <w:rPr>
          <w:color w:val="000000" w:themeColor="text1"/>
        </w:rPr>
        <w:t>, M. S. (2013). The relationship between principal leadership and teacher collaboration in Turkish primary schools: A multilevel analysis.</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Education Research and Perspectives</w:t>
      </w:r>
      <w:r w:rsidRPr="00F57AC3">
        <w:rPr>
          <w:color w:val="000000" w:themeColor="text1"/>
        </w:rPr>
        <w:t>, 40(1), 1–29.</w:t>
      </w:r>
      <w:r w:rsidRPr="00F57AC3">
        <w:rPr>
          <w:color w:val="000000" w:themeColor="text1"/>
        </w:rPr>
        <w:t xml:space="preserve"> (Accessed: 11 June 2024).</w:t>
      </w:r>
    </w:p>
    <w:p w14:paraId="3DD328E5" w14:textId="21AEF898" w:rsidR="008629BA" w:rsidRPr="00F57AC3" w:rsidRDefault="008629BA" w:rsidP="002960DC">
      <w:pPr>
        <w:pStyle w:val="NormalWeb"/>
        <w:rPr>
          <w:color w:val="000000" w:themeColor="text1"/>
        </w:rPr>
      </w:pPr>
      <w:proofErr w:type="spellStart"/>
      <w:r w:rsidRPr="00F57AC3">
        <w:rPr>
          <w:color w:val="000000" w:themeColor="text1"/>
        </w:rPr>
        <w:t>Guralnick</w:t>
      </w:r>
      <w:proofErr w:type="spellEnd"/>
      <w:r w:rsidRPr="00F57AC3">
        <w:rPr>
          <w:color w:val="000000" w:themeColor="text1"/>
        </w:rPr>
        <w:t xml:space="preserve">, M. J., &amp; </w:t>
      </w:r>
      <w:proofErr w:type="spellStart"/>
      <w:r w:rsidRPr="00F57AC3">
        <w:rPr>
          <w:color w:val="000000" w:themeColor="text1"/>
        </w:rPr>
        <w:t>Bruder</w:t>
      </w:r>
      <w:proofErr w:type="spellEnd"/>
      <w:r w:rsidRPr="00F57AC3">
        <w:rPr>
          <w:color w:val="000000" w:themeColor="text1"/>
        </w:rPr>
        <w:t xml:space="preserve">, M. B. (2016). Early childhood inclusion in the United States: Goals, </w:t>
      </w:r>
      <w:proofErr w:type="gramStart"/>
      <w:r w:rsidRPr="00F57AC3">
        <w:rPr>
          <w:color w:val="000000" w:themeColor="text1"/>
        </w:rPr>
        <w:t>current status</w:t>
      </w:r>
      <w:proofErr w:type="gramEnd"/>
      <w:r w:rsidRPr="00F57AC3">
        <w:rPr>
          <w:color w:val="000000" w:themeColor="text1"/>
        </w:rPr>
        <w:t>, and future directions.</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Infants &amp; Young Children</w:t>
      </w:r>
      <w:r w:rsidRPr="00F57AC3">
        <w:rPr>
          <w:color w:val="000000" w:themeColor="text1"/>
        </w:rPr>
        <w:t>,</w:t>
      </w:r>
      <w:r w:rsidRPr="00F57AC3">
        <w:rPr>
          <w:rStyle w:val="apple-converted-space"/>
          <w:rFonts w:eastAsiaTheme="majorEastAsia"/>
          <w:color w:val="000000" w:themeColor="text1"/>
        </w:rPr>
        <w:t> </w:t>
      </w:r>
      <w:hyperlink r:id="rId12" w:tgtFrame="_blank" w:history="1">
        <w:r w:rsidRPr="00F57AC3">
          <w:rPr>
            <w:rStyle w:val="Hyperlink"/>
            <w:rFonts w:eastAsiaTheme="majorEastAsia"/>
            <w:color w:val="000000" w:themeColor="text1"/>
            <w:u w:val="none"/>
          </w:rPr>
          <w:t>29</w:t>
        </w:r>
      </w:hyperlink>
      <w:r w:rsidRPr="00F57AC3">
        <w:rPr>
          <w:color w:val="000000" w:themeColor="text1"/>
        </w:rPr>
        <w:t>(</w:t>
      </w:r>
      <w:hyperlink r:id="rId13" w:tgtFrame="_blank" w:history="1">
        <w:r w:rsidRPr="00F57AC3">
          <w:rPr>
            <w:rStyle w:val="Hyperlink"/>
            <w:rFonts w:eastAsiaTheme="majorEastAsia"/>
            <w:color w:val="000000" w:themeColor="text1"/>
            <w:u w:val="none"/>
          </w:rPr>
          <w:t>3</w:t>
        </w:r>
      </w:hyperlink>
      <w:r w:rsidRPr="00F57AC3">
        <w:rPr>
          <w:color w:val="000000" w:themeColor="text1"/>
        </w:rPr>
        <w:t>), 166–177</w:t>
      </w:r>
      <w:r w:rsidRPr="00F57AC3">
        <w:rPr>
          <w:color w:val="000000" w:themeColor="text1"/>
        </w:rPr>
        <w:t xml:space="preserve">. (Accessed: 11 </w:t>
      </w:r>
      <w:r w:rsidRPr="00F57AC3">
        <w:rPr>
          <w:color w:val="000000" w:themeColor="text1"/>
        </w:rPr>
        <w:tab/>
        <w:t>June 2024).</w:t>
      </w:r>
    </w:p>
    <w:p w14:paraId="02F24F46" w14:textId="3DCD59E1" w:rsidR="00501EF5" w:rsidRDefault="00501EF5" w:rsidP="002960DC">
      <w:pPr>
        <w:pStyle w:val="NormalWeb"/>
        <w:rPr>
          <w:color w:val="000000"/>
        </w:rPr>
      </w:pPr>
      <w:r>
        <w:rPr>
          <w:color w:val="000000"/>
        </w:rPr>
        <w:t xml:space="preserve">Hall, T., Meyer, A., </w:t>
      </w:r>
      <w:r w:rsidR="00BD76EA">
        <w:rPr>
          <w:color w:val="000000"/>
        </w:rPr>
        <w:t>&amp; Rose, D. (Eds.). (2012). Universal Design for Learning in the Classroom: Practical Applications. Guilford Press.(Accessed:10 June 2024).</w:t>
      </w:r>
    </w:p>
    <w:p w14:paraId="36C83A14" w14:textId="4194C264" w:rsidR="00501EF5" w:rsidRDefault="00501EF5" w:rsidP="002960DC">
      <w:pPr>
        <w:pStyle w:val="NormalWeb"/>
        <w:rPr>
          <w:color w:val="000000"/>
        </w:rPr>
      </w:pPr>
      <w:proofErr w:type="spellStart"/>
      <w:r>
        <w:rPr>
          <w:color w:val="000000"/>
        </w:rPr>
        <w:t>Hanft,B.E</w:t>
      </w:r>
      <w:proofErr w:type="spellEnd"/>
      <w:r>
        <w:rPr>
          <w:color w:val="000000"/>
        </w:rPr>
        <w:t>., &amp;Shepard, J.T. (2008). Collaborative Consultation in the Schools: Effective practices for Students with Learning and Behaviour Problems. Paul H. Brookes Publishing.(Accessed: 10 June 2024).</w:t>
      </w:r>
    </w:p>
    <w:p w14:paraId="536A2A08" w14:textId="3A68E1F7" w:rsidR="002960DC" w:rsidRDefault="002960DC" w:rsidP="002960DC">
      <w:pPr>
        <w:pStyle w:val="NormalWeb"/>
        <w:rPr>
          <w:color w:val="000000"/>
        </w:rPr>
      </w:pPr>
      <w:proofErr w:type="spellStart"/>
      <w:r w:rsidRPr="00F57AC3">
        <w:rPr>
          <w:color w:val="000000"/>
        </w:rPr>
        <w:t>Heikka</w:t>
      </w:r>
      <w:proofErr w:type="spellEnd"/>
      <w:r w:rsidRPr="00F57AC3">
        <w:rPr>
          <w:color w:val="000000"/>
        </w:rPr>
        <w:t xml:space="preserve">, J., Waniganayake, M., &amp; </w:t>
      </w:r>
      <w:proofErr w:type="spellStart"/>
      <w:r w:rsidRPr="00F57AC3">
        <w:rPr>
          <w:color w:val="000000"/>
        </w:rPr>
        <w:t>Hujala</w:t>
      </w:r>
      <w:proofErr w:type="spellEnd"/>
      <w:r w:rsidRPr="00F57AC3">
        <w:rPr>
          <w:color w:val="000000"/>
        </w:rPr>
        <w:t xml:space="preserve"> E(2013). Contextualising distrusted leadership within early childhood education: Current understandings, research evidence, and future challenges. Educational management Administration &amp;Leadership, 41 (1), 30-44. </w:t>
      </w:r>
      <w:r w:rsidRPr="00F57AC3">
        <w:rPr>
          <w:color w:val="000000"/>
        </w:rPr>
        <w:t xml:space="preserve">(Accessed: </w:t>
      </w:r>
      <w:r w:rsidRPr="00501EF5">
        <w:rPr>
          <w:color w:val="000000"/>
        </w:rPr>
        <w:t>07 June 2024).</w:t>
      </w:r>
    </w:p>
    <w:p w14:paraId="3A9420EA" w14:textId="2E1D1D75" w:rsidR="00501EF5" w:rsidRPr="00501EF5" w:rsidRDefault="00501EF5" w:rsidP="002960DC">
      <w:pPr>
        <w:pStyle w:val="NormalWeb"/>
        <w:rPr>
          <w:color w:val="000000"/>
        </w:rPr>
      </w:pPr>
      <w:r>
        <w:rPr>
          <w:color w:val="000000"/>
        </w:rPr>
        <w:t>Justice ,L.M. (2006). Evidence-Based Practice, Responses to Intervention, and the Prevention of Reading Disabilities. Language, Speech, and Hearing Services in Schools, 37(4),284-297. (Accessed: 10 June2024).</w:t>
      </w:r>
    </w:p>
    <w:p w14:paraId="5C8B2F50" w14:textId="16B71A6D" w:rsidR="00C73932" w:rsidRPr="00501EF5" w:rsidRDefault="00C73932" w:rsidP="002960DC">
      <w:pPr>
        <w:pStyle w:val="NormalWeb"/>
        <w:rPr>
          <w:color w:val="000000" w:themeColor="text1"/>
        </w:rPr>
      </w:pPr>
      <w:r w:rsidRPr="00501EF5">
        <w:rPr>
          <w:color w:val="000000" w:themeColor="text1"/>
        </w:rPr>
        <w:lastRenderedPageBreak/>
        <w:t>Knowles, G. and Lander, V. (2011). </w:t>
      </w:r>
      <w:r w:rsidRPr="00501EF5">
        <w:rPr>
          <w:rStyle w:val="Emphasis"/>
          <w:rFonts w:eastAsiaTheme="majorEastAsia"/>
          <w:color w:val="000000" w:themeColor="text1"/>
        </w:rPr>
        <w:t>Diversity, equality, and achievement in education</w:t>
      </w:r>
      <w:r w:rsidRPr="00501EF5">
        <w:rPr>
          <w:color w:val="000000" w:themeColor="text1"/>
        </w:rPr>
        <w:t>. </w:t>
      </w:r>
      <w:r w:rsidRPr="00501EF5">
        <w:rPr>
          <w:color w:val="000000" w:themeColor="text1"/>
        </w:rPr>
        <w:t>(Accessed: 12 June 2024).</w:t>
      </w:r>
    </w:p>
    <w:p w14:paraId="1D11F487" w14:textId="68DE1C52" w:rsidR="00666B0F" w:rsidRDefault="00666B0F" w:rsidP="002960DC">
      <w:pPr>
        <w:pStyle w:val="NormalWeb"/>
        <w:rPr>
          <w:color w:val="000000"/>
        </w:rPr>
      </w:pPr>
      <w:proofErr w:type="spellStart"/>
      <w:r>
        <w:rPr>
          <w:color w:val="000000"/>
        </w:rPr>
        <w:t>Leithwood</w:t>
      </w:r>
      <w:proofErr w:type="spellEnd"/>
      <w:r>
        <w:rPr>
          <w:color w:val="000000"/>
        </w:rPr>
        <w:t xml:space="preserve">, K., &amp; </w:t>
      </w:r>
      <w:proofErr w:type="spellStart"/>
      <w:r>
        <w:rPr>
          <w:color w:val="000000"/>
        </w:rPr>
        <w:t>Jantzi</w:t>
      </w:r>
      <w:proofErr w:type="spellEnd"/>
      <w:r>
        <w:rPr>
          <w:color w:val="000000"/>
        </w:rPr>
        <w:t>, D. (2009). Transformational leadership. In B. Davies (Ed.), The Essentials of School Leadership (2</w:t>
      </w:r>
      <w:r w:rsidRPr="00666B0F">
        <w:rPr>
          <w:color w:val="000000"/>
          <w:vertAlign w:val="superscript"/>
        </w:rPr>
        <w:t>nd</w:t>
      </w:r>
      <w:r>
        <w:rPr>
          <w:color w:val="000000"/>
        </w:rPr>
        <w:t xml:space="preserve"> ed.). SAGE Publications. (Accessed: 10 June 2024). </w:t>
      </w:r>
    </w:p>
    <w:p w14:paraId="4540DBFD" w14:textId="1B295E43" w:rsidR="00C852E8" w:rsidRDefault="00C852E8" w:rsidP="002960DC">
      <w:pPr>
        <w:pStyle w:val="NormalWeb"/>
        <w:rPr>
          <w:color w:val="000000"/>
        </w:rPr>
      </w:pPr>
      <w:r>
        <w:rPr>
          <w:color w:val="000000"/>
        </w:rPr>
        <w:t>Maslow, A.H. (1943). A theory of human motivation. Psychological Review, 50(4), 370-396. (Accessed: 10 June 2024).</w:t>
      </w:r>
    </w:p>
    <w:p w14:paraId="34AA707D" w14:textId="5D66A124" w:rsidR="002960DC" w:rsidRPr="00F57AC3" w:rsidRDefault="002960DC" w:rsidP="002960DC">
      <w:pPr>
        <w:pStyle w:val="NormalWeb"/>
        <w:rPr>
          <w:color w:val="000000"/>
        </w:rPr>
      </w:pPr>
      <w:r w:rsidRPr="00F57AC3">
        <w:rPr>
          <w:color w:val="000000"/>
        </w:rPr>
        <w:t xml:space="preserve">Moyles, J. (2006). Effective </w:t>
      </w:r>
      <w:r w:rsidRPr="001E7FEB">
        <w:rPr>
          <w:color w:val="000000" w:themeColor="text1"/>
        </w:rPr>
        <w:t>leadership</w:t>
      </w:r>
      <w:r w:rsidRPr="00F57AC3">
        <w:rPr>
          <w:color w:val="000000"/>
        </w:rPr>
        <w:t xml:space="preserve"> and management in the early years. Open University Press. </w:t>
      </w:r>
      <w:r w:rsidRPr="00F57AC3">
        <w:rPr>
          <w:color w:val="000000"/>
        </w:rPr>
        <w:t>(Accessed: 07 June 2024).</w:t>
      </w:r>
    </w:p>
    <w:p w14:paraId="554D964C" w14:textId="6C473664" w:rsidR="00BD7B04" w:rsidRPr="00BD7B04" w:rsidRDefault="00BD7B04" w:rsidP="00BD7B04">
      <w:pPr>
        <w:pStyle w:val="NormalWeb"/>
        <w:rPr>
          <w:color w:val="000000"/>
        </w:rPr>
      </w:pPr>
      <w:r w:rsidRPr="00BD7B04">
        <w:rPr>
          <w:color w:val="000000"/>
        </w:rPr>
        <w:t xml:space="preserve">Nauman, I.K. (2018) ‘Early childhood education and care policy: Beyond quantity and quality, for human development’ In: </w:t>
      </w:r>
      <w:proofErr w:type="spellStart"/>
      <w:r w:rsidRPr="00BD7B04">
        <w:rPr>
          <w:color w:val="000000"/>
        </w:rPr>
        <w:t>Trevarthen</w:t>
      </w:r>
      <w:proofErr w:type="spellEnd"/>
      <w:r w:rsidRPr="00BD7B04">
        <w:rPr>
          <w:color w:val="000000"/>
        </w:rPr>
        <w:t xml:space="preserve">, C.,  Delafield-Butt, J., and Dunlop, A-W. </w:t>
      </w:r>
      <w:r w:rsidRPr="00BD7B04">
        <w:rPr>
          <w:i/>
          <w:iCs/>
          <w:color w:val="000000"/>
        </w:rPr>
        <w:t xml:space="preserve">The Child's Curriculum: Working with the Natural Voices of Young Children. </w:t>
      </w:r>
      <w:r w:rsidRPr="00BD7B04">
        <w:rPr>
          <w:color w:val="000000"/>
        </w:rPr>
        <w:t>Oxford Scholarship Online</w:t>
      </w:r>
      <w:r>
        <w:rPr>
          <w:color w:val="000000"/>
        </w:rPr>
        <w:t xml:space="preserve"> (Accessed: 15 June 2024). </w:t>
      </w:r>
    </w:p>
    <w:p w14:paraId="53FAF3A9" w14:textId="409E1971" w:rsidR="00B73169" w:rsidRDefault="0073595F" w:rsidP="000B77E7">
      <w:pPr>
        <w:pStyle w:val="NormalWeb"/>
        <w:rPr>
          <w:color w:val="000000"/>
        </w:rPr>
      </w:pPr>
      <w:r w:rsidRPr="00F57AC3">
        <w:rPr>
          <w:color w:val="000000"/>
        </w:rPr>
        <w:t>Nembhard, I.M. and Edmondson, A.C. (2006). Making it safe: The effects of leader inclusiveness and professional status on psychological safety and improvement efforts in health care teams. Journal of Organisational Behaviour, 27(7), 941-966. (Accessed: 11 June 2024.</w:t>
      </w:r>
    </w:p>
    <w:p w14:paraId="72D4666F" w14:textId="56CC5640" w:rsidR="001811A7" w:rsidRPr="00F57AC3" w:rsidRDefault="001811A7" w:rsidP="000B77E7">
      <w:pPr>
        <w:pStyle w:val="NormalWeb"/>
        <w:rPr>
          <w:color w:val="000000"/>
        </w:rPr>
      </w:pPr>
      <w:r>
        <w:rPr>
          <w:color w:val="000000"/>
        </w:rPr>
        <w:t>Norwich, B., &amp; Eaton, A. (2015). The new SEND code of practice 2015: Exploring issues of implementation with professionals. Educational psychology in Practice, 31 (1), 56-67. (Accessed: 15 June 2024).</w:t>
      </w:r>
    </w:p>
    <w:p w14:paraId="50EB2E1A" w14:textId="0C59494E" w:rsidR="00A81646" w:rsidRPr="00A81646" w:rsidRDefault="00A81646" w:rsidP="00A81646">
      <w:pPr>
        <w:pStyle w:val="NormalWeb"/>
        <w:rPr>
          <w:color w:val="000000"/>
        </w:rPr>
      </w:pPr>
      <w:r w:rsidRPr="00A81646">
        <w:rPr>
          <w:color w:val="000000"/>
        </w:rPr>
        <w:t xml:space="preserve">NSPCC (2021) </w:t>
      </w:r>
      <w:r w:rsidRPr="00A81646">
        <w:rPr>
          <w:i/>
          <w:iCs/>
          <w:color w:val="000000"/>
        </w:rPr>
        <w:t xml:space="preserve">Parental Mental Health Problems </w:t>
      </w:r>
      <w:r w:rsidRPr="00A81646">
        <w:rPr>
          <w:color w:val="000000"/>
        </w:rPr>
        <w:t xml:space="preserve">Available at: https://learning.nspcc.org.uk/children-and-families-at-risk/parental-mental-health-problems#heading-top (Accessed: </w:t>
      </w:r>
      <w:r w:rsidRPr="00C84051">
        <w:rPr>
          <w:color w:val="000000"/>
        </w:rPr>
        <w:t>11 June 2024</w:t>
      </w:r>
      <w:r w:rsidRPr="00A81646">
        <w:rPr>
          <w:color w:val="000000"/>
        </w:rPr>
        <w:t>)</w:t>
      </w:r>
    </w:p>
    <w:p w14:paraId="2842E7EB" w14:textId="2F52E394" w:rsidR="00C84051" w:rsidRPr="00C84051" w:rsidRDefault="00C84051" w:rsidP="000B77E7">
      <w:pPr>
        <w:pStyle w:val="NormalWeb"/>
        <w:rPr>
          <w:color w:val="000000" w:themeColor="text1"/>
        </w:rPr>
      </w:pPr>
      <w:r w:rsidRPr="00C84051">
        <w:rPr>
          <w:color w:val="000000" w:themeColor="text1"/>
          <w:shd w:val="clear" w:color="auto" w:fill="FFFFFF"/>
        </w:rPr>
        <w:t>Nutbrown, C. (2019)</w:t>
      </w:r>
      <w:r w:rsidRPr="00C84051">
        <w:rPr>
          <w:rStyle w:val="apple-converted-space"/>
          <w:rFonts w:eastAsiaTheme="majorEastAsia"/>
          <w:color w:val="000000" w:themeColor="text1"/>
          <w:shd w:val="clear" w:color="auto" w:fill="FFFFFF"/>
        </w:rPr>
        <w:t> </w:t>
      </w:r>
      <w:r w:rsidRPr="00C84051">
        <w:rPr>
          <w:rStyle w:val="Emphasis"/>
          <w:rFonts w:eastAsiaTheme="majorEastAsia"/>
          <w:color w:val="000000" w:themeColor="text1"/>
        </w:rPr>
        <w:t>Inclusion in Early Years Settings | A Unique Child</w:t>
      </w:r>
      <w:r w:rsidRPr="00C84051">
        <w:rPr>
          <w:color w:val="000000" w:themeColor="text1"/>
          <w:shd w:val="clear" w:color="auto" w:fill="FFFFFF"/>
        </w:rPr>
        <w:t>,</w:t>
      </w:r>
      <w:r w:rsidRPr="00C84051">
        <w:rPr>
          <w:rStyle w:val="apple-converted-space"/>
          <w:rFonts w:eastAsiaTheme="majorEastAsia"/>
          <w:color w:val="000000" w:themeColor="text1"/>
          <w:shd w:val="clear" w:color="auto" w:fill="FFFFFF"/>
        </w:rPr>
        <w:t> </w:t>
      </w:r>
      <w:r w:rsidRPr="00C84051">
        <w:rPr>
          <w:rStyle w:val="Emphasis"/>
          <w:rFonts w:eastAsiaTheme="majorEastAsia"/>
          <w:color w:val="000000" w:themeColor="text1"/>
        </w:rPr>
        <w:t>Teach Early Years</w:t>
      </w:r>
      <w:r w:rsidRPr="00C84051">
        <w:rPr>
          <w:color w:val="000000" w:themeColor="text1"/>
          <w:shd w:val="clear" w:color="auto" w:fill="FFFFFF"/>
        </w:rPr>
        <w:t>. Available at: https://www.teachearlyyears.com/a-unique-child/view/inclusion-in-early-years-settings</w:t>
      </w:r>
    </w:p>
    <w:p w14:paraId="4611B0DF" w14:textId="55DA1EAF" w:rsidR="001E7FEB" w:rsidRPr="001E7FEB" w:rsidRDefault="001E7FEB" w:rsidP="000B77E7">
      <w:pPr>
        <w:pStyle w:val="NormalWeb"/>
        <w:rPr>
          <w:color w:val="000000" w:themeColor="text1"/>
        </w:rPr>
      </w:pPr>
      <w:r w:rsidRPr="001E7FEB">
        <w:rPr>
          <w:color w:val="000000" w:themeColor="text1"/>
        </w:rPr>
        <w:t xml:space="preserve">Odom, S. L., </w:t>
      </w:r>
      <w:proofErr w:type="spellStart"/>
      <w:r w:rsidRPr="001E7FEB">
        <w:rPr>
          <w:color w:val="000000" w:themeColor="text1"/>
        </w:rPr>
        <w:t>Buysse</w:t>
      </w:r>
      <w:proofErr w:type="spellEnd"/>
      <w:r w:rsidRPr="001E7FEB">
        <w:rPr>
          <w:color w:val="000000" w:themeColor="text1"/>
        </w:rPr>
        <w:t xml:space="preserve">, V., &amp; </w:t>
      </w:r>
      <w:proofErr w:type="spellStart"/>
      <w:r w:rsidRPr="001E7FEB">
        <w:rPr>
          <w:color w:val="000000" w:themeColor="text1"/>
        </w:rPr>
        <w:t>Soukakou</w:t>
      </w:r>
      <w:proofErr w:type="spellEnd"/>
      <w:r w:rsidRPr="001E7FEB">
        <w:rPr>
          <w:color w:val="000000" w:themeColor="text1"/>
        </w:rPr>
        <w:t>, E. P. (2011). Inclusion for young children with disabilities: A quarter century of research perspectives.</w:t>
      </w:r>
      <w:r w:rsidRPr="001E7FEB">
        <w:rPr>
          <w:rStyle w:val="apple-converted-space"/>
          <w:rFonts w:eastAsiaTheme="majorEastAsia"/>
          <w:color w:val="000000" w:themeColor="text1"/>
        </w:rPr>
        <w:t> </w:t>
      </w:r>
      <w:r w:rsidRPr="001E7FEB">
        <w:rPr>
          <w:rStyle w:val="citationsource-journal"/>
          <w:rFonts w:eastAsiaTheme="majorEastAsia"/>
          <w:i/>
          <w:iCs/>
          <w:color w:val="000000" w:themeColor="text1"/>
        </w:rPr>
        <w:t>Journal of Early Intervention</w:t>
      </w:r>
      <w:r w:rsidRPr="001E7FEB">
        <w:rPr>
          <w:color w:val="000000" w:themeColor="text1"/>
        </w:rPr>
        <w:t>,</w:t>
      </w:r>
      <w:r w:rsidRPr="001E7FEB">
        <w:rPr>
          <w:rStyle w:val="apple-converted-space"/>
          <w:rFonts w:eastAsiaTheme="majorEastAsia"/>
          <w:color w:val="000000" w:themeColor="text1"/>
        </w:rPr>
        <w:t> </w:t>
      </w:r>
      <w:hyperlink r:id="rId14" w:tgtFrame="_blank" w:history="1">
        <w:r w:rsidRPr="001E7FEB">
          <w:rPr>
            <w:rStyle w:val="Hyperlink"/>
            <w:rFonts w:eastAsiaTheme="majorEastAsia"/>
            <w:color w:val="000000" w:themeColor="text1"/>
            <w:u w:val="none"/>
          </w:rPr>
          <w:t>33</w:t>
        </w:r>
      </w:hyperlink>
      <w:r w:rsidRPr="001E7FEB">
        <w:rPr>
          <w:color w:val="000000" w:themeColor="text1"/>
        </w:rPr>
        <w:t>(</w:t>
      </w:r>
      <w:hyperlink r:id="rId15" w:tgtFrame="_blank" w:history="1">
        <w:r w:rsidRPr="001E7FEB">
          <w:rPr>
            <w:rStyle w:val="Hyperlink"/>
            <w:rFonts w:eastAsiaTheme="majorEastAsia"/>
            <w:color w:val="000000" w:themeColor="text1"/>
            <w:u w:val="none"/>
          </w:rPr>
          <w:t>4</w:t>
        </w:r>
      </w:hyperlink>
      <w:r w:rsidRPr="001E7FEB">
        <w:rPr>
          <w:color w:val="000000" w:themeColor="text1"/>
        </w:rPr>
        <w:t>), 344–356.</w:t>
      </w:r>
      <w:r w:rsidRPr="001E7FEB">
        <w:rPr>
          <w:rStyle w:val="apple-converted-space"/>
          <w:rFonts w:eastAsiaTheme="majorEastAsia"/>
          <w:color w:val="000000" w:themeColor="text1"/>
        </w:rPr>
        <w:t> </w:t>
      </w:r>
      <w:hyperlink r:id="rId16" w:tgtFrame="_blank" w:history="1">
        <w:r w:rsidRPr="001E7FEB">
          <w:rPr>
            <w:rStyle w:val="Hyperlink"/>
            <w:rFonts w:eastAsiaTheme="majorEastAsia"/>
            <w:color w:val="000000" w:themeColor="text1"/>
            <w:u w:val="none"/>
          </w:rPr>
          <w:t>https://doi.org/htt</w:t>
        </w:r>
        <w:r w:rsidRPr="001E7FEB">
          <w:rPr>
            <w:rStyle w:val="Hyperlink"/>
            <w:rFonts w:eastAsiaTheme="majorEastAsia"/>
            <w:color w:val="000000" w:themeColor="text1"/>
            <w:u w:val="none"/>
          </w:rPr>
          <w:t>p</w:t>
        </w:r>
        <w:r w:rsidRPr="001E7FEB">
          <w:rPr>
            <w:rStyle w:val="Hyperlink"/>
            <w:rFonts w:eastAsiaTheme="majorEastAsia"/>
            <w:color w:val="000000" w:themeColor="text1"/>
            <w:u w:val="none"/>
          </w:rPr>
          <w:t>s://doi.org/10.1177/1053815111430094</w:t>
        </w:r>
      </w:hyperlink>
      <w:r w:rsidRPr="001E7FEB">
        <w:rPr>
          <w:color w:val="000000" w:themeColor="text1"/>
        </w:rPr>
        <w:t xml:space="preserve">. </w:t>
      </w:r>
      <w:r>
        <w:rPr>
          <w:color w:val="000000" w:themeColor="text1"/>
        </w:rPr>
        <w:t>(Accessed:12 June 2024).</w:t>
      </w:r>
    </w:p>
    <w:p w14:paraId="737D706E" w14:textId="36208818" w:rsidR="001811A7" w:rsidRDefault="001811A7" w:rsidP="000B77E7">
      <w:pPr>
        <w:pStyle w:val="NormalWeb"/>
        <w:rPr>
          <w:color w:val="000000"/>
        </w:rPr>
      </w:pPr>
      <w:r>
        <w:rPr>
          <w:color w:val="000000"/>
        </w:rPr>
        <w:t xml:space="preserve">Ofsted. (2017). Local area SEND inspections: One year on. Available at: </w:t>
      </w:r>
      <w:hyperlink r:id="rId17" w:history="1">
        <w:r w:rsidRPr="00294337">
          <w:rPr>
            <w:rStyle w:val="Hyperlink"/>
          </w:rPr>
          <w:t>https://www.gov.uk/government/publications/local-area-send-inspections-one-year-on</w:t>
        </w:r>
      </w:hyperlink>
      <w:r>
        <w:t xml:space="preserve">. (Accessed: 15 June 2024). </w:t>
      </w:r>
    </w:p>
    <w:p w14:paraId="635922BD" w14:textId="7815B2E8" w:rsidR="002960DC" w:rsidRPr="00F57AC3" w:rsidRDefault="002960DC" w:rsidP="000B77E7">
      <w:pPr>
        <w:pStyle w:val="NormalWeb"/>
        <w:rPr>
          <w:color w:val="000000"/>
        </w:rPr>
      </w:pPr>
      <w:r w:rsidRPr="00F57AC3">
        <w:rPr>
          <w:color w:val="000000"/>
        </w:rPr>
        <w:t>O’Sullivan, J. (2</w:t>
      </w:r>
      <w:r w:rsidR="00930E38" w:rsidRPr="00F57AC3">
        <w:rPr>
          <w:color w:val="000000"/>
        </w:rPr>
        <w:t>010</w:t>
      </w:r>
      <w:r w:rsidRPr="00F57AC3">
        <w:rPr>
          <w:color w:val="000000"/>
        </w:rPr>
        <w:t xml:space="preserve">). Leadership skills in early years; making a difference. Continuum. </w:t>
      </w:r>
      <w:r w:rsidR="00A23B99" w:rsidRPr="00F57AC3">
        <w:rPr>
          <w:color w:val="000000"/>
        </w:rPr>
        <w:t xml:space="preserve">Open University Press. (Accessed: 08 June 2024). </w:t>
      </w:r>
    </w:p>
    <w:p w14:paraId="7F0BE547" w14:textId="7085884E" w:rsidR="005246C6" w:rsidRPr="00F57AC3" w:rsidRDefault="005246C6" w:rsidP="000B77E7">
      <w:pPr>
        <w:pStyle w:val="NormalWeb"/>
        <w:rPr>
          <w:color w:val="000000"/>
        </w:rPr>
      </w:pPr>
      <w:r w:rsidRPr="00F57AC3">
        <w:rPr>
          <w:color w:val="000000"/>
        </w:rPr>
        <w:t xml:space="preserve">O’Sullivan, J. (2015). Successful Leadership in the Early Years. Overcoming Leadership Challenges. Publishing: eBook Collection (EBSCOhost). University of Wales Trinity Saint Davis: Carmarthen (Accessed: 09 June 2024). </w:t>
      </w:r>
    </w:p>
    <w:p w14:paraId="21926B9E" w14:textId="2DE76B8D" w:rsidR="000B77E7" w:rsidRDefault="000B77E7" w:rsidP="000B77E7">
      <w:pPr>
        <w:pStyle w:val="NormalWeb"/>
        <w:rPr>
          <w:rStyle w:val="apple-converted-space"/>
          <w:rFonts w:eastAsiaTheme="majorEastAsia"/>
          <w:color w:val="000000"/>
        </w:rPr>
      </w:pPr>
      <w:proofErr w:type="spellStart"/>
      <w:r w:rsidRPr="00F57AC3">
        <w:rPr>
          <w:color w:val="000000"/>
        </w:rPr>
        <w:lastRenderedPageBreak/>
        <w:t>Pistner</w:t>
      </w:r>
      <w:proofErr w:type="spellEnd"/>
      <w:r w:rsidRPr="00F57AC3">
        <w:rPr>
          <w:color w:val="000000"/>
        </w:rPr>
        <w:t>, M. (2023)</w:t>
      </w:r>
      <w:r w:rsidRPr="00F57AC3">
        <w:rPr>
          <w:rStyle w:val="apple-converted-space"/>
          <w:rFonts w:eastAsiaTheme="majorEastAsia"/>
          <w:color w:val="000000"/>
        </w:rPr>
        <w:t> </w:t>
      </w:r>
      <w:r w:rsidRPr="00F57AC3">
        <w:rPr>
          <w:i/>
          <w:iCs/>
          <w:color w:val="000000"/>
        </w:rPr>
        <w:t>What is inclusive leadership: The richness of different perspectives</w:t>
      </w:r>
      <w:r w:rsidRPr="00F57AC3">
        <w:rPr>
          <w:color w:val="000000"/>
        </w:rPr>
        <w:t>,</w:t>
      </w:r>
      <w:r w:rsidRPr="00F57AC3">
        <w:rPr>
          <w:rStyle w:val="apple-converted-space"/>
          <w:rFonts w:eastAsiaTheme="majorEastAsia"/>
          <w:color w:val="000000"/>
        </w:rPr>
        <w:t> </w:t>
      </w:r>
      <w:r w:rsidRPr="00F57AC3">
        <w:rPr>
          <w:i/>
          <w:iCs/>
          <w:color w:val="000000"/>
        </w:rPr>
        <w:t>LinkedIn</w:t>
      </w:r>
      <w:r w:rsidRPr="00F57AC3">
        <w:rPr>
          <w:color w:val="000000"/>
        </w:rPr>
        <w:t>. Available at: https://www.linkedin.com/pulse/what-inclusive-leadership-richness-different-manuel-pistner (Accessed: 06 June 2024).</w:t>
      </w:r>
      <w:r w:rsidRPr="00F57AC3">
        <w:rPr>
          <w:rStyle w:val="apple-converted-space"/>
          <w:rFonts w:eastAsiaTheme="majorEastAsia"/>
          <w:color w:val="000000"/>
        </w:rPr>
        <w:t> </w:t>
      </w:r>
    </w:p>
    <w:p w14:paraId="197972CF" w14:textId="4B06BF7C" w:rsidR="001E7FEB" w:rsidRPr="001E7FEB" w:rsidRDefault="001E7FEB" w:rsidP="000B77E7">
      <w:pPr>
        <w:pStyle w:val="NormalWeb"/>
        <w:rPr>
          <w:rStyle w:val="apple-converted-space"/>
          <w:rFonts w:eastAsiaTheme="majorEastAsia"/>
          <w:color w:val="000000" w:themeColor="text1"/>
        </w:rPr>
      </w:pPr>
      <w:proofErr w:type="spellStart"/>
      <w:r w:rsidRPr="001E7FEB">
        <w:rPr>
          <w:color w:val="000000" w:themeColor="text1"/>
        </w:rPr>
        <w:t>Precey</w:t>
      </w:r>
      <w:proofErr w:type="spellEnd"/>
      <w:r w:rsidRPr="001E7FEB">
        <w:rPr>
          <w:color w:val="000000" w:themeColor="text1"/>
        </w:rPr>
        <w:t>, R. (2011). Inclusive leadership for inclusive education – The utopia worth working towards.</w:t>
      </w:r>
      <w:r w:rsidRPr="001E7FEB">
        <w:rPr>
          <w:rStyle w:val="apple-converted-space"/>
          <w:rFonts w:eastAsiaTheme="majorEastAsia"/>
          <w:color w:val="000000" w:themeColor="text1"/>
        </w:rPr>
        <w:t> </w:t>
      </w:r>
      <w:r w:rsidRPr="001E7FEB">
        <w:rPr>
          <w:rStyle w:val="citationsource-journal"/>
          <w:rFonts w:eastAsiaTheme="majorEastAsia"/>
          <w:i/>
          <w:iCs/>
          <w:color w:val="000000" w:themeColor="text1"/>
        </w:rPr>
        <w:t>Contemporary Management Quarterly</w:t>
      </w:r>
      <w:r w:rsidRPr="001E7FEB">
        <w:rPr>
          <w:color w:val="000000" w:themeColor="text1"/>
        </w:rPr>
        <w:t>, 2, 35–44.</w:t>
      </w:r>
      <w:r w:rsidRPr="001E7FEB">
        <w:rPr>
          <w:rStyle w:val="apple-converted-space"/>
          <w:rFonts w:eastAsiaTheme="majorEastAsia"/>
          <w:color w:val="000000" w:themeColor="text1"/>
        </w:rPr>
        <w:t> </w:t>
      </w:r>
      <w:hyperlink r:id="rId18" w:tgtFrame="_blank" w:history="1">
        <w:r w:rsidRPr="001E7FEB">
          <w:rPr>
            <w:rStyle w:val="Hyperlink"/>
            <w:rFonts w:eastAsiaTheme="majorEastAsia"/>
            <w:color w:val="000000" w:themeColor="text1"/>
            <w:u w:val="none"/>
          </w:rPr>
          <w:t>http://31.186.81.235:8080/api/files/v</w:t>
        </w:r>
        <w:r w:rsidRPr="001E7FEB">
          <w:rPr>
            <w:rStyle w:val="Hyperlink"/>
            <w:rFonts w:eastAsiaTheme="majorEastAsia"/>
            <w:color w:val="000000" w:themeColor="text1"/>
            <w:u w:val="none"/>
          </w:rPr>
          <w:t>i</w:t>
        </w:r>
        <w:r w:rsidRPr="001E7FEB">
          <w:rPr>
            <w:rStyle w:val="Hyperlink"/>
            <w:rFonts w:eastAsiaTheme="majorEastAsia"/>
            <w:color w:val="000000" w:themeColor="text1"/>
            <w:u w:val="none"/>
          </w:rPr>
          <w:t>ew/12801.pdf</w:t>
        </w:r>
      </w:hyperlink>
      <w:r w:rsidRPr="001E7FEB">
        <w:rPr>
          <w:color w:val="000000" w:themeColor="text1"/>
        </w:rPr>
        <w:t xml:space="preserve"> .(Accessed 12 June 2024).</w:t>
      </w:r>
    </w:p>
    <w:p w14:paraId="5A3ABEF7" w14:textId="0C32B78F" w:rsidR="00B73169" w:rsidRPr="00F57AC3" w:rsidRDefault="00B73169" w:rsidP="00B73169">
      <w:pPr>
        <w:rPr>
          <w:rFonts w:ascii="Times New Roman" w:eastAsia="Times New Roman" w:hAnsi="Times New Roman" w:cs="Times New Roman"/>
          <w:color w:val="000000" w:themeColor="text1"/>
          <w:kern w:val="0"/>
          <w:lang w:eastAsia="en-GB"/>
          <w14:ligatures w14:val="none"/>
        </w:rPr>
      </w:pPr>
      <w:r w:rsidRPr="00B73169">
        <w:rPr>
          <w:rFonts w:ascii="Times New Roman" w:eastAsia="Times New Roman" w:hAnsi="Times New Roman" w:cs="Times New Roman"/>
          <w:color w:val="000000" w:themeColor="text1"/>
          <w:kern w:val="0"/>
          <w:lang w:eastAsia="en-GB"/>
          <w14:ligatures w14:val="none"/>
        </w:rPr>
        <w:t>Ryan, J. (2006). Inclusive Leadership and Social Justice for Schools. Leadership and Policy in Schools. 5:1, 3-17.</w:t>
      </w:r>
      <w:r w:rsidRPr="00F57AC3">
        <w:rPr>
          <w:rFonts w:ascii="Times New Roman" w:eastAsia="Times New Roman" w:hAnsi="Times New Roman" w:cs="Times New Roman"/>
          <w:color w:val="000000" w:themeColor="text1"/>
          <w:kern w:val="0"/>
          <w:lang w:eastAsia="en-GB"/>
          <w14:ligatures w14:val="none"/>
        </w:rPr>
        <w:t xml:space="preserve"> (Accessed: 11 June 2024).</w:t>
      </w:r>
    </w:p>
    <w:p w14:paraId="51A58CDC" w14:textId="77777777" w:rsidR="00B73169" w:rsidRPr="00F57AC3" w:rsidRDefault="00B73169" w:rsidP="00B73169">
      <w:pPr>
        <w:rPr>
          <w:rFonts w:ascii="Times New Roman" w:eastAsia="Times New Roman" w:hAnsi="Times New Roman" w:cs="Times New Roman"/>
          <w:color w:val="000000" w:themeColor="text1"/>
          <w:kern w:val="0"/>
          <w:sz w:val="22"/>
          <w:szCs w:val="22"/>
          <w:lang w:eastAsia="en-GB"/>
          <w14:ligatures w14:val="none"/>
        </w:rPr>
      </w:pPr>
    </w:p>
    <w:p w14:paraId="1E91D242" w14:textId="14BBF154" w:rsidR="002832BB" w:rsidRDefault="002832BB" w:rsidP="00B73169">
      <w:pPr>
        <w:rPr>
          <w:rStyle w:val="apple-converted-space"/>
          <w:rFonts w:ascii="Times New Roman" w:eastAsiaTheme="majorEastAsia" w:hAnsi="Times New Roman" w:cs="Times New Roman"/>
          <w:color w:val="000000"/>
        </w:rPr>
      </w:pPr>
      <w:r>
        <w:rPr>
          <w:rStyle w:val="apple-converted-space"/>
          <w:rFonts w:ascii="Times New Roman" w:eastAsiaTheme="majorEastAsia" w:hAnsi="Times New Roman" w:cs="Times New Roman"/>
          <w:color w:val="000000"/>
        </w:rPr>
        <w:t xml:space="preserve">Sanders, M. G. (2006). Building school-community partnerships: Collaboration for student success. Corwin Press. (Accessed: 12 June 2024). </w:t>
      </w:r>
    </w:p>
    <w:p w14:paraId="27752093" w14:textId="77777777" w:rsidR="002832BB" w:rsidRDefault="002832BB" w:rsidP="00B73169">
      <w:pPr>
        <w:rPr>
          <w:rStyle w:val="apple-converted-space"/>
          <w:rFonts w:ascii="Times New Roman" w:eastAsiaTheme="majorEastAsia" w:hAnsi="Times New Roman" w:cs="Times New Roman"/>
          <w:color w:val="000000"/>
        </w:rPr>
      </w:pPr>
    </w:p>
    <w:p w14:paraId="0425B020" w14:textId="5B3BFD66" w:rsidR="005246C6" w:rsidRPr="00F57AC3" w:rsidRDefault="005246C6" w:rsidP="00B73169">
      <w:pPr>
        <w:rPr>
          <w:rStyle w:val="apple-converted-space"/>
          <w:rFonts w:ascii="Times New Roman" w:eastAsia="Times New Roman" w:hAnsi="Times New Roman" w:cs="Times New Roman"/>
          <w:color w:val="000000" w:themeColor="text1"/>
          <w:kern w:val="0"/>
          <w:sz w:val="22"/>
          <w:szCs w:val="22"/>
          <w:lang w:eastAsia="en-GB"/>
          <w14:ligatures w14:val="none"/>
        </w:rPr>
      </w:pPr>
      <w:r w:rsidRPr="00F57AC3">
        <w:rPr>
          <w:rStyle w:val="apple-converted-space"/>
          <w:rFonts w:ascii="Times New Roman" w:eastAsiaTheme="majorEastAsia" w:hAnsi="Times New Roman" w:cs="Times New Roman"/>
          <w:color w:val="000000"/>
        </w:rPr>
        <w:t xml:space="preserve">Scanlan, M., Johnson, L (2020). Inclusive Leadership on the Social Frontiers. Family and Community Engagement. Chapter 9. </w:t>
      </w:r>
      <w:r w:rsidR="00644346" w:rsidRPr="00F57AC3">
        <w:rPr>
          <w:rStyle w:val="apple-converted-space"/>
          <w:rFonts w:ascii="Times New Roman" w:eastAsiaTheme="majorEastAsia" w:hAnsi="Times New Roman" w:cs="Times New Roman"/>
          <w:color w:val="000000"/>
        </w:rPr>
        <w:t xml:space="preserve"> Publish</w:t>
      </w:r>
      <w:r w:rsidR="00992F47" w:rsidRPr="00F57AC3">
        <w:rPr>
          <w:rStyle w:val="apple-converted-space"/>
          <w:rFonts w:ascii="Times New Roman" w:eastAsiaTheme="majorEastAsia" w:hAnsi="Times New Roman" w:cs="Times New Roman"/>
          <w:color w:val="000000"/>
        </w:rPr>
        <w:t>ing</w:t>
      </w:r>
      <w:r w:rsidR="00644346" w:rsidRPr="00F57AC3">
        <w:rPr>
          <w:rStyle w:val="apple-converted-space"/>
          <w:rFonts w:ascii="Times New Roman" w:eastAsiaTheme="majorEastAsia" w:hAnsi="Times New Roman" w:cs="Times New Roman"/>
          <w:color w:val="000000"/>
        </w:rPr>
        <w:t xml:space="preserve">: </w:t>
      </w:r>
      <w:r w:rsidR="00644346" w:rsidRPr="00F57AC3">
        <w:rPr>
          <w:rFonts w:ascii="Times New Roman" w:hAnsi="Times New Roman" w:cs="Times New Roman"/>
          <w:color w:val="000000"/>
        </w:rPr>
        <w:t xml:space="preserve">eBook Collection (EBSCOhost). </w:t>
      </w:r>
      <w:r w:rsidR="00644346" w:rsidRPr="00F57AC3">
        <w:rPr>
          <w:rStyle w:val="apple-converted-space"/>
          <w:rFonts w:ascii="Times New Roman" w:eastAsiaTheme="majorEastAsia" w:hAnsi="Times New Roman" w:cs="Times New Roman"/>
          <w:color w:val="000000"/>
        </w:rPr>
        <w:t xml:space="preserve">University of Sain Trinity Davis. </w:t>
      </w:r>
      <w:r w:rsidRPr="00F57AC3">
        <w:rPr>
          <w:rStyle w:val="apple-converted-space"/>
          <w:rFonts w:ascii="Times New Roman" w:eastAsiaTheme="majorEastAsia" w:hAnsi="Times New Roman" w:cs="Times New Roman"/>
          <w:color w:val="000000"/>
        </w:rPr>
        <w:t xml:space="preserve">(Accessed: 09 June 2024). </w:t>
      </w:r>
    </w:p>
    <w:p w14:paraId="7B82D7FF" w14:textId="670A8F53" w:rsidR="00C852E8" w:rsidRDefault="00C852E8" w:rsidP="002960DC">
      <w:pPr>
        <w:pStyle w:val="NormalWeb"/>
        <w:rPr>
          <w:rStyle w:val="apple-converted-space"/>
          <w:rFonts w:eastAsiaTheme="majorEastAsia"/>
          <w:color w:val="000000"/>
        </w:rPr>
      </w:pPr>
      <w:r>
        <w:rPr>
          <w:rStyle w:val="apple-converted-space"/>
          <w:rFonts w:eastAsiaTheme="majorEastAsia"/>
          <w:color w:val="000000"/>
        </w:rPr>
        <w:t>Spillane, J.P., Halverson, R., &amp; Diamond, J.B. (2001). Investigating school leadership practice: A distributed perspective. Educational Researcher, 30(3), 23-28. (Accessed: 10 June 2024)</w:t>
      </w:r>
      <w:r w:rsidR="00666B0F">
        <w:rPr>
          <w:rStyle w:val="apple-converted-space"/>
          <w:rFonts w:eastAsiaTheme="majorEastAsia"/>
          <w:color w:val="000000"/>
        </w:rPr>
        <w:t>.</w:t>
      </w:r>
    </w:p>
    <w:p w14:paraId="35E44E57" w14:textId="2ECCA280" w:rsidR="002960DC" w:rsidRPr="00F57AC3" w:rsidRDefault="002960DC" w:rsidP="002960DC">
      <w:pPr>
        <w:pStyle w:val="NormalWeb"/>
        <w:rPr>
          <w:color w:val="000000"/>
        </w:rPr>
      </w:pPr>
      <w:r w:rsidRPr="00F57AC3">
        <w:rPr>
          <w:rStyle w:val="apple-converted-space"/>
          <w:rFonts w:eastAsiaTheme="majorEastAsia"/>
          <w:color w:val="000000"/>
        </w:rPr>
        <w:t xml:space="preserve">Sylva, K., </w:t>
      </w:r>
      <w:proofErr w:type="spellStart"/>
      <w:r w:rsidRPr="00F57AC3">
        <w:rPr>
          <w:rStyle w:val="apple-converted-space"/>
          <w:rFonts w:eastAsiaTheme="majorEastAsia"/>
          <w:color w:val="000000"/>
        </w:rPr>
        <w:t>Melhuish</w:t>
      </w:r>
      <w:proofErr w:type="spellEnd"/>
      <w:r w:rsidRPr="00F57AC3">
        <w:rPr>
          <w:rStyle w:val="apple-converted-space"/>
          <w:rFonts w:eastAsiaTheme="majorEastAsia"/>
          <w:color w:val="000000"/>
        </w:rPr>
        <w:t>, E., Sammons, P., Siraj-Blatchford, I., &amp;</w:t>
      </w:r>
      <w:proofErr w:type="spellStart"/>
      <w:r w:rsidRPr="00F57AC3">
        <w:rPr>
          <w:rStyle w:val="apple-converted-space"/>
          <w:rFonts w:eastAsiaTheme="majorEastAsia"/>
          <w:color w:val="000000"/>
        </w:rPr>
        <w:t>Taggart,B</w:t>
      </w:r>
      <w:proofErr w:type="spellEnd"/>
      <w:r w:rsidRPr="00F57AC3">
        <w:rPr>
          <w:rStyle w:val="apple-converted-space"/>
          <w:rFonts w:eastAsiaTheme="majorEastAsia"/>
          <w:color w:val="000000"/>
        </w:rPr>
        <w:t xml:space="preserve">. (2010). Early childhood matters: Evidence from the Effective pre-school and Primary Education project. Routledge. </w:t>
      </w:r>
      <w:r w:rsidRPr="00F57AC3">
        <w:rPr>
          <w:color w:val="000000"/>
        </w:rPr>
        <w:t>(Accessed: 07 June 2024).</w:t>
      </w:r>
    </w:p>
    <w:p w14:paraId="03CC49A1" w14:textId="77777777" w:rsidR="002960DC" w:rsidRPr="00F57AC3" w:rsidRDefault="002960DC" w:rsidP="002960DC">
      <w:pPr>
        <w:pStyle w:val="NormalWeb"/>
        <w:rPr>
          <w:color w:val="000000"/>
        </w:rPr>
      </w:pPr>
      <w:r w:rsidRPr="00F57AC3">
        <w:rPr>
          <w:rStyle w:val="apple-converted-space"/>
          <w:rFonts w:eastAsiaTheme="majorEastAsia"/>
          <w:color w:val="000000"/>
        </w:rPr>
        <w:t xml:space="preserve">Rodd, J. (2013). Leadership in early childhood: The pathway to professionalism. Allen &amp;Unwin. </w:t>
      </w:r>
      <w:r w:rsidRPr="00F57AC3">
        <w:rPr>
          <w:color w:val="000000"/>
        </w:rPr>
        <w:t>(Accessed: 07 June 2024).</w:t>
      </w:r>
    </w:p>
    <w:p w14:paraId="4D0DBA76" w14:textId="302A5D7C" w:rsidR="002960DC" w:rsidRPr="00F57AC3" w:rsidRDefault="002960DC" w:rsidP="002960DC">
      <w:pPr>
        <w:pStyle w:val="NormalWeb"/>
        <w:rPr>
          <w:color w:val="000000"/>
        </w:rPr>
      </w:pPr>
      <w:r w:rsidRPr="00F57AC3">
        <w:rPr>
          <w:color w:val="000000"/>
        </w:rPr>
        <w:t xml:space="preserve">Waniganayake, M., Rodd, J.,  &amp; Gibbs, L. (2015). Thinking and learning: Early childhood research from Australia, Finland, and Norway. Community Playthings. </w:t>
      </w:r>
      <w:r w:rsidRPr="00F57AC3">
        <w:rPr>
          <w:color w:val="000000"/>
        </w:rPr>
        <w:t>(Accessed: 07 June 2024).</w:t>
      </w:r>
    </w:p>
    <w:p w14:paraId="1BCBACCA" w14:textId="61E171BE" w:rsidR="00F57AC3" w:rsidRPr="00F57AC3" w:rsidRDefault="00F57AC3" w:rsidP="00F57AC3">
      <w:pPr>
        <w:pStyle w:val="NormalWeb"/>
        <w:rPr>
          <w:color w:val="000000"/>
        </w:rPr>
      </w:pPr>
      <w:r w:rsidRPr="00F57AC3">
        <w:rPr>
          <w:color w:val="000000"/>
        </w:rPr>
        <w:t xml:space="preserve">Welsh Government (2016) </w:t>
      </w:r>
      <w:proofErr w:type="spellStart"/>
      <w:r w:rsidRPr="00F57AC3">
        <w:rPr>
          <w:color w:val="000000"/>
        </w:rPr>
        <w:t>FaCE</w:t>
      </w:r>
      <w:proofErr w:type="spellEnd"/>
      <w:r w:rsidRPr="00F57AC3">
        <w:rPr>
          <w:color w:val="000000"/>
        </w:rPr>
        <w:t xml:space="preserve"> the challenge together: Family and community engagement toolkit for schools in Wales Main guidance. Available at: </w:t>
      </w:r>
      <w:hyperlink r:id="rId19" w:history="1">
        <w:r w:rsidRPr="00F57AC3">
          <w:rPr>
            <w:rStyle w:val="Hyperlink"/>
          </w:rPr>
          <w:t>https://gov.wales/sites/default/files/publications/2018-12/face-the-challenge-together-family-and-commu</w:t>
        </w:r>
        <w:r w:rsidRPr="00F57AC3">
          <w:rPr>
            <w:rStyle w:val="Hyperlink"/>
          </w:rPr>
          <w:t>n</w:t>
        </w:r>
        <w:r w:rsidRPr="00F57AC3">
          <w:rPr>
            <w:rStyle w:val="Hyperlink"/>
          </w:rPr>
          <w:t>ity-engagement-toolkit-for-schools-in-wales-main-guidance.pdf</w:t>
        </w:r>
      </w:hyperlink>
      <w:r w:rsidRPr="00F57AC3">
        <w:rPr>
          <w:color w:val="000000"/>
        </w:rPr>
        <w:t xml:space="preserve">  (Accessed: </w:t>
      </w:r>
      <w:r w:rsidRPr="00DD4866">
        <w:rPr>
          <w:color w:val="000000"/>
        </w:rPr>
        <w:t>11 June 2024</w:t>
      </w:r>
      <w:r w:rsidRPr="00F57AC3">
        <w:rPr>
          <w:color w:val="000000"/>
        </w:rPr>
        <w:t>)</w:t>
      </w:r>
    </w:p>
    <w:p w14:paraId="76ED0795" w14:textId="01BE29C7" w:rsidR="00DD4866" w:rsidRPr="00DD4866" w:rsidRDefault="00DD4866" w:rsidP="00DD4866">
      <w:pPr>
        <w:pStyle w:val="NormalWeb"/>
        <w:rPr>
          <w:color w:val="000000"/>
        </w:rPr>
      </w:pPr>
      <w:r w:rsidRPr="00DD4866">
        <w:rPr>
          <w:color w:val="000000"/>
        </w:rPr>
        <w:t xml:space="preserve">Welsh Government (2017) </w:t>
      </w:r>
      <w:r w:rsidRPr="00DD4866">
        <w:rPr>
          <w:i/>
          <w:iCs/>
          <w:color w:val="000000"/>
        </w:rPr>
        <w:t>Families First: Programme Guidance</w:t>
      </w:r>
      <w:r w:rsidRPr="00DD4866">
        <w:rPr>
          <w:color w:val="000000"/>
        </w:rPr>
        <w:t xml:space="preserve">. Available at: </w:t>
      </w:r>
      <w:hyperlink r:id="rId20" w:history="1">
        <w:r w:rsidRPr="00DD4866">
          <w:rPr>
            <w:rStyle w:val="Hyperlink"/>
            <w:u w:val="none"/>
          </w:rPr>
          <w:t>https://gov.wales/sites/default/files/publications/2019-07/families-first-guidance-for-local-authorities_0.pdf</w:t>
        </w:r>
      </w:hyperlink>
      <w:r w:rsidRPr="00DD4866">
        <w:rPr>
          <w:color w:val="000000"/>
        </w:rPr>
        <w:t xml:space="preserve"> (Accessed: </w:t>
      </w:r>
      <w:r w:rsidRPr="00DD4866">
        <w:rPr>
          <w:color w:val="000000"/>
        </w:rPr>
        <w:t>11 June 2024</w:t>
      </w:r>
      <w:r w:rsidRPr="00DD4866">
        <w:rPr>
          <w:color w:val="000000"/>
        </w:rPr>
        <w:t>)</w:t>
      </w:r>
    </w:p>
    <w:p w14:paraId="1B14E682" w14:textId="77777777" w:rsidR="00F57AC3" w:rsidRPr="00F57AC3" w:rsidRDefault="00F57AC3" w:rsidP="002960DC">
      <w:pPr>
        <w:pStyle w:val="NormalWeb"/>
        <w:rPr>
          <w:color w:val="000000"/>
        </w:rPr>
      </w:pPr>
    </w:p>
    <w:p w14:paraId="3E84D7BA" w14:textId="22B73229" w:rsidR="002960DC" w:rsidRPr="00F57AC3" w:rsidRDefault="002960DC" w:rsidP="000B77E7">
      <w:pPr>
        <w:pStyle w:val="NormalWeb"/>
        <w:rPr>
          <w:color w:val="000000"/>
        </w:rPr>
      </w:pPr>
    </w:p>
    <w:p w14:paraId="058C43D5" w14:textId="19AE96AB" w:rsidR="0001513A" w:rsidRPr="00F57AC3" w:rsidRDefault="0001513A">
      <w:pPr>
        <w:rPr>
          <w:rFonts w:ascii="Times New Roman" w:hAnsi="Times New Roman" w:cs="Times New Roman"/>
        </w:rPr>
      </w:pPr>
    </w:p>
    <w:sectPr w:rsidR="0001513A" w:rsidRPr="00F57AC3" w:rsidSect="00592F72">
      <w:headerReference w:type="default" r:id="rId21"/>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02356" w14:textId="77777777" w:rsidR="00B1101B" w:rsidRDefault="00B1101B" w:rsidP="0034290B">
      <w:r>
        <w:separator/>
      </w:r>
    </w:p>
  </w:endnote>
  <w:endnote w:type="continuationSeparator" w:id="0">
    <w:p w14:paraId="55A2C737" w14:textId="77777777" w:rsidR="00B1101B" w:rsidRDefault="00B1101B" w:rsidP="00342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Kohinoor Devanagari">
    <w:panose1 w:val="020000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905085"/>
      <w:docPartObj>
        <w:docPartGallery w:val="Page Numbers (Bottom of Page)"/>
        <w:docPartUnique/>
      </w:docPartObj>
    </w:sdtPr>
    <w:sdtContent>
      <w:p w14:paraId="5A43DD87" w14:textId="3C62CFDA"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AEFD9A" w14:textId="77777777" w:rsidR="0034290B" w:rsidRDefault="0034290B" w:rsidP="00342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6476254"/>
      <w:docPartObj>
        <w:docPartGallery w:val="Page Numbers (Bottom of Page)"/>
        <w:docPartUnique/>
      </w:docPartObj>
    </w:sdtPr>
    <w:sdtContent>
      <w:p w14:paraId="77FA5675" w14:textId="1BBEB956"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8AB2CE" w14:textId="77777777" w:rsidR="0034290B" w:rsidRDefault="0034290B" w:rsidP="003429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8AB74" w14:textId="77777777" w:rsidR="00B1101B" w:rsidRDefault="00B1101B" w:rsidP="0034290B">
      <w:r>
        <w:separator/>
      </w:r>
    </w:p>
  </w:footnote>
  <w:footnote w:type="continuationSeparator" w:id="0">
    <w:p w14:paraId="1E1C2E40" w14:textId="77777777" w:rsidR="00B1101B" w:rsidRDefault="00B1101B" w:rsidP="00342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2D133" w14:textId="25A9D094" w:rsidR="0034290B" w:rsidRDefault="0034290B">
    <w:pPr>
      <w:pStyle w:val="Header"/>
    </w:pPr>
    <w:r>
      <w:t xml:space="preserve">Zahra Bashir </w:t>
    </w:r>
  </w:p>
  <w:p w14:paraId="471471CA" w14:textId="039108A7" w:rsidR="0034290B" w:rsidRDefault="0034290B">
    <w:pPr>
      <w:pStyle w:val="Header"/>
    </w:pPr>
    <w:r>
      <w:t>2308220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364"/>
    <w:multiLevelType w:val="hybridMultilevel"/>
    <w:tmpl w:val="41DE6144"/>
    <w:lvl w:ilvl="0" w:tplc="F0B85A1E">
      <w:start w:val="1"/>
      <w:numFmt w:val="bullet"/>
      <w:lvlText w:val="•"/>
      <w:lvlJc w:val="left"/>
      <w:pPr>
        <w:tabs>
          <w:tab w:val="num" w:pos="720"/>
        </w:tabs>
        <w:ind w:left="720" w:hanging="360"/>
      </w:pPr>
      <w:rPr>
        <w:rFonts w:ascii="Arial" w:hAnsi="Arial" w:hint="default"/>
      </w:rPr>
    </w:lvl>
    <w:lvl w:ilvl="1" w:tplc="972C10A0" w:tentative="1">
      <w:start w:val="1"/>
      <w:numFmt w:val="bullet"/>
      <w:lvlText w:val="•"/>
      <w:lvlJc w:val="left"/>
      <w:pPr>
        <w:tabs>
          <w:tab w:val="num" w:pos="1440"/>
        </w:tabs>
        <w:ind w:left="1440" w:hanging="360"/>
      </w:pPr>
      <w:rPr>
        <w:rFonts w:ascii="Arial" w:hAnsi="Arial" w:hint="default"/>
      </w:rPr>
    </w:lvl>
    <w:lvl w:ilvl="2" w:tplc="5082131A" w:tentative="1">
      <w:start w:val="1"/>
      <w:numFmt w:val="bullet"/>
      <w:lvlText w:val="•"/>
      <w:lvlJc w:val="left"/>
      <w:pPr>
        <w:tabs>
          <w:tab w:val="num" w:pos="2160"/>
        </w:tabs>
        <w:ind w:left="2160" w:hanging="360"/>
      </w:pPr>
      <w:rPr>
        <w:rFonts w:ascii="Arial" w:hAnsi="Arial" w:hint="default"/>
      </w:rPr>
    </w:lvl>
    <w:lvl w:ilvl="3" w:tplc="24B8017A" w:tentative="1">
      <w:start w:val="1"/>
      <w:numFmt w:val="bullet"/>
      <w:lvlText w:val="•"/>
      <w:lvlJc w:val="left"/>
      <w:pPr>
        <w:tabs>
          <w:tab w:val="num" w:pos="2880"/>
        </w:tabs>
        <w:ind w:left="2880" w:hanging="360"/>
      </w:pPr>
      <w:rPr>
        <w:rFonts w:ascii="Arial" w:hAnsi="Arial" w:hint="default"/>
      </w:rPr>
    </w:lvl>
    <w:lvl w:ilvl="4" w:tplc="DE4C9964" w:tentative="1">
      <w:start w:val="1"/>
      <w:numFmt w:val="bullet"/>
      <w:lvlText w:val="•"/>
      <w:lvlJc w:val="left"/>
      <w:pPr>
        <w:tabs>
          <w:tab w:val="num" w:pos="3600"/>
        </w:tabs>
        <w:ind w:left="3600" w:hanging="360"/>
      </w:pPr>
      <w:rPr>
        <w:rFonts w:ascii="Arial" w:hAnsi="Arial" w:hint="default"/>
      </w:rPr>
    </w:lvl>
    <w:lvl w:ilvl="5" w:tplc="0EB6B6FA" w:tentative="1">
      <w:start w:val="1"/>
      <w:numFmt w:val="bullet"/>
      <w:lvlText w:val="•"/>
      <w:lvlJc w:val="left"/>
      <w:pPr>
        <w:tabs>
          <w:tab w:val="num" w:pos="4320"/>
        </w:tabs>
        <w:ind w:left="4320" w:hanging="360"/>
      </w:pPr>
      <w:rPr>
        <w:rFonts w:ascii="Arial" w:hAnsi="Arial" w:hint="default"/>
      </w:rPr>
    </w:lvl>
    <w:lvl w:ilvl="6" w:tplc="08A84E4A" w:tentative="1">
      <w:start w:val="1"/>
      <w:numFmt w:val="bullet"/>
      <w:lvlText w:val="•"/>
      <w:lvlJc w:val="left"/>
      <w:pPr>
        <w:tabs>
          <w:tab w:val="num" w:pos="5040"/>
        </w:tabs>
        <w:ind w:left="5040" w:hanging="360"/>
      </w:pPr>
      <w:rPr>
        <w:rFonts w:ascii="Arial" w:hAnsi="Arial" w:hint="default"/>
      </w:rPr>
    </w:lvl>
    <w:lvl w:ilvl="7" w:tplc="C790579C" w:tentative="1">
      <w:start w:val="1"/>
      <w:numFmt w:val="bullet"/>
      <w:lvlText w:val="•"/>
      <w:lvlJc w:val="left"/>
      <w:pPr>
        <w:tabs>
          <w:tab w:val="num" w:pos="5760"/>
        </w:tabs>
        <w:ind w:left="5760" w:hanging="360"/>
      </w:pPr>
      <w:rPr>
        <w:rFonts w:ascii="Arial" w:hAnsi="Arial" w:hint="default"/>
      </w:rPr>
    </w:lvl>
    <w:lvl w:ilvl="8" w:tplc="592E95A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3F4065"/>
    <w:multiLevelType w:val="hybridMultilevel"/>
    <w:tmpl w:val="42122A20"/>
    <w:lvl w:ilvl="0" w:tplc="915C204E">
      <w:start w:val="1"/>
      <w:numFmt w:val="bullet"/>
      <w:lvlText w:val="•"/>
      <w:lvlJc w:val="left"/>
      <w:pPr>
        <w:tabs>
          <w:tab w:val="num" w:pos="720"/>
        </w:tabs>
        <w:ind w:left="720" w:hanging="360"/>
      </w:pPr>
      <w:rPr>
        <w:rFonts w:ascii="Arial" w:hAnsi="Arial" w:hint="default"/>
      </w:rPr>
    </w:lvl>
    <w:lvl w:ilvl="1" w:tplc="CCD8FF76" w:tentative="1">
      <w:start w:val="1"/>
      <w:numFmt w:val="bullet"/>
      <w:lvlText w:val="•"/>
      <w:lvlJc w:val="left"/>
      <w:pPr>
        <w:tabs>
          <w:tab w:val="num" w:pos="1440"/>
        </w:tabs>
        <w:ind w:left="1440" w:hanging="360"/>
      </w:pPr>
      <w:rPr>
        <w:rFonts w:ascii="Arial" w:hAnsi="Arial" w:hint="default"/>
      </w:rPr>
    </w:lvl>
    <w:lvl w:ilvl="2" w:tplc="D800316A" w:tentative="1">
      <w:start w:val="1"/>
      <w:numFmt w:val="bullet"/>
      <w:lvlText w:val="•"/>
      <w:lvlJc w:val="left"/>
      <w:pPr>
        <w:tabs>
          <w:tab w:val="num" w:pos="2160"/>
        </w:tabs>
        <w:ind w:left="2160" w:hanging="360"/>
      </w:pPr>
      <w:rPr>
        <w:rFonts w:ascii="Arial" w:hAnsi="Arial" w:hint="default"/>
      </w:rPr>
    </w:lvl>
    <w:lvl w:ilvl="3" w:tplc="40C897A2" w:tentative="1">
      <w:start w:val="1"/>
      <w:numFmt w:val="bullet"/>
      <w:lvlText w:val="•"/>
      <w:lvlJc w:val="left"/>
      <w:pPr>
        <w:tabs>
          <w:tab w:val="num" w:pos="2880"/>
        </w:tabs>
        <w:ind w:left="2880" w:hanging="360"/>
      </w:pPr>
      <w:rPr>
        <w:rFonts w:ascii="Arial" w:hAnsi="Arial" w:hint="default"/>
      </w:rPr>
    </w:lvl>
    <w:lvl w:ilvl="4" w:tplc="BDD2CD6E" w:tentative="1">
      <w:start w:val="1"/>
      <w:numFmt w:val="bullet"/>
      <w:lvlText w:val="•"/>
      <w:lvlJc w:val="left"/>
      <w:pPr>
        <w:tabs>
          <w:tab w:val="num" w:pos="3600"/>
        </w:tabs>
        <w:ind w:left="3600" w:hanging="360"/>
      </w:pPr>
      <w:rPr>
        <w:rFonts w:ascii="Arial" w:hAnsi="Arial" w:hint="default"/>
      </w:rPr>
    </w:lvl>
    <w:lvl w:ilvl="5" w:tplc="9AA42832" w:tentative="1">
      <w:start w:val="1"/>
      <w:numFmt w:val="bullet"/>
      <w:lvlText w:val="•"/>
      <w:lvlJc w:val="left"/>
      <w:pPr>
        <w:tabs>
          <w:tab w:val="num" w:pos="4320"/>
        </w:tabs>
        <w:ind w:left="4320" w:hanging="360"/>
      </w:pPr>
      <w:rPr>
        <w:rFonts w:ascii="Arial" w:hAnsi="Arial" w:hint="default"/>
      </w:rPr>
    </w:lvl>
    <w:lvl w:ilvl="6" w:tplc="897CD72A" w:tentative="1">
      <w:start w:val="1"/>
      <w:numFmt w:val="bullet"/>
      <w:lvlText w:val="•"/>
      <w:lvlJc w:val="left"/>
      <w:pPr>
        <w:tabs>
          <w:tab w:val="num" w:pos="5040"/>
        </w:tabs>
        <w:ind w:left="5040" w:hanging="360"/>
      </w:pPr>
      <w:rPr>
        <w:rFonts w:ascii="Arial" w:hAnsi="Arial" w:hint="default"/>
      </w:rPr>
    </w:lvl>
    <w:lvl w:ilvl="7" w:tplc="118C887A" w:tentative="1">
      <w:start w:val="1"/>
      <w:numFmt w:val="bullet"/>
      <w:lvlText w:val="•"/>
      <w:lvlJc w:val="left"/>
      <w:pPr>
        <w:tabs>
          <w:tab w:val="num" w:pos="5760"/>
        </w:tabs>
        <w:ind w:left="5760" w:hanging="360"/>
      </w:pPr>
      <w:rPr>
        <w:rFonts w:ascii="Arial" w:hAnsi="Arial" w:hint="default"/>
      </w:rPr>
    </w:lvl>
    <w:lvl w:ilvl="8" w:tplc="1E3099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15774E"/>
    <w:multiLevelType w:val="hybridMultilevel"/>
    <w:tmpl w:val="69880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E4051"/>
    <w:multiLevelType w:val="hybridMultilevel"/>
    <w:tmpl w:val="6108EC5C"/>
    <w:lvl w:ilvl="0" w:tplc="2752FF46">
      <w:start w:val="1"/>
      <w:numFmt w:val="bullet"/>
      <w:lvlText w:val="•"/>
      <w:lvlJc w:val="left"/>
      <w:pPr>
        <w:tabs>
          <w:tab w:val="num" w:pos="720"/>
        </w:tabs>
        <w:ind w:left="720" w:hanging="360"/>
      </w:pPr>
      <w:rPr>
        <w:rFonts w:ascii="Arial" w:hAnsi="Arial" w:hint="default"/>
      </w:rPr>
    </w:lvl>
    <w:lvl w:ilvl="1" w:tplc="CDF4AF0C" w:tentative="1">
      <w:start w:val="1"/>
      <w:numFmt w:val="bullet"/>
      <w:lvlText w:val="•"/>
      <w:lvlJc w:val="left"/>
      <w:pPr>
        <w:tabs>
          <w:tab w:val="num" w:pos="1440"/>
        </w:tabs>
        <w:ind w:left="1440" w:hanging="360"/>
      </w:pPr>
      <w:rPr>
        <w:rFonts w:ascii="Arial" w:hAnsi="Arial" w:hint="default"/>
      </w:rPr>
    </w:lvl>
    <w:lvl w:ilvl="2" w:tplc="EF38FA78" w:tentative="1">
      <w:start w:val="1"/>
      <w:numFmt w:val="bullet"/>
      <w:lvlText w:val="•"/>
      <w:lvlJc w:val="left"/>
      <w:pPr>
        <w:tabs>
          <w:tab w:val="num" w:pos="2160"/>
        </w:tabs>
        <w:ind w:left="2160" w:hanging="360"/>
      </w:pPr>
      <w:rPr>
        <w:rFonts w:ascii="Arial" w:hAnsi="Arial" w:hint="default"/>
      </w:rPr>
    </w:lvl>
    <w:lvl w:ilvl="3" w:tplc="7ED6662E" w:tentative="1">
      <w:start w:val="1"/>
      <w:numFmt w:val="bullet"/>
      <w:lvlText w:val="•"/>
      <w:lvlJc w:val="left"/>
      <w:pPr>
        <w:tabs>
          <w:tab w:val="num" w:pos="2880"/>
        </w:tabs>
        <w:ind w:left="2880" w:hanging="360"/>
      </w:pPr>
      <w:rPr>
        <w:rFonts w:ascii="Arial" w:hAnsi="Arial" w:hint="default"/>
      </w:rPr>
    </w:lvl>
    <w:lvl w:ilvl="4" w:tplc="87C4E52C" w:tentative="1">
      <w:start w:val="1"/>
      <w:numFmt w:val="bullet"/>
      <w:lvlText w:val="•"/>
      <w:lvlJc w:val="left"/>
      <w:pPr>
        <w:tabs>
          <w:tab w:val="num" w:pos="3600"/>
        </w:tabs>
        <w:ind w:left="3600" w:hanging="360"/>
      </w:pPr>
      <w:rPr>
        <w:rFonts w:ascii="Arial" w:hAnsi="Arial" w:hint="default"/>
      </w:rPr>
    </w:lvl>
    <w:lvl w:ilvl="5" w:tplc="5A7E0F86" w:tentative="1">
      <w:start w:val="1"/>
      <w:numFmt w:val="bullet"/>
      <w:lvlText w:val="•"/>
      <w:lvlJc w:val="left"/>
      <w:pPr>
        <w:tabs>
          <w:tab w:val="num" w:pos="4320"/>
        </w:tabs>
        <w:ind w:left="4320" w:hanging="360"/>
      </w:pPr>
      <w:rPr>
        <w:rFonts w:ascii="Arial" w:hAnsi="Arial" w:hint="default"/>
      </w:rPr>
    </w:lvl>
    <w:lvl w:ilvl="6" w:tplc="E62A58B6" w:tentative="1">
      <w:start w:val="1"/>
      <w:numFmt w:val="bullet"/>
      <w:lvlText w:val="•"/>
      <w:lvlJc w:val="left"/>
      <w:pPr>
        <w:tabs>
          <w:tab w:val="num" w:pos="5040"/>
        </w:tabs>
        <w:ind w:left="5040" w:hanging="360"/>
      </w:pPr>
      <w:rPr>
        <w:rFonts w:ascii="Arial" w:hAnsi="Arial" w:hint="default"/>
      </w:rPr>
    </w:lvl>
    <w:lvl w:ilvl="7" w:tplc="9448FF76" w:tentative="1">
      <w:start w:val="1"/>
      <w:numFmt w:val="bullet"/>
      <w:lvlText w:val="•"/>
      <w:lvlJc w:val="left"/>
      <w:pPr>
        <w:tabs>
          <w:tab w:val="num" w:pos="5760"/>
        </w:tabs>
        <w:ind w:left="5760" w:hanging="360"/>
      </w:pPr>
      <w:rPr>
        <w:rFonts w:ascii="Arial" w:hAnsi="Arial" w:hint="default"/>
      </w:rPr>
    </w:lvl>
    <w:lvl w:ilvl="8" w:tplc="FE942E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635467"/>
    <w:multiLevelType w:val="hybridMultilevel"/>
    <w:tmpl w:val="52A4C18C"/>
    <w:lvl w:ilvl="0" w:tplc="AB1AA9B6">
      <w:start w:val="1"/>
      <w:numFmt w:val="bullet"/>
      <w:lvlText w:val="•"/>
      <w:lvlJc w:val="left"/>
      <w:pPr>
        <w:tabs>
          <w:tab w:val="num" w:pos="720"/>
        </w:tabs>
        <w:ind w:left="720" w:hanging="360"/>
      </w:pPr>
      <w:rPr>
        <w:rFonts w:ascii="Arial" w:hAnsi="Arial" w:hint="default"/>
      </w:rPr>
    </w:lvl>
    <w:lvl w:ilvl="1" w:tplc="14B23B48" w:tentative="1">
      <w:start w:val="1"/>
      <w:numFmt w:val="bullet"/>
      <w:lvlText w:val="•"/>
      <w:lvlJc w:val="left"/>
      <w:pPr>
        <w:tabs>
          <w:tab w:val="num" w:pos="1440"/>
        </w:tabs>
        <w:ind w:left="1440" w:hanging="360"/>
      </w:pPr>
      <w:rPr>
        <w:rFonts w:ascii="Arial" w:hAnsi="Arial" w:hint="default"/>
      </w:rPr>
    </w:lvl>
    <w:lvl w:ilvl="2" w:tplc="CACA1DEE" w:tentative="1">
      <w:start w:val="1"/>
      <w:numFmt w:val="bullet"/>
      <w:lvlText w:val="•"/>
      <w:lvlJc w:val="left"/>
      <w:pPr>
        <w:tabs>
          <w:tab w:val="num" w:pos="2160"/>
        </w:tabs>
        <w:ind w:left="2160" w:hanging="360"/>
      </w:pPr>
      <w:rPr>
        <w:rFonts w:ascii="Arial" w:hAnsi="Arial" w:hint="default"/>
      </w:rPr>
    </w:lvl>
    <w:lvl w:ilvl="3" w:tplc="A52AC1E2" w:tentative="1">
      <w:start w:val="1"/>
      <w:numFmt w:val="bullet"/>
      <w:lvlText w:val="•"/>
      <w:lvlJc w:val="left"/>
      <w:pPr>
        <w:tabs>
          <w:tab w:val="num" w:pos="2880"/>
        </w:tabs>
        <w:ind w:left="2880" w:hanging="360"/>
      </w:pPr>
      <w:rPr>
        <w:rFonts w:ascii="Arial" w:hAnsi="Arial" w:hint="default"/>
      </w:rPr>
    </w:lvl>
    <w:lvl w:ilvl="4" w:tplc="97480DE8" w:tentative="1">
      <w:start w:val="1"/>
      <w:numFmt w:val="bullet"/>
      <w:lvlText w:val="•"/>
      <w:lvlJc w:val="left"/>
      <w:pPr>
        <w:tabs>
          <w:tab w:val="num" w:pos="3600"/>
        </w:tabs>
        <w:ind w:left="3600" w:hanging="360"/>
      </w:pPr>
      <w:rPr>
        <w:rFonts w:ascii="Arial" w:hAnsi="Arial" w:hint="default"/>
      </w:rPr>
    </w:lvl>
    <w:lvl w:ilvl="5" w:tplc="D940F94A" w:tentative="1">
      <w:start w:val="1"/>
      <w:numFmt w:val="bullet"/>
      <w:lvlText w:val="•"/>
      <w:lvlJc w:val="left"/>
      <w:pPr>
        <w:tabs>
          <w:tab w:val="num" w:pos="4320"/>
        </w:tabs>
        <w:ind w:left="4320" w:hanging="360"/>
      </w:pPr>
      <w:rPr>
        <w:rFonts w:ascii="Arial" w:hAnsi="Arial" w:hint="default"/>
      </w:rPr>
    </w:lvl>
    <w:lvl w:ilvl="6" w:tplc="2C10EC5E" w:tentative="1">
      <w:start w:val="1"/>
      <w:numFmt w:val="bullet"/>
      <w:lvlText w:val="•"/>
      <w:lvlJc w:val="left"/>
      <w:pPr>
        <w:tabs>
          <w:tab w:val="num" w:pos="5040"/>
        </w:tabs>
        <w:ind w:left="5040" w:hanging="360"/>
      </w:pPr>
      <w:rPr>
        <w:rFonts w:ascii="Arial" w:hAnsi="Arial" w:hint="default"/>
      </w:rPr>
    </w:lvl>
    <w:lvl w:ilvl="7" w:tplc="7390D97A" w:tentative="1">
      <w:start w:val="1"/>
      <w:numFmt w:val="bullet"/>
      <w:lvlText w:val="•"/>
      <w:lvlJc w:val="left"/>
      <w:pPr>
        <w:tabs>
          <w:tab w:val="num" w:pos="5760"/>
        </w:tabs>
        <w:ind w:left="5760" w:hanging="360"/>
      </w:pPr>
      <w:rPr>
        <w:rFonts w:ascii="Arial" w:hAnsi="Arial" w:hint="default"/>
      </w:rPr>
    </w:lvl>
    <w:lvl w:ilvl="8" w:tplc="A76C8E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0B1460"/>
    <w:multiLevelType w:val="hybridMultilevel"/>
    <w:tmpl w:val="1EBE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978A9"/>
    <w:multiLevelType w:val="hybridMultilevel"/>
    <w:tmpl w:val="9242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2400359">
    <w:abstractNumId w:val="4"/>
  </w:num>
  <w:num w:numId="2" w16cid:durableId="67927438">
    <w:abstractNumId w:val="1"/>
  </w:num>
  <w:num w:numId="3" w16cid:durableId="64959596">
    <w:abstractNumId w:val="3"/>
  </w:num>
  <w:num w:numId="4" w16cid:durableId="2027511953">
    <w:abstractNumId w:val="0"/>
  </w:num>
  <w:num w:numId="5" w16cid:durableId="1191335375">
    <w:abstractNumId w:val="2"/>
  </w:num>
  <w:num w:numId="6" w16cid:durableId="2007439266">
    <w:abstractNumId w:val="5"/>
  </w:num>
  <w:num w:numId="7" w16cid:durableId="10374378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58"/>
    <w:rsid w:val="0001513A"/>
    <w:rsid w:val="00024CAE"/>
    <w:rsid w:val="00034183"/>
    <w:rsid w:val="000520CA"/>
    <w:rsid w:val="000A55CC"/>
    <w:rsid w:val="000B77E7"/>
    <w:rsid w:val="000C3C5D"/>
    <w:rsid w:val="000C4337"/>
    <w:rsid w:val="000D04A6"/>
    <w:rsid w:val="000D6D32"/>
    <w:rsid w:val="000E2120"/>
    <w:rsid w:val="000E55F1"/>
    <w:rsid w:val="001170D7"/>
    <w:rsid w:val="00117A2F"/>
    <w:rsid w:val="00137D4A"/>
    <w:rsid w:val="001811A7"/>
    <w:rsid w:val="0019627B"/>
    <w:rsid w:val="001C1CA6"/>
    <w:rsid w:val="001E298F"/>
    <w:rsid w:val="001E7FEB"/>
    <w:rsid w:val="0020221E"/>
    <w:rsid w:val="0020436E"/>
    <w:rsid w:val="0023292A"/>
    <w:rsid w:val="00244989"/>
    <w:rsid w:val="00272E13"/>
    <w:rsid w:val="00277E93"/>
    <w:rsid w:val="002832BB"/>
    <w:rsid w:val="00287D45"/>
    <w:rsid w:val="002960DC"/>
    <w:rsid w:val="002A7E77"/>
    <w:rsid w:val="002B48AA"/>
    <w:rsid w:val="002C35B7"/>
    <w:rsid w:val="002D1F9A"/>
    <w:rsid w:val="002F1CF3"/>
    <w:rsid w:val="00334D47"/>
    <w:rsid w:val="0034290B"/>
    <w:rsid w:val="00363F07"/>
    <w:rsid w:val="003700BD"/>
    <w:rsid w:val="00371F7F"/>
    <w:rsid w:val="00373911"/>
    <w:rsid w:val="00373FE9"/>
    <w:rsid w:val="00381858"/>
    <w:rsid w:val="0039659E"/>
    <w:rsid w:val="003C0E88"/>
    <w:rsid w:val="003C16C8"/>
    <w:rsid w:val="003C3D71"/>
    <w:rsid w:val="003C5158"/>
    <w:rsid w:val="003E1AC5"/>
    <w:rsid w:val="004015C4"/>
    <w:rsid w:val="004059AC"/>
    <w:rsid w:val="004240C1"/>
    <w:rsid w:val="00431D4D"/>
    <w:rsid w:val="00436AB8"/>
    <w:rsid w:val="00444947"/>
    <w:rsid w:val="00446D7E"/>
    <w:rsid w:val="00461FD6"/>
    <w:rsid w:val="00470872"/>
    <w:rsid w:val="00481B8D"/>
    <w:rsid w:val="00482300"/>
    <w:rsid w:val="004970EF"/>
    <w:rsid w:val="004A28DB"/>
    <w:rsid w:val="004A55C9"/>
    <w:rsid w:val="00501EF5"/>
    <w:rsid w:val="00502821"/>
    <w:rsid w:val="0050624E"/>
    <w:rsid w:val="005246C6"/>
    <w:rsid w:val="00525FC0"/>
    <w:rsid w:val="00530764"/>
    <w:rsid w:val="00532A66"/>
    <w:rsid w:val="00564D94"/>
    <w:rsid w:val="00592F72"/>
    <w:rsid w:val="00593908"/>
    <w:rsid w:val="0059465A"/>
    <w:rsid w:val="005C66B4"/>
    <w:rsid w:val="005D34FC"/>
    <w:rsid w:val="005D7F07"/>
    <w:rsid w:val="005E05A3"/>
    <w:rsid w:val="00602EC7"/>
    <w:rsid w:val="0060428D"/>
    <w:rsid w:val="00605D1B"/>
    <w:rsid w:val="006164BB"/>
    <w:rsid w:val="006240E1"/>
    <w:rsid w:val="00633A96"/>
    <w:rsid w:val="0064017F"/>
    <w:rsid w:val="00644346"/>
    <w:rsid w:val="00662D1E"/>
    <w:rsid w:val="00666B0F"/>
    <w:rsid w:val="006772C0"/>
    <w:rsid w:val="00685078"/>
    <w:rsid w:val="006C2B67"/>
    <w:rsid w:val="006E2D22"/>
    <w:rsid w:val="006F488B"/>
    <w:rsid w:val="0073595F"/>
    <w:rsid w:val="00790EE1"/>
    <w:rsid w:val="00794451"/>
    <w:rsid w:val="00796046"/>
    <w:rsid w:val="007A6E9C"/>
    <w:rsid w:val="007C3D57"/>
    <w:rsid w:val="007C3D60"/>
    <w:rsid w:val="007D1B41"/>
    <w:rsid w:val="007D5E51"/>
    <w:rsid w:val="007D7CD3"/>
    <w:rsid w:val="007E49FE"/>
    <w:rsid w:val="007E5315"/>
    <w:rsid w:val="007F02BA"/>
    <w:rsid w:val="008003B9"/>
    <w:rsid w:val="00817DA1"/>
    <w:rsid w:val="008266B0"/>
    <w:rsid w:val="00836C9F"/>
    <w:rsid w:val="00843E7A"/>
    <w:rsid w:val="00850D2F"/>
    <w:rsid w:val="00856757"/>
    <w:rsid w:val="00860867"/>
    <w:rsid w:val="008629BA"/>
    <w:rsid w:val="008637DE"/>
    <w:rsid w:val="00871C31"/>
    <w:rsid w:val="00882C86"/>
    <w:rsid w:val="008936BA"/>
    <w:rsid w:val="00894BC8"/>
    <w:rsid w:val="008950D6"/>
    <w:rsid w:val="00897E1C"/>
    <w:rsid w:val="008A14F5"/>
    <w:rsid w:val="008B238B"/>
    <w:rsid w:val="008B2CDE"/>
    <w:rsid w:val="008C348B"/>
    <w:rsid w:val="008D0050"/>
    <w:rsid w:val="008D474E"/>
    <w:rsid w:val="00914895"/>
    <w:rsid w:val="009152D8"/>
    <w:rsid w:val="00924C45"/>
    <w:rsid w:val="00930E38"/>
    <w:rsid w:val="009455C2"/>
    <w:rsid w:val="009455F0"/>
    <w:rsid w:val="00992F47"/>
    <w:rsid w:val="009A5E19"/>
    <w:rsid w:val="009A70DE"/>
    <w:rsid w:val="009B0187"/>
    <w:rsid w:val="009C3BFF"/>
    <w:rsid w:val="009D5AE5"/>
    <w:rsid w:val="00A11232"/>
    <w:rsid w:val="00A15D4F"/>
    <w:rsid w:val="00A23B99"/>
    <w:rsid w:val="00A3598B"/>
    <w:rsid w:val="00A51DD8"/>
    <w:rsid w:val="00A53B1B"/>
    <w:rsid w:val="00A54D28"/>
    <w:rsid w:val="00A635F6"/>
    <w:rsid w:val="00A73E8D"/>
    <w:rsid w:val="00A81646"/>
    <w:rsid w:val="00A91EAD"/>
    <w:rsid w:val="00A97929"/>
    <w:rsid w:val="00AB3CB3"/>
    <w:rsid w:val="00AE6079"/>
    <w:rsid w:val="00AF2C69"/>
    <w:rsid w:val="00AF2F4D"/>
    <w:rsid w:val="00B037D4"/>
    <w:rsid w:val="00B1101B"/>
    <w:rsid w:val="00B20E9B"/>
    <w:rsid w:val="00B23177"/>
    <w:rsid w:val="00B24C24"/>
    <w:rsid w:val="00B2513A"/>
    <w:rsid w:val="00B34DB7"/>
    <w:rsid w:val="00B35975"/>
    <w:rsid w:val="00B47F8A"/>
    <w:rsid w:val="00B52413"/>
    <w:rsid w:val="00B543A6"/>
    <w:rsid w:val="00B65250"/>
    <w:rsid w:val="00B73169"/>
    <w:rsid w:val="00B73E10"/>
    <w:rsid w:val="00B7492D"/>
    <w:rsid w:val="00B76197"/>
    <w:rsid w:val="00B852BF"/>
    <w:rsid w:val="00BB226C"/>
    <w:rsid w:val="00BB795A"/>
    <w:rsid w:val="00BD354A"/>
    <w:rsid w:val="00BD36F6"/>
    <w:rsid w:val="00BD76EA"/>
    <w:rsid w:val="00BD7B04"/>
    <w:rsid w:val="00BE4D51"/>
    <w:rsid w:val="00BF33B2"/>
    <w:rsid w:val="00BF76C5"/>
    <w:rsid w:val="00C33A1B"/>
    <w:rsid w:val="00C33E86"/>
    <w:rsid w:val="00C35D6D"/>
    <w:rsid w:val="00C37C0A"/>
    <w:rsid w:val="00C57D90"/>
    <w:rsid w:val="00C632A2"/>
    <w:rsid w:val="00C653A2"/>
    <w:rsid w:val="00C73932"/>
    <w:rsid w:val="00C77157"/>
    <w:rsid w:val="00C80349"/>
    <w:rsid w:val="00C84051"/>
    <w:rsid w:val="00C852E8"/>
    <w:rsid w:val="00CA4D4A"/>
    <w:rsid w:val="00CB2A87"/>
    <w:rsid w:val="00CB2D71"/>
    <w:rsid w:val="00CB73B0"/>
    <w:rsid w:val="00CC04FB"/>
    <w:rsid w:val="00CC4959"/>
    <w:rsid w:val="00CC6057"/>
    <w:rsid w:val="00CE2A6E"/>
    <w:rsid w:val="00CE46AA"/>
    <w:rsid w:val="00CE6BA0"/>
    <w:rsid w:val="00CE6C22"/>
    <w:rsid w:val="00CF648E"/>
    <w:rsid w:val="00D10697"/>
    <w:rsid w:val="00D11B5B"/>
    <w:rsid w:val="00D15E66"/>
    <w:rsid w:val="00D70FE1"/>
    <w:rsid w:val="00D72933"/>
    <w:rsid w:val="00D734B0"/>
    <w:rsid w:val="00D86FCB"/>
    <w:rsid w:val="00DC7480"/>
    <w:rsid w:val="00DD064E"/>
    <w:rsid w:val="00DD4866"/>
    <w:rsid w:val="00DE3ADF"/>
    <w:rsid w:val="00E311F3"/>
    <w:rsid w:val="00E54534"/>
    <w:rsid w:val="00E60157"/>
    <w:rsid w:val="00E718E9"/>
    <w:rsid w:val="00E85ECE"/>
    <w:rsid w:val="00E869FE"/>
    <w:rsid w:val="00E9099D"/>
    <w:rsid w:val="00E9151E"/>
    <w:rsid w:val="00EA7E4B"/>
    <w:rsid w:val="00ED26AB"/>
    <w:rsid w:val="00EF642E"/>
    <w:rsid w:val="00EF6885"/>
    <w:rsid w:val="00F04E6E"/>
    <w:rsid w:val="00F20434"/>
    <w:rsid w:val="00F22A16"/>
    <w:rsid w:val="00F445C8"/>
    <w:rsid w:val="00F57AC3"/>
    <w:rsid w:val="00F71EAE"/>
    <w:rsid w:val="00F85F1C"/>
    <w:rsid w:val="00F93317"/>
    <w:rsid w:val="00FA2B01"/>
    <w:rsid w:val="00FB457A"/>
    <w:rsid w:val="00FB6460"/>
    <w:rsid w:val="00FC1700"/>
    <w:rsid w:val="00FC28D4"/>
    <w:rsid w:val="00FD2DE2"/>
    <w:rsid w:val="00FE3BC9"/>
    <w:rsid w:val="00FE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7706"/>
  <w15:chartTrackingRefBased/>
  <w15:docId w15:val="{53B4DAB4-04D3-A54C-8B74-9F2382B50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1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8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8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8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8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1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858"/>
    <w:rPr>
      <w:rFonts w:eastAsiaTheme="majorEastAsia" w:cstheme="majorBidi"/>
      <w:color w:val="272727" w:themeColor="text1" w:themeTint="D8"/>
    </w:rPr>
  </w:style>
  <w:style w:type="paragraph" w:styleId="Title">
    <w:name w:val="Title"/>
    <w:basedOn w:val="Normal"/>
    <w:next w:val="Normal"/>
    <w:link w:val="TitleChar"/>
    <w:uiPriority w:val="10"/>
    <w:qFormat/>
    <w:rsid w:val="003818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8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8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1858"/>
    <w:rPr>
      <w:i/>
      <w:iCs/>
      <w:color w:val="404040" w:themeColor="text1" w:themeTint="BF"/>
    </w:rPr>
  </w:style>
  <w:style w:type="paragraph" w:styleId="ListParagraph">
    <w:name w:val="List Paragraph"/>
    <w:basedOn w:val="Normal"/>
    <w:uiPriority w:val="34"/>
    <w:qFormat/>
    <w:rsid w:val="00381858"/>
    <w:pPr>
      <w:ind w:left="720"/>
      <w:contextualSpacing/>
    </w:pPr>
  </w:style>
  <w:style w:type="character" w:styleId="IntenseEmphasis">
    <w:name w:val="Intense Emphasis"/>
    <w:basedOn w:val="DefaultParagraphFont"/>
    <w:uiPriority w:val="21"/>
    <w:qFormat/>
    <w:rsid w:val="00381858"/>
    <w:rPr>
      <w:i/>
      <w:iCs/>
      <w:color w:val="0F4761" w:themeColor="accent1" w:themeShade="BF"/>
    </w:rPr>
  </w:style>
  <w:style w:type="paragraph" w:styleId="IntenseQuote">
    <w:name w:val="Intense Quote"/>
    <w:basedOn w:val="Normal"/>
    <w:next w:val="Normal"/>
    <w:link w:val="IntenseQuoteChar"/>
    <w:uiPriority w:val="30"/>
    <w:qFormat/>
    <w:rsid w:val="00381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858"/>
    <w:rPr>
      <w:i/>
      <w:iCs/>
      <w:color w:val="0F4761" w:themeColor="accent1" w:themeShade="BF"/>
    </w:rPr>
  </w:style>
  <w:style w:type="character" w:styleId="IntenseReference">
    <w:name w:val="Intense Reference"/>
    <w:basedOn w:val="DefaultParagraphFont"/>
    <w:uiPriority w:val="32"/>
    <w:qFormat/>
    <w:rsid w:val="00381858"/>
    <w:rPr>
      <w:b/>
      <w:bCs/>
      <w:smallCaps/>
      <w:color w:val="0F4761" w:themeColor="accent1" w:themeShade="BF"/>
      <w:spacing w:val="5"/>
    </w:rPr>
  </w:style>
  <w:style w:type="paragraph" w:styleId="NormalWeb">
    <w:name w:val="Normal (Web)"/>
    <w:basedOn w:val="Normal"/>
    <w:uiPriority w:val="99"/>
    <w:semiHidden/>
    <w:unhideWhenUsed/>
    <w:rsid w:val="000B77E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B77E7"/>
  </w:style>
  <w:style w:type="character" w:customStyle="1" w:styleId="ref-lnk">
    <w:name w:val="ref-lnk"/>
    <w:basedOn w:val="DefaultParagraphFont"/>
    <w:rsid w:val="009C3BFF"/>
  </w:style>
  <w:style w:type="character" w:styleId="Hyperlink">
    <w:name w:val="Hyperlink"/>
    <w:basedOn w:val="DefaultParagraphFont"/>
    <w:uiPriority w:val="99"/>
    <w:unhideWhenUsed/>
    <w:rsid w:val="009C3BFF"/>
    <w:rPr>
      <w:color w:val="0000FF"/>
      <w:u w:val="single"/>
    </w:rPr>
  </w:style>
  <w:style w:type="character" w:customStyle="1" w:styleId="off-screen">
    <w:name w:val="off-screen"/>
    <w:basedOn w:val="DefaultParagraphFont"/>
    <w:rsid w:val="009C3BFF"/>
  </w:style>
  <w:style w:type="character" w:styleId="FollowedHyperlink">
    <w:name w:val="FollowedHyperlink"/>
    <w:basedOn w:val="DefaultParagraphFont"/>
    <w:uiPriority w:val="99"/>
    <w:semiHidden/>
    <w:unhideWhenUsed/>
    <w:rsid w:val="009C3BFF"/>
    <w:rPr>
      <w:color w:val="96607D" w:themeColor="followedHyperlink"/>
      <w:u w:val="single"/>
    </w:rPr>
  </w:style>
  <w:style w:type="character" w:customStyle="1" w:styleId="citationsource-journal">
    <w:name w:val="citation_source-journal"/>
    <w:basedOn w:val="DefaultParagraphFont"/>
    <w:rsid w:val="008629BA"/>
  </w:style>
  <w:style w:type="character" w:customStyle="1" w:styleId="ff5">
    <w:name w:val="ff5"/>
    <w:basedOn w:val="DefaultParagraphFont"/>
    <w:rsid w:val="00B73169"/>
  </w:style>
  <w:style w:type="character" w:styleId="UnresolvedMention">
    <w:name w:val="Unresolved Mention"/>
    <w:basedOn w:val="DefaultParagraphFont"/>
    <w:uiPriority w:val="99"/>
    <w:semiHidden/>
    <w:unhideWhenUsed/>
    <w:rsid w:val="00F57AC3"/>
    <w:rPr>
      <w:color w:val="605E5C"/>
      <w:shd w:val="clear" w:color="auto" w:fill="E1DFDD"/>
    </w:rPr>
  </w:style>
  <w:style w:type="character" w:styleId="Emphasis">
    <w:name w:val="Emphasis"/>
    <w:basedOn w:val="DefaultParagraphFont"/>
    <w:uiPriority w:val="20"/>
    <w:qFormat/>
    <w:rsid w:val="00C84051"/>
    <w:rPr>
      <w:i/>
      <w:iCs/>
    </w:rPr>
  </w:style>
  <w:style w:type="character" w:customStyle="1" w:styleId="author">
    <w:name w:val="author"/>
    <w:basedOn w:val="DefaultParagraphFont"/>
    <w:rsid w:val="00E60157"/>
  </w:style>
  <w:style w:type="character" w:customStyle="1" w:styleId="pubyear">
    <w:name w:val="pubyear"/>
    <w:basedOn w:val="DefaultParagraphFont"/>
    <w:rsid w:val="00E60157"/>
  </w:style>
  <w:style w:type="character" w:customStyle="1" w:styleId="articletitle">
    <w:name w:val="articletitle"/>
    <w:basedOn w:val="DefaultParagraphFont"/>
    <w:rsid w:val="00E60157"/>
  </w:style>
  <w:style w:type="character" w:customStyle="1" w:styleId="vol">
    <w:name w:val="vol"/>
    <w:basedOn w:val="DefaultParagraphFont"/>
    <w:rsid w:val="00E60157"/>
  </w:style>
  <w:style w:type="character" w:customStyle="1" w:styleId="citedissue">
    <w:name w:val="citedissue"/>
    <w:basedOn w:val="DefaultParagraphFont"/>
    <w:rsid w:val="00E60157"/>
  </w:style>
  <w:style w:type="character" w:customStyle="1" w:styleId="pagefirst">
    <w:name w:val="pagefirst"/>
    <w:basedOn w:val="DefaultParagraphFont"/>
    <w:rsid w:val="00E60157"/>
  </w:style>
  <w:style w:type="character" w:customStyle="1" w:styleId="pagelast">
    <w:name w:val="pagelast"/>
    <w:basedOn w:val="DefaultParagraphFont"/>
    <w:rsid w:val="00E60157"/>
  </w:style>
  <w:style w:type="character" w:customStyle="1" w:styleId="anchor-text">
    <w:name w:val="anchor-text"/>
    <w:basedOn w:val="DefaultParagraphFont"/>
    <w:rsid w:val="00BD36F6"/>
  </w:style>
  <w:style w:type="character" w:styleId="Strong">
    <w:name w:val="Strong"/>
    <w:basedOn w:val="DefaultParagraphFont"/>
    <w:uiPriority w:val="22"/>
    <w:qFormat/>
    <w:rsid w:val="000D6D32"/>
    <w:rPr>
      <w:b/>
      <w:bCs/>
    </w:rPr>
  </w:style>
  <w:style w:type="paragraph" w:styleId="Header">
    <w:name w:val="header"/>
    <w:basedOn w:val="Normal"/>
    <w:link w:val="HeaderChar"/>
    <w:uiPriority w:val="99"/>
    <w:unhideWhenUsed/>
    <w:rsid w:val="0034290B"/>
    <w:pPr>
      <w:tabs>
        <w:tab w:val="center" w:pos="4513"/>
        <w:tab w:val="right" w:pos="9026"/>
      </w:tabs>
    </w:pPr>
  </w:style>
  <w:style w:type="character" w:customStyle="1" w:styleId="HeaderChar">
    <w:name w:val="Header Char"/>
    <w:basedOn w:val="DefaultParagraphFont"/>
    <w:link w:val="Header"/>
    <w:uiPriority w:val="99"/>
    <w:rsid w:val="0034290B"/>
  </w:style>
  <w:style w:type="paragraph" w:styleId="Footer">
    <w:name w:val="footer"/>
    <w:basedOn w:val="Normal"/>
    <w:link w:val="FooterChar"/>
    <w:uiPriority w:val="99"/>
    <w:unhideWhenUsed/>
    <w:rsid w:val="0034290B"/>
    <w:pPr>
      <w:tabs>
        <w:tab w:val="center" w:pos="4513"/>
        <w:tab w:val="right" w:pos="9026"/>
      </w:tabs>
    </w:pPr>
  </w:style>
  <w:style w:type="character" w:customStyle="1" w:styleId="FooterChar">
    <w:name w:val="Footer Char"/>
    <w:basedOn w:val="DefaultParagraphFont"/>
    <w:link w:val="Footer"/>
    <w:uiPriority w:val="99"/>
    <w:rsid w:val="0034290B"/>
  </w:style>
  <w:style w:type="character" w:styleId="PageNumber">
    <w:name w:val="page number"/>
    <w:basedOn w:val="DefaultParagraphFont"/>
    <w:uiPriority w:val="99"/>
    <w:semiHidden/>
    <w:unhideWhenUsed/>
    <w:rsid w:val="00342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09850">
      <w:bodyDiv w:val="1"/>
      <w:marLeft w:val="0"/>
      <w:marRight w:val="0"/>
      <w:marTop w:val="0"/>
      <w:marBottom w:val="0"/>
      <w:divBdr>
        <w:top w:val="none" w:sz="0" w:space="0" w:color="auto"/>
        <w:left w:val="none" w:sz="0" w:space="0" w:color="auto"/>
        <w:bottom w:val="none" w:sz="0" w:space="0" w:color="auto"/>
        <w:right w:val="none" w:sz="0" w:space="0" w:color="auto"/>
      </w:divBdr>
    </w:div>
    <w:div w:id="277762980">
      <w:bodyDiv w:val="1"/>
      <w:marLeft w:val="0"/>
      <w:marRight w:val="0"/>
      <w:marTop w:val="0"/>
      <w:marBottom w:val="0"/>
      <w:divBdr>
        <w:top w:val="none" w:sz="0" w:space="0" w:color="auto"/>
        <w:left w:val="none" w:sz="0" w:space="0" w:color="auto"/>
        <w:bottom w:val="none" w:sz="0" w:space="0" w:color="auto"/>
        <w:right w:val="none" w:sz="0" w:space="0" w:color="auto"/>
      </w:divBdr>
    </w:div>
    <w:div w:id="308635229">
      <w:bodyDiv w:val="1"/>
      <w:marLeft w:val="0"/>
      <w:marRight w:val="0"/>
      <w:marTop w:val="0"/>
      <w:marBottom w:val="0"/>
      <w:divBdr>
        <w:top w:val="none" w:sz="0" w:space="0" w:color="auto"/>
        <w:left w:val="none" w:sz="0" w:space="0" w:color="auto"/>
        <w:bottom w:val="none" w:sz="0" w:space="0" w:color="auto"/>
        <w:right w:val="none" w:sz="0" w:space="0" w:color="auto"/>
      </w:divBdr>
    </w:div>
    <w:div w:id="395976767">
      <w:bodyDiv w:val="1"/>
      <w:marLeft w:val="0"/>
      <w:marRight w:val="0"/>
      <w:marTop w:val="0"/>
      <w:marBottom w:val="0"/>
      <w:divBdr>
        <w:top w:val="none" w:sz="0" w:space="0" w:color="auto"/>
        <w:left w:val="none" w:sz="0" w:space="0" w:color="auto"/>
        <w:bottom w:val="none" w:sz="0" w:space="0" w:color="auto"/>
        <w:right w:val="none" w:sz="0" w:space="0" w:color="auto"/>
      </w:divBdr>
    </w:div>
    <w:div w:id="462383365">
      <w:bodyDiv w:val="1"/>
      <w:marLeft w:val="0"/>
      <w:marRight w:val="0"/>
      <w:marTop w:val="0"/>
      <w:marBottom w:val="0"/>
      <w:divBdr>
        <w:top w:val="none" w:sz="0" w:space="0" w:color="auto"/>
        <w:left w:val="none" w:sz="0" w:space="0" w:color="auto"/>
        <w:bottom w:val="none" w:sz="0" w:space="0" w:color="auto"/>
        <w:right w:val="none" w:sz="0" w:space="0" w:color="auto"/>
      </w:divBdr>
    </w:div>
    <w:div w:id="604115226">
      <w:bodyDiv w:val="1"/>
      <w:marLeft w:val="0"/>
      <w:marRight w:val="0"/>
      <w:marTop w:val="0"/>
      <w:marBottom w:val="0"/>
      <w:divBdr>
        <w:top w:val="none" w:sz="0" w:space="0" w:color="auto"/>
        <w:left w:val="none" w:sz="0" w:space="0" w:color="auto"/>
        <w:bottom w:val="none" w:sz="0" w:space="0" w:color="auto"/>
        <w:right w:val="none" w:sz="0" w:space="0" w:color="auto"/>
      </w:divBdr>
      <w:divsChild>
        <w:div w:id="44183529">
          <w:marLeft w:val="360"/>
          <w:marRight w:val="0"/>
          <w:marTop w:val="200"/>
          <w:marBottom w:val="0"/>
          <w:divBdr>
            <w:top w:val="none" w:sz="0" w:space="0" w:color="auto"/>
            <w:left w:val="none" w:sz="0" w:space="0" w:color="auto"/>
            <w:bottom w:val="none" w:sz="0" w:space="0" w:color="auto"/>
            <w:right w:val="none" w:sz="0" w:space="0" w:color="auto"/>
          </w:divBdr>
        </w:div>
      </w:divsChild>
    </w:div>
    <w:div w:id="630863752">
      <w:bodyDiv w:val="1"/>
      <w:marLeft w:val="0"/>
      <w:marRight w:val="0"/>
      <w:marTop w:val="0"/>
      <w:marBottom w:val="0"/>
      <w:divBdr>
        <w:top w:val="none" w:sz="0" w:space="0" w:color="auto"/>
        <w:left w:val="none" w:sz="0" w:space="0" w:color="auto"/>
        <w:bottom w:val="none" w:sz="0" w:space="0" w:color="auto"/>
        <w:right w:val="none" w:sz="0" w:space="0" w:color="auto"/>
      </w:divBdr>
      <w:divsChild>
        <w:div w:id="1611424953">
          <w:marLeft w:val="360"/>
          <w:marRight w:val="0"/>
          <w:marTop w:val="200"/>
          <w:marBottom w:val="0"/>
          <w:divBdr>
            <w:top w:val="none" w:sz="0" w:space="0" w:color="auto"/>
            <w:left w:val="none" w:sz="0" w:space="0" w:color="auto"/>
            <w:bottom w:val="none" w:sz="0" w:space="0" w:color="auto"/>
            <w:right w:val="none" w:sz="0" w:space="0" w:color="auto"/>
          </w:divBdr>
        </w:div>
      </w:divsChild>
    </w:div>
    <w:div w:id="649210451">
      <w:bodyDiv w:val="1"/>
      <w:marLeft w:val="0"/>
      <w:marRight w:val="0"/>
      <w:marTop w:val="0"/>
      <w:marBottom w:val="0"/>
      <w:divBdr>
        <w:top w:val="none" w:sz="0" w:space="0" w:color="auto"/>
        <w:left w:val="none" w:sz="0" w:space="0" w:color="auto"/>
        <w:bottom w:val="none" w:sz="0" w:space="0" w:color="auto"/>
        <w:right w:val="none" w:sz="0" w:space="0" w:color="auto"/>
      </w:divBdr>
    </w:div>
    <w:div w:id="658271315">
      <w:bodyDiv w:val="1"/>
      <w:marLeft w:val="0"/>
      <w:marRight w:val="0"/>
      <w:marTop w:val="0"/>
      <w:marBottom w:val="0"/>
      <w:divBdr>
        <w:top w:val="none" w:sz="0" w:space="0" w:color="auto"/>
        <w:left w:val="none" w:sz="0" w:space="0" w:color="auto"/>
        <w:bottom w:val="none" w:sz="0" w:space="0" w:color="auto"/>
        <w:right w:val="none" w:sz="0" w:space="0" w:color="auto"/>
      </w:divBdr>
      <w:divsChild>
        <w:div w:id="1391614733">
          <w:marLeft w:val="360"/>
          <w:marRight w:val="0"/>
          <w:marTop w:val="200"/>
          <w:marBottom w:val="0"/>
          <w:divBdr>
            <w:top w:val="none" w:sz="0" w:space="0" w:color="auto"/>
            <w:left w:val="none" w:sz="0" w:space="0" w:color="auto"/>
            <w:bottom w:val="none" w:sz="0" w:space="0" w:color="auto"/>
            <w:right w:val="none" w:sz="0" w:space="0" w:color="auto"/>
          </w:divBdr>
        </w:div>
      </w:divsChild>
    </w:div>
    <w:div w:id="671765482">
      <w:bodyDiv w:val="1"/>
      <w:marLeft w:val="0"/>
      <w:marRight w:val="0"/>
      <w:marTop w:val="0"/>
      <w:marBottom w:val="0"/>
      <w:divBdr>
        <w:top w:val="none" w:sz="0" w:space="0" w:color="auto"/>
        <w:left w:val="none" w:sz="0" w:space="0" w:color="auto"/>
        <w:bottom w:val="none" w:sz="0" w:space="0" w:color="auto"/>
        <w:right w:val="none" w:sz="0" w:space="0" w:color="auto"/>
      </w:divBdr>
    </w:div>
    <w:div w:id="783841047">
      <w:bodyDiv w:val="1"/>
      <w:marLeft w:val="0"/>
      <w:marRight w:val="0"/>
      <w:marTop w:val="0"/>
      <w:marBottom w:val="0"/>
      <w:divBdr>
        <w:top w:val="none" w:sz="0" w:space="0" w:color="auto"/>
        <w:left w:val="none" w:sz="0" w:space="0" w:color="auto"/>
        <w:bottom w:val="none" w:sz="0" w:space="0" w:color="auto"/>
        <w:right w:val="none" w:sz="0" w:space="0" w:color="auto"/>
      </w:divBdr>
    </w:div>
    <w:div w:id="918094553">
      <w:bodyDiv w:val="1"/>
      <w:marLeft w:val="0"/>
      <w:marRight w:val="0"/>
      <w:marTop w:val="0"/>
      <w:marBottom w:val="0"/>
      <w:divBdr>
        <w:top w:val="none" w:sz="0" w:space="0" w:color="auto"/>
        <w:left w:val="none" w:sz="0" w:space="0" w:color="auto"/>
        <w:bottom w:val="none" w:sz="0" w:space="0" w:color="auto"/>
        <w:right w:val="none" w:sz="0" w:space="0" w:color="auto"/>
      </w:divBdr>
      <w:divsChild>
        <w:div w:id="1810588634">
          <w:marLeft w:val="360"/>
          <w:marRight w:val="0"/>
          <w:marTop w:val="200"/>
          <w:marBottom w:val="0"/>
          <w:divBdr>
            <w:top w:val="none" w:sz="0" w:space="0" w:color="auto"/>
            <w:left w:val="none" w:sz="0" w:space="0" w:color="auto"/>
            <w:bottom w:val="none" w:sz="0" w:space="0" w:color="auto"/>
            <w:right w:val="none" w:sz="0" w:space="0" w:color="auto"/>
          </w:divBdr>
        </w:div>
      </w:divsChild>
    </w:div>
    <w:div w:id="1002975034">
      <w:bodyDiv w:val="1"/>
      <w:marLeft w:val="0"/>
      <w:marRight w:val="0"/>
      <w:marTop w:val="0"/>
      <w:marBottom w:val="0"/>
      <w:divBdr>
        <w:top w:val="none" w:sz="0" w:space="0" w:color="auto"/>
        <w:left w:val="none" w:sz="0" w:space="0" w:color="auto"/>
        <w:bottom w:val="none" w:sz="0" w:space="0" w:color="auto"/>
        <w:right w:val="none" w:sz="0" w:space="0" w:color="auto"/>
      </w:divBdr>
    </w:div>
    <w:div w:id="1357851119">
      <w:bodyDiv w:val="1"/>
      <w:marLeft w:val="0"/>
      <w:marRight w:val="0"/>
      <w:marTop w:val="0"/>
      <w:marBottom w:val="0"/>
      <w:divBdr>
        <w:top w:val="none" w:sz="0" w:space="0" w:color="auto"/>
        <w:left w:val="none" w:sz="0" w:space="0" w:color="auto"/>
        <w:bottom w:val="none" w:sz="0" w:space="0" w:color="auto"/>
        <w:right w:val="none" w:sz="0" w:space="0" w:color="auto"/>
      </w:divBdr>
    </w:div>
    <w:div w:id="1579631697">
      <w:bodyDiv w:val="1"/>
      <w:marLeft w:val="0"/>
      <w:marRight w:val="0"/>
      <w:marTop w:val="0"/>
      <w:marBottom w:val="0"/>
      <w:divBdr>
        <w:top w:val="none" w:sz="0" w:space="0" w:color="auto"/>
        <w:left w:val="none" w:sz="0" w:space="0" w:color="auto"/>
        <w:bottom w:val="none" w:sz="0" w:space="0" w:color="auto"/>
        <w:right w:val="none" w:sz="0" w:space="0" w:color="auto"/>
      </w:divBdr>
    </w:div>
    <w:div w:id="1763840953">
      <w:bodyDiv w:val="1"/>
      <w:marLeft w:val="0"/>
      <w:marRight w:val="0"/>
      <w:marTop w:val="0"/>
      <w:marBottom w:val="0"/>
      <w:divBdr>
        <w:top w:val="none" w:sz="0" w:space="0" w:color="auto"/>
        <w:left w:val="none" w:sz="0" w:space="0" w:color="auto"/>
        <w:bottom w:val="none" w:sz="0" w:space="0" w:color="auto"/>
        <w:right w:val="none" w:sz="0" w:space="0" w:color="auto"/>
      </w:divBdr>
    </w:div>
    <w:div w:id="198169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http:/dx.doi.org/10.1007/BF03216839" TargetMode="External"/><Relationship Id="rId13" Type="http://schemas.openxmlformats.org/officeDocument/2006/relationships/hyperlink" Target="https://doi.org/https:/doi.org/10.1097/IYC.0000000000000071" TargetMode="External"/><Relationship Id="rId18" Type="http://schemas.openxmlformats.org/officeDocument/2006/relationships/hyperlink" Target="http://31.186.81.235:8080/api/files/view/12801.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oi.org/http:/dx.doi.org/10.1007/BF03216839" TargetMode="External"/><Relationship Id="rId12" Type="http://schemas.openxmlformats.org/officeDocument/2006/relationships/hyperlink" Target="https://doi.org/https:/doi.org/10.1097/IYC.0000000000000071" TargetMode="External"/><Relationship Id="rId17" Type="http://schemas.openxmlformats.org/officeDocument/2006/relationships/hyperlink" Target="https://www.gov.uk/government/publications/local-area-send-inspections-one-year-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https:/doi.org/10.1177/1053815111430094" TargetMode="External"/><Relationship Id="rId20" Type="http://schemas.openxmlformats.org/officeDocument/2006/relationships/hyperlink" Target="https://gov.wales/sites/default/files/publications/2019-07/families-first-guidance-for-local-authorities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95679761453380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https:/doi.org/10.1177/1053815111430094" TargetMode="External"/><Relationship Id="rId23" Type="http://schemas.openxmlformats.org/officeDocument/2006/relationships/footer" Target="footer2.xml"/><Relationship Id="rId10" Type="http://schemas.openxmlformats.org/officeDocument/2006/relationships/hyperlink" Target="https://www.gov.uk/government/publications/send-code-of-practice-0-to-25" TargetMode="External"/><Relationship Id="rId19" Type="http://schemas.openxmlformats.org/officeDocument/2006/relationships/hyperlink" Target="https://gov.wales/sites/default/files/publications/2018-12/face-the-challenge-together-family-and-community-engagement-toolkit-for-schools-in-wales-main-guidance.pdf" TargetMode="External"/><Relationship Id="rId4" Type="http://schemas.openxmlformats.org/officeDocument/2006/relationships/webSettings" Target="webSettings.xml"/><Relationship Id="rId9" Type="http://schemas.openxmlformats.org/officeDocument/2006/relationships/hyperlink" Target="https://www.bbc.com/news/education-55512345" TargetMode="External"/><Relationship Id="rId14" Type="http://schemas.openxmlformats.org/officeDocument/2006/relationships/hyperlink" Target="https://doi.org/https:/doi.org/10.1177/105381511143009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1717</TotalTime>
  <Pages>19</Pages>
  <Words>6366</Words>
  <Characters>36287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zahra bashir</cp:lastModifiedBy>
  <cp:revision>123</cp:revision>
  <cp:lastPrinted>2024-06-10T12:32:00Z</cp:lastPrinted>
  <dcterms:created xsi:type="dcterms:W3CDTF">2024-06-06T21:55:00Z</dcterms:created>
  <dcterms:modified xsi:type="dcterms:W3CDTF">2024-06-15T19:58:00Z</dcterms:modified>
</cp:coreProperties>
</file>