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EACBA" w14:textId="6CCEEF58" w:rsidR="00C643DE" w:rsidRDefault="00C643DE" w:rsidP="15E72EE8">
      <w:pPr>
        <w:spacing w:before="480" w:after="0" w:line="276" w:lineRule="auto"/>
        <w:rPr>
          <w:rFonts w:ascii="Calibri Light" w:eastAsia="Calibri Light" w:hAnsi="Calibri Light" w:cs="Calibri Light"/>
          <w:b/>
          <w:bCs/>
          <w:color w:val="2F5496"/>
          <w:sz w:val="28"/>
          <w:szCs w:val="28"/>
          <w:lang w:val="en-US"/>
        </w:rPr>
      </w:pPr>
    </w:p>
    <w:p w14:paraId="3CE40383" w14:textId="69395A33" w:rsidR="00C643DE" w:rsidRDefault="15E72EE8" w:rsidP="15E72EE8">
      <w:pPr>
        <w:pStyle w:val="Subtitle"/>
        <w:spacing w:line="257" w:lineRule="auto"/>
        <w:jc w:val="center"/>
      </w:pPr>
      <w:r w:rsidRPr="15E72EE8">
        <w:rPr>
          <w:rFonts w:ascii="Calibri" w:eastAsia="Calibri" w:hAnsi="Calibri" w:cs="Calibri"/>
          <w:b/>
          <w:bCs/>
        </w:rPr>
        <w:t xml:space="preserve">INTRODUCTION TO HEALTH AND SOCIAL CARE </w:t>
      </w:r>
    </w:p>
    <w:p w14:paraId="5F2DF780" w14:textId="6A7A1E17" w:rsidR="00C643DE" w:rsidRDefault="15E72EE8" w:rsidP="15E72EE8">
      <w:pPr>
        <w:pStyle w:val="Subtitle"/>
        <w:spacing w:line="257" w:lineRule="auto"/>
        <w:jc w:val="center"/>
      </w:pPr>
      <w:r w:rsidRPr="15E72EE8">
        <w:rPr>
          <w:rFonts w:ascii="Calibri" w:eastAsia="Calibri" w:hAnsi="Calibri" w:cs="Calibri"/>
          <w:b/>
          <w:bCs/>
        </w:rPr>
        <w:t>(LCHS4003_LON)</w:t>
      </w:r>
    </w:p>
    <w:p w14:paraId="42C14A05" w14:textId="1EED659E" w:rsidR="00C643DE" w:rsidRDefault="15E72EE8" w:rsidP="15E72EE8">
      <w:pPr>
        <w:spacing w:after="0"/>
      </w:pPr>
      <w:r w:rsidRPr="15E72EE8">
        <w:rPr>
          <w:rFonts w:ascii="Calibri" w:eastAsia="Calibri" w:hAnsi="Calibri" w:cs="Calibri"/>
          <w:sz w:val="26"/>
          <w:szCs w:val="26"/>
        </w:rPr>
        <w:t xml:space="preserve"> </w:t>
      </w:r>
    </w:p>
    <w:p w14:paraId="5B0CD093" w14:textId="7C855978" w:rsidR="00C643DE" w:rsidRDefault="15E72EE8" w:rsidP="15E72EE8">
      <w:pPr>
        <w:pStyle w:val="Title"/>
        <w:jc w:val="center"/>
      </w:pPr>
      <w:r w:rsidRPr="15E72EE8">
        <w:rPr>
          <w:rFonts w:ascii="Abadi" w:eastAsia="Abadi" w:hAnsi="Abadi" w:cs="Abadi"/>
        </w:rPr>
        <w:t xml:space="preserve">CHALLENGES IN HEALTH AND SOCIAL CARE SERVICES </w:t>
      </w:r>
    </w:p>
    <w:p w14:paraId="40F41785" w14:textId="66ED4219" w:rsidR="00C643DE" w:rsidRDefault="15E72EE8" w:rsidP="15E72EE8">
      <w:pPr>
        <w:spacing w:line="257" w:lineRule="auto"/>
      </w:pPr>
      <w:r w:rsidRPr="15E72EE8">
        <w:rPr>
          <w:rFonts w:ascii="Arial" w:eastAsia="Arial" w:hAnsi="Arial" w:cs="Arial"/>
          <w:sz w:val="22"/>
          <w:szCs w:val="22"/>
        </w:rPr>
        <w:t xml:space="preserve"> </w:t>
      </w:r>
    </w:p>
    <w:p w14:paraId="0BC3223E" w14:textId="0C15DD26" w:rsidR="00C643DE" w:rsidRDefault="15E72EE8" w:rsidP="15E72EE8">
      <w:pPr>
        <w:spacing w:line="257" w:lineRule="auto"/>
      </w:pPr>
      <w:r w:rsidRPr="15E72EE8">
        <w:rPr>
          <w:rFonts w:ascii="Arial" w:eastAsia="Arial" w:hAnsi="Arial" w:cs="Arial"/>
          <w:sz w:val="22"/>
          <w:szCs w:val="22"/>
        </w:rPr>
        <w:t xml:space="preserve"> </w:t>
      </w:r>
    </w:p>
    <w:p w14:paraId="501E193B" w14:textId="7C48476C" w:rsidR="00C643DE" w:rsidRDefault="15E72EE8" w:rsidP="15E72EE8">
      <w:pPr>
        <w:spacing w:line="257" w:lineRule="auto"/>
      </w:pPr>
      <w:r w:rsidRPr="15E72EE8">
        <w:rPr>
          <w:rFonts w:ascii="Arial" w:eastAsia="Arial" w:hAnsi="Arial" w:cs="Arial"/>
          <w:sz w:val="22"/>
          <w:szCs w:val="22"/>
        </w:rPr>
        <w:t xml:space="preserve"> </w:t>
      </w:r>
    </w:p>
    <w:p w14:paraId="5FAB5176" w14:textId="6C96F78A" w:rsidR="00C643DE" w:rsidRDefault="15E72EE8" w:rsidP="15E72EE8">
      <w:pPr>
        <w:spacing w:line="257" w:lineRule="auto"/>
      </w:pPr>
      <w:r w:rsidRPr="15E72EE8">
        <w:rPr>
          <w:rFonts w:ascii="Arial" w:eastAsia="Arial" w:hAnsi="Arial" w:cs="Arial"/>
          <w:sz w:val="22"/>
          <w:szCs w:val="22"/>
        </w:rPr>
        <w:t xml:space="preserve"> </w:t>
      </w:r>
    </w:p>
    <w:p w14:paraId="6C06F6DE" w14:textId="35015C25" w:rsidR="00C643DE" w:rsidRDefault="15E72EE8" w:rsidP="15E72EE8">
      <w:pPr>
        <w:spacing w:line="257" w:lineRule="auto"/>
      </w:pPr>
      <w:r w:rsidRPr="15E72EE8">
        <w:rPr>
          <w:rFonts w:ascii="Arial" w:eastAsia="Arial" w:hAnsi="Arial" w:cs="Arial"/>
          <w:sz w:val="22"/>
          <w:szCs w:val="22"/>
        </w:rPr>
        <w:t xml:space="preserve"> </w:t>
      </w:r>
    </w:p>
    <w:p w14:paraId="43A5A2A0" w14:textId="1F25DCCB" w:rsidR="00C643DE" w:rsidRDefault="15E72EE8" w:rsidP="15E72EE8">
      <w:pPr>
        <w:spacing w:line="257" w:lineRule="auto"/>
      </w:pPr>
      <w:r w:rsidRPr="15E72EE8">
        <w:rPr>
          <w:rFonts w:ascii="Arial" w:eastAsia="Arial" w:hAnsi="Arial" w:cs="Arial"/>
          <w:sz w:val="22"/>
          <w:szCs w:val="22"/>
        </w:rPr>
        <w:t xml:space="preserve"> </w:t>
      </w:r>
    </w:p>
    <w:p w14:paraId="0D48699D" w14:textId="585879BB" w:rsidR="00C643DE" w:rsidRDefault="15E72EE8" w:rsidP="15E72EE8">
      <w:pPr>
        <w:spacing w:line="257" w:lineRule="auto"/>
      </w:pPr>
      <w:r w:rsidRPr="15E72EE8">
        <w:rPr>
          <w:rFonts w:ascii="Arial" w:eastAsia="Arial" w:hAnsi="Arial" w:cs="Arial"/>
          <w:sz w:val="22"/>
          <w:szCs w:val="22"/>
        </w:rPr>
        <w:t xml:space="preserve"> </w:t>
      </w:r>
    </w:p>
    <w:p w14:paraId="766CAB5A" w14:textId="4DBB2E6E" w:rsidR="00C643DE" w:rsidRDefault="15E72EE8" w:rsidP="15E72EE8">
      <w:pPr>
        <w:spacing w:line="257" w:lineRule="auto"/>
      </w:pPr>
      <w:r w:rsidRPr="15E72EE8">
        <w:rPr>
          <w:rFonts w:ascii="Arial" w:eastAsia="Arial" w:hAnsi="Arial" w:cs="Arial"/>
          <w:sz w:val="22"/>
          <w:szCs w:val="22"/>
        </w:rPr>
        <w:t xml:space="preserve"> </w:t>
      </w:r>
    </w:p>
    <w:p w14:paraId="5B7B4088" w14:textId="6874ACF6" w:rsidR="00C643DE" w:rsidRDefault="15E72EE8" w:rsidP="15E72EE8">
      <w:pPr>
        <w:spacing w:line="257" w:lineRule="auto"/>
      </w:pPr>
      <w:r w:rsidRPr="15E72EE8">
        <w:rPr>
          <w:rFonts w:ascii="Arial" w:eastAsia="Arial" w:hAnsi="Arial" w:cs="Arial"/>
          <w:sz w:val="22"/>
          <w:szCs w:val="22"/>
        </w:rPr>
        <w:t>Lecture: Muhammed Aliyu</w:t>
      </w:r>
    </w:p>
    <w:p w14:paraId="54456788" w14:textId="724D8479" w:rsidR="00C643DE" w:rsidRDefault="15E72EE8" w:rsidP="15E72EE8">
      <w:pPr>
        <w:spacing w:line="257" w:lineRule="auto"/>
      </w:pPr>
      <w:r w:rsidRPr="15E72EE8">
        <w:rPr>
          <w:rFonts w:ascii="Arial" w:eastAsia="Arial" w:hAnsi="Arial" w:cs="Arial"/>
          <w:sz w:val="22"/>
          <w:szCs w:val="22"/>
        </w:rPr>
        <w:t xml:space="preserve">Cleonice VICENTE </w:t>
      </w:r>
    </w:p>
    <w:p w14:paraId="26D9DE07" w14:textId="353BC397" w:rsidR="00C643DE" w:rsidRDefault="15E72EE8" w:rsidP="15E72EE8">
      <w:pPr>
        <w:spacing w:line="257" w:lineRule="auto"/>
      </w:pPr>
      <w:r w:rsidRPr="15E72EE8">
        <w:rPr>
          <w:rFonts w:ascii="Arial" w:eastAsia="Arial" w:hAnsi="Arial" w:cs="Arial"/>
          <w:sz w:val="22"/>
          <w:szCs w:val="22"/>
        </w:rPr>
        <w:t>Student number: 2418585</w:t>
      </w:r>
    </w:p>
    <w:p w14:paraId="49F75A8D" w14:textId="020B0FFE" w:rsidR="00C643DE" w:rsidRDefault="00C643DE" w:rsidP="15E72EE8">
      <w:pPr>
        <w:spacing w:line="257" w:lineRule="auto"/>
      </w:pPr>
    </w:p>
    <w:p w14:paraId="23230BA7" w14:textId="1A93FC58" w:rsidR="00C643DE" w:rsidRDefault="00C643DE" w:rsidP="15E72EE8">
      <w:pPr>
        <w:spacing w:line="257" w:lineRule="auto"/>
        <w:rPr>
          <w:rFonts w:ascii="Arial" w:eastAsia="Arial" w:hAnsi="Arial" w:cs="Arial"/>
          <w:sz w:val="22"/>
          <w:szCs w:val="22"/>
        </w:rPr>
      </w:pPr>
    </w:p>
    <w:p w14:paraId="5E5787A5" w14:textId="1EF2FC38" w:rsidR="00C643DE" w:rsidRDefault="00C643DE"/>
    <w:p w14:paraId="064930F4" w14:textId="1E36B451" w:rsidR="15E72EE8" w:rsidRDefault="15E72EE8"/>
    <w:p w14:paraId="240FFA85" w14:textId="62AF25C9" w:rsidR="15E72EE8" w:rsidRDefault="15E72EE8"/>
    <w:p w14:paraId="5D200CE0" w14:textId="04514A22" w:rsidR="15E72EE8" w:rsidRDefault="15E72EE8"/>
    <w:p w14:paraId="13092AFA" w14:textId="289ED9EB" w:rsidR="15E72EE8" w:rsidRDefault="15E72EE8"/>
    <w:p w14:paraId="607EEE90" w14:textId="6C5BB19B" w:rsidR="15E72EE8" w:rsidRDefault="15E72EE8"/>
    <w:p w14:paraId="52EE46AB" w14:textId="53AB5DC2" w:rsidR="15E72EE8" w:rsidRDefault="15E72EE8"/>
    <w:p w14:paraId="3ECFAB8A" w14:textId="50345D4A" w:rsidR="15E72EE8" w:rsidRDefault="15E72EE8"/>
    <w:p w14:paraId="539D4A02" w14:textId="5C882F55" w:rsidR="15E72EE8" w:rsidRDefault="15E72EE8"/>
    <w:p w14:paraId="04FB5E96" w14:textId="42BB87C7" w:rsidR="15E72EE8" w:rsidRDefault="15E72EE8"/>
    <w:p w14:paraId="6AE8A894" w14:textId="384D8CF1" w:rsidR="15E72EE8" w:rsidRDefault="15E72EE8" w:rsidP="15E72EE8">
      <w:pPr>
        <w:spacing w:before="480" w:after="0" w:line="276" w:lineRule="auto"/>
      </w:pPr>
      <w:r w:rsidRPr="15E72EE8">
        <w:rPr>
          <w:rFonts w:ascii="Arial" w:eastAsia="Arial" w:hAnsi="Arial" w:cs="Arial"/>
          <w:b/>
          <w:bCs/>
          <w:color w:val="2F5496"/>
          <w:sz w:val="22"/>
          <w:szCs w:val="22"/>
          <w:lang w:val="en-US"/>
        </w:rPr>
        <w:t>Table of Contents</w:t>
      </w:r>
    </w:p>
    <w:p w14:paraId="14079684" w14:textId="30A152A6" w:rsidR="15E72EE8" w:rsidRDefault="15E72EE8" w:rsidP="15E72EE8">
      <w:pPr>
        <w:tabs>
          <w:tab w:val="right" w:leader="dot" w:pos="9016"/>
        </w:tabs>
        <w:spacing w:before="120" w:after="0" w:line="257" w:lineRule="auto"/>
      </w:pPr>
      <w:hyperlink r:id="rId4" w:anchor="_Toc216683489">
        <w:r w:rsidRPr="15E72EE8">
          <w:rPr>
            <w:rStyle w:val="Hyperlink"/>
            <w:rFonts w:ascii="Arial" w:eastAsia="Arial" w:hAnsi="Arial" w:cs="Arial"/>
            <w:b/>
            <w:bCs/>
            <w:i/>
            <w:iCs/>
            <w:sz w:val="22"/>
            <w:szCs w:val="22"/>
          </w:rPr>
          <w:t>Shortage of Residential Care Homes within the Community</w:t>
        </w:r>
        <w:r>
          <w:tab/>
        </w:r>
        <w:r w:rsidRPr="15E72EE8">
          <w:rPr>
            <w:rStyle w:val="Hyperlink"/>
            <w:rFonts w:ascii="Arial" w:eastAsia="Arial" w:hAnsi="Arial" w:cs="Arial"/>
            <w:b/>
            <w:bCs/>
            <w:i/>
            <w:iCs/>
            <w:color w:val="0563C1"/>
            <w:sz w:val="22"/>
            <w:szCs w:val="22"/>
          </w:rPr>
          <w:t>3</w:t>
        </w:r>
      </w:hyperlink>
    </w:p>
    <w:p w14:paraId="3DFF0040" w14:textId="1747FEF1" w:rsidR="15E72EE8" w:rsidRDefault="15E72EE8" w:rsidP="15E72EE8">
      <w:pPr>
        <w:tabs>
          <w:tab w:val="right" w:leader="dot" w:pos="9016"/>
        </w:tabs>
        <w:spacing w:before="120" w:after="0" w:line="257" w:lineRule="auto"/>
      </w:pPr>
      <w:hyperlink r:id="rId5" w:anchor="_Toc216683490">
        <w:r w:rsidRPr="15E72EE8">
          <w:rPr>
            <w:rStyle w:val="Hyperlink"/>
            <w:rFonts w:ascii="Arial" w:eastAsia="Arial" w:hAnsi="Arial" w:cs="Arial"/>
            <w:b/>
            <w:bCs/>
            <w:i/>
            <w:iCs/>
            <w:sz w:val="22"/>
            <w:szCs w:val="22"/>
          </w:rPr>
          <w:t>Ambulance services</w:t>
        </w:r>
        <w:r>
          <w:tab/>
        </w:r>
        <w:r w:rsidRPr="15E72EE8">
          <w:rPr>
            <w:rStyle w:val="Hyperlink"/>
            <w:rFonts w:ascii="Arial" w:eastAsia="Arial" w:hAnsi="Arial" w:cs="Arial"/>
            <w:b/>
            <w:bCs/>
            <w:i/>
            <w:iCs/>
            <w:color w:val="0563C1"/>
            <w:sz w:val="22"/>
            <w:szCs w:val="22"/>
          </w:rPr>
          <w:t>5</w:t>
        </w:r>
      </w:hyperlink>
    </w:p>
    <w:p w14:paraId="1CBB8D15" w14:textId="4A93D7B7" w:rsidR="15E72EE8" w:rsidRDefault="15E72EE8" w:rsidP="15E72EE8">
      <w:pPr>
        <w:tabs>
          <w:tab w:val="right" w:leader="dot" w:pos="9016"/>
        </w:tabs>
        <w:spacing w:before="120" w:after="0" w:line="257" w:lineRule="auto"/>
      </w:pPr>
      <w:hyperlink r:id="rId6" w:anchor="_Toc216683491">
        <w:r w:rsidRPr="15E72EE8">
          <w:rPr>
            <w:rStyle w:val="Hyperlink"/>
            <w:rFonts w:ascii="Arial" w:eastAsia="Arial" w:hAnsi="Arial" w:cs="Arial"/>
            <w:b/>
            <w:bCs/>
            <w:i/>
            <w:iCs/>
            <w:sz w:val="22"/>
            <w:szCs w:val="22"/>
          </w:rPr>
          <w:t>CONCLUSION</w:t>
        </w:r>
        <w:r>
          <w:tab/>
        </w:r>
        <w:r w:rsidRPr="15E72EE8">
          <w:rPr>
            <w:rStyle w:val="Hyperlink"/>
            <w:rFonts w:ascii="Arial" w:eastAsia="Arial" w:hAnsi="Arial" w:cs="Arial"/>
            <w:b/>
            <w:bCs/>
            <w:i/>
            <w:iCs/>
            <w:color w:val="0563C1"/>
            <w:sz w:val="22"/>
            <w:szCs w:val="22"/>
          </w:rPr>
          <w:t>6</w:t>
        </w:r>
      </w:hyperlink>
    </w:p>
    <w:p w14:paraId="23F41AD3" w14:textId="1770F2ED" w:rsidR="15E72EE8" w:rsidRDefault="15E72EE8" w:rsidP="15E72EE8">
      <w:pPr>
        <w:tabs>
          <w:tab w:val="right" w:leader="dot" w:pos="9016"/>
        </w:tabs>
        <w:spacing w:before="120" w:after="0" w:line="257" w:lineRule="auto"/>
      </w:pPr>
      <w:hyperlink r:id="rId7" w:anchor="_Toc216683492">
        <w:r w:rsidRPr="15E72EE8">
          <w:rPr>
            <w:rStyle w:val="Hyperlink"/>
            <w:rFonts w:ascii="Arial" w:eastAsia="Arial" w:hAnsi="Arial" w:cs="Arial"/>
            <w:b/>
            <w:bCs/>
            <w:i/>
            <w:iCs/>
            <w:sz w:val="22"/>
            <w:szCs w:val="22"/>
          </w:rPr>
          <w:t>References</w:t>
        </w:r>
        <w:r>
          <w:tab/>
        </w:r>
        <w:r w:rsidRPr="15E72EE8">
          <w:rPr>
            <w:rStyle w:val="Hyperlink"/>
            <w:rFonts w:ascii="Arial" w:eastAsia="Arial" w:hAnsi="Arial" w:cs="Arial"/>
            <w:b/>
            <w:bCs/>
            <w:i/>
            <w:iCs/>
            <w:color w:val="0563C1"/>
            <w:sz w:val="22"/>
            <w:szCs w:val="22"/>
          </w:rPr>
          <w:t>7</w:t>
        </w:r>
      </w:hyperlink>
    </w:p>
    <w:p w14:paraId="0479AC9B" w14:textId="388346F4" w:rsidR="15E72EE8" w:rsidRDefault="15E72EE8" w:rsidP="15E72EE8">
      <w:pPr>
        <w:spacing w:line="257" w:lineRule="auto"/>
      </w:pPr>
      <w:r w:rsidRPr="15E72EE8">
        <w:rPr>
          <w:rFonts w:ascii="Calibri" w:eastAsia="Calibri" w:hAnsi="Calibri" w:cs="Calibri"/>
          <w:sz w:val="22"/>
          <w:szCs w:val="22"/>
        </w:rPr>
        <w:t xml:space="preserve"> </w:t>
      </w:r>
    </w:p>
    <w:p w14:paraId="017CF249" w14:textId="0CA6D6E2" w:rsidR="15E72EE8" w:rsidRDefault="15E72EE8" w:rsidP="15E72EE8">
      <w:pPr>
        <w:spacing w:line="257" w:lineRule="auto"/>
      </w:pPr>
    </w:p>
    <w:p w14:paraId="008660ED" w14:textId="7CE1697E" w:rsidR="15E72EE8" w:rsidRDefault="15E72EE8" w:rsidP="15E72EE8">
      <w:pPr>
        <w:spacing w:line="257" w:lineRule="auto"/>
        <w:rPr>
          <w:rFonts w:ascii="Arial" w:eastAsia="Arial" w:hAnsi="Arial" w:cs="Arial"/>
          <w:sz w:val="22"/>
          <w:szCs w:val="22"/>
        </w:rPr>
      </w:pPr>
    </w:p>
    <w:p w14:paraId="5CAD42EB" w14:textId="3C25F53E" w:rsidR="15E72EE8" w:rsidRDefault="15E72EE8"/>
    <w:p w14:paraId="08A9AA19" w14:textId="5AD02350" w:rsidR="15E72EE8" w:rsidRDefault="15E72EE8"/>
    <w:p w14:paraId="0EE20459" w14:textId="45995E6B" w:rsidR="15E72EE8" w:rsidRDefault="15E72EE8"/>
    <w:p w14:paraId="3B3F18F3" w14:textId="5814C393" w:rsidR="15E72EE8" w:rsidRDefault="15E72EE8"/>
    <w:p w14:paraId="07042B94" w14:textId="2EF26E50" w:rsidR="15E72EE8" w:rsidRDefault="15E72EE8"/>
    <w:p w14:paraId="73DFD4F7" w14:textId="284F335E" w:rsidR="15E72EE8" w:rsidRDefault="15E72EE8"/>
    <w:p w14:paraId="4FD8DC34" w14:textId="06DEBC2F" w:rsidR="15E72EE8" w:rsidRDefault="15E72EE8"/>
    <w:p w14:paraId="7A7528A9" w14:textId="3F80351B" w:rsidR="15E72EE8" w:rsidRDefault="15E72EE8"/>
    <w:p w14:paraId="38DFE2B6" w14:textId="085954F3" w:rsidR="15E72EE8" w:rsidRDefault="15E72EE8"/>
    <w:p w14:paraId="6E181EE1" w14:textId="6E0C464A" w:rsidR="15E72EE8" w:rsidRDefault="15E72EE8"/>
    <w:p w14:paraId="3920B775" w14:textId="48DF8276" w:rsidR="15E72EE8" w:rsidRDefault="15E72EE8"/>
    <w:p w14:paraId="1A4EE939" w14:textId="33C6011E" w:rsidR="15E72EE8" w:rsidRDefault="15E72EE8"/>
    <w:p w14:paraId="2321533A" w14:textId="4A7661AC" w:rsidR="15E72EE8" w:rsidRDefault="15E72EE8"/>
    <w:p w14:paraId="0C9A28E2" w14:textId="5C2AFDCC" w:rsidR="15E72EE8" w:rsidRDefault="15E72EE8"/>
    <w:p w14:paraId="0FDACE93" w14:textId="6AF1F3F1" w:rsidR="15E72EE8" w:rsidRDefault="15E72EE8"/>
    <w:p w14:paraId="35317311" w14:textId="5C25A0B4" w:rsidR="15E72EE8" w:rsidRDefault="15E72EE8"/>
    <w:p w14:paraId="322D737F" w14:textId="009F8D2A" w:rsidR="15E72EE8" w:rsidRDefault="15E72EE8"/>
    <w:p w14:paraId="407E0ABE" w14:textId="30A65EBA" w:rsidR="15E72EE8" w:rsidRDefault="15E72EE8"/>
    <w:p w14:paraId="30967DD4" w14:textId="01B71AAF" w:rsidR="15E72EE8" w:rsidRDefault="15E72EE8"/>
    <w:p w14:paraId="2D55313A" w14:textId="73A2046A" w:rsidR="15E72EE8" w:rsidRDefault="15E72EE8" w:rsidP="15E72EE8">
      <w:pPr>
        <w:spacing w:after="0" w:line="257" w:lineRule="auto"/>
        <w:jc w:val="right"/>
      </w:pPr>
      <w:r w:rsidRPr="15E72EE8">
        <w:rPr>
          <w:rFonts w:ascii="Arial" w:eastAsia="Arial" w:hAnsi="Arial" w:cs="Arial"/>
          <w:sz w:val="22"/>
          <w:szCs w:val="22"/>
        </w:rPr>
        <w:t>Great Yarmouth Care Home</w:t>
      </w:r>
    </w:p>
    <w:p w14:paraId="0871CB9F" w14:textId="70BD888A" w:rsidR="15E72EE8" w:rsidRDefault="15E72EE8" w:rsidP="15E72EE8">
      <w:pPr>
        <w:spacing w:after="0" w:line="257" w:lineRule="auto"/>
        <w:jc w:val="right"/>
      </w:pPr>
      <w:r w:rsidRPr="15E72EE8">
        <w:rPr>
          <w:rFonts w:ascii="Arial" w:eastAsia="Arial" w:hAnsi="Arial" w:cs="Arial"/>
          <w:sz w:val="22"/>
          <w:szCs w:val="22"/>
        </w:rPr>
        <w:t>6 St Edmunds road</w:t>
      </w:r>
    </w:p>
    <w:p w14:paraId="1B0B30BF" w14:textId="2BFD7E1C" w:rsidR="15E72EE8" w:rsidRDefault="15E72EE8" w:rsidP="15E72EE8">
      <w:pPr>
        <w:spacing w:after="0" w:line="257" w:lineRule="auto"/>
        <w:jc w:val="right"/>
      </w:pPr>
      <w:r w:rsidRPr="15E72EE8">
        <w:rPr>
          <w:rFonts w:ascii="Arial" w:eastAsia="Arial" w:hAnsi="Arial" w:cs="Arial"/>
          <w:sz w:val="22"/>
          <w:szCs w:val="22"/>
        </w:rPr>
        <w:t>Great Yarmouth</w:t>
      </w:r>
    </w:p>
    <w:p w14:paraId="29C7FFA8" w14:textId="17FA3E5F" w:rsidR="15E72EE8" w:rsidRDefault="15E72EE8" w:rsidP="15E72EE8">
      <w:pPr>
        <w:spacing w:after="0" w:line="257" w:lineRule="auto"/>
        <w:jc w:val="right"/>
      </w:pPr>
      <w:r w:rsidRPr="15E72EE8">
        <w:rPr>
          <w:rFonts w:ascii="Arial" w:eastAsia="Arial" w:hAnsi="Arial" w:cs="Arial"/>
          <w:sz w:val="22"/>
          <w:szCs w:val="22"/>
        </w:rPr>
        <w:t>NR30 3OP</w:t>
      </w:r>
    </w:p>
    <w:p w14:paraId="63815693" w14:textId="63B7D8CE" w:rsidR="15E72EE8" w:rsidRDefault="15E72EE8" w:rsidP="15E72EE8">
      <w:pPr>
        <w:spacing w:line="257" w:lineRule="auto"/>
      </w:pPr>
      <w:r w:rsidRPr="15E72EE8">
        <w:rPr>
          <w:rFonts w:ascii="Arial" w:eastAsia="Arial" w:hAnsi="Arial" w:cs="Arial"/>
          <w:b/>
          <w:bCs/>
          <w:sz w:val="22"/>
          <w:szCs w:val="22"/>
        </w:rPr>
        <w:t xml:space="preserve"> </w:t>
      </w:r>
    </w:p>
    <w:p w14:paraId="1555BAE6" w14:textId="77ACEA49" w:rsidR="15E72EE8" w:rsidRDefault="15E72EE8" w:rsidP="15E72EE8">
      <w:pPr>
        <w:spacing w:after="0" w:line="257" w:lineRule="auto"/>
      </w:pPr>
      <w:r w:rsidRPr="15E72EE8">
        <w:rPr>
          <w:rFonts w:ascii="Arial" w:eastAsia="Arial" w:hAnsi="Arial" w:cs="Arial"/>
          <w:sz w:val="22"/>
          <w:szCs w:val="22"/>
        </w:rPr>
        <w:t>Great Yarmouth Borough Council</w:t>
      </w:r>
    </w:p>
    <w:p w14:paraId="648EC725" w14:textId="031942D6" w:rsidR="15E72EE8" w:rsidRDefault="15E72EE8" w:rsidP="15E72EE8">
      <w:pPr>
        <w:spacing w:after="0" w:line="257" w:lineRule="auto"/>
      </w:pPr>
      <w:r w:rsidRPr="15E72EE8">
        <w:rPr>
          <w:rFonts w:ascii="Arial" w:eastAsia="Arial" w:hAnsi="Arial" w:cs="Arial"/>
          <w:sz w:val="22"/>
          <w:szCs w:val="22"/>
        </w:rPr>
        <w:t>Town Hall</w:t>
      </w:r>
    </w:p>
    <w:p w14:paraId="0C1929B2" w14:textId="12C02216" w:rsidR="15E72EE8" w:rsidRDefault="15E72EE8" w:rsidP="15E72EE8">
      <w:pPr>
        <w:spacing w:after="0" w:line="257" w:lineRule="auto"/>
      </w:pPr>
      <w:r w:rsidRPr="15E72EE8">
        <w:rPr>
          <w:rFonts w:ascii="Arial" w:eastAsia="Arial" w:hAnsi="Arial" w:cs="Arial"/>
          <w:sz w:val="22"/>
          <w:szCs w:val="22"/>
        </w:rPr>
        <w:t>Hall Plain</w:t>
      </w:r>
    </w:p>
    <w:p w14:paraId="6F13A7B7" w14:textId="77CE622A" w:rsidR="15E72EE8" w:rsidRDefault="15E72EE8" w:rsidP="15E72EE8">
      <w:pPr>
        <w:spacing w:after="0" w:line="257" w:lineRule="auto"/>
      </w:pPr>
      <w:r w:rsidRPr="15E72EE8">
        <w:rPr>
          <w:rFonts w:ascii="Arial" w:eastAsia="Arial" w:hAnsi="Arial" w:cs="Arial"/>
          <w:sz w:val="22"/>
          <w:szCs w:val="22"/>
        </w:rPr>
        <w:t>Great Yarmouth</w:t>
      </w:r>
    </w:p>
    <w:p w14:paraId="6682640C" w14:textId="4F31BABA" w:rsidR="15E72EE8" w:rsidRDefault="15E72EE8" w:rsidP="15E72EE8">
      <w:pPr>
        <w:spacing w:after="0" w:line="257" w:lineRule="auto"/>
      </w:pPr>
      <w:r w:rsidRPr="15E72EE8">
        <w:rPr>
          <w:rFonts w:ascii="Arial" w:eastAsia="Arial" w:hAnsi="Arial" w:cs="Arial"/>
          <w:sz w:val="22"/>
          <w:szCs w:val="22"/>
        </w:rPr>
        <w:t>NR30 2QF</w:t>
      </w:r>
    </w:p>
    <w:p w14:paraId="72F2982D" w14:textId="021CA01D" w:rsidR="15E72EE8" w:rsidRDefault="15E72EE8" w:rsidP="15E72EE8">
      <w:pPr>
        <w:spacing w:line="257" w:lineRule="auto"/>
      </w:pPr>
      <w:r w:rsidRPr="15E72EE8">
        <w:rPr>
          <w:rFonts w:ascii="Arial" w:eastAsia="Arial" w:hAnsi="Arial" w:cs="Arial"/>
          <w:sz w:val="22"/>
          <w:szCs w:val="22"/>
        </w:rPr>
        <w:t xml:space="preserve"> </w:t>
      </w:r>
    </w:p>
    <w:p w14:paraId="7604C829" w14:textId="4F26AC1F" w:rsidR="15E72EE8" w:rsidRDefault="15E72EE8" w:rsidP="15E72EE8">
      <w:pPr>
        <w:pStyle w:val="Heading1"/>
        <w:spacing w:line="257" w:lineRule="auto"/>
      </w:pPr>
      <w:r w:rsidRPr="15E72EE8">
        <w:rPr>
          <w:rFonts w:ascii="Calibri Light" w:eastAsia="Calibri Light" w:hAnsi="Calibri Light" w:cs="Calibri Light"/>
          <w:color w:val="2F5496"/>
        </w:rPr>
        <w:t>Shortage of Residential Care Homes within the Community</w:t>
      </w:r>
    </w:p>
    <w:p w14:paraId="7FF9F1DC" w14:textId="4C0026B9" w:rsidR="15E72EE8" w:rsidRDefault="15E72EE8" w:rsidP="15E72EE8">
      <w:pPr>
        <w:spacing w:line="257" w:lineRule="auto"/>
        <w:jc w:val="center"/>
      </w:pPr>
      <w:r w:rsidRPr="15E72EE8">
        <w:rPr>
          <w:rFonts w:ascii="Arial" w:eastAsia="Arial" w:hAnsi="Arial" w:cs="Arial"/>
          <w:sz w:val="22"/>
          <w:szCs w:val="22"/>
        </w:rPr>
        <w:t xml:space="preserve"> </w:t>
      </w:r>
    </w:p>
    <w:p w14:paraId="76B77BC8" w14:textId="09737841" w:rsidR="15E72EE8" w:rsidRDefault="15E72EE8" w:rsidP="15E72EE8">
      <w:pPr>
        <w:spacing w:line="257" w:lineRule="auto"/>
      </w:pPr>
      <w:r w:rsidRPr="15E72EE8">
        <w:rPr>
          <w:rFonts w:ascii="Arial" w:eastAsia="Arial" w:hAnsi="Arial" w:cs="Arial"/>
          <w:sz w:val="22"/>
          <w:szCs w:val="22"/>
        </w:rPr>
        <w:t>Dear Councillor,</w:t>
      </w:r>
    </w:p>
    <w:p w14:paraId="68237243" w14:textId="30B2B65F" w:rsidR="15E72EE8" w:rsidRDefault="15E72EE8" w:rsidP="15E72EE8">
      <w:pPr>
        <w:spacing w:line="257" w:lineRule="auto"/>
      </w:pPr>
      <w:r w:rsidRPr="15E72EE8">
        <w:rPr>
          <w:rFonts w:ascii="Arial" w:eastAsia="Arial" w:hAnsi="Arial" w:cs="Arial"/>
          <w:sz w:val="22"/>
          <w:szCs w:val="22"/>
        </w:rPr>
        <w:t>Providing care home services is vital for meeting the needs of individuals, families, and communities, especially for older adults, people with disabilities, long-term health conditions, or mental health needs. The Care Act 2014 imposes a legal duty on local authorities to promote individual wellbeing, including physical and mental health, dignity, safety, and participation in family and community life.</w:t>
      </w:r>
    </w:p>
    <w:p w14:paraId="5BF72909" w14:textId="418D32CC" w:rsidR="15E72EE8" w:rsidRDefault="15E72EE8" w:rsidP="15E72EE8">
      <w:pPr>
        <w:spacing w:line="257" w:lineRule="auto"/>
      </w:pPr>
      <w:r w:rsidRPr="15E72EE8">
        <w:rPr>
          <w:rFonts w:ascii="Arial" w:eastAsia="Arial" w:hAnsi="Arial" w:cs="Arial"/>
          <w:sz w:val="22"/>
          <w:szCs w:val="22"/>
        </w:rPr>
        <w:t>We are writing to express our increasing concern about the shortage of residential care homes within the borough and the wider community. As a provider working closely with older adults and individuals with complex care needs, we are witnessing firsthand the consequences of limited local residential care provision on residents, families, and community services.</w:t>
      </w:r>
    </w:p>
    <w:p w14:paraId="4C807BD2" w14:textId="5D6AB364" w:rsidR="15E72EE8" w:rsidRDefault="15E72EE8" w:rsidP="15E72EE8">
      <w:pPr>
        <w:spacing w:line="257" w:lineRule="auto"/>
      </w:pPr>
      <w:r w:rsidRPr="15E72EE8">
        <w:rPr>
          <w:rFonts w:ascii="Arial" w:eastAsia="Arial" w:hAnsi="Arial" w:cs="Arial"/>
          <w:sz w:val="22"/>
          <w:szCs w:val="22"/>
        </w:rPr>
        <w:t>Under sections 18–20 of the Act, local authorities must meet an adult’s eligible care and support needs after an assessment, including arranging residential care when necessary. However, due to the lack of care homes, these needs are often unmet in practice. Delays in assessments and placements mean individuals may remain without appropriate care, resulting in declining health, increased risk of falls, malnutrition, poor mental health, and an overall decline in quality of life undermining the Act’s core principle of promoting individual wellbeing.</w:t>
      </w:r>
    </w:p>
    <w:p w14:paraId="6BF8B635" w14:textId="2E2E7C71" w:rsidR="15E72EE8" w:rsidRDefault="15E72EE8" w:rsidP="15E72EE8">
      <w:pPr>
        <w:spacing w:line="257" w:lineRule="auto"/>
      </w:pPr>
      <w:r w:rsidRPr="15E72EE8">
        <w:rPr>
          <w:rFonts w:ascii="Arial" w:eastAsia="Arial" w:hAnsi="Arial" w:cs="Arial"/>
          <w:sz w:val="22"/>
          <w:szCs w:val="22"/>
        </w:rPr>
        <w:t>The shortage of care home placements also leads to delayed hospital discharges. Section 3 of the Care Act requires local authorities to collaborate with health services to ensure effective discharge from hospital. When suitable placements are unavailable, patients who are medically fit to leave remain in hospital beds. This affects their independence and recovery and limits hospital capacity for others in need. In many cases, people are placed far from their local area, separating them from family and support networks and negatively impacting emotional wellbeing, which contradicts the Act’s emphasis on community connections.</w:t>
      </w:r>
    </w:p>
    <w:p w14:paraId="4D65CE43" w14:textId="11C2AAC2" w:rsidR="15E72EE8" w:rsidRDefault="15E72EE8" w:rsidP="15E72EE8">
      <w:pPr>
        <w:spacing w:line="257" w:lineRule="auto"/>
      </w:pPr>
      <w:r w:rsidRPr="15E72EE8">
        <w:rPr>
          <w:rFonts w:ascii="Arial" w:eastAsia="Arial" w:hAnsi="Arial" w:cs="Arial"/>
          <w:sz w:val="22"/>
          <w:szCs w:val="22"/>
        </w:rPr>
        <w:t>Families may be left to provide intensive care without adequate support or training, resulting in carer stress, exhaustion, and financial strain. Section 20 of The Care Act requires Local Authorities to arrange safe accommodation when care cannot be safely delivered at home. If Local Authorities fail to provide such accommodation, safeguards risks may arise such as neglect of basic needs, isolation, and unmet needs any of which could be considered safeguarding concerns under Section 42.</w:t>
      </w:r>
    </w:p>
    <w:p w14:paraId="07306CDB" w14:textId="40BC7F8B" w:rsidR="15E72EE8" w:rsidRDefault="15E72EE8" w:rsidP="15E72EE8">
      <w:pPr>
        <w:spacing w:line="257" w:lineRule="auto"/>
      </w:pPr>
      <w:r w:rsidRPr="15E72EE8">
        <w:rPr>
          <w:rFonts w:ascii="Arial" w:eastAsia="Arial" w:hAnsi="Arial" w:cs="Arial"/>
          <w:sz w:val="22"/>
          <w:szCs w:val="22"/>
        </w:rPr>
        <w:t>The lack of residential accommodation exerts additional pressure on emergency services and the care workforce, who must cope with preventable health-related issues, increasing demand on GPs, ambulance services, emergency departments, and hospitals. Carers are experiencing burnout, which diminishes the quality of care provided.</w:t>
      </w:r>
    </w:p>
    <w:p w14:paraId="62379CDC" w14:textId="1A15DC4C" w:rsidR="15E72EE8" w:rsidRDefault="15E72EE8" w:rsidP="15E72EE8">
      <w:pPr>
        <w:spacing w:line="257" w:lineRule="auto"/>
      </w:pPr>
      <w:r w:rsidRPr="15E72EE8">
        <w:rPr>
          <w:rFonts w:ascii="Arial" w:eastAsia="Arial" w:hAnsi="Arial" w:cs="Arial"/>
          <w:sz w:val="22"/>
          <w:szCs w:val="22"/>
        </w:rPr>
        <w:t>From a community perspective, sufficient residential care provision supports safer neighbourhoods, reduces pressure on health and social care systems, and ensures that vulnerable residents can live with dignity and protection.</w:t>
      </w:r>
    </w:p>
    <w:p w14:paraId="0FB587C9" w14:textId="03CA0494" w:rsidR="15E72EE8" w:rsidRDefault="15E72EE8" w:rsidP="15E72EE8">
      <w:pPr>
        <w:spacing w:line="257" w:lineRule="auto"/>
      </w:pPr>
      <w:r w:rsidRPr="15E72EE8">
        <w:rPr>
          <w:rFonts w:ascii="Arial" w:eastAsia="Arial" w:hAnsi="Arial" w:cs="Arial"/>
          <w:sz w:val="22"/>
          <w:szCs w:val="22"/>
        </w:rPr>
        <w:t>Our residences, like others, are not only places of accommodation but essential community services that safeguard individuals who can no longer live safely at home without intensive support. Through this letter, we hope the Council recognises the urgent need for increased investment in residential care within the borough.</w:t>
      </w:r>
    </w:p>
    <w:p w14:paraId="57AF3E7B" w14:textId="7180DDD5" w:rsidR="15E72EE8" w:rsidRDefault="15E72EE8" w:rsidP="15E72EE8">
      <w:pPr>
        <w:spacing w:line="257" w:lineRule="auto"/>
      </w:pPr>
      <w:r w:rsidRPr="15E72EE8">
        <w:rPr>
          <w:rFonts w:ascii="Arial" w:eastAsia="Arial" w:hAnsi="Arial" w:cs="Arial"/>
          <w:sz w:val="22"/>
          <w:szCs w:val="22"/>
        </w:rPr>
        <w:t>We welcome the opportunity to discuss further how health providers and the Council can collaborate to address this challenge and secure sustainable care solutions for our community.</w:t>
      </w:r>
    </w:p>
    <w:p w14:paraId="2110AC48" w14:textId="2C44A89C" w:rsidR="15E72EE8" w:rsidRDefault="15E72EE8" w:rsidP="15E72EE8">
      <w:pPr>
        <w:spacing w:line="257" w:lineRule="auto"/>
      </w:pPr>
      <w:r w:rsidRPr="15E72EE8">
        <w:rPr>
          <w:rFonts w:ascii="Arial" w:eastAsia="Arial" w:hAnsi="Arial" w:cs="Arial"/>
          <w:sz w:val="22"/>
          <w:szCs w:val="22"/>
        </w:rPr>
        <w:t xml:space="preserve"> </w:t>
      </w:r>
    </w:p>
    <w:p w14:paraId="0960431F" w14:textId="39B6577E" w:rsidR="15E72EE8" w:rsidRDefault="15E72EE8" w:rsidP="15E72EE8">
      <w:pPr>
        <w:spacing w:line="257" w:lineRule="auto"/>
      </w:pPr>
      <w:r w:rsidRPr="15E72EE8">
        <w:rPr>
          <w:rFonts w:ascii="Arial" w:eastAsia="Arial" w:hAnsi="Arial" w:cs="Arial"/>
          <w:sz w:val="22"/>
          <w:szCs w:val="22"/>
        </w:rPr>
        <w:t xml:space="preserve">Yours sincerely, Cleonice Vicente Supervisor. </w:t>
      </w:r>
    </w:p>
    <w:p w14:paraId="61F97032" w14:textId="6118092B" w:rsidR="15E72EE8" w:rsidRDefault="15E72EE8" w:rsidP="15E72EE8">
      <w:pPr>
        <w:spacing w:line="257" w:lineRule="auto"/>
      </w:pPr>
      <w:r w:rsidRPr="15E72EE8">
        <w:rPr>
          <w:rFonts w:ascii="Arial" w:eastAsia="Arial" w:hAnsi="Arial" w:cs="Arial"/>
          <w:sz w:val="22"/>
          <w:szCs w:val="22"/>
        </w:rPr>
        <w:t xml:space="preserve"> </w:t>
      </w:r>
    </w:p>
    <w:p w14:paraId="0343CFD9" w14:textId="558F3992" w:rsidR="15E72EE8" w:rsidRDefault="15E72EE8" w:rsidP="15E72EE8">
      <w:pPr>
        <w:spacing w:after="0"/>
      </w:pPr>
      <w:r w:rsidRPr="15E72EE8">
        <w:rPr>
          <w:rFonts w:ascii="Aptos" w:eastAsia="Aptos" w:hAnsi="Aptos" w:cs="Aptos"/>
          <w:sz w:val="26"/>
          <w:szCs w:val="26"/>
        </w:rPr>
        <w:t xml:space="preserve"> </w:t>
      </w:r>
    </w:p>
    <w:p w14:paraId="271749DC" w14:textId="561ACC18" w:rsidR="15E72EE8" w:rsidRDefault="15E72EE8" w:rsidP="15E72EE8">
      <w:pPr>
        <w:spacing w:after="0"/>
      </w:pPr>
      <w:r w:rsidRPr="15E72EE8">
        <w:rPr>
          <w:rFonts w:ascii="Aptos" w:eastAsia="Aptos" w:hAnsi="Aptos" w:cs="Aptos"/>
          <w:sz w:val="26"/>
          <w:szCs w:val="26"/>
        </w:rPr>
        <w:t xml:space="preserve"> </w:t>
      </w:r>
    </w:p>
    <w:p w14:paraId="601B873C" w14:textId="5D86FE9C" w:rsidR="15E72EE8" w:rsidRDefault="15E72EE8" w:rsidP="15E72EE8">
      <w:pPr>
        <w:spacing w:after="0"/>
      </w:pPr>
      <w:r w:rsidRPr="15E72EE8">
        <w:rPr>
          <w:rFonts w:ascii="Aptos" w:eastAsia="Aptos" w:hAnsi="Aptos" w:cs="Aptos"/>
          <w:sz w:val="26"/>
          <w:szCs w:val="26"/>
        </w:rPr>
        <w:t xml:space="preserve"> </w:t>
      </w:r>
    </w:p>
    <w:p w14:paraId="7EC05DD8" w14:textId="7605E641" w:rsidR="15E72EE8" w:rsidRDefault="15E72EE8" w:rsidP="15E72EE8">
      <w:pPr>
        <w:spacing w:after="0"/>
      </w:pPr>
      <w:r w:rsidRPr="15E72EE8">
        <w:rPr>
          <w:rFonts w:ascii="Aptos" w:eastAsia="Aptos" w:hAnsi="Aptos" w:cs="Aptos"/>
          <w:sz w:val="26"/>
          <w:szCs w:val="26"/>
        </w:rPr>
        <w:t xml:space="preserve"> </w:t>
      </w:r>
    </w:p>
    <w:p w14:paraId="2379C693" w14:textId="40B2EACE" w:rsidR="15E72EE8" w:rsidRDefault="15E72EE8" w:rsidP="15E72EE8">
      <w:pPr>
        <w:spacing w:after="0"/>
        <w:rPr>
          <w:rFonts w:ascii="Aptos" w:eastAsia="Aptos" w:hAnsi="Aptos" w:cs="Aptos"/>
          <w:sz w:val="26"/>
          <w:szCs w:val="26"/>
        </w:rPr>
      </w:pPr>
    </w:p>
    <w:p w14:paraId="401460F7" w14:textId="7C973AF0" w:rsidR="15E72EE8" w:rsidRDefault="15E72EE8"/>
    <w:p w14:paraId="619016DE" w14:textId="415A32FF" w:rsidR="15E72EE8" w:rsidRDefault="15E72EE8"/>
    <w:p w14:paraId="5DC9569D" w14:textId="245077A4" w:rsidR="15E72EE8" w:rsidRDefault="15E72EE8"/>
    <w:p w14:paraId="409AA6F7" w14:textId="79EC5A50" w:rsidR="15E72EE8" w:rsidRDefault="15E72EE8"/>
    <w:p w14:paraId="4F771718" w14:textId="5A660E78" w:rsidR="15E72EE8" w:rsidRDefault="15E72EE8"/>
    <w:p w14:paraId="29FA7C6A" w14:textId="4235D412" w:rsidR="15E72EE8" w:rsidRDefault="15E72EE8"/>
    <w:p w14:paraId="3B0BE47C" w14:textId="54F0174A" w:rsidR="15E72EE8" w:rsidRDefault="15E72EE8"/>
    <w:p w14:paraId="65D1EC02" w14:textId="43D1BD9E" w:rsidR="15E72EE8" w:rsidRDefault="15E72EE8"/>
    <w:p w14:paraId="7E070C03" w14:textId="676B6A69" w:rsidR="15E72EE8" w:rsidRDefault="15E72EE8"/>
    <w:p w14:paraId="066574BC" w14:textId="1A128395" w:rsidR="15E72EE8" w:rsidRDefault="15E72EE8"/>
    <w:p w14:paraId="2FF234FE" w14:textId="0DC60373" w:rsidR="15E72EE8" w:rsidRDefault="15E72EE8"/>
    <w:p w14:paraId="17A4596F" w14:textId="2DCAB4E0" w:rsidR="15E72EE8" w:rsidRDefault="15E72EE8" w:rsidP="15E72EE8">
      <w:pPr>
        <w:pStyle w:val="Heading1"/>
        <w:spacing w:line="257" w:lineRule="auto"/>
      </w:pPr>
      <w:r w:rsidRPr="15E72EE8">
        <w:rPr>
          <w:rFonts w:ascii="Calibri Light" w:eastAsia="Calibri Light" w:hAnsi="Calibri Light" w:cs="Calibri Light"/>
          <w:color w:val="2F5496"/>
        </w:rPr>
        <w:t>Ambulance services</w:t>
      </w:r>
    </w:p>
    <w:p w14:paraId="596CB24D" w14:textId="4B821F07" w:rsidR="15E72EE8" w:rsidRDefault="15E72EE8" w:rsidP="15E72EE8">
      <w:pPr>
        <w:spacing w:line="257" w:lineRule="auto"/>
      </w:pPr>
      <w:r w:rsidRPr="15E72EE8">
        <w:rPr>
          <w:rFonts w:ascii="Arial" w:eastAsia="Arial" w:hAnsi="Arial" w:cs="Arial"/>
          <w:sz w:val="22"/>
          <w:szCs w:val="22"/>
        </w:rPr>
        <w:t>Ambulance services have been experiencing a growing pressure over the last ten years, which is indicative of broader issues in the health and social care system. In the past, the main goals of ambulance services were hospital transportation and quick emergency response. However, as a result of policy changes, paramedics are now expected to assess, treat, and make complex clinical decisions in community settings. Although this change has encouraged more flexible and person-centred care, it has also put ambulance services under systemic pressure that they are unable to handle without the help of other health services. Rising demand for ambulance services and ongoing delays in patient transfers to hospitals have been two of the biggest issues during this time.</w:t>
      </w:r>
    </w:p>
    <w:p w14:paraId="6A40D0E4" w14:textId="4840E640" w:rsidR="15E72EE8" w:rsidRDefault="15E72EE8" w:rsidP="15E72EE8">
      <w:pPr>
        <w:spacing w:line="257" w:lineRule="auto"/>
      </w:pPr>
      <w:r w:rsidRPr="15E72EE8">
        <w:rPr>
          <w:rFonts w:ascii="Arial" w:eastAsia="Arial" w:hAnsi="Arial" w:cs="Arial"/>
          <w:sz w:val="22"/>
          <w:szCs w:val="22"/>
        </w:rPr>
        <w:t>Over the past ten years, there has been a steady increase in demand for ambulance services. This rise has been driven by an ageing population, an increase in long-term and complex health conditions, and growing difficulties in accessing other parts of the healthcare system. Many people now depend on ambulance services as their first point of contact in times of crisis due to a lack of GP appointments, overstretched mental health services, and gaps in social care provision. As a result, the number of 999 calls has increased annually, and a large percentage of them deal with chronic, mental health, or social issues rather than urgent, life-threatening situations.</w:t>
      </w:r>
    </w:p>
    <w:p w14:paraId="6FC98C85" w14:textId="348A6902" w:rsidR="15E72EE8" w:rsidRDefault="15E72EE8" w:rsidP="15E72EE8">
      <w:pPr>
        <w:spacing w:line="257" w:lineRule="auto"/>
      </w:pPr>
      <w:r w:rsidRPr="15E72EE8">
        <w:rPr>
          <w:rFonts w:ascii="Arial" w:eastAsia="Arial" w:hAnsi="Arial" w:cs="Arial"/>
          <w:sz w:val="22"/>
          <w:szCs w:val="22"/>
        </w:rPr>
        <w:t xml:space="preserve">This growing demand has fundamentally altered the nature of ambulance work. Paramedics are increasingly required to spend extended periods at scenes conducting assessments, managing risk, and coordinating care with other services. While this aligns with policy ambitions to reduce unnecessary hospital admissions, it also reduces ambulance availability and places pressure on response times. Evidence suggests that prolonged ambulance response times are associated with poorer outcomes for time-sensitive conditions such as strokes and cardiac events, highlighting the risks posed by ongoing capacity pressures (O’Keeffe et al., 2022). As a result, ambulance services are frequently understaffed and underprepared to handle complex clinical decision-making in the face of growing operational demand. </w:t>
      </w:r>
    </w:p>
    <w:p w14:paraId="1EA5FD3A" w14:textId="1D02B7B5" w:rsidR="15E72EE8" w:rsidRDefault="15E72EE8" w:rsidP="15E72EE8">
      <w:pPr>
        <w:spacing w:line="257" w:lineRule="auto"/>
      </w:pPr>
      <w:r w:rsidRPr="15E72EE8">
        <w:rPr>
          <w:rFonts w:ascii="Arial" w:eastAsia="Arial" w:hAnsi="Arial" w:cs="Arial"/>
          <w:sz w:val="22"/>
          <w:szCs w:val="22"/>
        </w:rPr>
        <w:t>Hospital handover delays have become a significant and ongoing issue in growing demand. Before patients can be officially transferred to hospital care, ambulance crews often have to wait a long-time outside emergency room.</w:t>
      </w:r>
      <w:r w:rsidRPr="15E72EE8">
        <w:rPr>
          <w:rFonts w:ascii="Calibri" w:eastAsia="Calibri" w:hAnsi="Calibri" w:cs="Calibri"/>
          <w:sz w:val="22"/>
          <w:szCs w:val="22"/>
        </w:rPr>
        <w:t xml:space="preserve"> </w:t>
      </w:r>
      <w:r w:rsidRPr="15E72EE8">
        <w:rPr>
          <w:rFonts w:ascii="Arial" w:eastAsia="Arial" w:hAnsi="Arial" w:cs="Arial"/>
          <w:sz w:val="22"/>
          <w:szCs w:val="22"/>
        </w:rPr>
        <w:t>During these delays, ambulances and staff are unavailable to respond to new emergencies, further exacerbating response time pressures (BBC News, 2021). Crucially, these delays reflect larger shortcomings in the health and social care system rather than just ambulance services.</w:t>
      </w:r>
    </w:p>
    <w:p w14:paraId="79E480DB" w14:textId="11D7516D" w:rsidR="15E72EE8" w:rsidRDefault="15E72EE8" w:rsidP="15E72EE8">
      <w:pPr>
        <w:spacing w:line="257" w:lineRule="auto"/>
      </w:pPr>
      <w:r w:rsidRPr="15E72EE8">
        <w:rPr>
          <w:rFonts w:ascii="Arial" w:eastAsia="Arial" w:hAnsi="Arial" w:cs="Arial"/>
          <w:sz w:val="22"/>
          <w:szCs w:val="22"/>
        </w:rPr>
        <w:t>Due to overcrowding, a lack of available inpatient beds, and a shortage of personnel, emergency departments are experiencing increasing strain. Delays in hospital discharge, especially for patients who need social care support, are a major source of this pressure. Despite the Care Act 2014 placing a duty on local authorities to meet eligible care and support needs, ongoing underinvestment in adult social care has reduced community capacity. As a result, many patients remain in hospital longer than medically necessary, creating tailbacks throughout the system and directly contributing to ambulance queuing.</w:t>
      </w:r>
    </w:p>
    <w:p w14:paraId="5803441D" w14:textId="28462538" w:rsidR="15E72EE8" w:rsidRDefault="15E72EE8" w:rsidP="15E72EE8">
      <w:pPr>
        <w:spacing w:line="257" w:lineRule="auto"/>
      </w:pPr>
      <w:r w:rsidRPr="15E72EE8">
        <w:rPr>
          <w:rFonts w:ascii="Arial" w:eastAsia="Arial" w:hAnsi="Arial" w:cs="Arial"/>
          <w:sz w:val="22"/>
          <w:szCs w:val="22"/>
        </w:rPr>
        <w:t>Delays in handover have serious repercussions for both staff and patients. Long waits in ambulances can jeopardise patients' comfort, dignity, and clinical safety. Cases where delays have led to patient harm and declining health outcomes have been brought to light by regulatory inspections and media reports (BBC News, 2022) (CQC, 2023). For ambulance staff, repeated handover delays lead to frustration, fatigue, and moral distress, as they are unable to provide timely care to others in need. This weakens service resilience over time by causing burnout, low morale, and trouble keeping experienced staff. Delays in handover combined with growing demand result in a vicious cycle of pressure. While delayed hospital transfers lower system capacity and worsen response times and staff stress, increased call volumes put a strain on ambulance resources. These difficulties demonstrate the drawbacks of concentrating only on ambulance performance goals without addressing the more general structural problems affecting social and health care.</w:t>
      </w:r>
    </w:p>
    <w:p w14:paraId="2044B406" w14:textId="310AD6DC" w:rsidR="15E72EE8" w:rsidRDefault="15E72EE8" w:rsidP="15E72EE8"/>
    <w:p w14:paraId="46B1DD05" w14:textId="3DCD86D7" w:rsidR="15E72EE8" w:rsidRDefault="15E72EE8" w:rsidP="15E72EE8"/>
    <w:p w14:paraId="3916D00D" w14:textId="65D4B5F8" w:rsidR="15E72EE8" w:rsidRDefault="15E72EE8" w:rsidP="15E72EE8">
      <w:pPr>
        <w:pStyle w:val="Heading1"/>
        <w:spacing w:line="257" w:lineRule="auto"/>
        <w:jc w:val="center"/>
      </w:pPr>
      <w:r w:rsidRPr="15E72EE8">
        <w:rPr>
          <w:rFonts w:ascii="Calibri Light" w:eastAsia="Calibri Light" w:hAnsi="Calibri Light" w:cs="Calibri Light"/>
          <w:color w:val="2F5496"/>
        </w:rPr>
        <w:t>CONCLUSION</w:t>
      </w:r>
    </w:p>
    <w:p w14:paraId="3302B00F" w14:textId="479B820F" w:rsidR="15E72EE8" w:rsidRDefault="15E72EE8" w:rsidP="15E72EE8">
      <w:pPr>
        <w:spacing w:line="257" w:lineRule="auto"/>
      </w:pPr>
      <w:r w:rsidRPr="15E72EE8">
        <w:rPr>
          <w:rFonts w:ascii="Arial" w:eastAsia="Arial" w:hAnsi="Arial" w:cs="Arial"/>
          <w:sz w:val="22"/>
          <w:szCs w:val="22"/>
        </w:rPr>
        <w:t xml:space="preserve"> </w:t>
      </w:r>
    </w:p>
    <w:p w14:paraId="6694CB0B" w14:textId="5242E30A" w:rsidR="15E72EE8" w:rsidRDefault="15E72EE8" w:rsidP="15E72EE8">
      <w:pPr>
        <w:spacing w:line="257" w:lineRule="auto"/>
      </w:pPr>
      <w:r w:rsidRPr="15E72EE8">
        <w:rPr>
          <w:rFonts w:ascii="Arial" w:eastAsia="Arial" w:hAnsi="Arial" w:cs="Arial"/>
          <w:sz w:val="22"/>
          <w:szCs w:val="22"/>
        </w:rPr>
        <w:t>A whole-system approach would be necessary to address these issues. To lessen the burden on hospitals and enable ambulance handovers, I believe significant investment in community health and social care is crucial. Regardless of advancements in ambulance services, hospital beds will remain blocked by delayed discharges in the absence of adequate social care. Therefore, it is imperative to prioritise the full and effective implementation of the Care Act 2014 duties.</w:t>
      </w:r>
    </w:p>
    <w:p w14:paraId="4F88615E" w14:textId="2550F077" w:rsidR="15E72EE8" w:rsidRDefault="15E72EE8" w:rsidP="15E72EE8">
      <w:pPr>
        <w:spacing w:line="257" w:lineRule="auto"/>
      </w:pPr>
      <w:r w:rsidRPr="15E72EE8">
        <w:rPr>
          <w:rFonts w:ascii="Arial" w:eastAsia="Arial" w:hAnsi="Arial" w:cs="Arial"/>
          <w:sz w:val="22"/>
          <w:szCs w:val="22"/>
        </w:rPr>
        <w:t>It is equally important to expand alternative care pathways. Paramedics can provide appropriate care without having to perform unnecessary hospital transports by making direct referrals to mental health crisis teams, urgent community response services, and same-day emergency care. Recognising employee well-being as a patient safety issue is also necessary. Improved staffing levels, enough rest periods and access to psychological support are vital to retaining experienced staff and preventing burnout and finally to focus on patient outcomes and quality of care rather than the response-time.</w:t>
      </w:r>
    </w:p>
    <w:p w14:paraId="289CD917" w14:textId="079B6338" w:rsidR="15E72EE8" w:rsidRDefault="15E72EE8" w:rsidP="15E72EE8">
      <w:pPr>
        <w:spacing w:line="257" w:lineRule="auto"/>
      </w:pPr>
      <w:r w:rsidRPr="15E72EE8">
        <w:rPr>
          <w:rFonts w:ascii="Arial" w:eastAsia="Arial" w:hAnsi="Arial" w:cs="Arial"/>
          <w:sz w:val="22"/>
          <w:szCs w:val="22"/>
        </w:rPr>
        <w:t xml:space="preserve"> </w:t>
      </w:r>
    </w:p>
    <w:p w14:paraId="0E61792F" w14:textId="39F4E28E" w:rsidR="15E72EE8" w:rsidRDefault="15E72EE8" w:rsidP="15E72EE8">
      <w:pPr>
        <w:spacing w:line="257" w:lineRule="auto"/>
        <w:rPr>
          <w:rFonts w:ascii="Arial" w:eastAsia="Arial" w:hAnsi="Arial" w:cs="Arial"/>
          <w:sz w:val="22"/>
          <w:szCs w:val="22"/>
        </w:rPr>
      </w:pPr>
    </w:p>
    <w:p w14:paraId="1F4C815B" w14:textId="6CD63D4D" w:rsidR="15E72EE8" w:rsidRDefault="15E72EE8" w:rsidP="15E72EE8">
      <w:pPr>
        <w:spacing w:line="257" w:lineRule="auto"/>
        <w:rPr>
          <w:rFonts w:ascii="Arial" w:eastAsia="Arial" w:hAnsi="Arial" w:cs="Arial"/>
          <w:sz w:val="22"/>
          <w:szCs w:val="22"/>
        </w:rPr>
      </w:pPr>
    </w:p>
    <w:p w14:paraId="7B70D207" w14:textId="50609786" w:rsidR="15E72EE8" w:rsidRDefault="15E72EE8" w:rsidP="15E72EE8">
      <w:pPr>
        <w:spacing w:line="257" w:lineRule="auto"/>
        <w:rPr>
          <w:rFonts w:ascii="Arial" w:eastAsia="Arial" w:hAnsi="Arial" w:cs="Arial"/>
          <w:sz w:val="22"/>
          <w:szCs w:val="22"/>
        </w:rPr>
      </w:pPr>
    </w:p>
    <w:p w14:paraId="41F0ACF0" w14:textId="34D6BD05" w:rsidR="15E72EE8" w:rsidRDefault="15E72EE8" w:rsidP="15E72EE8">
      <w:pPr>
        <w:spacing w:line="257" w:lineRule="auto"/>
        <w:rPr>
          <w:rFonts w:ascii="Arial" w:eastAsia="Arial" w:hAnsi="Arial" w:cs="Arial"/>
          <w:sz w:val="22"/>
          <w:szCs w:val="22"/>
        </w:rPr>
      </w:pPr>
    </w:p>
    <w:p w14:paraId="14782839" w14:textId="74ED6E8C" w:rsidR="15E72EE8" w:rsidRDefault="15E72EE8" w:rsidP="15E72EE8">
      <w:pPr>
        <w:spacing w:line="257" w:lineRule="auto"/>
        <w:rPr>
          <w:rFonts w:ascii="Arial" w:eastAsia="Arial" w:hAnsi="Arial" w:cs="Arial"/>
          <w:sz w:val="22"/>
          <w:szCs w:val="22"/>
        </w:rPr>
      </w:pPr>
    </w:p>
    <w:p w14:paraId="29905D90" w14:textId="4363BA12" w:rsidR="15E72EE8" w:rsidRDefault="15E72EE8" w:rsidP="15E72EE8">
      <w:pPr>
        <w:spacing w:line="257" w:lineRule="auto"/>
        <w:rPr>
          <w:rFonts w:ascii="Arial" w:eastAsia="Arial" w:hAnsi="Arial" w:cs="Arial"/>
          <w:sz w:val="22"/>
          <w:szCs w:val="22"/>
        </w:rPr>
      </w:pPr>
    </w:p>
    <w:p w14:paraId="55F84381" w14:textId="1CFA93BF" w:rsidR="15E72EE8" w:rsidRDefault="15E72EE8" w:rsidP="15E72EE8">
      <w:pPr>
        <w:spacing w:line="257" w:lineRule="auto"/>
        <w:rPr>
          <w:rFonts w:ascii="Arial" w:eastAsia="Arial" w:hAnsi="Arial" w:cs="Arial"/>
          <w:sz w:val="22"/>
          <w:szCs w:val="22"/>
        </w:rPr>
      </w:pPr>
    </w:p>
    <w:p w14:paraId="2D74B6AF" w14:textId="7DEAAA70" w:rsidR="15E72EE8" w:rsidRDefault="15E72EE8" w:rsidP="15E72EE8">
      <w:pPr>
        <w:spacing w:line="257" w:lineRule="auto"/>
        <w:rPr>
          <w:rFonts w:ascii="Arial" w:eastAsia="Arial" w:hAnsi="Arial" w:cs="Arial"/>
          <w:sz w:val="22"/>
          <w:szCs w:val="22"/>
        </w:rPr>
      </w:pPr>
    </w:p>
    <w:p w14:paraId="110AE81B" w14:textId="6A08AAD1" w:rsidR="15E72EE8" w:rsidRDefault="15E72EE8" w:rsidP="15E72EE8">
      <w:pPr>
        <w:spacing w:line="257" w:lineRule="auto"/>
        <w:rPr>
          <w:rFonts w:ascii="Arial" w:eastAsia="Arial" w:hAnsi="Arial" w:cs="Arial"/>
          <w:sz w:val="22"/>
          <w:szCs w:val="22"/>
        </w:rPr>
      </w:pPr>
    </w:p>
    <w:p w14:paraId="7277658E" w14:textId="30FEA7C4" w:rsidR="15E72EE8" w:rsidRDefault="15E72EE8" w:rsidP="15E72EE8">
      <w:pPr>
        <w:pStyle w:val="Heading1"/>
        <w:spacing w:line="257" w:lineRule="auto"/>
        <w:jc w:val="center"/>
      </w:pPr>
      <w:r w:rsidRPr="15E72EE8">
        <w:rPr>
          <w:rFonts w:ascii="Calibri Light" w:eastAsia="Calibri Light" w:hAnsi="Calibri Light" w:cs="Calibri Light"/>
          <w:color w:val="2F5496"/>
        </w:rPr>
        <w:t>References</w:t>
      </w:r>
    </w:p>
    <w:p w14:paraId="2E23E1BA" w14:textId="4D68D3BA" w:rsidR="15E72EE8" w:rsidRDefault="15E72EE8" w:rsidP="15E72EE8">
      <w:pPr>
        <w:spacing w:line="257" w:lineRule="auto"/>
      </w:pPr>
      <w:r w:rsidRPr="15E72EE8">
        <w:rPr>
          <w:rFonts w:ascii="Calibri" w:eastAsia="Calibri" w:hAnsi="Calibri" w:cs="Calibri"/>
          <w:sz w:val="22"/>
          <w:szCs w:val="22"/>
        </w:rPr>
        <w:t xml:space="preserve"> </w:t>
      </w:r>
    </w:p>
    <w:p w14:paraId="351AC7E2" w14:textId="59E0AD8C" w:rsidR="15E72EE8" w:rsidRDefault="15E72EE8" w:rsidP="15E72EE8">
      <w:pPr>
        <w:spacing w:line="257" w:lineRule="auto"/>
      </w:pPr>
      <w:r w:rsidRPr="15E72EE8">
        <w:rPr>
          <w:rFonts w:ascii="Arial" w:eastAsia="Arial" w:hAnsi="Arial" w:cs="Arial"/>
          <w:sz w:val="22"/>
          <w:szCs w:val="22"/>
        </w:rPr>
        <w:t xml:space="preserve">BBC News (2021) </w:t>
      </w:r>
      <w:r w:rsidRPr="15E72EE8">
        <w:rPr>
          <w:rFonts w:ascii="Arial" w:eastAsia="Arial" w:hAnsi="Arial" w:cs="Arial"/>
          <w:i/>
          <w:iCs/>
          <w:sz w:val="22"/>
          <w:szCs w:val="22"/>
        </w:rPr>
        <w:t>Ambulances forced to queue daily outside A&amp;Es, study suggests</w:t>
      </w:r>
      <w:r w:rsidRPr="15E72EE8">
        <w:rPr>
          <w:rFonts w:ascii="Arial" w:eastAsia="Arial" w:hAnsi="Arial" w:cs="Arial"/>
          <w:sz w:val="22"/>
          <w:szCs w:val="22"/>
        </w:rPr>
        <w:t>. Available at:</w:t>
      </w:r>
      <w:r>
        <w:br/>
      </w:r>
      <w:r w:rsidRPr="15E72EE8">
        <w:rPr>
          <w:rFonts w:ascii="Arial" w:eastAsia="Arial" w:hAnsi="Arial" w:cs="Arial"/>
          <w:sz w:val="22"/>
          <w:szCs w:val="22"/>
        </w:rPr>
        <w:t xml:space="preserve"> </w:t>
      </w:r>
      <w:hyperlink r:id="rId8">
        <w:r w:rsidRPr="15E72EE8">
          <w:rPr>
            <w:rStyle w:val="Hyperlink"/>
            <w:rFonts w:ascii="Arial" w:eastAsia="Arial" w:hAnsi="Arial" w:cs="Arial"/>
            <w:color w:val="0563C1"/>
            <w:sz w:val="22"/>
            <w:szCs w:val="22"/>
          </w:rPr>
          <w:t>Ambulances forced to queue daily outside A&amp;Es, study suggests - BBC News</w:t>
        </w:r>
      </w:hyperlink>
      <w:r w:rsidRPr="15E72EE8">
        <w:rPr>
          <w:rFonts w:ascii="Arial" w:eastAsia="Arial" w:hAnsi="Arial" w:cs="Arial"/>
          <w:sz w:val="22"/>
          <w:szCs w:val="22"/>
        </w:rPr>
        <w:t xml:space="preserve"> </w:t>
      </w:r>
      <w:r>
        <w:br/>
      </w:r>
      <w:r w:rsidRPr="15E72EE8">
        <w:rPr>
          <w:rFonts w:ascii="Arial" w:eastAsia="Arial" w:hAnsi="Arial" w:cs="Arial"/>
          <w:sz w:val="22"/>
          <w:szCs w:val="22"/>
        </w:rPr>
        <w:t>(Accessed: 14 December 2025).</w:t>
      </w:r>
    </w:p>
    <w:p w14:paraId="44B2E7B3" w14:textId="73CC095F" w:rsidR="15E72EE8" w:rsidRDefault="15E72EE8" w:rsidP="15E72EE8">
      <w:pPr>
        <w:spacing w:line="257" w:lineRule="auto"/>
      </w:pPr>
      <w:r w:rsidRPr="15E72EE8">
        <w:rPr>
          <w:rFonts w:ascii="Arial" w:eastAsia="Arial" w:hAnsi="Arial" w:cs="Arial"/>
          <w:sz w:val="22"/>
          <w:szCs w:val="22"/>
        </w:rPr>
        <w:t xml:space="preserve">Care Quality Commission (CQC) (2023) </w:t>
      </w:r>
      <w:r w:rsidRPr="15E72EE8">
        <w:rPr>
          <w:rFonts w:ascii="Arial" w:eastAsia="Arial" w:hAnsi="Arial" w:cs="Arial"/>
          <w:i/>
          <w:iCs/>
          <w:sz w:val="22"/>
          <w:szCs w:val="22"/>
        </w:rPr>
        <w:t>State of Care 2022/23</w:t>
      </w:r>
      <w:r w:rsidRPr="15E72EE8">
        <w:rPr>
          <w:rFonts w:ascii="Arial" w:eastAsia="Arial" w:hAnsi="Arial" w:cs="Arial"/>
          <w:sz w:val="22"/>
          <w:szCs w:val="22"/>
        </w:rPr>
        <w:t>. Available at:</w:t>
      </w:r>
      <w:r>
        <w:br/>
      </w:r>
      <w:r w:rsidRPr="15E72EE8">
        <w:rPr>
          <w:rFonts w:ascii="Arial" w:eastAsia="Arial" w:hAnsi="Arial" w:cs="Arial"/>
          <w:sz w:val="22"/>
          <w:szCs w:val="22"/>
        </w:rPr>
        <w:t xml:space="preserve"> </w:t>
      </w:r>
      <w:hyperlink r:id="rId9">
        <w:r w:rsidRPr="15E72EE8">
          <w:rPr>
            <w:rStyle w:val="Hyperlink"/>
            <w:rFonts w:ascii="Arial" w:eastAsia="Arial" w:hAnsi="Arial" w:cs="Arial"/>
            <w:color w:val="0563C1"/>
            <w:sz w:val="22"/>
            <w:szCs w:val="22"/>
          </w:rPr>
          <w:t>Summary - Care Quality Commission</w:t>
        </w:r>
        <w:r>
          <w:br/>
        </w:r>
      </w:hyperlink>
      <w:r w:rsidRPr="15E72EE8">
        <w:rPr>
          <w:rFonts w:ascii="Arial" w:eastAsia="Arial" w:hAnsi="Arial" w:cs="Arial"/>
          <w:sz w:val="22"/>
          <w:szCs w:val="22"/>
        </w:rPr>
        <w:t xml:space="preserve"> (Accessed: 14 December 2025).</w:t>
      </w:r>
    </w:p>
    <w:p w14:paraId="5B650C17" w14:textId="28D45585" w:rsidR="15E72EE8" w:rsidRDefault="15E72EE8" w:rsidP="15E72EE8">
      <w:pPr>
        <w:spacing w:line="257" w:lineRule="auto"/>
      </w:pPr>
      <w:r w:rsidRPr="15E72EE8">
        <w:rPr>
          <w:rFonts w:ascii="Arial" w:eastAsia="Arial" w:hAnsi="Arial" w:cs="Arial"/>
          <w:sz w:val="22"/>
          <w:szCs w:val="22"/>
        </w:rPr>
        <w:t xml:space="preserve">Legislation.gov.uk (2014) </w:t>
      </w:r>
      <w:r w:rsidRPr="15E72EE8">
        <w:rPr>
          <w:rFonts w:ascii="Arial" w:eastAsia="Arial" w:hAnsi="Arial" w:cs="Arial"/>
          <w:i/>
          <w:iCs/>
          <w:sz w:val="22"/>
          <w:szCs w:val="22"/>
        </w:rPr>
        <w:t>Care Act 2014</w:t>
      </w:r>
      <w:r w:rsidRPr="15E72EE8">
        <w:rPr>
          <w:rFonts w:ascii="Arial" w:eastAsia="Arial" w:hAnsi="Arial" w:cs="Arial"/>
          <w:sz w:val="22"/>
          <w:szCs w:val="22"/>
        </w:rPr>
        <w:t>. Available at:</w:t>
      </w:r>
      <w:r>
        <w:br/>
      </w:r>
      <w:r w:rsidRPr="15E72EE8">
        <w:rPr>
          <w:rFonts w:ascii="Arial" w:eastAsia="Arial" w:hAnsi="Arial" w:cs="Arial"/>
          <w:sz w:val="22"/>
          <w:szCs w:val="22"/>
        </w:rPr>
        <w:t xml:space="preserve"> </w:t>
      </w:r>
      <w:hyperlink r:id="rId10">
        <w:r w:rsidRPr="15E72EE8">
          <w:rPr>
            <w:rStyle w:val="Hyperlink"/>
            <w:rFonts w:ascii="Arial" w:eastAsia="Arial" w:hAnsi="Arial" w:cs="Arial"/>
            <w:color w:val="0563C1"/>
            <w:sz w:val="22"/>
            <w:szCs w:val="22"/>
          </w:rPr>
          <w:t>https://www.legislation.gov.uk/ukpga/2014/23/contents/enacted</w:t>
        </w:r>
        <w:r>
          <w:br/>
        </w:r>
      </w:hyperlink>
      <w:r w:rsidRPr="15E72EE8">
        <w:rPr>
          <w:rFonts w:ascii="Arial" w:eastAsia="Arial" w:hAnsi="Arial" w:cs="Arial"/>
          <w:sz w:val="22"/>
          <w:szCs w:val="22"/>
        </w:rPr>
        <w:t xml:space="preserve"> (Accessed: 14 December 2025).</w:t>
      </w:r>
    </w:p>
    <w:p w14:paraId="4802D1D6" w14:textId="768ACA54" w:rsidR="15E72EE8" w:rsidRDefault="15E72EE8" w:rsidP="15E72EE8">
      <w:pPr>
        <w:spacing w:line="257" w:lineRule="auto"/>
      </w:pPr>
      <w:r w:rsidRPr="15E72EE8">
        <w:rPr>
          <w:rFonts w:ascii="Arial" w:eastAsia="Arial" w:hAnsi="Arial" w:cs="Arial"/>
          <w:sz w:val="22"/>
          <w:szCs w:val="22"/>
        </w:rPr>
        <w:t xml:space="preserve">National Audit Office (NAO) (2023) </w:t>
      </w:r>
      <w:r w:rsidRPr="15E72EE8">
        <w:rPr>
          <w:rFonts w:ascii="Arial" w:eastAsia="Arial" w:hAnsi="Arial" w:cs="Arial"/>
          <w:i/>
          <w:iCs/>
          <w:sz w:val="22"/>
          <w:szCs w:val="22"/>
        </w:rPr>
        <w:t>NHS ambulance services</w:t>
      </w:r>
      <w:r w:rsidRPr="15E72EE8">
        <w:rPr>
          <w:rFonts w:ascii="Arial" w:eastAsia="Arial" w:hAnsi="Arial" w:cs="Arial"/>
          <w:sz w:val="22"/>
          <w:szCs w:val="22"/>
        </w:rPr>
        <w:t>. Available at:</w:t>
      </w:r>
      <w:r>
        <w:br/>
      </w:r>
      <w:r w:rsidRPr="15E72EE8">
        <w:rPr>
          <w:rFonts w:ascii="Arial" w:eastAsia="Arial" w:hAnsi="Arial" w:cs="Arial"/>
          <w:sz w:val="22"/>
          <w:szCs w:val="22"/>
        </w:rPr>
        <w:t xml:space="preserve"> </w:t>
      </w:r>
      <w:hyperlink r:id="rId11">
        <w:r w:rsidRPr="15E72EE8">
          <w:rPr>
            <w:rStyle w:val="Hyperlink"/>
            <w:rFonts w:ascii="Arial" w:eastAsia="Arial" w:hAnsi="Arial" w:cs="Arial"/>
            <w:color w:val="0563C1"/>
            <w:sz w:val="22"/>
            <w:szCs w:val="22"/>
          </w:rPr>
          <w:t>https://www.nao.org.uk/reports/nhs-ambulance-services/</w:t>
        </w:r>
        <w:r>
          <w:br/>
        </w:r>
      </w:hyperlink>
      <w:r w:rsidRPr="15E72EE8">
        <w:rPr>
          <w:rFonts w:ascii="Arial" w:eastAsia="Arial" w:hAnsi="Arial" w:cs="Arial"/>
          <w:sz w:val="22"/>
          <w:szCs w:val="22"/>
        </w:rPr>
        <w:t xml:space="preserve"> (Accessed: 14 December 2025).</w:t>
      </w:r>
    </w:p>
    <w:p w14:paraId="7A7FE65D" w14:textId="5B10F13A" w:rsidR="15E72EE8" w:rsidRDefault="15E72EE8" w:rsidP="15E72EE8">
      <w:pPr>
        <w:spacing w:line="257" w:lineRule="auto"/>
      </w:pPr>
      <w:r w:rsidRPr="15E72EE8">
        <w:rPr>
          <w:rFonts w:ascii="Arial" w:eastAsia="Arial" w:hAnsi="Arial" w:cs="Arial"/>
          <w:sz w:val="22"/>
          <w:szCs w:val="22"/>
        </w:rPr>
        <w:t xml:space="preserve">NHS England (2018) </w:t>
      </w:r>
      <w:r w:rsidRPr="15E72EE8">
        <w:rPr>
          <w:rFonts w:ascii="Arial" w:eastAsia="Arial" w:hAnsi="Arial" w:cs="Arial"/>
          <w:i/>
          <w:iCs/>
          <w:sz w:val="22"/>
          <w:szCs w:val="22"/>
        </w:rPr>
        <w:t>Ambulance response programme</w:t>
      </w:r>
      <w:r w:rsidRPr="15E72EE8">
        <w:rPr>
          <w:rFonts w:ascii="Arial" w:eastAsia="Arial" w:hAnsi="Arial" w:cs="Arial"/>
          <w:sz w:val="22"/>
          <w:szCs w:val="22"/>
        </w:rPr>
        <w:t>. Available at:</w:t>
      </w:r>
      <w:r>
        <w:br/>
      </w:r>
      <w:r w:rsidRPr="15E72EE8">
        <w:rPr>
          <w:rFonts w:ascii="Arial" w:eastAsia="Arial" w:hAnsi="Arial" w:cs="Arial"/>
          <w:sz w:val="22"/>
          <w:szCs w:val="22"/>
        </w:rPr>
        <w:t xml:space="preserve"> </w:t>
      </w:r>
      <w:hyperlink r:id="rId12">
        <w:r w:rsidRPr="15E72EE8">
          <w:rPr>
            <w:rStyle w:val="Hyperlink"/>
            <w:rFonts w:ascii="Arial" w:eastAsia="Arial" w:hAnsi="Arial" w:cs="Arial"/>
            <w:color w:val="0563C1"/>
            <w:sz w:val="22"/>
            <w:szCs w:val="22"/>
          </w:rPr>
          <w:t>https://www.england.nhs.uk/urgent-emergency-care/improving-ambulance-services/arp/</w:t>
        </w:r>
        <w:r>
          <w:br/>
        </w:r>
      </w:hyperlink>
      <w:r w:rsidRPr="15E72EE8">
        <w:rPr>
          <w:rFonts w:ascii="Arial" w:eastAsia="Arial" w:hAnsi="Arial" w:cs="Arial"/>
          <w:sz w:val="22"/>
          <w:szCs w:val="22"/>
        </w:rPr>
        <w:t xml:space="preserve"> (Accessed: 14 December 2025).</w:t>
      </w:r>
    </w:p>
    <w:p w14:paraId="2017BA1F" w14:textId="7F5EF2FC" w:rsidR="15E72EE8" w:rsidRDefault="15E72EE8" w:rsidP="15E72EE8">
      <w:pPr>
        <w:spacing w:line="257" w:lineRule="auto"/>
      </w:pPr>
      <w:r w:rsidRPr="15E72EE8">
        <w:rPr>
          <w:rFonts w:ascii="Arial" w:eastAsia="Arial" w:hAnsi="Arial" w:cs="Arial"/>
          <w:sz w:val="22"/>
          <w:szCs w:val="22"/>
        </w:rPr>
        <w:t xml:space="preserve">The King’s Fund (2022) </w:t>
      </w:r>
      <w:r w:rsidRPr="15E72EE8">
        <w:rPr>
          <w:rFonts w:ascii="Arial" w:eastAsia="Arial" w:hAnsi="Arial" w:cs="Arial"/>
          <w:i/>
          <w:iCs/>
          <w:sz w:val="22"/>
          <w:szCs w:val="22"/>
        </w:rPr>
        <w:t>The King's Fund responds to the latest monthly NHS hospital performance data</w:t>
      </w:r>
      <w:r w:rsidRPr="15E72EE8">
        <w:rPr>
          <w:rFonts w:ascii="Arial" w:eastAsia="Arial" w:hAnsi="Arial" w:cs="Arial"/>
          <w:sz w:val="22"/>
          <w:szCs w:val="22"/>
        </w:rPr>
        <w:t>. Available at:</w:t>
      </w:r>
      <w:r>
        <w:br/>
      </w:r>
      <w:r w:rsidRPr="15E72EE8">
        <w:rPr>
          <w:rFonts w:ascii="Arial" w:eastAsia="Arial" w:hAnsi="Arial" w:cs="Arial"/>
          <w:sz w:val="22"/>
          <w:szCs w:val="22"/>
        </w:rPr>
        <w:t xml:space="preserve"> </w:t>
      </w:r>
      <w:hyperlink r:id="rId13">
        <w:r w:rsidRPr="15E72EE8">
          <w:rPr>
            <w:rStyle w:val="Hyperlink"/>
            <w:rFonts w:ascii="Arial" w:eastAsia="Arial" w:hAnsi="Arial" w:cs="Arial"/>
            <w:color w:val="0563C1"/>
            <w:sz w:val="22"/>
            <w:szCs w:val="22"/>
          </w:rPr>
          <w:t>The King's Fund Responds To The Latest Monthly NHS Hospital Performance Data | The King's Fund</w:t>
        </w:r>
      </w:hyperlink>
      <w:r w:rsidRPr="15E72EE8">
        <w:rPr>
          <w:rFonts w:ascii="Arial" w:eastAsia="Arial" w:hAnsi="Arial" w:cs="Arial"/>
          <w:sz w:val="22"/>
          <w:szCs w:val="22"/>
        </w:rPr>
        <w:t xml:space="preserve">  </w:t>
      </w:r>
      <w:r>
        <w:br/>
      </w:r>
      <w:r w:rsidRPr="15E72EE8">
        <w:rPr>
          <w:rFonts w:ascii="Arial" w:eastAsia="Arial" w:hAnsi="Arial" w:cs="Arial"/>
          <w:sz w:val="22"/>
          <w:szCs w:val="22"/>
        </w:rPr>
        <w:t xml:space="preserve"> (Accessed: 14 December 2025).</w:t>
      </w:r>
    </w:p>
    <w:p w14:paraId="1F9C3764" w14:textId="12342A8F" w:rsidR="15E72EE8" w:rsidRDefault="15E72EE8"/>
    <w:sectPr w:rsidR="15E72EE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badi">
    <w:panose1 w:val="020B0604020104020204"/>
    <w:charset w:val="4D"/>
    <w:family w:val="swiss"/>
    <w:pitch w:val="variable"/>
    <w:sig w:usb0="80000003"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42D505"/>
    <w:rsid w:val="003B1E10"/>
    <w:rsid w:val="009373CA"/>
    <w:rsid w:val="00C643DE"/>
    <w:rsid w:val="15E72EE8"/>
    <w:rsid w:val="4B42D5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2D505"/>
  <w15:chartTrackingRefBased/>
  <w15:docId w15:val="{E13BA491-A3C4-3849-89CD-C634FF200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5E72E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15E72EE8"/>
    <w:pPr>
      <w:spacing w:after="8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15E72EE8"/>
    <w:rPr>
      <w:rFonts w:eastAsiaTheme="majorEastAsia" w:cstheme="majorBidi"/>
      <w:color w:val="595959" w:themeColor="text1" w:themeTint="A6"/>
      <w:sz w:val="28"/>
      <w:szCs w:val="28"/>
    </w:rPr>
  </w:style>
  <w:style w:type="character" w:styleId="Hyperlink">
    <w:name w:val="Hyperlink"/>
    <w:basedOn w:val="DefaultParagraphFont"/>
    <w:uiPriority w:val="99"/>
    <w:unhideWhenUsed/>
    <w:rsid w:val="15E72EE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health-59422292" TargetMode="External"/><Relationship Id="rId13" Type="http://schemas.openxmlformats.org/officeDocument/2006/relationships/hyperlink" Target="https://www.kingsfund.org.uk/insight-and-analysis/press-releases/monthly-nhs-hospital-data" TargetMode="External"/><Relationship Id="rId3" Type="http://schemas.openxmlformats.org/officeDocument/2006/relationships/webSettings" Target="webSettings.xml"/><Relationship Id="rId7" Type="http://schemas.openxmlformats.org/officeDocument/2006/relationships/hyperlink" Target="https://word-edit.officeapps.live.com/we/wordeditorframe.aspx?ui=en-GB&amp;rs=en-GB&amp;hid=EfX5Sg%2BPCk%2Buvb%2FGoektLg.0.10.0&amp;wopisrc=https%3A%2F%2Fwopi.onedrive.com%2Fwopi%2Ffiles%2FB45D65EC5B3FD8A6!170&amp;wdorigin=DOCUMENTS.SHELL,APPHOME-WEB.BANNER.NEWBLANK&amp;wdprevioussession=43c2a0c1-5d10-471c-9b55-c04e5028f40b&amp;wdprevioussessionsrc=AppHomeWeb&amp;wdo=2&amp;wde=docx&amp;sc=host%3D%26qt%3DDefault&amp;mscc=1&amp;wdp=0&amp;uih=onedrivecom&amp;jsapi=1&amp;jsapiver=v2&amp;corrid=f3bbac72-81f4-4728-9067-2ba36f5b2bb0&amp;usid=f3bbac72-81f4-4728-9067-2ba36f5b2bb0&amp;newsession=1&amp;sftc=1&amp;uihit=editaspx&amp;muv=1&amp;cac=1&amp;sams=1&amp;mtf=1&amp;sfp=1&amp;sdp=1&amp;hch=1&amp;hwfh=1&amp;dchat=1&amp;afdflight=98&amp;csiro=1&amp;instantedit=1&amp;wopicomplete=1&amp;wdredirectionreason=Unified_SingleFlush" TargetMode="External"/><Relationship Id="rId12" Type="http://schemas.openxmlformats.org/officeDocument/2006/relationships/hyperlink" Target="https://www.england.nhs.uk/urgent-emergency-care/improving-ambulance-services/ar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ord-edit.officeapps.live.com/we/wordeditorframe.aspx?ui=en-GB&amp;rs=en-GB&amp;hid=EfX5Sg%2BPCk%2Buvb%2FGoektLg.0.10.0&amp;wopisrc=https%3A%2F%2Fwopi.onedrive.com%2Fwopi%2Ffiles%2FB45D65EC5B3FD8A6!170&amp;wdorigin=DOCUMENTS.SHELL,APPHOME-WEB.BANNER.NEWBLANK&amp;wdprevioussession=43c2a0c1-5d10-471c-9b55-c04e5028f40b&amp;wdprevioussessionsrc=AppHomeWeb&amp;wdo=2&amp;wde=docx&amp;sc=host%3D%26qt%3DDefault&amp;mscc=1&amp;wdp=0&amp;uih=onedrivecom&amp;jsapi=1&amp;jsapiver=v2&amp;corrid=f3bbac72-81f4-4728-9067-2ba36f5b2bb0&amp;usid=f3bbac72-81f4-4728-9067-2ba36f5b2bb0&amp;newsession=1&amp;sftc=1&amp;uihit=editaspx&amp;muv=1&amp;cac=1&amp;sams=1&amp;mtf=1&amp;sfp=1&amp;sdp=1&amp;hch=1&amp;hwfh=1&amp;dchat=1&amp;afdflight=98&amp;csiro=1&amp;instantedit=1&amp;wopicomplete=1&amp;wdredirectionreason=Unified_SingleFlush" TargetMode="External"/><Relationship Id="rId11" Type="http://schemas.openxmlformats.org/officeDocument/2006/relationships/hyperlink" Target="https://www.nao.org.uk/reports/nhs-ambulance-services/" TargetMode="External"/><Relationship Id="rId5" Type="http://schemas.openxmlformats.org/officeDocument/2006/relationships/hyperlink" Target="https://word-edit.officeapps.live.com/we/wordeditorframe.aspx?ui=en-GB&amp;rs=en-GB&amp;hid=EfX5Sg%2BPCk%2Buvb%2FGoektLg.0.10.0&amp;wopisrc=https%3A%2F%2Fwopi.onedrive.com%2Fwopi%2Ffiles%2FB45D65EC5B3FD8A6!170&amp;wdorigin=DOCUMENTS.SHELL,APPHOME-WEB.BANNER.NEWBLANK&amp;wdprevioussession=43c2a0c1-5d10-471c-9b55-c04e5028f40b&amp;wdprevioussessionsrc=AppHomeWeb&amp;wdo=2&amp;wde=docx&amp;sc=host%3D%26qt%3DDefault&amp;mscc=1&amp;wdp=0&amp;uih=onedrivecom&amp;jsapi=1&amp;jsapiver=v2&amp;corrid=f3bbac72-81f4-4728-9067-2ba36f5b2bb0&amp;usid=f3bbac72-81f4-4728-9067-2ba36f5b2bb0&amp;newsession=1&amp;sftc=1&amp;uihit=editaspx&amp;muv=1&amp;cac=1&amp;sams=1&amp;mtf=1&amp;sfp=1&amp;sdp=1&amp;hch=1&amp;hwfh=1&amp;dchat=1&amp;afdflight=98&amp;csiro=1&amp;instantedit=1&amp;wopicomplete=1&amp;wdredirectionreason=Unified_SingleFlush" TargetMode="External"/><Relationship Id="rId15" Type="http://schemas.openxmlformats.org/officeDocument/2006/relationships/theme" Target="theme/theme1.xml"/><Relationship Id="rId10" Type="http://schemas.openxmlformats.org/officeDocument/2006/relationships/hyperlink" Target="https://www.legislation.gov.uk/ukpga/2014/23/contents/enacted" TargetMode="External"/><Relationship Id="rId4" Type="http://schemas.openxmlformats.org/officeDocument/2006/relationships/hyperlink" Target="https://word-edit.officeapps.live.com/we/wordeditorframe.aspx?ui=en-GB&amp;rs=en-GB&amp;hid=EfX5Sg%2BPCk%2Buvb%2FGoektLg.0.10.0&amp;wopisrc=https%3A%2F%2Fwopi.onedrive.com%2Fwopi%2Ffiles%2FB45D65EC5B3FD8A6!170&amp;wdorigin=DOCUMENTS.SHELL,APPHOME-WEB.BANNER.NEWBLANK&amp;wdprevioussession=43c2a0c1-5d10-471c-9b55-c04e5028f40b&amp;wdprevioussessionsrc=AppHomeWeb&amp;wdo=2&amp;wde=docx&amp;sc=host%3D%26qt%3DDefault&amp;mscc=1&amp;wdp=0&amp;uih=onedrivecom&amp;jsapi=1&amp;jsapiver=v2&amp;corrid=f3bbac72-81f4-4728-9067-2ba36f5b2bb0&amp;usid=f3bbac72-81f4-4728-9067-2ba36f5b2bb0&amp;newsession=1&amp;sftc=1&amp;uihit=editaspx&amp;muv=1&amp;cac=1&amp;sams=1&amp;mtf=1&amp;sfp=1&amp;sdp=1&amp;hch=1&amp;hwfh=1&amp;dchat=1&amp;afdflight=98&amp;csiro=1&amp;instantedit=1&amp;wopicomplete=1&amp;wdredirectionreason=Unified_SingleFlush" TargetMode="External"/><Relationship Id="rId9" Type="http://schemas.openxmlformats.org/officeDocument/2006/relationships/hyperlink" Target="https://www.cqc.org.uk/publications/major-report/state-care/2022-2023/summ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2118</Words>
  <Characters>12079</Characters>
  <Application>Microsoft Office Word</Application>
  <DocSecurity>0</DocSecurity>
  <Lines>100</Lines>
  <Paragraphs>28</Paragraphs>
  <ScaleCrop>false</ScaleCrop>
  <Company/>
  <LinksUpToDate>false</LinksUpToDate>
  <CharactersWithSpaces>14169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Suely Vicente</dc:creator>
  <cp:keywords/>
  <dc:description/>
  <cp:lastModifiedBy>Tania Gomes</cp:lastModifiedBy>
  <cp:revision>2</cp:revision>
  <dcterms:created xsi:type="dcterms:W3CDTF">2025-12-15T14:33:00Z</dcterms:created>
  <dcterms:modified xsi:type="dcterms:W3CDTF">2025-12-15T14:33:00Z</dcterms:modified>
</cp:coreProperties>
</file>