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9A1187" w14:textId="139399B1" w:rsid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Marketing in Practice</w:t>
      </w:r>
    </w:p>
    <w:p w14:paraId="207BC470" w14:textId="77777777" w:rsidR="001F65C6" w:rsidRP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</w:p>
    <w:p w14:paraId="2C0ED1F9" w14:textId="2C2D731E"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 w:rsidR="001F65C6"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 w:rsidR="001F65C6">
        <w:rPr>
          <w:rFonts w:ascii="Arial" w:hAnsi="Arial" w:cs="Arial"/>
        </w:rPr>
        <w:t xml:space="preserve">Creative brief for TV </w:t>
      </w:r>
      <w:r w:rsidR="0067449B">
        <w:rPr>
          <w:rFonts w:ascii="Arial" w:hAnsi="Arial" w:cs="Arial"/>
        </w:rPr>
        <w:t>advertisement</w:t>
      </w:r>
    </w:p>
    <w:p w14:paraId="76B56136" w14:textId="3FA8A27A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37E52614" w14:textId="77777777" w:rsidR="005304A0" w:rsidRDefault="005304A0">
            <w:pPr>
              <w:rPr>
                <w:rFonts w:ascii="Arial" w:hAnsi="Arial" w:cs="Arial"/>
              </w:rPr>
            </w:pPr>
          </w:p>
          <w:p w14:paraId="328BD94B" w14:textId="4B8517FC" w:rsidR="005304A0" w:rsidRDefault="002A0CE7">
            <w:pPr>
              <w:rPr>
                <w:rFonts w:ascii="Arial" w:hAnsi="Arial" w:cs="Arial"/>
              </w:rPr>
            </w:pPr>
            <w:hyperlink r:id="rId4" w:history="1">
              <w:r>
                <w:rPr>
                  <w:rStyle w:val="Hyperlink"/>
                </w:rPr>
                <w:t xml:space="preserve">Meeting with Mukul </w:t>
              </w:r>
              <w:proofErr w:type="spellStart"/>
              <w:r>
                <w:rPr>
                  <w:rStyle w:val="Hyperlink"/>
                </w:rPr>
                <w:t>Bakkolla</w:t>
              </w:r>
              <w:proofErr w:type="spellEnd"/>
              <w:r>
                <w:rPr>
                  <w:rStyle w:val="Hyperlink"/>
                </w:rPr>
                <w:t xml:space="preserve"> (2220398)-20240323_025105-Meeting Recording.mp4</w:t>
              </w:r>
            </w:hyperlink>
          </w:p>
          <w:p w14:paraId="5BF7DCC4" w14:textId="77777777" w:rsidR="005304A0" w:rsidRDefault="005304A0">
            <w:pPr>
              <w:rPr>
                <w:rFonts w:ascii="Arial" w:hAnsi="Arial" w:cs="Arial"/>
              </w:rPr>
            </w:pP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1E4DCD58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16B855AB" w14:textId="77777777" w:rsidR="005304A0" w:rsidRDefault="005304A0">
            <w:pPr>
              <w:rPr>
                <w:rFonts w:ascii="Arial" w:hAnsi="Arial" w:cs="Arial"/>
              </w:rPr>
            </w:pPr>
          </w:p>
          <w:p w14:paraId="0D063796" w14:textId="77777777" w:rsidR="002A0CE7" w:rsidRDefault="002A0CE7" w:rsidP="002A0CE7">
            <w:pPr>
              <w:pStyle w:val="Heading1"/>
              <w:spacing w:before="0" w:beforeAutospacing="0" w:after="240" w:afterAutospacing="0" w:line="360" w:lineRule="auto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Reference list</w:t>
            </w:r>
          </w:p>
          <w:p w14:paraId="428F20BA" w14:textId="77777777" w:rsidR="002A0CE7" w:rsidRDefault="002A0CE7" w:rsidP="002A0CE7">
            <w:pPr>
              <w:pStyle w:val="NormalWeb"/>
              <w:spacing w:before="0" w:beforeAutospacing="0" w:after="240" w:afterAutospacing="0" w:line="360" w:lineRule="auto"/>
            </w:pPr>
            <w:r>
              <w:t xml:space="preserve">Allingham, T. (2024). </w:t>
            </w:r>
            <w:r>
              <w:rPr>
                <w:i/>
                <w:iCs/>
              </w:rPr>
              <w:t>10 best food subscription boxes 2024</w:t>
            </w:r>
            <w:r>
              <w:t>. [online] Save the Student. Available at: https://www.savethestudent.org/save-money/food-drink/best-food-subscription-boxes.html [Accessed 11 Mar. 2024].</w:t>
            </w:r>
          </w:p>
          <w:p w14:paraId="07E751FF" w14:textId="77777777" w:rsidR="002A0CE7" w:rsidRDefault="002A0CE7" w:rsidP="002A0CE7">
            <w:pPr>
              <w:pStyle w:val="NormalWeb"/>
              <w:spacing w:before="0" w:beforeAutospacing="0" w:after="240" w:afterAutospacing="0" w:line="360" w:lineRule="auto"/>
            </w:pPr>
            <w:proofErr w:type="spellStart"/>
            <w:r>
              <w:t>allsubscriptionboxes</w:t>
            </w:r>
            <w:proofErr w:type="spellEnd"/>
            <w:r>
              <w:t xml:space="preserve"> (n.d.). </w:t>
            </w:r>
            <w:r>
              <w:rPr>
                <w:i/>
                <w:iCs/>
              </w:rPr>
              <w:t>Snacks</w:t>
            </w:r>
            <w:r>
              <w:t>. [online] All Subscription Boxes UK. Available at: https://www.allsubscriptionboxes.co.uk/category/box/food/snacks/ [Accessed 11 Mar. 2024].</w:t>
            </w:r>
          </w:p>
          <w:p w14:paraId="50414F9E" w14:textId="77777777" w:rsidR="002A0CE7" w:rsidRDefault="002A0CE7" w:rsidP="002A0CE7">
            <w:pPr>
              <w:pStyle w:val="NormalWeb"/>
              <w:spacing w:before="0" w:beforeAutospacing="0" w:after="240" w:afterAutospacing="0" w:line="360" w:lineRule="auto"/>
            </w:pPr>
            <w:proofErr w:type="spellStart"/>
            <w:r>
              <w:t>Ciarci</w:t>
            </w:r>
            <w:proofErr w:type="spellEnd"/>
            <w:r>
              <w:t xml:space="preserve">, A. (2021). </w:t>
            </w:r>
            <w:r>
              <w:rPr>
                <w:i/>
                <w:iCs/>
              </w:rPr>
              <w:t>6 Brand Tone of Voice Examples to Use when Building Your Own</w:t>
            </w:r>
            <w:r>
              <w:t xml:space="preserve">. [online] </w:t>
            </w:r>
            <w:proofErr w:type="spellStart"/>
            <w:r>
              <w:t>Brafton</w:t>
            </w:r>
            <w:proofErr w:type="spellEnd"/>
            <w:r>
              <w:t>. Available at: https://www.brafton.com/blog/creation/4-brand-tone-of-voice-examples-to-use-when-building-your-own/ [Accessed 11 Mar. 2024].</w:t>
            </w:r>
          </w:p>
          <w:p w14:paraId="74985223" w14:textId="77777777" w:rsidR="002A0CE7" w:rsidRDefault="002A0CE7" w:rsidP="002A0CE7">
            <w:pPr>
              <w:pStyle w:val="NormalWeb"/>
              <w:spacing w:before="0" w:beforeAutospacing="0" w:after="240" w:afterAutospacing="0" w:line="360" w:lineRule="auto"/>
            </w:pPr>
            <w:proofErr w:type="spellStart"/>
            <w:r>
              <w:t>Fetterly</w:t>
            </w:r>
            <w:proofErr w:type="spellEnd"/>
            <w:r>
              <w:t xml:space="preserve">, C. (2017). </w:t>
            </w:r>
            <w:r>
              <w:rPr>
                <w:i/>
                <w:iCs/>
              </w:rPr>
              <w:t>7 Advantages of Television Advertising</w:t>
            </w:r>
            <w:r>
              <w:t>. [online] TEC Direct Media, Inc. Available at: https://tec-direct.com/7-advantages-of-television-advertising/ [Accessed 11 Mar. 2024].</w:t>
            </w:r>
          </w:p>
          <w:p w14:paraId="1293FE95" w14:textId="77777777" w:rsidR="002A0CE7" w:rsidRDefault="002A0CE7" w:rsidP="002A0CE7">
            <w:pPr>
              <w:pStyle w:val="NormalWeb"/>
              <w:spacing w:before="0" w:beforeAutospacing="0" w:after="240" w:afterAutospacing="0" w:line="360" w:lineRule="auto"/>
            </w:pPr>
            <w:r>
              <w:t xml:space="preserve">Harvard T.H. Chan (2021). </w:t>
            </w:r>
            <w:r>
              <w:rPr>
                <w:i/>
                <w:iCs/>
              </w:rPr>
              <w:t>The Science of Snacking</w:t>
            </w:r>
            <w:r>
              <w:t>. [online] The Nutrition Source. Available at: https://www.hsph.harvard.edu/nutritionsource/snacking/ [Accessed 10 Mar. 2024].</w:t>
            </w:r>
          </w:p>
          <w:p w14:paraId="529A42F7" w14:textId="77777777" w:rsidR="002A0CE7" w:rsidRDefault="002A0CE7" w:rsidP="002A0CE7">
            <w:pPr>
              <w:pStyle w:val="NormalWeb"/>
              <w:spacing w:before="0" w:beforeAutospacing="0" w:after="240" w:afterAutospacing="0" w:line="360" w:lineRule="auto"/>
            </w:pPr>
            <w:r>
              <w:t xml:space="preserve">Ncube, M. (2015). </w:t>
            </w:r>
            <w:r>
              <w:rPr>
                <w:i/>
                <w:iCs/>
              </w:rPr>
              <w:t>9 Possible Online Advertising Objectives</w:t>
            </w:r>
            <w:r>
              <w:t xml:space="preserve">. [online] Google </w:t>
            </w:r>
            <w:proofErr w:type="spellStart"/>
            <w:r>
              <w:t>Adwords</w:t>
            </w:r>
            <w:proofErr w:type="spellEnd"/>
            <w:r>
              <w:t xml:space="preserve"> Expert | Google Ads Expert | Digital Marketing Expert - Mike Ncube. Available at: </w:t>
            </w:r>
            <w:r>
              <w:lastRenderedPageBreak/>
              <w:t>https://www.mikencube.co.uk/9-possible-online-advertising-objectives/ [Accessed 11 Mar. 2024].</w:t>
            </w:r>
          </w:p>
          <w:p w14:paraId="0307D759" w14:textId="77777777" w:rsidR="002A0CE7" w:rsidRDefault="002A0CE7" w:rsidP="002A0CE7">
            <w:pPr>
              <w:pStyle w:val="NormalWeb"/>
              <w:spacing w:before="0" w:beforeAutospacing="0" w:after="240" w:afterAutospacing="0" w:line="360" w:lineRule="auto"/>
            </w:pPr>
            <w:r>
              <w:t xml:space="preserve">Robinson, L. (2019). </w:t>
            </w:r>
            <w:r>
              <w:rPr>
                <w:i/>
                <w:iCs/>
              </w:rPr>
              <w:t>The Benefits of Play for Adults</w:t>
            </w:r>
            <w:r>
              <w:t>. [online] HelpGuide.org. Available at: https://www.helpguide.org/articles/mental-health/benefits-of-play-for-adults.htm [Accessed 10 Mar. 2024].</w:t>
            </w:r>
          </w:p>
          <w:p w14:paraId="5EDD2E19" w14:textId="77777777" w:rsidR="002A0CE7" w:rsidRDefault="002A0CE7" w:rsidP="002A0CE7">
            <w:pPr>
              <w:pStyle w:val="NormalWeb"/>
              <w:spacing w:before="0" w:beforeAutospacing="0" w:after="240" w:afterAutospacing="0" w:line="360" w:lineRule="auto"/>
            </w:pPr>
            <w:r>
              <w:t xml:space="preserve">Sable, P. (2023). </w:t>
            </w:r>
            <w:r>
              <w:rPr>
                <w:i/>
                <w:iCs/>
              </w:rPr>
              <w:t>What Is Market Positioning? Definition and Examples</w:t>
            </w:r>
            <w:r>
              <w:t>. [online] Glossary. Available at: https://chisellabs.com/glossary/what-is-market-positioning/ [Accessed 10 Mar. 2024].</w:t>
            </w:r>
          </w:p>
          <w:p w14:paraId="663E5AD6" w14:textId="77777777" w:rsidR="002A0CE7" w:rsidRDefault="002A0CE7" w:rsidP="002A0CE7">
            <w:pPr>
              <w:pStyle w:val="NormalWeb"/>
              <w:spacing w:before="0" w:beforeAutospacing="0" w:after="240" w:afterAutospacing="0" w:line="360" w:lineRule="auto"/>
            </w:pPr>
            <w:r>
              <w:t xml:space="preserve">Together (n.d.). </w:t>
            </w:r>
            <w:r>
              <w:rPr>
                <w:i/>
                <w:iCs/>
              </w:rPr>
              <w:t>Emotional Marketing: A Guide On How It Can Help Your Brand</w:t>
            </w:r>
            <w:r>
              <w:t>. [online] Together Agency. Available at: https://togetheragency.co.uk/news/emotional-marketing-a-guide-on-how-it-can-help-your-brand#:~:text=Emotional%20marketing%20allows%20you%20to [Accessed 10 Mar. 2024].</w:t>
            </w:r>
          </w:p>
          <w:p w14:paraId="5D164566" w14:textId="77777777" w:rsidR="005304A0" w:rsidRDefault="005304A0">
            <w:pPr>
              <w:rPr>
                <w:rFonts w:ascii="Arial" w:hAnsi="Arial" w:cs="Arial"/>
              </w:rPr>
            </w:pPr>
          </w:p>
          <w:p w14:paraId="27B1FDE5" w14:textId="77777777" w:rsidR="005304A0" w:rsidRDefault="005304A0">
            <w:pPr>
              <w:rPr>
                <w:rFonts w:ascii="Arial" w:hAnsi="Arial" w:cs="Arial"/>
              </w:rPr>
            </w:pPr>
          </w:p>
          <w:p w14:paraId="4E07AC03" w14:textId="77777777" w:rsidR="005304A0" w:rsidRDefault="005304A0">
            <w:pPr>
              <w:rPr>
                <w:rFonts w:ascii="Arial" w:hAnsi="Arial" w:cs="Arial"/>
              </w:rPr>
            </w:pPr>
          </w:p>
          <w:p w14:paraId="2CBC0833" w14:textId="77777777" w:rsidR="005304A0" w:rsidRDefault="005304A0">
            <w:pPr>
              <w:rPr>
                <w:rFonts w:ascii="Arial" w:hAnsi="Arial" w:cs="Arial"/>
              </w:rPr>
            </w:pPr>
          </w:p>
          <w:p w14:paraId="648EC40B" w14:textId="77777777" w:rsidR="005304A0" w:rsidRDefault="005304A0">
            <w:pPr>
              <w:rPr>
                <w:rFonts w:ascii="Arial" w:hAnsi="Arial" w:cs="Arial"/>
              </w:rPr>
            </w:pPr>
          </w:p>
          <w:p w14:paraId="31B73522" w14:textId="77777777" w:rsidR="005304A0" w:rsidRDefault="005304A0">
            <w:pPr>
              <w:rPr>
                <w:rFonts w:ascii="Arial" w:hAnsi="Arial" w:cs="Arial"/>
              </w:rPr>
            </w:pPr>
          </w:p>
          <w:p w14:paraId="6EF20251" w14:textId="77777777" w:rsidR="005304A0" w:rsidRDefault="005304A0">
            <w:pPr>
              <w:rPr>
                <w:rFonts w:ascii="Arial" w:hAnsi="Arial" w:cs="Arial"/>
              </w:rPr>
            </w:pPr>
          </w:p>
          <w:p w14:paraId="72E247A6" w14:textId="77777777" w:rsidR="005304A0" w:rsidRDefault="005304A0">
            <w:pPr>
              <w:rPr>
                <w:rFonts w:ascii="Arial" w:hAnsi="Arial" w:cs="Arial"/>
              </w:rPr>
            </w:pPr>
          </w:p>
          <w:p w14:paraId="4F3DAE52" w14:textId="77777777" w:rsidR="005304A0" w:rsidRDefault="005304A0">
            <w:pPr>
              <w:rPr>
                <w:rFonts w:ascii="Arial" w:hAnsi="Arial" w:cs="Arial"/>
              </w:rPr>
            </w:pPr>
          </w:p>
          <w:p w14:paraId="4053D30F" w14:textId="77777777" w:rsidR="005304A0" w:rsidRDefault="005304A0">
            <w:pPr>
              <w:rPr>
                <w:rFonts w:ascii="Arial" w:hAnsi="Arial" w:cs="Arial"/>
              </w:rPr>
            </w:pPr>
          </w:p>
          <w:p w14:paraId="7E23F116" w14:textId="77777777" w:rsidR="005304A0" w:rsidRDefault="005304A0">
            <w:pPr>
              <w:rPr>
                <w:rFonts w:ascii="Arial" w:hAnsi="Arial" w:cs="Arial"/>
              </w:rPr>
            </w:pPr>
          </w:p>
          <w:p w14:paraId="3DE01FBD" w14:textId="77777777" w:rsidR="005304A0" w:rsidRDefault="005304A0">
            <w:pPr>
              <w:rPr>
                <w:rFonts w:ascii="Arial" w:hAnsi="Arial" w:cs="Arial"/>
              </w:rPr>
            </w:pPr>
          </w:p>
          <w:p w14:paraId="41BD7B94" w14:textId="77777777" w:rsidR="005304A0" w:rsidRDefault="005304A0">
            <w:pPr>
              <w:rPr>
                <w:rFonts w:ascii="Arial" w:hAnsi="Arial" w:cs="Arial"/>
              </w:rPr>
            </w:pPr>
          </w:p>
          <w:p w14:paraId="70510BEB" w14:textId="77777777" w:rsidR="005304A0" w:rsidRDefault="005304A0">
            <w:pPr>
              <w:rPr>
                <w:rFonts w:ascii="Arial" w:hAnsi="Arial" w:cs="Arial"/>
              </w:rPr>
            </w:pPr>
          </w:p>
          <w:p w14:paraId="5B4431BC" w14:textId="77777777" w:rsidR="005304A0" w:rsidRDefault="005304A0">
            <w:pPr>
              <w:rPr>
                <w:rFonts w:ascii="Arial" w:hAnsi="Arial" w:cs="Arial"/>
              </w:rPr>
            </w:pPr>
          </w:p>
          <w:p w14:paraId="21BC9E8F" w14:textId="77777777" w:rsidR="005304A0" w:rsidRDefault="005304A0">
            <w:pPr>
              <w:rPr>
                <w:rFonts w:ascii="Arial" w:hAnsi="Arial" w:cs="Arial"/>
              </w:rPr>
            </w:pPr>
          </w:p>
          <w:p w14:paraId="293DDA37" w14:textId="77777777" w:rsidR="005304A0" w:rsidRDefault="005304A0">
            <w:pPr>
              <w:rPr>
                <w:rFonts w:ascii="Arial" w:hAnsi="Arial" w:cs="Arial"/>
              </w:rPr>
            </w:pPr>
          </w:p>
          <w:p w14:paraId="44CD4E72" w14:textId="77777777" w:rsidR="005304A0" w:rsidRDefault="005304A0">
            <w:pPr>
              <w:rPr>
                <w:rFonts w:ascii="Arial" w:hAnsi="Arial" w:cs="Arial"/>
              </w:rPr>
            </w:pPr>
          </w:p>
          <w:p w14:paraId="2DAEFD84" w14:textId="77777777" w:rsidR="005304A0" w:rsidRDefault="005304A0">
            <w:pPr>
              <w:rPr>
                <w:rFonts w:ascii="Arial" w:hAnsi="Arial" w:cs="Arial"/>
              </w:rPr>
            </w:pPr>
          </w:p>
          <w:p w14:paraId="1BE0900C" w14:textId="77777777" w:rsidR="005304A0" w:rsidRDefault="005304A0">
            <w:pPr>
              <w:rPr>
                <w:rFonts w:ascii="Arial" w:hAnsi="Arial" w:cs="Arial"/>
              </w:rPr>
            </w:pPr>
          </w:p>
          <w:p w14:paraId="3619BD53" w14:textId="77777777" w:rsidR="005304A0" w:rsidRDefault="005304A0">
            <w:pPr>
              <w:rPr>
                <w:rFonts w:ascii="Arial" w:hAnsi="Arial" w:cs="Arial"/>
              </w:rPr>
            </w:pPr>
          </w:p>
          <w:p w14:paraId="32D1421E" w14:textId="77777777" w:rsidR="005304A0" w:rsidRDefault="005304A0">
            <w:pPr>
              <w:rPr>
                <w:rFonts w:ascii="Arial" w:hAnsi="Arial" w:cs="Arial"/>
              </w:rPr>
            </w:pPr>
          </w:p>
          <w:p w14:paraId="248A39F9" w14:textId="77777777" w:rsidR="005304A0" w:rsidRDefault="005304A0">
            <w:pPr>
              <w:rPr>
                <w:rFonts w:ascii="Arial" w:hAnsi="Arial" w:cs="Arial"/>
              </w:rPr>
            </w:pPr>
          </w:p>
          <w:p w14:paraId="302F4F0B" w14:textId="77777777" w:rsidR="005304A0" w:rsidRDefault="005304A0">
            <w:pPr>
              <w:rPr>
                <w:rFonts w:ascii="Arial" w:hAnsi="Arial" w:cs="Arial"/>
              </w:rPr>
            </w:pPr>
          </w:p>
          <w:p w14:paraId="4927D466" w14:textId="77777777" w:rsidR="005304A0" w:rsidRDefault="005304A0">
            <w:pPr>
              <w:rPr>
                <w:rFonts w:ascii="Arial" w:hAnsi="Arial" w:cs="Arial"/>
              </w:rPr>
            </w:pPr>
          </w:p>
          <w:p w14:paraId="24067ED5" w14:textId="77777777" w:rsidR="005304A0" w:rsidRDefault="005304A0">
            <w:pPr>
              <w:rPr>
                <w:rFonts w:ascii="Arial" w:hAnsi="Arial" w:cs="Arial"/>
              </w:rPr>
            </w:pPr>
          </w:p>
          <w:p w14:paraId="335A102D" w14:textId="77777777" w:rsidR="005304A0" w:rsidRDefault="005304A0">
            <w:pPr>
              <w:rPr>
                <w:rFonts w:ascii="Arial" w:hAnsi="Arial" w:cs="Arial"/>
              </w:rPr>
            </w:pPr>
          </w:p>
          <w:p w14:paraId="16ADE91E" w14:textId="77777777" w:rsidR="005304A0" w:rsidRDefault="005304A0">
            <w:pPr>
              <w:rPr>
                <w:rFonts w:ascii="Arial" w:hAnsi="Arial" w:cs="Arial"/>
              </w:rPr>
            </w:pPr>
          </w:p>
          <w:p w14:paraId="07D31580" w14:textId="77777777" w:rsidR="005304A0" w:rsidRDefault="005304A0">
            <w:pPr>
              <w:rPr>
                <w:rFonts w:ascii="Arial" w:hAnsi="Arial" w:cs="Arial"/>
              </w:rPr>
            </w:pPr>
          </w:p>
          <w:p w14:paraId="57020726" w14:textId="77777777" w:rsidR="005304A0" w:rsidRDefault="005304A0">
            <w:pPr>
              <w:rPr>
                <w:rFonts w:ascii="Arial" w:hAnsi="Arial" w:cs="Arial"/>
              </w:rPr>
            </w:pPr>
          </w:p>
          <w:p w14:paraId="3971D32F" w14:textId="14583A0F" w:rsidR="005304A0" w:rsidRDefault="005304A0">
            <w:pPr>
              <w:rPr>
                <w:rFonts w:ascii="Arial" w:hAnsi="Arial" w:cs="Arial"/>
              </w:rPr>
            </w:pPr>
          </w:p>
          <w:p w14:paraId="17B7FCE9" w14:textId="086E379C" w:rsidR="005304A0" w:rsidRDefault="005304A0">
            <w:pPr>
              <w:rPr>
                <w:rFonts w:ascii="Arial" w:hAnsi="Arial" w:cs="Arial"/>
              </w:rPr>
            </w:pPr>
          </w:p>
          <w:p w14:paraId="0E71AAB5" w14:textId="77777777" w:rsidR="005304A0" w:rsidRDefault="005304A0">
            <w:pPr>
              <w:rPr>
                <w:rFonts w:ascii="Arial" w:hAnsi="Arial" w:cs="Arial"/>
              </w:rPr>
            </w:pPr>
          </w:p>
          <w:p w14:paraId="750B65D1" w14:textId="77777777" w:rsidR="005304A0" w:rsidRDefault="005304A0">
            <w:pPr>
              <w:rPr>
                <w:rFonts w:ascii="Arial" w:hAnsi="Arial" w:cs="Arial"/>
              </w:rPr>
            </w:pPr>
          </w:p>
          <w:p w14:paraId="23FA6186" w14:textId="77777777" w:rsidR="005304A0" w:rsidRDefault="005304A0">
            <w:pPr>
              <w:rPr>
                <w:rFonts w:ascii="Arial" w:hAnsi="Arial" w:cs="Arial"/>
              </w:rPr>
            </w:pPr>
          </w:p>
          <w:p w14:paraId="18D73E01" w14:textId="577C1D5B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1C0030"/>
    <w:rsid w:val="001F65C6"/>
    <w:rsid w:val="002A0CE7"/>
    <w:rsid w:val="00384652"/>
    <w:rsid w:val="005304A0"/>
    <w:rsid w:val="0067449B"/>
    <w:rsid w:val="007324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2A0CE7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val="en-IN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semiHidden/>
    <w:unhideWhenUsed/>
    <w:rsid w:val="002A0CE7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2A0CE7"/>
    <w:rPr>
      <w:rFonts w:ascii="Times New Roman" w:eastAsia="Times New Roman" w:hAnsi="Times New Roman" w:cs="Times New Roman"/>
      <w:b/>
      <w:bCs/>
      <w:kern w:val="36"/>
      <w:sz w:val="48"/>
      <w:szCs w:val="48"/>
      <w:lang w:val="en-IN" w:eastAsia="en-GB"/>
    </w:rPr>
  </w:style>
  <w:style w:type="paragraph" w:styleId="NormalWeb">
    <w:name w:val="Normal (Web)"/>
    <w:basedOn w:val="Normal"/>
    <w:uiPriority w:val="99"/>
    <w:semiHidden/>
    <w:unhideWhenUsed/>
    <w:rsid w:val="002A0CE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IN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9704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9954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2220398_student_uwtsd_ac_uk/Eb2PIcksL7pEtOwpjMRIYiUBKs-yHADKgV2mrAorSyhmiQ?e=EROLUC&amp;nav=eyJyZWZlcnJhbEluZm8iOnsicmVmZXJyYWxBcHAiOiJTdHJlYW1XZWJBcHAiLCJyZWZlcnJhbFZpZXciOiJTaGFyZURpYWxvZy1MaW5rIiwicmVmZXJyYWxBcHBQbGF0Zm9ybSI6IldlYiIsInJlZmVycmFsTW9kZSI6InZpZXcifX0%3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395</Words>
  <Characters>2252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Mukul Bakkolla (2220398)</cp:lastModifiedBy>
  <cp:revision>2</cp:revision>
  <dcterms:created xsi:type="dcterms:W3CDTF">2024-03-22T21:40:00Z</dcterms:created>
  <dcterms:modified xsi:type="dcterms:W3CDTF">2024-03-22T21:40:00Z</dcterms:modified>
</cp:coreProperties>
</file>