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73CB2" w14:textId="77777777" w:rsidR="00D64B45" w:rsidRPr="00082435" w:rsidRDefault="00D64B45" w:rsidP="00D64B45">
      <w:pPr>
        <w:spacing w:line="360" w:lineRule="auto"/>
        <w:rPr>
          <w:rFonts w:ascii="Tahoma" w:eastAsiaTheme="minorHAnsi" w:hAnsi="Tahoma" w:cs="Tahoma"/>
          <w:sz w:val="28"/>
          <w:szCs w:val="28"/>
        </w:rPr>
      </w:pPr>
      <w:bookmarkStart w:id="0" w:name="_Hlk91495123"/>
      <w:bookmarkEnd w:id="0"/>
      <w:r w:rsidRPr="00082435">
        <w:rPr>
          <w:rFonts w:ascii="Tahoma" w:eastAsiaTheme="minorHAnsi" w:hAnsi="Tahoma" w:cs="Tahoma"/>
          <w:sz w:val="28"/>
          <w:szCs w:val="28"/>
        </w:rPr>
        <w:t>Name: Mariana Cocos</w:t>
      </w:r>
    </w:p>
    <w:p w14:paraId="79C864CB" w14:textId="52415655" w:rsidR="0081403F" w:rsidRPr="00082435" w:rsidRDefault="0081403F" w:rsidP="0081403F">
      <w:pPr>
        <w:rPr>
          <w:rStyle w:val="Heading1Char"/>
          <w:rFonts w:ascii="Tahoma" w:eastAsia="Calibri" w:hAnsi="Tahoma" w:cs="Tahoma"/>
          <w:sz w:val="28"/>
          <w:szCs w:val="28"/>
        </w:rPr>
      </w:pPr>
    </w:p>
    <w:p w14:paraId="0F058E1C" w14:textId="77777777" w:rsidR="00D64B45" w:rsidRPr="00082435" w:rsidRDefault="00D64B45" w:rsidP="00D64B45">
      <w:pPr>
        <w:spacing w:line="360" w:lineRule="auto"/>
        <w:rPr>
          <w:rFonts w:ascii="Tahoma" w:eastAsiaTheme="minorHAnsi" w:hAnsi="Tahoma" w:cs="Tahoma"/>
          <w:sz w:val="28"/>
          <w:szCs w:val="28"/>
        </w:rPr>
      </w:pPr>
      <w:r w:rsidRPr="00082435">
        <w:rPr>
          <w:rFonts w:ascii="Tahoma" w:eastAsiaTheme="minorHAnsi" w:hAnsi="Tahoma" w:cs="Tahoma"/>
          <w:sz w:val="28"/>
          <w:szCs w:val="28"/>
        </w:rPr>
        <w:t>Student Number: 2024061</w:t>
      </w:r>
    </w:p>
    <w:p w14:paraId="2F99CCED" w14:textId="77777777" w:rsidR="00D64B45" w:rsidRPr="00082435" w:rsidRDefault="00D64B45" w:rsidP="0081403F">
      <w:pPr>
        <w:rPr>
          <w:rStyle w:val="Heading1Char"/>
          <w:rFonts w:ascii="Tahoma" w:eastAsia="Calibri" w:hAnsi="Tahoma" w:cs="Tahoma"/>
          <w:sz w:val="28"/>
          <w:szCs w:val="28"/>
        </w:rPr>
      </w:pPr>
    </w:p>
    <w:p w14:paraId="7A9C02CD" w14:textId="6543DAB1" w:rsidR="002B304A" w:rsidRPr="002B304A" w:rsidRDefault="00D64B45" w:rsidP="002B304A">
      <w:pPr>
        <w:pStyle w:val="Default"/>
        <w:rPr>
          <w:rFonts w:ascii="Arial" w:hAnsi="Arial" w:cs="Arial"/>
        </w:rPr>
      </w:pPr>
      <w:r w:rsidRPr="00082435">
        <w:rPr>
          <w:rFonts w:ascii="Tahoma" w:eastAsiaTheme="minorHAnsi" w:hAnsi="Tahoma" w:cs="Tahoma"/>
          <w:sz w:val="28"/>
          <w:szCs w:val="28"/>
        </w:rPr>
        <w:t xml:space="preserve">Module Title: </w:t>
      </w:r>
      <w:r w:rsidR="002B304A">
        <w:rPr>
          <w:rFonts w:ascii="Tahoma" w:eastAsiaTheme="minorHAnsi" w:hAnsi="Tahoma" w:cs="Tahoma"/>
          <w:sz w:val="28"/>
          <w:szCs w:val="28"/>
        </w:rPr>
        <w:t>The Global Business Environment LC</w:t>
      </w:r>
      <w:r w:rsidR="00493B51">
        <w:rPr>
          <w:rFonts w:ascii="Tahoma" w:eastAsiaTheme="minorHAnsi" w:hAnsi="Tahoma" w:cs="Tahoma"/>
          <w:sz w:val="28"/>
          <w:szCs w:val="28"/>
        </w:rPr>
        <w:t>B</w:t>
      </w:r>
      <w:r w:rsidR="002B304A">
        <w:rPr>
          <w:rFonts w:ascii="Tahoma" w:eastAsiaTheme="minorHAnsi" w:hAnsi="Tahoma" w:cs="Tahoma"/>
          <w:sz w:val="28"/>
          <w:szCs w:val="28"/>
        </w:rPr>
        <w:t>B4005</w:t>
      </w:r>
    </w:p>
    <w:p w14:paraId="2C2770B1" w14:textId="79FB0F10" w:rsidR="00D64B45" w:rsidRPr="00082435" w:rsidRDefault="00D64B45" w:rsidP="00D64B45">
      <w:pPr>
        <w:spacing w:line="360" w:lineRule="auto"/>
        <w:rPr>
          <w:rFonts w:ascii="Tahoma" w:eastAsiaTheme="minorHAnsi" w:hAnsi="Tahoma" w:cs="Tahoma"/>
          <w:sz w:val="28"/>
          <w:szCs w:val="28"/>
        </w:rPr>
      </w:pPr>
    </w:p>
    <w:p w14:paraId="5B567BC8" w14:textId="03ABC627" w:rsidR="002B304A" w:rsidRPr="002B304A" w:rsidRDefault="00FF71EA" w:rsidP="002B304A">
      <w:pPr>
        <w:pStyle w:val="Default"/>
        <w:rPr>
          <w:rFonts w:ascii="Arial" w:hAnsi="Arial" w:cs="Arial"/>
        </w:rPr>
      </w:pPr>
      <w:r w:rsidRPr="00082435">
        <w:rPr>
          <w:rFonts w:ascii="Tahoma" w:eastAsiaTheme="minorHAnsi" w:hAnsi="Tahoma" w:cs="Tahoma"/>
          <w:sz w:val="28"/>
          <w:szCs w:val="28"/>
        </w:rPr>
        <w:t xml:space="preserve">Lecturer: </w:t>
      </w:r>
      <w:r w:rsidR="002B304A">
        <w:rPr>
          <w:rFonts w:ascii="Tahoma" w:eastAsiaTheme="minorHAnsi" w:hAnsi="Tahoma" w:cs="Tahoma"/>
          <w:sz w:val="28"/>
          <w:szCs w:val="28"/>
        </w:rPr>
        <w:t xml:space="preserve">Dr </w:t>
      </w:r>
      <w:proofErr w:type="spellStart"/>
      <w:r w:rsidR="002B304A">
        <w:rPr>
          <w:rFonts w:ascii="Tahoma" w:eastAsiaTheme="minorHAnsi" w:hAnsi="Tahoma" w:cs="Tahoma"/>
          <w:sz w:val="28"/>
          <w:szCs w:val="28"/>
        </w:rPr>
        <w:t>Rexon</w:t>
      </w:r>
      <w:proofErr w:type="spellEnd"/>
      <w:r w:rsidR="002B304A">
        <w:rPr>
          <w:rFonts w:ascii="Tahoma" w:eastAsiaTheme="minorHAnsi" w:hAnsi="Tahoma" w:cs="Tahoma"/>
          <w:sz w:val="28"/>
          <w:szCs w:val="28"/>
        </w:rPr>
        <w:t xml:space="preserve"> </w:t>
      </w:r>
      <w:proofErr w:type="spellStart"/>
      <w:r w:rsidR="002B304A">
        <w:rPr>
          <w:rFonts w:ascii="Tahoma" w:eastAsiaTheme="minorHAnsi" w:hAnsi="Tahoma" w:cs="Tahoma"/>
          <w:sz w:val="28"/>
          <w:szCs w:val="28"/>
        </w:rPr>
        <w:t>Nting</w:t>
      </w:r>
      <w:proofErr w:type="spellEnd"/>
    </w:p>
    <w:p w14:paraId="65FFA490" w14:textId="03721630" w:rsidR="00FF71EA" w:rsidRPr="00082435" w:rsidRDefault="00FF71EA" w:rsidP="00FF71EA">
      <w:pPr>
        <w:spacing w:line="360" w:lineRule="auto"/>
        <w:rPr>
          <w:rFonts w:ascii="Tahoma" w:eastAsiaTheme="minorHAnsi" w:hAnsi="Tahoma" w:cs="Tahoma"/>
          <w:sz w:val="28"/>
          <w:szCs w:val="28"/>
        </w:rPr>
      </w:pPr>
    </w:p>
    <w:p w14:paraId="4C24F50A" w14:textId="109AB0D7" w:rsidR="00CA181C" w:rsidRPr="00BC1B26" w:rsidRDefault="00D64B45" w:rsidP="00BC1B26">
      <w:pPr>
        <w:rPr>
          <w:rStyle w:val="Heading1Char"/>
          <w:rFonts w:ascii="Tahoma" w:eastAsia="Calibri" w:hAnsi="Tahoma" w:cs="Tahoma"/>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1B26">
        <w:rPr>
          <w:rFonts w:ascii="Tahoma" w:hAnsi="Tahoma" w:cs="Tahoma"/>
          <w:sz w:val="28"/>
          <w:szCs w:val="28"/>
        </w:rPr>
        <w:t xml:space="preserve">Assignment </w:t>
      </w:r>
      <w:r w:rsidR="009070AF" w:rsidRPr="00BC1B26">
        <w:rPr>
          <w:rFonts w:ascii="Tahoma" w:hAnsi="Tahoma" w:cs="Tahoma"/>
          <w:sz w:val="28"/>
          <w:szCs w:val="28"/>
        </w:rPr>
        <w:t>2</w:t>
      </w:r>
      <w:r w:rsidR="007119CE" w:rsidRPr="00BC1B26">
        <w:rPr>
          <w:rFonts w:ascii="Tahoma" w:hAnsi="Tahoma" w:cs="Tahoma"/>
          <w:sz w:val="28"/>
          <w:szCs w:val="28"/>
        </w:rPr>
        <w:t xml:space="preserve"> </w:t>
      </w:r>
      <w:r w:rsidRPr="00BC1B26">
        <w:rPr>
          <w:rFonts w:ascii="Tahoma" w:hAnsi="Tahoma" w:cs="Tahoma"/>
          <w:sz w:val="28"/>
          <w:szCs w:val="28"/>
        </w:rPr>
        <w:t xml:space="preserve">Title: </w:t>
      </w:r>
      <w:r w:rsidR="002B304A" w:rsidRPr="00BC1B26">
        <w:rPr>
          <w:rFonts w:ascii="Tahoma" w:hAnsi="Tahoma" w:cs="Tahoma"/>
          <w:sz w:val="28"/>
          <w:szCs w:val="28"/>
        </w:rPr>
        <w:t xml:space="preserve">Environmental Analysis of </w:t>
      </w:r>
      <w:r w:rsidR="00842A04" w:rsidRPr="00BC1B26">
        <w:rPr>
          <w:rFonts w:ascii="Tahoma" w:hAnsi="Tahoma" w:cs="Tahoma"/>
          <w:sz w:val="28"/>
          <w:szCs w:val="28"/>
        </w:rPr>
        <w:t xml:space="preserve">an </w:t>
      </w:r>
      <w:r w:rsidR="002B304A" w:rsidRPr="00BC1B26">
        <w:rPr>
          <w:rFonts w:ascii="Tahoma" w:hAnsi="Tahoma" w:cs="Tahoma"/>
          <w:sz w:val="28"/>
          <w:szCs w:val="28"/>
        </w:rPr>
        <w:t>In</w:t>
      </w:r>
      <w:r w:rsidR="000F7788" w:rsidRPr="00BC1B26">
        <w:rPr>
          <w:rFonts w:ascii="Tahoma" w:hAnsi="Tahoma" w:cs="Tahoma"/>
          <w:sz w:val="28"/>
          <w:szCs w:val="28"/>
        </w:rPr>
        <w:t xml:space="preserve">dustry </w:t>
      </w:r>
    </w:p>
    <w:p w14:paraId="4A66B0BD" w14:textId="40D94F15" w:rsidR="00D64B45" w:rsidRPr="00BC1B26" w:rsidRDefault="00D64B45" w:rsidP="00BC1B26">
      <w:pPr>
        <w:rPr>
          <w:rFonts w:ascii="Tahoma" w:hAnsi="Tahoma" w:cs="Tahoma"/>
          <w:sz w:val="28"/>
          <w:szCs w:val="28"/>
        </w:rPr>
      </w:pPr>
    </w:p>
    <w:p w14:paraId="6A0A6231" w14:textId="77777777" w:rsidR="00842A04" w:rsidRPr="00842A04" w:rsidRDefault="00842A04" w:rsidP="00842A04">
      <w:pPr>
        <w:autoSpaceDE w:val="0"/>
        <w:autoSpaceDN w:val="0"/>
        <w:adjustRightInd w:val="0"/>
        <w:rPr>
          <w:rFonts w:ascii="Arial" w:hAnsi="Arial" w:cs="Arial"/>
          <w:color w:val="000000"/>
          <w:lang w:eastAsia="en-GB"/>
        </w:rPr>
      </w:pPr>
    </w:p>
    <w:p w14:paraId="74EA1709" w14:textId="77777777" w:rsidR="002B304A" w:rsidRPr="002B304A" w:rsidRDefault="002B304A" w:rsidP="002B304A">
      <w:pPr>
        <w:autoSpaceDE w:val="0"/>
        <w:autoSpaceDN w:val="0"/>
        <w:adjustRightInd w:val="0"/>
        <w:rPr>
          <w:rFonts w:ascii="Arial" w:hAnsi="Arial" w:cs="Arial"/>
          <w:color w:val="000000"/>
          <w:lang w:eastAsia="en-GB"/>
        </w:rPr>
      </w:pPr>
    </w:p>
    <w:p w14:paraId="57A8EEB8" w14:textId="77777777" w:rsidR="00D64B45" w:rsidRDefault="00D64B45" w:rsidP="0081403F">
      <w:pPr>
        <w:rPr>
          <w:rStyle w:val="Heading1Char"/>
          <w:rFonts w:ascii="Times" w:eastAsia="Calibri" w:hAnsi="Times"/>
        </w:rPr>
      </w:pPr>
    </w:p>
    <w:p w14:paraId="152C5FD2" w14:textId="77777777" w:rsidR="0081403F" w:rsidRDefault="0081403F" w:rsidP="0081403F">
      <w:pPr>
        <w:rPr>
          <w:rStyle w:val="Heading1Char"/>
          <w:rFonts w:ascii="Times" w:eastAsia="Calibri" w:hAnsi="Times"/>
        </w:rPr>
      </w:pPr>
    </w:p>
    <w:p w14:paraId="1FB5FC0F" w14:textId="4C9651C3" w:rsidR="0008664B" w:rsidRPr="0008664B" w:rsidRDefault="0008664B" w:rsidP="0008664B">
      <w:pPr>
        <w:tabs>
          <w:tab w:val="left" w:pos="1848"/>
        </w:tabs>
        <w:jc w:val="center"/>
        <w:rPr>
          <w:rStyle w:val="Heading1Char"/>
          <w:rFonts w:ascii="Tahoma" w:eastAsia="Calibri" w:hAnsi="Tahoma" w:cs="Tahoma"/>
          <w:color w:val="auto"/>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664B">
        <w:rPr>
          <w:rFonts w:ascii="Tahoma" w:eastAsiaTheme="minorHAnsi" w:hAnsi="Tahoma" w:cs="Tahoma"/>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Environmental Analysis of </w:t>
      </w:r>
      <w:r w:rsidR="00842A04">
        <w:rPr>
          <w:rFonts w:ascii="Tahoma" w:eastAsiaTheme="minorHAnsi" w:hAnsi="Tahoma" w:cs="Tahoma"/>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w:t>
      </w:r>
      <w:r w:rsidRPr="0008664B">
        <w:rPr>
          <w:rFonts w:ascii="Tahoma" w:eastAsiaTheme="minorHAnsi" w:hAnsi="Tahoma" w:cs="Tahoma"/>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Industry</w:t>
      </w:r>
    </w:p>
    <w:p w14:paraId="2616CC05" w14:textId="77777777" w:rsidR="0008664B" w:rsidRPr="00082435" w:rsidRDefault="0008664B" w:rsidP="0008664B">
      <w:pPr>
        <w:spacing w:line="360" w:lineRule="auto"/>
        <w:jc w:val="center"/>
        <w:rPr>
          <w:rFonts w:ascii="Tahoma" w:eastAsiaTheme="minorHAnsi" w:hAnsi="Tahoma" w:cs="Tahoma"/>
          <w:sz w:val="28"/>
          <w:szCs w:val="28"/>
        </w:rPr>
      </w:pPr>
    </w:p>
    <w:p w14:paraId="18A126FA" w14:textId="3096F21F" w:rsidR="000C2EBD" w:rsidRDefault="000C2EBD" w:rsidP="000C2EBD">
      <w:pPr>
        <w:spacing w:line="360" w:lineRule="auto"/>
        <w:rPr>
          <w:rFonts w:ascii="Tahoma" w:eastAsiaTheme="minorHAnsi" w:hAnsi="Tahoma" w:cs="Tahoma"/>
          <w:sz w:val="20"/>
          <w:szCs w:val="20"/>
        </w:rPr>
      </w:pPr>
    </w:p>
    <w:p w14:paraId="4F1F16BD" w14:textId="3D3823A0" w:rsidR="000C2EBD" w:rsidRDefault="000C2EBD" w:rsidP="000C2EBD">
      <w:pPr>
        <w:spacing w:line="360" w:lineRule="auto"/>
        <w:rPr>
          <w:rFonts w:ascii="Tahoma" w:eastAsiaTheme="minorHAnsi" w:hAnsi="Tahoma" w:cs="Tahoma"/>
          <w:sz w:val="20"/>
          <w:szCs w:val="20"/>
        </w:rPr>
      </w:pPr>
    </w:p>
    <w:p w14:paraId="30901FE6" w14:textId="77777777" w:rsidR="009A27CB" w:rsidRPr="009A27CB" w:rsidRDefault="009A27CB" w:rsidP="009A27CB">
      <w:pPr>
        <w:jc w:val="center"/>
        <w:rPr>
          <w:rFonts w:ascii="Tahoma" w:hAnsi="Tahoma" w:cs="Tahoma"/>
          <w:b/>
          <w:bCs/>
          <w:sz w:val="52"/>
          <w:szCs w:val="52"/>
        </w:rPr>
      </w:pPr>
      <w:r w:rsidRPr="009A27CB">
        <w:rPr>
          <w:rFonts w:ascii="Tahoma" w:hAnsi="Tahoma" w:cs="Tahoma"/>
          <w:b/>
          <w:bCs/>
          <w:sz w:val="52"/>
          <w:szCs w:val="52"/>
        </w:rPr>
        <w:t xml:space="preserve">Electric Vehicles Industry </w:t>
      </w:r>
    </w:p>
    <w:p w14:paraId="08CDEBD5" w14:textId="2CB3704B" w:rsidR="000C2EBD" w:rsidRPr="009A27CB" w:rsidRDefault="000C2EBD" w:rsidP="000C2EBD">
      <w:pPr>
        <w:spacing w:line="360" w:lineRule="auto"/>
        <w:rPr>
          <w:rFonts w:ascii="Tahoma" w:hAnsi="Tahoma" w:cs="Tahoma"/>
          <w:noProof/>
          <w:sz w:val="52"/>
          <w:szCs w:val="52"/>
        </w:rPr>
      </w:pPr>
    </w:p>
    <w:p w14:paraId="7AE7BD57" w14:textId="429E94AC" w:rsidR="00842A04" w:rsidRDefault="00842A04" w:rsidP="000C2EBD">
      <w:pPr>
        <w:spacing w:line="360" w:lineRule="auto"/>
        <w:rPr>
          <w:noProof/>
        </w:rPr>
      </w:pPr>
    </w:p>
    <w:p w14:paraId="58BA53D7" w14:textId="7F2F3246" w:rsidR="00842A04" w:rsidRDefault="00842A04" w:rsidP="000C2EBD">
      <w:pPr>
        <w:spacing w:line="360" w:lineRule="auto"/>
        <w:rPr>
          <w:noProof/>
        </w:rPr>
      </w:pPr>
    </w:p>
    <w:p w14:paraId="50A89918" w14:textId="5D66B451" w:rsidR="00842A04" w:rsidRDefault="00842A04" w:rsidP="000C2EBD">
      <w:pPr>
        <w:spacing w:line="360" w:lineRule="auto"/>
        <w:rPr>
          <w:noProof/>
        </w:rPr>
      </w:pPr>
    </w:p>
    <w:p w14:paraId="48207293" w14:textId="77777777" w:rsidR="00842A04" w:rsidRDefault="00842A04" w:rsidP="000C2EBD">
      <w:pPr>
        <w:spacing w:line="360" w:lineRule="auto"/>
        <w:rPr>
          <w:noProof/>
        </w:rPr>
      </w:pPr>
    </w:p>
    <w:p w14:paraId="58876626" w14:textId="77777777" w:rsidR="00842A04" w:rsidRPr="000C2EBD" w:rsidRDefault="00842A04" w:rsidP="000C2EBD">
      <w:pPr>
        <w:spacing w:line="360" w:lineRule="auto"/>
        <w:rPr>
          <w:rFonts w:ascii="Tahoma" w:eastAsiaTheme="minorHAnsi" w:hAnsi="Tahoma" w:cs="Tahoma"/>
          <w:sz w:val="20"/>
          <w:szCs w:val="20"/>
        </w:rPr>
      </w:pPr>
    </w:p>
    <w:p w14:paraId="566793E4" w14:textId="0608BF57" w:rsidR="002B7688" w:rsidRPr="002B7688" w:rsidRDefault="002B7688" w:rsidP="000C2EBD">
      <w:pPr>
        <w:pStyle w:val="TOCHeading"/>
        <w:rPr>
          <w:rFonts w:ascii="Tahoma" w:hAnsi="Tahoma" w:cs="Tahoma"/>
          <w:color w:val="000000" w:themeColor="text1"/>
        </w:rPr>
      </w:pPr>
      <w:r w:rsidRPr="002B7688">
        <w:rPr>
          <w:rFonts w:ascii="Tahoma" w:hAnsi="Tahoma" w:cs="Tahoma"/>
          <w:color w:val="000000" w:themeColor="text1"/>
        </w:rPr>
        <w:lastRenderedPageBreak/>
        <w:t>Table of Contents</w:t>
      </w:r>
    </w:p>
    <w:p w14:paraId="527BC45F" w14:textId="7269675B" w:rsidR="00033D27" w:rsidRDefault="00033D27">
      <w:pPr>
        <w:rPr>
          <w:rFonts w:ascii="Tahoma" w:eastAsiaTheme="minorHAnsi" w:hAnsi="Tahoma" w:cs="Tahom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AF0ABD" w14:textId="77777777" w:rsidR="003206CC" w:rsidRDefault="003206CC">
      <w:pPr>
        <w:rPr>
          <w:rFonts w:ascii="Tahoma" w:eastAsiaTheme="minorHAnsi" w:hAnsi="Tahoma" w:cs="Tahom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25063C" w14:textId="07EA5265" w:rsidR="00033D27" w:rsidRPr="00307C47" w:rsidRDefault="00033D27">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307C47">
        <w:rPr>
          <w:color w:val="000000" w:themeColor="text1"/>
        </w:rPr>
        <w:t xml:space="preserve"> </w:t>
      </w:r>
      <w:r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w:t>
      </w:r>
      <w:r w:rsidR="00711167"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3C6EA9A8" w14:textId="7C6F602E" w:rsidR="00033D27" w:rsidRPr="00842A04" w:rsidRDefault="00033D27">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2EBD8B" w14:textId="6B1E6276" w:rsidR="00033D27" w:rsidRPr="00307C47" w:rsidRDefault="00033D27" w:rsidP="00307C47">
      <w:pPr>
        <w:pStyle w:val="TOC1"/>
        <w:rPr>
          <w:bCs/>
        </w:rPr>
      </w:pPr>
      <w:r w:rsidRPr="00307C47">
        <w:t xml:space="preserve">2. </w:t>
      </w:r>
      <w:r w:rsidR="00307C47" w:rsidRPr="00307C47">
        <w:rPr>
          <w:rFonts w:hint="cs"/>
        </w:rPr>
        <w:t>Electric vehicle market structure</w:t>
      </w:r>
      <w:r w:rsidR="00307C47" w:rsidRPr="00307C47">
        <w:t xml:space="preserve"> </w:t>
      </w:r>
      <w:r w:rsidRPr="00307C47">
        <w:t>……………………</w:t>
      </w:r>
      <w:r w:rsidR="00307C47">
        <w:t>………………………..</w:t>
      </w:r>
      <w:r w:rsidRPr="00307C47">
        <w:t>……………….</w:t>
      </w:r>
      <w:r w:rsidR="003F21BB">
        <w:t>.4</w:t>
      </w:r>
    </w:p>
    <w:p w14:paraId="381730E0" w14:textId="77777777" w:rsidR="00033D27" w:rsidRPr="00842A04" w:rsidRDefault="00033D27" w:rsidP="00307C47">
      <w:pPr>
        <w:pStyle w:val="TOC1"/>
      </w:pPr>
    </w:p>
    <w:p w14:paraId="57C9AFDB" w14:textId="2595C0A4" w:rsidR="00033D27" w:rsidRPr="00307C47" w:rsidRDefault="00307C47">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07C47">
        <w:rPr>
          <w:rFonts w:ascii="Tahoma" w:eastAsiaTheme="minorHAnsi" w:hAnsi="Tahoma" w:cs="Tahoma" w:hint="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Survival and success factors for the industry with consideration to megatrends</w:t>
      </w:r>
      <w: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F21BB">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63423C6F" w14:textId="7F156588" w:rsidR="00711167" w:rsidRPr="00307C47" w:rsidRDefault="00711167">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C47">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113EF7" w14:textId="7D082B78" w:rsidR="00711167" w:rsidRPr="00BB68BA" w:rsidRDefault="00BB68BA">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w:t>
      </w:r>
      <w:r w:rsidRPr="00BB68BA">
        <w:rPr>
          <w:rFonts w:ascii="Tahoma" w:eastAsiaTheme="minorHAnsi" w:hAnsi="Tahoma" w:cs="Tahoma" w:hint="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impact of the pandemic on the industry</w:t>
      </w: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11167"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11167"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568EF9E6" w14:textId="4615C9FD" w:rsidR="004E01CE" w:rsidRPr="00842A04" w:rsidRDefault="004E01CE">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F2DC28" w14:textId="1A15B30A" w:rsidR="004E01CE" w:rsidRPr="00BB68BA" w:rsidRDefault="004E01CE">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 ………………………………………………………………………………………</w:t>
      </w:r>
      <w:r w:rsidR="00DA46F4"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2B2440A1" w14:textId="28D03D7A" w:rsidR="004E01CE" w:rsidRPr="00BB68BA" w:rsidRDefault="004E01CE">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D334C1" w14:textId="446900CA" w:rsidR="004E01CE" w:rsidRPr="00BB68BA" w:rsidRDefault="004E01CE">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References ………………………………………………………………………………………</w:t>
      </w:r>
      <w:r w:rsidR="00DA46F4"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B68BA">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21D80F99" w14:textId="78DB2CEE" w:rsidR="004E01CE" w:rsidRPr="00BB68BA" w:rsidRDefault="004E01CE">
      <w:pPr>
        <w:rPr>
          <w:rFonts w:ascii="Tahoma" w:eastAsiaTheme="minorHAnsi"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57AA30" w14:textId="3D28B380" w:rsidR="004E01CE" w:rsidRPr="00842A04" w:rsidRDefault="004E01CE">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9C9D35" w14:textId="702FC67B" w:rsidR="004E01CE" w:rsidRPr="00842A04" w:rsidRDefault="004E01CE">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E57F0" w14:textId="33E08AC0" w:rsidR="00FA4D75" w:rsidRPr="00842A04" w:rsidRDefault="00FA4D75">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37A544" w14:textId="19CC006A" w:rsidR="00FA4D75" w:rsidRPr="00842A04" w:rsidRDefault="00FA4D75">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9B05AB" w14:textId="07355767" w:rsidR="004E01CE" w:rsidRPr="00842A04" w:rsidRDefault="004E01CE">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7630E" w14:textId="77777777" w:rsidR="00FA4D75" w:rsidRPr="00BF5B55" w:rsidRDefault="00FA4D75">
      <w:pPr>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40512B" w14:textId="524F0C0F" w:rsidR="00E624EC" w:rsidRDefault="00FA4D75" w:rsidP="00E624EC">
      <w:pPr>
        <w:pStyle w:val="TableofFigures"/>
        <w:tabs>
          <w:tab w:val="right" w:leader="dot" w:pos="9010"/>
        </w:tabs>
        <w:spacing w:line="360" w:lineRule="auto"/>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EF32DD">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624EC"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market shares of top six companies in electric vehicles sales in 2021 until June</w:t>
      </w:r>
      <w:r w:rsidR="00EF32DD">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5B55"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sidR="00E624EC"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Cleantehnica.2021………………………………………………………</w:t>
      </w:r>
      <w:r w:rsid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F32DD">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624EC"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F21BB">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6F964962" w14:textId="77777777" w:rsidR="00EF32DD" w:rsidRPr="00EF32DD" w:rsidRDefault="00EF32DD" w:rsidP="00EF32DD"/>
    <w:p w14:paraId="0C35B070" w14:textId="1CD4ADF4" w:rsidR="00BF5B55" w:rsidRDefault="00BF5B55" w:rsidP="00BF5B55">
      <w:r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00EF32DD">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F5B55">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Covid 19- measures at TESLA. Source: (Tesla,2020) …………………………………………...</w:t>
      </w:r>
      <w:r w:rsidR="003F21BB">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5FB56881" w14:textId="77777777" w:rsidR="00BF5B55" w:rsidRPr="00BF5B55" w:rsidRDefault="00BF5B55" w:rsidP="00BF5B55"/>
    <w:p w14:paraId="26BCFF87" w14:textId="77777777" w:rsidR="00E624EC" w:rsidRPr="00BF5B55" w:rsidRDefault="00E624EC" w:rsidP="00E624EC">
      <w:pPr>
        <w:pStyle w:val="TableofFigures"/>
        <w:tabs>
          <w:tab w:val="right" w:leader="dot" w:pos="9010"/>
        </w:tabs>
        <w:spacing w:line="360" w:lineRule="auto"/>
        <w:rPr>
          <w:rFonts w:ascii="Tahoma" w:eastAsiaTheme="minorHAnsi" w:hAnsi="Tahoma" w:cs="Tahom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F83723" w14:textId="77777777" w:rsidR="00E624EC" w:rsidRDefault="00E624EC" w:rsidP="00E624EC">
      <w:pPr>
        <w:pStyle w:val="TableofFigures"/>
        <w:tabs>
          <w:tab w:val="right" w:leader="dot" w:pos="9010"/>
        </w:tabs>
        <w:spacing w:line="360" w:lineRule="auto"/>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E4C1AA" w14:textId="44337ED1" w:rsidR="007F6AEA" w:rsidRDefault="007F6AEA">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94E7E1" w14:textId="77777777" w:rsidR="007F6AEA" w:rsidRDefault="007F6AEA">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B7353D1" w14:textId="4C427297" w:rsidR="009B4BB0" w:rsidRPr="009B4BB0" w:rsidRDefault="009B4BB0" w:rsidP="009B4BB0">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BB0">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4936EE" w:rsidRPr="009B4BB0">
        <w:rPr>
          <w:rFonts w:ascii="Tahoma" w:hAnsi="Tahoma" w:cs="Tahoma"/>
          <w:b/>
          <w:bCs/>
          <w:color w:val="000000" w:themeColor="text1"/>
          <w:sz w:val="32"/>
          <w:szCs w:val="32"/>
        </w:rPr>
        <w:t>Introduction</w:t>
      </w:r>
      <w:r w:rsidR="004936EE" w:rsidRPr="009B4BB0">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32EFA3" w14:textId="737A7CB2" w:rsidR="009B4BB0" w:rsidRDefault="009B4BB0" w:rsidP="009B4BB0">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0EA11D" w14:textId="77777777" w:rsidR="009B4BB0" w:rsidRPr="009B4BB0" w:rsidRDefault="009B4BB0" w:rsidP="009B4BB0">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1280AF" w14:textId="36698A62" w:rsidR="009B4BB0" w:rsidRDefault="009B4BB0" w:rsidP="009B4BB0">
      <w:pPr>
        <w:spacing w:line="360" w:lineRule="auto"/>
        <w:jc w:val="both"/>
        <w:rPr>
          <w:rFonts w:ascii="Tahoma" w:hAnsi="Tahoma" w:cs="Tahoma"/>
        </w:rPr>
      </w:pPr>
      <w:r w:rsidRPr="009B4BB0">
        <w:rPr>
          <w:rFonts w:ascii="Tahoma" w:hAnsi="Tahoma" w:cs="Tahoma"/>
        </w:rPr>
        <w:t xml:space="preserve">          The major features of current international economy are multiple options for production, developed networking, international trade, global debt, and financial vulnerability. In addition to that the macroeconomic policies that aim to provide a stable economic environment, stable markets, development, and employment protection. Not only that but also, the global mechanisation and virtualisation feature that plays an important role in economic development and business relationships, global sustainability, growth slowdown attributed to weaker trade and low investment activities, inflation etc. </w:t>
      </w:r>
      <w:r w:rsidRPr="009B4BB0">
        <w:rPr>
          <w:rFonts w:ascii="Tahoma" w:hAnsi="Tahoma" w:cs="Tahoma"/>
          <w:noProof/>
        </w:rPr>
        <w:t>(United Nations, 2020)</w:t>
      </w:r>
      <w:r w:rsidRPr="009B4BB0">
        <w:rPr>
          <w:rFonts w:ascii="Tahoma" w:hAnsi="Tahoma" w:cs="Tahoma"/>
        </w:rPr>
        <w:t xml:space="preserve"> One of the leading players in electric vehicles industry is Tesla. It has made notable advances in the electric automotive industry on global level. Nevertheless, there are various factors that impact upon business trajectory such as digitalisation, technological advancements, sustainability, and Covid-19 pandemic.  </w:t>
      </w:r>
    </w:p>
    <w:p w14:paraId="5B563994" w14:textId="77777777" w:rsidR="009B4BB0" w:rsidRPr="009B4BB0" w:rsidRDefault="009B4BB0" w:rsidP="009B4BB0">
      <w:pPr>
        <w:spacing w:line="360" w:lineRule="auto"/>
        <w:jc w:val="both"/>
        <w:rPr>
          <w:rFonts w:ascii="Tahoma" w:hAnsi="Tahoma" w:cs="Tahoma"/>
        </w:rPr>
      </w:pPr>
    </w:p>
    <w:p w14:paraId="16DF75E5" w14:textId="15EBCB98" w:rsidR="009B4BB0" w:rsidRDefault="009B4BB0" w:rsidP="009B4BB0">
      <w:pPr>
        <w:spacing w:line="360" w:lineRule="auto"/>
        <w:jc w:val="both"/>
        <w:rPr>
          <w:rFonts w:ascii="Tahoma" w:hAnsi="Tahoma" w:cs="Tahoma"/>
        </w:rPr>
      </w:pPr>
      <w:r w:rsidRPr="009B4BB0">
        <w:rPr>
          <w:rFonts w:ascii="Tahoma" w:hAnsi="Tahoma" w:cs="Tahoma"/>
        </w:rPr>
        <w:t xml:space="preserve">          This report aims to investigate electric vehicle industry. The analysis will answer the following questions. How the electric vehicle market structure influences the industry? What is the impact of the pandemic on electric vehicle industry?  What are the survival and success factors for the industry with consideration to megatrends? </w:t>
      </w:r>
    </w:p>
    <w:p w14:paraId="11EE3E1E" w14:textId="77777777" w:rsidR="009B4BB0" w:rsidRPr="009B4BB0" w:rsidRDefault="009B4BB0" w:rsidP="009B4BB0">
      <w:pPr>
        <w:spacing w:line="360" w:lineRule="auto"/>
        <w:jc w:val="both"/>
        <w:rPr>
          <w:rFonts w:ascii="Tahoma" w:hAnsi="Tahoma" w:cs="Tahoma"/>
        </w:rPr>
      </w:pPr>
    </w:p>
    <w:p w14:paraId="15BA8E23" w14:textId="77777777" w:rsidR="009B4BB0" w:rsidRPr="009B4BB0" w:rsidRDefault="009B4BB0" w:rsidP="009B4BB0">
      <w:pPr>
        <w:spacing w:line="360" w:lineRule="auto"/>
        <w:jc w:val="both"/>
        <w:rPr>
          <w:rFonts w:ascii="Tahoma" w:hAnsi="Tahoma" w:cs="Tahoma"/>
        </w:rPr>
      </w:pPr>
      <w:r w:rsidRPr="009B4BB0">
        <w:rPr>
          <w:rFonts w:ascii="Tahoma" w:hAnsi="Tahoma" w:cs="Tahoma"/>
        </w:rPr>
        <w:t xml:space="preserve">           First, the electric market structure will be discussed. Second the challenges and success factors are analysed in corelation to changing value chain dynamics, the implications of Covid-19, Industry greening and digitalisation megatrends. Third, the focus is centred on a more detailed analysis of the impact Covid-19 has on industry and Tesla’s measures related to it.  </w:t>
      </w:r>
    </w:p>
    <w:p w14:paraId="30EB942E" w14:textId="77777777" w:rsidR="009B4BB0" w:rsidRPr="009B4BB0" w:rsidRDefault="009B4BB0" w:rsidP="009B4BB0">
      <w:pPr>
        <w:spacing w:before="93"/>
        <w:ind w:left="220" w:right="308"/>
        <w:rPr>
          <w:rFonts w:ascii="Tahoma" w:hAnsi="Tahoma" w:cs="Tahoma"/>
          <w:color w:val="C00000"/>
        </w:rPr>
      </w:pPr>
    </w:p>
    <w:p w14:paraId="58A07CC8" w14:textId="77777777" w:rsidR="009B4BB0" w:rsidRPr="009B4BB0" w:rsidRDefault="009B4BB0" w:rsidP="009B4BB0">
      <w:pPr>
        <w:spacing w:before="93"/>
        <w:ind w:left="220" w:right="308"/>
        <w:rPr>
          <w:rFonts w:ascii="Tahoma" w:hAnsi="Tahoma" w:cs="Tahoma"/>
          <w:b/>
          <w:bCs/>
          <w:color w:val="C00000"/>
        </w:rPr>
      </w:pPr>
    </w:p>
    <w:p w14:paraId="1FDFD6DB" w14:textId="77777777" w:rsidR="009B4BB0" w:rsidRPr="009B4BB0" w:rsidRDefault="009B4BB0" w:rsidP="009B4BB0">
      <w:pPr>
        <w:spacing w:before="93"/>
        <w:ind w:left="220" w:right="308"/>
        <w:rPr>
          <w:rFonts w:ascii="Tahoma" w:hAnsi="Tahoma" w:cs="Tahoma"/>
          <w:b/>
          <w:bCs/>
          <w:color w:val="C00000"/>
        </w:rPr>
      </w:pPr>
    </w:p>
    <w:p w14:paraId="69424CFF" w14:textId="77777777" w:rsidR="009B4BB0" w:rsidRPr="009B4BB0" w:rsidRDefault="009B4BB0" w:rsidP="009B4BB0">
      <w:pPr>
        <w:spacing w:before="93"/>
        <w:ind w:left="220" w:right="308"/>
        <w:rPr>
          <w:rFonts w:ascii="Tahoma" w:hAnsi="Tahoma" w:cs="Tahoma"/>
          <w:b/>
          <w:bCs/>
          <w:color w:val="C00000"/>
        </w:rPr>
      </w:pPr>
    </w:p>
    <w:p w14:paraId="2F90D0BE" w14:textId="77777777" w:rsidR="009B4BB0" w:rsidRPr="009B4BB0" w:rsidRDefault="009B4BB0" w:rsidP="009B4BB0">
      <w:pPr>
        <w:spacing w:before="93"/>
        <w:ind w:left="220" w:right="308"/>
        <w:rPr>
          <w:rFonts w:ascii="Tahoma" w:hAnsi="Tahoma" w:cs="Tahoma"/>
          <w:b/>
          <w:bCs/>
          <w:color w:val="C00000"/>
        </w:rPr>
      </w:pPr>
    </w:p>
    <w:p w14:paraId="1B97EAAC" w14:textId="77777777" w:rsidR="009B4BB0" w:rsidRPr="009B4BB0" w:rsidRDefault="009B4BB0" w:rsidP="009B4BB0">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C47F01" w14:textId="62357BE3" w:rsidR="007F6AEA" w:rsidRPr="009B4BB0" w:rsidRDefault="007F6AEA" w:rsidP="009B4BB0">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BB0">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51CE7D6" w14:textId="71CD2A4F" w:rsidR="00FA4D75" w:rsidRDefault="00FA4D75">
      <w:pPr>
        <w:rPr>
          <w:rFonts w:ascii="Tahoma" w:eastAsiaTheme="minorHAnsi" w:hAnsi="Tahoma" w:cs="Tahom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DD1873" w14:textId="34DE8BF2" w:rsidR="00A20B87" w:rsidRDefault="00A20B87">
      <w:pPr>
        <w:rPr>
          <w:rFonts w:ascii="Tahoma" w:hAnsi="Tahoma" w:cs="Tahoma"/>
          <w:b/>
          <w:bCs/>
          <w:color w:val="000000" w:themeColor="text1"/>
          <w:sz w:val="32"/>
          <w:szCs w:val="32"/>
        </w:rPr>
      </w:pPr>
      <w:r w:rsidRPr="00A20B87">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Pr="00A20B87">
        <w:rPr>
          <w:rFonts w:ascii="Tahoma" w:hAnsi="Tahoma" w:cs="Tahoma"/>
          <w:b/>
          <w:bCs/>
          <w:color w:val="000000" w:themeColor="text1"/>
          <w:sz w:val="32"/>
          <w:szCs w:val="32"/>
        </w:rPr>
        <w:t>Electric vehicle market structure</w:t>
      </w:r>
    </w:p>
    <w:p w14:paraId="58AB8560" w14:textId="47289222" w:rsidR="00EF32DD" w:rsidRDefault="00EF32DD">
      <w:pPr>
        <w:rPr>
          <w:rFonts w:ascii="Tahoma" w:hAnsi="Tahoma" w:cs="Tahoma"/>
          <w:b/>
          <w:bCs/>
          <w:color w:val="000000" w:themeColor="text1"/>
          <w:sz w:val="32"/>
          <w:szCs w:val="32"/>
        </w:rPr>
      </w:pPr>
    </w:p>
    <w:p w14:paraId="7A7B0F85" w14:textId="5E0F541B" w:rsidR="00EF32DD" w:rsidRDefault="00EF32DD">
      <w:pPr>
        <w:rPr>
          <w:rFonts w:ascii="Tahoma" w:hAnsi="Tahoma" w:cs="Tahoma"/>
          <w:b/>
          <w:bCs/>
          <w:color w:val="000000" w:themeColor="text1"/>
          <w:sz w:val="32"/>
          <w:szCs w:val="32"/>
        </w:rPr>
      </w:pPr>
    </w:p>
    <w:p w14:paraId="0D1A7424" w14:textId="77777777" w:rsidR="00EF32DD" w:rsidRDefault="00EF32DD">
      <w:pPr>
        <w:rPr>
          <w:rFonts w:ascii="Tahoma" w:hAnsi="Tahoma" w:cs="Tahoma"/>
          <w:b/>
          <w:bCs/>
          <w:color w:val="000000" w:themeColor="text1"/>
          <w:sz w:val="32"/>
          <w:szCs w:val="32"/>
        </w:rPr>
      </w:pPr>
    </w:p>
    <w:p w14:paraId="5396AC16" w14:textId="77777777" w:rsidR="00EF32DD" w:rsidRDefault="00EF32DD" w:rsidP="0043785E">
      <w:pPr>
        <w:spacing w:line="360" w:lineRule="auto"/>
        <w:jc w:val="both"/>
        <w:rPr>
          <w:rFonts w:ascii="Tahoma" w:hAnsi="Tahoma" w:cs="Tahoma"/>
        </w:rPr>
      </w:pPr>
      <w:r>
        <w:rPr>
          <w:rFonts w:ascii="Tahoma" w:hAnsi="Tahoma" w:cs="Tahoma"/>
        </w:rPr>
        <w:t xml:space="preserve">          </w:t>
      </w:r>
      <w:r w:rsidR="0043785E" w:rsidRPr="0043785E">
        <w:rPr>
          <w:rFonts w:ascii="Tahoma" w:hAnsi="Tahoma" w:cs="Tahoma"/>
        </w:rPr>
        <w:t xml:space="preserve">There are two market structure perfect and imperfect competition. The market structure has a high influence upon company strategies. The electric vehicles industry operates in oligopoly market. This market is characterised by high barriers to enter for new firms, a few large firms dominate the market and there are price makers. The businesses within oligopoly compete in different ways and it is closely connected to the objectives set by the firms weather it is to build a brand for themselves or increase the profit. </w:t>
      </w:r>
    </w:p>
    <w:p w14:paraId="38F62E31" w14:textId="7CFF034A" w:rsidR="0043785E" w:rsidRDefault="00EF32DD" w:rsidP="0043785E">
      <w:pPr>
        <w:spacing w:line="360" w:lineRule="auto"/>
        <w:jc w:val="both"/>
        <w:rPr>
          <w:rFonts w:ascii="Tahoma" w:hAnsi="Tahoma" w:cs="Tahoma"/>
        </w:rPr>
      </w:pPr>
      <w:r>
        <w:rPr>
          <w:rFonts w:ascii="Tahoma" w:hAnsi="Tahoma" w:cs="Tahoma"/>
        </w:rPr>
        <w:t xml:space="preserve">        </w:t>
      </w:r>
      <w:r w:rsidR="0043785E" w:rsidRPr="0043785E">
        <w:rPr>
          <w:rFonts w:ascii="Tahoma" w:hAnsi="Tahoma" w:cs="Tahoma"/>
        </w:rPr>
        <w:t xml:space="preserve">Porter argued that “there are tendencies for large industry scale to attract new entrants, who can make it tougher for existing leaders, particularly if the firms are well established”. (Porter, 1998) </w:t>
      </w:r>
    </w:p>
    <w:p w14:paraId="149CF4D9" w14:textId="54129B34" w:rsidR="005B48AC" w:rsidRDefault="0043785E" w:rsidP="00EF32DD">
      <w:pPr>
        <w:jc w:val="center"/>
        <w:rPr>
          <w:b/>
          <w:bCs/>
        </w:rPr>
      </w:pPr>
      <w:r>
        <w:rPr>
          <w:rFonts w:ascii="Tahoma" w:hAnsi="Tahoma" w:cs="Tahoma"/>
        </w:rPr>
        <w:t xml:space="preserve">                </w:t>
      </w:r>
    </w:p>
    <w:p w14:paraId="68D8F719" w14:textId="668C78C9" w:rsidR="00EF32DD" w:rsidRDefault="00EF32DD" w:rsidP="00EF32DD">
      <w:pPr>
        <w:jc w:val="center"/>
        <w:rPr>
          <w:b/>
          <w:bCs/>
        </w:rPr>
      </w:pPr>
    </w:p>
    <w:p w14:paraId="360296C7" w14:textId="1C5F2F61" w:rsidR="00EF32DD" w:rsidRDefault="00EF32DD" w:rsidP="00EF32DD">
      <w:pPr>
        <w:jc w:val="center"/>
        <w:rPr>
          <w:b/>
          <w:bCs/>
        </w:rPr>
      </w:pPr>
    </w:p>
    <w:p w14:paraId="7956D7DE" w14:textId="13A465FF" w:rsidR="00EF32DD" w:rsidRDefault="00EF32DD" w:rsidP="00EF32DD">
      <w:pPr>
        <w:rPr>
          <w:b/>
          <w:bCs/>
        </w:rPr>
      </w:pPr>
    </w:p>
    <w:p w14:paraId="24E9B557" w14:textId="77777777" w:rsidR="00EF32DD" w:rsidRDefault="00EF32DD" w:rsidP="00EF32DD">
      <w:pPr>
        <w:jc w:val="cente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DB47C3" w14:textId="77777777" w:rsidR="005B48AC" w:rsidRDefault="005B48AC">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48AC">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Survival and success factors for the industry with consideration to megatrends </w:t>
      </w:r>
    </w:p>
    <w:p w14:paraId="5B8386F8" w14:textId="77777777" w:rsidR="005B48AC" w:rsidRDefault="005B48AC">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7EEE7C" w14:textId="3914F302" w:rsidR="005B48AC" w:rsidRPr="005B48AC" w:rsidRDefault="00EF32DD" w:rsidP="005B48AC">
      <w:pPr>
        <w:spacing w:before="93" w:line="360" w:lineRule="auto"/>
        <w:ind w:right="308"/>
        <w:jc w:val="both"/>
        <w:rPr>
          <w:rFonts w:ascii="Tahoma" w:hAnsi="Tahoma" w:cs="Tahoma"/>
          <w:color w:val="000000" w:themeColor="text1"/>
        </w:rPr>
      </w:pPr>
      <w:r>
        <w:rPr>
          <w:rFonts w:ascii="Tahoma" w:hAnsi="Tahoma" w:cs="Tahoma"/>
          <w:color w:val="000000" w:themeColor="text1"/>
        </w:rPr>
        <w:t xml:space="preserve">        </w:t>
      </w:r>
      <w:r w:rsidR="005B48AC" w:rsidRPr="005B48AC">
        <w:rPr>
          <w:rFonts w:ascii="Tahoma" w:hAnsi="Tahoma" w:cs="Tahoma"/>
          <w:color w:val="000000" w:themeColor="text1"/>
        </w:rPr>
        <w:t xml:space="preserve">The electric vehicles have grown very fast due to high technological developments and the need to provide sustainable solutions to reduce pollution as climate change is global issue threating out entire existence. Government spends millions on supporting the development of the industry, encouraging therefore the purchase of electric cars. Despite the occurrence of multiple disruptions in operations in recent years because of pandemic electric cars had a record year in 2020 where Europe is the biggest market. </w:t>
      </w:r>
      <w:r w:rsidR="005B48AC" w:rsidRPr="005B48AC">
        <w:rPr>
          <w:rFonts w:ascii="Tahoma" w:hAnsi="Tahoma" w:cs="Tahoma"/>
          <w:noProof/>
          <w:color w:val="000000" w:themeColor="text1"/>
        </w:rPr>
        <w:t>(IEA, 2021)</w:t>
      </w:r>
      <w:r w:rsidR="005B48AC" w:rsidRPr="005B48AC">
        <w:rPr>
          <w:rFonts w:ascii="Tahoma" w:hAnsi="Tahoma" w:cs="Tahoma"/>
          <w:color w:val="000000" w:themeColor="text1"/>
        </w:rPr>
        <w:t xml:space="preserve"> </w:t>
      </w:r>
    </w:p>
    <w:p w14:paraId="6D8FCDE1" w14:textId="21816E24" w:rsidR="005B48AC" w:rsidRPr="005B48AC" w:rsidRDefault="009A1087" w:rsidP="005B48AC">
      <w:pPr>
        <w:spacing w:before="93" w:line="360" w:lineRule="auto"/>
        <w:ind w:right="308"/>
        <w:jc w:val="both"/>
        <w:rPr>
          <w:rFonts w:ascii="Tahoma" w:hAnsi="Tahoma" w:cs="Tahoma"/>
          <w:color w:val="000000" w:themeColor="text1"/>
        </w:rPr>
      </w:pPr>
      <w:r>
        <w:rPr>
          <w:rFonts w:ascii="Tahoma" w:hAnsi="Tahoma" w:cs="Tahoma"/>
          <w:color w:val="000000" w:themeColor="text1"/>
        </w:rPr>
        <w:t xml:space="preserve">       </w:t>
      </w:r>
      <w:r w:rsidR="005B48AC" w:rsidRPr="005B48AC">
        <w:rPr>
          <w:rFonts w:ascii="Tahoma" w:hAnsi="Tahoma" w:cs="Tahoma"/>
          <w:color w:val="000000" w:themeColor="text1"/>
        </w:rPr>
        <w:t xml:space="preserve">Some of the megatrends affecting the industry are changing value chain dynamics mainly driven by technological developments, the impact of Covid-19, industry greening and digital transition. </w:t>
      </w:r>
    </w:p>
    <w:p w14:paraId="5F875E5D" w14:textId="77777777" w:rsidR="00A67172" w:rsidRDefault="00A67172" w:rsidP="005B48AC">
      <w:pPr>
        <w:spacing w:before="93" w:line="360" w:lineRule="auto"/>
        <w:ind w:right="308"/>
        <w:jc w:val="both"/>
        <w:rPr>
          <w:rFonts w:ascii="Tahoma" w:hAnsi="Tahoma" w:cs="Tahoma"/>
          <w:b/>
          <w:bCs/>
          <w:color w:val="000000" w:themeColor="text1"/>
        </w:rPr>
      </w:pPr>
    </w:p>
    <w:p w14:paraId="40DA31D7" w14:textId="7F38F704" w:rsidR="005B48AC" w:rsidRDefault="005B48AC" w:rsidP="005B48AC">
      <w:pPr>
        <w:spacing w:before="93" w:line="360" w:lineRule="auto"/>
        <w:ind w:right="308"/>
        <w:jc w:val="both"/>
        <w:rPr>
          <w:rFonts w:ascii="Tahoma" w:hAnsi="Tahoma" w:cs="Tahoma"/>
          <w:b/>
          <w:bCs/>
          <w:color w:val="000000" w:themeColor="text1"/>
        </w:rPr>
      </w:pPr>
      <w:r w:rsidRPr="005B48AC">
        <w:rPr>
          <w:rFonts w:ascii="Tahoma" w:hAnsi="Tahoma" w:cs="Tahoma"/>
          <w:b/>
          <w:bCs/>
          <w:color w:val="000000" w:themeColor="text1"/>
        </w:rPr>
        <w:lastRenderedPageBreak/>
        <w:t xml:space="preserve">Changing value chain dynamics </w:t>
      </w:r>
    </w:p>
    <w:p w14:paraId="47694FDC" w14:textId="77777777" w:rsidR="00A67172" w:rsidRPr="005B48AC" w:rsidRDefault="00A67172" w:rsidP="005B48AC">
      <w:pPr>
        <w:spacing w:before="93" w:line="360" w:lineRule="auto"/>
        <w:ind w:right="308"/>
        <w:jc w:val="both"/>
        <w:rPr>
          <w:rFonts w:ascii="Tahoma" w:hAnsi="Tahoma" w:cs="Tahoma"/>
          <w:b/>
          <w:bCs/>
          <w:color w:val="000000" w:themeColor="text1"/>
        </w:rPr>
      </w:pPr>
    </w:p>
    <w:p w14:paraId="0DB6DDC0" w14:textId="16B97263" w:rsidR="005B48AC" w:rsidRDefault="005B48AC" w:rsidP="005B48AC">
      <w:pPr>
        <w:spacing w:before="93" w:line="360" w:lineRule="auto"/>
        <w:ind w:right="308"/>
        <w:jc w:val="both"/>
        <w:rPr>
          <w:rFonts w:ascii="Tahoma" w:hAnsi="Tahoma" w:cs="Tahoma"/>
          <w:noProof/>
          <w:color w:val="000000" w:themeColor="text1"/>
        </w:rPr>
      </w:pPr>
      <w:r w:rsidRPr="005B48AC">
        <w:rPr>
          <w:rFonts w:ascii="Tahoma" w:hAnsi="Tahoma" w:cs="Tahoma"/>
          <w:color w:val="000000" w:themeColor="text1"/>
        </w:rPr>
        <w:t xml:space="preserve">         The transition from ICE-powered cars to EVs was a high step towards transportation.  The traditional power sources will be still required in many markets for the foreseeable future. On the other hand, some prominent companies have already reported an all-electric line-up within the next few years. It has a significant impact on changing the value chain.  Likewise, trends such as mobile systems and autonomous driving have been revving the role of software, data, and electronics. Therefore, these trends will push further changes in the automotive GVC.</w:t>
      </w:r>
      <w:r w:rsidRPr="005B48AC">
        <w:rPr>
          <w:rFonts w:ascii="Tahoma" w:hAnsi="Tahoma" w:cs="Tahoma"/>
          <w:noProof/>
          <w:color w:val="000000" w:themeColor="text1"/>
        </w:rPr>
        <w:t xml:space="preserve"> (Brown , et al., 2021)</w:t>
      </w:r>
    </w:p>
    <w:p w14:paraId="6365EE58" w14:textId="58759084" w:rsidR="00A67172" w:rsidRDefault="00A67172" w:rsidP="005B48AC">
      <w:pPr>
        <w:spacing w:before="93" w:line="360" w:lineRule="auto"/>
        <w:ind w:right="308"/>
        <w:jc w:val="both"/>
        <w:rPr>
          <w:rFonts w:ascii="Tahoma" w:hAnsi="Tahoma" w:cs="Tahoma"/>
          <w:noProof/>
          <w:color w:val="000000" w:themeColor="text1"/>
        </w:rPr>
      </w:pPr>
    </w:p>
    <w:p w14:paraId="3135FD08" w14:textId="77777777" w:rsidR="00A67172" w:rsidRPr="005B48AC" w:rsidRDefault="00A67172" w:rsidP="005B48AC">
      <w:pPr>
        <w:spacing w:before="93" w:line="360" w:lineRule="auto"/>
        <w:ind w:right="308"/>
        <w:jc w:val="both"/>
        <w:rPr>
          <w:rFonts w:ascii="Tahoma" w:hAnsi="Tahoma" w:cs="Tahoma"/>
          <w:color w:val="000000" w:themeColor="text1"/>
        </w:rPr>
      </w:pPr>
    </w:p>
    <w:p w14:paraId="3B65BDA8" w14:textId="2E298B0E" w:rsidR="005B48AC" w:rsidRDefault="005B48AC" w:rsidP="005B48AC">
      <w:pPr>
        <w:spacing w:before="93" w:line="360" w:lineRule="auto"/>
        <w:ind w:right="308"/>
        <w:jc w:val="both"/>
        <w:rPr>
          <w:rFonts w:ascii="Tahoma" w:hAnsi="Tahoma" w:cs="Tahoma"/>
          <w:b/>
          <w:bCs/>
          <w:color w:val="000000" w:themeColor="text1"/>
        </w:rPr>
      </w:pPr>
      <w:r w:rsidRPr="005B48AC">
        <w:rPr>
          <w:rFonts w:ascii="Tahoma" w:hAnsi="Tahoma" w:cs="Tahoma"/>
          <w:b/>
          <w:bCs/>
          <w:color w:val="000000" w:themeColor="text1"/>
        </w:rPr>
        <w:t xml:space="preserve">The implications of Covid-19 </w:t>
      </w:r>
    </w:p>
    <w:p w14:paraId="0AC873A7" w14:textId="77777777" w:rsidR="00A67172" w:rsidRPr="005B48AC" w:rsidRDefault="00A67172" w:rsidP="005B48AC">
      <w:pPr>
        <w:spacing w:before="93" w:line="360" w:lineRule="auto"/>
        <w:ind w:right="308"/>
        <w:jc w:val="both"/>
        <w:rPr>
          <w:rFonts w:ascii="Tahoma" w:hAnsi="Tahoma" w:cs="Tahoma"/>
          <w:b/>
          <w:bCs/>
          <w:color w:val="000000" w:themeColor="text1"/>
        </w:rPr>
      </w:pPr>
    </w:p>
    <w:p w14:paraId="4929A4A1" w14:textId="77777777" w:rsidR="005B48AC" w:rsidRPr="005B48AC" w:rsidRDefault="005B48AC" w:rsidP="005B48AC">
      <w:pPr>
        <w:spacing w:before="93" w:line="360" w:lineRule="auto"/>
        <w:ind w:right="308"/>
        <w:jc w:val="both"/>
        <w:rPr>
          <w:rFonts w:ascii="Tahoma" w:hAnsi="Tahoma" w:cs="Tahoma"/>
          <w:color w:val="000000" w:themeColor="text1"/>
        </w:rPr>
      </w:pPr>
      <w:r w:rsidRPr="005B48AC">
        <w:rPr>
          <w:rFonts w:ascii="Tahoma" w:hAnsi="Tahoma" w:cs="Tahoma"/>
          <w:color w:val="000000" w:themeColor="text1"/>
        </w:rPr>
        <w:t xml:space="preserve">          As mentioned previously, Covid 19 had a negative impact on many industries and a devastating footprint on global economy. However, this megatrend accelerated the electronic vehicles industry. According to Broom (2021) “The 2020 may have been the year that electric cars came into their own, sales of EVs were up across the world, even in the US, tax breaks and COVID-related discounts have been fuelling sales, batteries and performance have improved”. </w:t>
      </w:r>
    </w:p>
    <w:p w14:paraId="0C2D0B2C" w14:textId="77777777" w:rsidR="00A67172" w:rsidRDefault="00A67172" w:rsidP="00A6717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550753" w14:textId="77777777" w:rsidR="00A67172" w:rsidRDefault="00A67172" w:rsidP="00A6717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EF4868" w14:textId="77777777" w:rsidR="00A67172" w:rsidRDefault="00A67172" w:rsidP="00A6717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9EBB4" w14:textId="47097FCB" w:rsidR="002E62E2" w:rsidRDefault="002E62E2" w:rsidP="00A67172">
      <w:pPr>
        <w:rPr>
          <w:rFonts w:ascii="Tahoma" w:hAnsi="Tahoma" w:cs="Tahoma"/>
          <w:b/>
          <w:bCs/>
          <w:color w:val="000000" w:themeColor="text1"/>
        </w:rPr>
      </w:pPr>
      <w:r w:rsidRPr="00A336C6">
        <w:rPr>
          <w:rFonts w:ascii="Tahoma" w:hAnsi="Tahoma" w:cs="Tahoma"/>
          <w:b/>
          <w:bCs/>
          <w:color w:val="000000" w:themeColor="text1"/>
        </w:rPr>
        <w:t xml:space="preserve">Industry greening </w:t>
      </w:r>
    </w:p>
    <w:p w14:paraId="52787C71" w14:textId="77777777" w:rsidR="00A67172" w:rsidRPr="00A67172" w:rsidRDefault="00A67172" w:rsidP="00A6717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44125" w14:textId="3ED6301D" w:rsidR="002E62E2" w:rsidRPr="002E62E2" w:rsidRDefault="002E62E2" w:rsidP="002E62E2">
      <w:pPr>
        <w:spacing w:before="93" w:line="360" w:lineRule="auto"/>
        <w:ind w:right="308"/>
        <w:jc w:val="both"/>
        <w:rPr>
          <w:rFonts w:ascii="Tahoma" w:hAnsi="Tahoma" w:cs="Tahoma"/>
          <w:color w:val="000000" w:themeColor="text1"/>
        </w:rPr>
      </w:pPr>
      <w:r w:rsidRPr="002E62E2">
        <w:rPr>
          <w:rFonts w:ascii="Tahoma" w:hAnsi="Tahoma" w:cs="Tahoma"/>
          <w:color w:val="000000" w:themeColor="text1"/>
        </w:rPr>
        <w:t xml:space="preserve">           In the upcoming years, the transportation industry must undertake massive changes in its structure to survive and maintain its position in the global market. By adapting to new goals and implications related to climate changes it will support the industry in smooth development.  The European Commission established multiple initiates to address these issues, precisely the attention is directed towards limiting vehicles emissions and improving the circularity of cars.  </w:t>
      </w:r>
      <w:r w:rsidRPr="002E62E2">
        <w:rPr>
          <w:rFonts w:ascii="Tahoma" w:hAnsi="Tahoma" w:cs="Tahoma"/>
          <w:noProof/>
          <w:color w:val="000000" w:themeColor="text1"/>
        </w:rPr>
        <w:t>(Brown , et al., 2021)</w:t>
      </w:r>
      <w:r w:rsidRPr="002E62E2">
        <w:rPr>
          <w:rFonts w:ascii="Tahoma" w:hAnsi="Tahoma" w:cs="Tahoma"/>
          <w:color w:val="000000" w:themeColor="text1"/>
        </w:rPr>
        <w:t xml:space="preserve"> </w:t>
      </w:r>
      <w:r w:rsidRPr="00A336C6">
        <w:rPr>
          <w:rFonts w:ascii="Tahoma" w:hAnsi="Tahoma" w:cs="Tahoma"/>
          <w:color w:val="000000" w:themeColor="text1"/>
        </w:rPr>
        <w:t>Based on</w:t>
      </w:r>
      <w:r w:rsidR="00A336C6" w:rsidRPr="00A336C6">
        <w:rPr>
          <w:rFonts w:ascii="Tahoma" w:hAnsi="Tahoma" w:cs="Tahoma"/>
          <w:color w:val="000000" w:themeColor="text1"/>
        </w:rPr>
        <w:t xml:space="preserve"> (Figure </w:t>
      </w:r>
      <w:r w:rsidR="00D260A5">
        <w:rPr>
          <w:rFonts w:ascii="Tahoma" w:hAnsi="Tahoma" w:cs="Tahoma"/>
          <w:color w:val="000000" w:themeColor="text1"/>
        </w:rPr>
        <w:t>1</w:t>
      </w:r>
      <w:r w:rsidR="00A336C6" w:rsidRPr="00A336C6">
        <w:rPr>
          <w:rFonts w:ascii="Tahoma" w:hAnsi="Tahoma" w:cs="Tahoma"/>
          <w:color w:val="000000" w:themeColor="text1"/>
        </w:rPr>
        <w:t xml:space="preserve">. World market shares of top six companies in electric </w:t>
      </w:r>
      <w:r w:rsidR="00A336C6" w:rsidRPr="00A336C6">
        <w:rPr>
          <w:rFonts w:ascii="Tahoma" w:hAnsi="Tahoma" w:cs="Tahoma"/>
          <w:color w:val="000000" w:themeColor="text1"/>
        </w:rPr>
        <w:lastRenderedPageBreak/>
        <w:t>vehicles sales in 2021 until June. Source: Cleantehnica,2021)</w:t>
      </w:r>
      <w:r w:rsidR="00A336C6">
        <w:rPr>
          <w:rFonts w:ascii="Tahoma" w:hAnsi="Tahoma" w:cs="Tahoma"/>
          <w:color w:val="000000" w:themeColor="text1"/>
        </w:rPr>
        <w:t xml:space="preserve">. </w:t>
      </w:r>
      <w:r w:rsidRPr="002E62E2">
        <w:rPr>
          <w:rFonts w:ascii="Tahoma" w:hAnsi="Tahoma" w:cs="Tahoma"/>
          <w:color w:val="000000" w:themeColor="text1"/>
        </w:rPr>
        <w:t xml:space="preserve">Tesla has a top position for EV’s and BEV’s, followed by Volkswagen group. Tesla is the top innovator and over companies are the fast followers. </w:t>
      </w:r>
    </w:p>
    <w:p w14:paraId="0080EC0E" w14:textId="77777777" w:rsidR="002E62E2" w:rsidRDefault="002E62E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901EDB" w14:textId="77777777" w:rsidR="002E62E2" w:rsidRDefault="002E62E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FC86C3" w14:textId="77777777" w:rsidR="002E62E2" w:rsidRPr="002E62E2" w:rsidRDefault="002E62E2" w:rsidP="002E62E2">
      <w:pPr>
        <w:spacing w:before="93" w:line="360" w:lineRule="auto"/>
        <w:ind w:right="308"/>
        <w:jc w:val="both"/>
        <w:rPr>
          <w:rFonts w:ascii="Tahoma" w:hAnsi="Tahoma" w:cs="Tahoma"/>
          <w:b/>
          <w:bCs/>
          <w:color w:val="000000" w:themeColor="text1"/>
          <w:sz w:val="20"/>
          <w:szCs w:val="20"/>
        </w:rPr>
      </w:pPr>
      <w:r w:rsidRPr="002E62E2">
        <w:rPr>
          <w:rFonts w:ascii="Tahoma" w:hAnsi="Tahoma" w:cs="Tahoma"/>
          <w:b/>
          <w:bCs/>
          <w:color w:val="000000" w:themeColor="text1"/>
          <w:sz w:val="20"/>
          <w:szCs w:val="20"/>
        </w:rPr>
        <w:t>World market shares of top six companies in electric vehicles sales in 2021 until June</w:t>
      </w:r>
    </w:p>
    <w:p w14:paraId="6B5F5E82" w14:textId="77777777" w:rsidR="002E62E2" w:rsidRPr="002E62E2" w:rsidRDefault="002E62E2">
      <w:pPr>
        <w:rPr>
          <w:rFonts w:ascii="Tahoma" w:eastAsiaTheme="minorHAnsi" w:hAnsi="Tahoma" w:cs="Tahoma"/>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62E2">
        <w:rPr>
          <w:rFonts w:ascii="Tahoma" w:hAnsi="Tahoma" w:cs="Tahoma"/>
          <w:noProof/>
          <w:color w:val="000000" w:themeColor="text1"/>
          <w:sz w:val="20"/>
          <w:szCs w:val="20"/>
        </w:rPr>
        <w:drawing>
          <wp:inline distT="0" distB="0" distL="0" distR="0" wp14:anchorId="7ED4A9B0" wp14:editId="3F7ECE48">
            <wp:extent cx="5623928" cy="1899138"/>
            <wp:effectExtent l="0" t="0" r="2540" b="635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2719" cy="1946006"/>
                    </a:xfrm>
                    <a:prstGeom prst="rect">
                      <a:avLst/>
                    </a:prstGeom>
                  </pic:spPr>
                </pic:pic>
              </a:graphicData>
            </a:graphic>
          </wp:inline>
        </w:drawing>
      </w:r>
    </w:p>
    <w:p w14:paraId="7ABD2EEB" w14:textId="5B90A83B" w:rsidR="002E62E2" w:rsidRPr="002E62E2" w:rsidRDefault="002E62E2" w:rsidP="002E62E2">
      <w:pPr>
        <w:pStyle w:val="Caption"/>
        <w:rPr>
          <w:rFonts w:ascii="Tahoma" w:hAnsi="Tahoma" w:cs="Tahoma"/>
          <w:b/>
          <w:bCs/>
          <w:i w:val="0"/>
          <w:iCs w:val="0"/>
          <w:color w:val="000000" w:themeColor="text1"/>
          <w:sz w:val="20"/>
          <w:szCs w:val="20"/>
        </w:rPr>
      </w:pPr>
      <w:bookmarkStart w:id="1" w:name="_Ref90827454"/>
      <w:bookmarkStart w:id="2" w:name="_Toc90847830"/>
      <w:r w:rsidRPr="002E62E2">
        <w:rPr>
          <w:rFonts w:ascii="Tahoma" w:hAnsi="Tahoma" w:cs="Tahoma"/>
          <w:i w:val="0"/>
          <w:iCs w:val="0"/>
          <w:sz w:val="20"/>
          <w:szCs w:val="20"/>
        </w:rPr>
        <w:t xml:space="preserve">Figure </w:t>
      </w:r>
      <w:r w:rsidR="00A67172">
        <w:rPr>
          <w:rFonts w:ascii="Tahoma" w:hAnsi="Tahoma" w:cs="Tahoma"/>
          <w:i w:val="0"/>
          <w:iCs w:val="0"/>
          <w:sz w:val="20"/>
          <w:szCs w:val="20"/>
        </w:rPr>
        <w:t>1</w:t>
      </w:r>
      <w:r w:rsidR="00A67172" w:rsidRPr="002E62E2">
        <w:rPr>
          <w:rFonts w:ascii="Tahoma" w:hAnsi="Tahoma" w:cs="Tahoma"/>
          <w:i w:val="0"/>
          <w:iCs w:val="0"/>
          <w:sz w:val="20"/>
          <w:szCs w:val="20"/>
        </w:rPr>
        <w:t>. World</w:t>
      </w:r>
      <w:r w:rsidRPr="002E62E2">
        <w:rPr>
          <w:rFonts w:ascii="Tahoma" w:hAnsi="Tahoma" w:cs="Tahoma"/>
          <w:i w:val="0"/>
          <w:iCs w:val="0"/>
          <w:sz w:val="20"/>
          <w:szCs w:val="20"/>
        </w:rPr>
        <w:t xml:space="preserve"> market shares of top six companies in electric vehicles sales in 2021 until June</w:t>
      </w:r>
      <w:r w:rsidRPr="002E62E2">
        <w:rPr>
          <w:rFonts w:ascii="Tahoma" w:hAnsi="Tahoma" w:cs="Tahoma"/>
          <w:i w:val="0"/>
          <w:iCs w:val="0"/>
          <w:noProof/>
          <w:sz w:val="20"/>
          <w:szCs w:val="20"/>
        </w:rPr>
        <w:t>. Source: Cleantehnica, 2021</w:t>
      </w:r>
      <w:bookmarkEnd w:id="1"/>
      <w:bookmarkEnd w:id="2"/>
    </w:p>
    <w:p w14:paraId="422D1CE5" w14:textId="77777777" w:rsidR="00777187" w:rsidRDefault="00777187">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7BCD29" w14:textId="77777777" w:rsidR="00777187" w:rsidRDefault="00777187">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A5BA3" w14:textId="77777777" w:rsidR="00777187" w:rsidRPr="00777187" w:rsidRDefault="00777187" w:rsidP="00777187">
      <w:pPr>
        <w:spacing w:before="93"/>
        <w:ind w:right="308"/>
        <w:rPr>
          <w:rFonts w:ascii="Tahoma" w:hAnsi="Tahoma" w:cs="Tahoma"/>
          <w:b/>
          <w:bCs/>
          <w:color w:val="000000" w:themeColor="text1"/>
        </w:rPr>
      </w:pPr>
      <w:r w:rsidRPr="00777187">
        <w:rPr>
          <w:rFonts w:ascii="Tahoma" w:hAnsi="Tahoma" w:cs="Tahoma"/>
          <w:b/>
          <w:bCs/>
          <w:color w:val="000000" w:themeColor="text1"/>
        </w:rPr>
        <w:t xml:space="preserve">Digitalisation </w:t>
      </w:r>
    </w:p>
    <w:p w14:paraId="621A4977" w14:textId="77777777" w:rsidR="00777187" w:rsidRPr="00777187" w:rsidRDefault="00777187" w:rsidP="00777187">
      <w:pPr>
        <w:spacing w:before="93"/>
        <w:ind w:right="308"/>
        <w:rPr>
          <w:rFonts w:ascii="Tahoma" w:hAnsi="Tahoma" w:cs="Tahoma"/>
          <w:b/>
          <w:bCs/>
          <w:color w:val="000000" w:themeColor="text1"/>
        </w:rPr>
      </w:pPr>
    </w:p>
    <w:p w14:paraId="25813E7D" w14:textId="77777777" w:rsidR="00777187" w:rsidRPr="00777187" w:rsidRDefault="00777187" w:rsidP="00777187">
      <w:pPr>
        <w:spacing w:before="93" w:line="360" w:lineRule="auto"/>
        <w:ind w:right="308"/>
        <w:jc w:val="both"/>
        <w:rPr>
          <w:rFonts w:ascii="Tahoma" w:hAnsi="Tahoma" w:cs="Tahoma"/>
          <w:color w:val="000000" w:themeColor="text1"/>
        </w:rPr>
      </w:pPr>
      <w:r w:rsidRPr="00777187">
        <w:rPr>
          <w:rFonts w:ascii="Tahoma" w:hAnsi="Tahoma" w:cs="Tahoma"/>
          <w:color w:val="000000" w:themeColor="text1"/>
        </w:rPr>
        <w:t xml:space="preserve">          Digitalisation is another influential factor that implies both positive and challenging outcomes for industry development. The automotive sector is shifting from a hardware to a software orientation. Also, it increases the value of digital products and services. </w:t>
      </w:r>
    </w:p>
    <w:p w14:paraId="6A46F63B" w14:textId="77777777" w:rsidR="00777187" w:rsidRPr="00777187" w:rsidRDefault="00777187" w:rsidP="00777187">
      <w:pPr>
        <w:spacing w:before="93" w:line="360" w:lineRule="auto"/>
        <w:ind w:right="308"/>
        <w:jc w:val="both"/>
        <w:rPr>
          <w:rFonts w:ascii="Tahoma" w:hAnsi="Tahoma" w:cs="Tahoma"/>
          <w:color w:val="000000" w:themeColor="text1"/>
        </w:rPr>
      </w:pPr>
      <w:r w:rsidRPr="00777187">
        <w:rPr>
          <w:rFonts w:ascii="Tahoma" w:hAnsi="Tahoma" w:cs="Tahoma"/>
          <w:color w:val="000000" w:themeColor="text1"/>
        </w:rPr>
        <w:t xml:space="preserve">        The EV industry is placed well in terms of innovation.  The future trends in EV are connectivity along with software architecture and the new features of autonomous driving. But many strategic competencies lie with global, large companies.   For example, the US and Chinese organisations have the tools to support these developments.  </w:t>
      </w:r>
    </w:p>
    <w:p w14:paraId="3F6137CF" w14:textId="77777777" w:rsidR="00777187" w:rsidRPr="00777187" w:rsidRDefault="00777187" w:rsidP="00777187">
      <w:pPr>
        <w:spacing w:line="360" w:lineRule="auto"/>
        <w:jc w:val="both"/>
        <w:rPr>
          <w:rFonts w:ascii="Tahoma" w:hAnsi="Tahoma" w:cs="Tahoma"/>
        </w:rPr>
      </w:pPr>
      <w:r w:rsidRPr="00777187">
        <w:rPr>
          <w:rFonts w:ascii="Tahoma" w:hAnsi="Tahoma" w:cs="Tahoma"/>
        </w:rPr>
        <w:t xml:space="preserve">         As discussed in this section, the electric cars industry has developed very fast due to high technological developments, the need to provide sustainable solutions to reduce pollutions and other factors that can have a double effect, positive and negative on the industry and specific organisations. So, the key megatrends that determine the industry course are changing value chain dynamics mainly driven by </w:t>
      </w:r>
      <w:r w:rsidRPr="00777187">
        <w:rPr>
          <w:rFonts w:ascii="Tahoma" w:hAnsi="Tahoma" w:cs="Tahoma"/>
        </w:rPr>
        <w:lastRenderedPageBreak/>
        <w:t>technological developments, the impact of Covid-19, industry greening and digital transition. All these have a crucial role in the future of electric vehicle industry.</w:t>
      </w:r>
    </w:p>
    <w:p w14:paraId="0C64557D" w14:textId="77777777" w:rsidR="00D041F5" w:rsidRDefault="00D041F5">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884678" w14:textId="7CFC34CC" w:rsidR="00D041F5" w:rsidRDefault="00D041F5">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8275A2" w14:textId="77777777" w:rsidR="00A67172" w:rsidRDefault="00A67172">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4DABF5" w14:textId="77777777" w:rsidR="00D041F5" w:rsidRDefault="00D041F5">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FAA808" w14:textId="77777777" w:rsidR="00B91FDA" w:rsidRDefault="00D041F5">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41F5">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The impact of the pandemic on the industry </w:t>
      </w:r>
    </w:p>
    <w:p w14:paraId="6C5A9B22" w14:textId="77777777" w:rsidR="00B91FDA" w:rsidRDefault="00B91FDA">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FE68FA" w14:textId="69BB13F7" w:rsidR="00B91FDA" w:rsidRPr="00B91FDA" w:rsidRDefault="00535C16" w:rsidP="00B91FDA">
      <w:pPr>
        <w:spacing w:line="360" w:lineRule="auto"/>
        <w:jc w:val="both"/>
        <w:rPr>
          <w:rFonts w:ascii="Tahoma" w:eastAsia="Times New Roman" w:hAnsi="Tahoma" w:cs="Tahoma"/>
          <w:lang w:eastAsia="en-GB"/>
        </w:rPr>
      </w:pPr>
      <w:r>
        <w:rPr>
          <w:rFonts w:ascii="Tahoma" w:eastAsia="Times New Roman" w:hAnsi="Tahoma" w:cs="Tahoma"/>
          <w:lang w:eastAsia="en-GB"/>
        </w:rPr>
        <w:t xml:space="preserve">          </w:t>
      </w:r>
      <w:r w:rsidR="00B91FDA" w:rsidRPr="00B91FDA">
        <w:rPr>
          <w:rFonts w:ascii="Tahoma" w:eastAsia="Times New Roman" w:hAnsi="Tahoma" w:cs="Tahoma"/>
          <w:lang w:eastAsia="en-GB"/>
        </w:rPr>
        <w:t xml:space="preserve">The Covid 19 pandemic is generating an international disturbance for many industries and day to day life of people. The disastrous impact is deeply felt by everyone, especially with the occurrence of new variants of Covid-19 that leads the world in further uncertainties and concerns. </w:t>
      </w:r>
    </w:p>
    <w:p w14:paraId="67AC5348" w14:textId="6069E1F3" w:rsidR="00B91FDA" w:rsidRDefault="00B91FDA" w:rsidP="00B91FDA">
      <w:pPr>
        <w:spacing w:line="360" w:lineRule="auto"/>
        <w:jc w:val="both"/>
        <w:rPr>
          <w:rFonts w:ascii="Tahoma" w:eastAsia="Times New Roman" w:hAnsi="Tahoma" w:cs="Tahoma"/>
          <w:lang w:eastAsia="en-GB"/>
        </w:rPr>
      </w:pPr>
      <w:r w:rsidRPr="00B91FDA">
        <w:rPr>
          <w:rFonts w:ascii="Tahoma" w:eastAsia="Times New Roman" w:hAnsi="Tahoma" w:cs="Tahoma"/>
          <w:lang w:eastAsia="en-GB"/>
        </w:rPr>
        <w:t xml:space="preserve">         The operations of the Electric vehicles industry have undergone changes to ensure the companies comply with new laws and regulations in terms of protecting employees, remote working, international trading operations, etc. The necessity to embrace pragmatic processes to respond to this crisis is a top priority for organisations and governments. Because these challenges are not a matter of the past, it is problematic to presume which approaches are the most compelling to uphold the businesses. The governmental programs, on the other hand, were trying to provide the necessary support for business to maintain their activity and survive via loans and furlough schemes.</w:t>
      </w:r>
    </w:p>
    <w:p w14:paraId="0407CDDC" w14:textId="339D4831" w:rsidR="00B91FDA" w:rsidRPr="00B91FDA" w:rsidRDefault="00B91FDA" w:rsidP="00B91FDA">
      <w:pPr>
        <w:spacing w:line="360" w:lineRule="auto"/>
        <w:jc w:val="both"/>
        <w:rPr>
          <w:rFonts w:ascii="Tahoma" w:eastAsia="Times New Roman" w:hAnsi="Tahoma" w:cs="Tahoma"/>
          <w:lang w:eastAsia="en-GB"/>
        </w:rPr>
      </w:pPr>
      <w:r w:rsidRPr="00B91FDA">
        <w:rPr>
          <w:rFonts w:ascii="Tahoma" w:hAnsi="Tahoma" w:cs="Tahoma"/>
          <w:color w:val="000000" w:themeColor="text1"/>
        </w:rPr>
        <w:t xml:space="preserve">           Tesla Motors applied multiple efforts to strengthen its role and address the challenges. Some solutions, Tesla delivered include guiding its internal process for preventing the spread of Covid-19 among employees. It focused on safety by equipping and changing its operations to meet safety objectives.  (Tesla, 2020</w:t>
      </w:r>
      <w:r w:rsidR="00535C16">
        <w:rPr>
          <w:rFonts w:ascii="Tahoma" w:hAnsi="Tahoma" w:cs="Tahoma"/>
          <w:color w:val="000000" w:themeColor="text1"/>
        </w:rPr>
        <w:t>)</w:t>
      </w:r>
    </w:p>
    <w:p w14:paraId="728D6CEF" w14:textId="48F9D641" w:rsidR="0021246C" w:rsidRPr="0021246C" w:rsidRDefault="0021246C" w:rsidP="0021246C">
      <w:pPr>
        <w:spacing w:before="93" w:line="360" w:lineRule="auto"/>
        <w:ind w:right="308"/>
        <w:jc w:val="both"/>
        <w:rPr>
          <w:rFonts w:ascii="Tahoma" w:hAnsi="Tahoma" w:cs="Tahoma"/>
          <w:color w:val="000000" w:themeColor="text1"/>
        </w:rPr>
      </w:pPr>
      <w:r w:rsidRPr="0021246C">
        <w:rPr>
          <w:rFonts w:ascii="Tahoma" w:hAnsi="Tahoma" w:cs="Tahoma"/>
          <w:color w:val="000000" w:themeColor="text1"/>
        </w:rPr>
        <w:t xml:space="preserve">         Tesla crisis management team put in place guidance for employees in accordance with existing regulations to ensure safe return for employees at their workplace. The measures include increasing cleaning, and disinfestation in work areas like common areas customer areas and other. Also producing and providing disinfectant to use in work areas whenever possible, enforcing social distancing and adding barriers PPE or other precaution where required. Other measures include controlling access to facilities and implementing temperature cheque and symptom screenings at some locations besides that some measures such as adjusting work </w:t>
      </w:r>
      <w:r w:rsidRPr="0021246C">
        <w:rPr>
          <w:rFonts w:ascii="Tahoma" w:hAnsi="Tahoma" w:cs="Tahoma"/>
          <w:color w:val="000000" w:themeColor="text1"/>
        </w:rPr>
        <w:lastRenderedPageBreak/>
        <w:t xml:space="preserve">shifts to reduce the number of people in particular areas at one time. Some company policies include implementing the procedures for suspected or confirmed COVID cases, provide personal protective equipment such as face covering gloves etc. Tesla implemented touchless services for those that have customer interactions and suspended visitors and tours in most of the locations. </w:t>
      </w:r>
      <w:r w:rsidRPr="0021246C">
        <w:rPr>
          <w:rFonts w:ascii="Tahoma" w:hAnsi="Tahoma" w:cs="Tahoma"/>
          <w:noProof/>
          <w:color w:val="000000" w:themeColor="text1"/>
        </w:rPr>
        <w:t>(Tesla , 2020)</w:t>
      </w:r>
    </w:p>
    <w:p w14:paraId="23995731" w14:textId="77777777" w:rsidR="00B91FDA" w:rsidRPr="0021246C" w:rsidRDefault="00B91FDA" w:rsidP="00B91FDA">
      <w:pPr>
        <w:spacing w:line="360" w:lineRule="auto"/>
        <w:jc w:val="both"/>
        <w:rPr>
          <w:rFonts w:ascii="Tahoma" w:eastAsia="Times New Roman" w:hAnsi="Tahoma" w:cs="Tahoma"/>
          <w:lang w:eastAsia="en-GB"/>
        </w:rPr>
      </w:pPr>
    </w:p>
    <w:p w14:paraId="491EBD47" w14:textId="77777777" w:rsidR="0021246C" w:rsidRDefault="0021246C" w:rsidP="00B91FDA">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246C">
        <w:rPr>
          <w:rFonts w:ascii="Tahoma" w:hAnsi="Tahoma" w:cs="Tahoma"/>
          <w:noProof/>
          <w:color w:val="000000" w:themeColor="text1"/>
          <w:sz w:val="20"/>
          <w:szCs w:val="20"/>
        </w:rPr>
        <w:drawing>
          <wp:inline distT="0" distB="0" distL="0" distR="0" wp14:anchorId="6B2C6B91" wp14:editId="4B28881A">
            <wp:extent cx="5810885" cy="4219575"/>
            <wp:effectExtent l="0" t="0" r="0" b="9525"/>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865367" cy="4259137"/>
                    </a:xfrm>
                    <a:prstGeom prst="rect">
                      <a:avLst/>
                    </a:prstGeom>
                  </pic:spPr>
                </pic:pic>
              </a:graphicData>
            </a:graphic>
          </wp:inline>
        </w:drawing>
      </w:r>
    </w:p>
    <w:p w14:paraId="0BF29185" w14:textId="77777777" w:rsidR="0021246C" w:rsidRDefault="0021246C" w:rsidP="00B91FDA">
      <w:pP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C5535C" w14:textId="331F8100" w:rsidR="0021246C" w:rsidRPr="0021246C" w:rsidRDefault="0021246C" w:rsidP="0021246C">
      <w:pPr>
        <w:pStyle w:val="Caption"/>
        <w:rPr>
          <w:rFonts w:ascii="Tahoma" w:hAnsi="Tahoma" w:cs="Tahoma"/>
          <w:i w:val="0"/>
          <w:iCs w:val="0"/>
          <w:color w:val="000000" w:themeColor="text1"/>
          <w:sz w:val="20"/>
          <w:szCs w:val="20"/>
        </w:rPr>
      </w:pPr>
      <w:r w:rsidRPr="0021246C">
        <w:rPr>
          <w:rFonts w:ascii="Tahoma" w:hAnsi="Tahoma" w:cs="Tahoma"/>
          <w:i w:val="0"/>
          <w:iCs w:val="0"/>
          <w:color w:val="000000" w:themeColor="text1"/>
          <w:sz w:val="20"/>
          <w:szCs w:val="20"/>
        </w:rPr>
        <w:t xml:space="preserve">                              </w:t>
      </w:r>
      <w:bookmarkStart w:id="3" w:name="_Toc90847831"/>
      <w:r w:rsidRPr="0021246C">
        <w:rPr>
          <w:rFonts w:ascii="Tahoma" w:hAnsi="Tahoma" w:cs="Tahoma"/>
          <w:i w:val="0"/>
          <w:iCs w:val="0"/>
          <w:color w:val="000000" w:themeColor="text1"/>
          <w:sz w:val="20"/>
          <w:szCs w:val="20"/>
        </w:rPr>
        <w:t xml:space="preserve">Figure </w:t>
      </w:r>
      <w:r w:rsidR="00A67172">
        <w:rPr>
          <w:rFonts w:ascii="Tahoma" w:hAnsi="Tahoma" w:cs="Tahoma"/>
          <w:i w:val="0"/>
          <w:iCs w:val="0"/>
          <w:color w:val="000000" w:themeColor="text1"/>
          <w:sz w:val="20"/>
          <w:szCs w:val="20"/>
        </w:rPr>
        <w:t>2</w:t>
      </w:r>
      <w:r w:rsidRPr="0021246C">
        <w:rPr>
          <w:rFonts w:ascii="Tahoma" w:hAnsi="Tahoma" w:cs="Tahoma"/>
          <w:i w:val="0"/>
          <w:iCs w:val="0"/>
          <w:color w:val="000000" w:themeColor="text1"/>
          <w:sz w:val="20"/>
          <w:szCs w:val="20"/>
        </w:rPr>
        <w:t>.  Covid-19 measures at Tesla. Source: (Tesla, 2020)</w:t>
      </w:r>
      <w:bookmarkEnd w:id="3"/>
    </w:p>
    <w:p w14:paraId="418F733D" w14:textId="55825904" w:rsidR="00423A68" w:rsidRDefault="0021246C" w:rsidP="0021246C">
      <w:pPr>
        <w:spacing w:before="93" w:line="360" w:lineRule="auto"/>
        <w:ind w:right="308"/>
        <w:jc w:val="both"/>
        <w:rPr>
          <w:rFonts w:ascii="Tahoma" w:hAnsi="Tahoma" w:cs="Tahoma"/>
          <w:color w:val="000000" w:themeColor="text1"/>
        </w:rPr>
      </w:pPr>
      <w:r>
        <w:rPr>
          <w:rFonts w:ascii="Tahoma" w:hAnsi="Tahoma" w:cs="Tahoma"/>
          <w:color w:val="000000" w:themeColor="text1"/>
        </w:rPr>
        <w:t xml:space="preserve">      </w:t>
      </w:r>
    </w:p>
    <w:p w14:paraId="049DD14A" w14:textId="77777777" w:rsidR="00423A68" w:rsidRDefault="00423A68" w:rsidP="0021246C">
      <w:pPr>
        <w:spacing w:before="93" w:line="360" w:lineRule="auto"/>
        <w:ind w:right="308"/>
        <w:jc w:val="both"/>
        <w:rPr>
          <w:rFonts w:ascii="Tahoma" w:hAnsi="Tahoma" w:cs="Tahoma"/>
          <w:color w:val="000000" w:themeColor="text1"/>
        </w:rPr>
      </w:pPr>
    </w:p>
    <w:p w14:paraId="166B744A" w14:textId="151081F7" w:rsidR="0021246C" w:rsidRPr="0021246C" w:rsidRDefault="0021246C" w:rsidP="0021246C">
      <w:pPr>
        <w:spacing w:before="93" w:line="360" w:lineRule="auto"/>
        <w:ind w:right="308"/>
        <w:jc w:val="both"/>
        <w:rPr>
          <w:rFonts w:ascii="Tahoma" w:hAnsi="Tahoma" w:cs="Tahoma"/>
          <w:color w:val="000000" w:themeColor="text1"/>
        </w:rPr>
      </w:pPr>
      <w:r>
        <w:rPr>
          <w:rFonts w:ascii="Tahoma" w:hAnsi="Tahoma" w:cs="Tahoma"/>
          <w:color w:val="000000" w:themeColor="text1"/>
        </w:rPr>
        <w:t xml:space="preserve">         </w:t>
      </w:r>
      <w:r w:rsidRPr="0021246C">
        <w:rPr>
          <w:rFonts w:ascii="Tahoma" w:hAnsi="Tahoma" w:cs="Tahoma"/>
          <w:color w:val="000000" w:themeColor="text1"/>
        </w:rPr>
        <w:t xml:space="preserve">Because the global pandemic spreads even if the vaccination rates are high, the electric vehicles players must prepare for new challenges ahead. According to </w:t>
      </w:r>
      <w:r w:rsidRPr="0021246C">
        <w:rPr>
          <w:rFonts w:ascii="Tahoma" w:hAnsi="Tahoma" w:cs="Tahoma"/>
          <w:noProof/>
          <w:color w:val="000000" w:themeColor="text1"/>
        </w:rPr>
        <w:t>Hausley , et al., (2020)</w:t>
      </w:r>
      <w:r w:rsidRPr="0021246C">
        <w:rPr>
          <w:rFonts w:ascii="Tahoma" w:hAnsi="Tahoma" w:cs="Tahoma"/>
          <w:color w:val="000000" w:themeColor="text1"/>
        </w:rPr>
        <w:t xml:space="preserve"> “The automotive market is among the hardest hit. Over the long term, COVID-19 could have a lasting impact on mobility as it drives change in the macroeconomic environment, regulatory trends, technology, and consumer behaviours”. </w:t>
      </w:r>
    </w:p>
    <w:p w14:paraId="3358F541" w14:textId="4E44C1AD" w:rsidR="0021246C" w:rsidRPr="0021246C" w:rsidRDefault="0021246C" w:rsidP="0021246C">
      <w:pPr>
        <w:spacing w:before="93" w:line="360" w:lineRule="auto"/>
        <w:ind w:right="308"/>
        <w:jc w:val="both"/>
        <w:rPr>
          <w:rFonts w:ascii="Tahoma" w:hAnsi="Tahoma" w:cs="Tahoma"/>
          <w:color w:val="000000" w:themeColor="text1"/>
        </w:rPr>
      </w:pPr>
      <w:r w:rsidRPr="0021246C">
        <w:rPr>
          <w:rFonts w:ascii="Tahoma" w:hAnsi="Tahoma" w:cs="Tahoma"/>
          <w:color w:val="000000" w:themeColor="text1"/>
        </w:rPr>
        <w:lastRenderedPageBreak/>
        <w:t xml:space="preserve">         Over the short term, the crisis can slow the growth of cutting-edge technologies in e-mobility such as autonomous driving due to less effective management, lack of employees to adapt to the new business environment, and other barriers.  Looking ahead businesses can implement plans for scaling up operations.  One way to do so is by focusing on areas that had a limited impact.  According to Fields (2020) one of the advantages Tesla has over its competitors been the consumer experience of ordering online, they do not have to travel </w:t>
      </w:r>
      <w:r w:rsidR="00807895" w:rsidRPr="0021246C">
        <w:rPr>
          <w:rFonts w:ascii="Tahoma" w:hAnsi="Tahoma" w:cs="Tahoma"/>
          <w:color w:val="000000" w:themeColor="text1"/>
        </w:rPr>
        <w:t>to</w:t>
      </w:r>
      <w:r w:rsidRPr="0021246C">
        <w:rPr>
          <w:rFonts w:ascii="Tahoma" w:hAnsi="Tahoma" w:cs="Tahoma"/>
          <w:color w:val="000000" w:themeColor="text1"/>
        </w:rPr>
        <w:t xml:space="preserve"> buy Tesla’s products compared to other car makers, it can be done over the internet in just a few minutes. Therefore, Tesla has been delivering a lot of products outside US. However, this may change because of high tendencies of traditional companies to shift to electric cars.  </w:t>
      </w:r>
    </w:p>
    <w:p w14:paraId="76C58531" w14:textId="6DA19016" w:rsidR="0021246C" w:rsidRPr="0021246C" w:rsidRDefault="0021246C" w:rsidP="0021246C">
      <w:pPr>
        <w:spacing w:before="93" w:line="360" w:lineRule="auto"/>
        <w:ind w:right="308"/>
        <w:jc w:val="both"/>
        <w:rPr>
          <w:rFonts w:ascii="Tahoma" w:hAnsi="Tahoma" w:cs="Tahoma"/>
          <w:color w:val="000000" w:themeColor="text1"/>
        </w:rPr>
      </w:pPr>
      <w:r w:rsidRPr="0021246C">
        <w:rPr>
          <w:rFonts w:ascii="Tahoma" w:hAnsi="Tahoma" w:cs="Tahoma"/>
          <w:color w:val="000000" w:themeColor="text1"/>
        </w:rPr>
        <w:t xml:space="preserve">         According to </w:t>
      </w:r>
      <w:r w:rsidRPr="0021246C">
        <w:rPr>
          <w:rFonts w:ascii="Tahoma" w:hAnsi="Tahoma" w:cs="Tahoma"/>
          <w:noProof/>
          <w:color w:val="000000" w:themeColor="text1"/>
        </w:rPr>
        <w:t>(Wen, et al., 2021)</w:t>
      </w:r>
      <w:r w:rsidRPr="0021246C">
        <w:rPr>
          <w:rFonts w:ascii="Tahoma" w:hAnsi="Tahoma" w:cs="Tahoma"/>
          <w:color w:val="000000" w:themeColor="text1"/>
        </w:rPr>
        <w:t xml:space="preserve"> a direct and short-term impact of COVID-19 during the lockdown period, is the decrease of travel demands. Therefore, it decreases consumer's willingness to buy vehicles. In addition to that, loss of confidence in economic development after the pandemic makes buyers cautious while making purchasing decisions especially for such expensive goods such as electric cars.</w:t>
      </w:r>
    </w:p>
    <w:p w14:paraId="1293AD0D" w14:textId="5A8743C3" w:rsidR="0021246C" w:rsidRDefault="0021246C" w:rsidP="0021246C">
      <w:pPr>
        <w:spacing w:before="93" w:line="360" w:lineRule="auto"/>
        <w:ind w:right="308"/>
        <w:jc w:val="both"/>
        <w:rPr>
          <w:rFonts w:ascii="Tahoma" w:hAnsi="Tahoma" w:cs="Tahoma"/>
          <w:color w:val="000000" w:themeColor="text1"/>
        </w:rPr>
      </w:pPr>
      <w:r w:rsidRPr="0021246C">
        <w:rPr>
          <w:rFonts w:ascii="Tahoma" w:hAnsi="Tahoma" w:cs="Tahoma"/>
          <w:color w:val="000000" w:themeColor="text1"/>
        </w:rPr>
        <w:t xml:space="preserve">         At the beginning of 2020, lockdown rules blocked manufacturing facilities and supply chains. The lockdown affected electric vehicles sales. Despite that, there were indications of electric vehicle market resilience for two primary reasons, policy support and continued reductions in battery costs which delivered fertile ground for ongoing EV uptake. </w:t>
      </w:r>
      <w:r w:rsidRPr="0021246C">
        <w:rPr>
          <w:rFonts w:ascii="Tahoma" w:hAnsi="Tahoma" w:cs="Tahoma"/>
          <w:noProof/>
          <w:color w:val="000000" w:themeColor="text1"/>
        </w:rPr>
        <w:t>(Gorner &amp; Paoli, 2021)</w:t>
      </w:r>
      <w:r w:rsidRPr="0021246C">
        <w:rPr>
          <w:rFonts w:ascii="Tahoma" w:hAnsi="Tahoma" w:cs="Tahoma"/>
          <w:color w:val="000000" w:themeColor="text1"/>
        </w:rPr>
        <w:t xml:space="preserve"> </w:t>
      </w:r>
    </w:p>
    <w:p w14:paraId="450F2BB8" w14:textId="12F3B8C1" w:rsidR="0021246C" w:rsidRPr="00216AAA" w:rsidRDefault="0021246C" w:rsidP="0021246C">
      <w:pPr>
        <w:spacing w:line="360" w:lineRule="auto"/>
        <w:jc w:val="both"/>
        <w:rPr>
          <w:rFonts w:ascii="Tahoma" w:hAnsi="Tahoma" w:cs="Tahoma"/>
        </w:rPr>
      </w:pPr>
      <w:r w:rsidRPr="0021246C">
        <w:rPr>
          <w:rFonts w:ascii="Tahoma" w:hAnsi="Tahoma" w:cs="Tahoma"/>
          <w:color w:val="000000" w:themeColor="text1"/>
        </w:rPr>
        <w:t xml:space="preserve">         </w:t>
      </w:r>
      <w:r w:rsidRPr="00216AAA">
        <w:rPr>
          <w:rFonts w:ascii="Tahoma" w:hAnsi="Tahoma" w:cs="Tahoma"/>
          <w:color w:val="000000" w:themeColor="text1"/>
        </w:rPr>
        <w:t xml:space="preserve">Hence, Covid 19 pandemic has created massive disturbances in electric vehicles industry. On the other hand, because of a high need to combat climate change electric vehicles are supported and encouraged by government due to lower impact on environment. Tesla is at the top of market share for EV’s. </w:t>
      </w:r>
      <w:r w:rsidR="00216AAA" w:rsidRPr="00216AAA">
        <w:rPr>
          <w:rFonts w:ascii="Tahoma" w:hAnsi="Tahoma" w:cs="Tahoma"/>
          <w:color w:val="000000" w:themeColor="text1"/>
        </w:rPr>
        <w:t>(</w:t>
      </w:r>
      <w:r w:rsidR="00807895" w:rsidRPr="00216AAA">
        <w:rPr>
          <w:rFonts w:ascii="Tahoma" w:hAnsi="Tahoma" w:cs="Tahoma"/>
          <w:color w:val="000000" w:themeColor="text1"/>
        </w:rPr>
        <w:t xml:space="preserve">Figure </w:t>
      </w:r>
      <w:r w:rsidR="00D260A5">
        <w:rPr>
          <w:rFonts w:ascii="Tahoma" w:hAnsi="Tahoma" w:cs="Tahoma"/>
          <w:color w:val="000000" w:themeColor="text1"/>
        </w:rPr>
        <w:t>1</w:t>
      </w:r>
      <w:r w:rsidR="00807895" w:rsidRPr="00216AAA">
        <w:rPr>
          <w:rFonts w:ascii="Tahoma" w:hAnsi="Tahoma" w:cs="Tahoma"/>
          <w:color w:val="000000" w:themeColor="text1"/>
        </w:rPr>
        <w:t xml:space="preserve">. World market shares of top six companies in electric vehicles sales in 2021 until June. Source: </w:t>
      </w:r>
      <w:proofErr w:type="spellStart"/>
      <w:r w:rsidR="00807895" w:rsidRPr="00216AAA">
        <w:rPr>
          <w:rFonts w:ascii="Tahoma" w:hAnsi="Tahoma" w:cs="Tahoma"/>
          <w:color w:val="000000" w:themeColor="text1"/>
        </w:rPr>
        <w:t>Cleantehnica</w:t>
      </w:r>
      <w:proofErr w:type="spellEnd"/>
      <w:r w:rsidR="00807895" w:rsidRPr="00216AAA">
        <w:rPr>
          <w:rFonts w:ascii="Tahoma" w:hAnsi="Tahoma" w:cs="Tahoma"/>
          <w:color w:val="000000" w:themeColor="text1"/>
        </w:rPr>
        <w:t>,</w:t>
      </w:r>
      <w:r w:rsidR="00216AAA" w:rsidRPr="00216AAA">
        <w:rPr>
          <w:rFonts w:ascii="Tahoma" w:hAnsi="Tahoma" w:cs="Tahoma"/>
          <w:color w:val="000000" w:themeColor="text1"/>
        </w:rPr>
        <w:t xml:space="preserve"> </w:t>
      </w:r>
      <w:r w:rsidR="00807895" w:rsidRPr="00216AAA">
        <w:rPr>
          <w:rFonts w:ascii="Tahoma" w:hAnsi="Tahoma" w:cs="Tahoma"/>
          <w:color w:val="000000" w:themeColor="text1"/>
        </w:rPr>
        <w:t>2021).</w:t>
      </w:r>
      <w:r w:rsidR="00216AAA" w:rsidRPr="00216AAA">
        <w:rPr>
          <w:rFonts w:ascii="Tahoma" w:hAnsi="Tahoma" w:cs="Tahoma"/>
          <w:color w:val="000000" w:themeColor="text1"/>
        </w:rPr>
        <w:t xml:space="preserve"> </w:t>
      </w:r>
      <w:r w:rsidRPr="00216AAA">
        <w:rPr>
          <w:rFonts w:ascii="Tahoma" w:hAnsi="Tahoma" w:cs="Tahoma"/>
        </w:rPr>
        <w:t xml:space="preserve">According to Fields (2020) one Tesla’s advantages </w:t>
      </w:r>
      <w:r w:rsidRPr="00216AAA">
        <w:rPr>
          <w:rFonts w:ascii="Tahoma" w:hAnsi="Tahoma" w:cs="Tahoma"/>
          <w:color w:val="000000" w:themeColor="text1"/>
        </w:rPr>
        <w:t>over its competitors is innovation and possibility to order online. Also, Tesla put crisis management team in place to ensure safe return for employees at their workplace.</w:t>
      </w:r>
    </w:p>
    <w:p w14:paraId="2D6B28A4" w14:textId="3572A766" w:rsidR="00A67172" w:rsidRDefault="00A67172" w:rsidP="0021246C">
      <w:pPr>
        <w:spacing w:line="360" w:lineRule="auto"/>
        <w:jc w:val="both"/>
        <w:rPr>
          <w:rFonts w:ascii="Tahoma" w:hAnsi="Tahoma" w:cs="Tahoma"/>
        </w:rPr>
      </w:pPr>
    </w:p>
    <w:p w14:paraId="0A8CD1A5" w14:textId="77777777" w:rsidR="00423A68" w:rsidRDefault="00423A68" w:rsidP="0021246C">
      <w:pPr>
        <w:spacing w:line="360" w:lineRule="auto"/>
        <w:jc w:val="both"/>
        <w:rPr>
          <w:rFonts w:ascii="Tahoma" w:hAnsi="Tahoma" w:cs="Tahoma"/>
        </w:rPr>
      </w:pPr>
    </w:p>
    <w:p w14:paraId="20E49A32" w14:textId="77777777" w:rsidR="00A67172" w:rsidRPr="00216AAA" w:rsidRDefault="00A67172" w:rsidP="0021246C">
      <w:pPr>
        <w:spacing w:line="360" w:lineRule="auto"/>
        <w:jc w:val="both"/>
        <w:rPr>
          <w:rFonts w:ascii="Tahoma" w:hAnsi="Tahoma" w:cs="Tahoma"/>
        </w:rPr>
      </w:pPr>
    </w:p>
    <w:p w14:paraId="123F8568" w14:textId="2F8FCA4E" w:rsidR="0021246C" w:rsidRPr="007900B7" w:rsidRDefault="007900B7" w:rsidP="0021246C">
      <w:pPr>
        <w:spacing w:before="93" w:line="360" w:lineRule="auto"/>
        <w:ind w:right="308"/>
        <w:jc w:val="both"/>
        <w:rPr>
          <w:rFonts w:ascii="Tahoma" w:hAnsi="Tahoma" w:cs="Tahoma"/>
          <w:b/>
          <w:bCs/>
          <w:color w:val="000000" w:themeColor="text1"/>
          <w:sz w:val="32"/>
          <w:szCs w:val="32"/>
        </w:rPr>
      </w:pPr>
      <w:r w:rsidRPr="007900B7">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w:t>
      </w:r>
    </w:p>
    <w:p w14:paraId="09E1C3CB" w14:textId="1530C2D6" w:rsidR="0021246C" w:rsidRDefault="0021246C" w:rsidP="0021246C">
      <w:pPr>
        <w:rPr>
          <w:rFonts w:ascii="Tahoma" w:hAnsi="Tahoma" w:cs="Tahoma"/>
        </w:rPr>
      </w:pPr>
    </w:p>
    <w:p w14:paraId="0AAF4451" w14:textId="00DC903A" w:rsidR="00C83FF3" w:rsidRDefault="00C83FF3" w:rsidP="0021246C">
      <w:pPr>
        <w:rPr>
          <w:rFonts w:ascii="Tahoma" w:hAnsi="Tahoma" w:cs="Tahoma"/>
        </w:rPr>
      </w:pPr>
    </w:p>
    <w:p w14:paraId="1CE3EA7D" w14:textId="3940CB03" w:rsidR="00C83FF3" w:rsidRDefault="00C83FF3" w:rsidP="00C83FF3">
      <w:pPr>
        <w:spacing w:line="360" w:lineRule="auto"/>
        <w:jc w:val="both"/>
        <w:rPr>
          <w:rFonts w:ascii="Tahoma" w:hAnsi="Tahoma" w:cs="Tahoma"/>
        </w:rPr>
      </w:pPr>
      <w:r>
        <w:rPr>
          <w:rFonts w:ascii="Tahoma" w:hAnsi="Tahoma" w:cs="Tahoma"/>
        </w:rPr>
        <w:t xml:space="preserve">              </w:t>
      </w:r>
      <w:r w:rsidRPr="00C83FF3">
        <w:rPr>
          <w:rFonts w:ascii="Tahoma" w:hAnsi="Tahoma" w:cs="Tahoma"/>
        </w:rPr>
        <w:t xml:space="preserve">The electric vehicles industry operates in an oligopoly market structure where a few firms dominate it. The market structure determines the companies’ behaviour in terms of goals, price strategies, demand, supply, and other important elements for company growth and development.  The rapid growth of technology and liberalisation of governmental policies allows organisations to engage more effectively than ever before. </w:t>
      </w:r>
    </w:p>
    <w:p w14:paraId="05B909FC" w14:textId="77777777" w:rsidR="00C83FF3" w:rsidRDefault="00C83FF3" w:rsidP="00C83FF3">
      <w:pPr>
        <w:spacing w:line="360" w:lineRule="auto"/>
        <w:jc w:val="both"/>
        <w:rPr>
          <w:rFonts w:ascii="Tahoma" w:hAnsi="Tahoma" w:cs="Tahoma"/>
        </w:rPr>
      </w:pPr>
    </w:p>
    <w:p w14:paraId="2B40A93A" w14:textId="0C4D47B3" w:rsidR="00C83FF3" w:rsidRDefault="00C83FF3" w:rsidP="00C83FF3">
      <w:pPr>
        <w:spacing w:line="360" w:lineRule="auto"/>
        <w:jc w:val="both"/>
        <w:rPr>
          <w:rFonts w:ascii="Tahoma" w:hAnsi="Tahoma" w:cs="Tahoma"/>
        </w:rPr>
      </w:pPr>
      <w:r>
        <w:rPr>
          <w:rFonts w:ascii="Tahoma" w:hAnsi="Tahoma" w:cs="Tahoma"/>
        </w:rPr>
        <w:t xml:space="preserve">            </w:t>
      </w:r>
      <w:r w:rsidRPr="00C83FF3">
        <w:rPr>
          <w:rFonts w:ascii="Tahoma" w:hAnsi="Tahoma" w:cs="Tahoma"/>
        </w:rPr>
        <w:t xml:space="preserve">The electric cars industry has evolved very fast because of high technological developments, the need to provide sustainable solutions to reduce pollutions, and other factors. Covid 19 pandemic is among the factors that created tremendous disturbances in the electric vehicles industry. Tesla is at the top of the market share for EV’s. (Figure </w:t>
      </w:r>
      <w:r w:rsidR="000D078D">
        <w:rPr>
          <w:rFonts w:ascii="Tahoma" w:hAnsi="Tahoma" w:cs="Tahoma"/>
        </w:rPr>
        <w:t>1</w:t>
      </w:r>
      <w:r w:rsidRPr="00C83FF3">
        <w:rPr>
          <w:rFonts w:ascii="Tahoma" w:hAnsi="Tahoma" w:cs="Tahoma"/>
        </w:rPr>
        <w:t xml:space="preserve">. World market shares of top six companies in electric vehicles sales in 2021 until June. Source: </w:t>
      </w:r>
      <w:proofErr w:type="spellStart"/>
      <w:r w:rsidRPr="00C83FF3">
        <w:rPr>
          <w:rFonts w:ascii="Tahoma" w:hAnsi="Tahoma" w:cs="Tahoma"/>
        </w:rPr>
        <w:t>Cleantehnica</w:t>
      </w:r>
      <w:proofErr w:type="spellEnd"/>
      <w:r w:rsidRPr="00C83FF3">
        <w:rPr>
          <w:rFonts w:ascii="Tahoma" w:hAnsi="Tahoma" w:cs="Tahoma"/>
        </w:rPr>
        <w:t xml:space="preserve">, 2021) </w:t>
      </w:r>
    </w:p>
    <w:p w14:paraId="4B58DF95" w14:textId="77777777" w:rsidR="00C83FF3" w:rsidRDefault="00C83FF3" w:rsidP="00C83FF3">
      <w:pPr>
        <w:spacing w:line="360" w:lineRule="auto"/>
        <w:jc w:val="both"/>
        <w:rPr>
          <w:rFonts w:ascii="Tahoma" w:hAnsi="Tahoma" w:cs="Tahoma"/>
        </w:rPr>
      </w:pPr>
    </w:p>
    <w:p w14:paraId="106A857D" w14:textId="612DE897" w:rsidR="00C83FF3" w:rsidRPr="00C83FF3" w:rsidRDefault="00C83FF3" w:rsidP="00C83FF3">
      <w:pPr>
        <w:spacing w:line="360" w:lineRule="auto"/>
        <w:jc w:val="both"/>
        <w:rPr>
          <w:rFonts w:ascii="Tahoma" w:hAnsi="Tahoma" w:cs="Tahoma"/>
        </w:rPr>
      </w:pPr>
      <w:r>
        <w:rPr>
          <w:rFonts w:ascii="Tahoma" w:hAnsi="Tahoma" w:cs="Tahoma"/>
        </w:rPr>
        <w:t xml:space="preserve">         </w:t>
      </w:r>
      <w:r w:rsidRPr="00C83FF3">
        <w:rPr>
          <w:rFonts w:ascii="Tahoma" w:hAnsi="Tahoma" w:cs="Tahoma"/>
        </w:rPr>
        <w:t xml:space="preserve">The company should maintain its position by keeping up with new trends and developments and applying innovative strategies to overcome potential barriers. </w:t>
      </w:r>
    </w:p>
    <w:p w14:paraId="618FB402" w14:textId="77777777" w:rsidR="00C83FF3" w:rsidRPr="00C83FF3" w:rsidRDefault="00C83FF3" w:rsidP="00C83FF3">
      <w:pPr>
        <w:jc w:val="center"/>
        <w:rPr>
          <w:rFonts w:ascii="Tahoma" w:hAnsi="Tahoma" w:cs="Tahoma"/>
          <w:b/>
          <w:bCs/>
        </w:rPr>
      </w:pPr>
    </w:p>
    <w:p w14:paraId="2895A869" w14:textId="77777777" w:rsidR="00C83FF3" w:rsidRDefault="00C83FF3" w:rsidP="0021246C">
      <w:pPr>
        <w:rPr>
          <w:rFonts w:ascii="Tahoma" w:hAnsi="Tahoma" w:cs="Tahoma"/>
        </w:rPr>
      </w:pPr>
    </w:p>
    <w:p w14:paraId="0D4FBC1A" w14:textId="557DEA02" w:rsidR="005B48AC" w:rsidRPr="0021246C" w:rsidRDefault="0021246C" w:rsidP="0021246C">
      <w:pPr>
        <w:rPr>
          <w:rFonts w:ascii="Tahoma" w:eastAsiaTheme="minorHAnsi" w:hAnsi="Tahoma" w:cs="Tahoma"/>
          <w:b/>
          <w:bCs/>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8AC" w:rsidRPr="0021246C">
        <w:rPr>
          <w:rFonts w:ascii="Tahoma" w:eastAsiaTheme="minorHAnsi" w:hAnsi="Tahoma" w:cs="Tahom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AA7DF2D" w14:textId="77777777" w:rsidR="00C83FF3" w:rsidRDefault="00C83FF3">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3FF3">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6. References </w:t>
      </w:r>
    </w:p>
    <w:p w14:paraId="54F130D1" w14:textId="77777777" w:rsidR="00C83FF3" w:rsidRDefault="00C83FF3">
      <w:pPr>
        <w:rPr>
          <w:rFonts w:ascii="Tahoma" w:eastAsiaTheme="minorHAnsi" w:hAnsi="Tahoma" w:cs="Tahom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AFD41" w14:textId="034F0AD6" w:rsidR="00C83FF3" w:rsidRPr="00383D3B" w:rsidRDefault="00C83FF3" w:rsidP="00C83FF3">
      <w:pPr>
        <w:pStyle w:val="ListParagraph"/>
        <w:numPr>
          <w:ilvl w:val="0"/>
          <w:numId w:val="29"/>
        </w:numPr>
        <w:rPr>
          <w:rFonts w:ascii="Tahoma" w:hAnsi="Tahoma" w:cs="Tahoma"/>
          <w:noProof/>
        </w:rPr>
      </w:pPr>
      <w:r w:rsidRPr="00C83FF3">
        <w:rPr>
          <w:rFonts w:ascii="Tahoma" w:hAnsi="Tahoma" w:cs="Tahoma"/>
          <w:noProof/>
        </w:rPr>
        <w:t xml:space="preserve">Brian Collie, A. W. A. W., 2020. Covid 19's Impact on the Automativ Industry. [Online] </w:t>
      </w:r>
      <w:r w:rsidRPr="00C83FF3">
        <w:rPr>
          <w:rFonts w:ascii="Tahoma" w:hAnsi="Tahoma" w:cs="Tahoma"/>
          <w:noProof/>
        </w:rPr>
        <w:br/>
        <w:t xml:space="preserve">Available at: </w:t>
      </w:r>
      <w:r w:rsidRPr="0017765A">
        <w:rPr>
          <w:rFonts w:ascii="Tahoma" w:hAnsi="Tahoma" w:cs="Tahoma"/>
          <w:noProof/>
        </w:rPr>
        <w:t>bcg.com</w:t>
      </w:r>
      <w:r w:rsidRPr="0017765A">
        <w:rPr>
          <w:rFonts w:ascii="Tahoma" w:hAnsi="Tahoma" w:cs="Tahoma"/>
          <w:noProof/>
        </w:rPr>
        <w:br/>
      </w:r>
      <w:r w:rsidRPr="00C83FF3">
        <w:rPr>
          <w:rFonts w:ascii="Tahoma" w:hAnsi="Tahoma" w:cs="Tahoma"/>
          <w:noProof/>
        </w:rPr>
        <w:t xml:space="preserve">[Accessed </w:t>
      </w:r>
      <w:r w:rsidR="001C7084" w:rsidRPr="00C83FF3">
        <w:rPr>
          <w:rFonts w:ascii="Tahoma" w:hAnsi="Tahoma" w:cs="Tahoma"/>
          <w:noProof/>
        </w:rPr>
        <w:t>19 December 2021</w:t>
      </w:r>
      <w:r w:rsidRPr="00C83FF3">
        <w:rPr>
          <w:rFonts w:ascii="Tahoma" w:hAnsi="Tahoma" w:cs="Tahoma"/>
          <w:noProof/>
        </w:rPr>
        <w:t>]</w:t>
      </w:r>
    </w:p>
    <w:p w14:paraId="30695C32" w14:textId="5502BDA2" w:rsidR="00C83FF3" w:rsidRPr="00C83FF3" w:rsidRDefault="00C83FF3" w:rsidP="00C83FF3">
      <w:pPr>
        <w:pStyle w:val="ListParagraph"/>
        <w:numPr>
          <w:ilvl w:val="0"/>
          <w:numId w:val="29"/>
        </w:numPr>
        <w:rPr>
          <w:rFonts w:ascii="Tahoma" w:hAnsi="Tahoma" w:cs="Tahoma"/>
          <w:noProof/>
        </w:rPr>
      </w:pPr>
      <w:r w:rsidRPr="00C83FF3">
        <w:rPr>
          <w:rFonts w:ascii="Tahoma" w:hAnsi="Tahoma" w:cs="Tahoma"/>
          <w:noProof/>
        </w:rPr>
        <w:t xml:space="preserve">Broom, D., 2021. 2020 was a breakthrough year for electric vehicles. Here’s why. [Online] </w:t>
      </w:r>
    </w:p>
    <w:p w14:paraId="33E6DF6D" w14:textId="07A9146F" w:rsidR="00C83FF3" w:rsidRPr="00383D3B" w:rsidRDefault="003206CC" w:rsidP="003206CC">
      <w:pPr>
        <w:pStyle w:val="Bibliography"/>
        <w:spacing w:line="360" w:lineRule="auto"/>
        <w:rPr>
          <w:rFonts w:ascii="Tahoma" w:hAnsi="Tahoma" w:cs="Tahoma"/>
          <w:noProof/>
        </w:rPr>
      </w:pPr>
      <w:r>
        <w:rPr>
          <w:rFonts w:ascii="Tahoma" w:hAnsi="Tahoma" w:cs="Tahoma"/>
          <w:noProof/>
        </w:rPr>
        <w:t xml:space="preserve">     </w:t>
      </w:r>
      <w:r w:rsidR="00C83FF3" w:rsidRPr="00C83FF3">
        <w:rPr>
          <w:rFonts w:ascii="Tahoma" w:hAnsi="Tahoma" w:cs="Tahoma"/>
          <w:noProof/>
        </w:rPr>
        <w:t>Available at</w:t>
      </w:r>
      <w:r w:rsidR="00C83FF3" w:rsidRPr="0017765A">
        <w:rPr>
          <w:rFonts w:ascii="Tahoma" w:hAnsi="Tahoma" w:cs="Tahoma"/>
          <w:noProof/>
        </w:rPr>
        <w:t>: weforum.org</w:t>
      </w:r>
      <w:r w:rsidR="00383D3B">
        <w:rPr>
          <w:rFonts w:ascii="Tahoma" w:hAnsi="Tahoma" w:cs="Tahoma"/>
          <w:noProof/>
        </w:rPr>
        <w:t xml:space="preserve">   </w:t>
      </w:r>
      <w:r w:rsidR="00C83FF3" w:rsidRPr="00C83FF3">
        <w:rPr>
          <w:rFonts w:ascii="Tahoma" w:hAnsi="Tahoma" w:cs="Tahoma"/>
          <w:noProof/>
        </w:rPr>
        <w:t xml:space="preserve">[Accessed </w:t>
      </w:r>
      <w:r w:rsidR="00C83FF3" w:rsidRPr="0017765A">
        <w:rPr>
          <w:rFonts w:ascii="Tahoma" w:hAnsi="Tahoma" w:cs="Tahoma"/>
          <w:noProof/>
        </w:rPr>
        <w:t>19 December 2021</w:t>
      </w:r>
      <w:r w:rsidR="00C83FF3" w:rsidRPr="00C83FF3">
        <w:rPr>
          <w:rFonts w:ascii="Tahoma" w:hAnsi="Tahoma" w:cs="Tahoma"/>
          <w:noProof/>
        </w:rPr>
        <w:t>].</w:t>
      </w:r>
    </w:p>
    <w:p w14:paraId="2B724A0C" w14:textId="77777777" w:rsidR="00C83FF3" w:rsidRPr="00C83FF3" w:rsidRDefault="00C83FF3" w:rsidP="00C83FF3">
      <w:pPr>
        <w:pStyle w:val="Bibliography"/>
        <w:numPr>
          <w:ilvl w:val="0"/>
          <w:numId w:val="29"/>
        </w:numPr>
        <w:spacing w:line="360" w:lineRule="auto"/>
        <w:rPr>
          <w:rFonts w:ascii="Tahoma" w:hAnsi="Tahoma" w:cs="Tahoma"/>
          <w:noProof/>
        </w:rPr>
      </w:pPr>
      <w:r w:rsidRPr="00C83FF3">
        <w:rPr>
          <w:rFonts w:ascii="Tahoma" w:hAnsi="Tahoma" w:cs="Tahoma"/>
          <w:noProof/>
        </w:rPr>
        <w:t>Brown , D. et al., 2021. The Future of the EU Automotive Sector, Luxenbourg: Policy Department for Economic, Scientific and Quality of Life Policies Directorate-General for Internal Policies.</w:t>
      </w:r>
    </w:p>
    <w:p w14:paraId="1EF66283" w14:textId="77777777" w:rsidR="00C83FF3" w:rsidRPr="00C83FF3" w:rsidRDefault="00C83FF3" w:rsidP="00C83FF3">
      <w:pPr>
        <w:pStyle w:val="Bibliography"/>
        <w:numPr>
          <w:ilvl w:val="0"/>
          <w:numId w:val="29"/>
        </w:numPr>
        <w:spacing w:line="360" w:lineRule="auto"/>
        <w:rPr>
          <w:rFonts w:ascii="Tahoma" w:hAnsi="Tahoma" w:cs="Tahoma"/>
          <w:noProof/>
        </w:rPr>
      </w:pPr>
      <w:r w:rsidRPr="00C83FF3">
        <w:rPr>
          <w:rFonts w:ascii="Tahoma" w:hAnsi="Tahoma" w:cs="Tahoma"/>
          <w:noProof/>
        </w:rPr>
        <w:t xml:space="preserve">Fields, S., 2020. Analysts say Tesla has been delivering, despite the pandemic. [Online] </w:t>
      </w:r>
      <w:r w:rsidRPr="00C83FF3">
        <w:rPr>
          <w:rFonts w:ascii="Tahoma" w:hAnsi="Tahoma" w:cs="Tahoma"/>
          <w:noProof/>
        </w:rPr>
        <w:br/>
        <w:t xml:space="preserve">Available at: </w:t>
      </w:r>
      <w:r w:rsidRPr="0017765A">
        <w:rPr>
          <w:rFonts w:ascii="Tahoma" w:hAnsi="Tahoma" w:cs="Tahoma"/>
          <w:noProof/>
        </w:rPr>
        <w:t>https://www.marketplace.org/2020/10/21/tesla-third-quarter-results-auto-industry-covid-19-pandemic/</w:t>
      </w:r>
      <w:r w:rsidRPr="0017765A">
        <w:rPr>
          <w:rFonts w:ascii="Tahoma" w:hAnsi="Tahoma" w:cs="Tahoma"/>
          <w:noProof/>
        </w:rPr>
        <w:br/>
      </w:r>
      <w:r w:rsidRPr="00C83FF3">
        <w:rPr>
          <w:rFonts w:ascii="Tahoma" w:hAnsi="Tahoma" w:cs="Tahoma"/>
          <w:noProof/>
        </w:rPr>
        <w:t>[Accessed 19 December 2021].</w:t>
      </w:r>
    </w:p>
    <w:p w14:paraId="2378B76C" w14:textId="1A9D95E2" w:rsidR="00733262" w:rsidRDefault="00733262" w:rsidP="00733262">
      <w:pPr>
        <w:pStyle w:val="ListParagraph"/>
        <w:numPr>
          <w:ilvl w:val="0"/>
          <w:numId w:val="29"/>
        </w:numPr>
        <w:rPr>
          <w:rFonts w:ascii="Tahoma" w:hAnsi="Tahoma" w:cs="Tahoma"/>
        </w:rPr>
      </w:pPr>
      <w:r w:rsidRPr="00733262">
        <w:rPr>
          <w:rFonts w:ascii="Tahoma" w:hAnsi="Tahoma" w:cs="Tahoma"/>
          <w:noProof/>
        </w:rPr>
        <w:t>Gorner, M. &amp; Paoli, L., 2021. How global electric car sales defied Covid-19 in 2020. IEA.</w:t>
      </w:r>
    </w:p>
    <w:p w14:paraId="0719CE29" w14:textId="77777777" w:rsidR="00733262" w:rsidRPr="00733262" w:rsidRDefault="00733262" w:rsidP="00733262">
      <w:pPr>
        <w:pStyle w:val="Bibliography"/>
        <w:numPr>
          <w:ilvl w:val="0"/>
          <w:numId w:val="29"/>
        </w:numPr>
        <w:spacing w:line="360" w:lineRule="auto"/>
        <w:rPr>
          <w:rFonts w:ascii="Tahoma" w:hAnsi="Tahoma" w:cs="Tahoma"/>
          <w:noProof/>
        </w:rPr>
      </w:pPr>
      <w:r w:rsidRPr="00733262">
        <w:rPr>
          <w:rFonts w:ascii="Tahoma" w:hAnsi="Tahoma" w:cs="Tahoma"/>
          <w:noProof/>
        </w:rPr>
        <w:t>Hausley , S. et al., 2020. The impact of Covid19 on future mobility solutions: McKinsey Center for Future Mobility.</w:t>
      </w:r>
    </w:p>
    <w:p w14:paraId="4DF9378C" w14:textId="77777777" w:rsidR="00733262" w:rsidRPr="00733262" w:rsidRDefault="00733262" w:rsidP="00733262">
      <w:pPr>
        <w:pStyle w:val="Bibliography"/>
        <w:numPr>
          <w:ilvl w:val="0"/>
          <w:numId w:val="29"/>
        </w:numPr>
        <w:spacing w:line="360" w:lineRule="auto"/>
        <w:rPr>
          <w:rFonts w:ascii="Tahoma" w:hAnsi="Tahoma" w:cs="Tahoma"/>
          <w:noProof/>
        </w:rPr>
      </w:pPr>
      <w:r w:rsidRPr="00733262">
        <w:rPr>
          <w:rFonts w:ascii="Tahoma" w:hAnsi="Tahoma" w:cs="Tahoma"/>
          <w:noProof/>
        </w:rPr>
        <w:t>Higgins, T., 2020. Tesla Pulls Ahead in the Coronavirus Era After Ellon Musk;s Years of Strugle. Wall Street Journal , pp. 6-10.</w:t>
      </w:r>
    </w:p>
    <w:p w14:paraId="7438FE8D" w14:textId="77777777" w:rsidR="00F048D5" w:rsidRPr="00F048D5" w:rsidRDefault="00F048D5" w:rsidP="00F048D5">
      <w:pPr>
        <w:pStyle w:val="Bibliography"/>
        <w:numPr>
          <w:ilvl w:val="0"/>
          <w:numId w:val="29"/>
        </w:numPr>
        <w:spacing w:line="360" w:lineRule="auto"/>
        <w:rPr>
          <w:rFonts w:ascii="Tahoma" w:hAnsi="Tahoma" w:cs="Tahoma"/>
          <w:noProof/>
        </w:rPr>
      </w:pPr>
      <w:r w:rsidRPr="00F048D5">
        <w:rPr>
          <w:rFonts w:ascii="Tahoma" w:hAnsi="Tahoma" w:cs="Tahoma"/>
          <w:noProof/>
        </w:rPr>
        <w:t>EA, 2021. Global EV Outlook 2021, Paris: IEA, https://www.iea.org/reports/global-ev-outlook-2021.</w:t>
      </w:r>
    </w:p>
    <w:p w14:paraId="2A8BB281" w14:textId="64AB1EE2" w:rsidR="00733262" w:rsidRDefault="00F048D5" w:rsidP="00733262">
      <w:pPr>
        <w:pStyle w:val="ListParagraph"/>
        <w:numPr>
          <w:ilvl w:val="0"/>
          <w:numId w:val="29"/>
        </w:numPr>
        <w:rPr>
          <w:rFonts w:ascii="Tahoma" w:hAnsi="Tahoma" w:cs="Tahoma"/>
        </w:rPr>
      </w:pPr>
      <w:r w:rsidRPr="00383D3B">
        <w:rPr>
          <w:rFonts w:ascii="Tahoma" w:hAnsi="Tahoma" w:cs="Tahoma"/>
          <w:noProof/>
        </w:rPr>
        <w:t xml:space="preserve">Tesla , 2020. Tesla Return to Work Playbook. [Online] </w:t>
      </w:r>
      <w:r w:rsidRPr="00383D3B">
        <w:rPr>
          <w:rFonts w:ascii="Tahoma" w:hAnsi="Tahoma" w:cs="Tahoma"/>
          <w:noProof/>
        </w:rPr>
        <w:br/>
        <w:t xml:space="preserve">Available at: </w:t>
      </w:r>
      <w:r w:rsidRPr="0017765A">
        <w:rPr>
          <w:rFonts w:ascii="Tahoma" w:hAnsi="Tahoma" w:cs="Tahoma"/>
          <w:noProof/>
        </w:rPr>
        <w:t>https://www.tesla.com/sites/default/files/blog_attachments/Tesla-Return-to-Work-Playbook.pdf</w:t>
      </w:r>
      <w:r w:rsidRPr="0017765A">
        <w:rPr>
          <w:rFonts w:ascii="Tahoma" w:hAnsi="Tahoma" w:cs="Tahoma"/>
          <w:noProof/>
        </w:rPr>
        <w:br/>
      </w:r>
      <w:r w:rsidRPr="00383D3B">
        <w:rPr>
          <w:rFonts w:ascii="Tahoma" w:hAnsi="Tahoma" w:cs="Tahoma"/>
          <w:noProof/>
        </w:rPr>
        <w:t>[Accessed 19 December 2021].</w:t>
      </w:r>
    </w:p>
    <w:p w14:paraId="6BA19622" w14:textId="77777777" w:rsidR="00383D3B" w:rsidRPr="00383D3B" w:rsidRDefault="00383D3B" w:rsidP="00383D3B">
      <w:pPr>
        <w:pStyle w:val="Bibliography"/>
        <w:numPr>
          <w:ilvl w:val="0"/>
          <w:numId w:val="29"/>
        </w:numPr>
        <w:spacing w:line="360" w:lineRule="auto"/>
        <w:rPr>
          <w:rFonts w:ascii="Tahoma" w:hAnsi="Tahoma" w:cs="Tahoma"/>
          <w:noProof/>
        </w:rPr>
      </w:pPr>
      <w:r w:rsidRPr="00383D3B">
        <w:rPr>
          <w:rFonts w:ascii="Tahoma" w:hAnsi="Tahoma" w:cs="Tahoma"/>
          <w:noProof/>
        </w:rPr>
        <w:t>United Nations, 2020. World Economic Situation and Prospects. New York : United Nations .</w:t>
      </w:r>
    </w:p>
    <w:p w14:paraId="75EE2F42" w14:textId="522EE6AA" w:rsidR="00A20B87" w:rsidRPr="00383D3B" w:rsidRDefault="00383D3B" w:rsidP="00383D3B">
      <w:pPr>
        <w:pStyle w:val="ListParagraph"/>
        <w:numPr>
          <w:ilvl w:val="0"/>
          <w:numId w:val="29"/>
        </w:numPr>
        <w:rPr>
          <w:rFonts w:ascii="Tahoma" w:hAnsi="Tahoma" w:cs="Tahoma"/>
        </w:rPr>
      </w:pPr>
      <w:r w:rsidRPr="00383D3B">
        <w:rPr>
          <w:rFonts w:ascii="Tahoma" w:hAnsi="Tahoma" w:cs="Tahoma"/>
          <w:noProof/>
        </w:rPr>
        <w:t>Wen, W., Yang, S., Zhou, P. &amp; Gao, S. Z., 2021. Impacts of COVID-19 on the electric vehicle industry: Evidence from China. Renewable and Sustainable Energy Reviews, 144(1364)</w:t>
      </w:r>
    </w:p>
    <w:sectPr w:rsidR="00A20B87" w:rsidRPr="00383D3B" w:rsidSect="00440888">
      <w:footerReference w:type="even" r:id="rId10"/>
      <w:footerReference w:type="default" r:id="rId1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F0B85" w14:textId="77777777" w:rsidR="009A4926" w:rsidRDefault="009A4926" w:rsidP="000B5D38">
      <w:r>
        <w:separator/>
      </w:r>
    </w:p>
  </w:endnote>
  <w:endnote w:type="continuationSeparator" w:id="0">
    <w:p w14:paraId="2B06743D" w14:textId="77777777" w:rsidR="009A4926" w:rsidRDefault="009A4926" w:rsidP="000B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帽ƐM"/>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16E23" w14:textId="77777777" w:rsidR="000B5D38" w:rsidRDefault="000B5D38" w:rsidP="009332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45B19A4" w14:textId="77777777" w:rsidR="000B5D38" w:rsidRDefault="000B5D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0D466" w14:textId="77777777" w:rsidR="000B5D38" w:rsidRDefault="000B5D38" w:rsidP="009332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66911BA7" w14:textId="77777777" w:rsidR="000B5D38" w:rsidRDefault="000B5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ABD6" w14:textId="77777777" w:rsidR="009A4926" w:rsidRDefault="009A4926" w:rsidP="000B5D38">
      <w:r>
        <w:separator/>
      </w:r>
    </w:p>
  </w:footnote>
  <w:footnote w:type="continuationSeparator" w:id="0">
    <w:p w14:paraId="6EFC0C07" w14:textId="77777777" w:rsidR="009A4926" w:rsidRDefault="009A4926" w:rsidP="000B5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7E97"/>
    <w:multiLevelType w:val="hybridMultilevel"/>
    <w:tmpl w:val="AAECC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47224"/>
    <w:multiLevelType w:val="hybridMultilevel"/>
    <w:tmpl w:val="D1400B9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0A319F"/>
    <w:multiLevelType w:val="hybridMultilevel"/>
    <w:tmpl w:val="AAECC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F2C85"/>
    <w:multiLevelType w:val="hybridMultilevel"/>
    <w:tmpl w:val="26865D2A"/>
    <w:lvl w:ilvl="0" w:tplc="0D8E78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4845D4"/>
    <w:multiLevelType w:val="hybridMultilevel"/>
    <w:tmpl w:val="CD3C34A4"/>
    <w:lvl w:ilvl="0" w:tplc="FFFFFFFF">
      <w:start w:val="1"/>
      <w:numFmt w:val="decimal"/>
      <w:lvlText w:val="%1."/>
      <w:lvlJc w:val="left"/>
      <w:pPr>
        <w:ind w:left="502"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B5F4851"/>
    <w:multiLevelType w:val="hybridMultilevel"/>
    <w:tmpl w:val="4318694E"/>
    <w:lvl w:ilvl="0" w:tplc="0D8E78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DD4B6A"/>
    <w:multiLevelType w:val="hybridMultilevel"/>
    <w:tmpl w:val="45124350"/>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955C0E"/>
    <w:multiLevelType w:val="hybridMultilevel"/>
    <w:tmpl w:val="CD3C34A4"/>
    <w:lvl w:ilvl="0" w:tplc="FFFFFFFF">
      <w:start w:val="1"/>
      <w:numFmt w:val="decimal"/>
      <w:lvlText w:val="%1."/>
      <w:lvlJc w:val="left"/>
      <w:pPr>
        <w:ind w:left="502"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31F426C6"/>
    <w:multiLevelType w:val="hybridMultilevel"/>
    <w:tmpl w:val="DC3207C8"/>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85C5C6C"/>
    <w:multiLevelType w:val="hybridMultilevel"/>
    <w:tmpl w:val="AA4E0338"/>
    <w:lvl w:ilvl="0" w:tplc="0D8E78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A5294"/>
    <w:multiLevelType w:val="hybridMultilevel"/>
    <w:tmpl w:val="A46E96BA"/>
    <w:lvl w:ilvl="0" w:tplc="04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B131146"/>
    <w:multiLevelType w:val="hybridMultilevel"/>
    <w:tmpl w:val="CD3C34A4"/>
    <w:lvl w:ilvl="0" w:tplc="0809000F">
      <w:start w:val="1"/>
      <w:numFmt w:val="decimal"/>
      <w:lvlText w:val="%1."/>
      <w:lvlJc w:val="left"/>
      <w:pPr>
        <w:ind w:left="502"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3B61458A"/>
    <w:multiLevelType w:val="hybridMultilevel"/>
    <w:tmpl w:val="CD3C34A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41E35858"/>
    <w:multiLevelType w:val="hybridMultilevel"/>
    <w:tmpl w:val="FA9E3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0A60D4"/>
    <w:multiLevelType w:val="hybridMultilevel"/>
    <w:tmpl w:val="E3FCF314"/>
    <w:lvl w:ilvl="0" w:tplc="0D8E78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75D04BE"/>
    <w:multiLevelType w:val="hybridMultilevel"/>
    <w:tmpl w:val="CD3C34A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6" w15:restartNumberingAfterBreak="0">
    <w:nsid w:val="48971EAB"/>
    <w:multiLevelType w:val="hybridMultilevel"/>
    <w:tmpl w:val="CD3C34A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49103C24"/>
    <w:multiLevelType w:val="hybridMultilevel"/>
    <w:tmpl w:val="9800D3E8"/>
    <w:lvl w:ilvl="0" w:tplc="914A70D2">
      <w:start w:val="1"/>
      <w:numFmt w:val="decimal"/>
      <w:lvlText w:val="%1."/>
      <w:lvlJc w:val="left"/>
      <w:pPr>
        <w:ind w:left="735" w:hanging="375"/>
      </w:pPr>
      <w:rPr>
        <w:rFonts w:eastAsiaTheme="minorHAnsi" w:hint="default"/>
        <w:b/>
        <w:color w:val="auto"/>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606EF6"/>
    <w:multiLevelType w:val="hybridMultilevel"/>
    <w:tmpl w:val="72E8A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C8437D"/>
    <w:multiLevelType w:val="hybridMultilevel"/>
    <w:tmpl w:val="22F213DE"/>
    <w:lvl w:ilvl="0" w:tplc="52EE039E">
      <w:start w:val="1"/>
      <w:numFmt w:val="decimal"/>
      <w:lvlText w:val="%1."/>
      <w:lvlJc w:val="left"/>
      <w:pPr>
        <w:ind w:left="360" w:hanging="360"/>
      </w:pPr>
      <w:rPr>
        <w:rFonts w:eastAsiaTheme="minorHAns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096EDA"/>
    <w:multiLevelType w:val="hybridMultilevel"/>
    <w:tmpl w:val="1B6A1DCA"/>
    <w:lvl w:ilvl="0" w:tplc="0D8E782C">
      <w:start w:val="1"/>
      <w:numFmt w:val="bullet"/>
      <w:lvlText w:val=""/>
      <w:lvlJc w:val="left"/>
      <w:pPr>
        <w:ind w:left="78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549BD"/>
    <w:multiLevelType w:val="hybridMultilevel"/>
    <w:tmpl w:val="104C9A9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1F406B3"/>
    <w:multiLevelType w:val="hybridMultilevel"/>
    <w:tmpl w:val="54103DC2"/>
    <w:lvl w:ilvl="0" w:tplc="0D8E782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8F71AF"/>
    <w:multiLevelType w:val="hybridMultilevel"/>
    <w:tmpl w:val="157A27E2"/>
    <w:lvl w:ilvl="0" w:tplc="0D8E78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0131AF"/>
    <w:multiLevelType w:val="hybridMultilevel"/>
    <w:tmpl w:val="E010445C"/>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097206C"/>
    <w:multiLevelType w:val="hybridMultilevel"/>
    <w:tmpl w:val="34E0FADA"/>
    <w:lvl w:ilvl="0" w:tplc="BBDEB74A">
      <w:start w:val="1"/>
      <w:numFmt w:val="decimal"/>
      <w:lvlText w:val="%1."/>
      <w:lvlJc w:val="left"/>
      <w:pPr>
        <w:ind w:left="1080" w:hanging="72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800C70"/>
    <w:multiLevelType w:val="hybridMultilevel"/>
    <w:tmpl w:val="C77C6D7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779A28F6"/>
    <w:multiLevelType w:val="hybridMultilevel"/>
    <w:tmpl w:val="426C8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277946"/>
    <w:multiLevelType w:val="hybridMultilevel"/>
    <w:tmpl w:val="9E663306"/>
    <w:lvl w:ilvl="0" w:tplc="5BEE2F4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CB6133"/>
    <w:multiLevelType w:val="hybridMultilevel"/>
    <w:tmpl w:val="CD3C34A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2"/>
  </w:num>
  <w:num w:numId="2">
    <w:abstractNumId w:val="0"/>
  </w:num>
  <w:num w:numId="3">
    <w:abstractNumId w:val="13"/>
  </w:num>
  <w:num w:numId="4">
    <w:abstractNumId w:val="18"/>
  </w:num>
  <w:num w:numId="5">
    <w:abstractNumId w:val="9"/>
  </w:num>
  <w:num w:numId="6">
    <w:abstractNumId w:val="20"/>
  </w:num>
  <w:num w:numId="7">
    <w:abstractNumId w:val="5"/>
  </w:num>
  <w:num w:numId="8">
    <w:abstractNumId w:val="3"/>
  </w:num>
  <w:num w:numId="9">
    <w:abstractNumId w:val="14"/>
  </w:num>
  <w:num w:numId="10">
    <w:abstractNumId w:val="22"/>
  </w:num>
  <w:num w:numId="11">
    <w:abstractNumId w:val="23"/>
  </w:num>
  <w:num w:numId="12">
    <w:abstractNumId w:val="17"/>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6"/>
  </w:num>
  <w:num w:numId="16">
    <w:abstractNumId w:val="24"/>
  </w:num>
  <w:num w:numId="17">
    <w:abstractNumId w:val="6"/>
  </w:num>
  <w:num w:numId="18">
    <w:abstractNumId w:val="21"/>
  </w:num>
  <w:num w:numId="19">
    <w:abstractNumId w:val="8"/>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5"/>
  </w:num>
  <w:num w:numId="23">
    <w:abstractNumId w:val="12"/>
  </w:num>
  <w:num w:numId="24">
    <w:abstractNumId w:val="16"/>
  </w:num>
  <w:num w:numId="25">
    <w:abstractNumId w:val="7"/>
  </w:num>
  <w:num w:numId="26">
    <w:abstractNumId w:val="4"/>
  </w:num>
  <w:num w:numId="27">
    <w:abstractNumId w:val="28"/>
  </w:num>
  <w:num w:numId="28">
    <w:abstractNumId w:val="25"/>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2MLU0MDAzNLcwtzRU0lEKTi0uzszPAykwMqwFAHxoVx8tAAAA"/>
  </w:docVars>
  <w:rsids>
    <w:rsidRoot w:val="0081403F"/>
    <w:rsid w:val="000156B2"/>
    <w:rsid w:val="00021171"/>
    <w:rsid w:val="00033D27"/>
    <w:rsid w:val="00036D3D"/>
    <w:rsid w:val="000472D2"/>
    <w:rsid w:val="0005423A"/>
    <w:rsid w:val="000554F8"/>
    <w:rsid w:val="000569E8"/>
    <w:rsid w:val="00065696"/>
    <w:rsid w:val="00073A8A"/>
    <w:rsid w:val="00075B46"/>
    <w:rsid w:val="00076A60"/>
    <w:rsid w:val="00082435"/>
    <w:rsid w:val="00085087"/>
    <w:rsid w:val="0008664B"/>
    <w:rsid w:val="00090D82"/>
    <w:rsid w:val="000B59EC"/>
    <w:rsid w:val="000B5D38"/>
    <w:rsid w:val="000C1CF7"/>
    <w:rsid w:val="000C2EBD"/>
    <w:rsid w:val="000D078D"/>
    <w:rsid w:val="000E006C"/>
    <w:rsid w:val="000E1457"/>
    <w:rsid w:val="000E51E8"/>
    <w:rsid w:val="000F7014"/>
    <w:rsid w:val="000F7788"/>
    <w:rsid w:val="000F7CEC"/>
    <w:rsid w:val="001045D3"/>
    <w:rsid w:val="00110DC3"/>
    <w:rsid w:val="0011106D"/>
    <w:rsid w:val="00114F57"/>
    <w:rsid w:val="00131257"/>
    <w:rsid w:val="0015439D"/>
    <w:rsid w:val="001565EC"/>
    <w:rsid w:val="00156F06"/>
    <w:rsid w:val="00157E3C"/>
    <w:rsid w:val="00165514"/>
    <w:rsid w:val="00166E2F"/>
    <w:rsid w:val="0017765A"/>
    <w:rsid w:val="001808D1"/>
    <w:rsid w:val="00180D54"/>
    <w:rsid w:val="001A00A0"/>
    <w:rsid w:val="001A1111"/>
    <w:rsid w:val="001B04B3"/>
    <w:rsid w:val="001B1BAD"/>
    <w:rsid w:val="001B4B91"/>
    <w:rsid w:val="001C32D1"/>
    <w:rsid w:val="001C38E5"/>
    <w:rsid w:val="001C4023"/>
    <w:rsid w:val="001C5033"/>
    <w:rsid w:val="001C7084"/>
    <w:rsid w:val="001D017A"/>
    <w:rsid w:val="001F1FBB"/>
    <w:rsid w:val="001F2773"/>
    <w:rsid w:val="0021246C"/>
    <w:rsid w:val="00216AAA"/>
    <w:rsid w:val="00223C2E"/>
    <w:rsid w:val="00236217"/>
    <w:rsid w:val="00252334"/>
    <w:rsid w:val="002667FB"/>
    <w:rsid w:val="00272D75"/>
    <w:rsid w:val="00281140"/>
    <w:rsid w:val="00292277"/>
    <w:rsid w:val="0029592E"/>
    <w:rsid w:val="00297984"/>
    <w:rsid w:val="002A0B49"/>
    <w:rsid w:val="002B304A"/>
    <w:rsid w:val="002B7688"/>
    <w:rsid w:val="002C62A9"/>
    <w:rsid w:val="002E5668"/>
    <w:rsid w:val="002E62E2"/>
    <w:rsid w:val="003037A2"/>
    <w:rsid w:val="0030709A"/>
    <w:rsid w:val="00307C47"/>
    <w:rsid w:val="0031357E"/>
    <w:rsid w:val="003206CC"/>
    <w:rsid w:val="00321FC9"/>
    <w:rsid w:val="00322D11"/>
    <w:rsid w:val="00337492"/>
    <w:rsid w:val="0033774C"/>
    <w:rsid w:val="003616C4"/>
    <w:rsid w:val="003633E5"/>
    <w:rsid w:val="00367624"/>
    <w:rsid w:val="003714AF"/>
    <w:rsid w:val="00383D3B"/>
    <w:rsid w:val="00391F52"/>
    <w:rsid w:val="003A26AA"/>
    <w:rsid w:val="003A334D"/>
    <w:rsid w:val="003A3765"/>
    <w:rsid w:val="003A6E64"/>
    <w:rsid w:val="003D2CA2"/>
    <w:rsid w:val="003D3EB1"/>
    <w:rsid w:val="003D5CE4"/>
    <w:rsid w:val="003E1870"/>
    <w:rsid w:val="003F21BB"/>
    <w:rsid w:val="003F3EF7"/>
    <w:rsid w:val="003F71B8"/>
    <w:rsid w:val="00403FF0"/>
    <w:rsid w:val="00405B62"/>
    <w:rsid w:val="00406B8B"/>
    <w:rsid w:val="00414300"/>
    <w:rsid w:val="00423A68"/>
    <w:rsid w:val="00424589"/>
    <w:rsid w:val="0043785E"/>
    <w:rsid w:val="00440888"/>
    <w:rsid w:val="00445D35"/>
    <w:rsid w:val="004530EA"/>
    <w:rsid w:val="0045760A"/>
    <w:rsid w:val="00463FF5"/>
    <w:rsid w:val="00485842"/>
    <w:rsid w:val="00487F7F"/>
    <w:rsid w:val="004936EE"/>
    <w:rsid w:val="00493B51"/>
    <w:rsid w:val="004C094C"/>
    <w:rsid w:val="004C10E0"/>
    <w:rsid w:val="004C18BB"/>
    <w:rsid w:val="004E01CE"/>
    <w:rsid w:val="004E75B5"/>
    <w:rsid w:val="004F66A8"/>
    <w:rsid w:val="00505DA4"/>
    <w:rsid w:val="005124BF"/>
    <w:rsid w:val="00517E46"/>
    <w:rsid w:val="00521153"/>
    <w:rsid w:val="00524295"/>
    <w:rsid w:val="00532CBF"/>
    <w:rsid w:val="0053476C"/>
    <w:rsid w:val="00535C16"/>
    <w:rsid w:val="0054382A"/>
    <w:rsid w:val="00546BD3"/>
    <w:rsid w:val="00551B81"/>
    <w:rsid w:val="00564FD4"/>
    <w:rsid w:val="0056735E"/>
    <w:rsid w:val="00574B21"/>
    <w:rsid w:val="00580928"/>
    <w:rsid w:val="00586A62"/>
    <w:rsid w:val="00587C51"/>
    <w:rsid w:val="005A395B"/>
    <w:rsid w:val="005A7EA2"/>
    <w:rsid w:val="005B0F30"/>
    <w:rsid w:val="005B48AC"/>
    <w:rsid w:val="005C67C6"/>
    <w:rsid w:val="005E66D3"/>
    <w:rsid w:val="005F0408"/>
    <w:rsid w:val="006125B2"/>
    <w:rsid w:val="006219A0"/>
    <w:rsid w:val="006349A6"/>
    <w:rsid w:val="00655DE8"/>
    <w:rsid w:val="00680739"/>
    <w:rsid w:val="00685DB0"/>
    <w:rsid w:val="006929BC"/>
    <w:rsid w:val="006C4927"/>
    <w:rsid w:val="006D3B3F"/>
    <w:rsid w:val="006D5876"/>
    <w:rsid w:val="006F51DD"/>
    <w:rsid w:val="007014DD"/>
    <w:rsid w:val="0070484E"/>
    <w:rsid w:val="00710822"/>
    <w:rsid w:val="00711167"/>
    <w:rsid w:val="007119CE"/>
    <w:rsid w:val="007236FC"/>
    <w:rsid w:val="00733262"/>
    <w:rsid w:val="00743487"/>
    <w:rsid w:val="00746A2E"/>
    <w:rsid w:val="00753C42"/>
    <w:rsid w:val="0075504B"/>
    <w:rsid w:val="00765539"/>
    <w:rsid w:val="00777187"/>
    <w:rsid w:val="00782B0A"/>
    <w:rsid w:val="00782BD0"/>
    <w:rsid w:val="007900B7"/>
    <w:rsid w:val="007911B0"/>
    <w:rsid w:val="007A4397"/>
    <w:rsid w:val="007A4955"/>
    <w:rsid w:val="007B6D6D"/>
    <w:rsid w:val="007C061F"/>
    <w:rsid w:val="007D693A"/>
    <w:rsid w:val="007D78B0"/>
    <w:rsid w:val="007E5517"/>
    <w:rsid w:val="007F6AEA"/>
    <w:rsid w:val="0080620F"/>
    <w:rsid w:val="00807895"/>
    <w:rsid w:val="0081403F"/>
    <w:rsid w:val="00832316"/>
    <w:rsid w:val="00832686"/>
    <w:rsid w:val="00842A04"/>
    <w:rsid w:val="008438FF"/>
    <w:rsid w:val="00844020"/>
    <w:rsid w:val="008677FB"/>
    <w:rsid w:val="00890663"/>
    <w:rsid w:val="008969F6"/>
    <w:rsid w:val="008A7CB2"/>
    <w:rsid w:val="008B5935"/>
    <w:rsid w:val="008C1C94"/>
    <w:rsid w:val="008D0EB3"/>
    <w:rsid w:val="008D36D1"/>
    <w:rsid w:val="008D4A1E"/>
    <w:rsid w:val="008E154A"/>
    <w:rsid w:val="008F269B"/>
    <w:rsid w:val="009032DE"/>
    <w:rsid w:val="00903314"/>
    <w:rsid w:val="009070AF"/>
    <w:rsid w:val="00933223"/>
    <w:rsid w:val="00952D99"/>
    <w:rsid w:val="00965636"/>
    <w:rsid w:val="00966C85"/>
    <w:rsid w:val="0097007E"/>
    <w:rsid w:val="00990312"/>
    <w:rsid w:val="00991B0F"/>
    <w:rsid w:val="009938A2"/>
    <w:rsid w:val="00996029"/>
    <w:rsid w:val="009A1087"/>
    <w:rsid w:val="009A27CB"/>
    <w:rsid w:val="009A2BDA"/>
    <w:rsid w:val="009A4926"/>
    <w:rsid w:val="009B4BB0"/>
    <w:rsid w:val="009C0234"/>
    <w:rsid w:val="009C5DBB"/>
    <w:rsid w:val="009E6D9D"/>
    <w:rsid w:val="009F786A"/>
    <w:rsid w:val="00A05364"/>
    <w:rsid w:val="00A05CFE"/>
    <w:rsid w:val="00A14D7F"/>
    <w:rsid w:val="00A20B87"/>
    <w:rsid w:val="00A213BB"/>
    <w:rsid w:val="00A27770"/>
    <w:rsid w:val="00A336C6"/>
    <w:rsid w:val="00A34B44"/>
    <w:rsid w:val="00A45623"/>
    <w:rsid w:val="00A54516"/>
    <w:rsid w:val="00A56508"/>
    <w:rsid w:val="00A648CD"/>
    <w:rsid w:val="00A66053"/>
    <w:rsid w:val="00A67172"/>
    <w:rsid w:val="00A80501"/>
    <w:rsid w:val="00AB71D7"/>
    <w:rsid w:val="00AE45E8"/>
    <w:rsid w:val="00AF35AD"/>
    <w:rsid w:val="00AF7338"/>
    <w:rsid w:val="00B01DF8"/>
    <w:rsid w:val="00B063F0"/>
    <w:rsid w:val="00B10734"/>
    <w:rsid w:val="00B11EEC"/>
    <w:rsid w:val="00B1508D"/>
    <w:rsid w:val="00B25110"/>
    <w:rsid w:val="00B37B65"/>
    <w:rsid w:val="00B40D34"/>
    <w:rsid w:val="00B44C2C"/>
    <w:rsid w:val="00B4765C"/>
    <w:rsid w:val="00B51457"/>
    <w:rsid w:val="00B54CF3"/>
    <w:rsid w:val="00B67818"/>
    <w:rsid w:val="00B67A8C"/>
    <w:rsid w:val="00B766E3"/>
    <w:rsid w:val="00B9016C"/>
    <w:rsid w:val="00B9101B"/>
    <w:rsid w:val="00B91FDA"/>
    <w:rsid w:val="00BA04F2"/>
    <w:rsid w:val="00BA0BF8"/>
    <w:rsid w:val="00BB1DAA"/>
    <w:rsid w:val="00BB68BA"/>
    <w:rsid w:val="00BC1B26"/>
    <w:rsid w:val="00BC34C7"/>
    <w:rsid w:val="00BC760A"/>
    <w:rsid w:val="00BE7D67"/>
    <w:rsid w:val="00BF19DE"/>
    <w:rsid w:val="00BF5709"/>
    <w:rsid w:val="00BF5AC2"/>
    <w:rsid w:val="00BF5B55"/>
    <w:rsid w:val="00C05E7C"/>
    <w:rsid w:val="00C0613F"/>
    <w:rsid w:val="00C07DC8"/>
    <w:rsid w:val="00C12203"/>
    <w:rsid w:val="00C156D2"/>
    <w:rsid w:val="00C25D04"/>
    <w:rsid w:val="00C26AE4"/>
    <w:rsid w:val="00C27DAC"/>
    <w:rsid w:val="00C42B0F"/>
    <w:rsid w:val="00C51688"/>
    <w:rsid w:val="00C52388"/>
    <w:rsid w:val="00C5636D"/>
    <w:rsid w:val="00C72D39"/>
    <w:rsid w:val="00C81774"/>
    <w:rsid w:val="00C83FF3"/>
    <w:rsid w:val="00C867E8"/>
    <w:rsid w:val="00CA181C"/>
    <w:rsid w:val="00CA1DBD"/>
    <w:rsid w:val="00CA594C"/>
    <w:rsid w:val="00CB4F15"/>
    <w:rsid w:val="00CB5A1F"/>
    <w:rsid w:val="00CE34D7"/>
    <w:rsid w:val="00CF11F3"/>
    <w:rsid w:val="00CF28F1"/>
    <w:rsid w:val="00D041F5"/>
    <w:rsid w:val="00D13D5E"/>
    <w:rsid w:val="00D222F7"/>
    <w:rsid w:val="00D260A5"/>
    <w:rsid w:val="00D35F38"/>
    <w:rsid w:val="00D43849"/>
    <w:rsid w:val="00D55215"/>
    <w:rsid w:val="00D64B45"/>
    <w:rsid w:val="00D709D3"/>
    <w:rsid w:val="00D71F40"/>
    <w:rsid w:val="00D96E5C"/>
    <w:rsid w:val="00DA46F4"/>
    <w:rsid w:val="00DA564A"/>
    <w:rsid w:val="00DA796C"/>
    <w:rsid w:val="00DA7DD3"/>
    <w:rsid w:val="00DB4818"/>
    <w:rsid w:val="00DC4051"/>
    <w:rsid w:val="00DC651D"/>
    <w:rsid w:val="00DD7DF1"/>
    <w:rsid w:val="00DF430D"/>
    <w:rsid w:val="00E056B5"/>
    <w:rsid w:val="00E10C58"/>
    <w:rsid w:val="00E208F9"/>
    <w:rsid w:val="00E20AD0"/>
    <w:rsid w:val="00E406F1"/>
    <w:rsid w:val="00E47B06"/>
    <w:rsid w:val="00E624EC"/>
    <w:rsid w:val="00E81E4D"/>
    <w:rsid w:val="00E84789"/>
    <w:rsid w:val="00E858E0"/>
    <w:rsid w:val="00E866B4"/>
    <w:rsid w:val="00E94DB8"/>
    <w:rsid w:val="00EA2B8E"/>
    <w:rsid w:val="00EB20F3"/>
    <w:rsid w:val="00ED62ED"/>
    <w:rsid w:val="00EE7127"/>
    <w:rsid w:val="00EF32DD"/>
    <w:rsid w:val="00EF72F1"/>
    <w:rsid w:val="00F01AB5"/>
    <w:rsid w:val="00F03583"/>
    <w:rsid w:val="00F048D5"/>
    <w:rsid w:val="00F2452A"/>
    <w:rsid w:val="00F32524"/>
    <w:rsid w:val="00F50352"/>
    <w:rsid w:val="00F54D6A"/>
    <w:rsid w:val="00F82511"/>
    <w:rsid w:val="00F8291D"/>
    <w:rsid w:val="00FA3B42"/>
    <w:rsid w:val="00FA4D75"/>
    <w:rsid w:val="00FA7760"/>
    <w:rsid w:val="00FC0F70"/>
    <w:rsid w:val="00FC3552"/>
    <w:rsid w:val="00FC7877"/>
    <w:rsid w:val="00FE3CA0"/>
    <w:rsid w:val="00FE3DCF"/>
    <w:rsid w:val="00FE6670"/>
    <w:rsid w:val="00FF0693"/>
    <w:rsid w:val="00FF1F96"/>
    <w:rsid w:val="00FF71EA"/>
    <w:rsid w:val="00FF74B5"/>
    <w:rsid w:val="00FF7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014F"/>
  <w15:chartTrackingRefBased/>
  <w15:docId w15:val="{A86670EE-CB3C-AA4F-80E9-EDEC1DEE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03F"/>
    <w:rPr>
      <w:sz w:val="24"/>
      <w:szCs w:val="24"/>
      <w:lang w:eastAsia="en-US"/>
    </w:rPr>
  </w:style>
  <w:style w:type="paragraph" w:styleId="Heading1">
    <w:name w:val="heading 1"/>
    <w:basedOn w:val="Normal"/>
    <w:next w:val="Normal"/>
    <w:link w:val="Heading1Char"/>
    <w:uiPriority w:val="9"/>
    <w:qFormat/>
    <w:rsid w:val="0081403F"/>
    <w:pPr>
      <w:keepNext/>
      <w:keepLines/>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81403F"/>
    <w:pPr>
      <w:keepNext/>
      <w:keepLines/>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81403F"/>
    <w:pPr>
      <w:keepNext/>
      <w:keepLines/>
      <w:spacing w:before="40"/>
      <w:outlineLvl w:val="2"/>
    </w:pPr>
    <w:rPr>
      <w:rFonts w:ascii="Calibri Light" w:eastAsia="Times New Roman"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1403F"/>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81403F"/>
    <w:rPr>
      <w:rFonts w:ascii="Calibri Light" w:eastAsia="Times New Roman" w:hAnsi="Calibri Light" w:cs="Times New Roman"/>
      <w:color w:val="2F5496"/>
      <w:sz w:val="26"/>
      <w:szCs w:val="26"/>
    </w:rPr>
  </w:style>
  <w:style w:type="character" w:customStyle="1" w:styleId="Heading3Char">
    <w:name w:val="Heading 3 Char"/>
    <w:link w:val="Heading3"/>
    <w:uiPriority w:val="9"/>
    <w:rsid w:val="0081403F"/>
    <w:rPr>
      <w:rFonts w:ascii="Calibri Light" w:eastAsia="Times New Roman" w:hAnsi="Calibri Light" w:cs="Times New Roman"/>
      <w:color w:val="1F3763"/>
    </w:rPr>
  </w:style>
  <w:style w:type="paragraph" w:customStyle="1" w:styleId="TableParagraph">
    <w:name w:val="Table Paragraph"/>
    <w:basedOn w:val="Normal"/>
    <w:uiPriority w:val="1"/>
    <w:qFormat/>
    <w:rsid w:val="0081403F"/>
    <w:pPr>
      <w:widowControl w:val="0"/>
      <w:autoSpaceDE w:val="0"/>
      <w:autoSpaceDN w:val="0"/>
      <w:ind w:left="107"/>
    </w:pPr>
    <w:rPr>
      <w:rFonts w:ascii="Arial" w:eastAsia="Arial" w:hAnsi="Arial" w:cs="Arial"/>
      <w:sz w:val="22"/>
      <w:szCs w:val="22"/>
      <w:lang w:val="en-US"/>
    </w:rPr>
  </w:style>
  <w:style w:type="paragraph" w:styleId="Bibliography">
    <w:name w:val="Bibliography"/>
    <w:basedOn w:val="Normal"/>
    <w:next w:val="Normal"/>
    <w:uiPriority w:val="37"/>
    <w:unhideWhenUsed/>
    <w:rsid w:val="0081403F"/>
  </w:style>
  <w:style w:type="paragraph" w:styleId="ListParagraph">
    <w:name w:val="List Paragraph"/>
    <w:basedOn w:val="Normal"/>
    <w:uiPriority w:val="34"/>
    <w:qFormat/>
    <w:rsid w:val="009C5DBB"/>
    <w:pPr>
      <w:ind w:left="720"/>
      <w:contextualSpacing/>
    </w:pPr>
  </w:style>
  <w:style w:type="paragraph" w:styleId="Caption">
    <w:name w:val="caption"/>
    <w:basedOn w:val="Normal"/>
    <w:next w:val="Normal"/>
    <w:uiPriority w:val="35"/>
    <w:unhideWhenUsed/>
    <w:qFormat/>
    <w:rsid w:val="00580928"/>
    <w:pPr>
      <w:spacing w:after="200"/>
    </w:pPr>
    <w:rPr>
      <w:i/>
      <w:iCs/>
      <w:color w:val="44546A"/>
      <w:sz w:val="18"/>
      <w:szCs w:val="18"/>
    </w:rPr>
  </w:style>
  <w:style w:type="paragraph" w:styleId="Footer">
    <w:name w:val="footer"/>
    <w:basedOn w:val="Normal"/>
    <w:link w:val="FooterChar"/>
    <w:uiPriority w:val="99"/>
    <w:unhideWhenUsed/>
    <w:rsid w:val="000B5D38"/>
    <w:pPr>
      <w:tabs>
        <w:tab w:val="center" w:pos="4680"/>
        <w:tab w:val="right" w:pos="9360"/>
      </w:tabs>
    </w:pPr>
  </w:style>
  <w:style w:type="character" w:customStyle="1" w:styleId="FooterChar">
    <w:name w:val="Footer Char"/>
    <w:basedOn w:val="DefaultParagraphFont"/>
    <w:link w:val="Footer"/>
    <w:uiPriority w:val="99"/>
    <w:rsid w:val="000B5D38"/>
  </w:style>
  <w:style w:type="character" w:styleId="PageNumber">
    <w:name w:val="page number"/>
    <w:basedOn w:val="DefaultParagraphFont"/>
    <w:uiPriority w:val="99"/>
    <w:semiHidden/>
    <w:unhideWhenUsed/>
    <w:rsid w:val="000B5D38"/>
  </w:style>
  <w:style w:type="paragraph" w:styleId="TOCHeading">
    <w:name w:val="TOC Heading"/>
    <w:basedOn w:val="Heading1"/>
    <w:next w:val="Normal"/>
    <w:uiPriority w:val="39"/>
    <w:unhideWhenUsed/>
    <w:qFormat/>
    <w:rsid w:val="000B5D3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07C47"/>
    <w:pPr>
      <w:tabs>
        <w:tab w:val="right" w:leader="dot" w:pos="9010"/>
      </w:tabs>
      <w:spacing w:before="120" w:line="276" w:lineRule="auto"/>
    </w:pPr>
    <w:rPr>
      <w:rFonts w:ascii="Tahoma" w:eastAsiaTheme="minorHAnsi" w:hAnsi="Tahoma" w:cs="Tahoma"/>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E056B5"/>
    <w:pPr>
      <w:tabs>
        <w:tab w:val="right" w:leader="dot" w:pos="9010"/>
      </w:tabs>
      <w:spacing w:before="120" w:line="360" w:lineRule="auto"/>
      <w:ind w:left="240"/>
    </w:pPr>
    <w:rPr>
      <w:rFonts w:ascii="Times" w:eastAsia="Times New Roman" w:hAnsi="Times" w:cs="Times"/>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3">
    <w:name w:val="toc 3"/>
    <w:basedOn w:val="Normal"/>
    <w:next w:val="Normal"/>
    <w:autoRedefine/>
    <w:uiPriority w:val="39"/>
    <w:unhideWhenUsed/>
    <w:rsid w:val="00E056B5"/>
    <w:pPr>
      <w:tabs>
        <w:tab w:val="right" w:leader="dot" w:pos="9010"/>
      </w:tabs>
      <w:spacing w:line="360" w:lineRule="auto"/>
      <w:ind w:left="480"/>
    </w:pPr>
    <w:rPr>
      <w:rFonts w:ascii="Times" w:hAnsi="Times" w:cs="Time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Hyperlink">
    <w:name w:val="Hyperlink"/>
    <w:uiPriority w:val="99"/>
    <w:unhideWhenUsed/>
    <w:rsid w:val="000B5D38"/>
    <w:rPr>
      <w:color w:val="0563C1"/>
      <w:u w:val="single"/>
    </w:rPr>
  </w:style>
  <w:style w:type="paragraph" w:styleId="TOC4">
    <w:name w:val="toc 4"/>
    <w:basedOn w:val="Normal"/>
    <w:next w:val="Normal"/>
    <w:autoRedefine/>
    <w:uiPriority w:val="39"/>
    <w:semiHidden/>
    <w:unhideWhenUsed/>
    <w:rsid w:val="000B5D38"/>
    <w:pPr>
      <w:ind w:left="720"/>
    </w:pPr>
    <w:rPr>
      <w:sz w:val="20"/>
      <w:szCs w:val="20"/>
    </w:rPr>
  </w:style>
  <w:style w:type="paragraph" w:styleId="TOC5">
    <w:name w:val="toc 5"/>
    <w:basedOn w:val="Normal"/>
    <w:next w:val="Normal"/>
    <w:autoRedefine/>
    <w:uiPriority w:val="39"/>
    <w:semiHidden/>
    <w:unhideWhenUsed/>
    <w:rsid w:val="000B5D38"/>
    <w:pPr>
      <w:ind w:left="960"/>
    </w:pPr>
    <w:rPr>
      <w:sz w:val="20"/>
      <w:szCs w:val="20"/>
    </w:rPr>
  </w:style>
  <w:style w:type="paragraph" w:styleId="TOC6">
    <w:name w:val="toc 6"/>
    <w:basedOn w:val="Normal"/>
    <w:next w:val="Normal"/>
    <w:autoRedefine/>
    <w:uiPriority w:val="39"/>
    <w:semiHidden/>
    <w:unhideWhenUsed/>
    <w:rsid w:val="000B5D38"/>
    <w:pPr>
      <w:ind w:left="1200"/>
    </w:pPr>
    <w:rPr>
      <w:sz w:val="20"/>
      <w:szCs w:val="20"/>
    </w:rPr>
  </w:style>
  <w:style w:type="paragraph" w:styleId="TOC7">
    <w:name w:val="toc 7"/>
    <w:basedOn w:val="Normal"/>
    <w:next w:val="Normal"/>
    <w:autoRedefine/>
    <w:uiPriority w:val="39"/>
    <w:semiHidden/>
    <w:unhideWhenUsed/>
    <w:rsid w:val="000B5D38"/>
    <w:pPr>
      <w:ind w:left="1440"/>
    </w:pPr>
    <w:rPr>
      <w:sz w:val="20"/>
      <w:szCs w:val="20"/>
    </w:rPr>
  </w:style>
  <w:style w:type="paragraph" w:styleId="TOC8">
    <w:name w:val="toc 8"/>
    <w:basedOn w:val="Normal"/>
    <w:next w:val="Normal"/>
    <w:autoRedefine/>
    <w:uiPriority w:val="39"/>
    <w:semiHidden/>
    <w:unhideWhenUsed/>
    <w:rsid w:val="000B5D38"/>
    <w:pPr>
      <w:ind w:left="1680"/>
    </w:pPr>
    <w:rPr>
      <w:sz w:val="20"/>
      <w:szCs w:val="20"/>
    </w:rPr>
  </w:style>
  <w:style w:type="paragraph" w:styleId="TOC9">
    <w:name w:val="toc 9"/>
    <w:basedOn w:val="Normal"/>
    <w:next w:val="Normal"/>
    <w:autoRedefine/>
    <w:uiPriority w:val="39"/>
    <w:semiHidden/>
    <w:unhideWhenUsed/>
    <w:rsid w:val="000B5D38"/>
    <w:pPr>
      <w:ind w:left="1920"/>
    </w:pPr>
    <w:rPr>
      <w:sz w:val="20"/>
      <w:szCs w:val="20"/>
    </w:rPr>
  </w:style>
  <w:style w:type="paragraph" w:styleId="TableofFigures">
    <w:name w:val="table of figures"/>
    <w:basedOn w:val="Normal"/>
    <w:next w:val="Normal"/>
    <w:uiPriority w:val="99"/>
    <w:unhideWhenUsed/>
    <w:rsid w:val="000B5D38"/>
  </w:style>
  <w:style w:type="paragraph" w:customStyle="1" w:styleId="Default">
    <w:name w:val="Default"/>
    <w:rsid w:val="00D64B45"/>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AB71D7"/>
    <w:pPr>
      <w:tabs>
        <w:tab w:val="center" w:pos="4513"/>
        <w:tab w:val="right" w:pos="9026"/>
      </w:tabs>
    </w:pPr>
  </w:style>
  <w:style w:type="character" w:customStyle="1" w:styleId="HeaderChar">
    <w:name w:val="Header Char"/>
    <w:basedOn w:val="DefaultParagraphFont"/>
    <w:link w:val="Header"/>
    <w:uiPriority w:val="99"/>
    <w:rsid w:val="00AB71D7"/>
    <w:rPr>
      <w:sz w:val="24"/>
      <w:szCs w:val="24"/>
      <w:lang w:eastAsia="en-US"/>
    </w:rPr>
  </w:style>
  <w:style w:type="paragraph" w:styleId="Title">
    <w:name w:val="Title"/>
    <w:basedOn w:val="Normal"/>
    <w:next w:val="Normal"/>
    <w:link w:val="TitleChar"/>
    <w:uiPriority w:val="10"/>
    <w:qFormat/>
    <w:rsid w:val="004F66A8"/>
    <w:pPr>
      <w:pBdr>
        <w:top w:val="single" w:sz="48" w:space="0" w:color="009DD9" w:themeColor="accent2"/>
        <w:bottom w:val="single" w:sz="48" w:space="0" w:color="009DD9" w:themeColor="accent2"/>
      </w:pBdr>
      <w:shd w:val="clear" w:color="auto" w:fill="009DD9" w:themeFill="accent2"/>
      <w:jc w:val="center"/>
    </w:pPr>
    <w:rPr>
      <w:rFonts w:asciiTheme="majorHAnsi" w:eastAsiaTheme="majorEastAsia" w:hAnsiTheme="majorHAnsi" w:cstheme="majorBidi"/>
      <w:i/>
      <w:iCs/>
      <w:color w:val="FFFFFF" w:themeColor="background1"/>
      <w:spacing w:val="10"/>
      <w:sz w:val="48"/>
      <w:szCs w:val="48"/>
    </w:rPr>
  </w:style>
  <w:style w:type="character" w:customStyle="1" w:styleId="TitleChar">
    <w:name w:val="Title Char"/>
    <w:basedOn w:val="DefaultParagraphFont"/>
    <w:link w:val="Title"/>
    <w:uiPriority w:val="10"/>
    <w:rsid w:val="004F66A8"/>
    <w:rPr>
      <w:rFonts w:asciiTheme="majorHAnsi" w:eastAsiaTheme="majorEastAsia" w:hAnsiTheme="majorHAnsi" w:cstheme="majorBidi"/>
      <w:i/>
      <w:iCs/>
      <w:color w:val="FFFFFF" w:themeColor="background1"/>
      <w:spacing w:val="10"/>
      <w:sz w:val="48"/>
      <w:szCs w:val="48"/>
      <w:shd w:val="clear" w:color="auto" w:fill="009DD9" w:themeFill="accent2"/>
      <w:lang w:eastAsia="en-US"/>
    </w:rPr>
  </w:style>
  <w:style w:type="table" w:styleId="GridTable1Light-Accent6">
    <w:name w:val="Grid Table 1 Light Accent 6"/>
    <w:basedOn w:val="TableNormal"/>
    <w:uiPriority w:val="46"/>
    <w:rsid w:val="003F71B8"/>
    <w:rPr>
      <w:rFonts w:asciiTheme="minorHAnsi" w:eastAsiaTheme="minorHAnsi" w:hAnsiTheme="minorHAnsi" w:cstheme="minorBidi"/>
      <w:sz w:val="24"/>
      <w:szCs w:val="24"/>
      <w:lang w:eastAsia="en-US"/>
    </w:rPr>
    <w:tblPr>
      <w:tblStyleRowBandSize w:val="1"/>
      <w:tblStyleColBandSize w:val="1"/>
      <w:tblInd w:w="0" w:type="nil"/>
      <w:tblBorders>
        <w:top w:val="single" w:sz="4" w:space="0" w:color="DAE6B6" w:themeColor="accent6" w:themeTint="66"/>
        <w:left w:val="single" w:sz="4" w:space="0" w:color="DAE6B6" w:themeColor="accent6" w:themeTint="66"/>
        <w:bottom w:val="single" w:sz="4" w:space="0" w:color="DAE6B6" w:themeColor="accent6" w:themeTint="66"/>
        <w:right w:val="single" w:sz="4" w:space="0" w:color="DAE6B6" w:themeColor="accent6" w:themeTint="66"/>
        <w:insideH w:val="single" w:sz="4" w:space="0" w:color="DAE6B6" w:themeColor="accent6" w:themeTint="66"/>
        <w:insideV w:val="single" w:sz="4" w:space="0" w:color="DAE6B6" w:themeColor="accent6" w:themeTint="66"/>
      </w:tblBorders>
    </w:tblPr>
    <w:tblStylePr w:type="firstRow">
      <w:rPr>
        <w:b/>
        <w:bCs/>
      </w:rPr>
      <w:tblPr/>
      <w:tcPr>
        <w:tcBorders>
          <w:bottom w:val="single" w:sz="12" w:space="0" w:color="C8DA91" w:themeColor="accent6" w:themeTint="99"/>
        </w:tcBorders>
      </w:tcPr>
    </w:tblStylePr>
    <w:tblStylePr w:type="lastRow">
      <w:rPr>
        <w:b/>
        <w:bCs/>
      </w:rPr>
      <w:tblPr/>
      <w:tcPr>
        <w:tcBorders>
          <w:top w:val="double" w:sz="2" w:space="0" w:color="C8DA91" w:themeColor="accent6" w:themeTint="99"/>
        </w:tcBorders>
      </w:tcPr>
    </w:tblStylePr>
    <w:tblStylePr w:type="firstCol">
      <w:rPr>
        <w:b/>
        <w:bCs/>
      </w:rPr>
    </w:tblStylePr>
    <w:tblStylePr w:type="lastCol">
      <w:rPr>
        <w:b/>
        <w:bCs/>
      </w:rPr>
    </w:tblStylePr>
  </w:style>
  <w:style w:type="table" w:styleId="TableGrid">
    <w:name w:val="Table Grid"/>
    <w:basedOn w:val="TableNormal"/>
    <w:uiPriority w:val="39"/>
    <w:rsid w:val="00A66053"/>
    <w:rPr>
      <w:rFonts w:asciiTheme="minorHAnsi" w:eastAsiaTheme="minorHAnsi" w:hAnsiTheme="minorHAnsi" w:cstheme="minorBidi"/>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7044">
      <w:bodyDiv w:val="1"/>
      <w:marLeft w:val="0"/>
      <w:marRight w:val="0"/>
      <w:marTop w:val="0"/>
      <w:marBottom w:val="0"/>
      <w:divBdr>
        <w:top w:val="none" w:sz="0" w:space="0" w:color="auto"/>
        <w:left w:val="none" w:sz="0" w:space="0" w:color="auto"/>
        <w:bottom w:val="none" w:sz="0" w:space="0" w:color="auto"/>
        <w:right w:val="none" w:sz="0" w:space="0" w:color="auto"/>
      </w:divBdr>
    </w:div>
    <w:div w:id="34281756">
      <w:bodyDiv w:val="1"/>
      <w:marLeft w:val="0"/>
      <w:marRight w:val="0"/>
      <w:marTop w:val="0"/>
      <w:marBottom w:val="0"/>
      <w:divBdr>
        <w:top w:val="none" w:sz="0" w:space="0" w:color="auto"/>
        <w:left w:val="none" w:sz="0" w:space="0" w:color="auto"/>
        <w:bottom w:val="none" w:sz="0" w:space="0" w:color="auto"/>
        <w:right w:val="none" w:sz="0" w:space="0" w:color="auto"/>
      </w:divBdr>
    </w:div>
    <w:div w:id="40905443">
      <w:bodyDiv w:val="1"/>
      <w:marLeft w:val="0"/>
      <w:marRight w:val="0"/>
      <w:marTop w:val="0"/>
      <w:marBottom w:val="0"/>
      <w:divBdr>
        <w:top w:val="none" w:sz="0" w:space="0" w:color="auto"/>
        <w:left w:val="none" w:sz="0" w:space="0" w:color="auto"/>
        <w:bottom w:val="none" w:sz="0" w:space="0" w:color="auto"/>
        <w:right w:val="none" w:sz="0" w:space="0" w:color="auto"/>
      </w:divBdr>
    </w:div>
    <w:div w:id="163251995">
      <w:bodyDiv w:val="1"/>
      <w:marLeft w:val="0"/>
      <w:marRight w:val="0"/>
      <w:marTop w:val="0"/>
      <w:marBottom w:val="0"/>
      <w:divBdr>
        <w:top w:val="none" w:sz="0" w:space="0" w:color="auto"/>
        <w:left w:val="none" w:sz="0" w:space="0" w:color="auto"/>
        <w:bottom w:val="none" w:sz="0" w:space="0" w:color="auto"/>
        <w:right w:val="none" w:sz="0" w:space="0" w:color="auto"/>
      </w:divBdr>
    </w:div>
    <w:div w:id="221604106">
      <w:bodyDiv w:val="1"/>
      <w:marLeft w:val="0"/>
      <w:marRight w:val="0"/>
      <w:marTop w:val="0"/>
      <w:marBottom w:val="0"/>
      <w:divBdr>
        <w:top w:val="none" w:sz="0" w:space="0" w:color="auto"/>
        <w:left w:val="none" w:sz="0" w:space="0" w:color="auto"/>
        <w:bottom w:val="none" w:sz="0" w:space="0" w:color="auto"/>
        <w:right w:val="none" w:sz="0" w:space="0" w:color="auto"/>
      </w:divBdr>
    </w:div>
    <w:div w:id="238948510">
      <w:bodyDiv w:val="1"/>
      <w:marLeft w:val="0"/>
      <w:marRight w:val="0"/>
      <w:marTop w:val="0"/>
      <w:marBottom w:val="0"/>
      <w:divBdr>
        <w:top w:val="none" w:sz="0" w:space="0" w:color="auto"/>
        <w:left w:val="none" w:sz="0" w:space="0" w:color="auto"/>
        <w:bottom w:val="none" w:sz="0" w:space="0" w:color="auto"/>
        <w:right w:val="none" w:sz="0" w:space="0" w:color="auto"/>
      </w:divBdr>
    </w:div>
    <w:div w:id="251862216">
      <w:bodyDiv w:val="1"/>
      <w:marLeft w:val="0"/>
      <w:marRight w:val="0"/>
      <w:marTop w:val="0"/>
      <w:marBottom w:val="0"/>
      <w:divBdr>
        <w:top w:val="none" w:sz="0" w:space="0" w:color="auto"/>
        <w:left w:val="none" w:sz="0" w:space="0" w:color="auto"/>
        <w:bottom w:val="none" w:sz="0" w:space="0" w:color="auto"/>
        <w:right w:val="none" w:sz="0" w:space="0" w:color="auto"/>
      </w:divBdr>
    </w:div>
    <w:div w:id="426535696">
      <w:bodyDiv w:val="1"/>
      <w:marLeft w:val="0"/>
      <w:marRight w:val="0"/>
      <w:marTop w:val="0"/>
      <w:marBottom w:val="0"/>
      <w:divBdr>
        <w:top w:val="none" w:sz="0" w:space="0" w:color="auto"/>
        <w:left w:val="none" w:sz="0" w:space="0" w:color="auto"/>
        <w:bottom w:val="none" w:sz="0" w:space="0" w:color="auto"/>
        <w:right w:val="none" w:sz="0" w:space="0" w:color="auto"/>
      </w:divBdr>
    </w:div>
    <w:div w:id="472866452">
      <w:bodyDiv w:val="1"/>
      <w:marLeft w:val="0"/>
      <w:marRight w:val="0"/>
      <w:marTop w:val="0"/>
      <w:marBottom w:val="0"/>
      <w:divBdr>
        <w:top w:val="none" w:sz="0" w:space="0" w:color="auto"/>
        <w:left w:val="none" w:sz="0" w:space="0" w:color="auto"/>
        <w:bottom w:val="none" w:sz="0" w:space="0" w:color="auto"/>
        <w:right w:val="none" w:sz="0" w:space="0" w:color="auto"/>
      </w:divBdr>
    </w:div>
    <w:div w:id="519012096">
      <w:bodyDiv w:val="1"/>
      <w:marLeft w:val="0"/>
      <w:marRight w:val="0"/>
      <w:marTop w:val="0"/>
      <w:marBottom w:val="0"/>
      <w:divBdr>
        <w:top w:val="none" w:sz="0" w:space="0" w:color="auto"/>
        <w:left w:val="none" w:sz="0" w:space="0" w:color="auto"/>
        <w:bottom w:val="none" w:sz="0" w:space="0" w:color="auto"/>
        <w:right w:val="none" w:sz="0" w:space="0" w:color="auto"/>
      </w:divBdr>
    </w:div>
    <w:div w:id="521937643">
      <w:bodyDiv w:val="1"/>
      <w:marLeft w:val="0"/>
      <w:marRight w:val="0"/>
      <w:marTop w:val="0"/>
      <w:marBottom w:val="0"/>
      <w:divBdr>
        <w:top w:val="none" w:sz="0" w:space="0" w:color="auto"/>
        <w:left w:val="none" w:sz="0" w:space="0" w:color="auto"/>
        <w:bottom w:val="none" w:sz="0" w:space="0" w:color="auto"/>
        <w:right w:val="none" w:sz="0" w:space="0" w:color="auto"/>
      </w:divBdr>
    </w:div>
    <w:div w:id="545023302">
      <w:bodyDiv w:val="1"/>
      <w:marLeft w:val="0"/>
      <w:marRight w:val="0"/>
      <w:marTop w:val="0"/>
      <w:marBottom w:val="0"/>
      <w:divBdr>
        <w:top w:val="none" w:sz="0" w:space="0" w:color="auto"/>
        <w:left w:val="none" w:sz="0" w:space="0" w:color="auto"/>
        <w:bottom w:val="none" w:sz="0" w:space="0" w:color="auto"/>
        <w:right w:val="none" w:sz="0" w:space="0" w:color="auto"/>
      </w:divBdr>
    </w:div>
    <w:div w:id="549194170">
      <w:bodyDiv w:val="1"/>
      <w:marLeft w:val="0"/>
      <w:marRight w:val="0"/>
      <w:marTop w:val="0"/>
      <w:marBottom w:val="0"/>
      <w:divBdr>
        <w:top w:val="none" w:sz="0" w:space="0" w:color="auto"/>
        <w:left w:val="none" w:sz="0" w:space="0" w:color="auto"/>
        <w:bottom w:val="none" w:sz="0" w:space="0" w:color="auto"/>
        <w:right w:val="none" w:sz="0" w:space="0" w:color="auto"/>
      </w:divBdr>
    </w:div>
    <w:div w:id="617833086">
      <w:bodyDiv w:val="1"/>
      <w:marLeft w:val="0"/>
      <w:marRight w:val="0"/>
      <w:marTop w:val="0"/>
      <w:marBottom w:val="0"/>
      <w:divBdr>
        <w:top w:val="none" w:sz="0" w:space="0" w:color="auto"/>
        <w:left w:val="none" w:sz="0" w:space="0" w:color="auto"/>
        <w:bottom w:val="none" w:sz="0" w:space="0" w:color="auto"/>
        <w:right w:val="none" w:sz="0" w:space="0" w:color="auto"/>
      </w:divBdr>
    </w:div>
    <w:div w:id="781415913">
      <w:bodyDiv w:val="1"/>
      <w:marLeft w:val="0"/>
      <w:marRight w:val="0"/>
      <w:marTop w:val="0"/>
      <w:marBottom w:val="0"/>
      <w:divBdr>
        <w:top w:val="none" w:sz="0" w:space="0" w:color="auto"/>
        <w:left w:val="none" w:sz="0" w:space="0" w:color="auto"/>
        <w:bottom w:val="none" w:sz="0" w:space="0" w:color="auto"/>
        <w:right w:val="none" w:sz="0" w:space="0" w:color="auto"/>
      </w:divBdr>
    </w:div>
    <w:div w:id="861241274">
      <w:bodyDiv w:val="1"/>
      <w:marLeft w:val="0"/>
      <w:marRight w:val="0"/>
      <w:marTop w:val="0"/>
      <w:marBottom w:val="0"/>
      <w:divBdr>
        <w:top w:val="none" w:sz="0" w:space="0" w:color="auto"/>
        <w:left w:val="none" w:sz="0" w:space="0" w:color="auto"/>
        <w:bottom w:val="none" w:sz="0" w:space="0" w:color="auto"/>
        <w:right w:val="none" w:sz="0" w:space="0" w:color="auto"/>
      </w:divBdr>
    </w:div>
    <w:div w:id="942301136">
      <w:bodyDiv w:val="1"/>
      <w:marLeft w:val="0"/>
      <w:marRight w:val="0"/>
      <w:marTop w:val="0"/>
      <w:marBottom w:val="0"/>
      <w:divBdr>
        <w:top w:val="none" w:sz="0" w:space="0" w:color="auto"/>
        <w:left w:val="none" w:sz="0" w:space="0" w:color="auto"/>
        <w:bottom w:val="none" w:sz="0" w:space="0" w:color="auto"/>
        <w:right w:val="none" w:sz="0" w:space="0" w:color="auto"/>
      </w:divBdr>
    </w:div>
    <w:div w:id="977102874">
      <w:bodyDiv w:val="1"/>
      <w:marLeft w:val="0"/>
      <w:marRight w:val="0"/>
      <w:marTop w:val="0"/>
      <w:marBottom w:val="0"/>
      <w:divBdr>
        <w:top w:val="none" w:sz="0" w:space="0" w:color="auto"/>
        <w:left w:val="none" w:sz="0" w:space="0" w:color="auto"/>
        <w:bottom w:val="none" w:sz="0" w:space="0" w:color="auto"/>
        <w:right w:val="none" w:sz="0" w:space="0" w:color="auto"/>
      </w:divBdr>
    </w:div>
    <w:div w:id="981419881">
      <w:bodyDiv w:val="1"/>
      <w:marLeft w:val="0"/>
      <w:marRight w:val="0"/>
      <w:marTop w:val="0"/>
      <w:marBottom w:val="0"/>
      <w:divBdr>
        <w:top w:val="none" w:sz="0" w:space="0" w:color="auto"/>
        <w:left w:val="none" w:sz="0" w:space="0" w:color="auto"/>
        <w:bottom w:val="none" w:sz="0" w:space="0" w:color="auto"/>
        <w:right w:val="none" w:sz="0" w:space="0" w:color="auto"/>
      </w:divBdr>
    </w:div>
    <w:div w:id="1010912763">
      <w:bodyDiv w:val="1"/>
      <w:marLeft w:val="0"/>
      <w:marRight w:val="0"/>
      <w:marTop w:val="0"/>
      <w:marBottom w:val="0"/>
      <w:divBdr>
        <w:top w:val="none" w:sz="0" w:space="0" w:color="auto"/>
        <w:left w:val="none" w:sz="0" w:space="0" w:color="auto"/>
        <w:bottom w:val="none" w:sz="0" w:space="0" w:color="auto"/>
        <w:right w:val="none" w:sz="0" w:space="0" w:color="auto"/>
      </w:divBdr>
    </w:div>
    <w:div w:id="1179150864">
      <w:bodyDiv w:val="1"/>
      <w:marLeft w:val="0"/>
      <w:marRight w:val="0"/>
      <w:marTop w:val="0"/>
      <w:marBottom w:val="0"/>
      <w:divBdr>
        <w:top w:val="none" w:sz="0" w:space="0" w:color="auto"/>
        <w:left w:val="none" w:sz="0" w:space="0" w:color="auto"/>
        <w:bottom w:val="none" w:sz="0" w:space="0" w:color="auto"/>
        <w:right w:val="none" w:sz="0" w:space="0" w:color="auto"/>
      </w:divBdr>
    </w:div>
    <w:div w:id="1255481745">
      <w:bodyDiv w:val="1"/>
      <w:marLeft w:val="0"/>
      <w:marRight w:val="0"/>
      <w:marTop w:val="0"/>
      <w:marBottom w:val="0"/>
      <w:divBdr>
        <w:top w:val="none" w:sz="0" w:space="0" w:color="auto"/>
        <w:left w:val="none" w:sz="0" w:space="0" w:color="auto"/>
        <w:bottom w:val="none" w:sz="0" w:space="0" w:color="auto"/>
        <w:right w:val="none" w:sz="0" w:space="0" w:color="auto"/>
      </w:divBdr>
    </w:div>
    <w:div w:id="1262254502">
      <w:bodyDiv w:val="1"/>
      <w:marLeft w:val="0"/>
      <w:marRight w:val="0"/>
      <w:marTop w:val="0"/>
      <w:marBottom w:val="0"/>
      <w:divBdr>
        <w:top w:val="none" w:sz="0" w:space="0" w:color="auto"/>
        <w:left w:val="none" w:sz="0" w:space="0" w:color="auto"/>
        <w:bottom w:val="none" w:sz="0" w:space="0" w:color="auto"/>
        <w:right w:val="none" w:sz="0" w:space="0" w:color="auto"/>
      </w:divBdr>
    </w:div>
    <w:div w:id="1395087502">
      <w:bodyDiv w:val="1"/>
      <w:marLeft w:val="0"/>
      <w:marRight w:val="0"/>
      <w:marTop w:val="0"/>
      <w:marBottom w:val="0"/>
      <w:divBdr>
        <w:top w:val="none" w:sz="0" w:space="0" w:color="auto"/>
        <w:left w:val="none" w:sz="0" w:space="0" w:color="auto"/>
        <w:bottom w:val="none" w:sz="0" w:space="0" w:color="auto"/>
        <w:right w:val="none" w:sz="0" w:space="0" w:color="auto"/>
      </w:divBdr>
    </w:div>
    <w:div w:id="1538855062">
      <w:bodyDiv w:val="1"/>
      <w:marLeft w:val="0"/>
      <w:marRight w:val="0"/>
      <w:marTop w:val="0"/>
      <w:marBottom w:val="0"/>
      <w:divBdr>
        <w:top w:val="none" w:sz="0" w:space="0" w:color="auto"/>
        <w:left w:val="none" w:sz="0" w:space="0" w:color="auto"/>
        <w:bottom w:val="none" w:sz="0" w:space="0" w:color="auto"/>
        <w:right w:val="none" w:sz="0" w:space="0" w:color="auto"/>
      </w:divBdr>
    </w:div>
    <w:div w:id="1565290690">
      <w:bodyDiv w:val="1"/>
      <w:marLeft w:val="0"/>
      <w:marRight w:val="0"/>
      <w:marTop w:val="0"/>
      <w:marBottom w:val="0"/>
      <w:divBdr>
        <w:top w:val="none" w:sz="0" w:space="0" w:color="auto"/>
        <w:left w:val="none" w:sz="0" w:space="0" w:color="auto"/>
        <w:bottom w:val="none" w:sz="0" w:space="0" w:color="auto"/>
        <w:right w:val="none" w:sz="0" w:space="0" w:color="auto"/>
      </w:divBdr>
    </w:div>
    <w:div w:id="1594893587">
      <w:bodyDiv w:val="1"/>
      <w:marLeft w:val="0"/>
      <w:marRight w:val="0"/>
      <w:marTop w:val="0"/>
      <w:marBottom w:val="0"/>
      <w:divBdr>
        <w:top w:val="none" w:sz="0" w:space="0" w:color="auto"/>
        <w:left w:val="none" w:sz="0" w:space="0" w:color="auto"/>
        <w:bottom w:val="none" w:sz="0" w:space="0" w:color="auto"/>
        <w:right w:val="none" w:sz="0" w:space="0" w:color="auto"/>
      </w:divBdr>
    </w:div>
    <w:div w:id="1599563848">
      <w:bodyDiv w:val="1"/>
      <w:marLeft w:val="0"/>
      <w:marRight w:val="0"/>
      <w:marTop w:val="0"/>
      <w:marBottom w:val="0"/>
      <w:divBdr>
        <w:top w:val="none" w:sz="0" w:space="0" w:color="auto"/>
        <w:left w:val="none" w:sz="0" w:space="0" w:color="auto"/>
        <w:bottom w:val="none" w:sz="0" w:space="0" w:color="auto"/>
        <w:right w:val="none" w:sz="0" w:space="0" w:color="auto"/>
      </w:divBdr>
    </w:div>
    <w:div w:id="1767382913">
      <w:bodyDiv w:val="1"/>
      <w:marLeft w:val="0"/>
      <w:marRight w:val="0"/>
      <w:marTop w:val="0"/>
      <w:marBottom w:val="0"/>
      <w:divBdr>
        <w:top w:val="none" w:sz="0" w:space="0" w:color="auto"/>
        <w:left w:val="none" w:sz="0" w:space="0" w:color="auto"/>
        <w:bottom w:val="none" w:sz="0" w:space="0" w:color="auto"/>
        <w:right w:val="none" w:sz="0" w:space="0" w:color="auto"/>
      </w:divBdr>
    </w:div>
    <w:div w:id="1852910860">
      <w:bodyDiv w:val="1"/>
      <w:marLeft w:val="0"/>
      <w:marRight w:val="0"/>
      <w:marTop w:val="0"/>
      <w:marBottom w:val="0"/>
      <w:divBdr>
        <w:top w:val="none" w:sz="0" w:space="0" w:color="auto"/>
        <w:left w:val="none" w:sz="0" w:space="0" w:color="auto"/>
        <w:bottom w:val="none" w:sz="0" w:space="0" w:color="auto"/>
        <w:right w:val="none" w:sz="0" w:space="0" w:color="auto"/>
      </w:divBdr>
    </w:div>
    <w:div w:id="1926451804">
      <w:bodyDiv w:val="1"/>
      <w:marLeft w:val="0"/>
      <w:marRight w:val="0"/>
      <w:marTop w:val="0"/>
      <w:marBottom w:val="0"/>
      <w:divBdr>
        <w:top w:val="none" w:sz="0" w:space="0" w:color="auto"/>
        <w:left w:val="none" w:sz="0" w:space="0" w:color="auto"/>
        <w:bottom w:val="none" w:sz="0" w:space="0" w:color="auto"/>
        <w:right w:val="none" w:sz="0" w:space="0" w:color="auto"/>
      </w:divBdr>
    </w:div>
    <w:div w:id="1939562356">
      <w:bodyDiv w:val="1"/>
      <w:marLeft w:val="0"/>
      <w:marRight w:val="0"/>
      <w:marTop w:val="0"/>
      <w:marBottom w:val="0"/>
      <w:divBdr>
        <w:top w:val="none" w:sz="0" w:space="0" w:color="auto"/>
        <w:left w:val="none" w:sz="0" w:space="0" w:color="auto"/>
        <w:bottom w:val="none" w:sz="0" w:space="0" w:color="auto"/>
        <w:right w:val="none" w:sz="0" w:space="0" w:color="auto"/>
      </w:divBdr>
      <w:divsChild>
        <w:div w:id="339434695">
          <w:marLeft w:val="0"/>
          <w:marRight w:val="0"/>
          <w:marTop w:val="0"/>
          <w:marBottom w:val="0"/>
          <w:divBdr>
            <w:top w:val="none" w:sz="0" w:space="0" w:color="auto"/>
            <w:left w:val="none" w:sz="0" w:space="0" w:color="auto"/>
            <w:bottom w:val="none" w:sz="0" w:space="0" w:color="auto"/>
            <w:right w:val="none" w:sz="0" w:space="0" w:color="auto"/>
          </w:divBdr>
          <w:divsChild>
            <w:div w:id="7197422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51280022">
      <w:bodyDiv w:val="1"/>
      <w:marLeft w:val="0"/>
      <w:marRight w:val="0"/>
      <w:marTop w:val="0"/>
      <w:marBottom w:val="0"/>
      <w:divBdr>
        <w:top w:val="none" w:sz="0" w:space="0" w:color="auto"/>
        <w:left w:val="none" w:sz="0" w:space="0" w:color="auto"/>
        <w:bottom w:val="none" w:sz="0" w:space="0" w:color="auto"/>
        <w:right w:val="none" w:sz="0" w:space="0" w:color="auto"/>
      </w:divBdr>
    </w:div>
    <w:div w:id="2076858534">
      <w:bodyDiv w:val="1"/>
      <w:marLeft w:val="0"/>
      <w:marRight w:val="0"/>
      <w:marTop w:val="0"/>
      <w:marBottom w:val="0"/>
      <w:divBdr>
        <w:top w:val="none" w:sz="0" w:space="0" w:color="auto"/>
        <w:left w:val="none" w:sz="0" w:space="0" w:color="auto"/>
        <w:bottom w:val="none" w:sz="0" w:space="0" w:color="auto"/>
        <w:right w:val="none" w:sz="0" w:space="0" w:color="auto"/>
      </w:divBdr>
    </w:div>
    <w:div w:id="2105690422">
      <w:bodyDiv w:val="1"/>
      <w:marLeft w:val="0"/>
      <w:marRight w:val="0"/>
      <w:marTop w:val="0"/>
      <w:marBottom w:val="0"/>
      <w:divBdr>
        <w:top w:val="none" w:sz="0" w:space="0" w:color="auto"/>
        <w:left w:val="none" w:sz="0" w:space="0" w:color="auto"/>
        <w:bottom w:val="none" w:sz="0" w:space="0" w:color="auto"/>
        <w:right w:val="none" w:sz="0" w:space="0" w:color="auto"/>
      </w:divBdr>
    </w:div>
    <w:div w:id="211192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Mil86</b:Tag>
    <b:SourceType>Book</b:SourceType>
    <b:Guid>{D6F2FE42-50AA-0845-9A0F-A20510B3EC40}</b:Guid>
    <b:Author>
      <b:Author>
        <b:NameList>
          <b:Person>
            <b:Last>Miller</b:Last>
            <b:First> M. L.,  Miller, M. L., Kirk, J.  </b:First>
          </b:Person>
        </b:NameList>
      </b:Author>
    </b:Author>
    <b:Title> Reliability and Validity in Qualitative Research</b:Title>
    <b:Year>1986</b:Year>
    <b:City>India</b:City>
    <b:Publisher>SAGE Publications</b:Publisher>
    <b:RefOrder>1</b:RefOrder>
  </b:Source>
  <b:Source>
    <b:Tag>Dan201</b:Tag>
    <b:SourceType>JournalArticle</b:SourceType>
    <b:Guid>{3C6CD7A1-0B15-DA4A-ABE7-DECAF78AD08A}</b:Guid>
    <b:Title>Synthesizing Primary and Secondary Research to Drive Strategy: A Final Project for a Strategic Communication Research Course</b:Title>
    <b:Year>2020</b:Year>
    <b:Author>
      <b:Author>
        <b:NameList>
          <b:Person>
            <b:Last>LaGree</b:Last>
            <b:First>Danielle</b:First>
          </b:Person>
        </b:NameList>
      </b:Author>
    </b:Author>
    <b:JournalName>Journal of Public Relations Education</b:JournalName>
    <b:Volume>6</b:Volume>
    <b:Issue>2</b:Issue>
    <b:Pages>142-149</b:Pages>
    <b:RefOrder>2</b:RefOrder>
  </b:Source>
  <b:Source>
    <b:Tag>Baz13</b:Tag>
    <b:SourceType>Book</b:SourceType>
    <b:Guid>{38D8734F-DDD9-B948-8E09-B98B3DBBCF1E}</b:Guid>
    <b:Author>
      <b:Author>
        <b:NameList>
          <b:Person>
            <b:Last>Bazeley</b:Last>
            <b:First> P</b:First>
          </b:Person>
        </b:NameList>
      </b:Author>
    </b:Author>
    <b:Title>Qualitative Data Analysis: Practical Strategies</b:Title>
    <b:Year>2013</b:Year>
    <b:City>United Kingdom</b:City>
    <b:Publisher> SAGE Publications</b:Publisher>
    <b:RefOrder>3</b:RefOrder>
  </b:Source>
  <b:Source>
    <b:Tag>Gue13</b:Tag>
    <b:SourceType>Book</b:SourceType>
    <b:Guid>{5ECB90CB-9F3E-5C40-AD34-FAF5071A17D7}</b:Guid>
    <b:Author>
      <b:Author>
        <b:NameList>
          <b:Person>
            <b:Last>Guest</b:Last>
            <b:First> G., Mitchell, M. L., Namey, E. E. .</b:First>
          </b:Person>
        </b:NameList>
      </b:Author>
    </b:Author>
    <b:Title>Collecting Qualitative Data: A Field Manual for Applied Research</b:Title>
    <b:City>United Kingdom</b:City>
    <b:Publisher> SAGE Publications</b:Publisher>
    <b:Year>2013</b:Year>
    <b:RefOrder>4</b:RefOrder>
  </b:Source>
  <b:Source>
    <b:Tag>Ant12</b:Tag>
    <b:SourceType>Book</b:SourceType>
    <b:Guid>{1A4327ED-DE69-BA41-9901-32BA01748E51}</b:Guid>
    <b:Author>
      <b:Author>
        <b:NameList>
          <b:Person>
            <b:Last>Antonius</b:Last>
            <b:First> R.  </b:First>
          </b:Person>
        </b:NameList>
      </b:Author>
    </b:Author>
    <b:Title>Interpreting Quantitative Data with IBM SPSS Statistics</b:Title>
    <b:City>United Kingdom</b:City>
    <b:Publisher>SAGE Publications</b:Publisher>
    <b:Year>2012</b:Year>
    <b:RefOrder>5</b:RefOrder>
  </b:Source>
  <b:Source>
    <b:Tag>Jon02</b:Tag>
    <b:SourceType>BookSection</b:SourceType>
    <b:Guid>{63A98FF9-163B-7548-A1C5-AD767A785929}</b:Guid>
    <b:Title>The quantitative approach </b:Title>
    <b:City>United Kingdom </b:City>
    <b:Publisher>Thomson </b:Publisher>
    <b:Year>2002</b:Year>
    <b:Author>
      <b:Author>
        <b:NameList>
          <b:Person>
            <b:Last>Jon Curwin</b:Last>
            <b:First>Riger</b:First>
            <b:Middle>Slater</b:Middle>
          </b:Person>
        </b:NameList>
      </b:Author>
    </b:Author>
    <b:BookTitle>Quantitative methods for business decisions </b:BookTitle>
    <b:Pages>7-31</b:Pages>
    <b:RefOrder>6</b:RefOrder>
  </b:Source>
  <b:Source>
    <b:Tag>Pam10</b:Tag>
    <b:SourceType>JournalArticle</b:SourceType>
    <b:Guid>{35EC6FF4-E70E-4E4D-833A-D9C06BF2EDBE}</b:Guid>
    <b:Title>Qualitative Case Study Methodology: Study Design and Implementation for Novice Researchers </b:Title>
    <b:Year>2010</b:Year>
    <b:Author>
      <b:Author>
        <b:NameList>
          <b:Person>
            <b:Last>Pamela Elizabeth Baxter</b:Last>
            <b:First>Susan</b:First>
            <b:Middle>M. Jack</b:Middle>
          </b:Person>
        </b:NameList>
      </b:Author>
    </b:Author>
    <b:JournalName>Research Gate </b:JournalName>
    <b:Volume>13</b:Volume>
    <b:RefOrder>7</b:RefOrder>
  </b:Source>
  <b:Source>
    <b:Tag>Sio20</b:Tag>
    <b:SourceType>InternetSite</b:SourceType>
    <b:Guid>{27C33AF5-AD5A-DE4C-A0FB-0BD7EA50C13B}</b:Guid>
    <b:Title>16 Important Ways to Use Case Studies in Your Marketing</b:Title>
    <b:Year>2020</b:Year>
    <b:Author>
      <b:Author>
        <b:NameList>
          <b:Person>
            <b:Last>McGinty</b:Last>
            <b:First>Siobhan</b:First>
          </b:Person>
        </b:NameList>
      </b:Author>
    </b:Author>
    <b:URL>blog.hotspot.com</b:URL>
    <b:YearAccessed>2021</b:YearAccessed>
    <b:MonthAccessed>April </b:MonthAccessed>
    <b:DayAccessed>20</b:DayAccessed>
    <b:RefOrder>8</b:RefOrder>
  </b:Source>
  <b:Source>
    <b:Tag>Ste16</b:Tag>
    <b:SourceType>SoundRecording</b:SourceType>
    <b:Guid>{809A81F9-15C2-1541-BAAC-C8BC91D19918}</b:Guid>
    <b:Title>6 Reasons You Should Do Secondary Research</b:Title>
    <b:Year>2016</b:Year>
    <b:Author>
      <b:Composer>
        <b:NameList>
          <b:Person>
            <b:Last>Litt</b:Last>
            <b:First>Steven</b:First>
          </b:Person>
        </b:NameList>
      </b:Composer>
    </b:Author>
    <b:ProductionCompany>Youtube </b:ProductionCompany>
    <b:RefOrder>9</b:RefOrder>
  </b:Source>
  <b:Source>
    <b:Tag>Vic17</b:Tag>
    <b:SourceType>JournalArticle</b:SourceType>
    <b:Guid>{96642459-1478-EA4E-BF99-F2970D5D436C}</b:Guid>
    <b:Title>Primarry sources of Data Collection </b:Title>
    <b:Year>2017</b:Year>
    <b:Author>
      <b:Author>
        <b:NameList>
          <b:Person>
            <b:Last>Ajayi</b:Last>
            <b:First>Victor</b:First>
          </b:Person>
        </b:NameList>
      </b:Author>
    </b:Author>
    <b:JournalName>Research Gate </b:JournalName>
    <b:Pages>4-20</b:Pages>
    <b:RefOrder>10</b:RefOrder>
  </b:Source>
  <b:Source>
    <b:Tag>Yin17</b:Tag>
    <b:SourceType>Book</b:SourceType>
    <b:Guid>{7D56812A-4DED-3841-A0C0-647132076E4E}</b:Guid>
    <b:Author>
      <b:Author>
        <b:NameList>
          <b:Person>
            <b:Last>Yin</b:Last>
            <b:First> R. K.  S</b:First>
          </b:Person>
        </b:NameList>
      </b:Author>
    </b:Author>
    <b:Title>Case Study Research and Applications: Design and Methods.</b:Title>
    <b:Year>2017</b:Year>
    <b:City>United States</b:City>
    <b:Publisher>AGE Publications.</b:Publisher>
    <b:RefOrder>11</b:RefOrder>
  </b:Source>
  <b:Source>
    <b:Tag>Roo17</b:Tag>
    <b:SourceType>JournalArticle</b:SourceType>
    <b:Guid>{16DC1AA6-159B-0B47-9EF7-B59DD05E2404}</b:Guid>
    <b:Title>Questionnaire Designing for a Survey</b:Title>
    <b:Year>2017</b:Year>
    <b:Author>
      <b:Author>
        <b:NameList>
          <b:Person>
            <b:Last>Roopa</b:Last>
            <b:First>Rani</b:First>
            <b:Middle>MS.</b:Middle>
          </b:Person>
        </b:NameList>
      </b:Author>
    </b:Author>
    <b:JournalName>J Ind Orthod Soc</b:JournalName>
    <b:Volume>46</b:Volume>
    <b:Issue>4</b:Issue>
    <b:Pages>273-277</b:Pages>
    <b:RefOrder>12</b:RefOrder>
  </b:Source>
  <b:Source>
    <b:Tag>LID21</b:Tag>
    <b:SourceType>InternetSite</b:SourceType>
    <b:Guid>{3E017B44-564B-D04E-B92B-1DFA4CAE5B87}</b:Guid>
    <b:Author>
      <b:Author>
        <b:Corporate>LIDL </b:Corporate>
      </b:Author>
    </b:Author>
    <b:Title>About Lidl </b:Title>
    <b:URL>corporate.lidl.co.uk </b:URL>
    <b:Year>2021</b:Year>
    <b:YearAccessed>2021</b:YearAccessed>
    <b:MonthAccessed>December </b:MonthAccessed>
    <b:DayAccessed>6</b:DayAccessed>
    <b:RefOrder>13</b:RefOrder>
  </b:Source>
  <b:Source>
    <b:Tag>Jas211</b:Tag>
    <b:SourceType>InternetSite</b:SourceType>
    <b:Guid>{B820623A-1450-CD43-8E2C-F084D4E1DEEE}</b:Guid>
    <b:Author>
      <b:Author>
        <b:NameList>
          <b:Person>
            <b:Last>Gillikin</b:Last>
            <b:First>Jason</b:First>
          </b:Person>
        </b:NameList>
      </b:Author>
    </b:Author>
    <b:Title>What is Product Segmentation </b:Title>
    <b:URL>smallbusiness.chron.com</b:URL>
    <b:Year>2021 </b:Year>
    <b:YearAccessed>2021</b:YearAccessed>
    <b:MonthAccessed>December </b:MonthAccessed>
    <b:DayAccessed>6</b:DayAccessed>
    <b:RefOrder>14</b:RefOrder>
  </b:Source>
  <b:Source>
    <b:Tag>Jai11</b:Tag>
    <b:SourceType>JournalArticle</b:SourceType>
    <b:Guid>{0897B7CA-06EA-2343-B717-1C6EF4FE9EEE}</b:Guid>
    <b:Title>Why does segmentation matter? Using Mixed Methodology to Identify Market Segments </b:Title>
    <b:Year>2011</b:Year>
    <b:Author>
      <b:Author>
        <b:NameList>
          <b:Person>
            <b:Last>Fonseca</b:Last>
            <b:First>Jaime</b:First>
          </b:Person>
        </b:NameList>
      </b:Author>
    </b:Author>
    <b:Pages>1-25</b:Pages>
    <b:RefOrder>15</b:RefOrder>
  </b:Source>
  <b:Source>
    <b:Tag>Bou93</b:Tag>
    <b:SourceType>Book</b:SourceType>
    <b:Guid>{F90B79F1-179E-B144-892D-22426412F3EE}</b:Guid>
    <b:Author>
      <b:Author>
        <b:NameList>
          <b:Person>
            <b:Last>Boutilier</b:Last>
            <b:First> R.  </b:First>
          </b:Person>
        </b:NameList>
      </b:Author>
    </b:Author>
    <b:Title>Targeting Families: Marketing to and Through the New Family.</b:Title>
    <b:Year>1993</b:Year>
    <b:City>United States</b:City>
    <b:Publisher>American Demographics Books</b:Publisher>
    <b:RefOrder>16</b:RefOrder>
  </b:Source>
  <b:Source>
    <b:Tag>Ham19</b:Tag>
    <b:SourceType>InternetSite</b:SourceType>
    <b:Guid>{B85F434C-9B42-0944-B00F-A9FC06A93CED}</b:Guid>
    <b:Author>
      <b:Author>
        <b:NameList>
          <b:Person>
            <b:Last>Hammett</b:Last>
            <b:First>Ellen</b:First>
          </b:Person>
        </b:NameList>
      </b:Author>
    </b:Author>
    <b:Title>Lidl on its new marketing campaign: We want to be as famous for quality as we are for price</b:Title>
    <b:Year>2019</b:Year>
    <b:URL>marketingweek.com</b:URL>
    <b:YearAccessed>2021</b:YearAccessed>
    <b:MonthAccessed>December </b:MonthAccessed>
    <b:DayAccessed>6</b:DayAccessed>
    <b:RefOrder>17</b:RefOrder>
  </b:Source>
  <b:Source>
    <b:Tag>Cop14</b:Tag>
    <b:SourceType>Report</b:SourceType>
    <b:Guid>{E57241A2-8E61-6648-BD63-8384F7233E60}</b:Guid>
    <b:Author>
      <b:Author>
        <b:Corporate>Copenhagen Economies</b:Corporate>
      </b:Author>
    </b:Author>
    <b:Title>The impact of trade liberalisation on the EU automotive industry: trends and prospects</b:Title>
    <b:Year>2014</b:Year>
    <b:Publisher>European Commission</b:Publisher>
    <b:City>Copenhagen</b:City>
    <b:RefOrder>5</b:RefOrder>
  </b:Source>
  <b:Source>
    <b:Tag>Uni20</b:Tag>
    <b:SourceType>Book</b:SourceType>
    <b:Guid>{B7C56CA0-42A0-F94B-A501-7C2303ABC662}</b:Guid>
    <b:Title>World Economic Situation and Prospects</b:Title>
    <b:Year>2020</b:Year>
    <b:Author>
      <b:Author>
        <b:Corporate>United Nations</b:Corporate>
      </b:Author>
    </b:Author>
    <b:City>New York </b:City>
    <b:Publisher>United Nations </b:Publisher>
    <b:RefOrder>1</b:RefOrder>
  </b:Source>
  <b:Source>
    <b:Tag>Bri20</b:Tag>
    <b:SourceType>InternetSite</b:SourceType>
    <b:Guid>{DD7C0E8C-9A0D-294B-9883-AB897C501CFB}</b:Guid>
    <b:Title>Covid 19's Impact on the Automativ Industry </b:Title>
    <b:Year>2020</b:Year>
    <b:Author>
      <b:Author>
        <b:NameList>
          <b:Person>
            <b:Last>Brian Collie</b:Last>
            <b:First>Alexander</b:First>
            <b:Middle>Wachtmeister, Albert Waas</b:Middle>
          </b:Person>
        </b:NameList>
      </b:Author>
    </b:Author>
    <b:URL>bcg.com</b:URL>
    <b:YearAccessed>2020</b:YearAccessed>
    <b:MonthAccessed>January </b:MonthAccessed>
    <b:DayAccessed>7</b:DayAccessed>
    <b:RefOrder>8</b:RefOrder>
  </b:Source>
  <b:Source>
    <b:Tag>Tim20</b:Tag>
    <b:SourceType>JournalArticle</b:SourceType>
    <b:Guid>{7F0CDF01-01D5-D640-B7C1-8B300AFE0012}</b:Guid>
    <b:Title>Tesla Pulls Ahead in the Coronavirus Era After Ellon Musk;s Years of Strugle </b:Title>
    <b:Year>2020</b:Year>
    <b:Author>
      <b:Author>
        <b:NameList>
          <b:Person>
            <b:Last>Higgins</b:Last>
            <b:First>Tim</b:First>
          </b:Person>
        </b:NameList>
      </b:Author>
    </b:Author>
    <b:JournalName>Wall Street Journal </b:JournalName>
    <b:Pages>6-10</b:Pages>
    <b:RefOrder>9</b:RefOrder>
  </b:Source>
  <b:Source>
    <b:Tag>Tej21</b:Tag>
    <b:SourceType>InternetSite</b:SourceType>
    <b:Guid>{EC822AE9-3EC0-894D-BCFE-E7EF9B4D3936}</b:Guid>
    <b:Author>
      <b:Author>
        <b:NameList>
          <b:Person>
            <b:Last>Pettinger</b:Last>
            <b:First>Tejvan</b:First>
          </b:Person>
        </b:NameList>
      </b:Author>
    </b:Author>
    <b:Title>Oligapoly </b:Title>
    <b:URL>https://www.economicshelp.org/microessays/markets/oligopoly/</b:URL>
    <b:Year>2021</b:Year>
    <b:YearAccessed>2021</b:YearAccessed>
    <b:MonthAccessed>December </b:MonthAccessed>
    <b:DayAccessed>16</b:DayAccessed>
    <b:RefOrder>2</b:RefOrder>
  </b:Source>
  <b:Source>
    <b:Tag>IEA21</b:Tag>
    <b:SourceType>Report</b:SourceType>
    <b:Guid>{AC92565D-61F9-A241-957C-6A74B5B9C184}</b:Guid>
    <b:Author>
      <b:Author>
        <b:Corporate>IEA</b:Corporate>
      </b:Author>
    </b:Author>
    <b:Title>Global EV Outlook 2021</b:Title>
    <b:Publisher>IEA, https://www.iea.org/reports/global-ev-outlook-2021</b:Publisher>
    <b:City>Paris</b:City>
    <b:Year>2021</b:Year>
    <b:RefOrder>3</b:RefOrder>
  </b:Source>
  <b:Source>
    <b:Tag>Bro21</b:Tag>
    <b:SourceType>Report</b:SourceType>
    <b:Guid>{A52EDE63-E520-714B-BF89-2DA5335DA5EC}</b:Guid>
    <b:Title>The Future of the EU Automotive Sector</b:Title>
    <b:Publisher>Policy Department for Economic, Scientific and Quality of Life Policies Directorate-General for Internal Policies</b:Publisher>
    <b:City>Luxenbourg</b:City>
    <b:Year>2021</b:Year>
    <b:Author>
      <b:Author>
        <b:NameList>
          <b:Person>
            <b:Last>Brown </b:Last>
            <b:First>David</b:First>
          </b:Person>
          <b:Person>
            <b:Last>Flickenschild</b:Last>
            <b:First>Michael</b:First>
          </b:Person>
          <b:Person>
            <b:Last>Mazzi</b:Last>
            <b:First>Caio</b:First>
          </b:Person>
          <b:Person>
            <b:Last>Gasparoti</b:Last>
            <b:First>Alessandro</b:First>
          </b:Person>
          <b:Person>
            <b:Last>Panagiotidou</b:Last>
            <b:First>Zinovia</b:First>
          </b:Person>
          <b:Person>
            <b:Last>Digenmanse</b:Last>
            <b:First>Juna</b:First>
          </b:Person>
          <b:Person>
            <b:Last>Bratzel</b:Last>
            <b:First>Stefan</b:First>
          </b:Person>
        </b:NameList>
      </b:Author>
    </b:Author>
    <b:RefOrder>4</b:RefOrder>
  </b:Source>
  <b:Source>
    <b:Tag>Dou21</b:Tag>
    <b:SourceType>InternetSite</b:SourceType>
    <b:Guid>{2E47A9CF-DEF7-434B-9CB2-259406133053}</b:Guid>
    <b:Title>2020 was a breakthrough year for electric vehicles. Here’s why </b:Title>
    <b:Year>2021</b:Year>
    <b:Author>
      <b:Author>
        <b:NameList>
          <b:Person>
            <b:Last>Broom</b:Last>
            <b:First>Douglas</b:First>
          </b:Person>
        </b:NameList>
      </b:Author>
    </b:Author>
    <b:URL>weforum.org</b:URL>
    <b:YearAccessed>2021</b:YearAccessed>
    <b:MonthAccessed>December </b:MonthAccessed>
    <b:DayAccessed>19</b:DayAccessed>
    <b:RefOrder>10</b:RefOrder>
  </b:Source>
  <b:Source>
    <b:Tag>Hau20</b:Tag>
    <b:SourceType>Report</b:SourceType>
    <b:Guid>{09551F24-A887-8942-B36C-5D1A9763CF9B}</b:Guid>
    <b:Title>The impact of Covid19 on future mobility solutions </b:Title>
    <b:Year>2020</b:Year>
    <b:Publisher>McKinsey Center for Future Mobility</b:Publisher>
    <b:Author>
      <b:Author>
        <b:NameList>
          <b:Person>
            <b:Last>Hausley </b:Last>
            <b:First>Saskia</b:First>
          </b:Person>
          <b:Person>
            <b:Last>Heineke</b:Last>
            <b:First>Kersten</b:First>
          </b:Person>
          <b:Person>
            <b:Last>Hensley</b:Last>
            <b:First>Russell</b:First>
          </b:Person>
          <b:Person>
            <b:Last>Moller</b:Last>
            <b:First>Timo</b:First>
          </b:Person>
          <b:Person>
            <b:Last>Scwedhelm</b:Last>
            <b:First>Dennis</b:First>
          </b:Person>
          <b:Person>
            <b:Last>Shen</b:Last>
            <b:First>Pei</b:First>
          </b:Person>
        </b:NameList>
      </b:Author>
    </b:Author>
    <b:RefOrder>11</b:RefOrder>
  </b:Source>
  <b:Source>
    <b:Tag>Fie20</b:Tag>
    <b:SourceType>InternetSite</b:SourceType>
    <b:Guid>{47A4463B-2045-F747-826C-8D4A6A0E2E83}</b:Guid>
    <b:Author>
      <b:Author>
        <b:NameList>
          <b:Person>
            <b:Last>Fields</b:Last>
            <b:First>Samatha</b:First>
          </b:Person>
        </b:NameList>
      </b:Author>
    </b:Author>
    <b:Title>Analysts say Tesla has been delivering, despite the pandemic </b:Title>
    <b:Year>2020</b:Year>
    <b:URL>https://www.marketplace.org/2020/10/21/tesla-third-quarter-results-auto-industry-covid-19-pandemic/</b:URL>
    <b:YearAccessed>2021</b:YearAccessed>
    <b:MonthAccessed>December</b:MonthAccessed>
    <b:DayAccessed>19</b:DayAccessed>
    <b:RefOrder>12</b:RefOrder>
  </b:Source>
  <b:Source>
    <b:Tag>Wen21</b:Tag>
    <b:SourceType>JournalArticle</b:SourceType>
    <b:Guid>{84E11840-8B24-B340-A3E7-BA1B1707D434}</b:Guid>
    <b:Title>Impacts of COVID-19 on the electric vehicle industry: Evidence from China</b:Title>
    <b:Year>2021</b:Year>
    <b:Author>
      <b:Author>
        <b:NameList>
          <b:Person>
            <b:Last>Wen</b:Last>
            <b:First>W</b:First>
          </b:Person>
          <b:Person>
            <b:Last>Yang</b:Last>
            <b:First>S</b:First>
          </b:Person>
          <b:Person>
            <b:Last>Zhou</b:Last>
            <b:First>P</b:First>
          </b:Person>
          <b:Person>
            <b:Last>Gao</b:Last>
            <b:Middle>Z</b:Middle>
            <b:First>S</b:First>
          </b:Person>
        </b:NameList>
      </b:Author>
    </b:Author>
    <b:JournalName>Renewable and Sustainable Energy Reviews</b:JournalName>
    <b:Volume>144</b:Volume>
    <b:Issue>1364</b:Issue>
    <b:RefOrder>6</b:RefOrder>
  </b:Source>
  <b:Source>
    <b:Tag>Gor21</b:Tag>
    <b:SourceType>JournalArticle</b:SourceType>
    <b:Guid>{669DBCB3-7D32-2B48-B513-315F6069CC47}</b:Guid>
    <b:Author>
      <b:Author>
        <b:NameList>
          <b:Person>
            <b:Last>Gorner</b:Last>
            <b:First>Marie</b:First>
          </b:Person>
          <b:Person>
            <b:Last>Paoli</b:Last>
            <b:First>Leonardo</b:First>
          </b:Person>
        </b:NameList>
      </b:Author>
    </b:Author>
    <b:Title>How global electric car sales defied Covid-19 in 2020 </b:Title>
    <b:JournalName>IEA</b:JournalName>
    <b:Year>2021</b:Year>
    <b:RefOrder>7</b:RefOrder>
  </b:Source>
  <b:Source>
    <b:Tag>Tes202</b:Tag>
    <b:SourceType>InternetSite</b:SourceType>
    <b:Guid>{40082373-83F9-D744-8CD0-104DD01CB51D}</b:Guid>
    <b:Title>Tesla Return to Work Playbook </b:Title>
    <b:Year>2020</b:Year>
    <b:Author>
      <b:Author>
        <b:Corporate>Tesla </b:Corporate>
      </b:Author>
    </b:Author>
    <b:URL>https://www.tesla.com/sites/default/files/blog_attachments/Tesla-Return-to-Work-Playbook.pdf</b:URL>
    <b:YearAccessed>2021</b:YearAccessed>
    <b:MonthAccessed>December </b:MonthAccessed>
    <b:DayAccessed>19</b:DayAccessed>
    <b:RefOrder>5</b:RefOrder>
  </b:Source>
</b:Sources>
</file>

<file path=customXml/itemProps1.xml><?xml version="1.0" encoding="utf-8"?>
<ds:datastoreItem xmlns:ds="http://schemas.openxmlformats.org/officeDocument/2006/customXml" ds:itemID="{940238FF-9966-4283-B23A-94B0A47F7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15533</CharactersWithSpaces>
  <SharedDoc>false</SharedDoc>
  <HyperlinkBase/>
  <HLinks>
    <vt:vector size="156" baseType="variant">
      <vt:variant>
        <vt:i4>1245237</vt:i4>
      </vt:variant>
      <vt:variant>
        <vt:i4>155</vt:i4>
      </vt:variant>
      <vt:variant>
        <vt:i4>0</vt:i4>
      </vt:variant>
      <vt:variant>
        <vt:i4>5</vt:i4>
      </vt:variant>
      <vt:variant>
        <vt:lpwstr/>
      </vt:variant>
      <vt:variant>
        <vt:lpwstr>_Toc70206460</vt:lpwstr>
      </vt:variant>
      <vt:variant>
        <vt:i4>1703990</vt:i4>
      </vt:variant>
      <vt:variant>
        <vt:i4>149</vt:i4>
      </vt:variant>
      <vt:variant>
        <vt:i4>0</vt:i4>
      </vt:variant>
      <vt:variant>
        <vt:i4>5</vt:i4>
      </vt:variant>
      <vt:variant>
        <vt:lpwstr/>
      </vt:variant>
      <vt:variant>
        <vt:lpwstr>_Toc70206459</vt:lpwstr>
      </vt:variant>
      <vt:variant>
        <vt:i4>1769526</vt:i4>
      </vt:variant>
      <vt:variant>
        <vt:i4>143</vt:i4>
      </vt:variant>
      <vt:variant>
        <vt:i4>0</vt:i4>
      </vt:variant>
      <vt:variant>
        <vt:i4>5</vt:i4>
      </vt:variant>
      <vt:variant>
        <vt:lpwstr/>
      </vt:variant>
      <vt:variant>
        <vt:lpwstr>_Toc70206458</vt:lpwstr>
      </vt:variant>
      <vt:variant>
        <vt:i4>1310774</vt:i4>
      </vt:variant>
      <vt:variant>
        <vt:i4>137</vt:i4>
      </vt:variant>
      <vt:variant>
        <vt:i4>0</vt:i4>
      </vt:variant>
      <vt:variant>
        <vt:i4>5</vt:i4>
      </vt:variant>
      <vt:variant>
        <vt:lpwstr/>
      </vt:variant>
      <vt:variant>
        <vt:lpwstr>_Toc70206457</vt:lpwstr>
      </vt:variant>
      <vt:variant>
        <vt:i4>1376310</vt:i4>
      </vt:variant>
      <vt:variant>
        <vt:i4>131</vt:i4>
      </vt:variant>
      <vt:variant>
        <vt:i4>0</vt:i4>
      </vt:variant>
      <vt:variant>
        <vt:i4>5</vt:i4>
      </vt:variant>
      <vt:variant>
        <vt:lpwstr/>
      </vt:variant>
      <vt:variant>
        <vt:lpwstr>_Toc70206456</vt:lpwstr>
      </vt:variant>
      <vt:variant>
        <vt:i4>1572919</vt:i4>
      </vt:variant>
      <vt:variant>
        <vt:i4>122</vt:i4>
      </vt:variant>
      <vt:variant>
        <vt:i4>0</vt:i4>
      </vt:variant>
      <vt:variant>
        <vt:i4>5</vt:i4>
      </vt:variant>
      <vt:variant>
        <vt:lpwstr/>
      </vt:variant>
      <vt:variant>
        <vt:lpwstr>_Toc70206649</vt:lpwstr>
      </vt:variant>
      <vt:variant>
        <vt:i4>1638455</vt:i4>
      </vt:variant>
      <vt:variant>
        <vt:i4>116</vt:i4>
      </vt:variant>
      <vt:variant>
        <vt:i4>0</vt:i4>
      </vt:variant>
      <vt:variant>
        <vt:i4>5</vt:i4>
      </vt:variant>
      <vt:variant>
        <vt:lpwstr/>
      </vt:variant>
      <vt:variant>
        <vt:lpwstr>_Toc70206648</vt:lpwstr>
      </vt:variant>
      <vt:variant>
        <vt:i4>1441847</vt:i4>
      </vt:variant>
      <vt:variant>
        <vt:i4>110</vt:i4>
      </vt:variant>
      <vt:variant>
        <vt:i4>0</vt:i4>
      </vt:variant>
      <vt:variant>
        <vt:i4>5</vt:i4>
      </vt:variant>
      <vt:variant>
        <vt:lpwstr/>
      </vt:variant>
      <vt:variant>
        <vt:lpwstr>_Toc70206647</vt:lpwstr>
      </vt:variant>
      <vt:variant>
        <vt:i4>1507383</vt:i4>
      </vt:variant>
      <vt:variant>
        <vt:i4>104</vt:i4>
      </vt:variant>
      <vt:variant>
        <vt:i4>0</vt:i4>
      </vt:variant>
      <vt:variant>
        <vt:i4>5</vt:i4>
      </vt:variant>
      <vt:variant>
        <vt:lpwstr/>
      </vt:variant>
      <vt:variant>
        <vt:lpwstr>_Toc70206646</vt:lpwstr>
      </vt:variant>
      <vt:variant>
        <vt:i4>1310775</vt:i4>
      </vt:variant>
      <vt:variant>
        <vt:i4>98</vt:i4>
      </vt:variant>
      <vt:variant>
        <vt:i4>0</vt:i4>
      </vt:variant>
      <vt:variant>
        <vt:i4>5</vt:i4>
      </vt:variant>
      <vt:variant>
        <vt:lpwstr/>
      </vt:variant>
      <vt:variant>
        <vt:lpwstr>_Toc70206645</vt:lpwstr>
      </vt:variant>
      <vt:variant>
        <vt:i4>1376311</vt:i4>
      </vt:variant>
      <vt:variant>
        <vt:i4>92</vt:i4>
      </vt:variant>
      <vt:variant>
        <vt:i4>0</vt:i4>
      </vt:variant>
      <vt:variant>
        <vt:i4>5</vt:i4>
      </vt:variant>
      <vt:variant>
        <vt:lpwstr/>
      </vt:variant>
      <vt:variant>
        <vt:lpwstr>_Toc70206644</vt:lpwstr>
      </vt:variant>
      <vt:variant>
        <vt:i4>1179703</vt:i4>
      </vt:variant>
      <vt:variant>
        <vt:i4>86</vt:i4>
      </vt:variant>
      <vt:variant>
        <vt:i4>0</vt:i4>
      </vt:variant>
      <vt:variant>
        <vt:i4>5</vt:i4>
      </vt:variant>
      <vt:variant>
        <vt:lpwstr/>
      </vt:variant>
      <vt:variant>
        <vt:lpwstr>_Toc70206643</vt:lpwstr>
      </vt:variant>
      <vt:variant>
        <vt:i4>1245239</vt:i4>
      </vt:variant>
      <vt:variant>
        <vt:i4>80</vt:i4>
      </vt:variant>
      <vt:variant>
        <vt:i4>0</vt:i4>
      </vt:variant>
      <vt:variant>
        <vt:i4>5</vt:i4>
      </vt:variant>
      <vt:variant>
        <vt:lpwstr/>
      </vt:variant>
      <vt:variant>
        <vt:lpwstr>_Toc70206642</vt:lpwstr>
      </vt:variant>
      <vt:variant>
        <vt:i4>1048631</vt:i4>
      </vt:variant>
      <vt:variant>
        <vt:i4>74</vt:i4>
      </vt:variant>
      <vt:variant>
        <vt:i4>0</vt:i4>
      </vt:variant>
      <vt:variant>
        <vt:i4>5</vt:i4>
      </vt:variant>
      <vt:variant>
        <vt:lpwstr/>
      </vt:variant>
      <vt:variant>
        <vt:lpwstr>_Toc70206641</vt:lpwstr>
      </vt:variant>
      <vt:variant>
        <vt:i4>1114167</vt:i4>
      </vt:variant>
      <vt:variant>
        <vt:i4>68</vt:i4>
      </vt:variant>
      <vt:variant>
        <vt:i4>0</vt:i4>
      </vt:variant>
      <vt:variant>
        <vt:i4>5</vt:i4>
      </vt:variant>
      <vt:variant>
        <vt:lpwstr/>
      </vt:variant>
      <vt:variant>
        <vt:lpwstr>_Toc70206640</vt:lpwstr>
      </vt:variant>
      <vt:variant>
        <vt:i4>1572912</vt:i4>
      </vt:variant>
      <vt:variant>
        <vt:i4>62</vt:i4>
      </vt:variant>
      <vt:variant>
        <vt:i4>0</vt:i4>
      </vt:variant>
      <vt:variant>
        <vt:i4>5</vt:i4>
      </vt:variant>
      <vt:variant>
        <vt:lpwstr/>
      </vt:variant>
      <vt:variant>
        <vt:lpwstr>_Toc70206639</vt:lpwstr>
      </vt:variant>
      <vt:variant>
        <vt:i4>1638448</vt:i4>
      </vt:variant>
      <vt:variant>
        <vt:i4>56</vt:i4>
      </vt:variant>
      <vt:variant>
        <vt:i4>0</vt:i4>
      </vt:variant>
      <vt:variant>
        <vt:i4>5</vt:i4>
      </vt:variant>
      <vt:variant>
        <vt:lpwstr/>
      </vt:variant>
      <vt:variant>
        <vt:lpwstr>_Toc70206638</vt:lpwstr>
      </vt:variant>
      <vt:variant>
        <vt:i4>1441840</vt:i4>
      </vt:variant>
      <vt:variant>
        <vt:i4>50</vt:i4>
      </vt:variant>
      <vt:variant>
        <vt:i4>0</vt:i4>
      </vt:variant>
      <vt:variant>
        <vt:i4>5</vt:i4>
      </vt:variant>
      <vt:variant>
        <vt:lpwstr/>
      </vt:variant>
      <vt:variant>
        <vt:lpwstr>_Toc70206637</vt:lpwstr>
      </vt:variant>
      <vt:variant>
        <vt:i4>1507376</vt:i4>
      </vt:variant>
      <vt:variant>
        <vt:i4>44</vt:i4>
      </vt:variant>
      <vt:variant>
        <vt:i4>0</vt:i4>
      </vt:variant>
      <vt:variant>
        <vt:i4>5</vt:i4>
      </vt:variant>
      <vt:variant>
        <vt:lpwstr/>
      </vt:variant>
      <vt:variant>
        <vt:lpwstr>_Toc70206636</vt:lpwstr>
      </vt:variant>
      <vt:variant>
        <vt:i4>1310768</vt:i4>
      </vt:variant>
      <vt:variant>
        <vt:i4>38</vt:i4>
      </vt:variant>
      <vt:variant>
        <vt:i4>0</vt:i4>
      </vt:variant>
      <vt:variant>
        <vt:i4>5</vt:i4>
      </vt:variant>
      <vt:variant>
        <vt:lpwstr/>
      </vt:variant>
      <vt:variant>
        <vt:lpwstr>_Toc70206635</vt:lpwstr>
      </vt:variant>
      <vt:variant>
        <vt:i4>1376304</vt:i4>
      </vt:variant>
      <vt:variant>
        <vt:i4>32</vt:i4>
      </vt:variant>
      <vt:variant>
        <vt:i4>0</vt:i4>
      </vt:variant>
      <vt:variant>
        <vt:i4>5</vt:i4>
      </vt:variant>
      <vt:variant>
        <vt:lpwstr/>
      </vt:variant>
      <vt:variant>
        <vt:lpwstr>_Toc70206634</vt:lpwstr>
      </vt:variant>
      <vt:variant>
        <vt:i4>1179696</vt:i4>
      </vt:variant>
      <vt:variant>
        <vt:i4>26</vt:i4>
      </vt:variant>
      <vt:variant>
        <vt:i4>0</vt:i4>
      </vt:variant>
      <vt:variant>
        <vt:i4>5</vt:i4>
      </vt:variant>
      <vt:variant>
        <vt:lpwstr/>
      </vt:variant>
      <vt:variant>
        <vt:lpwstr>_Toc70206633</vt:lpwstr>
      </vt:variant>
      <vt:variant>
        <vt:i4>1245232</vt:i4>
      </vt:variant>
      <vt:variant>
        <vt:i4>20</vt:i4>
      </vt:variant>
      <vt:variant>
        <vt:i4>0</vt:i4>
      </vt:variant>
      <vt:variant>
        <vt:i4>5</vt:i4>
      </vt:variant>
      <vt:variant>
        <vt:lpwstr/>
      </vt:variant>
      <vt:variant>
        <vt:lpwstr>_Toc70206632</vt:lpwstr>
      </vt:variant>
      <vt:variant>
        <vt:i4>1048624</vt:i4>
      </vt:variant>
      <vt:variant>
        <vt:i4>14</vt:i4>
      </vt:variant>
      <vt:variant>
        <vt:i4>0</vt:i4>
      </vt:variant>
      <vt:variant>
        <vt:i4>5</vt:i4>
      </vt:variant>
      <vt:variant>
        <vt:lpwstr/>
      </vt:variant>
      <vt:variant>
        <vt:lpwstr>_Toc70206631</vt:lpwstr>
      </vt:variant>
      <vt:variant>
        <vt:i4>1114160</vt:i4>
      </vt:variant>
      <vt:variant>
        <vt:i4>8</vt:i4>
      </vt:variant>
      <vt:variant>
        <vt:i4>0</vt:i4>
      </vt:variant>
      <vt:variant>
        <vt:i4>5</vt:i4>
      </vt:variant>
      <vt:variant>
        <vt:lpwstr/>
      </vt:variant>
      <vt:variant>
        <vt:lpwstr>_Toc70206630</vt:lpwstr>
      </vt:variant>
      <vt:variant>
        <vt:i4>1572913</vt:i4>
      </vt:variant>
      <vt:variant>
        <vt:i4>2</vt:i4>
      </vt:variant>
      <vt:variant>
        <vt:i4>0</vt:i4>
      </vt:variant>
      <vt:variant>
        <vt:i4>5</vt:i4>
      </vt:variant>
      <vt:variant>
        <vt:lpwstr/>
      </vt:variant>
      <vt:variant>
        <vt:lpwstr>_Toc70206629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Mariana Cocos</cp:lastModifiedBy>
  <cp:revision>6</cp:revision>
  <dcterms:created xsi:type="dcterms:W3CDTF">2022-01-10T21:26:00Z</dcterms:created>
  <dcterms:modified xsi:type="dcterms:W3CDTF">2022-01-12T20:24:00Z</dcterms:modified>
  <cp:category/>
</cp:coreProperties>
</file>