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pageBreakBefore w:val="true"/>
        <w:suppressAutoHyphens w:val="true"/>
        <w:spacing w:before="0" w:after="0" w:line="240"/>
        <w:ind w:right="0" w:left="0" w:firstLine="0"/>
        <w:jc w:val="center"/>
        <w:rPr>
          <w:rFonts w:ascii="Tinos" w:hAnsi="Tinos" w:cs="Tinos" w:eastAsia="Tinos"/>
          <w:color w:val="auto"/>
          <w:spacing w:val="0"/>
          <w:position w:val="0"/>
          <w:sz w:val="24"/>
          <w:shd w:fill="auto" w:val="clear"/>
        </w:rPr>
      </w:pPr>
      <w:r>
        <w:object w:dxaOrig="4354" w:dyaOrig="1791">
          <v:rect xmlns:o="urn:schemas-microsoft-com:office:office" xmlns:v="urn:schemas-microsoft-com:vml" id="rectole0000000000" style="width:217.700000pt;height:89.5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80" w:line="336"/>
        <w:ind w:right="0" w:left="0" w:firstLine="0"/>
        <w:jc w:val="left"/>
        <w:rPr>
          <w:rFonts w:ascii="Century Gothic" w:hAnsi="Century Gothic" w:cs="Century Gothic" w:eastAsia="Century Gothic"/>
          <w:b/>
          <w:color w:val="000000"/>
          <w:spacing w:val="0"/>
          <w:position w:val="0"/>
          <w:sz w:val="28"/>
          <w:u w:val="single"/>
          <w:shd w:fill="auto" w:val="clear"/>
        </w:rPr>
      </w:pPr>
    </w:p>
    <w:p>
      <w:pPr>
        <w:spacing w:before="0" w:after="280" w:line="336"/>
        <w:ind w:right="0" w:left="0" w:firstLine="0"/>
        <w:jc w:val="left"/>
        <w:rPr>
          <w:rFonts w:ascii="Century Gothic" w:hAnsi="Century Gothic" w:cs="Century Gothic" w:eastAsia="Century Gothic"/>
          <w:b/>
          <w:color w:val="000000"/>
          <w:spacing w:val="0"/>
          <w:position w:val="0"/>
          <w:sz w:val="28"/>
          <w:u w:val="single"/>
          <w:shd w:fill="auto" w:val="clear"/>
        </w:rPr>
      </w:pPr>
    </w:p>
    <w:p>
      <w:pPr>
        <w:suppressAutoHyphens w:val="true"/>
        <w:spacing w:before="0" w:after="0" w:line="240"/>
        <w:ind w:right="0" w:left="0" w:firstLine="0"/>
        <w:jc w:val="center"/>
        <w:rPr>
          <w:rFonts w:ascii="Tinos" w:hAnsi="Tinos" w:cs="Tinos" w:eastAsia="Tinos"/>
          <w:color w:val="auto"/>
          <w:spacing w:val="0"/>
          <w:position w:val="0"/>
          <w:sz w:val="24"/>
          <w:shd w:fill="auto" w:val="clear"/>
        </w:rPr>
      </w:pPr>
      <w:r>
        <w:rPr>
          <w:rFonts w:ascii="Times New Roman" w:hAnsi="Times New Roman" w:cs="Times New Roman" w:eastAsia="Times New Roman"/>
          <w:b/>
          <w:i/>
          <w:color w:val="000000"/>
          <w:spacing w:val="0"/>
          <w:position w:val="0"/>
          <w:sz w:val="96"/>
          <w:shd w:fill="auto" w:val="clear"/>
        </w:rPr>
        <w:t xml:space="preserve">Academic and Employability Skills</w:t>
      </w:r>
    </w:p>
    <w:p>
      <w:pPr>
        <w:spacing w:before="0" w:after="280" w:line="336"/>
        <w:ind w:right="0" w:left="0" w:firstLine="0"/>
        <w:jc w:val="left"/>
        <w:rPr>
          <w:rFonts w:ascii="Yu Gothic Light" w:hAnsi="Yu Gothic Light" w:cs="Yu Gothic Light" w:eastAsia="Yu Gothic Light"/>
          <w:color w:val="000000"/>
          <w:spacing w:val="0"/>
          <w:position w:val="0"/>
          <w:sz w:val="28"/>
          <w:u w:val="single"/>
          <w:shd w:fill="auto" w:val="clear"/>
        </w:rPr>
      </w:pPr>
    </w:p>
    <w:p>
      <w:pPr>
        <w:suppressAutoHyphens w:val="true"/>
        <w:spacing w:before="0" w:after="0" w:line="240"/>
        <w:ind w:right="0" w:left="0" w:firstLine="0"/>
        <w:jc w:val="center"/>
        <w:rPr>
          <w:rFonts w:ascii="Times New Roman" w:hAnsi="Times New Roman" w:cs="Times New Roman" w:eastAsia="Times New Roman"/>
          <w:color w:val="4454FC"/>
          <w:spacing w:val="0"/>
          <w:position w:val="0"/>
          <w:sz w:val="24"/>
          <w:shd w:fill="auto" w:val="clear"/>
        </w:rPr>
      </w:pPr>
      <w:r>
        <w:rPr>
          <w:rFonts w:ascii="Times New Roman" w:hAnsi="Times New Roman" w:cs="Times New Roman" w:eastAsia="Times New Roman"/>
          <w:color w:val="4454FC"/>
          <w:spacing w:val="0"/>
          <w:position w:val="0"/>
          <w:sz w:val="28"/>
          <w:shd w:fill="auto" w:val="clear"/>
        </w:rPr>
        <w:t xml:space="preserve">THE TITLE OF THE REPORT</w:t>
      </w:r>
    </w:p>
    <w:p>
      <w:pPr>
        <w:suppressAutoHyphens w:val="true"/>
        <w:spacing w:before="0" w:after="0" w:line="24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Name: Farima Resooli</w:t>
      </w:r>
    </w:p>
    <w:p>
      <w:pPr>
        <w:suppressAutoHyphens w:val="true"/>
        <w:spacing w:before="0" w:after="0" w:line="24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Number: 2133334</w:t>
      </w:r>
    </w:p>
    <w:p>
      <w:pPr>
        <w:suppressAutoHyphens w:val="true"/>
        <w:spacing w:before="0" w:after="0" w:line="24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Module Title: Academic and Employability Skills</w:t>
      </w:r>
    </w:p>
    <w:p>
      <w:pPr>
        <w:suppressAutoHyphens w:val="true"/>
        <w:spacing w:before="0" w:after="0" w:line="24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Module Code: LCHS 4001 </w:t>
      </w:r>
    </w:p>
    <w:p>
      <w:pPr>
        <w:suppressAutoHyphens w:val="true"/>
        <w:spacing w:before="0" w:after="0" w:line="24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Term: Term 1</w:t>
      </w:r>
    </w:p>
    <w:p>
      <w:pPr>
        <w:suppressAutoHyphens w:val="true"/>
        <w:spacing w:before="0" w:after="0" w:line="240"/>
        <w:ind w:right="0" w:left="0" w:firstLine="0"/>
        <w:jc w:val="center"/>
        <w:rPr>
          <w:rFonts w:ascii="Yu Gothic Light" w:hAnsi="Yu Gothic Light" w:cs="Yu Gothic Light" w:eastAsia="Yu Gothic Light"/>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Lecturer Name Peter Allen</w:t>
      </w:r>
      <w:r>
        <w:rPr>
          <w:rFonts w:ascii="Yu Gothic Light" w:hAnsi="Yu Gothic Light" w:cs="Yu Gothic Light" w:eastAsia="Yu Gothic Light"/>
          <w:color w:val="auto"/>
          <w:spacing w:val="0"/>
          <w:position w:val="0"/>
          <w:sz w:val="28"/>
          <w:shd w:fill="auto" w:val="clear"/>
        </w:rPr>
        <w:t xml:space="preserve"> </w:t>
      </w:r>
    </w:p>
    <w:p>
      <w:pPr>
        <w:keepNext w:val="true"/>
        <w:pageBreakBefore w:val="true"/>
        <w:spacing w:before="240" w:after="120" w:line="336"/>
        <w:ind w:right="0" w:left="0" w:firstLine="0"/>
        <w:jc w:val="center"/>
        <w:rPr>
          <w:rFonts w:ascii="Century Gothic" w:hAnsi="Century Gothic" w:cs="Century Gothic" w:eastAsia="Century Gothic"/>
          <w:color w:val="auto"/>
          <w:spacing w:val="0"/>
          <w:position w:val="0"/>
          <w:sz w:val="28"/>
          <w:u w:val="single"/>
          <w:shd w:fill="auto" w:val="clear"/>
        </w:rPr>
      </w:pPr>
      <w:r>
        <w:rPr>
          <w:rFonts w:ascii="Times New Roman" w:hAnsi="Times New Roman" w:cs="Times New Roman" w:eastAsia="Times New Roman"/>
          <w:b/>
          <w:color w:val="4454FC"/>
          <w:spacing w:val="0"/>
          <w:position w:val="0"/>
          <w:sz w:val="28"/>
          <w:u w:val="single"/>
          <w:shd w:fill="auto" w:val="clear"/>
        </w:rPr>
        <w:t xml:space="preserve">Table of Content</w:t>
      </w:r>
    </w:p>
    <w:p>
      <w:pPr>
        <w:keepNext w:val="true"/>
        <w:pageBreakBefore w:val="true"/>
        <w:spacing w:before="240" w:after="120" w:line="336"/>
        <w:ind w:right="0" w:left="0" w:firstLine="0"/>
        <w:jc w:val="center"/>
        <w:rPr>
          <w:rFonts w:ascii="Century Gothic" w:hAnsi="Century Gothic" w:cs="Century Gothic" w:eastAsia="Century Gothic"/>
          <w:color w:val="auto"/>
          <w:spacing w:val="0"/>
          <w:position w:val="0"/>
          <w:sz w:val="28"/>
          <w:u w:val="single"/>
          <w:shd w:fill="auto" w:val="clear"/>
        </w:rPr>
      </w:pPr>
      <w:r>
        <w:rPr>
          <w:rFonts w:ascii="Century Gothic" w:hAnsi="Century Gothic" w:cs="Century Gothic" w:eastAsia="Century Gothic"/>
          <w:color w:val="auto"/>
          <w:spacing w:val="0"/>
          <w:position w:val="0"/>
          <w:sz w:val="28"/>
          <w:u w:val="single"/>
          <w:shd w:fill="auto" w:val="clear"/>
        </w:rPr>
        <w:t xml:space="preserve">   Title of report </w:t>
      </w:r>
    </w:p>
    <w:p>
      <w:pPr>
        <w:keepNext w:val="true"/>
        <w:pageBreakBefore w:val="true"/>
        <w:spacing w:before="240" w:after="120" w:line="336"/>
        <w:ind w:right="0" w:left="0" w:firstLine="0"/>
        <w:jc w:val="center"/>
        <w:rPr>
          <w:rFonts w:ascii="Century Gothic" w:hAnsi="Century Gothic" w:cs="Century Gothic" w:eastAsia="Century Gothic"/>
          <w:color w:val="auto"/>
          <w:spacing w:val="0"/>
          <w:position w:val="0"/>
          <w:sz w:val="28"/>
          <w:u w:val="single"/>
          <w:shd w:fill="auto" w:val="clear"/>
        </w:rPr>
      </w:pPr>
      <w:r>
        <w:rPr>
          <w:rFonts w:ascii="Century Gothic" w:hAnsi="Century Gothic" w:cs="Century Gothic" w:eastAsia="Century Gothic"/>
          <w:color w:val="auto"/>
          <w:spacing w:val="0"/>
          <w:position w:val="0"/>
          <w:sz w:val="28"/>
          <w:u w:val="single"/>
          <w:shd w:fill="auto" w:val="clear"/>
        </w:rPr>
        <w:t xml:space="preserve"> introduction</w:t>
      </w:r>
    </w:p>
    <w:p>
      <w:pPr>
        <w:keepNext w:val="true"/>
        <w:pageBreakBefore w:val="true"/>
        <w:spacing w:before="240" w:after="120" w:line="336"/>
        <w:ind w:right="0" w:left="0" w:firstLine="0"/>
        <w:jc w:val="center"/>
        <w:rPr>
          <w:rFonts w:ascii="Century Gothic" w:hAnsi="Century Gothic" w:cs="Century Gothic" w:eastAsia="Century Gothic"/>
          <w:color w:val="auto"/>
          <w:spacing w:val="0"/>
          <w:position w:val="0"/>
          <w:sz w:val="28"/>
          <w:u w:val="single"/>
          <w:shd w:fill="auto" w:val="clear"/>
        </w:rPr>
      </w:pPr>
      <w:r>
        <w:rPr>
          <w:rFonts w:ascii="Century Gothic" w:hAnsi="Century Gothic" w:cs="Century Gothic" w:eastAsia="Century Gothic"/>
          <w:color w:val="auto"/>
          <w:spacing w:val="0"/>
          <w:position w:val="0"/>
          <w:sz w:val="28"/>
          <w:u w:val="single"/>
          <w:shd w:fill="auto" w:val="clear"/>
        </w:rPr>
        <w:t xml:space="preserve">tasks</w:t>
      </w:r>
    </w:p>
    <w:p>
      <w:pPr>
        <w:keepNext w:val="true"/>
        <w:pageBreakBefore w:val="true"/>
        <w:spacing w:before="240" w:after="120" w:line="336"/>
        <w:ind w:right="0" w:left="0" w:firstLine="0"/>
        <w:jc w:val="center"/>
        <w:rPr>
          <w:rFonts w:ascii="Century Gothic" w:hAnsi="Century Gothic" w:cs="Century Gothic" w:eastAsia="Century Gothic"/>
          <w:color w:val="auto"/>
          <w:spacing w:val="0"/>
          <w:position w:val="0"/>
          <w:sz w:val="28"/>
          <w:u w:val="single"/>
          <w:shd w:fill="auto" w:val="clear"/>
        </w:rPr>
      </w:pPr>
      <w:r>
        <w:rPr>
          <w:rFonts w:ascii="Century Gothic" w:hAnsi="Century Gothic" w:cs="Century Gothic" w:eastAsia="Century Gothic"/>
          <w:color w:val="auto"/>
          <w:spacing w:val="0"/>
          <w:position w:val="0"/>
          <w:sz w:val="28"/>
          <w:u w:val="single"/>
          <w:shd w:fill="auto" w:val="clear"/>
        </w:rPr>
        <w:t xml:space="preserve">description</w:t>
      </w:r>
    </w:p>
    <w:p>
      <w:pPr>
        <w:keepNext w:val="true"/>
        <w:pageBreakBefore w:val="true"/>
        <w:spacing w:before="240" w:after="120" w:line="336"/>
        <w:ind w:right="0" w:left="0" w:firstLine="0"/>
        <w:jc w:val="center"/>
        <w:rPr>
          <w:rFonts w:ascii="Century Gothic" w:hAnsi="Century Gothic" w:cs="Century Gothic" w:eastAsia="Century Gothic"/>
          <w:color w:val="auto"/>
          <w:spacing w:val="0"/>
          <w:position w:val="0"/>
          <w:sz w:val="28"/>
          <w:u w:val="single"/>
          <w:shd w:fill="auto" w:val="clear"/>
        </w:rPr>
      </w:pPr>
      <w:r>
        <w:rPr>
          <w:rFonts w:ascii="Century Gothic" w:hAnsi="Century Gothic" w:cs="Century Gothic" w:eastAsia="Century Gothic"/>
          <w:color w:val="auto"/>
          <w:spacing w:val="0"/>
          <w:position w:val="0"/>
          <w:sz w:val="28"/>
          <w:u w:val="single"/>
          <w:shd w:fill="auto" w:val="clear"/>
        </w:rPr>
        <w:t xml:space="preserve">organising study</w:t>
      </w:r>
    </w:p>
    <w:p>
      <w:pPr>
        <w:keepNext w:val="true"/>
        <w:pageBreakBefore w:val="true"/>
        <w:spacing w:before="240" w:after="120" w:line="336"/>
        <w:ind w:right="0" w:left="0" w:firstLine="0"/>
        <w:jc w:val="center"/>
        <w:rPr>
          <w:rFonts w:ascii="Century Gothic" w:hAnsi="Century Gothic" w:cs="Century Gothic" w:eastAsia="Century Gothic"/>
          <w:color w:val="auto"/>
          <w:spacing w:val="0"/>
          <w:position w:val="0"/>
          <w:sz w:val="28"/>
          <w:u w:val="single"/>
          <w:shd w:fill="auto" w:val="clear"/>
        </w:rPr>
      </w:pPr>
      <w:r>
        <w:rPr>
          <w:rFonts w:ascii="Century Gothic" w:hAnsi="Century Gothic" w:cs="Century Gothic" w:eastAsia="Century Gothic"/>
          <w:color w:val="auto"/>
          <w:spacing w:val="0"/>
          <w:position w:val="0"/>
          <w:sz w:val="28"/>
          <w:u w:val="single"/>
          <w:shd w:fill="auto" w:val="clear"/>
        </w:rPr>
        <w:t xml:space="preserve">evaluation</w:t>
      </w:r>
    </w:p>
    <w:p>
      <w:pPr>
        <w:keepNext w:val="true"/>
        <w:pageBreakBefore w:val="true"/>
        <w:spacing w:before="240" w:after="120" w:line="336"/>
        <w:ind w:right="0" w:left="0" w:firstLine="0"/>
        <w:jc w:val="center"/>
        <w:rPr>
          <w:rFonts w:ascii="Century Gothic" w:hAnsi="Century Gothic" w:cs="Century Gothic" w:eastAsia="Century Gothic"/>
          <w:color w:val="auto"/>
          <w:spacing w:val="0"/>
          <w:position w:val="0"/>
          <w:sz w:val="28"/>
          <w:u w:val="single"/>
          <w:shd w:fill="auto" w:val="clear"/>
        </w:rPr>
      </w:pPr>
      <w:r>
        <w:rPr>
          <w:rFonts w:ascii="Century Gothic" w:hAnsi="Century Gothic" w:cs="Century Gothic" w:eastAsia="Century Gothic"/>
          <w:color w:val="auto"/>
          <w:spacing w:val="0"/>
          <w:position w:val="0"/>
          <w:sz w:val="28"/>
          <w:u w:val="single"/>
          <w:shd w:fill="auto" w:val="clear"/>
        </w:rPr>
        <w:t xml:space="preserve">analysis</w:t>
      </w:r>
    </w:p>
    <w:p>
      <w:pPr>
        <w:keepNext w:val="true"/>
        <w:pageBreakBefore w:val="true"/>
        <w:spacing w:before="240" w:after="120" w:line="336"/>
        <w:ind w:right="0" w:left="0" w:firstLine="0"/>
        <w:jc w:val="center"/>
        <w:rPr>
          <w:rFonts w:ascii="Century Gothic" w:hAnsi="Century Gothic" w:cs="Century Gothic" w:eastAsia="Century Gothic"/>
          <w:color w:val="auto"/>
          <w:spacing w:val="0"/>
          <w:position w:val="0"/>
          <w:sz w:val="28"/>
          <w:u w:val="single"/>
          <w:shd w:fill="auto" w:val="clear"/>
        </w:rPr>
      </w:pPr>
      <w:r>
        <w:rPr>
          <w:rFonts w:ascii="Century Gothic" w:hAnsi="Century Gothic" w:cs="Century Gothic" w:eastAsia="Century Gothic"/>
          <w:color w:val="auto"/>
          <w:spacing w:val="0"/>
          <w:position w:val="0"/>
          <w:sz w:val="28"/>
          <w:u w:val="single"/>
          <w:shd w:fill="auto" w:val="clear"/>
        </w:rPr>
        <w:t xml:space="preserve">conclusion</w:t>
      </w:r>
    </w:p>
    <w:p>
      <w:pPr>
        <w:keepNext w:val="true"/>
        <w:pageBreakBefore w:val="true"/>
        <w:spacing w:before="240" w:after="120" w:line="336"/>
        <w:ind w:right="0" w:left="0" w:firstLine="0"/>
        <w:jc w:val="center"/>
        <w:rPr>
          <w:rFonts w:ascii="Calibri Light" w:hAnsi="Calibri Light" w:cs="Calibri Light" w:eastAsia="Calibri Light"/>
          <w:color w:val="auto"/>
          <w:spacing w:val="0"/>
          <w:position w:val="0"/>
          <w:sz w:val="28"/>
          <w:u w:val="single"/>
          <w:shd w:fill="auto" w:val="clear"/>
        </w:rPr>
      </w:pPr>
      <w:r>
        <w:rPr>
          <w:rFonts w:ascii="Century Gothic" w:hAnsi="Century Gothic" w:cs="Century Gothic" w:eastAsia="Century Gothic"/>
          <w:color w:val="auto"/>
          <w:spacing w:val="0"/>
          <w:position w:val="0"/>
          <w:sz w:val="28"/>
          <w:u w:val="single"/>
          <w:shd w:fill="auto" w:val="clear"/>
        </w:rPr>
        <w:t xml:space="preserve">references</w:t>
      </w:r>
    </w:p>
    <w:p>
      <w:pPr>
        <w:keepNext w:val="true"/>
        <w:pageBreakBefore w:val="true"/>
        <w:spacing w:before="240" w:after="120" w:line="336"/>
        <w:ind w:right="0" w:left="0" w:firstLine="0"/>
        <w:jc w:val="center"/>
        <w:rPr>
          <w:rFonts w:ascii="Calibri" w:hAnsi="Calibri" w:cs="Calibri" w:eastAsia="Calibri"/>
          <w:color w:val="auto"/>
          <w:spacing w:val="0"/>
          <w:position w:val="0"/>
          <w:sz w:val="96"/>
          <w:u w:val="single"/>
          <w:shd w:fill="auto" w:val="clear"/>
        </w:rPr>
      </w:pPr>
    </w:p>
    <w:p>
      <w:pPr>
        <w:keepNext w:val="true"/>
        <w:spacing w:before="560" w:after="70" w:line="336"/>
        <w:ind w:right="0" w:left="0" w:firstLine="0"/>
        <w:jc w:val="left"/>
        <w:rPr>
          <w:rFonts w:ascii="Arial" w:hAnsi="Arial" w:cs="Arial" w:eastAsia="Arial"/>
          <w:b/>
          <w:color w:val="4454FC"/>
          <w:spacing w:val="0"/>
          <w:position w:val="0"/>
          <w:sz w:val="22"/>
          <w:u w:val="single"/>
          <w:shd w:fill="auto" w:val="clear"/>
        </w:rPr>
      </w:pPr>
      <w:r>
        <w:rPr>
          <w:rFonts w:ascii="Arial" w:hAnsi="Arial" w:cs="Arial" w:eastAsia="Arial"/>
          <w:b/>
          <w:color w:val="4454FC"/>
          <w:spacing w:val="0"/>
          <w:position w:val="0"/>
          <w:sz w:val="22"/>
          <w:u w:val="single"/>
          <w:shd w:fill="auto" w:val="clear"/>
        </w:rPr>
        <w:t xml:space="preserve">INTRODUCTION</w:t>
      </w:r>
    </w:p>
    <w:p>
      <w:pPr>
        <w:spacing w:before="0" w:after="280" w:line="336"/>
        <w:ind w:right="0" w:left="0" w:firstLine="0"/>
        <w:jc w:val="left"/>
        <w:rPr>
          <w:rFonts w:ascii="Arial" w:hAnsi="Arial" w:cs="Arial" w:eastAsia="Arial"/>
          <w:color w:val="4454FC"/>
          <w:spacing w:val="0"/>
          <w:position w:val="0"/>
          <w:sz w:val="22"/>
          <w:u w:val="single"/>
          <w:shd w:fill="auto" w:val="clear"/>
        </w:rPr>
      </w:pPr>
      <w:r>
        <w:rPr>
          <w:rFonts w:ascii="Arial" w:hAnsi="Arial" w:cs="Arial" w:eastAsia="Arial"/>
          <w:color w:val="auto"/>
          <w:spacing w:val="0"/>
          <w:position w:val="0"/>
          <w:sz w:val="22"/>
          <w:u w:val="single"/>
          <w:shd w:fill="auto" w:val="clear"/>
        </w:rPr>
        <w:t xml:space="preserve">Academic learning and skills refer to a collection of study habits, time management tools, learning strategies that help scholars to learn as well as gain school lessons. For most of the scholars, learning is all about much more than approach to information (Sekarwinahyu and et. al., 2019). Tutors and teachers also cover academic skills in their chapters for the purpose for learners to actually master their lessons. It will not only benefit the present of the students, but their future as well. In the following report, a reflection model will be applied in order to gain an understanding of different topics such as</w:t>
      </w:r>
      <w:r>
        <w:rPr>
          <w:rFonts w:ascii="Arial" w:hAnsi="Arial" w:cs="Arial" w:eastAsia="Arial"/>
          <w:color w:val="4454FC"/>
          <w:spacing w:val="0"/>
          <w:position w:val="0"/>
          <w:sz w:val="22"/>
          <w:u w:val="single"/>
          <w:shd w:fill="auto" w:val="clear"/>
        </w:rPr>
        <w:t xml:space="preserve"> time management, reflection, organising study and public speaking and presentations.</w:t>
      </w:r>
    </w:p>
    <w:p>
      <w:pPr>
        <w:spacing w:before="0" w:after="280" w:line="336"/>
        <w:ind w:right="0" w:left="0" w:firstLine="0"/>
        <w:jc w:val="left"/>
        <w:rPr>
          <w:rFonts w:ascii="Arial" w:hAnsi="Arial" w:cs="Arial" w:eastAsia="Arial"/>
          <w:color w:val="262626"/>
          <w:spacing w:val="0"/>
          <w:position w:val="0"/>
          <w:sz w:val="22"/>
          <w:u w:val="single"/>
          <w:shd w:fill="auto" w:val="clear"/>
        </w:rPr>
      </w:pPr>
    </w:p>
    <w:p>
      <w:pPr>
        <w:keepNext w:val="true"/>
        <w:spacing w:before="560" w:after="70" w:line="336"/>
        <w:ind w:right="0" w:left="0" w:firstLine="0"/>
        <w:jc w:val="left"/>
        <w:rPr>
          <w:rFonts w:ascii="Arial" w:hAnsi="Arial" w:cs="Arial" w:eastAsia="Arial"/>
          <w:color w:val="262626"/>
          <w:spacing w:val="0"/>
          <w:position w:val="0"/>
          <w:sz w:val="22"/>
          <w:u w:val="single"/>
          <w:shd w:fill="auto" w:val="clear"/>
        </w:rPr>
      </w:pPr>
      <w:r>
        <w:rPr>
          <w:rFonts w:ascii="Arial" w:hAnsi="Arial" w:cs="Arial" w:eastAsia="Arial"/>
          <w:color w:val="262626"/>
          <w:spacing w:val="0"/>
          <w:position w:val="0"/>
          <w:sz w:val="22"/>
          <w:u w:val="single"/>
          <w:shd w:fill="auto" w:val="clear"/>
        </w:rPr>
        <w:t xml:space="preserve"> </w:t>
      </w:r>
    </w:p>
    <w:p>
      <w:pPr>
        <w:keepNext w:val="true"/>
        <w:spacing w:before="560" w:after="70" w:line="336"/>
        <w:ind w:right="0" w:left="0" w:firstLine="0"/>
        <w:jc w:val="left"/>
        <w:rPr>
          <w:rFonts w:ascii="Arial" w:hAnsi="Arial" w:cs="Arial" w:eastAsia="Arial"/>
          <w:b/>
          <w:color w:val="4454FC"/>
          <w:spacing w:val="0"/>
          <w:position w:val="0"/>
          <w:sz w:val="22"/>
          <w:u w:val="single"/>
          <w:shd w:fill="auto" w:val="clear"/>
        </w:rPr>
      </w:pPr>
      <w:r>
        <w:rPr>
          <w:rFonts w:ascii="Arial" w:hAnsi="Arial" w:cs="Arial" w:eastAsia="Arial"/>
          <w:b/>
          <w:color w:val="4454FC"/>
          <w:spacing w:val="0"/>
          <w:position w:val="0"/>
          <w:sz w:val="22"/>
          <w:u w:val="single"/>
          <w:shd w:fill="auto" w:val="clear"/>
        </w:rPr>
        <w:t xml:space="preserve">TASK</w:t>
      </w:r>
    </w:p>
    <w:p>
      <w:pPr>
        <w:spacing w:before="0" w:after="280" w:line="336"/>
        <w:ind w:right="0" w:left="0" w:firstLine="0"/>
        <w:jc w:val="left"/>
        <w:rPr>
          <w:rFonts w:ascii="Arial" w:hAnsi="Arial" w:cs="Arial" w:eastAsia="Arial"/>
          <w:color w:val="000000"/>
          <w:spacing w:val="0"/>
          <w:position w:val="0"/>
          <w:sz w:val="22"/>
          <w:u w:val="single"/>
          <w:shd w:fill="auto" w:val="clear"/>
        </w:rPr>
      </w:pPr>
    </w:p>
    <w:p>
      <w:pPr>
        <w:spacing w:before="0" w:after="280" w:line="336"/>
        <w:ind w:right="0" w:left="0" w:firstLine="0"/>
        <w:jc w:val="left"/>
        <w:rPr>
          <w:rFonts w:ascii="Arial" w:hAnsi="Arial" w:cs="Arial" w:eastAsia="Arial"/>
          <w:color w:val="262626"/>
          <w:spacing w:val="0"/>
          <w:position w:val="0"/>
          <w:sz w:val="22"/>
          <w:u w:val="single"/>
          <w:shd w:fill="auto" w:val="clear"/>
        </w:rPr>
      </w:pPr>
      <w:r>
        <w:rPr>
          <w:rFonts w:ascii="Arial" w:hAnsi="Arial" w:cs="Arial" w:eastAsia="Arial"/>
          <w:color w:val="auto"/>
          <w:spacing w:val="0"/>
          <w:position w:val="0"/>
          <w:sz w:val="22"/>
          <w:u w:val="single"/>
          <w:shd w:fill="auto" w:val="clear"/>
        </w:rPr>
        <w:t xml:space="preserve">Gibbs' reflective cycle was founded by Graham Gibbs in the year 1988. This model works as a framework for assessing experiences, and provided its cyclic nature lends itself, specifically well to perennial experiences, allowing one to plan and learn from things that either went good or did not go good (Ibrahima, Khalib and Khalilc, 2020). It involves six stages to reflect one's lessons or experiences. This framework is a groovy style to work through an experience. This can be a situation or self-experience that one goes through frequently. The following is the explanation of six stages that covers different learning aspects:</w:t>
      </w:r>
    </w:p>
    <w:p>
      <w:pPr>
        <w:spacing w:before="0" w:after="280" w:line="336"/>
        <w:ind w:right="0" w:left="0" w:firstLine="0"/>
        <w:jc w:val="left"/>
        <w:rPr>
          <w:rFonts w:ascii="Arial" w:hAnsi="Arial" w:cs="Arial" w:eastAsia="Arial"/>
          <w:color w:val="000000"/>
          <w:spacing w:val="0"/>
          <w:position w:val="0"/>
          <w:sz w:val="22"/>
          <w:u w:val="single"/>
          <w:shd w:fill="auto" w:val="clear"/>
        </w:rPr>
      </w:pPr>
    </w:p>
    <w:p>
      <w:pPr>
        <w:numPr>
          <w:ilvl w:val="0"/>
          <w:numId w:val="11"/>
        </w:numPr>
        <w:tabs>
          <w:tab w:val="left" w:pos="720" w:leader="none"/>
        </w:tabs>
        <w:spacing w:before="0" w:after="280" w:line="336"/>
        <w:ind w:right="0" w:left="720" w:hanging="360"/>
        <w:jc w:val="left"/>
        <w:rPr>
          <w:rFonts w:ascii="Arial" w:hAnsi="Arial" w:cs="Arial" w:eastAsia="Arial"/>
          <w:b/>
          <w:color w:val="262626"/>
          <w:spacing w:val="0"/>
          <w:position w:val="0"/>
          <w:sz w:val="22"/>
          <w:u w:val="single"/>
          <w:shd w:fill="auto" w:val="clear"/>
        </w:rPr>
      </w:pPr>
      <w:r>
        <w:rPr>
          <w:rFonts w:ascii="Arial" w:hAnsi="Arial" w:cs="Arial" w:eastAsia="Arial"/>
          <w:b/>
          <w:color w:val="4454FC"/>
          <w:spacing w:val="0"/>
          <w:position w:val="0"/>
          <w:sz w:val="22"/>
          <w:u w:val="single"/>
          <w:shd w:fill="auto" w:val="clear"/>
        </w:rPr>
        <w:t xml:space="preserve">Description</w:t>
      </w:r>
      <w:r>
        <w:rPr>
          <w:rFonts w:ascii="Arial" w:hAnsi="Arial" w:cs="Arial" w:eastAsia="Arial"/>
          <w:b/>
          <w:color w:val="auto"/>
          <w:spacing w:val="0"/>
          <w:position w:val="0"/>
          <w:sz w:val="22"/>
          <w:u w:val="single"/>
          <w:shd w:fill="auto" w:val="clear"/>
        </w:rPr>
        <w:t xml:space="preserve">: </w:t>
      </w:r>
      <w:r>
        <w:rPr>
          <w:rFonts w:ascii="Arial" w:hAnsi="Arial" w:cs="Arial" w:eastAsia="Arial"/>
          <w:color w:val="auto"/>
          <w:spacing w:val="0"/>
          <w:position w:val="0"/>
          <w:sz w:val="22"/>
          <w:u w:val="single"/>
          <w:shd w:fill="auto" w:val="clear"/>
        </w:rPr>
        <w:t xml:space="preserve">During my academic year, my teachers and mentor gave me several tasks and opportunities that helped me to build my academic skills (Austin, Gilkison and Clemons, 2020). Developing a range of skills, abilities and knowledge will undoubtedly benefit me building my career and to get a desirable job in a large organisation. This also provided me the opportunity to reflect my learning lessons and experiences gained while learning and studying in the educational setting. Moreover, completing group task also allowed us to develop many other skills as well such as leadership skills, problem-solving, communication skills and many more</w:t>
      </w:r>
    </w:p>
    <w:p>
      <w:pPr>
        <w:spacing w:before="0" w:after="280" w:line="336"/>
        <w:ind w:right="0" w:left="0" w:firstLine="0"/>
        <w:jc w:val="left"/>
        <w:rPr>
          <w:rFonts w:ascii="Arial" w:hAnsi="Arial" w:cs="Arial" w:eastAsia="Arial"/>
          <w:b/>
          <w:color w:val="262626"/>
          <w:spacing w:val="0"/>
          <w:position w:val="0"/>
          <w:sz w:val="22"/>
          <w:u w:val="single"/>
          <w:shd w:fill="auto" w:val="clear"/>
        </w:rPr>
      </w:pPr>
      <w:r>
        <w:rPr>
          <w:rFonts w:ascii="Arial" w:hAnsi="Arial" w:cs="Arial" w:eastAsia="Arial"/>
          <w:color w:val="auto"/>
          <w:spacing w:val="0"/>
          <w:position w:val="0"/>
          <w:sz w:val="22"/>
          <w:u w:val="single"/>
          <w:shd w:fill="auto" w:val="clear"/>
        </w:rPr>
        <w:t xml:space="preserve">. </w:t>
      </w:r>
    </w:p>
    <w:p>
      <w:pPr>
        <w:numPr>
          <w:ilvl w:val="0"/>
          <w:numId w:val="13"/>
        </w:numPr>
        <w:tabs>
          <w:tab w:val="left" w:pos="720" w:leader="none"/>
        </w:tabs>
        <w:spacing w:before="0" w:after="280" w:line="336"/>
        <w:ind w:right="0" w:left="720" w:hanging="360"/>
        <w:jc w:val="left"/>
        <w:rPr>
          <w:rFonts w:ascii="Arial" w:hAnsi="Arial" w:cs="Arial" w:eastAsia="Arial"/>
          <w:b/>
          <w:color w:val="262626"/>
          <w:spacing w:val="0"/>
          <w:position w:val="0"/>
          <w:sz w:val="22"/>
          <w:u w:val="single"/>
          <w:shd w:fill="auto" w:val="clear"/>
        </w:rPr>
      </w:pPr>
      <w:r>
        <w:rPr>
          <w:rFonts w:ascii="Arial" w:hAnsi="Arial" w:cs="Arial" w:eastAsia="Arial"/>
          <w:b/>
          <w:color w:val="4454FC"/>
          <w:spacing w:val="0"/>
          <w:position w:val="0"/>
          <w:sz w:val="22"/>
          <w:u w:val="single"/>
          <w:shd w:fill="auto" w:val="clear"/>
        </w:rPr>
        <w:t xml:space="preserve"> I IMPROVED ORGANISING STUDY:</w:t>
      </w:r>
      <w:r>
        <w:rPr>
          <w:rFonts w:ascii="Arial" w:hAnsi="Arial" w:cs="Arial" w:eastAsia="Arial"/>
          <w:b/>
          <w:color w:val="auto"/>
          <w:spacing w:val="0"/>
          <w:position w:val="0"/>
          <w:sz w:val="22"/>
          <w:u w:val="single"/>
          <w:shd w:fill="auto" w:val="clear"/>
        </w:rPr>
        <w:t xml:space="preserve"> </w:t>
      </w:r>
      <w:r>
        <w:rPr>
          <w:rFonts w:ascii="Arial" w:hAnsi="Arial" w:cs="Arial" w:eastAsia="Arial"/>
          <w:color w:val="auto"/>
          <w:spacing w:val="0"/>
          <w:position w:val="0"/>
          <w:sz w:val="22"/>
          <w:u w:val="single"/>
          <w:shd w:fill="auto" w:val="clear"/>
        </w:rPr>
        <w:t xml:space="preserve">Before all members come in front of each other as well as realised we still had a lot of work to do (Ardian, Hariyati and Afifah, 2019). Before attending this task, I was completely introvert and shy person who rarely came to talk with anyone. I felt anxiety and nervousness to meet and express myself in front of lot of people. While, there were many other people who felt the same feelings like me, but some of the members are highly confident and extrovert who easily express themselves while they speak or present publicly. Additionally, attending the task and lesson also helped me in understanding the value of organised study. I was not good at study and organising it was very tough for me as I was least interested in study materials. Public speaking and presenting myself in audience were quite challenging to me. Sometimes, I also lost my confidence due to the lack of time-management skills and results where I was not able to meet deadlines of projects. On the other hand, reflection also supported me to express my thoughts and perceptions on anything. It helped me to show what I have learnt and experienced in my learning or apart from learning. Opening and sharing my learning and experiences gave me positive feelings and others also tried to get into it.</w:t>
      </w:r>
    </w:p>
    <w:p>
      <w:pPr>
        <w:spacing w:before="0" w:after="280" w:line="336"/>
        <w:ind w:right="0" w:left="0" w:firstLine="0"/>
        <w:jc w:val="left"/>
        <w:rPr>
          <w:rFonts w:ascii="Arial" w:hAnsi="Arial" w:cs="Arial" w:eastAsia="Arial"/>
          <w:b/>
          <w:color w:val="auto"/>
          <w:spacing w:val="0"/>
          <w:position w:val="0"/>
          <w:sz w:val="22"/>
          <w:u w:val="single"/>
          <w:shd w:fill="auto" w:val="clear"/>
        </w:rPr>
      </w:pPr>
      <w:r>
        <w:rPr>
          <w:rFonts w:ascii="Arial" w:hAnsi="Arial" w:cs="Arial" w:eastAsia="Arial"/>
          <w:color w:val="auto"/>
          <w:spacing w:val="0"/>
          <w:position w:val="0"/>
          <w:sz w:val="22"/>
          <w:u w:val="single"/>
          <w:shd w:fill="auto" w:val="clear"/>
        </w:rPr>
        <w:t xml:space="preserve"> </w:t>
      </w:r>
    </w:p>
    <w:p>
      <w:pPr>
        <w:numPr>
          <w:ilvl w:val="0"/>
          <w:numId w:val="15"/>
        </w:numPr>
        <w:tabs>
          <w:tab w:val="left" w:pos="720" w:leader="none"/>
        </w:tabs>
        <w:spacing w:before="0" w:after="280" w:line="336"/>
        <w:ind w:right="0" w:left="720" w:hanging="360"/>
        <w:jc w:val="left"/>
        <w:rPr>
          <w:rFonts w:ascii="Arial" w:hAnsi="Arial" w:cs="Arial" w:eastAsia="Arial"/>
          <w:b/>
          <w:color w:val="262626"/>
          <w:spacing w:val="0"/>
          <w:position w:val="0"/>
          <w:sz w:val="22"/>
          <w:u w:val="single"/>
          <w:shd w:fill="auto" w:val="clear"/>
        </w:rPr>
      </w:pPr>
      <w:r>
        <w:rPr>
          <w:rFonts w:ascii="Arial" w:hAnsi="Arial" w:cs="Arial" w:eastAsia="Arial"/>
          <w:b/>
          <w:color w:val="4454FC"/>
          <w:spacing w:val="0"/>
          <w:position w:val="0"/>
          <w:sz w:val="22"/>
          <w:u w:val="single"/>
          <w:shd w:fill="auto" w:val="clear"/>
        </w:rPr>
        <w:t xml:space="preserve">Evaluation</w:t>
      </w:r>
      <w:r>
        <w:rPr>
          <w:rFonts w:ascii="Arial" w:hAnsi="Arial" w:cs="Arial" w:eastAsia="Arial"/>
          <w:b/>
          <w:color w:val="auto"/>
          <w:spacing w:val="0"/>
          <w:position w:val="0"/>
          <w:sz w:val="22"/>
          <w:u w:val="single"/>
          <w:shd w:fill="auto" w:val="clear"/>
        </w:rPr>
        <w:t xml:space="preserve">: </w:t>
      </w:r>
      <w:r>
        <w:rPr>
          <w:rFonts w:ascii="Arial" w:hAnsi="Arial" w:cs="Arial" w:eastAsia="Arial"/>
          <w:color w:val="auto"/>
          <w:spacing w:val="0"/>
          <w:position w:val="0"/>
          <w:sz w:val="22"/>
          <w:u w:val="single"/>
          <w:shd w:fill="auto" w:val="clear"/>
        </w:rPr>
        <w:t xml:space="preserve">In this stage, an evaluation has been done for what went well and what didn’t go well in learning or gaining experiences (Henning and et. al., 2019). The main purpose is to evaluate the situation and to be honest with myself as much as possible. It can be said that there were many aspects that were positive and negative to me in the whole process of learning and experiencing things. Some positive aspects could be said about opportunities to work in a team or group was positive to me as it was a chance to meet and work with different people who have different knowledge and understanding to get the things. If one is not able to understand the things, then he could ask and consult things so that better results could be attained by all the team members while meeting deadlines and outcomes of the task or project. Learning makes all members to interact and communicate with each other, but simultaneously it also created disputes and conflicts between us as there were mismanagement and lack of communication in activities. It also impacted our coordination in doing individual role. As group activities requires coordination, proper communication, time management, organised study and much more, it also requires motivation and influencing power to deal with challenges and issues. Also, it could be said that while speaking publicly or in group members, it also vital to remain motivated and influenced so that the aim of project could be accomplished. Therefore, it could be said that, team working and group task in learning challenging but interesting though, one can learn different aspects from each other</w:t>
      </w:r>
    </w:p>
    <w:p>
      <w:pPr>
        <w:spacing w:before="0" w:after="280" w:line="336"/>
        <w:ind w:right="0" w:left="0" w:firstLine="0"/>
        <w:jc w:val="left"/>
        <w:rPr>
          <w:rFonts w:ascii="Arial" w:hAnsi="Arial" w:cs="Arial" w:eastAsia="Arial"/>
          <w:b/>
          <w:color w:val="262626"/>
          <w:spacing w:val="0"/>
          <w:position w:val="0"/>
          <w:sz w:val="22"/>
          <w:u w:val="single"/>
          <w:shd w:fill="auto" w:val="clear"/>
        </w:rPr>
      </w:pPr>
      <w:r>
        <w:rPr>
          <w:rFonts w:ascii="Arial" w:hAnsi="Arial" w:cs="Arial" w:eastAsia="Arial"/>
          <w:color w:val="auto"/>
          <w:spacing w:val="0"/>
          <w:position w:val="0"/>
          <w:sz w:val="22"/>
          <w:u w:val="single"/>
          <w:shd w:fill="auto" w:val="clear"/>
        </w:rPr>
        <w:t xml:space="preserve">. </w:t>
      </w:r>
    </w:p>
    <w:p>
      <w:pPr>
        <w:numPr>
          <w:ilvl w:val="0"/>
          <w:numId w:val="17"/>
        </w:numPr>
        <w:tabs>
          <w:tab w:val="left" w:pos="720" w:leader="none"/>
        </w:tabs>
        <w:spacing w:before="0" w:after="280" w:line="336"/>
        <w:ind w:right="0" w:left="720" w:hanging="360"/>
        <w:jc w:val="left"/>
        <w:rPr>
          <w:rFonts w:ascii="Arial" w:hAnsi="Arial" w:cs="Arial" w:eastAsia="Arial"/>
          <w:b/>
          <w:color w:val="262626"/>
          <w:spacing w:val="0"/>
          <w:position w:val="0"/>
          <w:sz w:val="22"/>
          <w:u w:val="single"/>
          <w:shd w:fill="auto" w:val="clear"/>
        </w:rPr>
      </w:pPr>
      <w:r>
        <w:rPr>
          <w:rFonts w:ascii="Arial" w:hAnsi="Arial" w:cs="Arial" w:eastAsia="Arial"/>
          <w:b/>
          <w:color w:val="4454FC"/>
          <w:spacing w:val="0"/>
          <w:position w:val="0"/>
          <w:sz w:val="22"/>
          <w:u w:val="single"/>
          <w:shd w:fill="auto" w:val="clear"/>
        </w:rPr>
        <w:t xml:space="preserve">Analysis</w:t>
      </w:r>
      <w:r>
        <w:rPr>
          <w:rFonts w:ascii="Arial" w:hAnsi="Arial" w:cs="Arial" w:eastAsia="Arial"/>
          <w:b/>
          <w:color w:val="auto"/>
          <w:spacing w:val="0"/>
          <w:position w:val="0"/>
          <w:sz w:val="22"/>
          <w:u w:val="single"/>
          <w:shd w:fill="auto" w:val="clear"/>
        </w:rPr>
        <w:t xml:space="preserve">: </w:t>
      </w:r>
      <w:r>
        <w:rPr>
          <w:rFonts w:ascii="Arial" w:hAnsi="Arial" w:cs="Arial" w:eastAsia="Arial"/>
          <w:color w:val="auto"/>
          <w:spacing w:val="0"/>
          <w:position w:val="0"/>
          <w:sz w:val="22"/>
          <w:u w:val="single"/>
          <w:shd w:fill="auto" w:val="clear"/>
        </w:rPr>
        <w:t xml:space="preserve">In this phase, one could evaluate the positive and negative things that occurred in learning and experiencing things (Mahoney, 2021). It has been analysed by me that experiencing team working gave me lots of chances to enhance myself, together with my abilities and skills to deal with things. Various things went well in the academic learning such as</w:t>
      </w:r>
      <w:r>
        <w:rPr>
          <w:rFonts w:ascii="Arial" w:hAnsi="Arial" w:cs="Arial" w:eastAsia="Arial"/>
          <w:color w:val="4454FC"/>
          <w:spacing w:val="0"/>
          <w:position w:val="0"/>
          <w:sz w:val="22"/>
          <w:u w:val="single"/>
          <w:shd w:fill="auto" w:val="clear"/>
        </w:rPr>
        <w:t xml:space="preserve"> managing time</w:t>
      </w:r>
      <w:r>
        <w:rPr>
          <w:rFonts w:ascii="Arial" w:hAnsi="Arial" w:cs="Arial" w:eastAsia="Arial"/>
          <w:color w:val="auto"/>
          <w:spacing w:val="0"/>
          <w:position w:val="0"/>
          <w:sz w:val="22"/>
          <w:u w:val="single"/>
          <w:shd w:fill="auto" w:val="clear"/>
        </w:rPr>
        <w:t xml:space="preserve">, learning about how I can </w:t>
      </w:r>
      <w:r>
        <w:rPr>
          <w:rFonts w:ascii="Arial" w:hAnsi="Arial" w:cs="Arial" w:eastAsia="Arial"/>
          <w:color w:val="4454FC"/>
          <w:spacing w:val="0"/>
          <w:position w:val="0"/>
          <w:sz w:val="22"/>
          <w:u w:val="single"/>
          <w:shd w:fill="auto" w:val="clear"/>
        </w:rPr>
        <w:t xml:space="preserve">organise my study, reflection</w:t>
      </w:r>
      <w:r>
        <w:rPr>
          <w:rFonts w:ascii="Arial" w:hAnsi="Arial" w:cs="Arial" w:eastAsia="Arial"/>
          <w:color w:val="auto"/>
          <w:spacing w:val="0"/>
          <w:position w:val="0"/>
          <w:sz w:val="22"/>
          <w:u w:val="single"/>
          <w:shd w:fill="auto" w:val="clear"/>
        </w:rPr>
        <w:t xml:space="preserve"> helped me to show and communicate my learning experience and much more. As I was an introvert person, experiencing team work made me to speak in public with confidence. It showed me how to present myself while speaking publicly, what words and vocab should I use so that my confidence level won’t be affected. I have learned about the attractive presentation styles so that my work could be brief and could be understood at the same time. It helped me to gain good grades in my academic year. Time management also helped me to prioritise my activities and task so that I could understand what work should be done first and what others could be done later. By making schedule and priority list made me to manage my time so as to meet deadlines of projects. Reflection helped me to review my skills and capabilities of doing things. It helped me to identify and understand where I am good and where I am lacking. Also, it helped me to understand what ways should I choose to rectify my mistakes and to enhance my skills for the overall growth and development in my life. Furthermore, it also has been analysed that if there were proper communication and coordination while doing group study and projects, then the results could be more enhanced. Lastly, it could be said that organised study could helped me to attend classes and lectures on time, making short notes could help me for brief reviews on certain subjects that also saves my time and much more. It could be done even better if I study in advance before exams and make strategies to gain better marks. </w:t>
      </w:r>
    </w:p>
    <w:p>
      <w:pPr>
        <w:spacing w:before="0" w:after="280" w:line="336"/>
        <w:ind w:right="0" w:left="0" w:firstLine="0"/>
        <w:jc w:val="left"/>
        <w:rPr>
          <w:rFonts w:ascii="Arial" w:hAnsi="Arial" w:cs="Arial" w:eastAsia="Arial"/>
          <w:b/>
          <w:color w:val="000000"/>
          <w:spacing w:val="0"/>
          <w:position w:val="0"/>
          <w:sz w:val="22"/>
          <w:u w:val="single"/>
          <w:shd w:fill="auto" w:val="clear"/>
        </w:rPr>
      </w:pPr>
    </w:p>
    <w:p>
      <w:pPr>
        <w:numPr>
          <w:ilvl w:val="0"/>
          <w:numId w:val="19"/>
        </w:numPr>
        <w:tabs>
          <w:tab w:val="left" w:pos="720" w:leader="none"/>
        </w:tabs>
        <w:spacing w:before="0" w:after="280" w:line="336"/>
        <w:ind w:right="0" w:left="720" w:hanging="360"/>
        <w:jc w:val="left"/>
        <w:rPr>
          <w:rFonts w:ascii="Arial" w:hAnsi="Arial" w:cs="Arial" w:eastAsia="Arial"/>
          <w:b/>
          <w:color w:val="262626"/>
          <w:spacing w:val="0"/>
          <w:position w:val="0"/>
          <w:sz w:val="22"/>
          <w:u w:val="single"/>
          <w:shd w:fill="auto" w:val="clear"/>
        </w:rPr>
      </w:pPr>
      <w:r>
        <w:rPr>
          <w:rFonts w:ascii="Arial" w:hAnsi="Arial" w:cs="Arial" w:eastAsia="Arial"/>
          <w:b/>
          <w:color w:val="4454FC"/>
          <w:spacing w:val="0"/>
          <w:position w:val="0"/>
          <w:sz w:val="22"/>
          <w:u w:val="single"/>
          <w:shd w:fill="auto" w:val="clear"/>
        </w:rPr>
        <w:t xml:space="preserve">Conclusion:</w:t>
      </w:r>
      <w:r>
        <w:rPr>
          <w:rFonts w:ascii="Arial" w:hAnsi="Arial" w:cs="Arial" w:eastAsia="Arial"/>
          <w:b/>
          <w:color w:val="auto"/>
          <w:spacing w:val="0"/>
          <w:position w:val="0"/>
          <w:sz w:val="22"/>
          <w:u w:val="single"/>
          <w:shd w:fill="auto" w:val="clear"/>
        </w:rPr>
        <w:t xml:space="preserve"> </w:t>
      </w:r>
      <w:r>
        <w:rPr>
          <w:rFonts w:ascii="Arial" w:hAnsi="Arial" w:cs="Arial" w:eastAsia="Arial"/>
          <w:color w:val="auto"/>
          <w:spacing w:val="0"/>
          <w:position w:val="0"/>
          <w:sz w:val="22"/>
          <w:u w:val="single"/>
          <w:shd w:fill="auto" w:val="clear"/>
        </w:rPr>
        <w:t xml:space="preserve">It has been concluded from overall situation is that learning experiences in academic setting delivers a lot of opportunities to grow and evolve personally and professionally (Relji</w:t>
      </w:r>
      <w:r>
        <w:rPr>
          <w:rFonts w:ascii="Arial" w:hAnsi="Arial" w:cs="Arial" w:eastAsia="Arial"/>
          <w:color w:val="auto"/>
          <w:spacing w:val="0"/>
          <w:position w:val="0"/>
          <w:sz w:val="22"/>
          <w:u w:val="single"/>
          <w:shd w:fill="auto" w:val="clear"/>
        </w:rPr>
        <w:t xml:space="preserve">ć, Pajnkihar and Fekonja, 2019). As the mentors and teachers created a group task for all the students and every group covers four to five members with different tasks and projects respectively. It is seen that group activity was covered with full of challenges, fun and learning which was very useful for all of us. Every member in a group learns certain things from each and every student that further support in future as learning is a never-ending process and could be used at any phase of life. It could be said that if there was a proper coordination and communication between team members, the task aim could better accomplish and resulting in high marks and grades in class. Managing time was also helpful to manage personal life and professional life as I was able to manage time for myself, for my family and friends. Most importantly, learning how to manage time supported me to meet project deadlines and doing task without missing deadlines helped me to review the work while rectifying mistakes as well. Organising study helped me to make plans and tactics so that my study could be interesting and easy at the same time so that I won’t miss any chapter or lesson that is important for my professional growth. Improving myself in presentation and public speaking boosted my confidence level and in future it will help me to grow and set my position in the organisation. Through reflection, I could be able to fill the gaps in skills and knowledge. It aided me to increasing my knowledge on certain topics and subjects</w:t>
      </w:r>
    </w:p>
    <w:p>
      <w:pPr>
        <w:spacing w:before="0" w:after="280" w:line="336"/>
        <w:ind w:right="0" w:left="0" w:firstLine="0"/>
        <w:jc w:val="left"/>
        <w:rPr>
          <w:rFonts w:ascii="Arial" w:hAnsi="Arial" w:cs="Arial" w:eastAsia="Arial"/>
          <w:b/>
          <w:color w:val="262626"/>
          <w:spacing w:val="0"/>
          <w:position w:val="0"/>
          <w:sz w:val="22"/>
          <w:u w:val="single"/>
          <w:shd w:fill="auto" w:val="clear"/>
        </w:rPr>
      </w:pPr>
      <w:r>
        <w:rPr>
          <w:rFonts w:ascii="Arial" w:hAnsi="Arial" w:cs="Arial" w:eastAsia="Arial"/>
          <w:color w:val="auto"/>
          <w:spacing w:val="0"/>
          <w:position w:val="0"/>
          <w:sz w:val="22"/>
          <w:u w:val="single"/>
          <w:shd w:fill="auto" w:val="clear"/>
        </w:rPr>
        <w:t xml:space="preserve">. </w:t>
      </w:r>
    </w:p>
    <w:p>
      <w:pPr>
        <w:spacing w:before="0" w:after="280" w:line="336"/>
        <w:ind w:right="0" w:left="0" w:firstLine="0"/>
        <w:jc w:val="left"/>
        <w:rPr>
          <w:rFonts w:ascii="Century Gothic" w:hAnsi="Century Gothic" w:cs="Century Gothic" w:eastAsia="Century Gothic"/>
          <w:color w:val="auto"/>
          <w:spacing w:val="0"/>
          <w:position w:val="0"/>
          <w:sz w:val="28"/>
          <w:u w:val="single"/>
          <w:shd w:fill="auto" w:val="clear"/>
        </w:rPr>
      </w:pPr>
      <w:r>
        <w:rPr>
          <w:rFonts w:ascii="Arial" w:hAnsi="Arial" w:cs="Arial" w:eastAsia="Arial"/>
          <w:b/>
          <w:color w:val="auto"/>
          <w:spacing w:val="0"/>
          <w:position w:val="0"/>
          <w:sz w:val="22"/>
          <w:u w:val="single"/>
          <w:shd w:fill="auto" w:val="clear"/>
        </w:rPr>
        <w:t xml:space="preserve"> </w:t>
      </w:r>
      <w:r>
        <w:rPr>
          <w:rFonts w:ascii="Arial" w:hAnsi="Arial" w:cs="Arial" w:eastAsia="Arial"/>
          <w:color w:val="auto"/>
          <w:spacing w:val="0"/>
          <w:position w:val="0"/>
          <w:sz w:val="22"/>
          <w:u w:val="single"/>
          <w:shd w:fill="auto" w:val="clear"/>
        </w:rPr>
        <w:t xml:space="preserve">After analysing all the aspects and facets in group working, the action plan will be that all the members share and communicate their strengths and weaknesses so that the work can be divided as per the abilities and knowledge (Lovis, Stefaniu and Brezesinski, 2019). More guidance will be taken from mentors to manage time and other things for the good grades in academy. Also, for better organised study, more plans and new strategies will be implemented such as short notes will be made, a routine has been established, regular classes will attend and much more. For improving presentation skills, more opportunities will be identified and grabbed by me so that I could speak and present myself more formally, ethically and in a disciplined way. Additionally, a regular SWOT analysis will be done so that I could know where I am growing in areas, where I should seek opportunities, what could affect my growth that is threat and much more. a PDP will also be created for my personal and professional growth by taking help from my seniors and teachers. </w:t>
      </w:r>
    </w:p>
    <w:p>
      <w:pPr>
        <w:spacing w:before="0" w:after="280" w:line="336"/>
        <w:ind w:right="0" w:left="0" w:firstLine="0"/>
        <w:jc w:val="left"/>
        <w:rPr>
          <w:rFonts w:ascii="Arial" w:hAnsi="Arial" w:cs="Arial" w:eastAsia="Arial"/>
          <w:color w:val="262626"/>
          <w:spacing w:val="0"/>
          <w:position w:val="0"/>
          <w:sz w:val="22"/>
          <w:u w:val="single"/>
          <w:shd w:fill="auto" w:val="clear"/>
        </w:rPr>
      </w:pPr>
    </w:p>
    <w:p>
      <w:pPr>
        <w:spacing w:before="0" w:after="280" w:line="336"/>
        <w:ind w:right="0" w:left="0" w:firstLine="0"/>
        <w:jc w:val="left"/>
        <w:rPr>
          <w:rFonts w:ascii="Arial" w:hAnsi="Arial" w:cs="Arial" w:eastAsia="Arial"/>
          <w:b/>
          <w:color w:val="262626"/>
          <w:spacing w:val="0"/>
          <w:position w:val="0"/>
          <w:sz w:val="22"/>
          <w:u w:val="single"/>
          <w:shd w:fill="auto" w:val="clear"/>
        </w:rPr>
      </w:pPr>
      <w:r>
        <w:rPr>
          <w:rFonts w:ascii="Arial" w:hAnsi="Arial" w:cs="Arial" w:eastAsia="Arial"/>
          <w:color w:val="auto"/>
          <w:spacing w:val="0"/>
          <w:position w:val="0"/>
          <w:sz w:val="22"/>
          <w:u w:val="single"/>
          <w:shd w:fill="auto" w:val="clear"/>
        </w:rPr>
        <w:t xml:space="preserve">. It has been concluded that academic and employability skill both are vital to a student’s life in personal and professional perspectives. A learner can grow with several soft and hard skills that are needed by an employer in large organisations. Gibbs’ reflective model has been used in the report that contains six stages such as description, feelings, evaluation, analysis, conclusion and an action plan. A learner can use these stages in order to learn over time, depending on their learning and academic experiences. Through this model, the learner could also make judgements on their academic performance. </w:t>
      </w:r>
    </w:p>
    <w:p>
      <w:pPr>
        <w:spacing w:before="0" w:after="280" w:line="336"/>
        <w:ind w:right="0" w:left="0" w:firstLine="0"/>
        <w:jc w:val="left"/>
        <w:rPr>
          <w:rFonts w:ascii="Arial" w:hAnsi="Arial" w:cs="Arial" w:eastAsia="Arial"/>
          <w:b/>
          <w:color w:val="262626"/>
          <w:spacing w:val="0"/>
          <w:position w:val="0"/>
          <w:sz w:val="22"/>
          <w:u w:val="single"/>
          <w:shd w:fill="auto" w:val="clear"/>
        </w:rPr>
      </w:pPr>
    </w:p>
    <w:p>
      <w:pPr>
        <w:spacing w:before="0" w:after="280" w:line="336"/>
        <w:ind w:right="0" w:left="0" w:firstLine="0"/>
        <w:jc w:val="left"/>
        <w:rPr>
          <w:rFonts w:ascii="Arial" w:hAnsi="Arial" w:cs="Arial" w:eastAsia="Arial"/>
          <w:b/>
          <w:color w:val="262626"/>
          <w:spacing w:val="0"/>
          <w:position w:val="0"/>
          <w:sz w:val="22"/>
          <w:u w:val="single"/>
          <w:shd w:fill="auto" w:val="clear"/>
        </w:rPr>
      </w:pPr>
    </w:p>
    <w:p>
      <w:pPr>
        <w:spacing w:before="0" w:after="280" w:line="336"/>
        <w:ind w:right="0" w:left="0" w:firstLine="0"/>
        <w:jc w:val="left"/>
        <w:rPr>
          <w:rFonts w:ascii="Arial" w:hAnsi="Arial" w:cs="Arial" w:eastAsia="Arial"/>
          <w:color w:val="262626"/>
          <w:spacing w:val="0"/>
          <w:position w:val="0"/>
          <w:sz w:val="22"/>
          <w:u w:val="single"/>
          <w:shd w:fill="auto" w:val="clear"/>
        </w:rPr>
      </w:pPr>
    </w:p>
    <w:p>
      <w:pPr>
        <w:keepNext w:val="true"/>
        <w:spacing w:before="560" w:after="70" w:line="336"/>
        <w:ind w:right="0" w:left="0" w:firstLine="0"/>
        <w:jc w:val="left"/>
        <w:rPr>
          <w:rFonts w:ascii="Arial" w:hAnsi="Arial" w:cs="Arial" w:eastAsia="Arial"/>
          <w:b/>
          <w:color w:val="262626"/>
          <w:spacing w:val="0"/>
          <w:position w:val="0"/>
          <w:sz w:val="22"/>
          <w:u w:val="single"/>
          <w:shd w:fill="auto" w:val="clear"/>
        </w:rPr>
      </w:pPr>
      <w:r>
        <w:rPr>
          <w:rFonts w:ascii="Arial" w:hAnsi="Arial" w:cs="Arial" w:eastAsia="Arial"/>
          <w:b/>
          <w:color w:val="4454FC"/>
          <w:spacing w:val="0"/>
          <w:position w:val="0"/>
          <w:sz w:val="22"/>
          <w:u w:val="single"/>
          <w:shd w:fill="auto" w:val="clear"/>
        </w:rPr>
        <w:t xml:space="preserve">REFERENCES</w:t>
      </w:r>
    </w:p>
    <w:p>
      <w:pPr>
        <w:keepNext w:val="true"/>
        <w:spacing w:before="280" w:after="70" w:line="336"/>
        <w:ind w:right="0" w:left="0" w:firstLine="0"/>
        <w:jc w:val="left"/>
        <w:rPr>
          <w:rFonts w:ascii="Arial" w:hAnsi="Arial" w:cs="Arial" w:eastAsia="Arial"/>
          <w:b/>
          <w:color w:val="262626"/>
          <w:spacing w:val="0"/>
          <w:position w:val="0"/>
          <w:sz w:val="22"/>
          <w:u w:val="single"/>
          <w:shd w:fill="auto" w:val="clear"/>
        </w:rPr>
      </w:pPr>
      <w:r>
        <w:rPr>
          <w:rFonts w:ascii="Arial" w:hAnsi="Arial" w:cs="Arial" w:eastAsia="Arial"/>
          <w:b/>
          <w:color w:val="262626"/>
          <w:spacing w:val="0"/>
          <w:position w:val="0"/>
          <w:sz w:val="22"/>
          <w:u w:val="single"/>
          <w:shd w:fill="auto" w:val="clear"/>
        </w:rPr>
        <w:t xml:space="preserve">Books and Journals:</w:t>
      </w:r>
    </w:p>
    <w:p>
      <w:pPr>
        <w:spacing w:before="0" w:after="280" w:line="336"/>
        <w:ind w:right="0" w:left="873" w:hanging="873"/>
        <w:jc w:val="left"/>
        <w:rPr>
          <w:rFonts w:ascii="Arial" w:hAnsi="Arial" w:cs="Arial" w:eastAsia="Arial"/>
          <w:color w:val="auto"/>
          <w:spacing w:val="0"/>
          <w:position w:val="0"/>
          <w:sz w:val="22"/>
          <w:u w:val="single"/>
          <w:shd w:fill="FFFFFF" w:val="clear"/>
        </w:rPr>
      </w:pPr>
      <w:r>
        <w:rPr>
          <w:rFonts w:ascii="Arial" w:hAnsi="Arial" w:cs="Arial" w:eastAsia="Arial"/>
          <w:color w:val="auto"/>
          <w:spacing w:val="0"/>
          <w:position w:val="0"/>
          <w:sz w:val="22"/>
          <w:u w:val="single"/>
          <w:shd w:fill="FFFFFF" w:val="clear"/>
        </w:rPr>
        <w:t xml:space="preserve">Ardian, P., Hariyati, R.T.S. and Afifah, E., 2019. Correlation between implementation case reflection discussion based on the Graham Gibbs Cycle and nurses’ critical thinking skills. Enfermeria Clinica, 29, pp.588-593.</w:t>
      </w:r>
    </w:p>
    <w:p>
      <w:pPr>
        <w:spacing w:before="0" w:after="280" w:line="336"/>
        <w:ind w:right="0" w:left="873" w:hanging="873"/>
        <w:jc w:val="left"/>
        <w:rPr>
          <w:rFonts w:ascii="Arial" w:hAnsi="Arial" w:cs="Arial" w:eastAsia="Arial"/>
          <w:color w:val="auto"/>
          <w:spacing w:val="0"/>
          <w:position w:val="0"/>
          <w:sz w:val="22"/>
          <w:u w:val="single"/>
          <w:shd w:fill="FFFFFF" w:val="clear"/>
        </w:rPr>
      </w:pPr>
      <w:r>
        <w:rPr>
          <w:rFonts w:ascii="Arial" w:hAnsi="Arial" w:cs="Arial" w:eastAsia="Arial"/>
          <w:color w:val="auto"/>
          <w:spacing w:val="0"/>
          <w:position w:val="0"/>
          <w:sz w:val="22"/>
          <w:u w:val="single"/>
          <w:shd w:fill="FFFFFF" w:val="clear"/>
        </w:rPr>
        <w:t xml:space="preserve">Austin, D., Gilkison, A. and Clemons, J., 2020. Turning reflection into learning: a practice development tool for midwifery students. Reflective Practice, 21(3), pp.301-315.</w:t>
      </w:r>
    </w:p>
    <w:p>
      <w:pPr>
        <w:spacing w:before="0" w:after="280" w:line="336"/>
        <w:ind w:right="0" w:left="873" w:hanging="873"/>
        <w:jc w:val="left"/>
        <w:rPr>
          <w:rFonts w:ascii="Arial" w:hAnsi="Arial" w:cs="Arial" w:eastAsia="Arial"/>
          <w:color w:val="auto"/>
          <w:spacing w:val="0"/>
          <w:position w:val="0"/>
          <w:sz w:val="22"/>
          <w:u w:val="single"/>
          <w:shd w:fill="FFFFFF" w:val="clear"/>
        </w:rPr>
      </w:pPr>
      <w:r>
        <w:rPr>
          <w:rFonts w:ascii="Arial" w:hAnsi="Arial" w:cs="Arial" w:eastAsia="Arial"/>
          <w:color w:val="auto"/>
          <w:spacing w:val="0"/>
          <w:position w:val="0"/>
          <w:sz w:val="22"/>
          <w:u w:val="single"/>
          <w:shd w:fill="FFFFFF" w:val="clear"/>
        </w:rPr>
        <w:t xml:space="preserve">Henning, F. and et. al., 2019. Gradient Gibbs measures for the SOS model with countable values on a Cayley tree. Electronic Journal of Probability, 24, pp.1-23.</w:t>
      </w:r>
    </w:p>
    <w:p>
      <w:pPr>
        <w:spacing w:before="0" w:after="280" w:line="336"/>
        <w:ind w:right="0" w:left="873" w:hanging="873"/>
        <w:jc w:val="left"/>
        <w:rPr>
          <w:rFonts w:ascii="Arial" w:hAnsi="Arial" w:cs="Arial" w:eastAsia="Arial"/>
          <w:color w:val="auto"/>
          <w:spacing w:val="0"/>
          <w:position w:val="0"/>
          <w:sz w:val="22"/>
          <w:u w:val="single"/>
          <w:shd w:fill="FFFFFF" w:val="clear"/>
        </w:rPr>
      </w:pPr>
      <w:r>
        <w:rPr>
          <w:rFonts w:ascii="Arial" w:hAnsi="Arial" w:cs="Arial" w:eastAsia="Arial"/>
          <w:color w:val="auto"/>
          <w:spacing w:val="0"/>
          <w:position w:val="0"/>
          <w:sz w:val="22"/>
          <w:u w:val="single"/>
          <w:shd w:fill="FFFFFF" w:val="clear"/>
        </w:rPr>
        <w:t xml:space="preserve">Hoa, N.H. and Tuan, N.A., 2020. Learning Strategies for Improving Reflection in Engineering Education in Vietnam. IOSR-Journal of Research &amp; Method in Education (IOSR-JRME), 10(1), pp.06-09.</w:t>
      </w:r>
    </w:p>
    <w:p>
      <w:pPr>
        <w:spacing w:before="0" w:after="280" w:line="336"/>
        <w:ind w:right="0" w:left="873" w:hanging="873"/>
        <w:jc w:val="left"/>
        <w:rPr>
          <w:rFonts w:ascii="Arial" w:hAnsi="Arial" w:cs="Arial" w:eastAsia="Arial"/>
          <w:color w:val="auto"/>
          <w:spacing w:val="0"/>
          <w:position w:val="0"/>
          <w:sz w:val="22"/>
          <w:u w:val="single"/>
          <w:shd w:fill="FFFFFF" w:val="clear"/>
        </w:rPr>
      </w:pPr>
      <w:r>
        <w:rPr>
          <w:rFonts w:ascii="Arial" w:hAnsi="Arial" w:cs="Arial" w:eastAsia="Arial"/>
          <w:color w:val="auto"/>
          <w:spacing w:val="0"/>
          <w:position w:val="0"/>
          <w:sz w:val="22"/>
          <w:u w:val="single"/>
          <w:shd w:fill="FFFFFF" w:val="clear"/>
        </w:rPr>
        <w:t xml:space="preserve">Ibrahima, M.K., Khalfb, A.A. and Khalilc, Z.M., 2020. The Effectiveness of the Use of the Gibbs Meditative Model in Academic Achievement and the Development of Visual Thinking in Fourth Students in Biology. International Journal of Innovation, Creativity and Change, 13(5), pp.1464-1480.</w:t>
      </w:r>
    </w:p>
    <w:p>
      <w:pPr>
        <w:spacing w:before="0" w:after="280" w:line="336"/>
        <w:ind w:right="0" w:left="873" w:hanging="873"/>
        <w:jc w:val="left"/>
        <w:rPr>
          <w:rFonts w:ascii="Arial" w:hAnsi="Arial" w:cs="Arial" w:eastAsia="Arial"/>
          <w:color w:val="auto"/>
          <w:spacing w:val="0"/>
          <w:position w:val="0"/>
          <w:sz w:val="22"/>
          <w:u w:val="single"/>
          <w:shd w:fill="FFFFFF" w:val="clear"/>
        </w:rPr>
      </w:pPr>
      <w:r>
        <w:rPr>
          <w:rFonts w:ascii="Arial" w:hAnsi="Arial" w:cs="Arial" w:eastAsia="Arial"/>
          <w:color w:val="auto"/>
          <w:spacing w:val="0"/>
          <w:position w:val="0"/>
          <w:sz w:val="22"/>
          <w:u w:val="single"/>
          <w:shd w:fill="FFFFFF" w:val="clear"/>
        </w:rPr>
        <w:t xml:space="preserve">Li, D. and et. al., 2020. Molecular mechanism for azeotrope formation in ethanol/benzene binary mixtures through Gibbs ensemble monte Carlo simulation. The Journal of Physical Chemistry B, 124(16), pp.3371-3386.</w:t>
      </w:r>
      <w:r>
        <w:rPr>
          <w:rFonts w:ascii="Century Gothic" w:hAnsi="Century Gothic" w:cs="Century Gothic" w:eastAsia="Century Gothic"/>
          <w:color w:val="auto"/>
          <w:spacing w:val="0"/>
          <w:position w:val="0"/>
          <w:sz w:val="28"/>
          <w:u w:val="single"/>
          <w:shd w:fill="FFFFFF" w:val="clear"/>
        </w:rPr>
        <w:tab/>
      </w:r>
    </w:p>
    <w:p>
      <w:pPr>
        <w:spacing w:before="0" w:after="280" w:line="336"/>
        <w:ind w:right="0" w:left="873" w:hanging="873"/>
        <w:jc w:val="left"/>
        <w:rPr>
          <w:rFonts w:ascii="Arial" w:hAnsi="Arial" w:cs="Arial" w:eastAsia="Arial"/>
          <w:color w:val="auto"/>
          <w:spacing w:val="0"/>
          <w:position w:val="0"/>
          <w:sz w:val="22"/>
          <w:u w:val="single"/>
          <w:shd w:fill="FFFFFF" w:val="clear"/>
        </w:rPr>
      </w:pPr>
      <w:r>
        <w:rPr>
          <w:rFonts w:ascii="Arial" w:hAnsi="Arial" w:cs="Arial" w:eastAsia="Arial"/>
          <w:color w:val="auto"/>
          <w:spacing w:val="0"/>
          <w:position w:val="0"/>
          <w:sz w:val="22"/>
          <w:u w:val="single"/>
          <w:shd w:fill="FFFFFF" w:val="clear"/>
        </w:rPr>
        <w:t xml:space="preserve">Lovis, V., Stefaniu, C. and Brezesinski, G., 2019. Modification of Gibbs monolayers by chromium (III) compounds. Colloids and Surfaces A: Physicochemical and Engineering Aspects, 576, pp.29-35.</w:t>
      </w:r>
    </w:p>
    <w:p>
      <w:pPr>
        <w:spacing w:before="0" w:after="280" w:line="336"/>
        <w:ind w:right="0" w:left="873" w:hanging="873"/>
        <w:jc w:val="left"/>
        <w:rPr>
          <w:rFonts w:ascii="Arial" w:hAnsi="Arial" w:cs="Arial" w:eastAsia="Arial"/>
          <w:color w:val="auto"/>
          <w:spacing w:val="0"/>
          <w:position w:val="0"/>
          <w:sz w:val="22"/>
          <w:u w:val="single"/>
          <w:shd w:fill="FFFFFF" w:val="clear"/>
        </w:rPr>
      </w:pPr>
      <w:r>
        <w:rPr>
          <w:rFonts w:ascii="Arial" w:hAnsi="Arial" w:cs="Arial" w:eastAsia="Arial"/>
          <w:color w:val="auto"/>
          <w:spacing w:val="0"/>
          <w:position w:val="0"/>
          <w:sz w:val="22"/>
          <w:u w:val="single"/>
          <w:shd w:fill="FFFFFF" w:val="clear"/>
        </w:rPr>
        <w:t xml:space="preserve">Mahoney, J., 2021. 13 Medical Emergency in situ Simulation Training for Dental Hygiene Therapists. International Journal of Healthcare Simulation, 1(null), pp. A33-A33.</w:t>
      </w:r>
    </w:p>
    <w:p>
      <w:pPr>
        <w:spacing w:before="0" w:after="280" w:line="336"/>
        <w:ind w:right="0" w:left="873" w:hanging="873"/>
        <w:jc w:val="left"/>
        <w:rPr>
          <w:rFonts w:ascii="Arial" w:hAnsi="Arial" w:cs="Arial" w:eastAsia="Arial"/>
          <w:color w:val="auto"/>
          <w:spacing w:val="0"/>
          <w:position w:val="0"/>
          <w:sz w:val="22"/>
          <w:u w:val="single"/>
          <w:shd w:fill="FFFFFF" w:val="clear"/>
        </w:rPr>
      </w:pPr>
      <w:r>
        <w:rPr>
          <w:rFonts w:ascii="Arial" w:hAnsi="Arial" w:cs="Arial" w:eastAsia="Arial"/>
          <w:color w:val="auto"/>
          <w:spacing w:val="0"/>
          <w:position w:val="0"/>
          <w:sz w:val="22"/>
          <w:u w:val="single"/>
          <w:shd w:fill="FFFFFF" w:val="clear"/>
        </w:rPr>
        <w:t xml:space="preserve">Relji</w:t>
      </w:r>
      <w:r>
        <w:rPr>
          <w:rFonts w:ascii="Arial" w:hAnsi="Arial" w:cs="Arial" w:eastAsia="Arial"/>
          <w:color w:val="auto"/>
          <w:spacing w:val="0"/>
          <w:position w:val="0"/>
          <w:sz w:val="22"/>
          <w:u w:val="single"/>
          <w:shd w:fill="FFFFFF" w:val="clear"/>
        </w:rPr>
        <w:t xml:space="preserve">ć, N.M., Pajnkihar, M. and Fekonja, Z., 2019. Self-reflection during first clinical practice: The experiences of nursing students. Nurse education today, 72, pp.61-66.</w:t>
      </w:r>
    </w:p>
    <w:p>
      <w:pPr>
        <w:spacing w:before="0" w:after="280" w:line="336"/>
        <w:ind w:right="0" w:left="873" w:hanging="873"/>
        <w:jc w:val="left"/>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u w:val="single"/>
          <w:shd w:fill="FFFFFF" w:val="clear"/>
        </w:rPr>
        <w:t xml:space="preserve">Sekarwinahyu, M. and et. al., 2019, February. Development of problem-based learning for online tutorial program in plant development using Gibbs’ reflective cycle and e-portfolio to enhance reflective thinking skills. In Journal of Physics: Conference Series (Vol. 1157, No. 2, p. 022099). IOP Publishing.</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11">
    <w:abstractNumId w:val="24"/>
  </w:num>
  <w:num w:numId="13">
    <w:abstractNumId w:val="18"/>
  </w:num>
  <w:num w:numId="15">
    <w:abstractNumId w:val="12"/>
  </w:num>
  <w:num w:numId="17">
    <w:abstractNumId w:val="6"/>
  </w:num>
  <w:num w:numId="1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