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4A2B7B"/>
    <w:p w14:paraId="0872B519"/>
    <w:p w14:paraId="339A4864"/>
    <w:p w14:paraId="40D7E2AB"/>
    <w:p w14:paraId="351F98C2"/>
    <w:p w14:paraId="18340DC4"/>
    <w:p w14:paraId="2000D007">
      <w:pPr>
        <w:jc w:val="center"/>
        <w:rPr>
          <w:b/>
          <w:bCs/>
          <w:sz w:val="32"/>
          <w:szCs w:val="32"/>
        </w:rPr>
      </w:pPr>
      <w:r>
        <w:rPr>
          <w:b/>
          <w:bCs/>
          <w:sz w:val="32"/>
          <w:szCs w:val="32"/>
        </w:rPr>
        <w:t xml:space="preserve">BA (Hons) Leadership and Management Skills for the Workplace </w:t>
      </w:r>
    </w:p>
    <w:p w14:paraId="5A395C61">
      <w:pPr>
        <w:jc w:val="center"/>
        <w:rPr>
          <w:b/>
          <w:bCs/>
          <w:sz w:val="32"/>
          <w:szCs w:val="32"/>
        </w:rPr>
      </w:pPr>
      <w:r>
        <w:rPr>
          <w:rFonts w:hint="default"/>
          <w:b/>
          <w:bCs/>
          <w:sz w:val="32"/>
          <w:szCs w:val="32"/>
          <w:lang w:val="en-US"/>
        </w:rPr>
        <w:t xml:space="preserve">Module Code: BMSW 6103 </w:t>
      </w:r>
      <w:r>
        <w:rPr>
          <w:b/>
          <w:bCs/>
          <w:sz w:val="32"/>
          <w:szCs w:val="32"/>
        </w:rPr>
        <w:t>Leading and implementing workplace change</w:t>
      </w:r>
    </w:p>
    <w:p w14:paraId="5D0551C2">
      <w:pPr>
        <w:jc w:val="center"/>
        <w:rPr>
          <w:b/>
          <w:bCs/>
          <w:sz w:val="36"/>
          <w:szCs w:val="36"/>
        </w:rPr>
      </w:pPr>
      <w:r>
        <w:rPr>
          <w:b/>
          <w:bCs/>
          <w:sz w:val="36"/>
          <w:szCs w:val="36"/>
        </w:rPr>
        <w:t>Management Portfolio</w:t>
      </w:r>
    </w:p>
    <w:p w14:paraId="7AA82CD8">
      <w:pPr>
        <w:jc w:val="center"/>
        <w:rPr>
          <w:rFonts w:hint="default"/>
          <w:b/>
          <w:bCs/>
          <w:sz w:val="32"/>
          <w:szCs w:val="32"/>
          <w:lang w:val="en-US"/>
        </w:rPr>
      </w:pPr>
      <w:bookmarkStart w:id="36" w:name="_GoBack"/>
      <w:bookmarkEnd w:id="36"/>
      <w:r>
        <w:rPr>
          <w:b/>
          <w:bCs/>
          <w:sz w:val="32"/>
          <w:szCs w:val="32"/>
        </w:rPr>
        <w:t>Lecturer:</w:t>
      </w:r>
      <w:r>
        <w:rPr>
          <w:rFonts w:hint="default"/>
          <w:b/>
          <w:bCs/>
          <w:sz w:val="32"/>
          <w:szCs w:val="32"/>
          <w:lang w:val="en-US"/>
        </w:rPr>
        <w:t xml:space="preserve"> Dennis Pepple</w:t>
      </w:r>
    </w:p>
    <w:p w14:paraId="191B75AB">
      <w:pPr>
        <w:jc w:val="center"/>
        <w:rPr>
          <w:rFonts w:hint="default"/>
          <w:b/>
          <w:bCs/>
          <w:sz w:val="32"/>
          <w:szCs w:val="32"/>
          <w:lang w:val="en-US"/>
        </w:rPr>
      </w:pPr>
      <w:r>
        <w:rPr>
          <w:b/>
          <w:bCs/>
          <w:sz w:val="32"/>
          <w:szCs w:val="32"/>
        </w:rPr>
        <w:t>Student Name</w:t>
      </w:r>
      <w:r>
        <w:rPr>
          <w:rFonts w:hint="default"/>
          <w:b/>
          <w:bCs/>
          <w:sz w:val="32"/>
          <w:szCs w:val="32"/>
          <w:lang w:val="en-US"/>
        </w:rPr>
        <w:t>: Natalia Cojocaru</w:t>
      </w:r>
    </w:p>
    <w:p w14:paraId="69D31171">
      <w:pPr>
        <w:jc w:val="center"/>
        <w:rPr>
          <w:b/>
          <w:bCs/>
          <w:sz w:val="32"/>
          <w:szCs w:val="32"/>
          <w:lang w:val="en-US"/>
        </w:rPr>
      </w:pPr>
      <w:r>
        <w:rPr>
          <w:b/>
          <w:bCs/>
          <w:sz w:val="32"/>
          <w:szCs w:val="32"/>
        </w:rPr>
        <w:t>Student Number</w:t>
      </w:r>
      <w:r>
        <w:rPr>
          <w:rFonts w:hint="default"/>
          <w:b/>
          <w:bCs/>
          <w:sz w:val="32"/>
          <w:szCs w:val="32"/>
          <w:lang w:val="en-US"/>
        </w:rPr>
        <w:t xml:space="preserve">: </w:t>
      </w:r>
      <w:r>
        <w:rPr>
          <w:b/>
          <w:bCs/>
          <w:sz w:val="32"/>
          <w:szCs w:val="32"/>
          <w:lang w:val="en-US"/>
        </w:rPr>
        <w:t>2119063</w:t>
      </w:r>
    </w:p>
    <w:p w14:paraId="0F57BF84">
      <w:pPr>
        <w:jc w:val="center"/>
        <w:rPr>
          <w:rFonts w:hint="default"/>
          <w:b/>
          <w:bCs/>
          <w:sz w:val="32"/>
          <w:szCs w:val="32"/>
          <w:lang w:val="en-US"/>
        </w:rPr>
      </w:pPr>
    </w:p>
    <w:p w14:paraId="2032F426">
      <w:pPr>
        <w:spacing w:after="0" w:line="240" w:lineRule="auto"/>
        <w:jc w:val="left"/>
        <w:rPr>
          <w:rFonts w:asciiTheme="minorHAnsi" w:hAnsiTheme="minorHAnsi" w:cstheme="minorBidi"/>
          <w:b/>
          <w:color w:val="auto"/>
          <w:kern w:val="2"/>
          <w:sz w:val="22"/>
          <w:szCs w:val="22"/>
          <w14:ligatures w14:val="standardContextual"/>
        </w:rPr>
      </w:pPr>
      <w:r>
        <w:rPr>
          <w:rFonts w:asciiTheme="minorHAnsi" w:hAnsiTheme="minorHAnsi" w:cstheme="minorBidi"/>
          <w:color w:val="auto"/>
          <w:kern w:val="2"/>
          <w:sz w:val="22"/>
          <w:szCs w:val="22"/>
          <w14:ligatures w14:val="standardContextual"/>
        </w:rPr>
        <w:br w:type="page"/>
      </w:r>
    </w:p>
    <w:sdt>
      <w:sdtPr>
        <w:rPr>
          <w:rFonts w:asciiTheme="minorHAnsi" w:hAnsiTheme="minorHAnsi" w:eastAsiaTheme="minorHAnsi" w:cstheme="minorBidi"/>
          <w:color w:val="auto"/>
          <w:kern w:val="2"/>
          <w:sz w:val="22"/>
          <w:szCs w:val="22"/>
          <w14:ligatures w14:val="standardContextual"/>
        </w:rPr>
        <w:id w:val="-1669165014"/>
        <w:docPartObj>
          <w:docPartGallery w:val="Table of Contents"/>
          <w:docPartUnique/>
        </w:docPartObj>
      </w:sdtPr>
      <w:sdtEndPr>
        <w:rPr>
          <w:rFonts w:ascii="Arial" w:hAnsi="Arial" w:cs="Arial" w:eastAsiaTheme="minorHAnsi"/>
          <w:b w:val="0"/>
          <w:color w:val="000000" w:themeColor="text1"/>
          <w:kern w:val="0"/>
          <w:sz w:val="24"/>
          <w:szCs w:val="24"/>
          <w14:textFill>
            <w14:solidFill>
              <w14:schemeClr w14:val="tx1"/>
            </w14:solidFill>
          </w14:textFill>
          <w14:ligatures w14:val="none"/>
        </w:rPr>
      </w:sdtEndPr>
      <w:sdtContent>
        <w:p w14:paraId="6A43B1D2">
          <w:pPr>
            <w:pStyle w:val="17"/>
            <w:spacing w:line="360" w:lineRule="auto"/>
          </w:pPr>
          <w:r>
            <w:t>CONTENTS</w:t>
          </w:r>
        </w:p>
        <w:p w14:paraId="3CCF7DBC">
          <w:pPr>
            <w:pStyle w:val="9"/>
            <w:tabs>
              <w:tab w:val="right" w:leader="dot" w:pos="9350"/>
            </w:tabs>
            <w:rPr>
              <w:rFonts w:asciiTheme="minorHAnsi" w:hAnsiTheme="minorHAnsi" w:eastAsiaTheme="minorEastAsia" w:cstheme="minorBidi"/>
              <w:color w:val="auto"/>
              <w:sz w:val="22"/>
              <w:szCs w:val="22"/>
              <w:lang w:eastAsia="en-GB"/>
            </w:rPr>
          </w:pPr>
          <w:r>
            <w:fldChar w:fldCharType="begin"/>
          </w:r>
          <w:r>
            <w:instrText xml:space="preserve"> TOC \o "1-3" \h \z \u </w:instrText>
          </w:r>
          <w:r>
            <w:fldChar w:fldCharType="separate"/>
          </w:r>
          <w:r>
            <w:fldChar w:fldCharType="begin"/>
          </w:r>
          <w:r>
            <w:instrText xml:space="preserve"> HYPERLINK \l "_Toc172828949" </w:instrText>
          </w:r>
          <w:r>
            <w:fldChar w:fldCharType="separate"/>
          </w:r>
          <w:r>
            <w:rPr>
              <w:rStyle w:val="8"/>
            </w:rPr>
            <w:t>INTRODUCTION</w:t>
          </w:r>
          <w:r>
            <w:tab/>
          </w:r>
          <w:r>
            <w:fldChar w:fldCharType="begin"/>
          </w:r>
          <w:r>
            <w:instrText xml:space="preserve"> PAGEREF _Toc172828949 \h </w:instrText>
          </w:r>
          <w:r>
            <w:fldChar w:fldCharType="separate"/>
          </w:r>
          <w:r>
            <w:t>5</w:t>
          </w:r>
          <w:r>
            <w:fldChar w:fldCharType="end"/>
          </w:r>
          <w:r>
            <w:fldChar w:fldCharType="end"/>
          </w:r>
        </w:p>
        <w:p w14:paraId="7F1768D7">
          <w:pPr>
            <w:pStyle w:val="9"/>
            <w:tabs>
              <w:tab w:val="right" w:leader="dot" w:pos="9350"/>
            </w:tabs>
            <w:rPr>
              <w:rFonts w:asciiTheme="minorHAnsi" w:hAnsiTheme="minorHAnsi" w:eastAsiaTheme="minorEastAsia" w:cstheme="minorBidi"/>
              <w:color w:val="auto"/>
              <w:sz w:val="22"/>
              <w:szCs w:val="22"/>
              <w:lang w:eastAsia="en-GB"/>
            </w:rPr>
          </w:pPr>
          <w:r>
            <w:fldChar w:fldCharType="begin"/>
          </w:r>
          <w:r>
            <w:instrText xml:space="preserve"> HYPERLINK \l "_Toc172828950" </w:instrText>
          </w:r>
          <w:r>
            <w:fldChar w:fldCharType="separate"/>
          </w:r>
          <w:r>
            <w:rPr>
              <w:rStyle w:val="8"/>
            </w:rPr>
            <w:t>STAKEHOLDER ANALYSIS MODEL (Identify, assess, engagement method).</w:t>
          </w:r>
          <w:r>
            <w:tab/>
          </w:r>
          <w:r>
            <w:fldChar w:fldCharType="begin"/>
          </w:r>
          <w:r>
            <w:instrText xml:space="preserve"> PAGEREF _Toc172828950 \h </w:instrText>
          </w:r>
          <w:r>
            <w:fldChar w:fldCharType="separate"/>
          </w:r>
          <w:r>
            <w:t>5</w:t>
          </w:r>
          <w:r>
            <w:fldChar w:fldCharType="end"/>
          </w:r>
          <w:r>
            <w:fldChar w:fldCharType="end"/>
          </w:r>
        </w:p>
        <w:p w14:paraId="401DEE40">
          <w:pPr>
            <w:pStyle w:val="9"/>
            <w:tabs>
              <w:tab w:val="right" w:leader="dot" w:pos="9350"/>
            </w:tabs>
            <w:rPr>
              <w:rFonts w:asciiTheme="minorHAnsi" w:hAnsiTheme="minorHAnsi" w:eastAsiaTheme="minorEastAsia" w:cstheme="minorBidi"/>
              <w:color w:val="auto"/>
              <w:sz w:val="22"/>
              <w:szCs w:val="22"/>
              <w:lang w:eastAsia="en-GB"/>
            </w:rPr>
          </w:pPr>
          <w:r>
            <w:fldChar w:fldCharType="begin"/>
          </w:r>
          <w:r>
            <w:instrText xml:space="preserve"> HYPERLINK \l "_Toc172828951" </w:instrText>
          </w:r>
          <w:r>
            <w:fldChar w:fldCharType="separate"/>
          </w:r>
          <w:r>
            <w:rPr>
              <w:rStyle w:val="8"/>
            </w:rPr>
            <w:t>STAKEHOLDER IDENTIFICATION</w:t>
          </w:r>
          <w:r>
            <w:tab/>
          </w:r>
          <w:r>
            <w:fldChar w:fldCharType="begin"/>
          </w:r>
          <w:r>
            <w:instrText xml:space="preserve"> PAGEREF _Toc172828951 \h </w:instrText>
          </w:r>
          <w:r>
            <w:fldChar w:fldCharType="separate"/>
          </w:r>
          <w:r>
            <w:t>6</w:t>
          </w:r>
          <w:r>
            <w:fldChar w:fldCharType="end"/>
          </w:r>
          <w:r>
            <w:fldChar w:fldCharType="end"/>
          </w:r>
        </w:p>
        <w:p w14:paraId="5749E7B0">
          <w:pPr>
            <w:pStyle w:val="10"/>
            <w:tabs>
              <w:tab w:val="right" w:leader="dot" w:pos="9350"/>
            </w:tabs>
            <w:rPr>
              <w:rFonts w:asciiTheme="minorHAnsi" w:hAnsiTheme="minorHAnsi" w:eastAsiaTheme="minorEastAsia" w:cstheme="minorBidi"/>
              <w:color w:val="auto"/>
              <w:sz w:val="22"/>
              <w:szCs w:val="22"/>
              <w:lang w:eastAsia="en-GB"/>
            </w:rPr>
          </w:pPr>
          <w:r>
            <w:fldChar w:fldCharType="begin"/>
          </w:r>
          <w:r>
            <w:instrText xml:space="preserve"> HYPERLINK \l "_Toc172828952" </w:instrText>
          </w:r>
          <w:r>
            <w:fldChar w:fldCharType="separate"/>
          </w:r>
          <w:r>
            <w:rPr>
              <w:rStyle w:val="8"/>
            </w:rPr>
            <w:t>Internal stakeholders</w:t>
          </w:r>
          <w:r>
            <w:tab/>
          </w:r>
          <w:r>
            <w:fldChar w:fldCharType="begin"/>
          </w:r>
          <w:r>
            <w:instrText xml:space="preserve"> PAGEREF _Toc172828952 \h </w:instrText>
          </w:r>
          <w:r>
            <w:fldChar w:fldCharType="separate"/>
          </w:r>
          <w:r>
            <w:t>6</w:t>
          </w:r>
          <w:r>
            <w:fldChar w:fldCharType="end"/>
          </w:r>
          <w:r>
            <w:fldChar w:fldCharType="end"/>
          </w:r>
        </w:p>
        <w:p w14:paraId="494A2DFE">
          <w:pPr>
            <w:pStyle w:val="10"/>
            <w:tabs>
              <w:tab w:val="right" w:leader="dot" w:pos="9350"/>
            </w:tabs>
            <w:rPr>
              <w:rFonts w:asciiTheme="minorHAnsi" w:hAnsiTheme="minorHAnsi" w:eastAsiaTheme="minorEastAsia" w:cstheme="minorBidi"/>
              <w:color w:val="auto"/>
              <w:sz w:val="22"/>
              <w:szCs w:val="22"/>
              <w:lang w:eastAsia="en-GB"/>
            </w:rPr>
          </w:pPr>
          <w:r>
            <w:fldChar w:fldCharType="begin"/>
          </w:r>
          <w:r>
            <w:instrText xml:space="preserve"> HYPERLINK \l "_Toc172828953" </w:instrText>
          </w:r>
          <w:r>
            <w:fldChar w:fldCharType="separate"/>
          </w:r>
          <w:r>
            <w:rPr>
              <w:rStyle w:val="8"/>
            </w:rPr>
            <w:t>External stakeholders</w:t>
          </w:r>
          <w:r>
            <w:tab/>
          </w:r>
          <w:r>
            <w:fldChar w:fldCharType="begin"/>
          </w:r>
          <w:r>
            <w:instrText xml:space="preserve"> PAGEREF _Toc172828953 \h </w:instrText>
          </w:r>
          <w:r>
            <w:fldChar w:fldCharType="separate"/>
          </w:r>
          <w:r>
            <w:t>7</w:t>
          </w:r>
          <w:r>
            <w:fldChar w:fldCharType="end"/>
          </w:r>
          <w:r>
            <w:fldChar w:fldCharType="end"/>
          </w:r>
        </w:p>
        <w:p w14:paraId="3DD3480F">
          <w:pPr>
            <w:pStyle w:val="9"/>
            <w:tabs>
              <w:tab w:val="right" w:leader="dot" w:pos="9350"/>
            </w:tabs>
            <w:rPr>
              <w:rFonts w:asciiTheme="minorHAnsi" w:hAnsiTheme="minorHAnsi" w:eastAsiaTheme="minorEastAsia" w:cstheme="minorBidi"/>
              <w:color w:val="auto"/>
              <w:sz w:val="22"/>
              <w:szCs w:val="22"/>
              <w:lang w:eastAsia="en-GB"/>
            </w:rPr>
          </w:pPr>
          <w:r>
            <w:fldChar w:fldCharType="begin"/>
          </w:r>
          <w:r>
            <w:instrText xml:space="preserve"> HYPERLINK \l "_Toc172828954" </w:instrText>
          </w:r>
          <w:r>
            <w:fldChar w:fldCharType="separate"/>
          </w:r>
          <w:r>
            <w:rPr>
              <w:rStyle w:val="8"/>
            </w:rPr>
            <w:t>STAKEHOLDER ASSESSMENT USING THE POWER-INTEREST STAKEHOLDER GRID</w:t>
          </w:r>
          <w:r>
            <w:tab/>
          </w:r>
          <w:r>
            <w:fldChar w:fldCharType="begin"/>
          </w:r>
          <w:r>
            <w:instrText xml:space="preserve"> PAGEREF _Toc172828954 \h </w:instrText>
          </w:r>
          <w:r>
            <w:fldChar w:fldCharType="separate"/>
          </w:r>
          <w:r>
            <w:t>8</w:t>
          </w:r>
          <w:r>
            <w:fldChar w:fldCharType="end"/>
          </w:r>
          <w:r>
            <w:fldChar w:fldCharType="end"/>
          </w:r>
        </w:p>
        <w:p w14:paraId="6D8038AB">
          <w:pPr>
            <w:pStyle w:val="9"/>
            <w:tabs>
              <w:tab w:val="right" w:leader="dot" w:pos="9350"/>
            </w:tabs>
            <w:rPr>
              <w:rFonts w:asciiTheme="minorHAnsi" w:hAnsiTheme="minorHAnsi" w:eastAsiaTheme="minorEastAsia" w:cstheme="minorBidi"/>
              <w:color w:val="auto"/>
              <w:sz w:val="22"/>
              <w:szCs w:val="22"/>
              <w:lang w:eastAsia="en-GB"/>
            </w:rPr>
          </w:pPr>
          <w:r>
            <w:fldChar w:fldCharType="begin"/>
          </w:r>
          <w:r>
            <w:instrText xml:space="preserve"> HYPERLINK \l "_Toc172828955" </w:instrText>
          </w:r>
          <w:r>
            <w:fldChar w:fldCharType="separate"/>
          </w:r>
          <w:r>
            <w:rPr>
              <w:rStyle w:val="8"/>
            </w:rPr>
            <w:t>ENGAGEMENT METHOD</w:t>
          </w:r>
          <w:r>
            <w:tab/>
          </w:r>
          <w:r>
            <w:fldChar w:fldCharType="begin"/>
          </w:r>
          <w:r>
            <w:instrText xml:space="preserve"> PAGEREF _Toc172828955 \h </w:instrText>
          </w:r>
          <w:r>
            <w:fldChar w:fldCharType="separate"/>
          </w:r>
          <w:r>
            <w:t>8</w:t>
          </w:r>
          <w:r>
            <w:fldChar w:fldCharType="end"/>
          </w:r>
          <w:r>
            <w:fldChar w:fldCharType="end"/>
          </w:r>
        </w:p>
        <w:p w14:paraId="6B0AF46D">
          <w:pPr>
            <w:pStyle w:val="9"/>
            <w:tabs>
              <w:tab w:val="right" w:leader="dot" w:pos="9350"/>
            </w:tabs>
            <w:rPr>
              <w:rFonts w:asciiTheme="minorHAnsi" w:hAnsiTheme="minorHAnsi" w:eastAsiaTheme="minorEastAsia" w:cstheme="minorBidi"/>
              <w:color w:val="auto"/>
              <w:sz w:val="22"/>
              <w:szCs w:val="22"/>
              <w:lang w:eastAsia="en-GB"/>
            </w:rPr>
          </w:pPr>
          <w:r>
            <w:fldChar w:fldCharType="begin"/>
          </w:r>
          <w:r>
            <w:instrText xml:space="preserve"> HYPERLINK \l "_Toc172828956" </w:instrText>
          </w:r>
          <w:r>
            <w:fldChar w:fldCharType="separate"/>
          </w:r>
          <w:r>
            <w:rPr>
              <w:rStyle w:val="8"/>
            </w:rPr>
            <w:t>THE STAKEHOLDERS THAT SHOULD BE ENGAGED AND WHY THEY ARE IMPORTANT TO CASE</w:t>
          </w:r>
          <w:r>
            <w:tab/>
          </w:r>
          <w:r>
            <w:fldChar w:fldCharType="begin"/>
          </w:r>
          <w:r>
            <w:instrText xml:space="preserve"> PAGEREF _Toc172828956 \h </w:instrText>
          </w:r>
          <w:r>
            <w:fldChar w:fldCharType="separate"/>
          </w:r>
          <w:r>
            <w:t>10</w:t>
          </w:r>
          <w:r>
            <w:fldChar w:fldCharType="end"/>
          </w:r>
          <w:r>
            <w:fldChar w:fldCharType="end"/>
          </w:r>
        </w:p>
        <w:p w14:paraId="1E4FE0A0">
          <w:pPr>
            <w:pStyle w:val="9"/>
            <w:tabs>
              <w:tab w:val="right" w:leader="dot" w:pos="9350"/>
            </w:tabs>
            <w:rPr>
              <w:rFonts w:asciiTheme="minorHAnsi" w:hAnsiTheme="minorHAnsi" w:eastAsiaTheme="minorEastAsia" w:cstheme="minorBidi"/>
              <w:color w:val="auto"/>
              <w:sz w:val="22"/>
              <w:szCs w:val="22"/>
              <w:lang w:eastAsia="en-GB"/>
            </w:rPr>
          </w:pPr>
          <w:r>
            <w:fldChar w:fldCharType="begin"/>
          </w:r>
          <w:r>
            <w:instrText xml:space="preserve"> HYPERLINK \l "_Toc172828957" </w:instrText>
          </w:r>
          <w:r>
            <w:fldChar w:fldCharType="separate"/>
          </w:r>
          <w:r>
            <w:rPr>
              <w:rStyle w:val="8"/>
            </w:rPr>
            <w:t>CONFLICT RESOLUTION STYLES AND THE RECOMMEND STYLE FOR THE CASE</w:t>
          </w:r>
          <w:r>
            <w:tab/>
          </w:r>
          <w:r>
            <w:fldChar w:fldCharType="begin"/>
          </w:r>
          <w:r>
            <w:instrText xml:space="preserve"> PAGEREF _Toc172828957 \h </w:instrText>
          </w:r>
          <w:r>
            <w:fldChar w:fldCharType="separate"/>
          </w:r>
          <w:r>
            <w:t>12</w:t>
          </w:r>
          <w:r>
            <w:fldChar w:fldCharType="end"/>
          </w:r>
          <w:r>
            <w:fldChar w:fldCharType="end"/>
          </w:r>
        </w:p>
        <w:p w14:paraId="79692AAB">
          <w:pPr>
            <w:pStyle w:val="9"/>
            <w:tabs>
              <w:tab w:val="right" w:leader="dot" w:pos="9350"/>
            </w:tabs>
            <w:rPr>
              <w:rFonts w:asciiTheme="minorHAnsi" w:hAnsiTheme="minorHAnsi" w:eastAsiaTheme="minorEastAsia" w:cstheme="minorBidi"/>
              <w:color w:val="auto"/>
              <w:sz w:val="22"/>
              <w:szCs w:val="22"/>
              <w:lang w:eastAsia="en-GB"/>
            </w:rPr>
          </w:pPr>
          <w:r>
            <w:fldChar w:fldCharType="begin"/>
          </w:r>
          <w:r>
            <w:instrText xml:space="preserve"> HYPERLINK \l "_Toc172828958" </w:instrText>
          </w:r>
          <w:r>
            <w:fldChar w:fldCharType="separate"/>
          </w:r>
          <w:r>
            <w:rPr>
              <w:rStyle w:val="8"/>
            </w:rPr>
            <w:t>RECOMMENDED CONFLICT RESOLUTION STYLE</w:t>
          </w:r>
          <w:r>
            <w:tab/>
          </w:r>
          <w:r>
            <w:fldChar w:fldCharType="begin"/>
          </w:r>
          <w:r>
            <w:instrText xml:space="preserve"> PAGEREF _Toc172828958 \h </w:instrText>
          </w:r>
          <w:r>
            <w:fldChar w:fldCharType="separate"/>
          </w:r>
          <w:r>
            <w:t>14</w:t>
          </w:r>
          <w:r>
            <w:fldChar w:fldCharType="end"/>
          </w:r>
          <w:r>
            <w:fldChar w:fldCharType="end"/>
          </w:r>
        </w:p>
        <w:p w14:paraId="5296EC70">
          <w:pPr>
            <w:pStyle w:val="10"/>
            <w:tabs>
              <w:tab w:val="right" w:leader="dot" w:pos="9350"/>
            </w:tabs>
            <w:rPr>
              <w:rFonts w:asciiTheme="minorHAnsi" w:hAnsiTheme="minorHAnsi" w:eastAsiaTheme="minorEastAsia" w:cstheme="minorBidi"/>
              <w:color w:val="auto"/>
              <w:sz w:val="22"/>
              <w:szCs w:val="22"/>
              <w:lang w:eastAsia="en-GB"/>
            </w:rPr>
          </w:pPr>
          <w:r>
            <w:fldChar w:fldCharType="begin"/>
          </w:r>
          <w:r>
            <w:instrText xml:space="preserve"> HYPERLINK \l "_Toc172828959" </w:instrText>
          </w:r>
          <w:r>
            <w:fldChar w:fldCharType="separate"/>
          </w:r>
          <w:r>
            <w:rPr>
              <w:rStyle w:val="8"/>
            </w:rPr>
            <w:t>Collaborating</w:t>
          </w:r>
          <w:r>
            <w:tab/>
          </w:r>
          <w:r>
            <w:fldChar w:fldCharType="begin"/>
          </w:r>
          <w:r>
            <w:instrText xml:space="preserve"> PAGEREF _Toc172828959 \h </w:instrText>
          </w:r>
          <w:r>
            <w:fldChar w:fldCharType="separate"/>
          </w:r>
          <w:r>
            <w:t>14</w:t>
          </w:r>
          <w:r>
            <w:fldChar w:fldCharType="end"/>
          </w:r>
          <w:r>
            <w:fldChar w:fldCharType="end"/>
          </w:r>
        </w:p>
        <w:p w14:paraId="02F96A85">
          <w:pPr>
            <w:pStyle w:val="10"/>
            <w:tabs>
              <w:tab w:val="right" w:leader="dot" w:pos="9350"/>
            </w:tabs>
            <w:rPr>
              <w:rFonts w:asciiTheme="minorHAnsi" w:hAnsiTheme="minorHAnsi" w:eastAsiaTheme="minorEastAsia" w:cstheme="minorBidi"/>
              <w:color w:val="auto"/>
              <w:sz w:val="22"/>
              <w:szCs w:val="22"/>
              <w:lang w:eastAsia="en-GB"/>
            </w:rPr>
          </w:pPr>
          <w:r>
            <w:fldChar w:fldCharType="begin"/>
          </w:r>
          <w:r>
            <w:instrText xml:space="preserve"> HYPERLINK \l "_Toc172828960" </w:instrText>
          </w:r>
          <w:r>
            <w:fldChar w:fldCharType="separate"/>
          </w:r>
          <w:r>
            <w:rPr>
              <w:rStyle w:val="8"/>
            </w:rPr>
            <w:t>Accurately define the point(s) of disagreement</w:t>
          </w:r>
          <w:r>
            <w:tab/>
          </w:r>
          <w:r>
            <w:fldChar w:fldCharType="begin"/>
          </w:r>
          <w:r>
            <w:instrText xml:space="preserve"> PAGEREF _Toc172828960 \h </w:instrText>
          </w:r>
          <w:r>
            <w:fldChar w:fldCharType="separate"/>
          </w:r>
          <w:r>
            <w:t>15</w:t>
          </w:r>
          <w:r>
            <w:fldChar w:fldCharType="end"/>
          </w:r>
          <w:r>
            <w:fldChar w:fldCharType="end"/>
          </w:r>
        </w:p>
        <w:p w14:paraId="35781E06">
          <w:pPr>
            <w:pStyle w:val="10"/>
            <w:tabs>
              <w:tab w:val="right" w:leader="dot" w:pos="9350"/>
            </w:tabs>
            <w:rPr>
              <w:rFonts w:asciiTheme="minorHAnsi" w:hAnsiTheme="minorHAnsi" w:eastAsiaTheme="minorEastAsia" w:cstheme="minorBidi"/>
              <w:color w:val="auto"/>
              <w:sz w:val="22"/>
              <w:szCs w:val="22"/>
              <w:lang w:eastAsia="en-GB"/>
            </w:rPr>
          </w:pPr>
          <w:r>
            <w:fldChar w:fldCharType="begin"/>
          </w:r>
          <w:r>
            <w:instrText xml:space="preserve"> HYPERLINK \l "_Toc172828961" </w:instrText>
          </w:r>
          <w:r>
            <w:fldChar w:fldCharType="separate"/>
          </w:r>
          <w:r>
            <w:rPr>
              <w:rStyle w:val="8"/>
            </w:rPr>
            <w:t>Set a conducive environment for collaboration</w:t>
          </w:r>
          <w:r>
            <w:tab/>
          </w:r>
          <w:r>
            <w:fldChar w:fldCharType="begin"/>
          </w:r>
          <w:r>
            <w:instrText xml:space="preserve"> PAGEREF _Toc172828961 \h </w:instrText>
          </w:r>
          <w:r>
            <w:fldChar w:fldCharType="separate"/>
          </w:r>
          <w:r>
            <w:t>15</w:t>
          </w:r>
          <w:r>
            <w:fldChar w:fldCharType="end"/>
          </w:r>
          <w:r>
            <w:fldChar w:fldCharType="end"/>
          </w:r>
        </w:p>
        <w:p w14:paraId="5C249E61">
          <w:pPr>
            <w:pStyle w:val="10"/>
            <w:tabs>
              <w:tab w:val="right" w:leader="dot" w:pos="9350"/>
            </w:tabs>
            <w:rPr>
              <w:rFonts w:asciiTheme="minorHAnsi" w:hAnsiTheme="minorHAnsi" w:eastAsiaTheme="minorEastAsia" w:cstheme="minorBidi"/>
              <w:color w:val="auto"/>
              <w:sz w:val="22"/>
              <w:szCs w:val="22"/>
              <w:lang w:eastAsia="en-GB"/>
            </w:rPr>
          </w:pPr>
          <w:r>
            <w:fldChar w:fldCharType="begin"/>
          </w:r>
          <w:r>
            <w:instrText xml:space="preserve"> HYPERLINK \l "_Toc172828962" </w:instrText>
          </w:r>
          <w:r>
            <w:fldChar w:fldCharType="separate"/>
          </w:r>
          <w:r>
            <w:rPr>
              <w:rStyle w:val="8"/>
            </w:rPr>
            <w:t>Define the common goal(s)</w:t>
          </w:r>
          <w:r>
            <w:tab/>
          </w:r>
          <w:r>
            <w:fldChar w:fldCharType="begin"/>
          </w:r>
          <w:r>
            <w:instrText xml:space="preserve"> PAGEREF _Toc172828962 \h </w:instrText>
          </w:r>
          <w:r>
            <w:fldChar w:fldCharType="separate"/>
          </w:r>
          <w:r>
            <w:t>15</w:t>
          </w:r>
          <w:r>
            <w:fldChar w:fldCharType="end"/>
          </w:r>
          <w:r>
            <w:fldChar w:fldCharType="end"/>
          </w:r>
        </w:p>
        <w:p w14:paraId="03DCC3B0">
          <w:pPr>
            <w:pStyle w:val="10"/>
            <w:tabs>
              <w:tab w:val="right" w:leader="dot" w:pos="9350"/>
            </w:tabs>
            <w:rPr>
              <w:rFonts w:asciiTheme="minorHAnsi" w:hAnsiTheme="minorHAnsi" w:eastAsiaTheme="minorEastAsia" w:cstheme="minorBidi"/>
              <w:color w:val="auto"/>
              <w:sz w:val="22"/>
              <w:szCs w:val="22"/>
              <w:lang w:eastAsia="en-GB"/>
            </w:rPr>
          </w:pPr>
          <w:r>
            <w:fldChar w:fldCharType="begin"/>
          </w:r>
          <w:r>
            <w:instrText xml:space="preserve"> HYPERLINK \l "_Toc172828963" </w:instrText>
          </w:r>
          <w:r>
            <w:fldChar w:fldCharType="separate"/>
          </w:r>
          <w:r>
            <w:rPr>
              <w:rStyle w:val="8"/>
            </w:rPr>
            <w:t>Define the options</w:t>
          </w:r>
          <w:r>
            <w:tab/>
          </w:r>
          <w:r>
            <w:fldChar w:fldCharType="begin"/>
          </w:r>
          <w:r>
            <w:instrText xml:space="preserve"> PAGEREF _Toc172828963 \h </w:instrText>
          </w:r>
          <w:r>
            <w:fldChar w:fldCharType="separate"/>
          </w:r>
          <w:r>
            <w:t>16</w:t>
          </w:r>
          <w:r>
            <w:fldChar w:fldCharType="end"/>
          </w:r>
          <w:r>
            <w:fldChar w:fldCharType="end"/>
          </w:r>
        </w:p>
        <w:p w14:paraId="474BDF40">
          <w:pPr>
            <w:pStyle w:val="10"/>
            <w:tabs>
              <w:tab w:val="right" w:leader="dot" w:pos="9350"/>
            </w:tabs>
            <w:rPr>
              <w:rFonts w:asciiTheme="minorHAnsi" w:hAnsiTheme="minorHAnsi" w:eastAsiaTheme="minorEastAsia" w:cstheme="minorBidi"/>
              <w:color w:val="auto"/>
              <w:sz w:val="22"/>
              <w:szCs w:val="22"/>
              <w:lang w:eastAsia="en-GB"/>
            </w:rPr>
          </w:pPr>
          <w:r>
            <w:fldChar w:fldCharType="begin"/>
          </w:r>
          <w:r>
            <w:instrText xml:space="preserve"> HYPERLINK \l "_Toc172828964" </w:instrText>
          </w:r>
          <w:r>
            <w:fldChar w:fldCharType="separate"/>
          </w:r>
          <w:r>
            <w:rPr>
              <w:rStyle w:val="8"/>
            </w:rPr>
            <w:t>Evaluate the available options</w:t>
          </w:r>
          <w:r>
            <w:tab/>
          </w:r>
          <w:r>
            <w:fldChar w:fldCharType="begin"/>
          </w:r>
          <w:r>
            <w:instrText xml:space="preserve"> PAGEREF _Toc172828964 \h </w:instrText>
          </w:r>
          <w:r>
            <w:fldChar w:fldCharType="separate"/>
          </w:r>
          <w:r>
            <w:t>16</w:t>
          </w:r>
          <w:r>
            <w:fldChar w:fldCharType="end"/>
          </w:r>
          <w:r>
            <w:fldChar w:fldCharType="end"/>
          </w:r>
        </w:p>
        <w:p w14:paraId="44C06973">
          <w:pPr>
            <w:pStyle w:val="10"/>
            <w:tabs>
              <w:tab w:val="right" w:leader="dot" w:pos="9350"/>
            </w:tabs>
            <w:rPr>
              <w:rFonts w:asciiTheme="minorHAnsi" w:hAnsiTheme="minorHAnsi" w:eastAsiaTheme="minorEastAsia" w:cstheme="minorBidi"/>
              <w:color w:val="auto"/>
              <w:sz w:val="22"/>
              <w:szCs w:val="22"/>
              <w:lang w:eastAsia="en-GB"/>
            </w:rPr>
          </w:pPr>
          <w:r>
            <w:fldChar w:fldCharType="begin"/>
          </w:r>
          <w:r>
            <w:instrText xml:space="preserve"> HYPERLINK \l "_Toc172828965" </w:instrText>
          </w:r>
          <w:r>
            <w:fldChar w:fldCharType="separate"/>
          </w:r>
          <w:r>
            <w:rPr>
              <w:rStyle w:val="8"/>
            </w:rPr>
            <w:t>Negotiate for a win-win solution</w:t>
          </w:r>
          <w:r>
            <w:tab/>
          </w:r>
          <w:r>
            <w:fldChar w:fldCharType="begin"/>
          </w:r>
          <w:r>
            <w:instrText xml:space="preserve"> PAGEREF _Toc172828965 \h </w:instrText>
          </w:r>
          <w:r>
            <w:fldChar w:fldCharType="separate"/>
          </w:r>
          <w:r>
            <w:t>17</w:t>
          </w:r>
          <w:r>
            <w:fldChar w:fldCharType="end"/>
          </w:r>
          <w:r>
            <w:fldChar w:fldCharType="end"/>
          </w:r>
        </w:p>
        <w:p w14:paraId="249A3A65">
          <w:pPr>
            <w:pStyle w:val="10"/>
            <w:tabs>
              <w:tab w:val="right" w:leader="dot" w:pos="9350"/>
            </w:tabs>
            <w:rPr>
              <w:rFonts w:asciiTheme="minorHAnsi" w:hAnsiTheme="minorHAnsi" w:eastAsiaTheme="minorEastAsia" w:cstheme="minorBidi"/>
              <w:color w:val="auto"/>
              <w:sz w:val="22"/>
              <w:szCs w:val="22"/>
              <w:lang w:eastAsia="en-GB"/>
            </w:rPr>
          </w:pPr>
          <w:r>
            <w:fldChar w:fldCharType="begin"/>
          </w:r>
          <w:r>
            <w:instrText xml:space="preserve"> HYPERLINK \l "_Toc172828966" </w:instrText>
          </w:r>
          <w:r>
            <w:fldChar w:fldCharType="separate"/>
          </w:r>
          <w:r>
            <w:rPr>
              <w:rStyle w:val="8"/>
            </w:rPr>
            <w:t>Define the action plan for implementing the solution and define the roles</w:t>
          </w:r>
          <w:r>
            <w:tab/>
          </w:r>
          <w:r>
            <w:fldChar w:fldCharType="begin"/>
          </w:r>
          <w:r>
            <w:instrText xml:space="preserve"> PAGEREF _Toc172828966 \h </w:instrText>
          </w:r>
          <w:r>
            <w:fldChar w:fldCharType="separate"/>
          </w:r>
          <w:r>
            <w:t>17</w:t>
          </w:r>
          <w:r>
            <w:fldChar w:fldCharType="end"/>
          </w:r>
          <w:r>
            <w:fldChar w:fldCharType="end"/>
          </w:r>
        </w:p>
        <w:p w14:paraId="4BBEF175">
          <w:pPr>
            <w:pStyle w:val="9"/>
            <w:tabs>
              <w:tab w:val="right" w:leader="dot" w:pos="9350"/>
            </w:tabs>
            <w:rPr>
              <w:rFonts w:asciiTheme="minorHAnsi" w:hAnsiTheme="minorHAnsi" w:eastAsiaTheme="minorEastAsia" w:cstheme="minorBidi"/>
              <w:color w:val="auto"/>
              <w:sz w:val="22"/>
              <w:szCs w:val="22"/>
              <w:lang w:eastAsia="en-GB"/>
            </w:rPr>
          </w:pPr>
          <w:r>
            <w:fldChar w:fldCharType="begin"/>
          </w:r>
          <w:r>
            <w:instrText xml:space="preserve"> HYPERLINK \l "_Toc172828967" </w:instrText>
          </w:r>
          <w:r>
            <w:fldChar w:fldCharType="separate"/>
          </w:r>
          <w:r>
            <w:rPr>
              <w:rStyle w:val="8"/>
            </w:rPr>
            <w:t>WAYS TO REACH A ‘WIN-WIN’ SOLUTION AMONG THE STAKEHOLDERS</w:t>
          </w:r>
          <w:r>
            <w:tab/>
          </w:r>
          <w:r>
            <w:fldChar w:fldCharType="begin"/>
          </w:r>
          <w:r>
            <w:instrText xml:space="preserve"> PAGEREF _Toc172828967 \h </w:instrText>
          </w:r>
          <w:r>
            <w:fldChar w:fldCharType="separate"/>
          </w:r>
          <w:r>
            <w:t>17</w:t>
          </w:r>
          <w:r>
            <w:fldChar w:fldCharType="end"/>
          </w:r>
          <w:r>
            <w:fldChar w:fldCharType="end"/>
          </w:r>
        </w:p>
        <w:p w14:paraId="7741FB41">
          <w:pPr>
            <w:pStyle w:val="10"/>
            <w:tabs>
              <w:tab w:val="right" w:leader="dot" w:pos="9350"/>
            </w:tabs>
            <w:rPr>
              <w:rFonts w:asciiTheme="minorHAnsi" w:hAnsiTheme="minorHAnsi" w:eastAsiaTheme="minorEastAsia" w:cstheme="minorBidi"/>
              <w:color w:val="auto"/>
              <w:sz w:val="22"/>
              <w:szCs w:val="22"/>
              <w:lang w:eastAsia="en-GB"/>
            </w:rPr>
          </w:pPr>
          <w:r>
            <w:fldChar w:fldCharType="begin"/>
          </w:r>
          <w:r>
            <w:instrText xml:space="preserve"> HYPERLINK \l "_Toc172828968" </w:instrText>
          </w:r>
          <w:r>
            <w:fldChar w:fldCharType="separate"/>
          </w:r>
          <w:r>
            <w:rPr>
              <w:rStyle w:val="8"/>
            </w:rPr>
            <w:t>Focus on the interests</w:t>
          </w:r>
          <w:r>
            <w:tab/>
          </w:r>
          <w:r>
            <w:fldChar w:fldCharType="begin"/>
          </w:r>
          <w:r>
            <w:instrText xml:space="preserve"> PAGEREF _Toc172828968 \h </w:instrText>
          </w:r>
          <w:r>
            <w:fldChar w:fldCharType="separate"/>
          </w:r>
          <w:r>
            <w:t>17</w:t>
          </w:r>
          <w:r>
            <w:fldChar w:fldCharType="end"/>
          </w:r>
          <w:r>
            <w:fldChar w:fldCharType="end"/>
          </w:r>
        </w:p>
        <w:p w14:paraId="3950E014">
          <w:pPr>
            <w:pStyle w:val="10"/>
            <w:tabs>
              <w:tab w:val="right" w:leader="dot" w:pos="9350"/>
            </w:tabs>
            <w:rPr>
              <w:rFonts w:asciiTheme="minorHAnsi" w:hAnsiTheme="minorHAnsi" w:eastAsiaTheme="minorEastAsia" w:cstheme="minorBidi"/>
              <w:color w:val="auto"/>
              <w:sz w:val="22"/>
              <w:szCs w:val="22"/>
              <w:lang w:eastAsia="en-GB"/>
            </w:rPr>
          </w:pPr>
          <w:r>
            <w:fldChar w:fldCharType="begin"/>
          </w:r>
          <w:r>
            <w:instrText xml:space="preserve"> HYPERLINK \l "_Toc172828969" </w:instrText>
          </w:r>
          <w:r>
            <w:fldChar w:fldCharType="separate"/>
          </w:r>
          <w:r>
            <w:rPr>
              <w:rStyle w:val="8"/>
            </w:rPr>
            <w:t>Establish options that promise mutual gain</w:t>
          </w:r>
          <w:r>
            <w:tab/>
          </w:r>
          <w:r>
            <w:fldChar w:fldCharType="begin"/>
          </w:r>
          <w:r>
            <w:instrText xml:space="preserve"> PAGEREF _Toc172828969 \h </w:instrText>
          </w:r>
          <w:r>
            <w:fldChar w:fldCharType="separate"/>
          </w:r>
          <w:r>
            <w:t>18</w:t>
          </w:r>
          <w:r>
            <w:fldChar w:fldCharType="end"/>
          </w:r>
          <w:r>
            <w:fldChar w:fldCharType="end"/>
          </w:r>
        </w:p>
        <w:p w14:paraId="6EB135A8">
          <w:pPr>
            <w:pStyle w:val="10"/>
            <w:tabs>
              <w:tab w:val="right" w:leader="dot" w:pos="9350"/>
            </w:tabs>
            <w:rPr>
              <w:rFonts w:asciiTheme="minorHAnsi" w:hAnsiTheme="minorHAnsi" w:eastAsiaTheme="minorEastAsia" w:cstheme="minorBidi"/>
              <w:color w:val="auto"/>
              <w:sz w:val="22"/>
              <w:szCs w:val="22"/>
              <w:lang w:eastAsia="en-GB"/>
            </w:rPr>
          </w:pPr>
          <w:r>
            <w:fldChar w:fldCharType="begin"/>
          </w:r>
          <w:r>
            <w:instrText xml:space="preserve"> HYPERLINK \l "_Toc172828970" </w:instrText>
          </w:r>
          <w:r>
            <w:fldChar w:fldCharType="separate"/>
          </w:r>
          <w:r>
            <w:rPr>
              <w:rStyle w:val="8"/>
            </w:rPr>
            <w:t>Remain objective</w:t>
          </w:r>
          <w:r>
            <w:tab/>
          </w:r>
          <w:r>
            <w:fldChar w:fldCharType="begin"/>
          </w:r>
          <w:r>
            <w:instrText xml:space="preserve"> PAGEREF _Toc172828970 \h </w:instrText>
          </w:r>
          <w:r>
            <w:fldChar w:fldCharType="separate"/>
          </w:r>
          <w:r>
            <w:t>18</w:t>
          </w:r>
          <w:r>
            <w:fldChar w:fldCharType="end"/>
          </w:r>
          <w:r>
            <w:fldChar w:fldCharType="end"/>
          </w:r>
        </w:p>
        <w:p w14:paraId="1F64586F">
          <w:pPr>
            <w:pStyle w:val="10"/>
            <w:tabs>
              <w:tab w:val="right" w:leader="dot" w:pos="9350"/>
            </w:tabs>
            <w:rPr>
              <w:rFonts w:asciiTheme="minorHAnsi" w:hAnsiTheme="minorHAnsi" w:eastAsiaTheme="minorEastAsia" w:cstheme="minorBidi"/>
              <w:color w:val="auto"/>
              <w:sz w:val="22"/>
              <w:szCs w:val="22"/>
              <w:lang w:eastAsia="en-GB"/>
            </w:rPr>
          </w:pPr>
          <w:r>
            <w:fldChar w:fldCharType="begin"/>
          </w:r>
          <w:r>
            <w:instrText xml:space="preserve"> HYPERLINK \l "_Toc172828971" </w:instrText>
          </w:r>
          <w:r>
            <w:fldChar w:fldCharType="separate"/>
          </w:r>
          <w:r>
            <w:rPr>
              <w:rStyle w:val="8"/>
            </w:rPr>
            <w:t>Introduce the best alternatives to the negotiated agreement</w:t>
          </w:r>
          <w:r>
            <w:tab/>
          </w:r>
          <w:r>
            <w:fldChar w:fldCharType="begin"/>
          </w:r>
          <w:r>
            <w:instrText xml:space="preserve"> PAGEREF _Toc172828971 \h </w:instrText>
          </w:r>
          <w:r>
            <w:fldChar w:fldCharType="separate"/>
          </w:r>
          <w:r>
            <w:t>18</w:t>
          </w:r>
          <w:r>
            <w:fldChar w:fldCharType="end"/>
          </w:r>
          <w:r>
            <w:fldChar w:fldCharType="end"/>
          </w:r>
        </w:p>
        <w:p w14:paraId="67A14B1A">
          <w:pPr>
            <w:pStyle w:val="9"/>
            <w:tabs>
              <w:tab w:val="right" w:leader="dot" w:pos="9350"/>
            </w:tabs>
            <w:rPr>
              <w:rFonts w:asciiTheme="minorHAnsi" w:hAnsiTheme="minorHAnsi" w:eastAsiaTheme="minorEastAsia" w:cstheme="minorBidi"/>
              <w:color w:val="auto"/>
              <w:sz w:val="22"/>
              <w:szCs w:val="22"/>
              <w:lang w:eastAsia="en-GB"/>
            </w:rPr>
          </w:pPr>
          <w:r>
            <w:fldChar w:fldCharType="begin"/>
          </w:r>
          <w:r>
            <w:instrText xml:space="preserve"> HYPERLINK \l "_Toc172828972" </w:instrText>
          </w:r>
          <w:r>
            <w:fldChar w:fldCharType="separate"/>
          </w:r>
          <w:r>
            <w:rPr>
              <w:rStyle w:val="8"/>
            </w:rPr>
            <w:t>HOW MY UNDERSTANDING OF CONFLICT RESOLUTION AND STAKEHOLDER THEORY HAS PREPARED ME FOR THE WORKPLACE</w:t>
          </w:r>
          <w:r>
            <w:tab/>
          </w:r>
          <w:r>
            <w:fldChar w:fldCharType="begin"/>
          </w:r>
          <w:r>
            <w:instrText xml:space="preserve"> PAGEREF _Toc172828972 \h </w:instrText>
          </w:r>
          <w:r>
            <w:fldChar w:fldCharType="separate"/>
          </w:r>
          <w:r>
            <w:t>19</w:t>
          </w:r>
          <w:r>
            <w:fldChar w:fldCharType="end"/>
          </w:r>
          <w:r>
            <w:fldChar w:fldCharType="end"/>
          </w:r>
        </w:p>
        <w:p w14:paraId="31CB07CD">
          <w:pPr>
            <w:pStyle w:val="10"/>
            <w:tabs>
              <w:tab w:val="right" w:leader="dot" w:pos="9350"/>
            </w:tabs>
            <w:rPr>
              <w:rFonts w:asciiTheme="minorHAnsi" w:hAnsiTheme="minorHAnsi" w:eastAsiaTheme="minorEastAsia" w:cstheme="minorBidi"/>
              <w:color w:val="auto"/>
              <w:sz w:val="22"/>
              <w:szCs w:val="22"/>
              <w:lang w:eastAsia="en-GB"/>
            </w:rPr>
          </w:pPr>
          <w:r>
            <w:fldChar w:fldCharType="begin"/>
          </w:r>
          <w:r>
            <w:instrText xml:space="preserve"> HYPERLINK \l "_Toc172828973" </w:instrText>
          </w:r>
          <w:r>
            <w:fldChar w:fldCharType="separate"/>
          </w:r>
          <w:r>
            <w:rPr>
              <w:rStyle w:val="8"/>
            </w:rPr>
            <w:t>Problem solving</w:t>
          </w:r>
          <w:r>
            <w:tab/>
          </w:r>
          <w:r>
            <w:fldChar w:fldCharType="begin"/>
          </w:r>
          <w:r>
            <w:instrText xml:space="preserve"> PAGEREF _Toc172828973 \h </w:instrText>
          </w:r>
          <w:r>
            <w:fldChar w:fldCharType="separate"/>
          </w:r>
          <w:r>
            <w:t>19</w:t>
          </w:r>
          <w:r>
            <w:fldChar w:fldCharType="end"/>
          </w:r>
          <w:r>
            <w:fldChar w:fldCharType="end"/>
          </w:r>
        </w:p>
        <w:p w14:paraId="54F717C4">
          <w:pPr>
            <w:pStyle w:val="10"/>
            <w:tabs>
              <w:tab w:val="right" w:leader="dot" w:pos="9350"/>
            </w:tabs>
            <w:rPr>
              <w:rFonts w:asciiTheme="minorHAnsi" w:hAnsiTheme="minorHAnsi" w:eastAsiaTheme="minorEastAsia" w:cstheme="minorBidi"/>
              <w:color w:val="auto"/>
              <w:sz w:val="22"/>
              <w:szCs w:val="22"/>
              <w:lang w:eastAsia="en-GB"/>
            </w:rPr>
          </w:pPr>
          <w:r>
            <w:fldChar w:fldCharType="begin"/>
          </w:r>
          <w:r>
            <w:instrText xml:space="preserve"> HYPERLINK \l "_Toc172828974" </w:instrText>
          </w:r>
          <w:r>
            <w:fldChar w:fldCharType="separate"/>
          </w:r>
          <w:r>
            <w:rPr>
              <w:rStyle w:val="8"/>
            </w:rPr>
            <w:t>Effective leadership</w:t>
          </w:r>
          <w:r>
            <w:tab/>
          </w:r>
          <w:r>
            <w:fldChar w:fldCharType="begin"/>
          </w:r>
          <w:r>
            <w:instrText xml:space="preserve"> PAGEREF _Toc172828974 \h </w:instrText>
          </w:r>
          <w:r>
            <w:fldChar w:fldCharType="separate"/>
          </w:r>
          <w:r>
            <w:t>20</w:t>
          </w:r>
          <w:r>
            <w:fldChar w:fldCharType="end"/>
          </w:r>
          <w:r>
            <w:fldChar w:fldCharType="end"/>
          </w:r>
        </w:p>
        <w:p w14:paraId="2657A14E">
          <w:pPr>
            <w:pStyle w:val="10"/>
            <w:tabs>
              <w:tab w:val="right" w:leader="dot" w:pos="9350"/>
            </w:tabs>
            <w:rPr>
              <w:rFonts w:asciiTheme="minorHAnsi" w:hAnsiTheme="minorHAnsi" w:eastAsiaTheme="minorEastAsia" w:cstheme="minorBidi"/>
              <w:color w:val="auto"/>
              <w:sz w:val="22"/>
              <w:szCs w:val="22"/>
              <w:lang w:eastAsia="en-GB"/>
            </w:rPr>
          </w:pPr>
          <w:r>
            <w:fldChar w:fldCharType="begin"/>
          </w:r>
          <w:r>
            <w:instrText xml:space="preserve"> HYPERLINK \l "_Toc172828975" </w:instrText>
          </w:r>
          <w:r>
            <w:fldChar w:fldCharType="separate"/>
          </w:r>
          <w:r>
            <w:rPr>
              <w:rStyle w:val="8"/>
            </w:rPr>
            <w:t>Effective stakeholder engagement</w:t>
          </w:r>
          <w:r>
            <w:tab/>
          </w:r>
          <w:r>
            <w:fldChar w:fldCharType="begin"/>
          </w:r>
          <w:r>
            <w:instrText xml:space="preserve"> PAGEREF _Toc172828975 \h </w:instrText>
          </w:r>
          <w:r>
            <w:fldChar w:fldCharType="separate"/>
          </w:r>
          <w:r>
            <w:t>20</w:t>
          </w:r>
          <w:r>
            <w:fldChar w:fldCharType="end"/>
          </w:r>
          <w:r>
            <w:fldChar w:fldCharType="end"/>
          </w:r>
        </w:p>
        <w:p w14:paraId="0AD404C8">
          <w:pPr>
            <w:pStyle w:val="9"/>
            <w:tabs>
              <w:tab w:val="right" w:leader="dot" w:pos="9350"/>
            </w:tabs>
            <w:rPr>
              <w:rFonts w:asciiTheme="minorHAnsi" w:hAnsiTheme="minorHAnsi" w:eastAsiaTheme="minorEastAsia" w:cstheme="minorBidi"/>
              <w:color w:val="auto"/>
              <w:sz w:val="22"/>
              <w:szCs w:val="22"/>
              <w:lang w:eastAsia="en-GB"/>
            </w:rPr>
          </w:pPr>
          <w:r>
            <w:fldChar w:fldCharType="begin"/>
          </w:r>
          <w:r>
            <w:instrText xml:space="preserve"> HYPERLINK \l "_Toc172828976" </w:instrText>
          </w:r>
          <w:r>
            <w:fldChar w:fldCharType="separate"/>
          </w:r>
          <w:r>
            <w:rPr>
              <w:rStyle w:val="8"/>
            </w:rPr>
            <w:t>RECOMMENDATIONS</w:t>
          </w:r>
          <w:r>
            <w:tab/>
          </w:r>
          <w:r>
            <w:fldChar w:fldCharType="begin"/>
          </w:r>
          <w:r>
            <w:instrText xml:space="preserve"> PAGEREF _Toc172828976 \h </w:instrText>
          </w:r>
          <w:r>
            <w:fldChar w:fldCharType="separate"/>
          </w:r>
          <w:r>
            <w:t>20</w:t>
          </w:r>
          <w:r>
            <w:fldChar w:fldCharType="end"/>
          </w:r>
          <w:r>
            <w:fldChar w:fldCharType="end"/>
          </w:r>
        </w:p>
        <w:p w14:paraId="02C81F29">
          <w:pPr>
            <w:pStyle w:val="10"/>
            <w:tabs>
              <w:tab w:val="right" w:leader="dot" w:pos="9350"/>
            </w:tabs>
            <w:rPr>
              <w:rFonts w:asciiTheme="minorHAnsi" w:hAnsiTheme="minorHAnsi" w:eastAsiaTheme="minorEastAsia" w:cstheme="minorBidi"/>
              <w:color w:val="auto"/>
              <w:sz w:val="22"/>
              <w:szCs w:val="22"/>
              <w:lang w:eastAsia="en-GB"/>
            </w:rPr>
          </w:pPr>
          <w:r>
            <w:fldChar w:fldCharType="begin"/>
          </w:r>
          <w:r>
            <w:instrText xml:space="preserve"> HYPERLINK \l "_Toc172828977" </w:instrText>
          </w:r>
          <w:r>
            <w:fldChar w:fldCharType="separate"/>
          </w:r>
          <w:r>
            <w:rPr>
              <w:rStyle w:val="8"/>
            </w:rPr>
            <w:t>Invest in conflict resolution training</w:t>
          </w:r>
          <w:r>
            <w:tab/>
          </w:r>
          <w:r>
            <w:fldChar w:fldCharType="begin"/>
          </w:r>
          <w:r>
            <w:instrText xml:space="preserve"> PAGEREF _Toc172828977 \h </w:instrText>
          </w:r>
          <w:r>
            <w:fldChar w:fldCharType="separate"/>
          </w:r>
          <w:r>
            <w:t>20</w:t>
          </w:r>
          <w:r>
            <w:fldChar w:fldCharType="end"/>
          </w:r>
          <w:r>
            <w:fldChar w:fldCharType="end"/>
          </w:r>
        </w:p>
        <w:p w14:paraId="52602BB4">
          <w:pPr>
            <w:pStyle w:val="10"/>
            <w:tabs>
              <w:tab w:val="right" w:leader="dot" w:pos="9350"/>
            </w:tabs>
            <w:rPr>
              <w:rFonts w:asciiTheme="minorHAnsi" w:hAnsiTheme="minorHAnsi" w:eastAsiaTheme="minorEastAsia" w:cstheme="minorBidi"/>
              <w:color w:val="auto"/>
              <w:sz w:val="22"/>
              <w:szCs w:val="22"/>
              <w:lang w:eastAsia="en-GB"/>
            </w:rPr>
          </w:pPr>
          <w:r>
            <w:fldChar w:fldCharType="begin"/>
          </w:r>
          <w:r>
            <w:instrText xml:space="preserve"> HYPERLINK \l "_Toc172828978" </w:instrText>
          </w:r>
          <w:r>
            <w:fldChar w:fldCharType="separate"/>
          </w:r>
          <w:r>
            <w:rPr>
              <w:rStyle w:val="8"/>
            </w:rPr>
            <w:t>Invest in stakeholder engagement training</w:t>
          </w:r>
          <w:r>
            <w:tab/>
          </w:r>
          <w:r>
            <w:fldChar w:fldCharType="begin"/>
          </w:r>
          <w:r>
            <w:instrText xml:space="preserve"> PAGEREF _Toc172828978 \h </w:instrText>
          </w:r>
          <w:r>
            <w:fldChar w:fldCharType="separate"/>
          </w:r>
          <w:r>
            <w:t>21</w:t>
          </w:r>
          <w:r>
            <w:fldChar w:fldCharType="end"/>
          </w:r>
          <w:r>
            <w:fldChar w:fldCharType="end"/>
          </w:r>
        </w:p>
        <w:p w14:paraId="4E7980FE">
          <w:pPr>
            <w:pStyle w:val="9"/>
            <w:tabs>
              <w:tab w:val="right" w:leader="dot" w:pos="9350"/>
            </w:tabs>
            <w:rPr>
              <w:rFonts w:asciiTheme="minorHAnsi" w:hAnsiTheme="minorHAnsi" w:eastAsiaTheme="minorEastAsia" w:cstheme="minorBidi"/>
              <w:color w:val="auto"/>
              <w:sz w:val="22"/>
              <w:szCs w:val="22"/>
              <w:lang w:eastAsia="en-GB"/>
            </w:rPr>
          </w:pPr>
          <w:r>
            <w:fldChar w:fldCharType="begin"/>
          </w:r>
          <w:r>
            <w:instrText xml:space="preserve"> HYPERLINK \l "_Toc172828979" </w:instrText>
          </w:r>
          <w:r>
            <w:fldChar w:fldCharType="separate"/>
          </w:r>
          <w:r>
            <w:rPr>
              <w:rStyle w:val="8"/>
            </w:rPr>
            <w:t>CONCLUSION</w:t>
          </w:r>
          <w:r>
            <w:tab/>
          </w:r>
          <w:r>
            <w:fldChar w:fldCharType="begin"/>
          </w:r>
          <w:r>
            <w:instrText xml:space="preserve"> PAGEREF _Toc172828979 \h </w:instrText>
          </w:r>
          <w:r>
            <w:fldChar w:fldCharType="separate"/>
          </w:r>
          <w:r>
            <w:t>21</w:t>
          </w:r>
          <w:r>
            <w:fldChar w:fldCharType="end"/>
          </w:r>
          <w:r>
            <w:fldChar w:fldCharType="end"/>
          </w:r>
        </w:p>
        <w:p w14:paraId="265670A2">
          <w:pPr>
            <w:pStyle w:val="9"/>
            <w:tabs>
              <w:tab w:val="right" w:leader="dot" w:pos="9350"/>
            </w:tabs>
            <w:rPr>
              <w:rFonts w:asciiTheme="minorHAnsi" w:hAnsiTheme="minorHAnsi" w:eastAsiaTheme="minorEastAsia" w:cstheme="minorBidi"/>
              <w:color w:val="auto"/>
              <w:sz w:val="22"/>
              <w:szCs w:val="22"/>
              <w:lang w:eastAsia="en-GB"/>
            </w:rPr>
          </w:pPr>
          <w:r>
            <w:fldChar w:fldCharType="begin"/>
          </w:r>
          <w:r>
            <w:instrText xml:space="preserve"> HYPERLINK \l "_Toc172828980" </w:instrText>
          </w:r>
          <w:r>
            <w:fldChar w:fldCharType="separate"/>
          </w:r>
          <w:r>
            <w:rPr>
              <w:rStyle w:val="8"/>
            </w:rPr>
            <w:t>REFERENCES</w:t>
          </w:r>
          <w:r>
            <w:tab/>
          </w:r>
          <w:r>
            <w:fldChar w:fldCharType="begin"/>
          </w:r>
          <w:r>
            <w:instrText xml:space="preserve"> PAGEREF _Toc172828980 \h </w:instrText>
          </w:r>
          <w:r>
            <w:fldChar w:fldCharType="separate"/>
          </w:r>
          <w:r>
            <w:t>22</w:t>
          </w:r>
          <w:r>
            <w:fldChar w:fldCharType="end"/>
          </w:r>
          <w:r>
            <w:fldChar w:fldCharType="end"/>
          </w:r>
        </w:p>
        <w:p w14:paraId="485D4E83">
          <w:r>
            <w:fldChar w:fldCharType="end"/>
          </w:r>
        </w:p>
      </w:sdtContent>
    </w:sdt>
    <w:p w14:paraId="2454C982">
      <w:pPr>
        <w:spacing w:after="0" w:line="240" w:lineRule="auto"/>
        <w:jc w:val="left"/>
        <w:rPr>
          <w:rFonts w:eastAsiaTheme="majorEastAsia" w:cstheme="majorBidi"/>
          <w:b/>
          <w:sz w:val="32"/>
          <w:szCs w:val="32"/>
        </w:rPr>
      </w:pPr>
      <w:r>
        <w:br w:type="page"/>
      </w:r>
    </w:p>
    <w:p w14:paraId="26739E40">
      <w:pPr>
        <w:pStyle w:val="2"/>
      </w:pPr>
      <w:bookmarkStart w:id="0" w:name="_Toc172828949"/>
      <w:r>
        <w:t>INTRODUCTION</w:t>
      </w:r>
      <w:bookmarkEnd w:id="0"/>
    </w:p>
    <w:p w14:paraId="3C8AB872">
      <w:r>
        <w:t xml:space="preserve">Organisations with multiple stakeholders have to engage in conflict resolution processes when they are in conflict with one or more of the stakeholders. According to the stakeholder theory, different stakeholders have different interests that have to be addressed by an organisation to avoid conflicts (Parmar et al., 2010). Organisational managers have to be able to carry out conflict resolution process in order to manage the relationship with a stakeholder who is in conflict of interests with the organisation (Cameron, 2020). The report focuses mainly on the two concepts of stakeholder analysis and conflict resolutions. Based on a case of a conflict between the workers at Post Office and its workers where the workers decline the proposed compensation package, the report first analyses the stakeholders at Post Office and explains the stakeholders who should be involved in the case. Subsequently, the report discusses various conflict resolution styles and recommends one style to be applied in the process of resolving the conflict in the case. The report further recommends the steps to achieving a win-win solution for the Post Office and the workers in order to prevent further conflict and establish a good working relationship between the two parties. Finally, the report discusses the ways in which learning about conflict resolution and the stakeholder theory has prepared me for the workplace.         </w:t>
      </w:r>
    </w:p>
    <w:p w14:paraId="30D2B3EC">
      <w:pPr>
        <w:pStyle w:val="2"/>
      </w:pPr>
      <w:bookmarkStart w:id="1" w:name="_Toc172828950"/>
      <w:r>
        <w:t>STAKEHOLDER ANALYSIS MODEL (Identify, assess, engagement method).</w:t>
      </w:r>
      <w:bookmarkEnd w:id="1"/>
    </w:p>
    <w:p w14:paraId="1E4D3BA7">
      <w:r>
        <w:t xml:space="preserve">A stakeholder analysis process is important in organisational management as it provides the management with a deep understanding of all the internal and external stakeholders that it has to engage when carrying out important projects and organisational processes (Freeman, 2023). This model of stakeholder analysis guides an organisation to first identify its stakeholders by listing them and their reasons to be interested in the organisation’s activities, followed by an assessment of their importance to the organisation and project at hand, and the method of engagement that best suits each stakeholder based on their interest and importance. </w:t>
      </w:r>
    </w:p>
    <w:p w14:paraId="13F6441F">
      <w:pPr>
        <w:pStyle w:val="2"/>
      </w:pPr>
      <w:bookmarkStart w:id="2" w:name="_Toc172828951"/>
      <w:r>
        <w:t>STAKEHOLDER IDENTIFICATION</w:t>
      </w:r>
      <w:bookmarkEnd w:id="2"/>
    </w:p>
    <w:p w14:paraId="69A0138E">
      <w:pPr>
        <w:pStyle w:val="3"/>
      </w:pPr>
      <w:bookmarkStart w:id="3" w:name="_Toc172828952"/>
      <w:r>
        <w:t>Internal stakeholders</w:t>
      </w:r>
      <w:bookmarkEnd w:id="3"/>
    </w:p>
    <w:p w14:paraId="3D1B1490">
      <w:r>
        <w:t>Internal stakeholders impact an organisation from within as they carry out their activities within the organisation (Ayoko, Ang, and Parry, 2017). At the Post Office UK, internal stakeholders include the following:</w:t>
      </w:r>
    </w:p>
    <w:p w14:paraId="52F0BA51">
      <w:r>
        <w:rPr>
          <w:b/>
          <w:bCs/>
          <w:i/>
          <w:iCs/>
        </w:rPr>
        <w:t>Staff</w:t>
      </w:r>
      <w:r>
        <w:rPr>
          <w:b/>
          <w:bCs/>
        </w:rPr>
        <w:t xml:space="preserve"> – </w:t>
      </w:r>
      <w:r>
        <w:t xml:space="preserve">the staff at the Post Office UK are important internal stakeholders as they are responsible for carrying out the day-to-day tasks that make the organisational operational. As internal stakeholders, the members of staff derive their interest in the organisation from the fact that they are its employees and its success or failure will impact their employment status. </w:t>
      </w:r>
    </w:p>
    <w:p w14:paraId="7828A5BD">
      <w:r>
        <w:rPr>
          <w:b/>
          <w:bCs/>
          <w:i/>
          <w:iCs/>
        </w:rPr>
        <w:t>Managers –</w:t>
      </w:r>
      <w:r>
        <w:rPr>
          <w:b/>
          <w:bCs/>
        </w:rPr>
        <w:t xml:space="preserve"> </w:t>
      </w:r>
      <w:r>
        <w:t>the managers at the Post Office UK are important internal stakeholders as they operate from within the organisation to make managerial decisions that provide direction to the employees and oversee the operations carried out by the members of staff. Managers at Post Office UK have interest in the organisation’s activities as the organisation’s success can be equated to the success of the strategies they employ and the organisation’s failure can be pinned on the strategies they employ. Moreover, managers are interested in the organisation’s activities as they it can impact their employment status.</w:t>
      </w:r>
    </w:p>
    <w:p w14:paraId="4A6B4E94">
      <w:r>
        <w:rPr>
          <w:b/>
          <w:bCs/>
          <w:i/>
          <w:iCs/>
        </w:rPr>
        <w:t>Board members</w:t>
      </w:r>
      <w:r>
        <w:rPr>
          <w:b/>
          <w:bCs/>
        </w:rPr>
        <w:t xml:space="preserve"> – </w:t>
      </w:r>
      <w:r>
        <w:t xml:space="preserve">the board members at the Post Office UK include two executive directors, five non-executive directors, and the chairman. The board members are important internal stakeholders as they are tasked with ensuring that Post Office UK has the right values and vision, and manages risks effectively. In addition, the board members are important internal stakeholders as they ensure the existence of effective systems that enable the organisation to meet all of its obligations. As internal stakeholders, the board members’ interest in the organisation’s activities lies in the fact that they have the responsibility to ensure all activities within the organisation move it toward its overall goals. </w:t>
      </w:r>
    </w:p>
    <w:p w14:paraId="11B2549E">
      <w:r>
        <w:rPr>
          <w:b/>
          <w:bCs/>
          <w:i/>
          <w:iCs/>
        </w:rPr>
        <w:t xml:space="preserve">Government – </w:t>
      </w:r>
      <w:r>
        <w:t xml:space="preserve">the Post Office UK is entirely owned by the UK government (Post office, 2024). As such, as the owner of the organisation, the government is an important internal stakeholder as it affects the organisation’s operations from within. The interest of the government in the organisation is tied to the fact that the success of the organisation enables the government to facilitate the poster services to the people of the UK.  </w:t>
      </w:r>
    </w:p>
    <w:p w14:paraId="0164E481">
      <w:pPr>
        <w:pStyle w:val="3"/>
      </w:pPr>
      <w:bookmarkStart w:id="4" w:name="_Toc172828953"/>
      <w:r>
        <w:t>External stakeholders</w:t>
      </w:r>
      <w:bookmarkEnd w:id="4"/>
    </w:p>
    <w:p w14:paraId="169ED7B2">
      <w:r>
        <w:rPr>
          <w:b/>
          <w:bCs/>
          <w:i/>
          <w:iCs/>
        </w:rPr>
        <w:t xml:space="preserve">Media – </w:t>
      </w:r>
      <w:r>
        <w:t xml:space="preserve">the media is an important external stakeholder because it follows the performance of Post Office UK on behalf of the UK citizens. As a government-owned organisation, Post Office UK is funded by the UK citizen’s taxes. Therefore, the media is interested in the performance of the organisation to ensure the right usage of public taxes.  </w:t>
      </w:r>
    </w:p>
    <w:p w14:paraId="66C58F4B">
      <w:r>
        <w:rPr>
          <w:b/>
          <w:bCs/>
          <w:i/>
          <w:iCs/>
        </w:rPr>
        <w:t>Community members</w:t>
      </w:r>
      <w:r>
        <w:t xml:space="preserve"> – community members wherever the Post Office UK outlets are located are external stakeholders as they benefit from the services that the organisation provides. Moreover, the community members around the Post Office UK area affected by the activities of the organisation because the organisation’s workers are socially connected to the community. </w:t>
      </w:r>
    </w:p>
    <w:p w14:paraId="44172E76">
      <w:r>
        <w:rPr>
          <w:b/>
          <w:bCs/>
          <w:i/>
          <w:iCs/>
        </w:rPr>
        <w:t xml:space="preserve">Customers – </w:t>
      </w:r>
      <w:r>
        <w:t xml:space="preserve">the customers are important external stakeholders as they are direct beneficiaries of the services that Post Office UK provides. In addition, their status as stakeholders is derived from the fact that the organisation depends on the payments that they make for the services to acquire funds for operations. </w:t>
      </w:r>
    </w:p>
    <w:p w14:paraId="485E50EA">
      <w:r>
        <w:rPr>
          <w:b/>
          <w:bCs/>
          <w:i/>
          <w:iCs/>
        </w:rPr>
        <w:t xml:space="preserve">Suppliers – </w:t>
      </w:r>
      <w:r>
        <w:t xml:space="preserve">suppliers who provide Post Office UK are important external stakeholders as they enable the organisation to run by availing the materials it needs to conduct its operations. As external stakeholders, suppliers’ main interest in the organisation is financial as they are compensated for the suppliers that the organisation needs to operate. </w:t>
      </w:r>
    </w:p>
    <w:p w14:paraId="6552F7FF">
      <w:r>
        <w:rPr>
          <w:b/>
          <w:bCs/>
          <w:i/>
          <w:iCs/>
        </w:rPr>
        <w:t xml:space="preserve">Regulating agencies – </w:t>
      </w:r>
      <w:r>
        <w:t xml:space="preserve">the Post Office UK is subject to several laws and regulations, some of which are designed to ensure that the consumer is protected and the workers’ rights are respected (Post office, 2024). The regulating agencies have interest in how the organisation operates as they are tasked with ensuring operations that are within the laws of the country. </w:t>
      </w:r>
    </w:p>
    <w:p w14:paraId="3B00ED6B">
      <w:pPr>
        <w:pStyle w:val="2"/>
      </w:pPr>
      <w:bookmarkStart w:id="5" w:name="_Toc172828954"/>
      <w:r>
        <w:t>STAKEHOLDER ASSESSMENT USING THE POWER-INTEREST STAKEHOLDER GRID</w:t>
      </w:r>
      <w:bookmarkEnd w:id="5"/>
      <w:r>
        <w:t xml:space="preserve"> </w:t>
      </w:r>
    </w:p>
    <w:p w14:paraId="2DA0FE69">
      <w:r>
        <w:t xml:space="preserve">The influence/interest grid stakeholder analysis tool guides organisational managers to analyze their stakeholders based on the power they have over the organisation and the interest they have in the organisation’s activities. The grid divides stakeholders into four groups namely, high influence/high interest, high influence/low interest, </w:t>
      </w:r>
      <w:bookmarkStart w:id="6" w:name="_Hlk171423549"/>
      <w:r>
        <w:t>low influence/high interest</w:t>
      </w:r>
      <w:bookmarkEnd w:id="6"/>
      <w:r>
        <w:t xml:space="preserve">, and </w:t>
      </w:r>
      <w:bookmarkStart w:id="7" w:name="_Hlk171424086"/>
      <w:r>
        <w:t>low influence/low interest</w:t>
      </w:r>
      <w:bookmarkEnd w:id="7"/>
      <w:r>
        <w:t xml:space="preserve"> (Guise, 2024). The categorization that the tool enables makes it possible for an organisation to understand the strategies it can use to deal with each group in order to optimize the relationship it has with the stakeholders in each category. The grid below shows the categories in which all of the stakeholders identified above belong in relation to the influence and interest they hold.</w:t>
      </w:r>
    </w:p>
    <w:p w14:paraId="144CC223">
      <w:pPr>
        <w:jc w:val="center"/>
      </w:pPr>
      <w:r>
        <w:drawing>
          <wp:inline distT="0" distB="0" distL="0" distR="0">
            <wp:extent cx="4587875" cy="2449830"/>
            <wp:effectExtent l="0" t="0" r="317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4606342" cy="2460261"/>
                    </a:xfrm>
                    <a:prstGeom prst="rect">
                      <a:avLst/>
                    </a:prstGeom>
                    <a:noFill/>
                    <a:ln>
                      <a:noFill/>
                    </a:ln>
                  </pic:spPr>
                </pic:pic>
              </a:graphicData>
            </a:graphic>
          </wp:inline>
        </w:drawing>
      </w:r>
    </w:p>
    <w:p w14:paraId="5FC070D6"/>
    <w:p w14:paraId="42E7E8FB">
      <w:pPr>
        <w:pStyle w:val="2"/>
      </w:pPr>
      <w:bookmarkStart w:id="8" w:name="_Toc172828955"/>
      <w:r>
        <w:t>ENGAGEMENT METHOD</w:t>
      </w:r>
      <w:bookmarkEnd w:id="8"/>
    </w:p>
    <w:p w14:paraId="55E1C923">
      <w:r>
        <w:rPr>
          <w:b/>
          <w:bCs/>
        </w:rPr>
        <w:t>High influence/high interest</w:t>
      </w:r>
      <w:r>
        <w:t xml:space="preserve"> – stakeholders in this category include the government, the staff, the management, and board members. Post Office UK should engage with these four stakeholders in ways that constantly keep them informed and satisfied because they have the influence to cripple the organisation if they are not satisfied with its operations. The channels of communication that the organisation should use when engaging with the identified high influence/high interest stakeholders should include face-to-face meetings where the organisation informs the stakeholders about its intentions and manages their expectations (Florea and Florea, 2013).</w:t>
      </w:r>
    </w:p>
    <w:p w14:paraId="51EE2964">
      <w:r>
        <w:rPr>
          <w:b/>
          <w:bCs/>
        </w:rPr>
        <w:t xml:space="preserve">High influence/low interest – </w:t>
      </w:r>
      <w:r>
        <w:t xml:space="preserve">the influence/interest grid has shown that stakeholders in this category include regulating agencies and customers. Customers at Post Office UK have low interest because of the nature of the services that the organisation offers. There are different post services in the UK in the private sector that offer similar services to Post Office UK, which make customers have low interest in the success of the organisation as they can switch to other competing services. However, the customers have high power as they determine the revenue that the organisation is able to generate. Post Office UK should engage with the customer and regulating agencies through ways that satisfy them. Such engagement can involve providing them with information that keeps them informed in relation to their vested interests (Florea and Florea, 2013).  </w:t>
      </w:r>
    </w:p>
    <w:p w14:paraId="38B6CDD3">
      <w:r>
        <w:rPr>
          <w:b/>
          <w:bCs/>
        </w:rPr>
        <w:t xml:space="preserve">Low influence/high interest – </w:t>
      </w:r>
      <w:r>
        <w:t xml:space="preserve">the influence/interest grid shows that the low influence/high interest stakeholders at the Post Office UK are the suppliers. As stakeholder, the suppliers have high interest as they derive financial benefit from the success of the organisation, but they have low influence as they can be replaced by other suppliers in the market. The organisation should engage suppliers by keeping them informed on the supplies needed as they can use the information to ensure that the organisation is supplied with the best materials available (Bourne and Weaver, 2010). </w:t>
      </w:r>
    </w:p>
    <w:p w14:paraId="5802F217">
      <w:r>
        <w:rPr>
          <w:b/>
          <w:bCs/>
        </w:rPr>
        <w:t xml:space="preserve">Low influence/low interest – </w:t>
      </w:r>
      <w:r>
        <w:t>the stakeholder grid</w:t>
      </w:r>
      <w:r>
        <w:rPr>
          <w:b/>
          <w:bCs/>
        </w:rPr>
        <w:t xml:space="preserve"> </w:t>
      </w:r>
      <w:r>
        <w:t>analysis shows that the low influence/low interest stakeholders at the Post Office UK as the community members. Community members have low interest in the organisation as they are far removed from the success or failure of Post Office UK and they have low influence because they are not directly capable of negatively or positively affecting the organisation.</w:t>
      </w:r>
    </w:p>
    <w:p w14:paraId="040E3F6A">
      <w:pPr>
        <w:pStyle w:val="2"/>
      </w:pPr>
      <w:bookmarkStart w:id="9" w:name="_Toc172828956"/>
      <w:r>
        <w:t>THE STAKEHOLDERS THAT SHOULD BE ENGAGED AND WHY THEY ARE IMPORTANT TO CASE</w:t>
      </w:r>
      <w:bookmarkEnd w:id="9"/>
    </w:p>
    <w:p w14:paraId="31A37DEE">
      <w:r>
        <w:rPr>
          <w:b/>
          <w:bCs/>
        </w:rPr>
        <w:t xml:space="preserve">Staff – </w:t>
      </w:r>
      <w:r>
        <w:t xml:space="preserve">as the stakeholder analysis has shown, the staff members form a group of stakeholders with high influence and high interest in the organisation. The influence that staff members have comes from the fact that an organisation depends on them to continue its daily operations and they have high interest as their financial renumeration depends on the organisation’s continued success (Collan, Stoklasa, and Talasova, 2016). The staff members are important to the case because the dispute between the CWU and the organisation revolves around their compensation, which makes them the central persons of interest in the case. The staff’s interest in the case is high because they will be the most impacted by the discussions as it is their salaries that will be the subject of the discussions in the case hence the importance of involving them in the case. Moreover, the staff’s high influence necessitates their involvement in the case because they can use the influence to stall the negotiations if they are excluded. In light of the above, it is important that the staff members at the Post Office UK are involved in the case between the CWU and the organisation to represent their views on what would an acceptable offer. </w:t>
      </w:r>
    </w:p>
    <w:p w14:paraId="6822E4AE">
      <w:r>
        <w:rPr>
          <w:b/>
          <w:bCs/>
        </w:rPr>
        <w:t xml:space="preserve">Management – </w:t>
      </w:r>
      <w:r>
        <w:t xml:space="preserve">The management of the Post Office UK is one of the stakeholder groups that have high influence and high interest in the organisation that need to be involved in the case. As internal stakeholders, the management need a workforce that is dedicated in order to achieve their daily operational goals (Ackermann and Eden, 2021). The high interest it has in the organisation’s success will guide the management to seek an understanding between the workers and the organisation thus the importance of their involvement. However, the misunderstandings caused by the differences in what the organisation is offering and what the CWU is willing to accept can create a disgruntled workforce that will perform sub optimally and sabotage the management. </w:t>
      </w:r>
    </w:p>
    <w:p w14:paraId="1DABE385">
      <w:pPr>
        <w:rPr>
          <w:b/>
          <w:bCs/>
        </w:rPr>
      </w:pPr>
      <w:r>
        <w:t xml:space="preserve">In light of this, the management should be part of the case and take part in the discussions as this will give them the opportunity to mediate between the organisation and the staff given their positions. As the organisation’s management, they are in a position to understand what is fair renumeration for the staff as they are aware of the work that the staff members do on a daily basis. On the other hand, the management is also in a position to understand the organisation’s financial obligations and the finances available to the organisation thus knowing the highest reasonable offer that it can give to the workers through their union (Burnes, 2017). For the above reasons, the management at the Post Office UK should be involved in the case to discuss the right compensation package that will be fair for both the workers and the organisation.    </w:t>
      </w:r>
      <w:r>
        <w:rPr>
          <w:b/>
          <w:bCs/>
        </w:rPr>
        <w:t xml:space="preserve"> </w:t>
      </w:r>
    </w:p>
    <w:p w14:paraId="664425E7">
      <w:pPr>
        <w:rPr>
          <w:b/>
          <w:bCs/>
        </w:rPr>
      </w:pPr>
      <w:r>
        <w:rPr>
          <w:b/>
          <w:bCs/>
        </w:rPr>
        <w:t xml:space="preserve">Board members – </w:t>
      </w:r>
      <w:r>
        <w:t xml:space="preserve">the board members at the Post Office UK are critical to the achievement of the overall organisational strategic vision. The board members understand the risks that the organisation has to take and the systems that have to be implemented to enable the current and future success. In addition, the board members understand how the workers at the organisation fit into the systems and how they are useful in navigating the risks that are necessary for success (Anderson and Anderson, 2010). Therefore, the board members should be involved in the case to provide an in-depth understanding of the role that workers play in ensuring that the systems they put in place are implemented. The board members should also be involved in the case as they are in a position to understand the negative public relations that the organisation incurs as a result of the one-day strike and the continued disagreement between the workers and the organisation. Such knowledge will be important in the case as it will provide a perspective that helps in reaching a fair compensation for both the workers and the organisation.  </w:t>
      </w:r>
      <w:r>
        <w:rPr>
          <w:b/>
          <w:bCs/>
        </w:rPr>
        <w:t xml:space="preserve"> </w:t>
      </w:r>
    </w:p>
    <w:p w14:paraId="5F6EFEC9">
      <w:pPr>
        <w:rPr>
          <w:b/>
          <w:bCs/>
        </w:rPr>
      </w:pPr>
      <w:r>
        <w:rPr>
          <w:b/>
          <w:bCs/>
        </w:rPr>
        <w:t>Government representatives</w:t>
      </w:r>
      <w:r>
        <w:t xml:space="preserve"> – the government is the sole owner of Post Office UK and it is, therefore,</w:t>
      </w:r>
      <w:r>
        <w:rPr>
          <w:b/>
          <w:bCs/>
        </w:rPr>
        <w:t xml:space="preserve"> </w:t>
      </w:r>
      <w:r>
        <w:t>interested</w:t>
      </w:r>
      <w:r>
        <w:rPr>
          <w:b/>
          <w:bCs/>
        </w:rPr>
        <w:t xml:space="preserve"> </w:t>
      </w:r>
      <w:r>
        <w:t xml:space="preserve">in the organisation’s success (Post office, 2024). A successful Post Office UK will enable the government to provide cheap post services to the UK citizens thus winning support and goodwill from the tax payers. The government also pays the workers at Post Office UK using tax payers’ money. For this reason, the government has an interest to manage the wage bill at the organisation in order to avoid accusations of wastage of tax payers’ money through the Post Office organisation. The government should be involved in the case because it will be responsible for the payment of the agreed compensation package that the workers should receive. In addition, the government should be involved as it has high interest in the overall cost of running the organisation in order to be accountable to the taxpayers.   </w:t>
      </w:r>
      <w:r>
        <w:rPr>
          <w:b/>
          <w:bCs/>
        </w:rPr>
        <w:t xml:space="preserve">   </w:t>
      </w:r>
    </w:p>
    <w:p w14:paraId="40314620">
      <w:pPr>
        <w:pStyle w:val="2"/>
      </w:pPr>
      <w:bookmarkStart w:id="10" w:name="_Toc172828957"/>
      <w:r>
        <w:t>CONFLICT RESOLUTION STYLES AND THE RECOMMEND STYLE FOR THE CASE</w:t>
      </w:r>
      <w:bookmarkEnd w:id="10"/>
    </w:p>
    <w:p w14:paraId="3D5C230D">
      <w:r>
        <w:rPr>
          <w:b/>
          <w:bCs/>
        </w:rPr>
        <w:t xml:space="preserve">Collaborating – </w:t>
      </w:r>
      <w:r>
        <w:t xml:space="preserve">collaborating conflict resolution style involves a combination of assertiveness and an aspect of cooperation among the parties in conflict. The style attempts to find middle ground for all parties and ensure that the conflict has been resolved in a way that the involved parties feel they have gotten what they want. At the very least, the collaborating style of conflict management aims at minimizing the negative feelings among the aggrieved parties (Malek, 2020). The style is appropriate for conflicts where the long-term relationship of the involved parties is important as it solves the conflict in a way that the parties can continue working together after the conflict. The main advantage of the style is that it provides a safe environment for both parties to express their concerns, which cultivates goodwill among the conflicting parties. Moreover, the style has the advantage of enabling each party to maintain its needs and identity in the final solution. Collaborating conflict management style has the disadvantage of being ineffective in cases where there is need for fast solutions to the conflict at hand. In such cases, the collaboration and the retaining of identity and needs prevents fast decision making thus wasting time (Malek, 2020). In addition, the style is ineffective in conflicts where there is not clear decision-maker as each of the involved party will want to make the decision on the final solution, which will not be acceptable to the other aggrieved parties.   </w:t>
      </w:r>
    </w:p>
    <w:p w14:paraId="12B97301">
      <w:r>
        <w:rPr>
          <w:b/>
          <w:bCs/>
        </w:rPr>
        <w:t xml:space="preserve">Competing – </w:t>
      </w:r>
      <w:r>
        <w:t xml:space="preserve">the competing style of conflict resolution style is based on the idea of competition and winning. In a conflict, the conflict resolution style focuses on resolving the conflict by having one of the aggrieved parties win and the losing side accepting defeat in the conflict. The conflict resolution style does not define winning and how a party can declare a win. Instead, the style leaves it to the involved parties to define how a win would look like for them depending on what is at stake. The style is based on the idea that the most effective way of solving a conflict is to let the conflicting parties compete and have a winer and a loser. The competing style of conflict resolution is suitable in cases where the long-term relationship between the conflicting parties is not important and they do not have to work together after the conflict has been resolved (Deutsch, 2014). The main advantage of the style is the fact that it is fast as every involved party knows its role in solving the conflict. The style is also advantageous as it minimizes the probability of future conflicts between the involved parties. The competing style has the main disadvantage of being short-sighted as the defeated party often harbors a grudge that causes future conflicts.     </w:t>
      </w:r>
    </w:p>
    <w:p w14:paraId="6F7DB990">
      <w:r>
        <w:rPr>
          <w:b/>
          <w:bCs/>
        </w:rPr>
        <w:t xml:space="preserve">Avoiding </w:t>
      </w:r>
      <w:r>
        <w:t xml:space="preserve">– avoiding is a conflict management style where one or all of the conflicting parties avoid the problem that causes the conflict. The style is often underlined by poor communication in one or all the parties involved, which makes engagement impossible. While the style can reduce the consequences of the conflict, it does leave the conflict unsolved as the aggrieved party still have the same problems with the other that they consider to be the aggressor. The avoiding conflict management style has the advantage of calming the conflict in the short-term and achieving peace that would have otherwise been disrupted if each party pursued their interests (Tehrani and Yamini, 2020). In addition, the style has the advantage of allowing the involved parties the time to think through the conflict and de-escalate the conflict thus presenting the opportunity for solutions to be discussed and implemented. The avoiding style of conflict management has the main disadvantage of being short-term as it leaves the problem unsolved. At the workplace, the avoiding style of conflict management can be detrimental to the working environment as it cultivates enables the continuity of disagreements, which make the involved employees be distrustful to each other.    </w:t>
      </w:r>
    </w:p>
    <w:p w14:paraId="4544BF1A">
      <w:r>
        <w:rPr>
          <w:b/>
          <w:bCs/>
        </w:rPr>
        <w:t xml:space="preserve">Accommodating – </w:t>
      </w:r>
      <w:r>
        <w:t xml:space="preserve">the accommodating style of conflict resolution focuses on the party that presents complaints and believed to have been wronged. The style aims at finding a solution that is acceptable to the one party that the dynamics of the conflict requires to accommodate the other party. The style is suitable when one of the parties is willing to agree to a solution that disadvantages them but makes the other party happy for the sake of accommodating them. The style, therefore, depends on the capacity of one party to engage in self-sacrificing in order to help resolve the conflict within the shortest time possible (Wood and Bell, 2008). The main advantage of the accommodating style of conflict resolution is that it takes a short time to solve conflicts as the conflict comes to an end when one party agrees to accommodate the other. On the other hand, the style has the disadvantage of being ineffective in cases where the conflict involves more than one party. In such cases, one party’s acceptance to accommodate the other party does not necessarily mean that the remaining parties are willing to make the same decision thus complicating the process. </w:t>
      </w:r>
    </w:p>
    <w:p w14:paraId="79641099">
      <w:pPr>
        <w:rPr>
          <w:b/>
          <w:bCs/>
        </w:rPr>
      </w:pPr>
      <w:r>
        <w:rPr>
          <w:b/>
          <w:bCs/>
        </w:rPr>
        <w:t xml:space="preserve">Compromising – </w:t>
      </w:r>
      <w:r>
        <w:t xml:space="preserve">the compromising style of conflict resolution is based on the idea of convincing the parties involved in a conflict to settle for less than what they were demanding. The style leads to a lose-lose situation where each party has to compromise on part of its demands in order to arrive at a decision that offers part of the demands to each party. The style is important for conflicts where reaching a solution is more beneficial than the sort of solution reached by both parties (Van De Vliert and Hordijk, 2021). The style is also suitable when there is a stalemate between the conflicting parties where each party is not willing to listen to the demands made by the other party. The compromising style has the main advantage of enabling future collaboration as each party leaves the conflict resolution process with the assurance that the other party is willing to compromise its wishes to enable the continuity of their relationship. The style has the disadvantage of risking more compromise on one party than the other because it is difficult to get equal compromises from both sides. </w:t>
      </w:r>
      <w:r>
        <w:rPr>
          <w:b/>
          <w:bCs/>
        </w:rPr>
        <w:t xml:space="preserve"> </w:t>
      </w:r>
    </w:p>
    <w:p w14:paraId="0EDDBAB7">
      <w:pPr>
        <w:pStyle w:val="2"/>
      </w:pPr>
      <w:bookmarkStart w:id="11" w:name="_Toc172828958"/>
      <w:r>
        <w:t>RECOMMENDED CONFLICT RESOLUTION STYLE</w:t>
      </w:r>
      <w:bookmarkEnd w:id="11"/>
    </w:p>
    <w:p w14:paraId="6B50BF24">
      <w:pPr>
        <w:pStyle w:val="3"/>
      </w:pPr>
      <w:bookmarkStart w:id="12" w:name="_Toc172828959"/>
      <w:r>
        <w:t>Collaborating</w:t>
      </w:r>
      <w:bookmarkEnd w:id="12"/>
      <w:r>
        <w:t xml:space="preserve"> </w:t>
      </w:r>
    </w:p>
    <w:p w14:paraId="13C1BEEB">
      <w:r>
        <w:t xml:space="preserve">The report recommends that the collaborating style should be used to resolve the conflict between the CWU acting on behalf of the workers and their organisation - Post Office UK. The report recommends the style as it fosters a working relationship after the conflict has been resolved due to its underlying principle of pursuing a win-win solution for the parties involved. For the case in question, a good relationship between the workers and the Post Office UK organisation is important as it will enable good working relationship between the workers and the management, which is crucial for the organisation’s success. The following steps are recommended for the effective implementation of the collaborating style in the provided case. </w:t>
      </w:r>
    </w:p>
    <w:p w14:paraId="0AC5F426">
      <w:pPr>
        <w:pStyle w:val="3"/>
      </w:pPr>
      <w:bookmarkStart w:id="13" w:name="_Toc172828960"/>
      <w:r>
        <w:t>Accurately define the point(s) of disagreement</w:t>
      </w:r>
      <w:bookmarkEnd w:id="13"/>
    </w:p>
    <w:p w14:paraId="673400D0">
      <w:r>
        <w:t xml:space="preserve">The CWU described the offer made by the Post Office as ‘exceptionally poor,’ which means that they could not have accepted it completely. The offer included a were offered a 2% increase plus a £250 one-off payment for the year 2022. According to the provided case, the of the reasons that the CWU declined the offer was the Retail Price Index inflation increase of 9%, which meant the salary increase will not be enough to help the workers afford the new cost of living. In the process of applying the collaborating style to resolve the conflict, the first step should involve accurately defining the point of disagreement between the organisation and the workers in order to make each party understand the process that will follow is based on an accurate understanding of its grievances.  </w:t>
      </w:r>
    </w:p>
    <w:p w14:paraId="51100F71">
      <w:pPr>
        <w:pStyle w:val="3"/>
      </w:pPr>
      <w:bookmarkStart w:id="14" w:name="_Toc172828961"/>
      <w:r>
        <w:t>Set a conducive environment for collaboration</w:t>
      </w:r>
      <w:bookmarkEnd w:id="14"/>
    </w:p>
    <w:p w14:paraId="702D40C2">
      <w:r>
        <w:t xml:space="preserve">The collaboration that the style aims at achieving should be enabled by an environment where each party feels comfortable expressing its views without fear of judgement (Hou et al., 2008). The process of resolving the salary dispute should be preceded by setting a stage where each party feels respected and considered important in the discussions. In this step, each party should be made to understand the importance of collaborating to find the solution and the importance of the working relationship between the workers and the organisation after the conflict resolution process. </w:t>
      </w:r>
    </w:p>
    <w:p w14:paraId="131A4319">
      <w:pPr>
        <w:pStyle w:val="3"/>
      </w:pPr>
      <w:bookmarkStart w:id="15" w:name="_Toc172828962"/>
      <w:r>
        <w:t>Define the common goal(s)</w:t>
      </w:r>
      <w:bookmarkEnd w:id="15"/>
    </w:p>
    <w:p w14:paraId="718CC9DB">
      <w:r>
        <w:t xml:space="preserve">The third step should involve the definition of the common goals that exist between the workers and the organisation. Discussing the common goals is vital for collaboration as it makes the two parties understand that they are engaged in a process that achieves the same results (Baloh, Zhu &amp; Ward, 2018). Establishing the common goals between the two parties is important because it creates an environment of collaboration where each party will be ready to work toward a solution where each party gets a deal it considers a win. The common goals that the conflict resolution process should highlight include the goal to have a functioning organisation with a conducive working environment for everyone involved.  </w:t>
      </w:r>
    </w:p>
    <w:p w14:paraId="4128C41B">
      <w:pPr>
        <w:pStyle w:val="3"/>
      </w:pPr>
      <w:bookmarkStart w:id="16" w:name="_Toc172828963"/>
      <w:r>
        <w:t>Define the options</w:t>
      </w:r>
      <w:bookmarkEnd w:id="16"/>
    </w:p>
    <w:p w14:paraId="53F808DD">
      <w:pPr>
        <w:rPr>
          <w:b/>
          <w:bCs/>
        </w:rPr>
      </w:pPr>
      <w:r>
        <w:t xml:space="preserve">The conflict resolution process should proceed to define the options that exist for both parties. Defining the options introduces the possibilities where the two parties can have their interests addressed satisfactorily. In addition, defining the available options will ensure that each party is aware of the range and scope of options available to them. In the provided case, the options for the workers could include the possible payment packages that they can receive from the organisation that are realistic from the organisation’s perspective and the offers that the organisation can offer that are acceptable from the workers perspective. </w:t>
      </w:r>
      <w:r>
        <w:rPr>
          <w:b/>
          <w:bCs/>
        </w:rPr>
        <w:t xml:space="preserve"> </w:t>
      </w:r>
    </w:p>
    <w:p w14:paraId="6D78E3F1">
      <w:pPr>
        <w:pStyle w:val="3"/>
      </w:pPr>
      <w:bookmarkStart w:id="17" w:name="_Toc172828964"/>
      <w:r>
        <w:t>Evaluate the available options</w:t>
      </w:r>
      <w:bookmarkEnd w:id="17"/>
    </w:p>
    <w:p w14:paraId="51CD96B3">
      <w:r>
        <w:t xml:space="preserve">The conflict resolution process should evaluate the merits and demerits of each available option as it related to how the party concerned with be impacted by the option. Evaluating the available options together with the stakeholders involved in the case will enable each party to see the options available from the perspective of the opposing party, which will cultivate goodwill and continuity of a positive working relationship . In the case, the two parties and the stakeholders involved in the case can discuss the weaknesses of the options available as well as their strengths. The offers that each party make should be evaluated to understand their impact on the other party and be scrutinized for whether they are realistic given the prevailing economic situation. </w:t>
      </w:r>
    </w:p>
    <w:p w14:paraId="571B3E7F">
      <w:pPr>
        <w:pStyle w:val="3"/>
      </w:pPr>
      <w:bookmarkStart w:id="18" w:name="_Toc172828965"/>
      <w:r>
        <w:t>Negotiate for a win-win solution</w:t>
      </w:r>
      <w:bookmarkEnd w:id="18"/>
    </w:p>
    <w:p w14:paraId="4B397670">
      <w:r>
        <w:t xml:space="preserve">Having evaluated the available options, the conflict resolution process should proceed to oversee a negotiation for a win-win solution that improves on the available options. A win-win solution will be important to the conflict resolution process as it restore and maintain a good working relation between the workers at Post Office and the organisation. This step will be critical to reaching a solution as it will guide each party to productively collaborate toward a solution that addresses its needs as well as those of the other party. </w:t>
      </w:r>
      <w:r>
        <w:rPr>
          <w:b/>
          <w:bCs/>
        </w:rPr>
        <w:tab/>
      </w:r>
    </w:p>
    <w:p w14:paraId="76817A87">
      <w:pPr>
        <w:pStyle w:val="3"/>
      </w:pPr>
      <w:bookmarkStart w:id="19" w:name="_Toc172828966"/>
      <w:r>
        <w:t>Define the action plan for implementing the solution and define the roles</w:t>
      </w:r>
      <w:bookmarkEnd w:id="19"/>
    </w:p>
    <w:p w14:paraId="6046970F">
      <w:r>
        <w:t xml:space="preserve">The action plan will be the last step in the implementation of the collaborating style. The report recommends that the step involve clearly defining the dates on which each action will be taken to implement the agreed solution. The action plan should further detail the roles of each stakeholder in implementing the solution in order to establish clarity and accountability. Finally, the action plan should define the timeframe within which the solution should be implemented where the workers will receive the pay packages they will have bargained for. </w:t>
      </w:r>
    </w:p>
    <w:p w14:paraId="0F1E0AC5">
      <w:pPr>
        <w:pStyle w:val="2"/>
      </w:pPr>
      <w:bookmarkStart w:id="20" w:name="_Toc172828967"/>
      <w:r>
        <w:t>WAYS TO REACH A ‘WIN-WIN’ SOLUTION AMONG THE STAKEHOLDERS</w:t>
      </w:r>
      <w:bookmarkEnd w:id="20"/>
    </w:p>
    <w:p w14:paraId="0E8FE5C3">
      <w:pPr>
        <w:pStyle w:val="3"/>
      </w:pPr>
      <w:bookmarkStart w:id="21" w:name="_Toc172828968"/>
      <w:r>
        <w:t>Focus on the interests</w:t>
      </w:r>
      <w:bookmarkEnd w:id="21"/>
    </w:p>
    <w:p w14:paraId="416E142D">
      <w:pPr>
        <w:rPr>
          <w:b/>
          <w:bCs/>
        </w:rPr>
      </w:pPr>
      <w:r>
        <w:t xml:space="preserve">The discussion among the stakeholders can achieve a win-win solution by focusing entirely on the interests of each stakeholder and ignoring any other factors that can derail the negotiations such as past misunderstandings. In negotiations, a win-win solution is based purely on interests as it is a solution where each of the parties’ interests are addressed. In the case, the workers should focus on their interests and the interests of the organisation only. Focusing on the shortcomings of the organisation will make the organisation become defensive in the negotiations thus inclined to act without the best interest of the workers. As a result, the solution will be skewed by a power struggle where the organisation will be more concerned with protecting its image than arriving at a mutually beneficial solution.   </w:t>
      </w:r>
      <w:r>
        <w:rPr>
          <w:b/>
          <w:bCs/>
        </w:rPr>
        <w:t xml:space="preserve"> </w:t>
      </w:r>
    </w:p>
    <w:p w14:paraId="3708CDE0">
      <w:pPr>
        <w:pStyle w:val="3"/>
      </w:pPr>
      <w:bookmarkStart w:id="22" w:name="_Toc172828969"/>
      <w:r>
        <w:t>Establish options that promise mutual gain</w:t>
      </w:r>
      <w:bookmarkEnd w:id="22"/>
    </w:p>
    <w:p w14:paraId="67CEE7CF">
      <w:r>
        <w:t xml:space="preserve">A win-win solution is based on the mutual benefits where all parties involved in a conflict to have their interests addressed. For this reason, one of the ways that the negotiations between the workers and the Post Office can achieve a win-win solution is by focusing on options that contain in them the potential for mutual gain for both parties. Introducing any option that seem to benefit only one party into the discussion will create a feeling of unfairness in the other party, which will not consider the subsequent solution as ‘win-win.’ In the case, the options provided should have the potential for providing the workers an acceptable compensation package while simultaneously being realistic enough for the organisation to manage it finances responsibly.        </w:t>
      </w:r>
    </w:p>
    <w:p w14:paraId="079FDD73">
      <w:pPr>
        <w:pStyle w:val="3"/>
      </w:pPr>
      <w:bookmarkStart w:id="23" w:name="_Toc172828970"/>
      <w:r>
        <w:t>Remain objective</w:t>
      </w:r>
      <w:bookmarkEnd w:id="23"/>
    </w:p>
    <w:p w14:paraId="1AFF31D0">
      <w:pPr>
        <w:rPr>
          <w:b/>
          <w:bCs/>
        </w:rPr>
      </w:pPr>
      <w:r>
        <w:t xml:space="preserve">Objectivity in negotiations is characterized by the focus on the issues at hand and ignoring all the irrelevant. Objectivity in the case of the Post Office workers versus the organisation can include sticking to the facts of inflation and the reality of the organisation’s financial situation. Remaining objective in negotiations is important for a win-win solution as all the stakeholders will be alive to the realities of the situation and make offers that are based on facts rather than impossible wishes. The discussions in the negotiation process will have a better chance of achieving a win-win solution if both parties objectively view the whole financial situation including the organisation’s financial position and the country’s economic realities.  </w:t>
      </w:r>
      <w:r>
        <w:rPr>
          <w:b/>
          <w:bCs/>
        </w:rPr>
        <w:t xml:space="preserve"> </w:t>
      </w:r>
    </w:p>
    <w:p w14:paraId="4B26B268">
      <w:pPr>
        <w:pStyle w:val="3"/>
      </w:pPr>
      <w:bookmarkStart w:id="24" w:name="_Toc172828971"/>
      <w:r>
        <w:t>Introduce the best alternatives to the negotiated agreement</w:t>
      </w:r>
      <w:bookmarkEnd w:id="24"/>
    </w:p>
    <w:p w14:paraId="26972250">
      <w:r>
        <w:t xml:space="preserve">In the beginning of the negotiations, each party will have the agreement that it hopes to reach at the end of the discussions. The agreement that the organisation will hope for will have the lowest acceptable offer to the workers while the workers will hope for an agreement that has the highest possible offer. In the negotiation process, the reality will be that a win-win solution can only be achieved by allowing for compromises on both sides where the organisation increases their offer and the workers reduce their demands. The negotiation process can move closer to a win-win solution by introducing the best alternatives to the initial agreements that that each party negotiates to get. The best alternatives will enable a win-win solution as they will allow the organisation to offer packages that are not too high to disrupt the organisation’s financial sustainability but high enough to be acceptable to the workers. As a result, each party will get a solution that it considers to be a win. </w:t>
      </w:r>
    </w:p>
    <w:p w14:paraId="0F0C2B6F">
      <w:pPr>
        <w:pStyle w:val="2"/>
      </w:pPr>
      <w:bookmarkStart w:id="25" w:name="_Toc172828972"/>
      <w:r>
        <w:t>HOW MY UNDERSTANDING OF CONFLICT RESOLUTION AND STAKEHOLDER THEORY HAS PREPARED ME FOR THE WORKPLACE</w:t>
      </w:r>
      <w:bookmarkEnd w:id="25"/>
    </w:p>
    <w:p w14:paraId="60EB0907">
      <w:pPr>
        <w:pStyle w:val="3"/>
      </w:pPr>
      <w:bookmarkStart w:id="26" w:name="_Toc172828973"/>
      <w:r>
        <w:t>Problem solving</w:t>
      </w:r>
      <w:bookmarkEnd w:id="26"/>
    </w:p>
    <w:p w14:paraId="33C64B3A">
      <w:pPr>
        <w:rPr>
          <w:b/>
          <w:bCs/>
        </w:rPr>
      </w:pPr>
      <w:r>
        <w:t xml:space="preserve">Conflict resolution is a form of problem solving where the problem is an issue that affects the relationship between two people of teams at a workplace. Understanding conflict resolution has prepared me for the workplace by giving me the skills I will need to participate in solving any problem relating to disagreements at work. The skill of solving problems concerning relationships among different workers will be important at the workplace as all workplaces have people who have to collaborate and cooperate in order to carry out their tasks. When the people at the workplace disagree and enter into a conflict, I will be able to use my problem-solving skills that I have learnt in conflict resolution to settle the dispute and restore good relationships. In addition to resolving conflicts involving my future colleagues, the skills I have learnt in conflict resolution will also help me resolve conflicts that involve myself.     </w:t>
      </w:r>
      <w:r>
        <w:rPr>
          <w:b/>
          <w:bCs/>
        </w:rPr>
        <w:t xml:space="preserve"> </w:t>
      </w:r>
    </w:p>
    <w:p w14:paraId="5940C94F">
      <w:pPr>
        <w:pStyle w:val="3"/>
      </w:pPr>
      <w:bookmarkStart w:id="27" w:name="_Toc172828974"/>
      <w:r>
        <w:t>Effective leadership</w:t>
      </w:r>
      <w:bookmarkEnd w:id="27"/>
    </w:p>
    <w:p w14:paraId="2577C25A">
      <w:r>
        <w:t xml:space="preserve">Effective leadership is important at the workplace because it enables team leadership as well as personal leadership. The concept of stakeholder theory has prepared me for the workplace by improving my leadership skills. Understanding stakeholder theory makes one appreciate the role of different stakeholders in an organisation. As a result, one appreciates the importance of each stakeholder and, therefore, the importance of including them in decision making and leadership. As a result of my understanding of the stakeholder theory, I can be able to lead different stakeholders as I now understand how to manage different interests and expectations from the stakeholders that will be in my future organisations. The concept of conflict resolution has also prepared me to be an effective leader as it has equipped me with knowledge that can help me lead teams through conflicts and emerge with their relationships intact.  </w:t>
      </w:r>
    </w:p>
    <w:p w14:paraId="7E67CAB0">
      <w:pPr>
        <w:pStyle w:val="3"/>
      </w:pPr>
      <w:bookmarkStart w:id="28" w:name="_Toc172828975"/>
      <w:r>
        <w:t>Effective stakeholder engagement</w:t>
      </w:r>
      <w:bookmarkEnd w:id="28"/>
    </w:p>
    <w:p w14:paraId="6ED7B387">
      <w:r>
        <w:t>Stakeholder engagement is important at the workplace as it takes place often and it is important for organisational prosperity. In all levels of an organisational hierarchy, the process of stakeholder engagement takes place. For example, workers who deal with customers engage with stakeholders as customers are important internal stakeholder. Similarly, when employees at the management level engage with suppliers, they are conducting stakeholder engagement as suppliers are important external stakeholders. The stakeholder theory has equipped me with knowledge of how different stakeholders should be engaged for maximum effectiveness. Engaging stakeholders at the workplace will be important for my success as I will be able to establish productive relationships with all the stakeholders at my workplace.</w:t>
      </w:r>
    </w:p>
    <w:p w14:paraId="640F29F7">
      <w:pPr>
        <w:pStyle w:val="2"/>
      </w:pPr>
      <w:bookmarkStart w:id="29" w:name="_Toc172828976"/>
      <w:r>
        <w:t>RECOMMENDATIONS</w:t>
      </w:r>
      <w:bookmarkEnd w:id="29"/>
    </w:p>
    <w:p w14:paraId="34C9E689">
      <w:pPr>
        <w:pStyle w:val="3"/>
      </w:pPr>
      <w:bookmarkStart w:id="30" w:name="_Toc172828977"/>
      <w:r>
        <w:t>Invest in conflict resolution training</w:t>
      </w:r>
      <w:bookmarkEnd w:id="30"/>
    </w:p>
    <w:p w14:paraId="409DEEA3">
      <w:pPr>
        <w:rPr>
          <w:b/>
          <w:bCs/>
        </w:rPr>
      </w:pPr>
      <w:r>
        <w:t>Given the importance of conflict resolution in organisational management and success, the report recommends that organisations should invest in training their staff on the same (Jordan and Troth, 2021). The report recommends that the management and employees in leadership positions should be given priority in such training programs. Having employees at the management level who are conversant with conflict management and resolution will enable an organisation to maintain productive work environment as the conflicts that emerge will be solved amicably. In addition, the organisation will have employees with the skills to resolve a conflict with another organisation.</w:t>
      </w:r>
      <w:r>
        <w:rPr>
          <w:b/>
          <w:bCs/>
        </w:rPr>
        <w:t xml:space="preserve"> </w:t>
      </w:r>
    </w:p>
    <w:p w14:paraId="05D8A707">
      <w:pPr>
        <w:pStyle w:val="3"/>
      </w:pPr>
      <w:bookmarkStart w:id="31" w:name="_Toc172828978"/>
      <w:r>
        <w:t>Invest in stakeholder engagement training</w:t>
      </w:r>
      <w:bookmarkEnd w:id="31"/>
    </w:p>
    <w:p w14:paraId="638C79C7">
      <w:pPr>
        <w:rPr>
          <w:b/>
          <w:bCs/>
        </w:rPr>
      </w:pPr>
      <w:r>
        <w:t xml:space="preserve">Like conflict resolution, stakeholder engagement is fundamental for organisation management and success. The report recommends that organisations should train their employees in stakeholder engagement in order. A workforce that is trained in stakeholder engagement puts its organisation at an advantage as it will be able to effectively and successfully engage with all the stakeholders whenever necessary (Kujala et al., 2022). Stakeholder engagement training can be targeted at employees whose tasks involve engaging with stakeholder such as the management level employees.  </w:t>
      </w:r>
      <w:r>
        <w:rPr>
          <w:b/>
          <w:bCs/>
        </w:rPr>
        <w:t xml:space="preserve">  </w:t>
      </w:r>
    </w:p>
    <w:p w14:paraId="1F28B703">
      <w:pPr>
        <w:pStyle w:val="2"/>
      </w:pPr>
      <w:bookmarkStart w:id="32" w:name="_Toc172828979"/>
      <w:r>
        <w:t>CONCLUSION</w:t>
      </w:r>
      <w:bookmarkEnd w:id="32"/>
    </w:p>
    <w:p w14:paraId="7801C142">
      <w:r>
        <w:t xml:space="preserve">The report has discussed the case at Post Office in relation to stakeholder engagement and conflict resolution. According to the stakeholder analysis conducted in section one, the report recommended that the high influence/high interest stakeholders should be involved in the case as they have the influence to impact the negotiations positively. In the second section, the report has discussed five styles of conflict resolution including competing, collaboration, compromise, avoiding, and accommodating. Based on the definitions, advantages, and disadvantages of the five styles, the report recommended that the conflict between the workers and the Post Office organisation should be resolved based on the accommodating style. For organisational managers to achieve effectiveness, the report has recommended that they train their management level employees in conflict resolution and stakeholder engagement as the two concepts are important in organisational success. </w:t>
      </w:r>
    </w:p>
    <w:p w14:paraId="765FF2A4">
      <w:r>
        <w:br w:type="page"/>
      </w:r>
    </w:p>
    <w:p w14:paraId="59EC6C8C">
      <w:pPr>
        <w:pStyle w:val="2"/>
      </w:pPr>
      <w:bookmarkStart w:id="33" w:name="_Toc172828980"/>
      <w:r>
        <w:t>REFERENCES</w:t>
      </w:r>
      <w:bookmarkEnd w:id="33"/>
    </w:p>
    <w:p w14:paraId="5E0D1125">
      <w:r>
        <w:t>Ackermann, F. and Eden, C., (2021). Strategic management of stakeholders: Theory and practice. </w:t>
      </w:r>
      <w:r>
        <w:rPr>
          <w:i/>
          <w:iCs/>
        </w:rPr>
        <w:t>Long range planning</w:t>
      </w:r>
      <w:r>
        <w:t>, </w:t>
      </w:r>
      <w:r>
        <w:rPr>
          <w:i/>
          <w:iCs/>
        </w:rPr>
        <w:t>44</w:t>
      </w:r>
      <w:r>
        <w:t>(3), pp.179-196.</w:t>
      </w:r>
    </w:p>
    <w:p w14:paraId="3657B3ED">
      <w:bookmarkStart w:id="34" w:name="_Hlk171527844"/>
      <w:r>
        <w:t>Anderson, D. and Anderson, L.A., (2010</w:t>
      </w:r>
      <w:bookmarkEnd w:id="34"/>
      <w:r>
        <w:t>). Beyond change management: How to achieve breakthrough results through conscious change leadership (Vol. 36). John Wiley &amp; Sons.</w:t>
      </w:r>
    </w:p>
    <w:p w14:paraId="5D9E4BC2">
      <w:r>
        <w:t>Ayoko, O.B., Ang, A.A. and Parry, K., (2017). Organizational crisis: emotions and contradictions in managing internal stakeholders. </w:t>
      </w:r>
      <w:r>
        <w:rPr>
          <w:i/>
          <w:iCs/>
        </w:rPr>
        <w:t>International Journal of Conflict Management</w:t>
      </w:r>
      <w:r>
        <w:t>, </w:t>
      </w:r>
      <w:r>
        <w:rPr>
          <w:i/>
          <w:iCs/>
        </w:rPr>
        <w:t>28</w:t>
      </w:r>
      <w:r>
        <w:t>(5), pp.617-643.</w:t>
      </w:r>
    </w:p>
    <w:p w14:paraId="1CCD4851">
      <w:r>
        <w:t xml:space="preserve">Baloh, J., Zhu, X., &amp; Ward, M. M. (2018). Implementing team huddles in small rural hospitals: How does the Kotter model of change apply? </w:t>
      </w:r>
      <w:r>
        <w:rPr>
          <w:i/>
        </w:rPr>
        <w:t>Journal of Nursing Management</w:t>
      </w:r>
      <w:r>
        <w:t xml:space="preserve">, </w:t>
      </w:r>
      <w:r>
        <w:rPr>
          <w:i/>
        </w:rPr>
        <w:t>26</w:t>
      </w:r>
      <w:r>
        <w:t xml:space="preserve">(5), 571–578. </w:t>
      </w:r>
      <w:r>
        <w:fldChar w:fldCharType="begin"/>
      </w:r>
      <w:r>
        <w:instrText xml:space="preserve"> HYPERLINK "https://doi.org/10.1111/jonm.12584" </w:instrText>
      </w:r>
      <w:r>
        <w:fldChar w:fldCharType="separate"/>
      </w:r>
      <w:r>
        <w:rPr>
          <w:rStyle w:val="8"/>
        </w:rPr>
        <w:t>https://doi.org/10.1111/jonm.12584</w:t>
      </w:r>
      <w:r>
        <w:rPr>
          <w:rStyle w:val="8"/>
        </w:rPr>
        <w:fldChar w:fldCharType="end"/>
      </w:r>
    </w:p>
    <w:p w14:paraId="0A5C020D">
      <w:r>
        <w:t>Bourne, L. and Weaver, P., (2010). Mapping stakeholders. </w:t>
      </w:r>
      <w:r>
        <w:rPr>
          <w:i/>
          <w:iCs/>
        </w:rPr>
        <w:t>Construction stakeholder management</w:t>
      </w:r>
      <w:r>
        <w:t>, pp.99-120.</w:t>
      </w:r>
    </w:p>
    <w:p w14:paraId="06C77029">
      <w:r>
        <w:t>Bryson, J.M., Patton, M.Q. and Bowman, R.A., (2011). Working with evaluation stakeholders: A rationale, step-wise approach and toolkit. </w:t>
      </w:r>
      <w:r>
        <w:rPr>
          <w:i/>
          <w:iCs/>
        </w:rPr>
        <w:t>Evaluation and program planning</w:t>
      </w:r>
      <w:r>
        <w:t>, </w:t>
      </w:r>
      <w:r>
        <w:rPr>
          <w:i/>
          <w:iCs/>
        </w:rPr>
        <w:t>34</w:t>
      </w:r>
      <w:r>
        <w:t>(1), pp.1-12.</w:t>
      </w:r>
    </w:p>
    <w:p w14:paraId="2C269AA8">
      <w:r>
        <w:t xml:space="preserve">Burnes, B. (2017). </w:t>
      </w:r>
      <w:r>
        <w:rPr>
          <w:i/>
        </w:rPr>
        <w:t xml:space="preserve">Managing change </w:t>
      </w:r>
      <w:r>
        <w:t>(Seventh edition., p. 1 online resource (650 pages)). Pearson.</w:t>
      </w:r>
    </w:p>
    <w:p w14:paraId="6007D6A0">
      <w:r>
        <w:t xml:space="preserve">Cameron, E. (2020). Making sense of change management: a complete guide to the models, tools and techniques of organizational change (M. Green, Ed.; Fifth edition., p. 1 online resource (545 pages)). Kogan Page. </w:t>
      </w:r>
    </w:p>
    <w:p w14:paraId="27C1AFCA">
      <w:r>
        <w:t>Collan, M., Stoklasa, J. and Talasova, J., (2016). Staff Evaluation Systems—Shaping Autonomy through Stakeholders. In </w:t>
      </w:r>
      <w:r>
        <w:rPr>
          <w:i/>
          <w:iCs/>
        </w:rPr>
        <w:t>(Re) Discovering University Autonomy: The Global Market Paradox of Stakeholder and Educational Values in Higher Education</w:t>
      </w:r>
      <w:r>
        <w:t> (pp. 97-106). New York: Palgrave Macmillan US.</w:t>
      </w:r>
    </w:p>
    <w:p w14:paraId="4C818EEE">
      <w:r>
        <w:t>Deutsch, M., (2014). Cooperation, competition, and conflict. </w:t>
      </w:r>
      <w:r>
        <w:rPr>
          <w:i/>
          <w:iCs/>
        </w:rPr>
        <w:t>The handbook of conflict resolution: Theory and practice</w:t>
      </w:r>
      <w:r>
        <w:t>, pp.3-28.</w:t>
      </w:r>
    </w:p>
    <w:p w14:paraId="2155234B">
      <w:r>
        <w:t>Florea, R. and Florea, R., (2013). Stakeholders interests analyse and harmonization-starting point of strategic approach. </w:t>
      </w:r>
      <w:r>
        <w:rPr>
          <w:i/>
          <w:iCs/>
        </w:rPr>
        <w:t>Economy Transdisciplinarity Cognition</w:t>
      </w:r>
      <w:r>
        <w:t>, </w:t>
      </w:r>
      <w:r>
        <w:rPr>
          <w:i/>
          <w:iCs/>
        </w:rPr>
        <w:t>16</w:t>
      </w:r>
      <w:r>
        <w:t>(1), p.130.</w:t>
      </w:r>
    </w:p>
    <w:p w14:paraId="5A37BE20">
      <w:r>
        <w:t>Freeman, R.E., (2023). Stakeholder management: framework and philosophy. In </w:t>
      </w:r>
      <w:r>
        <w:rPr>
          <w:i/>
          <w:iCs/>
        </w:rPr>
        <w:t>R. Edward Freeman’s Selected Works on Stakeholder Theory and Business Ethics</w:t>
      </w:r>
      <w:r>
        <w:t> (pp. 61-88). Cham: Springer International Publishing.</w:t>
      </w:r>
    </w:p>
    <w:p w14:paraId="2785AF36">
      <w:r>
        <w:t>Guise, V., Chambers, M., Lyng, H.B., Haraldseid-Driftland, C., Schibevaag, L., Fagerdal, B., Dombestein, H., Ree, E. and Wiig, S., (2024). Identifying, categorising, and mapping actors involved in resilience in healthcare: a qualitative stakeholder analysis. </w:t>
      </w:r>
      <w:r>
        <w:rPr>
          <w:i/>
          <w:iCs/>
        </w:rPr>
        <w:t>BMC Health Services Research</w:t>
      </w:r>
      <w:r>
        <w:t>, </w:t>
      </w:r>
      <w:r>
        <w:rPr>
          <w:i/>
          <w:iCs/>
        </w:rPr>
        <w:t>24</w:t>
      </w:r>
      <w:r>
        <w:t>(1), p.230.</w:t>
      </w:r>
    </w:p>
    <w:p w14:paraId="4E9F7F6F">
      <w:r>
        <w:t>Hou, J., Su, C., Tang, L. and Wang, W., (2008), September. Conflict resolution for collaborative design. In </w:t>
      </w:r>
      <w:r>
        <w:rPr>
          <w:i/>
          <w:iCs/>
        </w:rPr>
        <w:t>2008 IEEE International Conference on Automation and Logistics</w:t>
      </w:r>
      <w:r>
        <w:t> (pp. 875-880). IEEE.</w:t>
      </w:r>
    </w:p>
    <w:p w14:paraId="57E8B6D7">
      <w:r>
        <w:t>Jordan, P.J. and Troth, A.C., 2021. Managing emotions during team problem solving: Emotional intelligence and conflict resolution. In </w:t>
      </w:r>
      <w:r>
        <w:rPr>
          <w:i/>
          <w:iCs/>
        </w:rPr>
        <w:t>Emotion and performance</w:t>
      </w:r>
      <w:r>
        <w:t> (pp. 195-218). CRC Press.</w:t>
      </w:r>
    </w:p>
    <w:p w14:paraId="15BB3711">
      <w:r>
        <w:t>Kujala, J., Sachs, S., Leinonen, H., Heikkinen, A. and Laude, D., 2022. Stakeholder engagement: Past, present, and future. </w:t>
      </w:r>
      <w:r>
        <w:rPr>
          <w:i/>
          <w:iCs/>
        </w:rPr>
        <w:t>Business &amp; Society</w:t>
      </w:r>
      <w:r>
        <w:t>, </w:t>
      </w:r>
      <w:r>
        <w:rPr>
          <w:i/>
          <w:iCs/>
        </w:rPr>
        <w:t>61</w:t>
      </w:r>
      <w:r>
        <w:t>(5), pp.1136-1196.</w:t>
      </w:r>
    </w:p>
    <w:p w14:paraId="4A3C3C4D">
      <w:r>
        <w:t>Malek, M., (2020). Relationship between emotional intelligence and collaborative conflict resolution styles. United States International University.</w:t>
      </w:r>
    </w:p>
    <w:p w14:paraId="03E22780">
      <w:r>
        <w:t>Parmar, B.L., Freeman, R.E., Harrison, J.S., Wicks, A.C., Purnell, L. and De Colle, S., (2010). Stakeholder theory: The state of the art. </w:t>
      </w:r>
      <w:r>
        <w:rPr>
          <w:i/>
          <w:iCs/>
        </w:rPr>
        <w:t>Academy of Management Annals</w:t>
      </w:r>
      <w:r>
        <w:t>, </w:t>
      </w:r>
      <w:r>
        <w:rPr>
          <w:i/>
          <w:iCs/>
        </w:rPr>
        <w:t>4</w:t>
      </w:r>
      <w:r>
        <w:t>(1), pp.403-445.</w:t>
      </w:r>
    </w:p>
    <w:p w14:paraId="1611FE98">
      <w:r>
        <w:t xml:space="preserve">Post office (2024) </w:t>
      </w:r>
      <w:r>
        <w:rPr>
          <w:i/>
          <w:iCs/>
        </w:rPr>
        <w:t>Post office</w:t>
      </w:r>
      <w:r>
        <w:t>. https://www.gov.uk/government/organisations/post-office (Accessed: July 10, 2024).</w:t>
      </w:r>
    </w:p>
    <w:p w14:paraId="4B60BD53">
      <w:r>
        <w:t>Tehrani, H.D. and Yamini, S., (2020). Personality traits and conflict resolution styles: A meta-analysis. </w:t>
      </w:r>
      <w:r>
        <w:rPr>
          <w:i/>
          <w:iCs/>
        </w:rPr>
        <w:t>Personality and Individual Differences</w:t>
      </w:r>
      <w:r>
        <w:t>, </w:t>
      </w:r>
      <w:r>
        <w:rPr>
          <w:i/>
          <w:iCs/>
        </w:rPr>
        <w:t>157</w:t>
      </w:r>
      <w:r>
        <w:t>, p.109794.</w:t>
      </w:r>
    </w:p>
    <w:p w14:paraId="594BE428">
      <w:bookmarkStart w:id="35" w:name="_Hlk171528343"/>
      <w:r>
        <w:t>Van De Vliert, E. and Hordijk, J.W., (2021</w:t>
      </w:r>
      <w:bookmarkEnd w:id="35"/>
      <w:r>
        <w:t>). A theoretical position of compromising among other styles of conflict management. </w:t>
      </w:r>
      <w:r>
        <w:rPr>
          <w:i/>
          <w:iCs/>
        </w:rPr>
        <w:t>The Journal of social psychology</w:t>
      </w:r>
      <w:r>
        <w:t>, </w:t>
      </w:r>
      <w:r>
        <w:rPr>
          <w:i/>
          <w:iCs/>
        </w:rPr>
        <w:t>129</w:t>
      </w:r>
      <w:r>
        <w:t>(5), pp.681-690.</w:t>
      </w:r>
    </w:p>
    <w:p w14:paraId="4F7CA58D">
      <w:r>
        <w:t>Wood, V.F. and Bell, P.A., (2008). Predicting interpersonal conflict resolution styles from personality characteristics. </w:t>
      </w:r>
      <w:r>
        <w:rPr>
          <w:i/>
          <w:iCs/>
        </w:rPr>
        <w:t>Personality and individual differences</w:t>
      </w:r>
      <w:r>
        <w:t>, </w:t>
      </w:r>
      <w:r>
        <w:rPr>
          <w:i/>
          <w:iCs/>
        </w:rPr>
        <w:t>45</w:t>
      </w:r>
      <w:r>
        <w:t>(2), pp.126-131.</w:t>
      </w:r>
    </w:p>
    <w:p w14:paraId="7BE7F5F3"/>
    <w:p w14:paraId="0CD3626B"/>
    <w:p w14:paraId="24734F28">
      <w:r>
        <w:t xml:space="preserve">     </w:t>
      </w:r>
    </w:p>
    <w:p w14:paraId="76B0726B">
      <w:r>
        <w:tab/>
      </w:r>
    </w:p>
    <w:p w14:paraId="6A22583F"/>
    <w:p w14:paraId="42A05FF3"/>
    <w:sectPr>
      <w:headerReference r:id="rId6" w:type="first"/>
      <w:headerReference r:id="rId5" w:type="default"/>
      <w:footerReference r:id="rId7" w:type="default"/>
      <w:pgSz w:w="12240" w:h="15840"/>
      <w:pgMar w:top="1440" w:right="1440" w:bottom="1440" w:left="1440" w:header="708" w:footer="708"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69616900"/>
      <w:docPartObj>
        <w:docPartGallery w:val="AutoText"/>
      </w:docPartObj>
    </w:sdtPr>
    <w:sdtContent>
      <w:p w14:paraId="56ED088D">
        <w:pPr>
          <w:pStyle w:val="6"/>
          <w:tabs>
            <w:tab w:val="center" w:pos="4513"/>
            <w:tab w:val="right" w:pos="9026"/>
          </w:tabs>
          <w:jc w:val="center"/>
        </w:pPr>
        <w:r>
          <w:t xml:space="preserve">Page </w:t>
        </w:r>
        <w:r>
          <w:rPr>
            <w:b/>
            <w:bCs/>
          </w:rPr>
          <w:fldChar w:fldCharType="begin"/>
        </w:r>
        <w:r>
          <w:rPr>
            <w:b/>
            <w:bCs/>
          </w:rPr>
          <w:instrText xml:space="preserve"> PAGE </w:instrText>
        </w:r>
        <w:r>
          <w:rPr>
            <w:b/>
            <w:bCs/>
          </w:rPr>
          <w:fldChar w:fldCharType="separate"/>
        </w:r>
        <w:r>
          <w:rPr>
            <w:b/>
            <w:bCs/>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rPr>
          <w:t>15</w:t>
        </w:r>
        <w:r>
          <w:rPr>
            <w:b/>
            <w:bCs/>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9F04A">
    <w:pPr>
      <w:pStyle w:val="7"/>
    </w:pPr>
  </w:p>
  <w:p w14:paraId="1EB44D3B">
    <w:pPr>
      <w:pStyle w:val="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6660D">
    <w:pPr>
      <w:pStyle w:val="7"/>
    </w:pPr>
    <w: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2D43"/>
    <w:rsid w:val="00005F9D"/>
    <w:rsid w:val="000251F0"/>
    <w:rsid w:val="00043740"/>
    <w:rsid w:val="00044A21"/>
    <w:rsid w:val="00093B6B"/>
    <w:rsid w:val="00096725"/>
    <w:rsid w:val="000B312F"/>
    <w:rsid w:val="001358F3"/>
    <w:rsid w:val="00171BF0"/>
    <w:rsid w:val="001D31A2"/>
    <w:rsid w:val="00223B27"/>
    <w:rsid w:val="00282E92"/>
    <w:rsid w:val="002C758E"/>
    <w:rsid w:val="002D3150"/>
    <w:rsid w:val="003053E2"/>
    <w:rsid w:val="00332F73"/>
    <w:rsid w:val="003D7D9A"/>
    <w:rsid w:val="003E1FD7"/>
    <w:rsid w:val="004034D0"/>
    <w:rsid w:val="00423FA4"/>
    <w:rsid w:val="00440540"/>
    <w:rsid w:val="004423FB"/>
    <w:rsid w:val="004A00F7"/>
    <w:rsid w:val="004C28CA"/>
    <w:rsid w:val="00513A4E"/>
    <w:rsid w:val="00525F65"/>
    <w:rsid w:val="00527A32"/>
    <w:rsid w:val="00551AEE"/>
    <w:rsid w:val="0055399C"/>
    <w:rsid w:val="005733A7"/>
    <w:rsid w:val="00583D80"/>
    <w:rsid w:val="005A6F4E"/>
    <w:rsid w:val="005C111D"/>
    <w:rsid w:val="005E500D"/>
    <w:rsid w:val="006238B7"/>
    <w:rsid w:val="006567B9"/>
    <w:rsid w:val="00662ACC"/>
    <w:rsid w:val="00683528"/>
    <w:rsid w:val="006A2C32"/>
    <w:rsid w:val="006B312E"/>
    <w:rsid w:val="00704F62"/>
    <w:rsid w:val="007076F6"/>
    <w:rsid w:val="00720EDE"/>
    <w:rsid w:val="00730AC3"/>
    <w:rsid w:val="00742D43"/>
    <w:rsid w:val="0076413C"/>
    <w:rsid w:val="00774BD3"/>
    <w:rsid w:val="00793500"/>
    <w:rsid w:val="00793AA1"/>
    <w:rsid w:val="007A0E0E"/>
    <w:rsid w:val="007B1F94"/>
    <w:rsid w:val="007E4BE0"/>
    <w:rsid w:val="00843B33"/>
    <w:rsid w:val="008D67C3"/>
    <w:rsid w:val="008E5E6E"/>
    <w:rsid w:val="0093488E"/>
    <w:rsid w:val="00947D1E"/>
    <w:rsid w:val="00991BB0"/>
    <w:rsid w:val="009A7CAB"/>
    <w:rsid w:val="009B1F7D"/>
    <w:rsid w:val="009C1229"/>
    <w:rsid w:val="009E63E3"/>
    <w:rsid w:val="00A200E8"/>
    <w:rsid w:val="00A91B15"/>
    <w:rsid w:val="00B04A5E"/>
    <w:rsid w:val="00B15471"/>
    <w:rsid w:val="00B37474"/>
    <w:rsid w:val="00B50252"/>
    <w:rsid w:val="00BA0479"/>
    <w:rsid w:val="00BD1CA6"/>
    <w:rsid w:val="00BD2CE8"/>
    <w:rsid w:val="00C126EA"/>
    <w:rsid w:val="00C405A4"/>
    <w:rsid w:val="00C60EBA"/>
    <w:rsid w:val="00C668AD"/>
    <w:rsid w:val="00C7391E"/>
    <w:rsid w:val="00C87CD1"/>
    <w:rsid w:val="00C94423"/>
    <w:rsid w:val="00C9671C"/>
    <w:rsid w:val="00D15B15"/>
    <w:rsid w:val="00D46AFD"/>
    <w:rsid w:val="00D46FA6"/>
    <w:rsid w:val="00DA2ABC"/>
    <w:rsid w:val="00DB2C7D"/>
    <w:rsid w:val="00DC5ACD"/>
    <w:rsid w:val="00DC6134"/>
    <w:rsid w:val="00DF2554"/>
    <w:rsid w:val="00E31015"/>
    <w:rsid w:val="00E63C62"/>
    <w:rsid w:val="00E833D2"/>
    <w:rsid w:val="00EA3C2F"/>
    <w:rsid w:val="00EA751D"/>
    <w:rsid w:val="00EC38C1"/>
    <w:rsid w:val="00EE3E7B"/>
    <w:rsid w:val="00F170BA"/>
    <w:rsid w:val="00F211E8"/>
    <w:rsid w:val="00F24E3C"/>
    <w:rsid w:val="00F41560"/>
    <w:rsid w:val="00F43B22"/>
    <w:rsid w:val="00F92A44"/>
    <w:rsid w:val="27D56161"/>
    <w:rsid w:val="2DED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Arial" w:hAnsi="Arial" w:cs="Arial" w:eastAsiaTheme="minorHAnsi"/>
      <w:color w:val="000000" w:themeColor="text1"/>
      <w:sz w:val="24"/>
      <w:szCs w:val="24"/>
      <w:lang w:val="en-GB" w:eastAsia="en-US" w:bidi="ar-SA"/>
      <w14:textFill>
        <w14:solidFill>
          <w14:schemeClr w14:val="tx1"/>
        </w14:solidFill>
      </w14:textFill>
    </w:rPr>
  </w:style>
  <w:style w:type="paragraph" w:styleId="2">
    <w:name w:val="heading 1"/>
    <w:basedOn w:val="1"/>
    <w:next w:val="1"/>
    <w:link w:val="15"/>
    <w:qFormat/>
    <w:uiPriority w:val="9"/>
    <w:pPr>
      <w:keepNext/>
      <w:keepLines/>
      <w:spacing w:before="240" w:after="240"/>
      <w:ind w:right="2364"/>
      <w:jc w:val="left"/>
      <w:outlineLvl w:val="0"/>
    </w:pPr>
    <w:rPr>
      <w:rFonts w:eastAsiaTheme="majorEastAsia" w:cstheme="majorBidi"/>
      <w:b/>
      <w:sz w:val="32"/>
      <w:szCs w:val="32"/>
    </w:rPr>
  </w:style>
  <w:style w:type="paragraph" w:styleId="3">
    <w:name w:val="heading 2"/>
    <w:basedOn w:val="1"/>
    <w:next w:val="1"/>
    <w:link w:val="16"/>
    <w:unhideWhenUsed/>
    <w:qFormat/>
    <w:uiPriority w:val="9"/>
    <w:pPr>
      <w:keepNext/>
      <w:keepLines/>
      <w:spacing w:before="240" w:after="240"/>
      <w:outlineLvl w:val="1"/>
    </w:pPr>
    <w:rPr>
      <w:rFonts w:eastAsiaTheme="majorEastAsia" w:cstheme="majorBidi"/>
      <w:b/>
      <w:i/>
      <w:iCs/>
      <w:sz w:val="28"/>
      <w:szCs w:val="28"/>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footer"/>
    <w:basedOn w:val="1"/>
    <w:link w:val="13"/>
    <w:unhideWhenUsed/>
    <w:qFormat/>
    <w:uiPriority w:val="99"/>
    <w:pPr>
      <w:tabs>
        <w:tab w:val="center" w:pos="4680"/>
        <w:tab w:val="right" w:pos="9360"/>
      </w:tabs>
      <w:spacing w:after="0" w:line="240" w:lineRule="auto"/>
    </w:pPr>
  </w:style>
  <w:style w:type="paragraph" w:styleId="7">
    <w:name w:val="header"/>
    <w:basedOn w:val="1"/>
    <w:link w:val="12"/>
    <w:unhideWhenUsed/>
    <w:qFormat/>
    <w:uiPriority w:val="99"/>
    <w:pPr>
      <w:tabs>
        <w:tab w:val="center" w:pos="4680"/>
        <w:tab w:val="right" w:pos="9360"/>
      </w:tabs>
      <w:spacing w:after="0" w:line="240" w:lineRule="auto"/>
    </w:pPr>
  </w:style>
  <w:style w:type="character" w:styleId="8">
    <w:name w:val="Hyperlink"/>
    <w:basedOn w:val="4"/>
    <w:unhideWhenUsed/>
    <w:qFormat/>
    <w:uiPriority w:val="99"/>
    <w:rPr>
      <w:color w:val="0563C1" w:themeColor="hyperlink"/>
      <w:u w:val="single"/>
      <w14:textFill>
        <w14:solidFill>
          <w14:schemeClr w14:val="hlink"/>
        </w14:solidFill>
      </w14:textFill>
    </w:rPr>
  </w:style>
  <w:style w:type="paragraph" w:styleId="9">
    <w:name w:val="toc 1"/>
    <w:basedOn w:val="1"/>
    <w:next w:val="1"/>
    <w:autoRedefine/>
    <w:unhideWhenUsed/>
    <w:qFormat/>
    <w:uiPriority w:val="39"/>
    <w:pPr>
      <w:spacing w:after="100"/>
    </w:pPr>
  </w:style>
  <w:style w:type="paragraph" w:styleId="10">
    <w:name w:val="toc 2"/>
    <w:basedOn w:val="1"/>
    <w:next w:val="1"/>
    <w:autoRedefine/>
    <w:unhideWhenUsed/>
    <w:qFormat/>
    <w:uiPriority w:val="39"/>
    <w:pPr>
      <w:spacing w:after="100"/>
      <w:ind w:left="220"/>
    </w:pPr>
  </w:style>
  <w:style w:type="paragraph" w:styleId="11">
    <w:name w:val="List Paragraph"/>
    <w:basedOn w:val="1"/>
    <w:qFormat/>
    <w:uiPriority w:val="34"/>
    <w:pPr>
      <w:ind w:left="720"/>
      <w:contextualSpacing/>
    </w:pPr>
  </w:style>
  <w:style w:type="character" w:customStyle="1" w:styleId="12">
    <w:name w:val="Header Char"/>
    <w:basedOn w:val="4"/>
    <w:link w:val="7"/>
    <w:qFormat/>
    <w:uiPriority w:val="99"/>
  </w:style>
  <w:style w:type="character" w:customStyle="1" w:styleId="13">
    <w:name w:val="Footer Char"/>
    <w:basedOn w:val="4"/>
    <w:link w:val="6"/>
    <w:qFormat/>
    <w:uiPriority w:val="99"/>
  </w:style>
  <w:style w:type="character" w:customStyle="1" w:styleId="14">
    <w:name w:val="Unresolved Mention1"/>
    <w:basedOn w:val="4"/>
    <w:semiHidden/>
    <w:unhideWhenUsed/>
    <w:qFormat/>
    <w:uiPriority w:val="99"/>
    <w:rPr>
      <w:color w:val="605E5C"/>
      <w:shd w:val="clear" w:color="auto" w:fill="E1DFDD"/>
    </w:rPr>
  </w:style>
  <w:style w:type="character" w:customStyle="1" w:styleId="15">
    <w:name w:val="Heading 1 Char"/>
    <w:basedOn w:val="4"/>
    <w:link w:val="2"/>
    <w:qFormat/>
    <w:uiPriority w:val="9"/>
    <w:rPr>
      <w:rFonts w:ascii="Arial" w:hAnsi="Arial" w:eastAsiaTheme="majorEastAsia" w:cstheme="majorBidi"/>
      <w:b/>
      <w:color w:val="000000" w:themeColor="text1"/>
      <w:sz w:val="32"/>
      <w:szCs w:val="32"/>
      <w:lang w:eastAsia="en-US"/>
      <w14:textFill>
        <w14:solidFill>
          <w14:schemeClr w14:val="tx1"/>
        </w14:solidFill>
      </w14:textFill>
    </w:rPr>
  </w:style>
  <w:style w:type="character" w:customStyle="1" w:styleId="16">
    <w:name w:val="Heading 2 Char"/>
    <w:basedOn w:val="4"/>
    <w:link w:val="3"/>
    <w:qFormat/>
    <w:uiPriority w:val="9"/>
    <w:rPr>
      <w:rFonts w:ascii="Arial" w:hAnsi="Arial" w:eastAsiaTheme="majorEastAsia" w:cstheme="majorBidi"/>
      <w:b/>
      <w:i/>
      <w:iCs/>
      <w:color w:val="000000" w:themeColor="text1"/>
      <w:sz w:val="28"/>
      <w:szCs w:val="28"/>
      <w:lang w:eastAsia="en-US"/>
      <w14:textFill>
        <w14:solidFill>
          <w14:schemeClr w14:val="tx1"/>
        </w14:solidFill>
      </w14:textFill>
    </w:rPr>
  </w:style>
  <w:style w:type="paragraph" w:customStyle="1" w:styleId="17">
    <w:name w:val="TOC Heading1"/>
    <w:basedOn w:val="2"/>
    <w:next w:val="1"/>
    <w:unhideWhenUsed/>
    <w:qFormat/>
    <w:uiPriority w:val="39"/>
    <w:pPr>
      <w:spacing w:line="259" w:lineRule="auto"/>
      <w:outlineLvl w:val="9"/>
    </w:p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6269</Words>
  <Characters>34505</Characters>
  <Lines>576</Lines>
  <Paragraphs>138</Paragraphs>
  <TotalTime>0</TotalTime>
  <ScaleCrop>false</ScaleCrop>
  <LinksUpToDate>false</LinksUpToDate>
  <CharactersWithSpaces>40762</CharactersWithSpaces>
  <Application>WPS Office_12.2.0.17153_F1E327BC-269C-435d-A152-05C5408002CA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2024-07-08T15:36:00Z</dcterms:created>
  <dc:creator>Natalia Cojocaru</dc:creator>
  <cp:lastModifiedBy>Natalia Cojocaru</cp:lastModifiedBy>
  <dcterms:modified xsi:type="dcterms:W3CDTF">2024-07-27T07:07:50Z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2057-12.2.0.17153</vt:lpwstr>
  </property>
  <property fmtid="{D5CDD505-2E9C-101B-9397-08002B2CF9AE}" pid="3" name="ICV">
    <vt:lpwstr>56644038C2544ED7BC49E45E43CD336D_13</vt:lpwstr>
  </property>
  <property fmtid="{D5CDD505-2E9C-101B-9397-08002B2CF9AE}" pid="4" name="GrammarlyDocumentId">
    <vt:lpwstr>06602d2f25d731ff6d5aca354434b2150320075311ab3d92d7557251a95cf488</vt:lpwstr>
  </property>
</Properties>
</file>