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BB794" w14:textId="2C2455ED" w:rsidR="008F0D4B" w:rsidRDefault="008F0D4B" w:rsidP="008F0D4B">
      <w:pPr>
        <w:jc w:val="center"/>
        <w:rPr>
          <w:rFonts w:ascii="Arial" w:hAnsi="Arial" w:cs="Arial"/>
          <w:b/>
          <w:bCs/>
          <w:sz w:val="24"/>
          <w:szCs w:val="24"/>
          <w:u w:val="single"/>
        </w:rPr>
      </w:pPr>
      <w:r>
        <w:rPr>
          <w:noProof/>
        </w:rPr>
        <w:drawing>
          <wp:inline distT="0" distB="0" distL="0" distR="0" wp14:anchorId="55F3946F" wp14:editId="2B515688">
            <wp:extent cx="4177665" cy="2081240"/>
            <wp:effectExtent l="0" t="0" r="0" b="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4937" cy="2089844"/>
                    </a:xfrm>
                    <a:prstGeom prst="rect">
                      <a:avLst/>
                    </a:prstGeom>
                    <a:noFill/>
                    <a:ln>
                      <a:noFill/>
                    </a:ln>
                  </pic:spPr>
                </pic:pic>
              </a:graphicData>
            </a:graphic>
          </wp:inline>
        </w:drawing>
      </w:r>
    </w:p>
    <w:p w14:paraId="7638D4CB" w14:textId="5C6C4736" w:rsidR="0020343D" w:rsidRDefault="0020343D" w:rsidP="0020343D">
      <w:pPr>
        <w:jc w:val="center"/>
        <w:rPr>
          <w:rFonts w:ascii="Arial" w:hAnsi="Arial" w:cs="Arial"/>
          <w:b/>
          <w:bCs/>
          <w:sz w:val="24"/>
          <w:szCs w:val="24"/>
        </w:rPr>
      </w:pPr>
      <w:r>
        <w:rPr>
          <w:rFonts w:ascii="Arial" w:hAnsi="Arial" w:cs="Arial"/>
          <w:b/>
          <w:bCs/>
          <w:sz w:val="24"/>
          <w:szCs w:val="24"/>
        </w:rPr>
        <w:t>Programme: Law Portfolio</w:t>
      </w:r>
    </w:p>
    <w:p w14:paraId="5C49AE10" w14:textId="77777777" w:rsidR="0020343D" w:rsidRDefault="0020343D" w:rsidP="0020343D">
      <w:pPr>
        <w:jc w:val="center"/>
        <w:rPr>
          <w:rFonts w:ascii="Arial" w:hAnsi="Arial" w:cs="Arial"/>
          <w:b/>
          <w:bCs/>
          <w:sz w:val="24"/>
          <w:szCs w:val="24"/>
        </w:rPr>
      </w:pPr>
    </w:p>
    <w:p w14:paraId="556B05B9" w14:textId="74478150" w:rsidR="008F0D4B" w:rsidRDefault="0020343D" w:rsidP="0020343D">
      <w:pPr>
        <w:jc w:val="center"/>
        <w:rPr>
          <w:rFonts w:ascii="Arial" w:hAnsi="Arial" w:cs="Arial"/>
          <w:b/>
          <w:bCs/>
          <w:sz w:val="24"/>
          <w:szCs w:val="24"/>
        </w:rPr>
      </w:pPr>
      <w:r>
        <w:rPr>
          <w:rFonts w:ascii="Arial" w:hAnsi="Arial" w:cs="Arial"/>
          <w:b/>
          <w:bCs/>
          <w:sz w:val="24"/>
          <w:szCs w:val="24"/>
        </w:rPr>
        <w:t>Module: Contract Law</w:t>
      </w:r>
    </w:p>
    <w:p w14:paraId="4CACD642" w14:textId="77777777" w:rsidR="0020343D" w:rsidRDefault="0020343D" w:rsidP="0020343D">
      <w:pPr>
        <w:jc w:val="center"/>
        <w:rPr>
          <w:rFonts w:ascii="Arial" w:hAnsi="Arial" w:cs="Arial"/>
          <w:b/>
          <w:bCs/>
          <w:sz w:val="24"/>
          <w:szCs w:val="24"/>
        </w:rPr>
      </w:pPr>
    </w:p>
    <w:p w14:paraId="54EDB106" w14:textId="7EAA3B66" w:rsidR="0020343D" w:rsidRDefault="0020343D" w:rsidP="0020343D">
      <w:pPr>
        <w:jc w:val="center"/>
        <w:rPr>
          <w:rFonts w:ascii="Arial" w:hAnsi="Arial" w:cs="Arial"/>
          <w:b/>
          <w:bCs/>
          <w:sz w:val="24"/>
          <w:szCs w:val="24"/>
        </w:rPr>
      </w:pPr>
      <w:r>
        <w:rPr>
          <w:rFonts w:ascii="Arial" w:hAnsi="Arial" w:cs="Arial"/>
          <w:b/>
          <w:bCs/>
          <w:sz w:val="24"/>
          <w:szCs w:val="24"/>
        </w:rPr>
        <w:t>Module Code: BMLW5009</w:t>
      </w:r>
    </w:p>
    <w:p w14:paraId="655C5280" w14:textId="05E3A7E9" w:rsidR="0020343D" w:rsidRDefault="0020343D" w:rsidP="0020343D">
      <w:pPr>
        <w:jc w:val="center"/>
        <w:rPr>
          <w:rFonts w:ascii="Arial" w:hAnsi="Arial" w:cs="Arial"/>
          <w:b/>
          <w:bCs/>
          <w:sz w:val="24"/>
          <w:szCs w:val="24"/>
        </w:rPr>
      </w:pPr>
    </w:p>
    <w:p w14:paraId="09AD4B4C" w14:textId="49DDFEE6" w:rsidR="0020343D" w:rsidRDefault="0020343D" w:rsidP="0020343D">
      <w:pPr>
        <w:jc w:val="center"/>
        <w:rPr>
          <w:rFonts w:ascii="Arial" w:hAnsi="Arial" w:cs="Arial"/>
          <w:b/>
          <w:bCs/>
          <w:sz w:val="24"/>
          <w:szCs w:val="24"/>
        </w:rPr>
      </w:pPr>
      <w:r>
        <w:rPr>
          <w:rFonts w:ascii="Arial" w:hAnsi="Arial" w:cs="Arial"/>
          <w:b/>
          <w:bCs/>
          <w:sz w:val="24"/>
          <w:szCs w:val="24"/>
        </w:rPr>
        <w:t>Assignment Title: Intention to create legal relations</w:t>
      </w:r>
    </w:p>
    <w:p w14:paraId="4BAD2166" w14:textId="4BE7146E" w:rsidR="0020343D" w:rsidRDefault="0020343D" w:rsidP="0020343D">
      <w:pPr>
        <w:jc w:val="center"/>
        <w:rPr>
          <w:rFonts w:ascii="Arial" w:hAnsi="Arial" w:cs="Arial"/>
          <w:b/>
          <w:bCs/>
          <w:sz w:val="24"/>
          <w:szCs w:val="24"/>
        </w:rPr>
      </w:pPr>
    </w:p>
    <w:p w14:paraId="7B0799A6" w14:textId="1352CB72" w:rsidR="0020343D" w:rsidRDefault="0020343D" w:rsidP="0020343D">
      <w:pPr>
        <w:jc w:val="center"/>
        <w:rPr>
          <w:rFonts w:ascii="Arial" w:hAnsi="Arial" w:cs="Arial"/>
          <w:b/>
          <w:bCs/>
          <w:sz w:val="24"/>
          <w:szCs w:val="24"/>
        </w:rPr>
      </w:pPr>
      <w:r>
        <w:rPr>
          <w:rFonts w:ascii="Arial" w:hAnsi="Arial" w:cs="Arial"/>
          <w:b/>
          <w:bCs/>
          <w:sz w:val="24"/>
          <w:szCs w:val="24"/>
        </w:rPr>
        <w:t>Lecturer: Laura Knight</w:t>
      </w:r>
    </w:p>
    <w:p w14:paraId="44431030" w14:textId="5BD0DC79" w:rsidR="0020343D" w:rsidRDefault="0020343D" w:rsidP="0020343D">
      <w:pPr>
        <w:jc w:val="center"/>
        <w:rPr>
          <w:rFonts w:ascii="Arial" w:hAnsi="Arial" w:cs="Arial"/>
          <w:b/>
          <w:bCs/>
          <w:sz w:val="24"/>
          <w:szCs w:val="24"/>
        </w:rPr>
      </w:pPr>
    </w:p>
    <w:p w14:paraId="76A70265" w14:textId="0013C0E0" w:rsidR="0020343D" w:rsidRDefault="0020343D" w:rsidP="0020343D">
      <w:pPr>
        <w:jc w:val="center"/>
        <w:rPr>
          <w:rFonts w:ascii="Arial" w:hAnsi="Arial" w:cs="Arial"/>
          <w:b/>
          <w:bCs/>
          <w:sz w:val="24"/>
          <w:szCs w:val="24"/>
        </w:rPr>
      </w:pPr>
    </w:p>
    <w:p w14:paraId="10DAFF4F" w14:textId="3C813A70" w:rsidR="0020343D" w:rsidRPr="0020343D" w:rsidRDefault="0020343D" w:rsidP="0020343D">
      <w:pPr>
        <w:spacing w:line="360" w:lineRule="auto"/>
        <w:jc w:val="center"/>
        <w:rPr>
          <w:b/>
          <w:bCs/>
          <w:sz w:val="24"/>
          <w:szCs w:val="24"/>
        </w:rPr>
      </w:pPr>
    </w:p>
    <w:tbl>
      <w:tblPr>
        <w:tblStyle w:val="TableGrid"/>
        <w:tblW w:w="0" w:type="auto"/>
        <w:tblLook w:val="04A0" w:firstRow="1" w:lastRow="0" w:firstColumn="1" w:lastColumn="0" w:noHBand="0" w:noVBand="1"/>
      </w:tblPr>
      <w:tblGrid>
        <w:gridCol w:w="1838"/>
        <w:gridCol w:w="7178"/>
      </w:tblGrid>
      <w:tr w:rsidR="0020343D" w:rsidRPr="0020343D" w14:paraId="6048E82D" w14:textId="77777777" w:rsidTr="0020343D">
        <w:tc>
          <w:tcPr>
            <w:tcW w:w="1838" w:type="dxa"/>
          </w:tcPr>
          <w:p w14:paraId="40977684" w14:textId="1DFC4014" w:rsidR="0020343D" w:rsidRPr="0020343D" w:rsidRDefault="0020343D" w:rsidP="0020343D">
            <w:pPr>
              <w:spacing w:line="360" w:lineRule="auto"/>
              <w:jc w:val="center"/>
              <w:rPr>
                <w:b/>
                <w:bCs/>
                <w:sz w:val="24"/>
                <w:szCs w:val="24"/>
              </w:rPr>
            </w:pPr>
            <w:r w:rsidRPr="0020343D">
              <w:rPr>
                <w:b/>
                <w:bCs/>
                <w:sz w:val="24"/>
                <w:szCs w:val="24"/>
              </w:rPr>
              <w:t>Name</w:t>
            </w:r>
          </w:p>
        </w:tc>
        <w:tc>
          <w:tcPr>
            <w:tcW w:w="7178" w:type="dxa"/>
          </w:tcPr>
          <w:p w14:paraId="0DAA7B4D" w14:textId="4B33EBF8" w:rsidR="0020343D" w:rsidRPr="0020343D" w:rsidRDefault="0020343D" w:rsidP="0020343D">
            <w:pPr>
              <w:spacing w:line="360" w:lineRule="auto"/>
              <w:jc w:val="center"/>
              <w:rPr>
                <w:b/>
                <w:bCs/>
                <w:sz w:val="24"/>
                <w:szCs w:val="24"/>
              </w:rPr>
            </w:pPr>
            <w:r w:rsidRPr="0020343D">
              <w:rPr>
                <w:b/>
                <w:bCs/>
                <w:sz w:val="24"/>
                <w:szCs w:val="24"/>
              </w:rPr>
              <w:t>Danish Iman</w:t>
            </w:r>
          </w:p>
        </w:tc>
      </w:tr>
      <w:tr w:rsidR="0020343D" w:rsidRPr="0020343D" w14:paraId="3B1ED64A" w14:textId="77777777" w:rsidTr="0020343D">
        <w:tc>
          <w:tcPr>
            <w:tcW w:w="1838" w:type="dxa"/>
          </w:tcPr>
          <w:p w14:paraId="67FFF0D2" w14:textId="3F8BC38F" w:rsidR="0020343D" w:rsidRPr="0020343D" w:rsidRDefault="0020343D" w:rsidP="0020343D">
            <w:pPr>
              <w:spacing w:line="360" w:lineRule="auto"/>
              <w:jc w:val="center"/>
              <w:rPr>
                <w:b/>
                <w:bCs/>
                <w:sz w:val="24"/>
                <w:szCs w:val="24"/>
              </w:rPr>
            </w:pPr>
            <w:r w:rsidRPr="0020343D">
              <w:rPr>
                <w:b/>
                <w:bCs/>
                <w:sz w:val="24"/>
                <w:szCs w:val="24"/>
              </w:rPr>
              <w:t>Student ID</w:t>
            </w:r>
          </w:p>
        </w:tc>
        <w:tc>
          <w:tcPr>
            <w:tcW w:w="7178" w:type="dxa"/>
          </w:tcPr>
          <w:p w14:paraId="60C68666" w14:textId="17E11A05" w:rsidR="0020343D" w:rsidRPr="0020343D" w:rsidRDefault="0020343D" w:rsidP="0020343D">
            <w:pPr>
              <w:spacing w:line="360" w:lineRule="auto"/>
              <w:jc w:val="center"/>
              <w:rPr>
                <w:b/>
                <w:bCs/>
                <w:sz w:val="24"/>
                <w:szCs w:val="24"/>
              </w:rPr>
            </w:pPr>
            <w:r w:rsidRPr="0020343D">
              <w:rPr>
                <w:b/>
                <w:bCs/>
                <w:sz w:val="24"/>
                <w:szCs w:val="24"/>
              </w:rPr>
              <w:t>2227165</w:t>
            </w:r>
          </w:p>
        </w:tc>
      </w:tr>
    </w:tbl>
    <w:p w14:paraId="44ABBFC9" w14:textId="77777777" w:rsidR="0020343D" w:rsidRDefault="0020343D" w:rsidP="00C3559A">
      <w:pPr>
        <w:rPr>
          <w:rFonts w:ascii="Arial" w:hAnsi="Arial" w:cs="Arial"/>
          <w:b/>
          <w:bCs/>
          <w:sz w:val="24"/>
          <w:szCs w:val="24"/>
        </w:rPr>
      </w:pPr>
    </w:p>
    <w:p w14:paraId="68DC3B92" w14:textId="63E649F2" w:rsidR="0020343D" w:rsidRDefault="0020343D" w:rsidP="00C3559A">
      <w:pPr>
        <w:rPr>
          <w:rFonts w:ascii="Arial" w:hAnsi="Arial" w:cs="Arial"/>
          <w:b/>
          <w:bCs/>
          <w:sz w:val="24"/>
          <w:szCs w:val="24"/>
        </w:rPr>
      </w:pPr>
    </w:p>
    <w:p w14:paraId="14AFB710" w14:textId="340E94BD" w:rsidR="0020343D" w:rsidRDefault="0020343D" w:rsidP="00C3559A">
      <w:pPr>
        <w:rPr>
          <w:rFonts w:ascii="Arial" w:hAnsi="Arial" w:cs="Arial"/>
          <w:b/>
          <w:bCs/>
          <w:sz w:val="24"/>
          <w:szCs w:val="24"/>
        </w:rPr>
      </w:pPr>
    </w:p>
    <w:p w14:paraId="2E6CEBC8" w14:textId="239E1852" w:rsidR="0020343D" w:rsidRDefault="0020343D" w:rsidP="00C3559A">
      <w:pPr>
        <w:rPr>
          <w:rFonts w:ascii="Arial" w:hAnsi="Arial" w:cs="Arial"/>
          <w:b/>
          <w:bCs/>
          <w:sz w:val="24"/>
          <w:szCs w:val="24"/>
        </w:rPr>
      </w:pPr>
    </w:p>
    <w:p w14:paraId="0317D244" w14:textId="43EA3153" w:rsidR="0020343D" w:rsidRDefault="0020343D" w:rsidP="00C3559A">
      <w:pPr>
        <w:rPr>
          <w:rFonts w:ascii="Arial" w:hAnsi="Arial" w:cs="Arial"/>
          <w:b/>
          <w:bCs/>
          <w:sz w:val="24"/>
          <w:szCs w:val="24"/>
        </w:rPr>
      </w:pPr>
    </w:p>
    <w:p w14:paraId="0A7326F5" w14:textId="77777777" w:rsidR="0020343D" w:rsidRPr="0020343D" w:rsidRDefault="0020343D" w:rsidP="00C3559A">
      <w:pPr>
        <w:rPr>
          <w:rFonts w:ascii="Arial" w:hAnsi="Arial" w:cs="Arial"/>
          <w:b/>
          <w:bCs/>
          <w:sz w:val="24"/>
          <w:szCs w:val="24"/>
        </w:rPr>
      </w:pPr>
    </w:p>
    <w:p w14:paraId="4C088108" w14:textId="31CFEA4B" w:rsidR="008F0D4B" w:rsidRPr="0020343D" w:rsidRDefault="008F0D4B" w:rsidP="00C3559A">
      <w:pPr>
        <w:rPr>
          <w:rFonts w:ascii="Arial" w:hAnsi="Arial" w:cs="Arial"/>
          <w:sz w:val="24"/>
          <w:szCs w:val="24"/>
        </w:rPr>
      </w:pPr>
    </w:p>
    <w:p w14:paraId="408B3850" w14:textId="77777777" w:rsidR="008F0D4B" w:rsidRDefault="008F0D4B" w:rsidP="00C3559A">
      <w:pPr>
        <w:rPr>
          <w:rFonts w:ascii="Arial" w:hAnsi="Arial" w:cs="Arial"/>
          <w:b/>
          <w:bCs/>
          <w:sz w:val="24"/>
          <w:szCs w:val="24"/>
          <w:u w:val="single"/>
        </w:rPr>
      </w:pPr>
    </w:p>
    <w:p w14:paraId="623E12F7" w14:textId="77777777" w:rsidR="008F0D4B" w:rsidRDefault="008F0D4B" w:rsidP="00C3559A">
      <w:pPr>
        <w:rPr>
          <w:rFonts w:ascii="Arial" w:hAnsi="Arial" w:cs="Arial"/>
          <w:b/>
          <w:bCs/>
          <w:sz w:val="24"/>
          <w:szCs w:val="24"/>
          <w:u w:val="single"/>
        </w:rPr>
      </w:pPr>
    </w:p>
    <w:p w14:paraId="4A10BB4F" w14:textId="77777777" w:rsidR="008F0D4B" w:rsidRDefault="008F0D4B" w:rsidP="00C3559A">
      <w:pPr>
        <w:rPr>
          <w:rFonts w:ascii="Arial" w:hAnsi="Arial" w:cs="Arial"/>
          <w:b/>
          <w:bCs/>
          <w:sz w:val="24"/>
          <w:szCs w:val="24"/>
          <w:u w:val="single"/>
        </w:rPr>
      </w:pPr>
    </w:p>
    <w:p w14:paraId="25CCBE64" w14:textId="77777777" w:rsidR="008F0D4B" w:rsidRDefault="008F0D4B" w:rsidP="00C3559A">
      <w:pPr>
        <w:rPr>
          <w:rFonts w:ascii="Arial" w:hAnsi="Arial" w:cs="Arial"/>
          <w:b/>
          <w:bCs/>
          <w:sz w:val="24"/>
          <w:szCs w:val="24"/>
          <w:u w:val="single"/>
        </w:rPr>
      </w:pPr>
    </w:p>
    <w:p w14:paraId="2DDE7096" w14:textId="77777777" w:rsidR="008F0D4B" w:rsidRDefault="008F0D4B" w:rsidP="00C3559A">
      <w:pPr>
        <w:rPr>
          <w:rFonts w:ascii="Arial" w:hAnsi="Arial" w:cs="Arial"/>
          <w:b/>
          <w:bCs/>
          <w:sz w:val="24"/>
          <w:szCs w:val="24"/>
          <w:u w:val="single"/>
        </w:rPr>
      </w:pPr>
    </w:p>
    <w:p w14:paraId="0218FE6B" w14:textId="77777777" w:rsidR="008F0D4B" w:rsidRDefault="008F0D4B" w:rsidP="00C3559A">
      <w:pPr>
        <w:rPr>
          <w:rFonts w:ascii="Arial" w:hAnsi="Arial" w:cs="Arial"/>
          <w:b/>
          <w:bCs/>
          <w:sz w:val="24"/>
          <w:szCs w:val="24"/>
          <w:u w:val="single"/>
        </w:rPr>
      </w:pPr>
    </w:p>
    <w:p w14:paraId="5102BFC0" w14:textId="77777777" w:rsidR="008F0D4B" w:rsidRDefault="008F0D4B" w:rsidP="00C3559A">
      <w:pPr>
        <w:rPr>
          <w:rFonts w:ascii="Arial" w:hAnsi="Arial" w:cs="Arial"/>
          <w:b/>
          <w:bCs/>
          <w:sz w:val="24"/>
          <w:szCs w:val="24"/>
          <w:u w:val="single"/>
        </w:rPr>
      </w:pPr>
    </w:p>
    <w:p w14:paraId="4BB93900" w14:textId="77777777" w:rsidR="008F0D4B" w:rsidRDefault="008F0D4B" w:rsidP="00C3559A">
      <w:pPr>
        <w:rPr>
          <w:rFonts w:ascii="Arial" w:hAnsi="Arial" w:cs="Arial"/>
          <w:b/>
          <w:bCs/>
          <w:sz w:val="24"/>
          <w:szCs w:val="24"/>
          <w:u w:val="single"/>
        </w:rPr>
      </w:pPr>
    </w:p>
    <w:p w14:paraId="103D6F0A" w14:textId="77777777" w:rsidR="008F0D4B" w:rsidRDefault="008F0D4B" w:rsidP="00C3559A">
      <w:pPr>
        <w:rPr>
          <w:rFonts w:ascii="Arial" w:hAnsi="Arial" w:cs="Arial"/>
          <w:b/>
          <w:bCs/>
          <w:sz w:val="24"/>
          <w:szCs w:val="24"/>
          <w:u w:val="single"/>
        </w:rPr>
      </w:pPr>
    </w:p>
    <w:p w14:paraId="7ACC05DF" w14:textId="77777777" w:rsidR="008F0D4B" w:rsidRDefault="008F0D4B" w:rsidP="00C3559A">
      <w:pPr>
        <w:rPr>
          <w:rFonts w:ascii="Arial" w:hAnsi="Arial" w:cs="Arial"/>
          <w:b/>
          <w:bCs/>
          <w:sz w:val="24"/>
          <w:szCs w:val="24"/>
          <w:u w:val="single"/>
        </w:rPr>
      </w:pPr>
    </w:p>
    <w:p w14:paraId="20A13F2A" w14:textId="77777777" w:rsidR="008F0D4B" w:rsidRDefault="008F0D4B" w:rsidP="00C3559A">
      <w:pPr>
        <w:rPr>
          <w:rFonts w:ascii="Arial" w:hAnsi="Arial" w:cs="Arial"/>
          <w:b/>
          <w:bCs/>
          <w:sz w:val="24"/>
          <w:szCs w:val="24"/>
          <w:u w:val="single"/>
        </w:rPr>
      </w:pPr>
    </w:p>
    <w:p w14:paraId="715900A4" w14:textId="77777777" w:rsidR="008F0D4B" w:rsidRDefault="008F0D4B" w:rsidP="00C3559A">
      <w:pPr>
        <w:rPr>
          <w:rFonts w:ascii="Arial" w:hAnsi="Arial" w:cs="Arial"/>
          <w:b/>
          <w:bCs/>
          <w:sz w:val="24"/>
          <w:szCs w:val="24"/>
          <w:u w:val="single"/>
        </w:rPr>
      </w:pPr>
    </w:p>
    <w:p w14:paraId="3EAC9B07" w14:textId="77777777" w:rsidR="008F0D4B" w:rsidRDefault="008F0D4B" w:rsidP="00C3559A">
      <w:pPr>
        <w:rPr>
          <w:rFonts w:ascii="Arial" w:hAnsi="Arial" w:cs="Arial"/>
          <w:b/>
          <w:bCs/>
          <w:sz w:val="24"/>
          <w:szCs w:val="24"/>
          <w:u w:val="single"/>
        </w:rPr>
      </w:pPr>
    </w:p>
    <w:p w14:paraId="4885BF2B" w14:textId="77777777" w:rsidR="008F0D4B" w:rsidRDefault="008F0D4B" w:rsidP="00C3559A">
      <w:pPr>
        <w:rPr>
          <w:rFonts w:ascii="Arial" w:hAnsi="Arial" w:cs="Arial"/>
          <w:b/>
          <w:bCs/>
          <w:sz w:val="24"/>
          <w:szCs w:val="24"/>
          <w:u w:val="single"/>
        </w:rPr>
      </w:pPr>
    </w:p>
    <w:p w14:paraId="00AA1B20" w14:textId="77777777" w:rsidR="008F0D4B" w:rsidRDefault="008F0D4B" w:rsidP="00C3559A">
      <w:pPr>
        <w:rPr>
          <w:rFonts w:ascii="Arial" w:hAnsi="Arial" w:cs="Arial"/>
          <w:b/>
          <w:bCs/>
          <w:sz w:val="24"/>
          <w:szCs w:val="24"/>
          <w:u w:val="single"/>
        </w:rPr>
      </w:pPr>
    </w:p>
    <w:p w14:paraId="4B003EE4" w14:textId="77777777" w:rsidR="008F0D4B" w:rsidRDefault="008F0D4B" w:rsidP="00C3559A">
      <w:pPr>
        <w:rPr>
          <w:rFonts w:ascii="Arial" w:hAnsi="Arial" w:cs="Arial"/>
          <w:b/>
          <w:bCs/>
          <w:sz w:val="24"/>
          <w:szCs w:val="24"/>
          <w:u w:val="single"/>
        </w:rPr>
      </w:pPr>
    </w:p>
    <w:sdt>
      <w:sdtPr>
        <w:id w:val="-1495876937"/>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002C269B" w14:textId="3C3A27ED" w:rsidR="004C34B3" w:rsidRPr="000266D1" w:rsidRDefault="004C34B3" w:rsidP="00D75171">
          <w:pPr>
            <w:pStyle w:val="TOCHeading"/>
            <w:spacing w:line="360" w:lineRule="auto"/>
            <w:rPr>
              <w:rFonts w:ascii="Times New Roman" w:hAnsi="Times New Roman" w:cs="Times New Roman"/>
              <w:color w:val="auto"/>
              <w:sz w:val="24"/>
              <w:szCs w:val="24"/>
            </w:rPr>
          </w:pPr>
          <w:r w:rsidRPr="000266D1">
            <w:rPr>
              <w:rFonts w:ascii="Times New Roman" w:hAnsi="Times New Roman" w:cs="Times New Roman"/>
              <w:color w:val="auto"/>
              <w:sz w:val="24"/>
              <w:szCs w:val="24"/>
            </w:rPr>
            <w:t>Table of Contents</w:t>
          </w:r>
        </w:p>
        <w:p w14:paraId="7479B79A" w14:textId="47CB8B7A" w:rsidR="000266D1" w:rsidRDefault="004C34B3">
          <w:pPr>
            <w:pStyle w:val="TOC1"/>
            <w:tabs>
              <w:tab w:val="left" w:pos="660"/>
              <w:tab w:val="right" w:leader="dot" w:pos="9016"/>
            </w:tabs>
            <w:rPr>
              <w:rFonts w:asciiTheme="minorHAnsi" w:eastAsiaTheme="minorEastAsia" w:hAnsiTheme="minorHAnsi" w:cstheme="minorBidi"/>
              <w:noProof/>
              <w:sz w:val="22"/>
              <w:szCs w:val="22"/>
              <w:lang w:val="en-MY" w:eastAsia="en-MY"/>
            </w:rPr>
          </w:pPr>
          <w:r w:rsidRPr="000266D1">
            <w:rPr>
              <w:sz w:val="24"/>
              <w:szCs w:val="24"/>
            </w:rPr>
            <w:fldChar w:fldCharType="begin"/>
          </w:r>
          <w:r w:rsidRPr="000266D1">
            <w:rPr>
              <w:sz w:val="24"/>
              <w:szCs w:val="24"/>
            </w:rPr>
            <w:instrText xml:space="preserve"> TOC \o "1-3" \h \z \u </w:instrText>
          </w:r>
          <w:r w:rsidRPr="000266D1">
            <w:rPr>
              <w:sz w:val="24"/>
              <w:szCs w:val="24"/>
            </w:rPr>
            <w:fldChar w:fldCharType="separate"/>
          </w:r>
          <w:hyperlink w:anchor="_Toc129374536" w:history="1">
            <w:r w:rsidR="000266D1" w:rsidRPr="008419FA">
              <w:rPr>
                <w:rStyle w:val="Hyperlink"/>
                <w:rFonts w:eastAsiaTheme="majorEastAsia"/>
                <w:noProof/>
              </w:rPr>
              <w:t>(a)</w:t>
            </w:r>
            <w:r w:rsidR="000266D1">
              <w:rPr>
                <w:rFonts w:asciiTheme="minorHAnsi" w:eastAsiaTheme="minorEastAsia" w:hAnsiTheme="minorHAnsi" w:cstheme="minorBidi"/>
                <w:noProof/>
                <w:sz w:val="22"/>
                <w:szCs w:val="22"/>
                <w:lang w:val="en-MY" w:eastAsia="en-MY"/>
              </w:rPr>
              <w:tab/>
            </w:r>
            <w:r w:rsidR="000266D1" w:rsidRPr="008419FA">
              <w:rPr>
                <w:rStyle w:val="Hyperlink"/>
                <w:rFonts w:eastAsiaTheme="majorEastAsia"/>
                <w:noProof/>
              </w:rPr>
              <w:t>Introduction</w:t>
            </w:r>
            <w:r w:rsidR="000266D1">
              <w:rPr>
                <w:noProof/>
                <w:webHidden/>
              </w:rPr>
              <w:tab/>
            </w:r>
            <w:r w:rsidR="000266D1">
              <w:rPr>
                <w:noProof/>
                <w:webHidden/>
              </w:rPr>
              <w:fldChar w:fldCharType="begin"/>
            </w:r>
            <w:r w:rsidR="000266D1">
              <w:rPr>
                <w:noProof/>
                <w:webHidden/>
              </w:rPr>
              <w:instrText xml:space="preserve"> PAGEREF _Toc129374536 \h </w:instrText>
            </w:r>
            <w:r w:rsidR="000266D1">
              <w:rPr>
                <w:noProof/>
                <w:webHidden/>
              </w:rPr>
            </w:r>
            <w:r w:rsidR="000266D1">
              <w:rPr>
                <w:noProof/>
                <w:webHidden/>
              </w:rPr>
              <w:fldChar w:fldCharType="separate"/>
            </w:r>
            <w:r w:rsidR="000266D1">
              <w:rPr>
                <w:noProof/>
                <w:webHidden/>
              </w:rPr>
              <w:t>3</w:t>
            </w:r>
            <w:r w:rsidR="000266D1">
              <w:rPr>
                <w:noProof/>
                <w:webHidden/>
              </w:rPr>
              <w:fldChar w:fldCharType="end"/>
            </w:r>
          </w:hyperlink>
        </w:p>
        <w:p w14:paraId="7C8576CB" w14:textId="4C3918C4" w:rsidR="000266D1" w:rsidRDefault="000266D1">
          <w:pPr>
            <w:pStyle w:val="TOC1"/>
            <w:tabs>
              <w:tab w:val="left" w:pos="660"/>
              <w:tab w:val="right" w:leader="dot" w:pos="9016"/>
            </w:tabs>
            <w:rPr>
              <w:rFonts w:asciiTheme="minorHAnsi" w:eastAsiaTheme="minorEastAsia" w:hAnsiTheme="minorHAnsi" w:cstheme="minorBidi"/>
              <w:noProof/>
              <w:sz w:val="22"/>
              <w:szCs w:val="22"/>
              <w:lang w:val="en-MY" w:eastAsia="en-MY"/>
            </w:rPr>
          </w:pPr>
          <w:hyperlink w:anchor="_Toc129374537" w:history="1">
            <w:r w:rsidRPr="008419FA">
              <w:rPr>
                <w:rStyle w:val="Hyperlink"/>
                <w:rFonts w:eastAsiaTheme="majorEastAsia"/>
                <w:noProof/>
              </w:rPr>
              <w:t>(b)</w:t>
            </w:r>
            <w:r>
              <w:rPr>
                <w:rFonts w:asciiTheme="minorHAnsi" w:eastAsiaTheme="minorEastAsia" w:hAnsiTheme="minorHAnsi" w:cstheme="minorBidi"/>
                <w:noProof/>
                <w:sz w:val="22"/>
                <w:szCs w:val="22"/>
                <w:lang w:val="en-MY" w:eastAsia="en-MY"/>
              </w:rPr>
              <w:tab/>
            </w:r>
            <w:r w:rsidRPr="008419FA">
              <w:rPr>
                <w:rStyle w:val="Hyperlink"/>
                <w:rFonts w:eastAsiaTheme="majorEastAsia"/>
                <w:noProof/>
              </w:rPr>
              <w:t>Agreements made within a social or domestic context</w:t>
            </w:r>
            <w:r>
              <w:rPr>
                <w:noProof/>
                <w:webHidden/>
              </w:rPr>
              <w:tab/>
            </w:r>
            <w:r>
              <w:rPr>
                <w:noProof/>
                <w:webHidden/>
              </w:rPr>
              <w:fldChar w:fldCharType="begin"/>
            </w:r>
            <w:r>
              <w:rPr>
                <w:noProof/>
                <w:webHidden/>
              </w:rPr>
              <w:instrText xml:space="preserve"> PAGEREF _Toc129374537 \h </w:instrText>
            </w:r>
            <w:r>
              <w:rPr>
                <w:noProof/>
                <w:webHidden/>
              </w:rPr>
            </w:r>
            <w:r>
              <w:rPr>
                <w:noProof/>
                <w:webHidden/>
              </w:rPr>
              <w:fldChar w:fldCharType="separate"/>
            </w:r>
            <w:r>
              <w:rPr>
                <w:noProof/>
                <w:webHidden/>
              </w:rPr>
              <w:t>4</w:t>
            </w:r>
            <w:r>
              <w:rPr>
                <w:noProof/>
                <w:webHidden/>
              </w:rPr>
              <w:fldChar w:fldCharType="end"/>
            </w:r>
          </w:hyperlink>
        </w:p>
        <w:p w14:paraId="272B40A9" w14:textId="2BC220C1" w:rsidR="000266D1" w:rsidRDefault="000266D1">
          <w:pPr>
            <w:pStyle w:val="TOC2"/>
            <w:tabs>
              <w:tab w:val="left" w:pos="660"/>
              <w:tab w:val="right" w:leader="dot" w:pos="9016"/>
            </w:tabs>
            <w:rPr>
              <w:rFonts w:asciiTheme="minorHAnsi" w:eastAsiaTheme="minorEastAsia" w:hAnsiTheme="minorHAnsi" w:cstheme="minorBidi"/>
              <w:noProof/>
              <w:sz w:val="22"/>
              <w:szCs w:val="22"/>
              <w:lang w:val="en-MY" w:eastAsia="en-MY"/>
            </w:rPr>
          </w:pPr>
          <w:hyperlink w:anchor="_Toc129374538" w:history="1">
            <w:r w:rsidRPr="008419FA">
              <w:rPr>
                <w:rStyle w:val="Hyperlink"/>
                <w:rFonts w:eastAsiaTheme="majorEastAsia"/>
                <w:noProof/>
              </w:rPr>
              <w:t>(c)</w:t>
            </w:r>
            <w:r>
              <w:rPr>
                <w:rFonts w:asciiTheme="minorHAnsi" w:eastAsiaTheme="minorEastAsia" w:hAnsiTheme="minorHAnsi" w:cstheme="minorBidi"/>
                <w:noProof/>
                <w:sz w:val="22"/>
                <w:szCs w:val="22"/>
                <w:lang w:val="en-MY" w:eastAsia="en-MY"/>
              </w:rPr>
              <w:tab/>
            </w:r>
            <w:r w:rsidRPr="008419FA">
              <w:rPr>
                <w:rStyle w:val="Hyperlink"/>
                <w:rFonts w:eastAsiaTheme="majorEastAsia"/>
                <w:noProof/>
              </w:rPr>
              <w:t>Agreements made within a commercial/business context.</w:t>
            </w:r>
            <w:r>
              <w:rPr>
                <w:noProof/>
                <w:webHidden/>
              </w:rPr>
              <w:tab/>
            </w:r>
            <w:r>
              <w:rPr>
                <w:noProof/>
                <w:webHidden/>
              </w:rPr>
              <w:fldChar w:fldCharType="begin"/>
            </w:r>
            <w:r>
              <w:rPr>
                <w:noProof/>
                <w:webHidden/>
              </w:rPr>
              <w:instrText xml:space="preserve"> PAGEREF _Toc129374538 \h </w:instrText>
            </w:r>
            <w:r>
              <w:rPr>
                <w:noProof/>
                <w:webHidden/>
              </w:rPr>
            </w:r>
            <w:r>
              <w:rPr>
                <w:noProof/>
                <w:webHidden/>
              </w:rPr>
              <w:fldChar w:fldCharType="separate"/>
            </w:r>
            <w:r>
              <w:rPr>
                <w:noProof/>
                <w:webHidden/>
              </w:rPr>
              <w:t>5</w:t>
            </w:r>
            <w:r>
              <w:rPr>
                <w:noProof/>
                <w:webHidden/>
              </w:rPr>
              <w:fldChar w:fldCharType="end"/>
            </w:r>
          </w:hyperlink>
        </w:p>
        <w:p w14:paraId="415C5110" w14:textId="1C9630A8" w:rsidR="000266D1" w:rsidRDefault="000266D1">
          <w:pPr>
            <w:pStyle w:val="TOC3"/>
            <w:tabs>
              <w:tab w:val="left" w:pos="880"/>
              <w:tab w:val="right" w:leader="dot" w:pos="9016"/>
            </w:tabs>
            <w:rPr>
              <w:rFonts w:asciiTheme="minorHAnsi" w:eastAsiaTheme="minorEastAsia" w:hAnsiTheme="minorHAnsi" w:cstheme="minorBidi"/>
              <w:noProof/>
              <w:sz w:val="22"/>
              <w:szCs w:val="22"/>
              <w:lang w:val="en-MY" w:eastAsia="en-MY"/>
            </w:rPr>
          </w:pPr>
          <w:hyperlink w:anchor="_Toc129374539" w:history="1">
            <w:r w:rsidRPr="008419FA">
              <w:rPr>
                <w:rStyle w:val="Hyperlink"/>
                <w:rFonts w:eastAsiaTheme="majorEastAsia"/>
                <w:noProof/>
              </w:rPr>
              <w:t>(d)</w:t>
            </w:r>
            <w:r>
              <w:rPr>
                <w:rFonts w:asciiTheme="minorHAnsi" w:eastAsiaTheme="minorEastAsia" w:hAnsiTheme="minorHAnsi" w:cstheme="minorBidi"/>
                <w:noProof/>
                <w:sz w:val="22"/>
                <w:szCs w:val="22"/>
                <w:lang w:val="en-MY" w:eastAsia="en-MY"/>
              </w:rPr>
              <w:tab/>
            </w:r>
            <w:r w:rsidRPr="008419FA">
              <w:rPr>
                <w:rStyle w:val="Hyperlink"/>
                <w:rFonts w:eastAsiaTheme="majorEastAsia"/>
                <w:noProof/>
              </w:rPr>
              <w:t>Agreements made with public bodies or those which affect public interest:</w:t>
            </w:r>
            <w:r>
              <w:rPr>
                <w:noProof/>
                <w:webHidden/>
              </w:rPr>
              <w:tab/>
            </w:r>
            <w:r>
              <w:rPr>
                <w:noProof/>
                <w:webHidden/>
              </w:rPr>
              <w:fldChar w:fldCharType="begin"/>
            </w:r>
            <w:r>
              <w:rPr>
                <w:noProof/>
                <w:webHidden/>
              </w:rPr>
              <w:instrText xml:space="preserve"> PAGEREF _Toc129374539 \h </w:instrText>
            </w:r>
            <w:r>
              <w:rPr>
                <w:noProof/>
                <w:webHidden/>
              </w:rPr>
            </w:r>
            <w:r>
              <w:rPr>
                <w:noProof/>
                <w:webHidden/>
              </w:rPr>
              <w:fldChar w:fldCharType="separate"/>
            </w:r>
            <w:r>
              <w:rPr>
                <w:noProof/>
                <w:webHidden/>
              </w:rPr>
              <w:t>7</w:t>
            </w:r>
            <w:r>
              <w:rPr>
                <w:noProof/>
                <w:webHidden/>
              </w:rPr>
              <w:fldChar w:fldCharType="end"/>
            </w:r>
          </w:hyperlink>
        </w:p>
        <w:p w14:paraId="0D9E9919" w14:textId="33CFA7ED" w:rsidR="000266D1" w:rsidRDefault="000266D1">
          <w:pPr>
            <w:pStyle w:val="TOC1"/>
            <w:tabs>
              <w:tab w:val="right" w:leader="dot" w:pos="9016"/>
            </w:tabs>
            <w:rPr>
              <w:rFonts w:asciiTheme="minorHAnsi" w:eastAsiaTheme="minorEastAsia" w:hAnsiTheme="minorHAnsi" w:cstheme="minorBidi"/>
              <w:noProof/>
              <w:sz w:val="22"/>
              <w:szCs w:val="22"/>
              <w:lang w:val="en-MY" w:eastAsia="en-MY"/>
            </w:rPr>
          </w:pPr>
          <w:hyperlink w:anchor="_Toc129374540" w:history="1">
            <w:r w:rsidRPr="008419FA">
              <w:rPr>
                <w:rStyle w:val="Hyperlink"/>
                <w:rFonts w:eastAsiaTheme="majorEastAsia"/>
                <w:noProof/>
              </w:rPr>
              <w:t>(e) References</w:t>
            </w:r>
            <w:r>
              <w:rPr>
                <w:noProof/>
                <w:webHidden/>
              </w:rPr>
              <w:tab/>
            </w:r>
            <w:r>
              <w:rPr>
                <w:noProof/>
                <w:webHidden/>
              </w:rPr>
              <w:fldChar w:fldCharType="begin"/>
            </w:r>
            <w:r>
              <w:rPr>
                <w:noProof/>
                <w:webHidden/>
              </w:rPr>
              <w:instrText xml:space="preserve"> PAGEREF _Toc129374540 \h </w:instrText>
            </w:r>
            <w:r>
              <w:rPr>
                <w:noProof/>
                <w:webHidden/>
              </w:rPr>
            </w:r>
            <w:r>
              <w:rPr>
                <w:noProof/>
                <w:webHidden/>
              </w:rPr>
              <w:fldChar w:fldCharType="separate"/>
            </w:r>
            <w:r>
              <w:rPr>
                <w:noProof/>
                <w:webHidden/>
              </w:rPr>
              <w:t>8</w:t>
            </w:r>
            <w:r>
              <w:rPr>
                <w:noProof/>
                <w:webHidden/>
              </w:rPr>
              <w:fldChar w:fldCharType="end"/>
            </w:r>
          </w:hyperlink>
        </w:p>
        <w:p w14:paraId="38D1B2A5" w14:textId="18641619" w:rsidR="004C34B3" w:rsidRDefault="004C34B3" w:rsidP="00D75171">
          <w:pPr>
            <w:spacing w:line="360" w:lineRule="auto"/>
          </w:pPr>
          <w:r w:rsidRPr="000266D1">
            <w:rPr>
              <w:b/>
              <w:bCs/>
              <w:noProof/>
              <w:sz w:val="24"/>
              <w:szCs w:val="24"/>
            </w:rPr>
            <w:fldChar w:fldCharType="end"/>
          </w:r>
        </w:p>
      </w:sdtContent>
    </w:sdt>
    <w:p w14:paraId="06B0AC36" w14:textId="77777777" w:rsidR="008F0D4B" w:rsidRDefault="008F0D4B" w:rsidP="00C3559A">
      <w:pPr>
        <w:rPr>
          <w:rFonts w:ascii="Arial" w:hAnsi="Arial" w:cs="Arial"/>
          <w:b/>
          <w:bCs/>
          <w:sz w:val="24"/>
          <w:szCs w:val="24"/>
          <w:u w:val="single"/>
        </w:rPr>
      </w:pPr>
    </w:p>
    <w:p w14:paraId="0C986834" w14:textId="77777777" w:rsidR="008F0D4B" w:rsidRDefault="008F0D4B" w:rsidP="00C3559A">
      <w:pPr>
        <w:rPr>
          <w:rFonts w:ascii="Arial" w:hAnsi="Arial" w:cs="Arial"/>
          <w:b/>
          <w:bCs/>
          <w:sz w:val="24"/>
          <w:szCs w:val="24"/>
          <w:u w:val="single"/>
        </w:rPr>
      </w:pPr>
    </w:p>
    <w:p w14:paraId="7CE053BF" w14:textId="77777777" w:rsidR="008F0D4B" w:rsidRDefault="008F0D4B" w:rsidP="00C3559A">
      <w:pPr>
        <w:rPr>
          <w:rFonts w:ascii="Arial" w:hAnsi="Arial" w:cs="Arial"/>
          <w:b/>
          <w:bCs/>
          <w:sz w:val="24"/>
          <w:szCs w:val="24"/>
          <w:u w:val="single"/>
        </w:rPr>
      </w:pPr>
    </w:p>
    <w:p w14:paraId="3ED10EC1" w14:textId="77777777" w:rsidR="008F0D4B" w:rsidRDefault="008F0D4B" w:rsidP="00C3559A">
      <w:pPr>
        <w:rPr>
          <w:rFonts w:ascii="Arial" w:hAnsi="Arial" w:cs="Arial"/>
          <w:b/>
          <w:bCs/>
          <w:sz w:val="24"/>
          <w:szCs w:val="24"/>
          <w:u w:val="single"/>
        </w:rPr>
      </w:pPr>
    </w:p>
    <w:p w14:paraId="4A12BA6C" w14:textId="77777777" w:rsidR="008F0D4B" w:rsidRDefault="008F0D4B" w:rsidP="00C3559A">
      <w:pPr>
        <w:rPr>
          <w:rFonts w:ascii="Arial" w:hAnsi="Arial" w:cs="Arial"/>
          <w:b/>
          <w:bCs/>
          <w:sz w:val="24"/>
          <w:szCs w:val="24"/>
          <w:u w:val="single"/>
        </w:rPr>
      </w:pPr>
    </w:p>
    <w:p w14:paraId="05D57B21" w14:textId="77777777" w:rsidR="008F0D4B" w:rsidRDefault="008F0D4B" w:rsidP="00C3559A">
      <w:pPr>
        <w:rPr>
          <w:rFonts w:ascii="Arial" w:hAnsi="Arial" w:cs="Arial"/>
          <w:b/>
          <w:bCs/>
          <w:sz w:val="24"/>
          <w:szCs w:val="24"/>
          <w:u w:val="single"/>
        </w:rPr>
      </w:pPr>
    </w:p>
    <w:p w14:paraId="060A588B" w14:textId="77777777" w:rsidR="008F0D4B" w:rsidRDefault="008F0D4B" w:rsidP="00C3559A">
      <w:pPr>
        <w:rPr>
          <w:rFonts w:ascii="Arial" w:hAnsi="Arial" w:cs="Arial"/>
          <w:b/>
          <w:bCs/>
          <w:sz w:val="24"/>
          <w:szCs w:val="24"/>
          <w:u w:val="single"/>
        </w:rPr>
      </w:pPr>
    </w:p>
    <w:p w14:paraId="77FA56B7" w14:textId="77777777" w:rsidR="008F0D4B" w:rsidRDefault="008F0D4B" w:rsidP="00C3559A">
      <w:pPr>
        <w:rPr>
          <w:rFonts w:ascii="Arial" w:hAnsi="Arial" w:cs="Arial"/>
          <w:b/>
          <w:bCs/>
          <w:sz w:val="24"/>
          <w:szCs w:val="24"/>
          <w:u w:val="single"/>
        </w:rPr>
      </w:pPr>
    </w:p>
    <w:p w14:paraId="2599A7F7" w14:textId="77777777" w:rsidR="008F0D4B" w:rsidRDefault="008F0D4B" w:rsidP="00C3559A">
      <w:pPr>
        <w:rPr>
          <w:rFonts w:ascii="Arial" w:hAnsi="Arial" w:cs="Arial"/>
          <w:b/>
          <w:bCs/>
          <w:sz w:val="24"/>
          <w:szCs w:val="24"/>
          <w:u w:val="single"/>
        </w:rPr>
      </w:pPr>
    </w:p>
    <w:p w14:paraId="6DF52923" w14:textId="77777777" w:rsidR="008F0D4B" w:rsidRDefault="008F0D4B" w:rsidP="00C3559A">
      <w:pPr>
        <w:rPr>
          <w:rFonts w:ascii="Arial" w:hAnsi="Arial" w:cs="Arial"/>
          <w:b/>
          <w:bCs/>
          <w:sz w:val="24"/>
          <w:szCs w:val="24"/>
          <w:u w:val="single"/>
        </w:rPr>
      </w:pPr>
    </w:p>
    <w:p w14:paraId="0F347DD0" w14:textId="1CBCA837" w:rsidR="008F0D4B" w:rsidRDefault="008F0D4B" w:rsidP="00C3559A">
      <w:pPr>
        <w:rPr>
          <w:rFonts w:ascii="Arial" w:hAnsi="Arial" w:cs="Arial"/>
          <w:b/>
          <w:bCs/>
          <w:sz w:val="24"/>
          <w:szCs w:val="24"/>
          <w:u w:val="single"/>
        </w:rPr>
      </w:pPr>
    </w:p>
    <w:p w14:paraId="0C8DF830" w14:textId="3D76F160" w:rsidR="008F0D4B" w:rsidRDefault="008F0D4B" w:rsidP="00C3559A">
      <w:pPr>
        <w:rPr>
          <w:rFonts w:ascii="Arial" w:hAnsi="Arial" w:cs="Arial"/>
          <w:b/>
          <w:bCs/>
          <w:sz w:val="24"/>
          <w:szCs w:val="24"/>
          <w:u w:val="single"/>
        </w:rPr>
      </w:pPr>
    </w:p>
    <w:p w14:paraId="1716C299" w14:textId="5F342F70" w:rsidR="008F0D4B" w:rsidRDefault="008F0D4B" w:rsidP="00C3559A">
      <w:pPr>
        <w:rPr>
          <w:rFonts w:ascii="Arial" w:hAnsi="Arial" w:cs="Arial"/>
          <w:b/>
          <w:bCs/>
          <w:sz w:val="24"/>
          <w:szCs w:val="24"/>
          <w:u w:val="single"/>
        </w:rPr>
      </w:pPr>
    </w:p>
    <w:p w14:paraId="700CBCF1" w14:textId="33B960EA" w:rsidR="008F0D4B" w:rsidRDefault="008F0D4B" w:rsidP="00C3559A">
      <w:pPr>
        <w:rPr>
          <w:rFonts w:ascii="Arial" w:hAnsi="Arial" w:cs="Arial"/>
          <w:b/>
          <w:bCs/>
          <w:sz w:val="24"/>
          <w:szCs w:val="24"/>
          <w:u w:val="single"/>
        </w:rPr>
      </w:pPr>
    </w:p>
    <w:p w14:paraId="69C7B21E" w14:textId="528E4CF2" w:rsidR="008F0D4B" w:rsidRDefault="008F0D4B" w:rsidP="00C3559A">
      <w:pPr>
        <w:rPr>
          <w:rFonts w:ascii="Arial" w:hAnsi="Arial" w:cs="Arial"/>
          <w:b/>
          <w:bCs/>
          <w:sz w:val="24"/>
          <w:szCs w:val="24"/>
          <w:u w:val="single"/>
        </w:rPr>
      </w:pPr>
    </w:p>
    <w:p w14:paraId="382AD45A" w14:textId="5E2164DF" w:rsidR="0020343D" w:rsidRDefault="0020343D" w:rsidP="00C3559A">
      <w:pPr>
        <w:rPr>
          <w:rFonts w:ascii="Arial" w:hAnsi="Arial" w:cs="Arial"/>
          <w:b/>
          <w:bCs/>
          <w:sz w:val="24"/>
          <w:szCs w:val="24"/>
          <w:u w:val="single"/>
        </w:rPr>
      </w:pPr>
    </w:p>
    <w:p w14:paraId="4227B998" w14:textId="0907DC5B" w:rsidR="0020343D" w:rsidRDefault="0020343D" w:rsidP="00C3559A">
      <w:pPr>
        <w:rPr>
          <w:rFonts w:ascii="Arial" w:hAnsi="Arial" w:cs="Arial"/>
          <w:b/>
          <w:bCs/>
          <w:sz w:val="24"/>
          <w:szCs w:val="24"/>
          <w:u w:val="single"/>
        </w:rPr>
      </w:pPr>
    </w:p>
    <w:p w14:paraId="0D9D4443" w14:textId="65507077" w:rsidR="0020343D" w:rsidRDefault="0020343D" w:rsidP="00C3559A">
      <w:pPr>
        <w:rPr>
          <w:rFonts w:ascii="Arial" w:hAnsi="Arial" w:cs="Arial"/>
          <w:b/>
          <w:bCs/>
          <w:sz w:val="24"/>
          <w:szCs w:val="24"/>
          <w:u w:val="single"/>
        </w:rPr>
      </w:pPr>
    </w:p>
    <w:p w14:paraId="59F772ED" w14:textId="0500C4F2" w:rsidR="0020343D" w:rsidRDefault="0020343D" w:rsidP="00C3559A">
      <w:pPr>
        <w:rPr>
          <w:rFonts w:ascii="Arial" w:hAnsi="Arial" w:cs="Arial"/>
          <w:b/>
          <w:bCs/>
          <w:sz w:val="24"/>
          <w:szCs w:val="24"/>
          <w:u w:val="single"/>
        </w:rPr>
      </w:pPr>
    </w:p>
    <w:p w14:paraId="09901909" w14:textId="781D2CAF" w:rsidR="0020343D" w:rsidRDefault="0020343D" w:rsidP="00C3559A">
      <w:pPr>
        <w:rPr>
          <w:rFonts w:ascii="Arial" w:hAnsi="Arial" w:cs="Arial"/>
          <w:b/>
          <w:bCs/>
          <w:sz w:val="24"/>
          <w:szCs w:val="24"/>
          <w:u w:val="single"/>
        </w:rPr>
      </w:pPr>
    </w:p>
    <w:p w14:paraId="12481B2E" w14:textId="734772DF" w:rsidR="0020343D" w:rsidRDefault="0020343D" w:rsidP="00C3559A">
      <w:pPr>
        <w:rPr>
          <w:rFonts w:ascii="Arial" w:hAnsi="Arial" w:cs="Arial"/>
          <w:b/>
          <w:bCs/>
          <w:sz w:val="24"/>
          <w:szCs w:val="24"/>
          <w:u w:val="single"/>
        </w:rPr>
      </w:pPr>
    </w:p>
    <w:p w14:paraId="170ED9F0" w14:textId="2FCB88A8" w:rsidR="0020343D" w:rsidRDefault="0020343D" w:rsidP="00C3559A">
      <w:pPr>
        <w:rPr>
          <w:rFonts w:ascii="Arial" w:hAnsi="Arial" w:cs="Arial"/>
          <w:b/>
          <w:bCs/>
          <w:sz w:val="24"/>
          <w:szCs w:val="24"/>
          <w:u w:val="single"/>
        </w:rPr>
      </w:pPr>
    </w:p>
    <w:p w14:paraId="2E465EE9" w14:textId="5CB3EE3B" w:rsidR="0020343D" w:rsidRDefault="0020343D" w:rsidP="00C3559A">
      <w:pPr>
        <w:rPr>
          <w:rFonts w:ascii="Arial" w:hAnsi="Arial" w:cs="Arial"/>
          <w:b/>
          <w:bCs/>
          <w:sz w:val="24"/>
          <w:szCs w:val="24"/>
          <w:u w:val="single"/>
        </w:rPr>
      </w:pPr>
    </w:p>
    <w:p w14:paraId="7DC72240" w14:textId="5B79E2C4" w:rsidR="0020343D" w:rsidRDefault="0020343D" w:rsidP="00C3559A">
      <w:pPr>
        <w:rPr>
          <w:rFonts w:ascii="Arial" w:hAnsi="Arial" w:cs="Arial"/>
          <w:b/>
          <w:bCs/>
          <w:sz w:val="24"/>
          <w:szCs w:val="24"/>
          <w:u w:val="single"/>
        </w:rPr>
      </w:pPr>
    </w:p>
    <w:p w14:paraId="6DFD5A3C" w14:textId="2B7B9241" w:rsidR="0020343D" w:rsidRDefault="0020343D" w:rsidP="00C3559A">
      <w:pPr>
        <w:rPr>
          <w:rFonts w:ascii="Arial" w:hAnsi="Arial" w:cs="Arial"/>
          <w:b/>
          <w:bCs/>
          <w:sz w:val="24"/>
          <w:szCs w:val="24"/>
          <w:u w:val="single"/>
        </w:rPr>
      </w:pPr>
    </w:p>
    <w:p w14:paraId="3EA6952A" w14:textId="17B54606" w:rsidR="0020343D" w:rsidRDefault="0020343D" w:rsidP="00C3559A">
      <w:pPr>
        <w:rPr>
          <w:rFonts w:ascii="Arial" w:hAnsi="Arial" w:cs="Arial"/>
          <w:b/>
          <w:bCs/>
          <w:sz w:val="24"/>
          <w:szCs w:val="24"/>
          <w:u w:val="single"/>
        </w:rPr>
      </w:pPr>
    </w:p>
    <w:p w14:paraId="204C1EE3" w14:textId="2349A19D" w:rsidR="0020343D" w:rsidRDefault="0020343D" w:rsidP="00C3559A">
      <w:pPr>
        <w:rPr>
          <w:rFonts w:ascii="Arial" w:hAnsi="Arial" w:cs="Arial"/>
          <w:b/>
          <w:bCs/>
          <w:sz w:val="24"/>
          <w:szCs w:val="24"/>
          <w:u w:val="single"/>
        </w:rPr>
      </w:pPr>
    </w:p>
    <w:p w14:paraId="5AC9D1E2" w14:textId="0B85C0BE" w:rsidR="0020343D" w:rsidRDefault="0020343D" w:rsidP="00C3559A">
      <w:pPr>
        <w:rPr>
          <w:rFonts w:ascii="Arial" w:hAnsi="Arial" w:cs="Arial"/>
          <w:b/>
          <w:bCs/>
          <w:sz w:val="24"/>
          <w:szCs w:val="24"/>
          <w:u w:val="single"/>
        </w:rPr>
      </w:pPr>
    </w:p>
    <w:p w14:paraId="253FF33F" w14:textId="21637089" w:rsidR="0020343D" w:rsidRDefault="0020343D" w:rsidP="00C3559A">
      <w:pPr>
        <w:rPr>
          <w:rFonts w:ascii="Arial" w:hAnsi="Arial" w:cs="Arial"/>
          <w:b/>
          <w:bCs/>
          <w:sz w:val="24"/>
          <w:szCs w:val="24"/>
          <w:u w:val="single"/>
        </w:rPr>
      </w:pPr>
    </w:p>
    <w:p w14:paraId="7EE0F788" w14:textId="17850C5A" w:rsidR="0020343D" w:rsidRDefault="0020343D" w:rsidP="00C3559A">
      <w:pPr>
        <w:rPr>
          <w:rFonts w:ascii="Arial" w:hAnsi="Arial" w:cs="Arial"/>
          <w:b/>
          <w:bCs/>
          <w:sz w:val="24"/>
          <w:szCs w:val="24"/>
          <w:u w:val="single"/>
        </w:rPr>
      </w:pPr>
    </w:p>
    <w:p w14:paraId="66379A8E" w14:textId="7E312CD2" w:rsidR="0020343D" w:rsidRDefault="0020343D" w:rsidP="00C3559A">
      <w:pPr>
        <w:rPr>
          <w:rFonts w:ascii="Arial" w:hAnsi="Arial" w:cs="Arial"/>
          <w:b/>
          <w:bCs/>
          <w:sz w:val="24"/>
          <w:szCs w:val="24"/>
          <w:u w:val="single"/>
        </w:rPr>
      </w:pPr>
    </w:p>
    <w:p w14:paraId="3F91826E" w14:textId="4C457F77" w:rsidR="0020343D" w:rsidRDefault="0020343D" w:rsidP="00C3559A">
      <w:pPr>
        <w:rPr>
          <w:rFonts w:ascii="Arial" w:hAnsi="Arial" w:cs="Arial"/>
          <w:b/>
          <w:bCs/>
          <w:sz w:val="24"/>
          <w:szCs w:val="24"/>
          <w:u w:val="single"/>
        </w:rPr>
      </w:pPr>
    </w:p>
    <w:p w14:paraId="2137D957" w14:textId="7699A1AA" w:rsidR="0020343D" w:rsidRDefault="0020343D" w:rsidP="00C3559A">
      <w:pPr>
        <w:rPr>
          <w:rFonts w:ascii="Arial" w:hAnsi="Arial" w:cs="Arial"/>
          <w:b/>
          <w:bCs/>
          <w:sz w:val="24"/>
          <w:szCs w:val="24"/>
          <w:u w:val="single"/>
        </w:rPr>
      </w:pPr>
    </w:p>
    <w:p w14:paraId="7EDBE666" w14:textId="18FC3D60" w:rsidR="0020343D" w:rsidRDefault="0020343D" w:rsidP="00C3559A">
      <w:pPr>
        <w:rPr>
          <w:rFonts w:ascii="Arial" w:hAnsi="Arial" w:cs="Arial"/>
          <w:b/>
          <w:bCs/>
          <w:sz w:val="24"/>
          <w:szCs w:val="24"/>
          <w:u w:val="single"/>
        </w:rPr>
      </w:pPr>
    </w:p>
    <w:p w14:paraId="1FCB486B" w14:textId="2E3780F0" w:rsidR="00FE3985" w:rsidRDefault="00FE3985" w:rsidP="00C3559A">
      <w:pPr>
        <w:rPr>
          <w:rFonts w:ascii="Arial" w:hAnsi="Arial" w:cs="Arial"/>
          <w:b/>
          <w:bCs/>
          <w:sz w:val="24"/>
          <w:szCs w:val="24"/>
          <w:u w:val="single"/>
        </w:rPr>
      </w:pPr>
    </w:p>
    <w:p w14:paraId="225A35C1" w14:textId="79CCFA49" w:rsidR="000266D1" w:rsidRDefault="000266D1" w:rsidP="00C3559A">
      <w:pPr>
        <w:rPr>
          <w:rFonts w:ascii="Arial" w:hAnsi="Arial" w:cs="Arial"/>
          <w:b/>
          <w:bCs/>
          <w:sz w:val="24"/>
          <w:szCs w:val="24"/>
          <w:u w:val="single"/>
        </w:rPr>
      </w:pPr>
    </w:p>
    <w:p w14:paraId="47AAC62B" w14:textId="7D813F00" w:rsidR="000266D1" w:rsidRDefault="000266D1" w:rsidP="00C3559A">
      <w:pPr>
        <w:rPr>
          <w:rFonts w:ascii="Arial" w:hAnsi="Arial" w:cs="Arial"/>
          <w:b/>
          <w:bCs/>
          <w:sz w:val="24"/>
          <w:szCs w:val="24"/>
          <w:u w:val="single"/>
        </w:rPr>
      </w:pPr>
    </w:p>
    <w:p w14:paraId="625AEBF8" w14:textId="551B646E" w:rsidR="000266D1" w:rsidRDefault="000266D1" w:rsidP="00C3559A">
      <w:pPr>
        <w:rPr>
          <w:rFonts w:ascii="Arial" w:hAnsi="Arial" w:cs="Arial"/>
          <w:b/>
          <w:bCs/>
          <w:sz w:val="24"/>
          <w:szCs w:val="24"/>
          <w:u w:val="single"/>
        </w:rPr>
      </w:pPr>
    </w:p>
    <w:p w14:paraId="16E8B9EA" w14:textId="77777777" w:rsidR="000266D1" w:rsidRDefault="000266D1" w:rsidP="00C3559A">
      <w:pPr>
        <w:rPr>
          <w:rFonts w:ascii="Arial" w:hAnsi="Arial" w:cs="Arial"/>
          <w:b/>
          <w:bCs/>
          <w:sz w:val="24"/>
          <w:szCs w:val="24"/>
          <w:u w:val="single"/>
        </w:rPr>
      </w:pPr>
    </w:p>
    <w:p w14:paraId="7F9CC94E" w14:textId="77777777" w:rsidR="00FE3985" w:rsidRDefault="00FE3985" w:rsidP="00C3559A">
      <w:pPr>
        <w:rPr>
          <w:rFonts w:ascii="Arial" w:hAnsi="Arial" w:cs="Arial"/>
          <w:b/>
          <w:bCs/>
          <w:sz w:val="24"/>
          <w:szCs w:val="24"/>
          <w:u w:val="single"/>
        </w:rPr>
      </w:pPr>
    </w:p>
    <w:p w14:paraId="52978655" w14:textId="32A36801" w:rsidR="008F0D4B" w:rsidRDefault="008F0D4B" w:rsidP="00C3559A">
      <w:pPr>
        <w:rPr>
          <w:rFonts w:ascii="Arial" w:hAnsi="Arial" w:cs="Arial"/>
          <w:b/>
          <w:bCs/>
          <w:sz w:val="24"/>
          <w:szCs w:val="24"/>
          <w:u w:val="single"/>
        </w:rPr>
      </w:pPr>
    </w:p>
    <w:p w14:paraId="304E0EC4" w14:textId="1C5D7865" w:rsidR="00967C09" w:rsidRDefault="00967C09" w:rsidP="00967C09">
      <w:pPr>
        <w:jc w:val="center"/>
        <w:rPr>
          <w:rFonts w:ascii="Arial" w:hAnsi="Arial" w:cs="Arial"/>
          <w:b/>
          <w:bCs/>
          <w:sz w:val="24"/>
          <w:szCs w:val="24"/>
        </w:rPr>
      </w:pPr>
      <w:r>
        <w:rPr>
          <w:rFonts w:ascii="Arial" w:hAnsi="Arial" w:cs="Arial"/>
          <w:b/>
          <w:bCs/>
          <w:sz w:val="24"/>
          <w:szCs w:val="24"/>
        </w:rPr>
        <w:lastRenderedPageBreak/>
        <w:t xml:space="preserve">Contract Law Assignment </w:t>
      </w:r>
    </w:p>
    <w:p w14:paraId="23297EE4" w14:textId="77777777" w:rsidR="00967C09" w:rsidRDefault="00967C09" w:rsidP="007B5846">
      <w:pPr>
        <w:ind w:left="720"/>
        <w:rPr>
          <w:rFonts w:ascii="Arial" w:hAnsi="Arial" w:cs="Arial"/>
          <w:b/>
          <w:bCs/>
          <w:sz w:val="24"/>
          <w:szCs w:val="24"/>
        </w:rPr>
      </w:pPr>
    </w:p>
    <w:p w14:paraId="57B5DD8C" w14:textId="057509A4" w:rsidR="003708D0" w:rsidRPr="00AC58BC" w:rsidRDefault="004C34B3" w:rsidP="004C34B3">
      <w:pPr>
        <w:pStyle w:val="Heading1"/>
        <w:numPr>
          <w:ilvl w:val="0"/>
          <w:numId w:val="11"/>
        </w:numPr>
        <w:rPr>
          <w:rFonts w:ascii="Times New Roman" w:hAnsi="Times New Roman" w:cs="Times New Roman"/>
          <w:color w:val="auto"/>
          <w:u w:val="single"/>
        </w:rPr>
      </w:pPr>
      <w:r>
        <w:rPr>
          <w:rFonts w:ascii="Times New Roman" w:hAnsi="Times New Roman" w:cs="Times New Roman"/>
          <w:color w:val="auto"/>
        </w:rPr>
        <w:t xml:space="preserve"> </w:t>
      </w:r>
      <w:bookmarkStart w:id="0" w:name="_Toc129374536"/>
      <w:r w:rsidR="003708D0" w:rsidRPr="00AC58BC">
        <w:rPr>
          <w:rFonts w:ascii="Times New Roman" w:hAnsi="Times New Roman" w:cs="Times New Roman"/>
          <w:color w:val="auto"/>
          <w:u w:val="single"/>
        </w:rPr>
        <w:t>Introduction</w:t>
      </w:r>
      <w:bookmarkEnd w:id="0"/>
    </w:p>
    <w:p w14:paraId="0D8AD967" w14:textId="77777777" w:rsidR="004C34B3" w:rsidRPr="004C34B3" w:rsidRDefault="004C34B3" w:rsidP="004C34B3"/>
    <w:p w14:paraId="0B57FD59" w14:textId="28318F95" w:rsidR="0040155C" w:rsidRDefault="00920258" w:rsidP="00967C09">
      <w:pPr>
        <w:spacing w:line="360" w:lineRule="auto"/>
        <w:jc w:val="both"/>
        <w:rPr>
          <w:sz w:val="24"/>
          <w:szCs w:val="24"/>
        </w:rPr>
      </w:pPr>
      <w:r w:rsidRPr="00967C09">
        <w:rPr>
          <w:sz w:val="24"/>
          <w:szCs w:val="24"/>
        </w:rPr>
        <w:t xml:space="preserve">One of the contract's aspects is the intention to create legal ties </w:t>
      </w:r>
      <w:r w:rsidR="00DC488D" w:rsidRPr="00967C09">
        <w:rPr>
          <w:sz w:val="24"/>
          <w:szCs w:val="24"/>
        </w:rPr>
        <w:t xml:space="preserve">information that must be </w:t>
      </w:r>
      <w:r w:rsidRPr="00967C09">
        <w:rPr>
          <w:sz w:val="24"/>
          <w:szCs w:val="24"/>
        </w:rPr>
        <w:t xml:space="preserve">can include </w:t>
      </w:r>
      <w:r w:rsidR="00DC488D" w:rsidRPr="00967C09">
        <w:rPr>
          <w:sz w:val="24"/>
          <w:szCs w:val="24"/>
        </w:rPr>
        <w:t xml:space="preserve">in order to make a </w:t>
      </w:r>
      <w:r w:rsidR="00731AE4">
        <w:rPr>
          <w:sz w:val="24"/>
          <w:szCs w:val="24"/>
        </w:rPr>
        <w:t>contract is to</w:t>
      </w:r>
      <w:r w:rsidR="0020343D" w:rsidRPr="0020343D">
        <w:rPr>
          <w:sz w:val="24"/>
          <w:szCs w:val="24"/>
        </w:rPr>
        <w:t xml:space="preserve"> </w:t>
      </w:r>
      <w:r w:rsidR="000266D1" w:rsidRPr="000266D1">
        <w:rPr>
          <w:sz w:val="24"/>
          <w:szCs w:val="24"/>
        </w:rPr>
        <w:t>ensuring that all contract parties have the essential intent to enter into the deal</w:t>
      </w:r>
      <w:r w:rsidR="000266D1" w:rsidRPr="000266D1">
        <w:rPr>
          <w:sz w:val="24"/>
          <w:szCs w:val="24"/>
        </w:rPr>
        <w:t xml:space="preserve"> </w:t>
      </w:r>
      <w:r w:rsidR="0020343D" w:rsidRPr="0020343D">
        <w:rPr>
          <w:sz w:val="24"/>
          <w:szCs w:val="24"/>
        </w:rPr>
        <w:t xml:space="preserve">a legally binding </w:t>
      </w:r>
      <w:r w:rsidR="0040155C" w:rsidRPr="0020343D">
        <w:rPr>
          <w:sz w:val="24"/>
          <w:szCs w:val="24"/>
        </w:rPr>
        <w:t>contract</w:t>
      </w:r>
      <w:r w:rsidR="0040155C">
        <w:rPr>
          <w:sz w:val="24"/>
          <w:szCs w:val="24"/>
        </w:rPr>
        <w:t>.</w:t>
      </w:r>
      <w:r w:rsidR="0040155C" w:rsidRPr="00877015">
        <w:rPr>
          <w:sz w:val="24"/>
          <w:szCs w:val="24"/>
        </w:rPr>
        <w:t xml:space="preserve"> It</w:t>
      </w:r>
      <w:r w:rsidR="00877015" w:rsidRPr="00877015">
        <w:rPr>
          <w:sz w:val="24"/>
          <w:szCs w:val="24"/>
        </w:rPr>
        <w:t xml:space="preserve"> is important for the courts to discover a purpose to create legal relations because it determining whether there is legal intent is whether a reasonable person would see the agreement as intended to be legally binding</w:t>
      </w:r>
      <w:r w:rsidR="0020343D" w:rsidRPr="0020343D">
        <w:rPr>
          <w:sz w:val="24"/>
          <w:szCs w:val="24"/>
        </w:rPr>
        <w:t>.</w:t>
      </w:r>
      <w:r w:rsidR="00731AE4">
        <w:rPr>
          <w:sz w:val="24"/>
          <w:szCs w:val="24"/>
        </w:rPr>
        <w:t xml:space="preserve"> </w:t>
      </w:r>
    </w:p>
    <w:p w14:paraId="719683B7" w14:textId="77777777" w:rsidR="0040155C" w:rsidRDefault="0040155C" w:rsidP="00967C09">
      <w:pPr>
        <w:spacing w:line="360" w:lineRule="auto"/>
        <w:jc w:val="both"/>
        <w:rPr>
          <w:sz w:val="24"/>
          <w:szCs w:val="24"/>
        </w:rPr>
      </w:pPr>
    </w:p>
    <w:p w14:paraId="03B9FBEC" w14:textId="571CDFD1" w:rsidR="00711CA4" w:rsidRPr="00967C09" w:rsidRDefault="00731AE4" w:rsidP="00967C09">
      <w:pPr>
        <w:spacing w:line="360" w:lineRule="auto"/>
        <w:jc w:val="both"/>
        <w:rPr>
          <w:sz w:val="24"/>
          <w:szCs w:val="24"/>
        </w:rPr>
      </w:pPr>
      <w:r>
        <w:rPr>
          <w:sz w:val="24"/>
          <w:szCs w:val="24"/>
        </w:rPr>
        <w:t>A person</w:t>
      </w:r>
      <w:r w:rsidR="00B03148" w:rsidRPr="00967C09">
        <w:rPr>
          <w:sz w:val="24"/>
          <w:szCs w:val="24"/>
        </w:rPr>
        <w:t xml:space="preserve"> might have promised to meet a buddy in a café, for instance. </w:t>
      </w:r>
      <w:r>
        <w:rPr>
          <w:sz w:val="24"/>
          <w:szCs w:val="24"/>
        </w:rPr>
        <w:t>he</w:t>
      </w:r>
      <w:r w:rsidR="00B03148" w:rsidRPr="00967C09">
        <w:rPr>
          <w:sz w:val="24"/>
          <w:szCs w:val="24"/>
        </w:rPr>
        <w:t xml:space="preserve"> might have a moral need to follow through on that vow, but it is not a requirement under the law. This is so that the law can more accurately represent the interests of the parties </w:t>
      </w:r>
      <w:r w:rsidR="0040155C">
        <w:rPr>
          <w:sz w:val="24"/>
          <w:szCs w:val="24"/>
        </w:rPr>
        <w:t>since</w:t>
      </w:r>
      <w:r w:rsidR="00B03148" w:rsidRPr="00967C09">
        <w:rPr>
          <w:sz w:val="24"/>
          <w:szCs w:val="24"/>
        </w:rPr>
        <w:t xml:space="preserve">, in general, my buddy and I do not wish to be bound by such agreements. This example case is relevant to </w:t>
      </w:r>
      <w:r w:rsidR="00B03148" w:rsidRPr="004C34B3">
        <w:rPr>
          <w:sz w:val="24"/>
          <w:szCs w:val="24"/>
        </w:rPr>
        <w:t>Blue v. Ashley (2017)</w:t>
      </w:r>
      <w:r w:rsidR="0040155C" w:rsidRPr="004C34B3">
        <w:rPr>
          <w:sz w:val="24"/>
          <w:szCs w:val="24"/>
        </w:rPr>
        <w:t xml:space="preserve"> the</w:t>
      </w:r>
      <w:r w:rsidR="0040155C">
        <w:rPr>
          <w:sz w:val="24"/>
          <w:szCs w:val="24"/>
        </w:rPr>
        <w:t xml:space="preserve"> court held that an agreement is not binding because though supported by consideration but it was made without any intention of creating legal relations (Lexis Nexis, 2022).</w:t>
      </w:r>
    </w:p>
    <w:p w14:paraId="5D077A40" w14:textId="77777777" w:rsidR="0040155C" w:rsidRDefault="0040155C" w:rsidP="00967C09">
      <w:pPr>
        <w:spacing w:line="360" w:lineRule="auto"/>
        <w:jc w:val="both"/>
        <w:rPr>
          <w:sz w:val="24"/>
          <w:szCs w:val="24"/>
        </w:rPr>
      </w:pPr>
    </w:p>
    <w:p w14:paraId="7204F648" w14:textId="124ADCDB" w:rsidR="00822414" w:rsidRPr="00967C09" w:rsidRDefault="00DC488D" w:rsidP="00967C09">
      <w:pPr>
        <w:spacing w:line="360" w:lineRule="auto"/>
        <w:jc w:val="both"/>
        <w:rPr>
          <w:sz w:val="24"/>
          <w:szCs w:val="24"/>
        </w:rPr>
      </w:pPr>
      <w:r w:rsidRPr="00967C09">
        <w:rPr>
          <w:sz w:val="24"/>
          <w:szCs w:val="24"/>
        </w:rPr>
        <w:t xml:space="preserve">In legal terms, the presumption of law refers to </w:t>
      </w:r>
      <w:r w:rsidR="00521EDE" w:rsidRPr="00967C09">
        <w:rPr>
          <w:sz w:val="24"/>
          <w:szCs w:val="24"/>
        </w:rPr>
        <w:t xml:space="preserve">rather than being evidentiary rules, substantive law rules can either be irreversible which is no evidence to the contrary can be shown or rebuttable. </w:t>
      </w:r>
      <w:r w:rsidRPr="00967C09">
        <w:rPr>
          <w:sz w:val="24"/>
          <w:szCs w:val="24"/>
        </w:rPr>
        <w:t>A rebuttable presumption is a legal rule that, in the absence of contradictory evidence, can lead to a ruling on a specific issue in favour of the party that establishes or relies on it unless it is rebutted. It might be statutory or common law, and it can impose a persuasive or evidentiary burden on the party seeking to refute the presumption.</w:t>
      </w:r>
    </w:p>
    <w:p w14:paraId="0E979784" w14:textId="689C5694" w:rsidR="00DC488D" w:rsidRPr="00967C09" w:rsidRDefault="00DC488D" w:rsidP="00967C09">
      <w:pPr>
        <w:spacing w:line="360" w:lineRule="auto"/>
        <w:rPr>
          <w:sz w:val="24"/>
          <w:szCs w:val="24"/>
        </w:rPr>
      </w:pPr>
    </w:p>
    <w:p w14:paraId="50B24B60" w14:textId="7930F356" w:rsidR="00DC488D" w:rsidRDefault="00DC488D" w:rsidP="00D75171">
      <w:pPr>
        <w:spacing w:line="360" w:lineRule="auto"/>
        <w:jc w:val="both"/>
        <w:rPr>
          <w:sz w:val="24"/>
          <w:szCs w:val="24"/>
        </w:rPr>
      </w:pPr>
    </w:p>
    <w:p w14:paraId="65F42652" w14:textId="626F1032" w:rsidR="000266D1" w:rsidRDefault="000266D1" w:rsidP="00D75171">
      <w:pPr>
        <w:spacing w:line="360" w:lineRule="auto"/>
        <w:jc w:val="both"/>
        <w:rPr>
          <w:sz w:val="24"/>
          <w:szCs w:val="24"/>
        </w:rPr>
      </w:pPr>
    </w:p>
    <w:p w14:paraId="59CD4A65" w14:textId="4D1698B0" w:rsidR="000266D1" w:rsidRDefault="000266D1" w:rsidP="00D75171">
      <w:pPr>
        <w:spacing w:line="360" w:lineRule="auto"/>
        <w:jc w:val="both"/>
        <w:rPr>
          <w:sz w:val="24"/>
          <w:szCs w:val="24"/>
        </w:rPr>
      </w:pPr>
    </w:p>
    <w:p w14:paraId="76EC84E1" w14:textId="45BAB010" w:rsidR="000266D1" w:rsidRDefault="000266D1" w:rsidP="00D75171">
      <w:pPr>
        <w:spacing w:line="360" w:lineRule="auto"/>
        <w:jc w:val="both"/>
        <w:rPr>
          <w:sz w:val="24"/>
          <w:szCs w:val="24"/>
        </w:rPr>
      </w:pPr>
    </w:p>
    <w:p w14:paraId="26013426" w14:textId="61F56E07" w:rsidR="000266D1" w:rsidRDefault="000266D1" w:rsidP="00D75171">
      <w:pPr>
        <w:spacing w:line="360" w:lineRule="auto"/>
        <w:jc w:val="both"/>
        <w:rPr>
          <w:sz w:val="24"/>
          <w:szCs w:val="24"/>
        </w:rPr>
      </w:pPr>
    </w:p>
    <w:p w14:paraId="1F8AE12E" w14:textId="7FEA267D" w:rsidR="000266D1" w:rsidRDefault="000266D1" w:rsidP="00D75171">
      <w:pPr>
        <w:spacing w:line="360" w:lineRule="auto"/>
        <w:jc w:val="both"/>
        <w:rPr>
          <w:sz w:val="24"/>
          <w:szCs w:val="24"/>
        </w:rPr>
      </w:pPr>
    </w:p>
    <w:p w14:paraId="54D38052" w14:textId="5F88246A" w:rsidR="000266D1" w:rsidRDefault="000266D1" w:rsidP="00D75171">
      <w:pPr>
        <w:spacing w:line="360" w:lineRule="auto"/>
        <w:jc w:val="both"/>
        <w:rPr>
          <w:sz w:val="24"/>
          <w:szCs w:val="24"/>
        </w:rPr>
      </w:pPr>
    </w:p>
    <w:p w14:paraId="04E9D166" w14:textId="77777777" w:rsidR="000266D1" w:rsidRPr="00967C09" w:rsidRDefault="000266D1" w:rsidP="00D75171">
      <w:pPr>
        <w:spacing w:line="360" w:lineRule="auto"/>
        <w:jc w:val="both"/>
        <w:rPr>
          <w:sz w:val="24"/>
          <w:szCs w:val="24"/>
        </w:rPr>
      </w:pPr>
    </w:p>
    <w:p w14:paraId="1E41B79B" w14:textId="61542CAA" w:rsidR="006D0C89" w:rsidRPr="000266D1" w:rsidRDefault="006D0C89" w:rsidP="000266D1">
      <w:pPr>
        <w:pStyle w:val="Heading1"/>
        <w:numPr>
          <w:ilvl w:val="0"/>
          <w:numId w:val="11"/>
        </w:numPr>
        <w:rPr>
          <w:rFonts w:ascii="Times New Roman" w:hAnsi="Times New Roman" w:cs="Times New Roman"/>
          <w:color w:val="auto"/>
        </w:rPr>
      </w:pPr>
      <w:bookmarkStart w:id="1" w:name="_Toc129374537"/>
      <w:r w:rsidRPr="000266D1">
        <w:rPr>
          <w:rFonts w:ascii="Times New Roman" w:hAnsi="Times New Roman" w:cs="Times New Roman"/>
          <w:color w:val="auto"/>
        </w:rPr>
        <w:lastRenderedPageBreak/>
        <w:t>Agreements made within a social or domestic context</w:t>
      </w:r>
      <w:bookmarkEnd w:id="1"/>
    </w:p>
    <w:p w14:paraId="054D5E63" w14:textId="77777777" w:rsidR="00122C7D" w:rsidRPr="00967C09" w:rsidRDefault="00122C7D" w:rsidP="00967C09">
      <w:pPr>
        <w:spacing w:line="360" w:lineRule="auto"/>
        <w:rPr>
          <w:sz w:val="24"/>
          <w:szCs w:val="24"/>
        </w:rPr>
      </w:pPr>
    </w:p>
    <w:p w14:paraId="08D7B3BD" w14:textId="4729EBB4" w:rsidR="00E737B5" w:rsidRDefault="00D75171" w:rsidP="00967C09">
      <w:pPr>
        <w:spacing w:line="360" w:lineRule="auto"/>
        <w:jc w:val="both"/>
        <w:rPr>
          <w:sz w:val="24"/>
          <w:szCs w:val="24"/>
        </w:rPr>
      </w:pPr>
      <w:r w:rsidRPr="00D75171">
        <w:rPr>
          <w:sz w:val="24"/>
          <w:szCs w:val="24"/>
        </w:rPr>
        <w:t xml:space="preserve">Each contracting party must have the required purpose to engage </w:t>
      </w:r>
      <w:r w:rsidR="00E97023">
        <w:rPr>
          <w:sz w:val="24"/>
          <w:szCs w:val="24"/>
        </w:rPr>
        <w:t>in</w:t>
      </w:r>
      <w:r w:rsidRPr="00D75171">
        <w:rPr>
          <w:sz w:val="24"/>
          <w:szCs w:val="24"/>
        </w:rPr>
        <w:t xml:space="preserve"> a binding agreement in order to create legal relations.</w:t>
      </w:r>
      <w:r w:rsidRPr="00D75171">
        <w:t xml:space="preserve"> </w:t>
      </w:r>
      <w:r w:rsidRPr="00D75171">
        <w:rPr>
          <w:sz w:val="24"/>
          <w:szCs w:val="24"/>
        </w:rPr>
        <w:t xml:space="preserve">In social and domestic agreements, the law presumes that the parties do not intend to form legal </w:t>
      </w:r>
      <w:r w:rsidR="0063235E">
        <w:rPr>
          <w:sz w:val="24"/>
          <w:szCs w:val="24"/>
        </w:rPr>
        <w:t>relations</w:t>
      </w:r>
      <w:r w:rsidRPr="00D75171">
        <w:rPr>
          <w:sz w:val="24"/>
          <w:szCs w:val="24"/>
        </w:rPr>
        <w:t>.</w:t>
      </w:r>
      <w:r w:rsidR="00DC488D" w:rsidRPr="00967C09">
        <w:rPr>
          <w:sz w:val="24"/>
          <w:szCs w:val="24"/>
        </w:rPr>
        <w:t xml:space="preserve"> Based on </w:t>
      </w:r>
      <w:r w:rsidR="00DC488D" w:rsidRPr="004C34B3">
        <w:rPr>
          <w:sz w:val="24"/>
          <w:szCs w:val="24"/>
        </w:rPr>
        <w:t xml:space="preserve">Balfour v </w:t>
      </w:r>
      <w:r w:rsidR="006F1A81" w:rsidRPr="004C34B3">
        <w:rPr>
          <w:sz w:val="24"/>
          <w:szCs w:val="24"/>
        </w:rPr>
        <w:t>Balfour’s</w:t>
      </w:r>
      <w:r w:rsidR="00DC488D" w:rsidRPr="004C34B3">
        <w:rPr>
          <w:sz w:val="24"/>
          <w:szCs w:val="24"/>
        </w:rPr>
        <w:t xml:space="preserve"> (1919)</w:t>
      </w:r>
      <w:r w:rsidR="00DC488D" w:rsidRPr="00967C09">
        <w:rPr>
          <w:sz w:val="24"/>
          <w:szCs w:val="24"/>
        </w:rPr>
        <w:t xml:space="preserve"> case studies, there is a presumption against the desire to form legal ties in the framework of marriage. </w:t>
      </w:r>
      <w:r w:rsidR="00521EDE" w:rsidRPr="00967C09">
        <w:rPr>
          <w:sz w:val="24"/>
          <w:szCs w:val="24"/>
        </w:rPr>
        <w:t xml:space="preserve">A husband who had a job overseas agreed to pay his wife maintenance. The agreement was made when the couple had a happy marriage. The husband finally separated from the wife, and the payments ceased. The wife </w:t>
      </w:r>
      <w:proofErr w:type="gramStart"/>
      <w:r w:rsidR="00521EDE" w:rsidRPr="00967C09">
        <w:rPr>
          <w:sz w:val="24"/>
          <w:szCs w:val="24"/>
        </w:rPr>
        <w:t>made an effort</w:t>
      </w:r>
      <w:proofErr w:type="gramEnd"/>
      <w:r w:rsidR="00521EDE" w:rsidRPr="00967C09">
        <w:rPr>
          <w:sz w:val="24"/>
          <w:szCs w:val="24"/>
        </w:rPr>
        <w:t xml:space="preserve"> to enforce the contract. </w:t>
      </w:r>
      <w:r w:rsidR="00F6288B" w:rsidRPr="00F6288B">
        <w:rPr>
          <w:sz w:val="24"/>
          <w:szCs w:val="24"/>
        </w:rPr>
        <w:t>Hence, because the agreement was primarily intended to be a social and domestic arrangement, it was presumed that the parties did not intend to be legally bound.</w:t>
      </w:r>
    </w:p>
    <w:p w14:paraId="5DABD27E" w14:textId="23B701B8" w:rsidR="0040155C" w:rsidRDefault="0040155C" w:rsidP="00967C09">
      <w:pPr>
        <w:spacing w:line="360" w:lineRule="auto"/>
        <w:jc w:val="both"/>
        <w:rPr>
          <w:sz w:val="24"/>
          <w:szCs w:val="24"/>
        </w:rPr>
      </w:pPr>
    </w:p>
    <w:p w14:paraId="3EC9C76F" w14:textId="611BD693" w:rsidR="0040155C" w:rsidRDefault="00976D9B" w:rsidP="00400D97">
      <w:pPr>
        <w:spacing w:line="360" w:lineRule="auto"/>
        <w:jc w:val="both"/>
        <w:rPr>
          <w:sz w:val="24"/>
          <w:szCs w:val="24"/>
        </w:rPr>
      </w:pPr>
      <w:r w:rsidRPr="00976D9B">
        <w:rPr>
          <w:sz w:val="24"/>
          <w:szCs w:val="24"/>
        </w:rPr>
        <w:t xml:space="preserve">Contrary, there are certain studied examples where the arrangement was simply domestic, raising the possibility that, as in Jones v </w:t>
      </w:r>
      <w:proofErr w:type="spellStart"/>
      <w:r w:rsidRPr="00976D9B">
        <w:rPr>
          <w:sz w:val="24"/>
          <w:szCs w:val="24"/>
        </w:rPr>
        <w:t>Padavatton</w:t>
      </w:r>
      <w:proofErr w:type="spellEnd"/>
      <w:r w:rsidRPr="00976D9B">
        <w:rPr>
          <w:sz w:val="24"/>
          <w:szCs w:val="24"/>
        </w:rPr>
        <w:t xml:space="preserve"> [1969], a mother offered her daughter $200 per month if she resigned from her employment in the United States and travelled to London to study for the bar. This was not working since the girl believed the $200 was in US dollars while the mother believed it was in Trinidad dollars. The mother then promised to purchase a home for her daughter and use the proceeds to support herself. The daughter, on the other hand, married, and the mother took control of the house.</w:t>
      </w:r>
      <w:r>
        <w:rPr>
          <w:sz w:val="24"/>
          <w:szCs w:val="24"/>
        </w:rPr>
        <w:t xml:space="preserve"> </w:t>
      </w:r>
      <w:r w:rsidRPr="00976D9B">
        <w:rPr>
          <w:sz w:val="24"/>
          <w:szCs w:val="24"/>
        </w:rPr>
        <w:t>As a result, the agreement between the mother and her daughter was wholly domestic, raising the possibility that the parties did not intend to be legally bound by the arrangement. Moreover, there was no evidence to contradict this premise.</w:t>
      </w:r>
    </w:p>
    <w:p w14:paraId="57724267" w14:textId="77777777" w:rsidR="0064368C" w:rsidRPr="00967C09" w:rsidRDefault="0064368C" w:rsidP="00967C09">
      <w:pPr>
        <w:spacing w:line="360" w:lineRule="auto"/>
        <w:jc w:val="both"/>
        <w:rPr>
          <w:sz w:val="24"/>
          <w:szCs w:val="24"/>
        </w:rPr>
      </w:pPr>
    </w:p>
    <w:p w14:paraId="715CBDC3" w14:textId="0DE8DA41" w:rsidR="00551F6E" w:rsidRPr="00967C09" w:rsidRDefault="00551F6E" w:rsidP="00967C09">
      <w:pPr>
        <w:spacing w:line="360" w:lineRule="auto"/>
        <w:jc w:val="both"/>
        <w:rPr>
          <w:sz w:val="24"/>
          <w:szCs w:val="24"/>
        </w:rPr>
      </w:pPr>
    </w:p>
    <w:p w14:paraId="49E6F8D5" w14:textId="3A8FEBC0" w:rsidR="00FA3DFD" w:rsidRPr="00967C09" w:rsidRDefault="00065C91" w:rsidP="00967C09">
      <w:pPr>
        <w:spacing w:line="360" w:lineRule="auto"/>
        <w:jc w:val="both"/>
        <w:rPr>
          <w:sz w:val="24"/>
          <w:szCs w:val="24"/>
        </w:rPr>
      </w:pPr>
      <w:r w:rsidRPr="00967C09">
        <w:rPr>
          <w:sz w:val="24"/>
          <w:szCs w:val="24"/>
          <w:shd w:val="clear" w:color="auto" w:fill="FFFFFF"/>
        </w:rPr>
        <w:t xml:space="preserve">The Court of Appeals differentiated the Balfour v. Balfour case on the basis that the parties had divorced, and the written agreement they had signed demonstrated their purpose to be bound by the terms of that agreement, which also applied to another case, </w:t>
      </w:r>
      <w:r w:rsidRPr="004C34B3">
        <w:rPr>
          <w:sz w:val="24"/>
          <w:szCs w:val="24"/>
          <w:shd w:val="clear" w:color="auto" w:fill="FFFFFF"/>
        </w:rPr>
        <w:t xml:space="preserve">Merritt v. Merritt (1970). A husband moved in with another lady after divorcing his wife. When the mortgage was paid off in full, the wife filed a claim to have the house declared hers after the husband agreed to pay her £40 each month to cover the mortgage payments and transfer his half of the property to her. </w:t>
      </w:r>
      <w:r w:rsidR="0063235E" w:rsidRPr="0063235E">
        <w:rPr>
          <w:sz w:val="24"/>
          <w:szCs w:val="24"/>
          <w:shd w:val="clear" w:color="auto" w:fill="FFFFFF"/>
        </w:rPr>
        <w:t>The parties are presumed not to intend to be legally bound by the agreement</w:t>
      </w:r>
      <w:r w:rsidR="0063235E">
        <w:rPr>
          <w:sz w:val="24"/>
          <w:szCs w:val="24"/>
          <w:shd w:val="clear" w:color="auto" w:fill="FFFFFF"/>
        </w:rPr>
        <w:t xml:space="preserve"> </w:t>
      </w:r>
      <w:r w:rsidRPr="004C34B3">
        <w:rPr>
          <w:sz w:val="24"/>
          <w:szCs w:val="24"/>
          <w:shd w:val="clear" w:color="auto" w:fill="FFFFFF"/>
        </w:rPr>
        <w:t>when there is a third party involved, as was the case in Simpkins v. Pays (1955),</w:t>
      </w:r>
      <w:r w:rsidRPr="00967C09">
        <w:rPr>
          <w:sz w:val="24"/>
          <w:szCs w:val="24"/>
          <w:shd w:val="clear" w:color="auto" w:fill="FFFFFF"/>
        </w:rPr>
        <w:t xml:space="preserve"> where there is a third party to an agreement. As time passed, there was no evidence to disprove this theory.</w:t>
      </w:r>
    </w:p>
    <w:p w14:paraId="18B620C4" w14:textId="77777777" w:rsidR="00473463" w:rsidRPr="00967C09" w:rsidRDefault="00473463" w:rsidP="00967C09">
      <w:pPr>
        <w:spacing w:line="360" w:lineRule="auto"/>
        <w:jc w:val="both"/>
        <w:rPr>
          <w:sz w:val="24"/>
          <w:szCs w:val="24"/>
        </w:rPr>
      </w:pPr>
    </w:p>
    <w:p w14:paraId="37C0CA34" w14:textId="6BC47D9A" w:rsidR="00FA3DFD" w:rsidRPr="00967C09" w:rsidRDefault="0094680F" w:rsidP="00967C09">
      <w:pPr>
        <w:spacing w:line="360" w:lineRule="auto"/>
        <w:jc w:val="both"/>
        <w:rPr>
          <w:sz w:val="24"/>
          <w:szCs w:val="24"/>
          <w:shd w:val="clear" w:color="auto" w:fill="FFFFFF"/>
        </w:rPr>
      </w:pPr>
      <w:r w:rsidRPr="00967C09">
        <w:rPr>
          <w:sz w:val="24"/>
          <w:szCs w:val="24"/>
          <w:shd w:val="clear" w:color="auto" w:fill="FFFFFF"/>
        </w:rPr>
        <w:lastRenderedPageBreak/>
        <w:t xml:space="preserve">The written document is presumed to be a complete representation of the parties' agreement under the </w:t>
      </w:r>
      <w:proofErr w:type="spellStart"/>
      <w:r w:rsidRPr="00967C09">
        <w:rPr>
          <w:sz w:val="24"/>
          <w:szCs w:val="24"/>
          <w:shd w:val="clear" w:color="auto" w:fill="FFFFFF"/>
        </w:rPr>
        <w:t>parol</w:t>
      </w:r>
      <w:proofErr w:type="spellEnd"/>
      <w:r w:rsidRPr="00967C09">
        <w:rPr>
          <w:sz w:val="24"/>
          <w:szCs w:val="24"/>
          <w:shd w:val="clear" w:color="auto" w:fill="FFFFFF"/>
        </w:rPr>
        <w:t xml:space="preserve"> evidence rule. </w:t>
      </w:r>
      <w:r w:rsidR="00657253" w:rsidRPr="00967C09">
        <w:rPr>
          <w:sz w:val="24"/>
          <w:szCs w:val="24"/>
          <w:shd w:val="clear" w:color="auto" w:fill="FFFFFF"/>
        </w:rPr>
        <w:t xml:space="preserve">However, this is simply a presumption, and any party may dispute it by presenting evidence demonstrating that the written instrument was not meant to constitute the whole contract between the parties such as </w:t>
      </w:r>
      <w:r w:rsidR="0040155C">
        <w:rPr>
          <w:sz w:val="24"/>
          <w:szCs w:val="24"/>
          <w:shd w:val="clear" w:color="auto" w:fill="FFFFFF"/>
        </w:rPr>
        <w:t xml:space="preserve">in </w:t>
      </w:r>
      <w:r w:rsidR="00657253" w:rsidRPr="004C34B3">
        <w:rPr>
          <w:sz w:val="24"/>
          <w:szCs w:val="24"/>
          <w:shd w:val="clear" w:color="auto" w:fill="FFFFFF"/>
        </w:rPr>
        <w:t>Errington v Errington Woods (1952)</w:t>
      </w:r>
      <w:r w:rsidR="0085286A" w:rsidRPr="004C34B3">
        <w:rPr>
          <w:sz w:val="24"/>
          <w:szCs w:val="24"/>
          <w:shd w:val="clear" w:color="auto" w:fill="FFFFFF"/>
        </w:rPr>
        <w:t>,</w:t>
      </w:r>
      <w:r w:rsidR="0085286A">
        <w:rPr>
          <w:sz w:val="24"/>
          <w:szCs w:val="24"/>
          <w:shd w:val="clear" w:color="auto" w:fill="FFFFFF"/>
        </w:rPr>
        <w:t xml:space="preserve"> where t</w:t>
      </w:r>
      <w:r w:rsidRPr="00967C09">
        <w:rPr>
          <w:sz w:val="24"/>
          <w:szCs w:val="24"/>
          <w:shd w:val="clear" w:color="auto" w:fill="FFFFFF"/>
        </w:rPr>
        <w:t xml:space="preserve">here was a desire to establish legal links </w:t>
      </w:r>
      <w:r w:rsidR="002A7A30" w:rsidRPr="00967C09">
        <w:rPr>
          <w:sz w:val="24"/>
          <w:szCs w:val="24"/>
          <w:shd w:val="clear" w:color="auto" w:fill="FFFFFF"/>
        </w:rPr>
        <w:t>even though</w:t>
      </w:r>
      <w:r w:rsidRPr="00967C09">
        <w:rPr>
          <w:sz w:val="24"/>
          <w:szCs w:val="24"/>
          <w:shd w:val="clear" w:color="auto" w:fill="FFFFFF"/>
        </w:rPr>
        <w:t xml:space="preserve"> it was a familial arrangement.</w:t>
      </w:r>
    </w:p>
    <w:p w14:paraId="3B1B1E39" w14:textId="08289D83" w:rsidR="00657253" w:rsidRDefault="00657253" w:rsidP="00967C09">
      <w:pPr>
        <w:spacing w:line="360" w:lineRule="auto"/>
        <w:rPr>
          <w:sz w:val="24"/>
          <w:szCs w:val="24"/>
        </w:rPr>
      </w:pPr>
    </w:p>
    <w:p w14:paraId="192F5A79" w14:textId="48AE8A0E" w:rsidR="00212EC5" w:rsidRDefault="00212EC5" w:rsidP="00967C09">
      <w:pPr>
        <w:spacing w:line="360" w:lineRule="auto"/>
        <w:rPr>
          <w:sz w:val="24"/>
          <w:szCs w:val="24"/>
        </w:rPr>
      </w:pPr>
    </w:p>
    <w:p w14:paraId="6AF31A78" w14:textId="77777777" w:rsidR="00212EC5" w:rsidRPr="004C34B3" w:rsidRDefault="00212EC5" w:rsidP="004C34B3">
      <w:pPr>
        <w:pStyle w:val="Heading2"/>
        <w:rPr>
          <w:rFonts w:ascii="Times New Roman" w:hAnsi="Times New Roman" w:cs="Times New Roman"/>
          <w:color w:val="auto"/>
          <w:sz w:val="32"/>
          <w:szCs w:val="32"/>
          <w:u w:val="single"/>
        </w:rPr>
      </w:pPr>
    </w:p>
    <w:p w14:paraId="380A1E9C" w14:textId="248DF240" w:rsidR="007273E0" w:rsidRPr="004C34B3" w:rsidRDefault="004C34B3" w:rsidP="004C34B3">
      <w:pPr>
        <w:pStyle w:val="Heading2"/>
        <w:numPr>
          <w:ilvl w:val="0"/>
          <w:numId w:val="11"/>
        </w:numPr>
        <w:rPr>
          <w:rFonts w:ascii="Times New Roman" w:hAnsi="Times New Roman" w:cs="Times New Roman"/>
          <w:color w:val="auto"/>
          <w:sz w:val="32"/>
          <w:szCs w:val="32"/>
          <w:u w:val="single"/>
        </w:rPr>
      </w:pPr>
      <w:r w:rsidRPr="004C34B3">
        <w:rPr>
          <w:rFonts w:ascii="Times New Roman" w:hAnsi="Times New Roman" w:cs="Times New Roman"/>
          <w:color w:val="auto"/>
          <w:sz w:val="32"/>
          <w:szCs w:val="32"/>
          <w:u w:val="single"/>
        </w:rPr>
        <w:t xml:space="preserve"> </w:t>
      </w:r>
      <w:bookmarkStart w:id="2" w:name="_Toc129374538"/>
      <w:r w:rsidR="00C3559A" w:rsidRPr="004C34B3">
        <w:rPr>
          <w:rFonts w:ascii="Times New Roman" w:hAnsi="Times New Roman" w:cs="Times New Roman"/>
          <w:color w:val="auto"/>
          <w:sz w:val="32"/>
          <w:szCs w:val="32"/>
          <w:u w:val="single"/>
        </w:rPr>
        <w:t>A</w:t>
      </w:r>
      <w:r w:rsidR="007273E0" w:rsidRPr="004C34B3">
        <w:rPr>
          <w:rFonts w:ascii="Times New Roman" w:hAnsi="Times New Roman" w:cs="Times New Roman"/>
          <w:color w:val="auto"/>
          <w:sz w:val="32"/>
          <w:szCs w:val="32"/>
          <w:u w:val="single"/>
        </w:rPr>
        <w:t>greements made within a commercial/business context</w:t>
      </w:r>
      <w:r w:rsidRPr="004C34B3">
        <w:rPr>
          <w:rFonts w:ascii="Times New Roman" w:hAnsi="Times New Roman" w:cs="Times New Roman"/>
          <w:color w:val="auto"/>
          <w:sz w:val="32"/>
          <w:szCs w:val="32"/>
          <w:u w:val="single"/>
        </w:rPr>
        <w:t>.</w:t>
      </w:r>
      <w:bookmarkEnd w:id="2"/>
    </w:p>
    <w:p w14:paraId="53EDD614" w14:textId="60C334C5" w:rsidR="007273E0" w:rsidRPr="00967C09" w:rsidRDefault="007273E0" w:rsidP="00967C09">
      <w:pPr>
        <w:pStyle w:val="ListParagraph"/>
        <w:spacing w:line="360" w:lineRule="auto"/>
        <w:ind w:left="1080"/>
        <w:rPr>
          <w:sz w:val="24"/>
          <w:szCs w:val="24"/>
        </w:rPr>
      </w:pPr>
    </w:p>
    <w:p w14:paraId="3BCC49C6" w14:textId="1684AE29" w:rsidR="0089135B" w:rsidRPr="00967C09" w:rsidRDefault="00897647" w:rsidP="00967C09">
      <w:pPr>
        <w:spacing w:line="360" w:lineRule="auto"/>
        <w:jc w:val="both"/>
        <w:rPr>
          <w:sz w:val="24"/>
          <w:szCs w:val="24"/>
          <w:shd w:val="clear" w:color="auto" w:fill="FFFFFF"/>
        </w:rPr>
      </w:pPr>
      <w:r w:rsidRPr="00967C09">
        <w:rPr>
          <w:sz w:val="24"/>
          <w:szCs w:val="24"/>
        </w:rPr>
        <w:t xml:space="preserve">A commercial or business agreement is an agreement between two or more parties on a specific topic. When a business agreement is signed, </w:t>
      </w:r>
      <w:r w:rsidR="0063235E" w:rsidRPr="0063235E">
        <w:rPr>
          <w:sz w:val="24"/>
          <w:szCs w:val="24"/>
        </w:rPr>
        <w:t>The parties are assumed to have no intention of being legally bound by the agreement.</w:t>
      </w:r>
      <w:r w:rsidR="0063235E" w:rsidRPr="0063235E">
        <w:rPr>
          <w:sz w:val="24"/>
          <w:szCs w:val="24"/>
        </w:rPr>
        <w:t xml:space="preserve"> </w:t>
      </w:r>
      <w:r w:rsidR="000266D1" w:rsidRPr="000266D1">
        <w:rPr>
          <w:sz w:val="24"/>
          <w:szCs w:val="24"/>
        </w:rPr>
        <w:t>Exxon sponsored a promotion in which anybody who purchased four litres of petrol received a free World Cup penny from their collection, according to the Esso Petroleum Ltd v Commissioners of Customs and Excise court case enquiry (1976). Exxon said that the coins were provided as a free present, that the marketing had no legal consequences, and that there was no resale. The coins were offered in a commercial setting, hinting that they were meant to be bound. But, because the coins could not be exchanged for cash, they could not be resold. This demonstrates a lack of drive to create legal intent.</w:t>
      </w:r>
    </w:p>
    <w:p w14:paraId="06744D2A" w14:textId="77777777" w:rsidR="00897647" w:rsidRPr="00967C09" w:rsidRDefault="00897647" w:rsidP="00967C09">
      <w:pPr>
        <w:spacing w:line="360" w:lineRule="auto"/>
        <w:rPr>
          <w:sz w:val="24"/>
          <w:szCs w:val="24"/>
          <w:shd w:val="clear" w:color="auto" w:fill="FFFFFF"/>
        </w:rPr>
      </w:pPr>
    </w:p>
    <w:p w14:paraId="4DDF9C50" w14:textId="61A3A764" w:rsidR="00BD1BCF" w:rsidRPr="00967C09" w:rsidRDefault="00976D9B" w:rsidP="00967C09">
      <w:pPr>
        <w:spacing w:line="360" w:lineRule="auto"/>
        <w:rPr>
          <w:sz w:val="24"/>
          <w:szCs w:val="24"/>
          <w:shd w:val="clear" w:color="auto" w:fill="FFFFFF"/>
        </w:rPr>
      </w:pPr>
      <w:r w:rsidRPr="00976D9B">
        <w:rPr>
          <w:sz w:val="24"/>
          <w:szCs w:val="24"/>
          <w:shd w:val="clear" w:color="auto" w:fill="FFFFFF"/>
        </w:rPr>
        <w:t>In Rose &amp; Frank v. Crompton Bros (1925), for example, the parties agreed that the claimant might order goods from the defendant and resale them as the defendant's only agent.</w:t>
      </w:r>
      <w:r>
        <w:rPr>
          <w:sz w:val="24"/>
          <w:szCs w:val="24"/>
          <w:shd w:val="clear" w:color="auto" w:fill="FFFFFF"/>
        </w:rPr>
        <w:t xml:space="preserve"> </w:t>
      </w:r>
      <w:r w:rsidR="00FC7446" w:rsidRPr="00967C09">
        <w:rPr>
          <w:sz w:val="24"/>
          <w:szCs w:val="24"/>
          <w:shd w:val="clear" w:color="auto" w:fill="FFFFFF"/>
        </w:rPr>
        <w:t>The agreement in commercials or businesses can also be refuted by opposing evidence.</w:t>
      </w:r>
      <w:r w:rsidRPr="00976D9B">
        <w:t xml:space="preserve"> </w:t>
      </w:r>
      <w:r w:rsidRPr="00976D9B">
        <w:rPr>
          <w:sz w:val="24"/>
          <w:szCs w:val="24"/>
          <w:shd w:val="clear" w:color="auto" w:fill="FFFFFF"/>
        </w:rPr>
        <w:t>After a year, the parties agreed to extend the contract for another three years.</w:t>
      </w:r>
      <w:r w:rsidR="00FC7446" w:rsidRPr="00967C09">
        <w:rPr>
          <w:sz w:val="24"/>
          <w:szCs w:val="24"/>
          <w:shd w:val="clear" w:color="auto" w:fill="FFFFFF"/>
        </w:rPr>
        <w:t xml:space="preserve"> Despite the claimant placing orders with the defendant, the latter abruptly ended the agreement. The parties requested that the court rule on whether a legally enforceable contract existed after the claimant filed a lawsuit for breach of contract. Because </w:t>
      </w:r>
      <w:r>
        <w:rPr>
          <w:sz w:val="24"/>
          <w:szCs w:val="24"/>
          <w:shd w:val="clear" w:color="auto" w:fill="FFFFFF"/>
        </w:rPr>
        <w:t>t</w:t>
      </w:r>
      <w:r w:rsidRPr="00976D9B">
        <w:rPr>
          <w:sz w:val="24"/>
          <w:szCs w:val="24"/>
          <w:shd w:val="clear" w:color="auto" w:fill="FFFFFF"/>
        </w:rPr>
        <w:t>he written agreement was not a contract since the parties did not intend to be legally bound by it. As a result, even if an agreement is only enforceable in honour, future agreements between the parties may be legally binding.</w:t>
      </w:r>
    </w:p>
    <w:p w14:paraId="2EA01D50" w14:textId="77777777" w:rsidR="00657253" w:rsidRPr="00967C09" w:rsidRDefault="00657253" w:rsidP="00967C09">
      <w:pPr>
        <w:spacing w:line="360" w:lineRule="auto"/>
        <w:rPr>
          <w:sz w:val="24"/>
          <w:szCs w:val="24"/>
          <w:shd w:val="clear" w:color="auto" w:fill="FFFFFF"/>
        </w:rPr>
      </w:pPr>
    </w:p>
    <w:p w14:paraId="2A6D8FC1" w14:textId="34B9C0C0" w:rsidR="00FA3DFD" w:rsidRPr="00967C09" w:rsidRDefault="00F6288B" w:rsidP="00967C09">
      <w:pPr>
        <w:spacing w:line="360" w:lineRule="auto"/>
        <w:jc w:val="both"/>
        <w:rPr>
          <w:sz w:val="24"/>
          <w:szCs w:val="24"/>
          <w:shd w:val="clear" w:color="auto" w:fill="FFFFFF"/>
        </w:rPr>
      </w:pPr>
      <w:r w:rsidRPr="00F6288B">
        <w:rPr>
          <w:sz w:val="24"/>
          <w:szCs w:val="24"/>
          <w:shd w:val="clear" w:color="auto" w:fill="FFFFFF"/>
        </w:rPr>
        <w:t xml:space="preserve">However, in </w:t>
      </w:r>
      <w:r w:rsidR="000266D1" w:rsidRPr="000266D1">
        <w:rPr>
          <w:sz w:val="24"/>
          <w:szCs w:val="24"/>
          <w:shd w:val="clear" w:color="auto" w:fill="FFFFFF"/>
        </w:rPr>
        <w:t xml:space="preserve">In Kleinwort Benson Ltd v Malaysia Mining Company </w:t>
      </w:r>
      <w:proofErr w:type="spellStart"/>
      <w:r w:rsidR="000266D1" w:rsidRPr="000266D1">
        <w:rPr>
          <w:sz w:val="24"/>
          <w:szCs w:val="24"/>
          <w:shd w:val="clear" w:color="auto" w:fill="FFFFFF"/>
        </w:rPr>
        <w:t>Berhad</w:t>
      </w:r>
      <w:proofErr w:type="spellEnd"/>
      <w:r w:rsidR="000266D1" w:rsidRPr="000266D1">
        <w:rPr>
          <w:sz w:val="24"/>
          <w:szCs w:val="24"/>
          <w:shd w:val="clear" w:color="auto" w:fill="FFFFFF"/>
        </w:rPr>
        <w:t xml:space="preserve"> (1989), the Malaysian firm sent the bank a "comfort letter" outlining the procedures in place to assure the </w:t>
      </w:r>
      <w:r w:rsidR="000266D1" w:rsidRPr="000266D1">
        <w:rPr>
          <w:sz w:val="24"/>
          <w:szCs w:val="24"/>
          <w:shd w:val="clear" w:color="auto" w:fill="FFFFFF"/>
        </w:rPr>
        <w:lastRenderedPageBreak/>
        <w:t>subsidiary company's capacity to pay its obligations to the bank. Following the subsidiary's bankruptcy, the merchant bankers used these letters to compel the corporation to pay the subsidiary's outstanding debts.</w:t>
      </w:r>
      <w:r w:rsidR="000266D1">
        <w:rPr>
          <w:sz w:val="24"/>
          <w:szCs w:val="24"/>
          <w:shd w:val="clear" w:color="auto" w:fill="FFFFFF"/>
        </w:rPr>
        <w:t xml:space="preserve"> </w:t>
      </w:r>
      <w:proofErr w:type="gramStart"/>
      <w:r w:rsidRPr="00F6288B">
        <w:rPr>
          <w:sz w:val="24"/>
          <w:szCs w:val="24"/>
          <w:shd w:val="clear" w:color="auto" w:fill="FFFFFF"/>
        </w:rPr>
        <w:t>According</w:t>
      </w:r>
      <w:proofErr w:type="gramEnd"/>
      <w:r w:rsidRPr="00F6288B">
        <w:rPr>
          <w:sz w:val="24"/>
          <w:szCs w:val="24"/>
          <w:shd w:val="clear" w:color="auto" w:fill="FFFFFF"/>
        </w:rPr>
        <w:t xml:space="preserve"> to the Malaysian business, neither side intended or understood the letters to establish legal obligations.</w:t>
      </w:r>
      <w:r>
        <w:rPr>
          <w:sz w:val="24"/>
          <w:szCs w:val="24"/>
          <w:shd w:val="clear" w:color="auto" w:fill="FFFFFF"/>
        </w:rPr>
        <w:t xml:space="preserve"> </w:t>
      </w:r>
      <w:r w:rsidRPr="00F6288B">
        <w:rPr>
          <w:sz w:val="24"/>
          <w:szCs w:val="24"/>
          <w:shd w:val="clear" w:color="auto" w:fill="FFFFFF"/>
        </w:rPr>
        <w:t xml:space="preserve">According to the court, the absence of an openly disclosed purpose </w:t>
      </w:r>
      <w:r w:rsidR="00976D9B">
        <w:rPr>
          <w:sz w:val="24"/>
          <w:szCs w:val="24"/>
          <w:shd w:val="clear" w:color="auto" w:fill="FFFFFF"/>
        </w:rPr>
        <w:t xml:space="preserve">is </w:t>
      </w:r>
      <w:r w:rsidRPr="00F6288B">
        <w:rPr>
          <w:sz w:val="24"/>
          <w:szCs w:val="24"/>
          <w:shd w:val="clear" w:color="auto" w:fill="FFFFFF"/>
        </w:rPr>
        <w:t xml:space="preserve">to create legal connections regarding payment. </w:t>
      </w:r>
      <w:r w:rsidR="000266D1" w:rsidRPr="000266D1">
        <w:rPr>
          <w:sz w:val="24"/>
          <w:szCs w:val="24"/>
          <w:shd w:val="clear" w:color="auto" w:fill="FFFFFF"/>
        </w:rPr>
        <w:t>In this situation, it took the form of a contractual obligation, and it was just a statement of fact about the bank's current "policy," not a promise that this "policy" would continue in the future.</w:t>
      </w:r>
      <w:r w:rsidR="000266D1">
        <w:rPr>
          <w:sz w:val="24"/>
          <w:szCs w:val="24"/>
          <w:shd w:val="clear" w:color="auto" w:fill="FFFFFF"/>
        </w:rPr>
        <w:t xml:space="preserve"> </w:t>
      </w:r>
      <w:proofErr w:type="gramStart"/>
      <w:r w:rsidRPr="00F6288B">
        <w:rPr>
          <w:sz w:val="24"/>
          <w:szCs w:val="24"/>
          <w:shd w:val="clear" w:color="auto" w:fill="FFFFFF"/>
        </w:rPr>
        <w:t>Additionally</w:t>
      </w:r>
      <w:proofErr w:type="gramEnd"/>
      <w:r w:rsidRPr="00F6288B">
        <w:rPr>
          <w:sz w:val="24"/>
          <w:szCs w:val="24"/>
          <w:shd w:val="clear" w:color="auto" w:fill="FFFFFF"/>
        </w:rPr>
        <w:t>, when seen in the context of the letter and bank documents, the charge lacks the intent to create a legal duty for future action.</w:t>
      </w:r>
    </w:p>
    <w:p w14:paraId="03AFA02B" w14:textId="7B7C68CD" w:rsidR="006F1A81" w:rsidRDefault="006F1A81" w:rsidP="00967C09">
      <w:pPr>
        <w:spacing w:line="360" w:lineRule="auto"/>
        <w:jc w:val="both"/>
        <w:rPr>
          <w:sz w:val="24"/>
          <w:szCs w:val="24"/>
          <w:shd w:val="clear" w:color="auto" w:fill="FFFFFF"/>
        </w:rPr>
      </w:pPr>
    </w:p>
    <w:p w14:paraId="4FE27055" w14:textId="2B7583BE" w:rsidR="000A6EEB" w:rsidRDefault="00976D9B" w:rsidP="00967C09">
      <w:pPr>
        <w:spacing w:line="360" w:lineRule="auto"/>
        <w:jc w:val="both"/>
        <w:rPr>
          <w:sz w:val="24"/>
          <w:szCs w:val="24"/>
          <w:shd w:val="clear" w:color="auto" w:fill="FFFFFF"/>
        </w:rPr>
      </w:pPr>
      <w:r w:rsidRPr="00976D9B">
        <w:rPr>
          <w:sz w:val="24"/>
          <w:szCs w:val="24"/>
          <w:shd w:val="clear" w:color="auto" w:fill="FFFFFF"/>
        </w:rPr>
        <w:t>ERDC Group Ltd v Brunel Uni [2006] was a research case with the goal of establishing legal links. The claimant used the JCT Standard Form of Contract with Contractors Design (1998 edition) to tender for the creation of new sports facilities at its Uxbridge campus, and the design of the works was carried out under a letter of appointment. The claimant refused to sign after the task was substantially completed, claiming that any future work would be appraised on a quantum meruit basis rather than in accordance with the valuation standards.</w:t>
      </w:r>
      <w:r w:rsidRPr="00976D9B">
        <w:t xml:space="preserve"> </w:t>
      </w:r>
      <w:r w:rsidRPr="00976D9B">
        <w:rPr>
          <w:sz w:val="24"/>
          <w:szCs w:val="24"/>
          <w:shd w:val="clear" w:color="auto" w:fill="FFFFFF"/>
        </w:rPr>
        <w:t>The Court determined that there was a clear purpose to establish legal relations and that work completed prior to the expiration of the previous contract was to be considered and valued as if it had been completed under the contract. It was decided that the basis of payment would be quantum meruit after September 1, 2002, however the claimant objected that this would be a costs-plus approach.</w:t>
      </w:r>
    </w:p>
    <w:p w14:paraId="2DC9E219" w14:textId="77777777" w:rsidR="00EF6358" w:rsidRDefault="00EF6358" w:rsidP="00EF6358">
      <w:pPr>
        <w:rPr>
          <w:sz w:val="24"/>
          <w:szCs w:val="24"/>
          <w:shd w:val="clear" w:color="auto" w:fill="FFFFFF"/>
        </w:rPr>
      </w:pPr>
    </w:p>
    <w:p w14:paraId="010FAF19" w14:textId="6AFD625C" w:rsidR="00BD1BCF" w:rsidRDefault="00FC7446" w:rsidP="00967C09">
      <w:pPr>
        <w:spacing w:line="360" w:lineRule="auto"/>
        <w:jc w:val="both"/>
        <w:rPr>
          <w:sz w:val="24"/>
          <w:szCs w:val="24"/>
          <w:shd w:val="clear" w:color="auto" w:fill="FFFFFF"/>
        </w:rPr>
      </w:pPr>
      <w:r w:rsidRPr="00967C09">
        <w:rPr>
          <w:sz w:val="24"/>
          <w:szCs w:val="24"/>
          <w:shd w:val="clear" w:color="auto" w:fill="FFFFFF"/>
        </w:rPr>
        <w:t xml:space="preserve">There is a thin line that may be drawn separating social, domestic, and business commitments. </w:t>
      </w:r>
      <w:r w:rsidRPr="004C34B3">
        <w:rPr>
          <w:sz w:val="24"/>
          <w:szCs w:val="24"/>
          <w:shd w:val="clear" w:color="auto" w:fill="FFFFFF"/>
        </w:rPr>
        <w:t xml:space="preserve">Coward v. Motor Insurance Bureau and Albert v. Motor Insurance Bureau case </w:t>
      </w:r>
      <w:r w:rsidR="000A66F1" w:rsidRPr="004C34B3">
        <w:rPr>
          <w:sz w:val="24"/>
          <w:szCs w:val="24"/>
          <w:shd w:val="clear" w:color="auto" w:fill="FFFFFF"/>
        </w:rPr>
        <w:t>studies</w:t>
      </w:r>
      <w:r w:rsidRPr="004C34B3">
        <w:rPr>
          <w:sz w:val="24"/>
          <w:szCs w:val="24"/>
          <w:shd w:val="clear" w:color="auto" w:fill="FFFFFF"/>
        </w:rPr>
        <w:t xml:space="preserve"> from </w:t>
      </w:r>
      <w:r w:rsidR="000A66F1" w:rsidRPr="004C34B3">
        <w:rPr>
          <w:sz w:val="24"/>
          <w:szCs w:val="24"/>
          <w:shd w:val="clear" w:color="auto" w:fill="FFFFFF"/>
        </w:rPr>
        <w:t>(</w:t>
      </w:r>
      <w:r w:rsidRPr="004C34B3">
        <w:rPr>
          <w:sz w:val="24"/>
          <w:szCs w:val="24"/>
          <w:shd w:val="clear" w:color="auto" w:fill="FFFFFF"/>
        </w:rPr>
        <w:t>1963</w:t>
      </w:r>
      <w:r w:rsidR="000A66F1" w:rsidRPr="004C34B3">
        <w:rPr>
          <w:sz w:val="24"/>
          <w:szCs w:val="24"/>
          <w:shd w:val="clear" w:color="auto" w:fill="FFFFFF"/>
        </w:rPr>
        <w:t>)</w:t>
      </w:r>
      <w:r w:rsidRPr="004C34B3">
        <w:rPr>
          <w:sz w:val="24"/>
          <w:szCs w:val="24"/>
          <w:shd w:val="clear" w:color="auto" w:fill="FFFFFF"/>
        </w:rPr>
        <w:t xml:space="preserve"> were contrasted (1971)</w:t>
      </w:r>
      <w:r w:rsidR="006F1A81" w:rsidRPr="004C34B3">
        <w:rPr>
          <w:sz w:val="24"/>
          <w:szCs w:val="24"/>
          <w:shd w:val="clear" w:color="auto" w:fill="FFFFFF"/>
        </w:rPr>
        <w:t>.</w:t>
      </w:r>
      <w:r w:rsidR="006F1A81" w:rsidRPr="00967C09">
        <w:rPr>
          <w:sz w:val="24"/>
          <w:szCs w:val="24"/>
          <w:shd w:val="clear" w:color="auto" w:fill="FFFFFF"/>
        </w:rPr>
        <w:t xml:space="preserve"> According to the case study of Coward v Motor Insurance Bureau (1963), </w:t>
      </w:r>
      <w:r w:rsidRPr="00967C09">
        <w:rPr>
          <w:sz w:val="24"/>
          <w:szCs w:val="24"/>
          <w:shd w:val="clear" w:color="auto" w:fill="FFFFFF"/>
        </w:rPr>
        <w:t xml:space="preserve">It was a social and domestic arrangement with no intent to establish legal relations, hence there was no contract of hiring or compensation. The widow was therefore not eligible for payment. </w:t>
      </w:r>
      <w:r w:rsidR="006F1A81" w:rsidRPr="00967C09">
        <w:rPr>
          <w:sz w:val="24"/>
          <w:szCs w:val="24"/>
          <w:shd w:val="clear" w:color="auto" w:fill="FFFFFF"/>
        </w:rPr>
        <w:t>Meanwhile, in Albert v Motor Insurance Bureau (1971), the lifts were provided in a business environment since he had supplied lifts to several persons over time. As a result, there was a desire to form a legally enforceable contract.</w:t>
      </w:r>
    </w:p>
    <w:p w14:paraId="15B34DF9" w14:textId="1AC30853" w:rsidR="00AC58BC" w:rsidRDefault="00AC58BC" w:rsidP="00967C09">
      <w:pPr>
        <w:spacing w:line="360" w:lineRule="auto"/>
        <w:jc w:val="both"/>
        <w:rPr>
          <w:sz w:val="24"/>
          <w:szCs w:val="24"/>
          <w:shd w:val="clear" w:color="auto" w:fill="FFFFFF"/>
        </w:rPr>
      </w:pPr>
    </w:p>
    <w:p w14:paraId="47231AD7" w14:textId="77777777" w:rsidR="00AC58BC" w:rsidRPr="00967C09" w:rsidRDefault="00AC58BC" w:rsidP="00967C09">
      <w:pPr>
        <w:spacing w:line="360" w:lineRule="auto"/>
        <w:jc w:val="both"/>
        <w:rPr>
          <w:sz w:val="24"/>
          <w:szCs w:val="24"/>
        </w:rPr>
      </w:pPr>
    </w:p>
    <w:p w14:paraId="5BE9EC5A" w14:textId="381D2F02" w:rsidR="00BD1BCF" w:rsidRPr="00967C09" w:rsidRDefault="00BD1BCF" w:rsidP="00967C09">
      <w:pPr>
        <w:pStyle w:val="ListParagraph"/>
        <w:spacing w:line="360" w:lineRule="auto"/>
        <w:ind w:left="1080"/>
        <w:rPr>
          <w:sz w:val="24"/>
          <w:szCs w:val="24"/>
        </w:rPr>
      </w:pPr>
    </w:p>
    <w:p w14:paraId="52A1324C" w14:textId="77777777" w:rsidR="00BD1BCF" w:rsidRPr="00967C09" w:rsidRDefault="00BD1BCF" w:rsidP="00967C09">
      <w:pPr>
        <w:pStyle w:val="ListParagraph"/>
        <w:spacing w:line="360" w:lineRule="auto"/>
        <w:ind w:left="1080"/>
        <w:rPr>
          <w:sz w:val="24"/>
          <w:szCs w:val="24"/>
        </w:rPr>
      </w:pPr>
    </w:p>
    <w:p w14:paraId="663A8DD0" w14:textId="5D56EE35" w:rsidR="007273E0" w:rsidRPr="00AC58BC" w:rsidRDefault="007273E0" w:rsidP="00AC58BC">
      <w:pPr>
        <w:pStyle w:val="Heading3"/>
        <w:numPr>
          <w:ilvl w:val="0"/>
          <w:numId w:val="11"/>
        </w:numPr>
        <w:rPr>
          <w:rFonts w:ascii="Times New Roman" w:hAnsi="Times New Roman" w:cs="Times New Roman"/>
          <w:color w:val="auto"/>
          <w:sz w:val="32"/>
          <w:szCs w:val="32"/>
          <w:u w:val="single"/>
        </w:rPr>
      </w:pPr>
      <w:bookmarkStart w:id="3" w:name="_Toc129374539"/>
      <w:r w:rsidRPr="00AC58BC">
        <w:rPr>
          <w:rFonts w:ascii="Times New Roman" w:hAnsi="Times New Roman" w:cs="Times New Roman"/>
          <w:color w:val="auto"/>
          <w:sz w:val="32"/>
          <w:szCs w:val="32"/>
          <w:u w:val="single"/>
        </w:rPr>
        <w:lastRenderedPageBreak/>
        <w:t>Agreements made with public bodies or those which affect public interest:</w:t>
      </w:r>
      <w:bookmarkEnd w:id="3"/>
    </w:p>
    <w:p w14:paraId="366EEE0B" w14:textId="58AEEC65" w:rsidR="004C34B3" w:rsidRDefault="004C34B3" w:rsidP="004C34B3"/>
    <w:p w14:paraId="49AFB4B5" w14:textId="74B471AC" w:rsidR="004C34B3" w:rsidRDefault="004C34B3" w:rsidP="004C34B3"/>
    <w:p w14:paraId="5ED35014" w14:textId="77777777" w:rsidR="004C34B3" w:rsidRPr="004C34B3" w:rsidRDefault="004C34B3" w:rsidP="004C34B3"/>
    <w:p w14:paraId="2B353B7E" w14:textId="1C396F2A" w:rsidR="007273E0" w:rsidRPr="00967C09" w:rsidRDefault="007273E0" w:rsidP="00967C09">
      <w:pPr>
        <w:spacing w:line="360" w:lineRule="auto"/>
        <w:rPr>
          <w:sz w:val="24"/>
          <w:szCs w:val="24"/>
        </w:rPr>
      </w:pPr>
    </w:p>
    <w:p w14:paraId="2C4C7F72" w14:textId="31205443" w:rsidR="00E82A0B" w:rsidRPr="00967C09" w:rsidRDefault="006F1A81" w:rsidP="00967C09">
      <w:pPr>
        <w:spacing w:line="360" w:lineRule="auto"/>
        <w:jc w:val="both"/>
        <w:rPr>
          <w:sz w:val="24"/>
          <w:szCs w:val="24"/>
        </w:rPr>
      </w:pPr>
      <w:r w:rsidRPr="00967C09">
        <w:rPr>
          <w:sz w:val="24"/>
          <w:szCs w:val="24"/>
        </w:rPr>
        <w:t xml:space="preserve">A public body, according to the Cabinet Office of the United Kingdom, is an officially created organisation that is </w:t>
      </w:r>
      <w:r w:rsidR="00976D9B" w:rsidRPr="00976D9B">
        <w:rPr>
          <w:sz w:val="24"/>
          <w:szCs w:val="24"/>
        </w:rPr>
        <w:t>It is publicly supported in order to perform a public or government duty, but it is not a ministerial department.</w:t>
      </w:r>
      <w:r w:rsidR="00976D9B">
        <w:rPr>
          <w:sz w:val="24"/>
          <w:szCs w:val="24"/>
        </w:rPr>
        <w:t xml:space="preserve"> </w:t>
      </w:r>
      <w:r w:rsidRPr="00967C09">
        <w:rPr>
          <w:sz w:val="24"/>
          <w:szCs w:val="24"/>
        </w:rPr>
        <w:t>Public law governs public bodies, which include government departments and agencies, local governments, health authorities, police, and courts. In truth, some public agencies are supported solely by user fees and levies, with no direct public funding. For example, many public entities have their own board of directors and CEO, and some are supposed to scrutinise and challenge the government when necessary. The government can assist in recruiting and developing the sorts of specialised expertise that might otherwise be lost in a more comprehensive department</w:t>
      </w:r>
      <w:r w:rsidR="00BE07E7">
        <w:rPr>
          <w:sz w:val="24"/>
          <w:szCs w:val="24"/>
        </w:rPr>
        <w:t xml:space="preserve"> </w:t>
      </w:r>
      <w:r w:rsidR="000A6EEB">
        <w:rPr>
          <w:sz w:val="24"/>
          <w:szCs w:val="24"/>
        </w:rPr>
        <w:t>(Cabinet</w:t>
      </w:r>
      <w:r w:rsidR="00915EF9">
        <w:rPr>
          <w:sz w:val="24"/>
          <w:szCs w:val="24"/>
        </w:rPr>
        <w:t xml:space="preserve"> Office UK, 2022)</w:t>
      </w:r>
      <w:r w:rsidR="00BE07E7">
        <w:rPr>
          <w:sz w:val="24"/>
          <w:szCs w:val="24"/>
        </w:rPr>
        <w:t>.</w:t>
      </w:r>
    </w:p>
    <w:p w14:paraId="202C5C57" w14:textId="77777777" w:rsidR="00657253" w:rsidRPr="00967C09" w:rsidRDefault="00657253" w:rsidP="00967C09">
      <w:pPr>
        <w:spacing w:line="360" w:lineRule="auto"/>
        <w:jc w:val="both"/>
        <w:rPr>
          <w:sz w:val="24"/>
          <w:szCs w:val="24"/>
        </w:rPr>
      </w:pPr>
    </w:p>
    <w:p w14:paraId="67C1EA9D" w14:textId="51E999EF" w:rsidR="00E82A0B" w:rsidRDefault="006F1A81" w:rsidP="00967C09">
      <w:pPr>
        <w:spacing w:line="360" w:lineRule="auto"/>
        <w:jc w:val="both"/>
        <w:rPr>
          <w:sz w:val="24"/>
          <w:szCs w:val="24"/>
        </w:rPr>
      </w:pPr>
      <w:r w:rsidRPr="00967C09">
        <w:rPr>
          <w:sz w:val="24"/>
          <w:szCs w:val="24"/>
        </w:rPr>
        <w:t xml:space="preserve">There are several case studies that have been developed in agreement with public agencies or those which concern the public interest such as </w:t>
      </w:r>
      <w:r w:rsidRPr="004C34B3">
        <w:rPr>
          <w:sz w:val="24"/>
          <w:szCs w:val="24"/>
        </w:rPr>
        <w:t>Willmore v South Eastern Electricity Board (1957). In this case</w:t>
      </w:r>
      <w:r w:rsidRPr="00967C09">
        <w:rPr>
          <w:sz w:val="24"/>
          <w:szCs w:val="24"/>
        </w:rPr>
        <w:t>, the plaintiffs began as chicken farmers producing chicks using infrared heat, and the defendant consented to furnish energy. Unfortunately,</w:t>
      </w:r>
      <w:r w:rsidR="00E97023" w:rsidRPr="00E97023">
        <w:t xml:space="preserve"> </w:t>
      </w:r>
      <w:r w:rsidR="00E97023">
        <w:rPr>
          <w:sz w:val="24"/>
          <w:szCs w:val="24"/>
        </w:rPr>
        <w:t>t</w:t>
      </w:r>
      <w:r w:rsidR="00E97023" w:rsidRPr="00E97023">
        <w:rPr>
          <w:sz w:val="24"/>
          <w:szCs w:val="24"/>
        </w:rPr>
        <w:t>he defendant failed to do so, and as a result, the plaintiffs were financially ruined.</w:t>
      </w:r>
      <w:r w:rsidRPr="00967C09">
        <w:rPr>
          <w:sz w:val="24"/>
          <w:szCs w:val="24"/>
        </w:rPr>
        <w:t xml:space="preserve"> There was no contract between the two parties in these circumstances since they were not made for contractual purposes. It is concluded </w:t>
      </w:r>
      <w:r w:rsidR="00E97023" w:rsidRPr="00E97023">
        <w:rPr>
          <w:sz w:val="24"/>
          <w:szCs w:val="24"/>
        </w:rPr>
        <w:t>that the plaintiffs had no right to sue for breach of contract damages because they failed to establish a contract.</w:t>
      </w:r>
    </w:p>
    <w:p w14:paraId="6F53B873" w14:textId="79D801EB" w:rsidR="0040155C" w:rsidRDefault="0040155C" w:rsidP="00967C09">
      <w:pPr>
        <w:spacing w:line="360" w:lineRule="auto"/>
        <w:jc w:val="both"/>
        <w:rPr>
          <w:sz w:val="24"/>
          <w:szCs w:val="24"/>
        </w:rPr>
      </w:pPr>
    </w:p>
    <w:p w14:paraId="27BC4D22" w14:textId="32F998EF" w:rsidR="00D67528" w:rsidRPr="00967C09" w:rsidRDefault="003708D0" w:rsidP="00967C09">
      <w:pPr>
        <w:spacing w:line="360" w:lineRule="auto"/>
        <w:jc w:val="both"/>
        <w:rPr>
          <w:sz w:val="24"/>
          <w:szCs w:val="24"/>
        </w:rPr>
      </w:pPr>
      <w:r>
        <w:rPr>
          <w:sz w:val="24"/>
          <w:szCs w:val="24"/>
        </w:rPr>
        <w:t xml:space="preserve">In other </w:t>
      </w:r>
      <w:proofErr w:type="gramStart"/>
      <w:r>
        <w:rPr>
          <w:sz w:val="24"/>
          <w:szCs w:val="24"/>
        </w:rPr>
        <w:t>cases</w:t>
      </w:r>
      <w:proofErr w:type="gramEnd"/>
      <w:r>
        <w:rPr>
          <w:sz w:val="24"/>
          <w:szCs w:val="24"/>
        </w:rPr>
        <w:t xml:space="preserve"> such as </w:t>
      </w:r>
      <w:r w:rsidR="006D3022" w:rsidRPr="006D3022">
        <w:rPr>
          <w:sz w:val="24"/>
          <w:szCs w:val="24"/>
        </w:rPr>
        <w:t xml:space="preserve">in </w:t>
      </w:r>
      <w:proofErr w:type="spellStart"/>
      <w:r w:rsidR="006D3022" w:rsidRPr="006D3022">
        <w:rPr>
          <w:sz w:val="24"/>
          <w:szCs w:val="24"/>
        </w:rPr>
        <w:t>Triefus</w:t>
      </w:r>
      <w:proofErr w:type="spellEnd"/>
      <w:r w:rsidR="006D3022" w:rsidRPr="006D3022">
        <w:rPr>
          <w:sz w:val="24"/>
          <w:szCs w:val="24"/>
        </w:rPr>
        <w:t xml:space="preserve"> v Post Office</w:t>
      </w:r>
      <w:r>
        <w:rPr>
          <w:sz w:val="24"/>
          <w:szCs w:val="24"/>
        </w:rPr>
        <w:t xml:space="preserve"> [1957]</w:t>
      </w:r>
      <w:r w:rsidR="006D3022" w:rsidRPr="006D3022">
        <w:rPr>
          <w:sz w:val="24"/>
          <w:szCs w:val="24"/>
        </w:rPr>
        <w:t xml:space="preserve"> </w:t>
      </w:r>
      <w:r>
        <w:rPr>
          <w:sz w:val="24"/>
          <w:szCs w:val="24"/>
        </w:rPr>
        <w:t xml:space="preserve">the plaintiff </w:t>
      </w:r>
      <w:r w:rsidR="006D3022" w:rsidRPr="006D3022">
        <w:rPr>
          <w:sz w:val="24"/>
          <w:szCs w:val="24"/>
        </w:rPr>
        <w:t xml:space="preserve">sued the Post Office in both contract and tort for the loss of two registered postal items. Two parcels containing diamonds worth roughly 20,000 Euros were mailed at the same post office in London on different days, 29th April and 22nd July of the same year. </w:t>
      </w:r>
      <w:proofErr w:type="gramStart"/>
      <w:r w:rsidR="006D3022" w:rsidRPr="006D3022">
        <w:rPr>
          <w:sz w:val="24"/>
          <w:szCs w:val="24"/>
        </w:rPr>
        <w:t>As a consequence</w:t>
      </w:r>
      <w:proofErr w:type="gramEnd"/>
      <w:r w:rsidR="006D3022" w:rsidRPr="006D3022">
        <w:rPr>
          <w:sz w:val="24"/>
          <w:szCs w:val="24"/>
        </w:rPr>
        <w:t>, the post office accepted the items. These claims are based on tort, which is a claim based on negligence caused by a dishonest Post Office employee. After the defendant mishandled two mail parcels, the plaintiff filed a claim for reimbursement. The acceptance of a postal item by the Post Office for transmission to the destination generates no contractual rights.</w:t>
      </w:r>
      <w:r w:rsidR="006D3022" w:rsidRPr="006D3022">
        <w:t xml:space="preserve"> </w:t>
      </w:r>
      <w:r w:rsidR="006D3022" w:rsidRPr="006D3022">
        <w:rPr>
          <w:sz w:val="24"/>
          <w:szCs w:val="24"/>
        </w:rPr>
        <w:t>The acceptance of a postal item by the Post Office for transmission to the destination generates no contractual rights</w:t>
      </w:r>
      <w:r w:rsidR="006D3022">
        <w:rPr>
          <w:sz w:val="24"/>
          <w:szCs w:val="24"/>
        </w:rPr>
        <w:t xml:space="preserve"> and t</w:t>
      </w:r>
      <w:r w:rsidR="006D3022" w:rsidRPr="006D3022">
        <w:rPr>
          <w:sz w:val="24"/>
          <w:szCs w:val="24"/>
        </w:rPr>
        <w:t>he court investigated the history of postal legislation.</w:t>
      </w:r>
    </w:p>
    <w:p w14:paraId="41FFBE4B" w14:textId="6AD16E37" w:rsidR="007A1A8A" w:rsidRPr="00967C09" w:rsidRDefault="007A1A8A" w:rsidP="00967C09">
      <w:pPr>
        <w:spacing w:line="360" w:lineRule="auto"/>
        <w:jc w:val="both"/>
        <w:rPr>
          <w:sz w:val="24"/>
          <w:szCs w:val="24"/>
        </w:rPr>
      </w:pPr>
    </w:p>
    <w:p w14:paraId="3F17369E" w14:textId="4FD4DBF7" w:rsidR="00E82A0B" w:rsidRPr="00967C09" w:rsidRDefault="006F1A81" w:rsidP="00967C09">
      <w:pPr>
        <w:spacing w:line="360" w:lineRule="auto"/>
        <w:jc w:val="both"/>
        <w:rPr>
          <w:sz w:val="24"/>
          <w:szCs w:val="24"/>
        </w:rPr>
      </w:pPr>
      <w:r w:rsidRPr="00967C09">
        <w:rPr>
          <w:sz w:val="24"/>
          <w:szCs w:val="24"/>
        </w:rPr>
        <w:t xml:space="preserve">In other decisions, such as </w:t>
      </w:r>
      <w:r w:rsidRPr="003708D0">
        <w:rPr>
          <w:sz w:val="24"/>
          <w:szCs w:val="24"/>
        </w:rPr>
        <w:t>Robinson v HM Customs and Excise, judges</w:t>
      </w:r>
      <w:r w:rsidRPr="00967C09">
        <w:rPr>
          <w:sz w:val="24"/>
          <w:szCs w:val="24"/>
        </w:rPr>
        <w:t xml:space="preserve"> will conclude that certain portions of an agreement are meant to be legally binding while others are not, as in Robinson v HM Customs and Excise (2000). As an informant, the claimant provided information to Customs and Excise. He later attempted to claim that the agreement required him to pay a fee and costs. In such circumstances, the court determined that there was no purpose to establishing legal relations. The decision </w:t>
      </w:r>
      <w:r w:rsidR="00B20D47" w:rsidRPr="00967C09">
        <w:rPr>
          <w:sz w:val="24"/>
          <w:szCs w:val="24"/>
        </w:rPr>
        <w:t>must</w:t>
      </w:r>
      <w:r w:rsidRPr="00967C09">
        <w:rPr>
          <w:sz w:val="24"/>
          <w:szCs w:val="24"/>
        </w:rPr>
        <w:t xml:space="preserve"> be made for public policy considerations.</w:t>
      </w:r>
    </w:p>
    <w:p w14:paraId="340772DD" w14:textId="77777777" w:rsidR="00556DFD" w:rsidRPr="00967C09" w:rsidRDefault="00556DFD" w:rsidP="00967C09">
      <w:pPr>
        <w:spacing w:line="360" w:lineRule="auto"/>
        <w:rPr>
          <w:sz w:val="24"/>
          <w:szCs w:val="24"/>
        </w:rPr>
      </w:pPr>
    </w:p>
    <w:p w14:paraId="5AD17BED" w14:textId="5016B084" w:rsidR="007273E0" w:rsidRPr="00967C09" w:rsidRDefault="00B20D47" w:rsidP="00967C09">
      <w:pPr>
        <w:spacing w:line="360" w:lineRule="auto"/>
        <w:jc w:val="both"/>
        <w:rPr>
          <w:sz w:val="24"/>
          <w:szCs w:val="24"/>
        </w:rPr>
      </w:pPr>
      <w:r w:rsidRPr="00967C09">
        <w:rPr>
          <w:sz w:val="24"/>
          <w:szCs w:val="24"/>
        </w:rPr>
        <w:t>In conclusion,</w:t>
      </w:r>
      <w:r w:rsidR="002404D9">
        <w:rPr>
          <w:sz w:val="24"/>
          <w:szCs w:val="24"/>
        </w:rPr>
        <w:t xml:space="preserve"> </w:t>
      </w:r>
      <w:r w:rsidRPr="00967C09">
        <w:rPr>
          <w:sz w:val="24"/>
          <w:szCs w:val="24"/>
        </w:rPr>
        <w:t xml:space="preserve">the purpose to create legal ties is essential in the construction of the contract, which </w:t>
      </w:r>
      <w:r w:rsidR="00E97023" w:rsidRPr="00E97023">
        <w:rPr>
          <w:sz w:val="24"/>
          <w:szCs w:val="24"/>
        </w:rPr>
        <w:t>intends to keep family and friend agreements out of the purview of the courts.</w:t>
      </w:r>
      <w:r w:rsidR="00E97023">
        <w:rPr>
          <w:sz w:val="24"/>
          <w:szCs w:val="24"/>
        </w:rPr>
        <w:t xml:space="preserve"> </w:t>
      </w:r>
      <w:r w:rsidR="00D75171" w:rsidRPr="00D75171">
        <w:rPr>
          <w:sz w:val="24"/>
          <w:szCs w:val="24"/>
        </w:rPr>
        <w:t>There may be difficulties in determining the sort of contract for the purposes of applying the presumption. Edmonds v Lawson [2000] is an excellent example of how, on occasion, it can be difficult to distinguish a contract as either commercial or social/domestic, and how the presumption itself might compel an artificial categorization that fails to represent the reality of the contractual setting</w:t>
      </w:r>
      <w:r w:rsidR="00D75171">
        <w:rPr>
          <w:sz w:val="24"/>
          <w:szCs w:val="24"/>
        </w:rPr>
        <w:t xml:space="preserve"> </w:t>
      </w:r>
      <w:r w:rsidR="002713EE">
        <w:rPr>
          <w:sz w:val="24"/>
          <w:szCs w:val="24"/>
        </w:rPr>
        <w:t>(Poole, 2014).</w:t>
      </w:r>
    </w:p>
    <w:p w14:paraId="35050B33" w14:textId="77777777" w:rsidR="0065693E" w:rsidRDefault="0065693E" w:rsidP="00BE07E7">
      <w:pPr>
        <w:tabs>
          <w:tab w:val="left" w:pos="1994"/>
        </w:tabs>
        <w:spacing w:line="360" w:lineRule="auto"/>
        <w:rPr>
          <w:sz w:val="24"/>
          <w:szCs w:val="24"/>
          <w:u w:val="single"/>
        </w:rPr>
      </w:pPr>
    </w:p>
    <w:p w14:paraId="5BD00B44" w14:textId="3041E553" w:rsidR="00967C09" w:rsidRPr="00AC58BC" w:rsidRDefault="004C34B3" w:rsidP="00AC58BC">
      <w:pPr>
        <w:pStyle w:val="Heading1"/>
        <w:rPr>
          <w:rFonts w:ascii="Times New Roman" w:hAnsi="Times New Roman" w:cs="Times New Roman"/>
          <w:color w:val="auto"/>
          <w:sz w:val="24"/>
          <w:szCs w:val="24"/>
        </w:rPr>
      </w:pPr>
      <w:bookmarkStart w:id="4" w:name="_Toc129374540"/>
      <w:r w:rsidRPr="00AC58BC">
        <w:rPr>
          <w:rFonts w:ascii="Times New Roman" w:hAnsi="Times New Roman" w:cs="Times New Roman"/>
          <w:color w:val="auto"/>
          <w:sz w:val="24"/>
          <w:szCs w:val="24"/>
        </w:rPr>
        <w:t xml:space="preserve">(e) </w:t>
      </w:r>
      <w:r w:rsidR="00E737B5" w:rsidRPr="00AC58BC">
        <w:rPr>
          <w:rFonts w:ascii="Times New Roman" w:hAnsi="Times New Roman" w:cs="Times New Roman"/>
          <w:color w:val="auto"/>
          <w:sz w:val="24"/>
          <w:szCs w:val="24"/>
        </w:rPr>
        <w:t>References</w:t>
      </w:r>
      <w:bookmarkEnd w:id="4"/>
      <w:r w:rsidR="00857BAC" w:rsidRPr="00AC58BC">
        <w:rPr>
          <w:rFonts w:ascii="Times New Roman" w:hAnsi="Times New Roman" w:cs="Times New Roman"/>
          <w:color w:val="auto"/>
          <w:sz w:val="24"/>
          <w:szCs w:val="24"/>
        </w:rPr>
        <w:t xml:space="preserve"> </w:t>
      </w:r>
    </w:p>
    <w:p w14:paraId="1EFFA2B9" w14:textId="77777777" w:rsidR="0065693E" w:rsidRDefault="0065693E" w:rsidP="00BE07E7">
      <w:pPr>
        <w:tabs>
          <w:tab w:val="left" w:pos="1994"/>
        </w:tabs>
        <w:spacing w:line="360" w:lineRule="auto"/>
        <w:rPr>
          <w:sz w:val="32"/>
          <w:szCs w:val="32"/>
          <w:u w:val="single"/>
        </w:rPr>
      </w:pPr>
    </w:p>
    <w:p w14:paraId="6B8A4677" w14:textId="46DDB7D0" w:rsidR="00303419" w:rsidRPr="0065693E" w:rsidRDefault="00303419" w:rsidP="0065693E">
      <w:pPr>
        <w:pStyle w:val="ListParagraph"/>
        <w:numPr>
          <w:ilvl w:val="0"/>
          <w:numId w:val="5"/>
        </w:numPr>
        <w:spacing w:line="360" w:lineRule="auto"/>
        <w:rPr>
          <w:sz w:val="24"/>
          <w:szCs w:val="24"/>
          <w:u w:val="single"/>
        </w:rPr>
      </w:pPr>
      <w:r w:rsidRPr="0065693E">
        <w:rPr>
          <w:sz w:val="24"/>
          <w:szCs w:val="24"/>
          <w:u w:val="single"/>
        </w:rPr>
        <w:t xml:space="preserve">Case law </w:t>
      </w:r>
    </w:p>
    <w:p w14:paraId="66FC87B9" w14:textId="77777777" w:rsidR="00976D9B" w:rsidRPr="00760FBF" w:rsidRDefault="00976D9B" w:rsidP="00AB5395">
      <w:pPr>
        <w:pStyle w:val="NormalWeb"/>
        <w:numPr>
          <w:ilvl w:val="0"/>
          <w:numId w:val="6"/>
        </w:numPr>
        <w:spacing w:line="360" w:lineRule="auto"/>
        <w:rPr>
          <w:sz w:val="20"/>
          <w:szCs w:val="20"/>
          <w:shd w:val="clear" w:color="auto" w:fill="FFFFFF"/>
        </w:rPr>
      </w:pPr>
      <w:r w:rsidRPr="00760FBF">
        <w:rPr>
          <w:sz w:val="20"/>
          <w:szCs w:val="20"/>
          <w:shd w:val="clear" w:color="auto" w:fill="FFFFFF"/>
        </w:rPr>
        <w:t>Albert v Motor Insurance Bureau [1971] 3 WLR 291</w:t>
      </w:r>
    </w:p>
    <w:p w14:paraId="00EFBBDF" w14:textId="77777777" w:rsidR="00976D9B" w:rsidRPr="00AB5395" w:rsidRDefault="00976D9B" w:rsidP="00AB5395">
      <w:pPr>
        <w:pStyle w:val="ListParagraph"/>
        <w:numPr>
          <w:ilvl w:val="0"/>
          <w:numId w:val="6"/>
        </w:numPr>
        <w:spacing w:line="360" w:lineRule="auto"/>
        <w:rPr>
          <w:rStyle w:val="Strong"/>
          <w:b w:val="0"/>
          <w:bCs w:val="0"/>
          <w:shd w:val="clear" w:color="auto" w:fill="FFFFFF"/>
        </w:rPr>
      </w:pPr>
      <w:r w:rsidRPr="00AB5395">
        <w:rPr>
          <w:rStyle w:val="Emphasis"/>
          <w:i w:val="0"/>
          <w:iCs w:val="0"/>
          <w:shd w:val="clear" w:color="auto" w:fill="FFFFFF"/>
        </w:rPr>
        <w:t>Balfour v Balfour</w:t>
      </w:r>
      <w:r w:rsidRPr="00AB5395">
        <w:rPr>
          <w:rStyle w:val="Strong"/>
          <w:shd w:val="clear" w:color="auto" w:fill="FFFFFF"/>
        </w:rPr>
        <w:t> </w:t>
      </w:r>
      <w:r w:rsidRPr="00AB5395">
        <w:rPr>
          <w:rStyle w:val="Strong"/>
          <w:b w:val="0"/>
          <w:bCs w:val="0"/>
          <w:shd w:val="clear" w:color="auto" w:fill="FFFFFF"/>
        </w:rPr>
        <w:t>[1919] 2 KB 571</w:t>
      </w:r>
    </w:p>
    <w:p w14:paraId="08071090" w14:textId="77777777" w:rsidR="00976D9B" w:rsidRPr="00760FBF" w:rsidRDefault="00976D9B" w:rsidP="00AB5395">
      <w:pPr>
        <w:pStyle w:val="ListParagraph"/>
        <w:numPr>
          <w:ilvl w:val="0"/>
          <w:numId w:val="6"/>
        </w:numPr>
        <w:spacing w:line="360" w:lineRule="auto"/>
      </w:pPr>
      <w:r w:rsidRPr="00760FBF">
        <w:t>Blue v Ashley [2017] EWHC 1928 (Comm)</w:t>
      </w:r>
    </w:p>
    <w:p w14:paraId="121320C9" w14:textId="77777777" w:rsidR="00976D9B" w:rsidRPr="00760FBF" w:rsidRDefault="00976D9B" w:rsidP="00AB5395">
      <w:pPr>
        <w:pStyle w:val="NormalWeb"/>
        <w:numPr>
          <w:ilvl w:val="0"/>
          <w:numId w:val="6"/>
        </w:numPr>
        <w:spacing w:line="360" w:lineRule="auto"/>
        <w:rPr>
          <w:sz w:val="20"/>
          <w:szCs w:val="20"/>
          <w:shd w:val="clear" w:color="auto" w:fill="FFFFFF"/>
        </w:rPr>
      </w:pPr>
      <w:r w:rsidRPr="00760FBF">
        <w:rPr>
          <w:sz w:val="20"/>
          <w:szCs w:val="20"/>
          <w:shd w:val="clear" w:color="auto" w:fill="FFFFFF"/>
        </w:rPr>
        <w:t>Coward v Motor Insurance Bureau [1963] 1 QB 259</w:t>
      </w:r>
    </w:p>
    <w:p w14:paraId="02DD6E0B" w14:textId="77777777" w:rsidR="00976D9B" w:rsidRPr="00760FBF" w:rsidRDefault="00976D9B" w:rsidP="00AB5395">
      <w:pPr>
        <w:pStyle w:val="NormalWeb"/>
        <w:numPr>
          <w:ilvl w:val="0"/>
          <w:numId w:val="6"/>
        </w:numPr>
        <w:spacing w:line="360" w:lineRule="auto"/>
        <w:rPr>
          <w:sz w:val="20"/>
          <w:szCs w:val="20"/>
        </w:rPr>
      </w:pPr>
      <w:r>
        <w:rPr>
          <w:sz w:val="20"/>
          <w:szCs w:val="20"/>
        </w:rPr>
        <w:t>Edmonds v Lawson [2000] QB501</w:t>
      </w:r>
    </w:p>
    <w:p w14:paraId="03D33B82" w14:textId="77777777" w:rsidR="00976D9B" w:rsidRPr="00760FBF" w:rsidRDefault="00976D9B" w:rsidP="00AB5395">
      <w:pPr>
        <w:pStyle w:val="NormalWeb"/>
        <w:numPr>
          <w:ilvl w:val="0"/>
          <w:numId w:val="6"/>
        </w:numPr>
        <w:spacing w:line="360" w:lineRule="auto"/>
        <w:rPr>
          <w:sz w:val="16"/>
          <w:szCs w:val="16"/>
        </w:rPr>
      </w:pPr>
      <w:r w:rsidRPr="00760FBF">
        <w:rPr>
          <w:sz w:val="20"/>
          <w:szCs w:val="20"/>
          <w:shd w:val="clear" w:color="auto" w:fill="FFFFFF"/>
        </w:rPr>
        <w:t xml:space="preserve">ERDC Group Ltd v Brunel Uni [2006]. </w:t>
      </w:r>
      <w:r w:rsidRPr="00760FBF">
        <w:rPr>
          <w:sz w:val="20"/>
          <w:szCs w:val="20"/>
        </w:rPr>
        <w:t>EWHC 687 (TCC)</w:t>
      </w:r>
    </w:p>
    <w:p w14:paraId="599E9918" w14:textId="77777777" w:rsidR="00976D9B" w:rsidRPr="00760FBF" w:rsidRDefault="00976D9B" w:rsidP="00AB5395">
      <w:pPr>
        <w:pStyle w:val="NormalWeb"/>
        <w:numPr>
          <w:ilvl w:val="0"/>
          <w:numId w:val="6"/>
        </w:numPr>
        <w:spacing w:line="360" w:lineRule="auto"/>
        <w:rPr>
          <w:sz w:val="20"/>
          <w:szCs w:val="20"/>
        </w:rPr>
      </w:pPr>
      <w:r w:rsidRPr="00760FBF">
        <w:rPr>
          <w:sz w:val="20"/>
          <w:szCs w:val="20"/>
          <w:bdr w:val="none" w:sz="0" w:space="0" w:color="auto" w:frame="1"/>
          <w:shd w:val="clear" w:color="auto" w:fill="FFFFFF"/>
        </w:rPr>
        <w:t>Errington v Errington and Woods [1952] 1 KB 290, [1952] 1 All ER 149, 158 EG 630</w:t>
      </w:r>
    </w:p>
    <w:p w14:paraId="34642303" w14:textId="77777777" w:rsidR="00976D9B" w:rsidRPr="00760FBF" w:rsidRDefault="00976D9B" w:rsidP="00AB5395">
      <w:pPr>
        <w:pStyle w:val="NormalWeb"/>
        <w:numPr>
          <w:ilvl w:val="0"/>
          <w:numId w:val="6"/>
        </w:numPr>
        <w:spacing w:line="360" w:lineRule="auto"/>
        <w:rPr>
          <w:sz w:val="20"/>
          <w:szCs w:val="20"/>
        </w:rPr>
      </w:pPr>
      <w:r w:rsidRPr="00760FBF">
        <w:rPr>
          <w:sz w:val="20"/>
          <w:szCs w:val="20"/>
        </w:rPr>
        <w:t>Esso Petroleum v Commissioners of Customs and Excise. [1976] 1 WLR 1</w:t>
      </w:r>
    </w:p>
    <w:p w14:paraId="009FEF41" w14:textId="77777777" w:rsidR="00976D9B" w:rsidRPr="00760FBF" w:rsidRDefault="00976D9B" w:rsidP="00AB5395">
      <w:pPr>
        <w:pStyle w:val="NormalWeb"/>
        <w:numPr>
          <w:ilvl w:val="0"/>
          <w:numId w:val="6"/>
        </w:numPr>
        <w:spacing w:line="360" w:lineRule="auto"/>
        <w:rPr>
          <w:sz w:val="20"/>
          <w:szCs w:val="20"/>
        </w:rPr>
      </w:pPr>
      <w:r w:rsidRPr="00760FBF">
        <w:rPr>
          <w:sz w:val="20"/>
          <w:szCs w:val="20"/>
        </w:rPr>
        <w:t xml:space="preserve">Jones v </w:t>
      </w:r>
      <w:proofErr w:type="spellStart"/>
      <w:r w:rsidRPr="00760FBF">
        <w:rPr>
          <w:sz w:val="20"/>
          <w:szCs w:val="20"/>
        </w:rPr>
        <w:t>Padavatton</w:t>
      </w:r>
      <w:proofErr w:type="spellEnd"/>
      <w:r w:rsidRPr="00760FBF">
        <w:rPr>
          <w:sz w:val="20"/>
          <w:szCs w:val="20"/>
        </w:rPr>
        <w:t xml:space="preserve"> [1969]</w:t>
      </w:r>
      <w:r>
        <w:rPr>
          <w:sz w:val="20"/>
          <w:szCs w:val="20"/>
        </w:rPr>
        <w:t xml:space="preserve"> [WLR 328]</w:t>
      </w:r>
    </w:p>
    <w:p w14:paraId="12AA36D4" w14:textId="77777777" w:rsidR="00976D9B" w:rsidRPr="00760FBF" w:rsidRDefault="00976D9B" w:rsidP="00AB5395">
      <w:pPr>
        <w:pStyle w:val="NormalWeb"/>
        <w:numPr>
          <w:ilvl w:val="0"/>
          <w:numId w:val="6"/>
        </w:numPr>
        <w:spacing w:line="360" w:lineRule="auto"/>
        <w:rPr>
          <w:sz w:val="20"/>
          <w:szCs w:val="20"/>
          <w:shd w:val="clear" w:color="auto" w:fill="FFFFFF"/>
        </w:rPr>
      </w:pPr>
      <w:r w:rsidRPr="00760FBF">
        <w:rPr>
          <w:sz w:val="20"/>
          <w:szCs w:val="20"/>
          <w:shd w:val="clear" w:color="auto" w:fill="FFFFFF"/>
        </w:rPr>
        <w:t xml:space="preserve">Kleinwort Benson Ltd v Malaysia Mining Company </w:t>
      </w:r>
      <w:proofErr w:type="spellStart"/>
      <w:r w:rsidRPr="00760FBF">
        <w:rPr>
          <w:sz w:val="20"/>
          <w:szCs w:val="20"/>
          <w:shd w:val="clear" w:color="auto" w:fill="FFFFFF"/>
        </w:rPr>
        <w:t>Berhad</w:t>
      </w:r>
      <w:proofErr w:type="spellEnd"/>
      <w:r w:rsidRPr="00760FBF">
        <w:rPr>
          <w:sz w:val="20"/>
          <w:szCs w:val="20"/>
          <w:shd w:val="clear" w:color="auto" w:fill="FFFFFF"/>
        </w:rPr>
        <w:t xml:space="preserve"> (1989) 1 WLR 379</w:t>
      </w:r>
    </w:p>
    <w:p w14:paraId="27062EEC" w14:textId="77777777" w:rsidR="00976D9B" w:rsidRPr="00760FBF" w:rsidRDefault="00976D9B" w:rsidP="00AB5395">
      <w:pPr>
        <w:pStyle w:val="NormalWeb"/>
        <w:numPr>
          <w:ilvl w:val="0"/>
          <w:numId w:val="6"/>
        </w:numPr>
        <w:spacing w:line="360" w:lineRule="auto"/>
        <w:rPr>
          <w:sz w:val="20"/>
          <w:szCs w:val="20"/>
        </w:rPr>
      </w:pPr>
      <w:r w:rsidRPr="00760FBF">
        <w:rPr>
          <w:sz w:val="20"/>
          <w:szCs w:val="20"/>
        </w:rPr>
        <w:t>Merritt v Merritt [1970] 1 WLR 1211</w:t>
      </w:r>
    </w:p>
    <w:p w14:paraId="3342D2CA" w14:textId="77777777" w:rsidR="00976D9B" w:rsidRPr="00760FBF" w:rsidRDefault="00976D9B" w:rsidP="00AB5395">
      <w:pPr>
        <w:pStyle w:val="NormalWeb"/>
        <w:numPr>
          <w:ilvl w:val="0"/>
          <w:numId w:val="6"/>
        </w:numPr>
        <w:spacing w:line="360" w:lineRule="auto"/>
        <w:rPr>
          <w:sz w:val="20"/>
          <w:szCs w:val="20"/>
        </w:rPr>
      </w:pPr>
      <w:r w:rsidRPr="00760FBF">
        <w:rPr>
          <w:sz w:val="20"/>
          <w:szCs w:val="20"/>
        </w:rPr>
        <w:t>Robinson v HM Customs and Excise [2004] UKVAT (Excise) E00632</w:t>
      </w:r>
    </w:p>
    <w:p w14:paraId="259D504F" w14:textId="77777777" w:rsidR="00976D9B" w:rsidRPr="00760FBF" w:rsidRDefault="00976D9B" w:rsidP="00AB5395">
      <w:pPr>
        <w:pStyle w:val="NormalWeb"/>
        <w:numPr>
          <w:ilvl w:val="0"/>
          <w:numId w:val="6"/>
        </w:numPr>
        <w:spacing w:line="360" w:lineRule="auto"/>
        <w:rPr>
          <w:sz w:val="20"/>
          <w:szCs w:val="20"/>
        </w:rPr>
      </w:pPr>
      <w:r w:rsidRPr="00760FBF">
        <w:rPr>
          <w:sz w:val="20"/>
          <w:szCs w:val="20"/>
        </w:rPr>
        <w:t>Rose &amp; Frank Co v JR Crompton &amp; Bros Ltd [1925] AC 445</w:t>
      </w:r>
    </w:p>
    <w:p w14:paraId="1F1EBC62" w14:textId="77777777" w:rsidR="00976D9B" w:rsidRPr="00760FBF" w:rsidRDefault="00976D9B" w:rsidP="00AB5395">
      <w:pPr>
        <w:pStyle w:val="NormalWeb"/>
        <w:numPr>
          <w:ilvl w:val="0"/>
          <w:numId w:val="6"/>
        </w:numPr>
        <w:spacing w:line="360" w:lineRule="auto"/>
        <w:rPr>
          <w:sz w:val="20"/>
          <w:szCs w:val="20"/>
        </w:rPr>
      </w:pPr>
      <w:r w:rsidRPr="00760FBF">
        <w:rPr>
          <w:sz w:val="20"/>
          <w:szCs w:val="20"/>
        </w:rPr>
        <w:t>Simpkins v Pays [1955] 1 WLR 975</w:t>
      </w:r>
    </w:p>
    <w:p w14:paraId="792DB6FB" w14:textId="77777777" w:rsidR="00976D9B" w:rsidRDefault="00976D9B" w:rsidP="00AB5395">
      <w:pPr>
        <w:pStyle w:val="NormalWeb"/>
        <w:numPr>
          <w:ilvl w:val="0"/>
          <w:numId w:val="6"/>
        </w:numPr>
        <w:spacing w:line="360" w:lineRule="auto"/>
        <w:rPr>
          <w:sz w:val="20"/>
          <w:szCs w:val="20"/>
        </w:rPr>
      </w:pPr>
      <w:proofErr w:type="spellStart"/>
      <w:r>
        <w:rPr>
          <w:sz w:val="20"/>
          <w:szCs w:val="20"/>
        </w:rPr>
        <w:t>Triefus</w:t>
      </w:r>
      <w:proofErr w:type="spellEnd"/>
      <w:r>
        <w:rPr>
          <w:sz w:val="20"/>
          <w:szCs w:val="20"/>
        </w:rPr>
        <w:t xml:space="preserve"> v Post Office [1957] CA1957</w:t>
      </w:r>
    </w:p>
    <w:p w14:paraId="69D1A64B" w14:textId="77777777" w:rsidR="00976D9B" w:rsidRDefault="00976D9B" w:rsidP="00AB5395">
      <w:pPr>
        <w:pStyle w:val="NormalWeb"/>
        <w:numPr>
          <w:ilvl w:val="0"/>
          <w:numId w:val="6"/>
        </w:numPr>
        <w:spacing w:line="360" w:lineRule="auto"/>
        <w:rPr>
          <w:sz w:val="20"/>
          <w:szCs w:val="20"/>
        </w:rPr>
      </w:pPr>
      <w:r w:rsidRPr="00760FBF">
        <w:rPr>
          <w:sz w:val="20"/>
          <w:szCs w:val="20"/>
        </w:rPr>
        <w:lastRenderedPageBreak/>
        <w:t>Willmore v South Eastern Electricity Board [1957</w:t>
      </w:r>
      <w:r w:rsidRPr="00760FBF">
        <w:rPr>
          <w:sz w:val="20"/>
          <w:szCs w:val="20"/>
        </w:rPr>
        <w:t>]</w:t>
      </w:r>
      <w:r>
        <w:rPr>
          <w:sz w:val="20"/>
          <w:szCs w:val="20"/>
        </w:rPr>
        <w:t xml:space="preserve"> 2</w:t>
      </w:r>
      <w:r w:rsidRPr="00D75171">
        <w:rPr>
          <w:color w:val="4D5156"/>
          <w:sz w:val="20"/>
          <w:szCs w:val="20"/>
          <w:shd w:val="clear" w:color="auto" w:fill="FFFFFF"/>
        </w:rPr>
        <w:t xml:space="preserve"> Lloyd's Rep 375</w:t>
      </w:r>
    </w:p>
    <w:p w14:paraId="09EE00FD" w14:textId="77777777" w:rsidR="0065693E" w:rsidRPr="00EF6358" w:rsidRDefault="0065693E" w:rsidP="00857BAC">
      <w:pPr>
        <w:spacing w:line="360" w:lineRule="auto"/>
        <w:rPr>
          <w:sz w:val="32"/>
          <w:szCs w:val="32"/>
          <w:u w:val="single"/>
        </w:rPr>
      </w:pPr>
    </w:p>
    <w:p w14:paraId="41F62573" w14:textId="5B042CF1" w:rsidR="00857BAC" w:rsidRPr="003708D0" w:rsidRDefault="00857BAC" w:rsidP="0065693E">
      <w:pPr>
        <w:pStyle w:val="ListParagraph"/>
        <w:numPr>
          <w:ilvl w:val="0"/>
          <w:numId w:val="5"/>
        </w:numPr>
        <w:spacing w:line="360" w:lineRule="auto"/>
        <w:rPr>
          <w:sz w:val="24"/>
          <w:szCs w:val="24"/>
        </w:rPr>
      </w:pPr>
      <w:r w:rsidRPr="003708D0">
        <w:rPr>
          <w:sz w:val="24"/>
          <w:szCs w:val="24"/>
        </w:rPr>
        <w:t>Academic literature</w:t>
      </w:r>
      <w:r w:rsidR="003708D0" w:rsidRPr="003708D0">
        <w:rPr>
          <w:sz w:val="24"/>
          <w:szCs w:val="24"/>
        </w:rPr>
        <w:t>.</w:t>
      </w:r>
    </w:p>
    <w:p w14:paraId="18A38F58" w14:textId="72A4610A" w:rsidR="002713EE" w:rsidRDefault="002713EE" w:rsidP="002713EE">
      <w:pPr>
        <w:pStyle w:val="NormalWeb"/>
        <w:numPr>
          <w:ilvl w:val="0"/>
          <w:numId w:val="7"/>
        </w:numPr>
        <w:spacing w:line="480" w:lineRule="auto"/>
        <w:rPr>
          <w:sz w:val="20"/>
          <w:szCs w:val="20"/>
        </w:rPr>
      </w:pPr>
      <w:r w:rsidRPr="00AB5395">
        <w:rPr>
          <w:sz w:val="20"/>
          <w:szCs w:val="20"/>
        </w:rPr>
        <w:t>‌Chappell, D. (2008). Parris's Standard Form of Building Contract: JCT 98. Germany: Wiley.</w:t>
      </w:r>
    </w:p>
    <w:p w14:paraId="55BEF324" w14:textId="77777777" w:rsidR="002713EE" w:rsidRPr="00AB5395" w:rsidRDefault="002713EE" w:rsidP="002713EE">
      <w:pPr>
        <w:pStyle w:val="NormalWeb"/>
        <w:numPr>
          <w:ilvl w:val="0"/>
          <w:numId w:val="7"/>
        </w:numPr>
        <w:spacing w:line="480" w:lineRule="auto"/>
        <w:rPr>
          <w:sz w:val="20"/>
          <w:szCs w:val="20"/>
        </w:rPr>
      </w:pPr>
      <w:r w:rsidRPr="00AB5395">
        <w:rPr>
          <w:rStyle w:val="boldfont"/>
          <w:sz w:val="20"/>
          <w:szCs w:val="20"/>
        </w:rPr>
        <w:t>Civil Procedure (Volume 11 (2020), paras 1–496; Volume 12 (2020), paras 497–1206; Volume 12A (2020), paras 1207–1740)</w:t>
      </w:r>
      <w:r w:rsidRPr="00AB5395">
        <w:rPr>
          <w:sz w:val="20"/>
          <w:szCs w:val="20"/>
        </w:rPr>
        <w:t xml:space="preserve"> court. 2023. Available at: </w:t>
      </w:r>
      <w:hyperlink r:id="rId9" w:history="1">
        <w:r w:rsidRPr="00AB5395">
          <w:rPr>
            <w:rStyle w:val="Hyperlink"/>
            <w:color w:val="auto"/>
            <w:sz w:val="20"/>
            <w:szCs w:val="20"/>
            <w:u w:val="none"/>
          </w:rPr>
          <w:t>https://dictionary.cambridge.org/dictionary/english/court</w:t>
        </w:r>
      </w:hyperlink>
      <w:r w:rsidRPr="00AB5395">
        <w:rPr>
          <w:sz w:val="20"/>
          <w:szCs w:val="20"/>
        </w:rPr>
        <w:t>.</w:t>
      </w:r>
    </w:p>
    <w:p w14:paraId="2988DB9B" w14:textId="77777777" w:rsidR="002713EE" w:rsidRDefault="002713EE" w:rsidP="002713EE">
      <w:pPr>
        <w:pStyle w:val="NormalWeb"/>
        <w:numPr>
          <w:ilvl w:val="0"/>
          <w:numId w:val="7"/>
        </w:numPr>
        <w:spacing w:before="0" w:beforeAutospacing="0" w:after="0" w:afterAutospacing="0" w:line="480" w:lineRule="auto"/>
        <w:rPr>
          <w:sz w:val="20"/>
          <w:szCs w:val="20"/>
        </w:rPr>
      </w:pPr>
      <w:proofErr w:type="spellStart"/>
      <w:r w:rsidRPr="002713EE">
        <w:rPr>
          <w:sz w:val="20"/>
          <w:szCs w:val="20"/>
        </w:rPr>
        <w:t>Cobley</w:t>
      </w:r>
      <w:proofErr w:type="spellEnd"/>
      <w:r w:rsidRPr="002713EE">
        <w:rPr>
          <w:sz w:val="20"/>
          <w:szCs w:val="20"/>
        </w:rPr>
        <w:t xml:space="preserve">, R. (2022). Understanding Commercial Contracts - Commercial Contract Law. Harper James. Available at: https://harperjames.co.uk/article/commercial-contracts-faqs </w:t>
      </w:r>
    </w:p>
    <w:p w14:paraId="41638282" w14:textId="7F4F8AB2" w:rsidR="002713EE" w:rsidRPr="002713EE" w:rsidRDefault="002713EE" w:rsidP="002713EE">
      <w:pPr>
        <w:pStyle w:val="NormalWeb"/>
        <w:numPr>
          <w:ilvl w:val="0"/>
          <w:numId w:val="7"/>
        </w:numPr>
        <w:spacing w:before="0" w:beforeAutospacing="0" w:after="0" w:afterAutospacing="0" w:line="480" w:lineRule="auto"/>
        <w:rPr>
          <w:sz w:val="20"/>
          <w:szCs w:val="20"/>
        </w:rPr>
      </w:pPr>
      <w:r w:rsidRPr="002713EE">
        <w:rPr>
          <w:sz w:val="20"/>
          <w:szCs w:val="20"/>
        </w:rPr>
        <w:t xml:space="preserve">GOV.UK. (n.d.). Classification of public bodies: information and guidance. Available at: https://www.gov.uk/government/publications/classification-of-public-bodies-information-and-guidance. </w:t>
      </w:r>
    </w:p>
    <w:p w14:paraId="2192797D" w14:textId="77777777" w:rsidR="002713EE" w:rsidRPr="00AB5395" w:rsidRDefault="002713EE" w:rsidP="002713EE">
      <w:pPr>
        <w:pStyle w:val="ListParagraph"/>
        <w:numPr>
          <w:ilvl w:val="0"/>
          <w:numId w:val="7"/>
        </w:numPr>
        <w:spacing w:line="480" w:lineRule="auto"/>
        <w:rPr>
          <w:shd w:val="clear" w:color="auto" w:fill="FBFBFB"/>
        </w:rPr>
      </w:pPr>
      <w:r w:rsidRPr="00AB5395">
        <w:rPr>
          <w:shd w:val="clear" w:color="auto" w:fill="FBFBFB"/>
        </w:rPr>
        <w:t xml:space="preserve">Halsbury’s Laws of England 2020 </w:t>
      </w:r>
      <w:r w:rsidRPr="00AB5395">
        <w:rPr>
          <w:shd w:val="clear" w:color="auto" w:fill="FFFFFF"/>
        </w:rPr>
        <w:t xml:space="preserve">464. </w:t>
      </w:r>
      <w:r w:rsidRPr="00AB5395">
        <w:rPr>
          <w:shd w:val="clear" w:color="auto" w:fill="FBFBFB"/>
        </w:rPr>
        <w:t>Rebuttable presumption of Law</w:t>
      </w:r>
      <w:r w:rsidRPr="00AB5395">
        <w:rPr>
          <w:shd w:val="clear" w:color="auto" w:fill="FFFFFF"/>
        </w:rPr>
        <w:t xml:space="preserve"> (2014) London: Lexis Nexis.</w:t>
      </w:r>
    </w:p>
    <w:p w14:paraId="0B4B7619" w14:textId="77777777" w:rsidR="002713EE" w:rsidRPr="00AB5395" w:rsidRDefault="002713EE" w:rsidP="002713EE">
      <w:pPr>
        <w:pStyle w:val="NormalWeb"/>
        <w:numPr>
          <w:ilvl w:val="0"/>
          <w:numId w:val="7"/>
        </w:numPr>
        <w:spacing w:line="480" w:lineRule="auto"/>
        <w:rPr>
          <w:sz w:val="20"/>
          <w:szCs w:val="20"/>
        </w:rPr>
      </w:pPr>
      <w:r w:rsidRPr="00AB5395">
        <w:rPr>
          <w:sz w:val="20"/>
          <w:szCs w:val="20"/>
        </w:rPr>
        <w:t>Intention to create legal relations. [no date]. Available at: http://www.e-lawresources.co.uk/Intention-to-create-legal-relations.php.</w:t>
      </w:r>
    </w:p>
    <w:p w14:paraId="54B659EB" w14:textId="77777777" w:rsidR="002713EE" w:rsidRDefault="002713EE" w:rsidP="00D37625">
      <w:pPr>
        <w:pStyle w:val="NormalWeb"/>
        <w:numPr>
          <w:ilvl w:val="0"/>
          <w:numId w:val="7"/>
        </w:numPr>
        <w:spacing w:before="0" w:beforeAutospacing="0" w:after="240" w:afterAutospacing="0" w:line="480" w:lineRule="auto"/>
        <w:rPr>
          <w:sz w:val="20"/>
          <w:szCs w:val="20"/>
        </w:rPr>
      </w:pPr>
      <w:r w:rsidRPr="002713EE">
        <w:rPr>
          <w:sz w:val="20"/>
          <w:szCs w:val="20"/>
        </w:rPr>
        <w:t>Poole, J [2014]. Textbook on contract law. 12</w:t>
      </w:r>
      <w:r w:rsidRPr="002713EE">
        <w:rPr>
          <w:sz w:val="20"/>
          <w:szCs w:val="20"/>
          <w:vertAlign w:val="superscript"/>
        </w:rPr>
        <w:t>th</w:t>
      </w:r>
      <w:r w:rsidRPr="002713EE">
        <w:rPr>
          <w:sz w:val="20"/>
          <w:szCs w:val="20"/>
        </w:rPr>
        <w:t xml:space="preserve"> ed. Oxford: Oxford University </w:t>
      </w:r>
      <w:proofErr w:type="spellStart"/>
      <w:r w:rsidRPr="002713EE">
        <w:rPr>
          <w:sz w:val="20"/>
          <w:szCs w:val="20"/>
        </w:rPr>
        <w:t>PressSolicitors</w:t>
      </w:r>
      <w:proofErr w:type="spellEnd"/>
      <w:r w:rsidRPr="002713EE">
        <w:rPr>
          <w:sz w:val="20"/>
          <w:szCs w:val="20"/>
        </w:rPr>
        <w:t xml:space="preserve">, L. (2017). Formation of contract: Intention to create legal relations.  Levi Solicitors LLP. Available at: https://levisolicitors.co.uk/news/intention-create-legal-relations </w:t>
      </w:r>
    </w:p>
    <w:p w14:paraId="0E38A84F" w14:textId="0EEA7C7C" w:rsidR="002713EE" w:rsidRPr="002713EE" w:rsidRDefault="002713EE" w:rsidP="00D37625">
      <w:pPr>
        <w:pStyle w:val="NormalWeb"/>
        <w:numPr>
          <w:ilvl w:val="0"/>
          <w:numId w:val="7"/>
        </w:numPr>
        <w:spacing w:before="0" w:beforeAutospacing="0" w:after="240" w:afterAutospacing="0" w:line="480" w:lineRule="auto"/>
        <w:rPr>
          <w:sz w:val="20"/>
          <w:szCs w:val="20"/>
        </w:rPr>
      </w:pPr>
      <w:r w:rsidRPr="002713EE">
        <w:rPr>
          <w:sz w:val="20"/>
          <w:szCs w:val="20"/>
        </w:rPr>
        <w:t xml:space="preserve">Taylor, J. 2008. JCT building contracts: </w:t>
      </w:r>
      <w:proofErr w:type="gramStart"/>
      <w:r w:rsidRPr="002713EE">
        <w:rPr>
          <w:sz w:val="20"/>
          <w:szCs w:val="20"/>
        </w:rPr>
        <w:t>What’s</w:t>
      </w:r>
      <w:proofErr w:type="gramEnd"/>
      <w:r w:rsidRPr="002713EE">
        <w:rPr>
          <w:sz w:val="20"/>
          <w:szCs w:val="20"/>
        </w:rPr>
        <w:t xml:space="preserve"> new? Journal of Building Appraisal 3(4), pp. 259–266. Available at: http://dx.doi.org/10.1057/jba.2008.7.</w:t>
      </w:r>
    </w:p>
    <w:p w14:paraId="2E9D9EC4" w14:textId="77777777" w:rsidR="002713EE" w:rsidRDefault="002713EE" w:rsidP="002713EE">
      <w:pPr>
        <w:pStyle w:val="NormalWeb"/>
        <w:numPr>
          <w:ilvl w:val="0"/>
          <w:numId w:val="7"/>
        </w:numPr>
        <w:spacing w:before="0" w:beforeAutospacing="0" w:after="240" w:afterAutospacing="0" w:line="480" w:lineRule="auto"/>
        <w:rPr>
          <w:sz w:val="20"/>
          <w:szCs w:val="20"/>
        </w:rPr>
      </w:pPr>
      <w:r w:rsidRPr="00AB5395">
        <w:rPr>
          <w:sz w:val="20"/>
          <w:szCs w:val="20"/>
        </w:rPr>
        <w:t xml:space="preserve">Turner, C. (2013). </w:t>
      </w:r>
      <w:r w:rsidRPr="002713EE">
        <w:rPr>
          <w:sz w:val="20"/>
          <w:szCs w:val="20"/>
        </w:rPr>
        <w:t>Unlocking Contract Law, Third Edition. Google Books.</w:t>
      </w:r>
      <w:r w:rsidRPr="00AB5395">
        <w:rPr>
          <w:sz w:val="20"/>
          <w:szCs w:val="20"/>
        </w:rPr>
        <w:t xml:space="preserve"> Routledge. Available at: </w:t>
      </w:r>
      <w:r w:rsidRPr="002713EE">
        <w:rPr>
          <w:sz w:val="20"/>
          <w:szCs w:val="20"/>
        </w:rPr>
        <w:t>https://www.google.co.uk/books/edition/Unlocking_Contract_Law_Third_Edition/4TuYAAAAQBAJ?hl=en&amp;gbpv=0</w:t>
      </w:r>
      <w:r w:rsidRPr="00AB5395">
        <w:rPr>
          <w:sz w:val="20"/>
          <w:szCs w:val="20"/>
        </w:rPr>
        <w:t>.</w:t>
      </w:r>
    </w:p>
    <w:p w14:paraId="1C8E8D4E" w14:textId="77777777" w:rsidR="00711CA4" w:rsidRPr="00B20D47" w:rsidRDefault="00711CA4" w:rsidP="00B74055">
      <w:pPr>
        <w:spacing w:line="360" w:lineRule="auto"/>
      </w:pPr>
    </w:p>
    <w:p w14:paraId="2669B5B2" w14:textId="77777777" w:rsidR="00E737B5" w:rsidRDefault="00E737B5" w:rsidP="007B5846">
      <w:pPr>
        <w:spacing w:line="360" w:lineRule="auto"/>
        <w:rPr>
          <w:sz w:val="24"/>
          <w:szCs w:val="24"/>
        </w:rPr>
      </w:pPr>
    </w:p>
    <w:p w14:paraId="759F516E" w14:textId="77777777" w:rsidR="00857BAC" w:rsidRDefault="00857BAC" w:rsidP="007B5846">
      <w:pPr>
        <w:spacing w:line="360" w:lineRule="auto"/>
        <w:rPr>
          <w:sz w:val="24"/>
          <w:szCs w:val="24"/>
        </w:rPr>
      </w:pPr>
    </w:p>
    <w:p w14:paraId="5B41C417" w14:textId="30ACE31F" w:rsidR="00EF6358" w:rsidRPr="0040155C" w:rsidRDefault="00EF6358" w:rsidP="007C5289">
      <w:pPr>
        <w:pStyle w:val="NormalWeb"/>
        <w:spacing w:line="360" w:lineRule="auto"/>
        <w:ind w:left="360"/>
        <w:rPr>
          <w:i/>
          <w:iCs/>
          <w:sz w:val="20"/>
          <w:szCs w:val="20"/>
        </w:rPr>
      </w:pPr>
    </w:p>
    <w:p w14:paraId="3C096E1B" w14:textId="77777777" w:rsidR="00857BAC" w:rsidRDefault="00857BAC" w:rsidP="007B5846">
      <w:pPr>
        <w:spacing w:line="360" w:lineRule="auto"/>
        <w:rPr>
          <w:sz w:val="24"/>
          <w:szCs w:val="24"/>
        </w:rPr>
      </w:pPr>
    </w:p>
    <w:p w14:paraId="1FDE2A38" w14:textId="77777777" w:rsidR="00857BAC" w:rsidRDefault="00857BAC" w:rsidP="007B5846">
      <w:pPr>
        <w:spacing w:line="360" w:lineRule="auto"/>
        <w:rPr>
          <w:sz w:val="24"/>
          <w:szCs w:val="24"/>
        </w:rPr>
      </w:pPr>
    </w:p>
    <w:p w14:paraId="420E9175" w14:textId="77777777" w:rsidR="00857BAC" w:rsidRPr="007B5846" w:rsidRDefault="00857BAC">
      <w:pPr>
        <w:spacing w:line="360" w:lineRule="auto"/>
        <w:rPr>
          <w:sz w:val="24"/>
          <w:szCs w:val="24"/>
        </w:rPr>
      </w:pPr>
    </w:p>
    <w:sectPr w:rsidR="00857BAC" w:rsidRPr="007B584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C749A" w14:textId="77777777" w:rsidR="004C24A7" w:rsidRDefault="004C24A7" w:rsidP="000266D1">
      <w:r>
        <w:separator/>
      </w:r>
    </w:p>
  </w:endnote>
  <w:endnote w:type="continuationSeparator" w:id="0">
    <w:p w14:paraId="5DFAD104" w14:textId="77777777" w:rsidR="004C24A7" w:rsidRDefault="004C24A7" w:rsidP="00026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7283008"/>
      <w:docPartObj>
        <w:docPartGallery w:val="Page Numbers (Bottom of Page)"/>
        <w:docPartUnique/>
      </w:docPartObj>
    </w:sdtPr>
    <w:sdtEndPr>
      <w:rPr>
        <w:noProof/>
      </w:rPr>
    </w:sdtEndPr>
    <w:sdtContent>
      <w:p w14:paraId="31FD8D62" w14:textId="0710358A" w:rsidR="000266D1" w:rsidRDefault="000266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028B16" w14:textId="77777777" w:rsidR="000266D1" w:rsidRDefault="000266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1AD97" w14:textId="77777777" w:rsidR="004C24A7" w:rsidRDefault="004C24A7" w:rsidP="000266D1">
      <w:r>
        <w:separator/>
      </w:r>
    </w:p>
  </w:footnote>
  <w:footnote w:type="continuationSeparator" w:id="0">
    <w:p w14:paraId="4362CCC4" w14:textId="77777777" w:rsidR="004C24A7" w:rsidRDefault="004C24A7" w:rsidP="000266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4E4"/>
    <w:multiLevelType w:val="hybridMultilevel"/>
    <w:tmpl w:val="E74E62DA"/>
    <w:lvl w:ilvl="0" w:tplc="8970FACC">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065A4AF1"/>
    <w:multiLevelType w:val="hybridMultilevel"/>
    <w:tmpl w:val="8250C41E"/>
    <w:lvl w:ilvl="0" w:tplc="E3AA78B6">
      <w:start w:val="1"/>
      <w:numFmt w:val="lowerLetter"/>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2" w15:restartNumberingAfterBreak="0">
    <w:nsid w:val="07404E06"/>
    <w:multiLevelType w:val="hybridMultilevel"/>
    <w:tmpl w:val="A67A10AE"/>
    <w:lvl w:ilvl="0" w:tplc="41BAEC30">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08607BA9"/>
    <w:multiLevelType w:val="hybridMultilevel"/>
    <w:tmpl w:val="0590D91A"/>
    <w:lvl w:ilvl="0" w:tplc="DB8C4A54">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0FCE0607"/>
    <w:multiLevelType w:val="hybridMultilevel"/>
    <w:tmpl w:val="C6C86D22"/>
    <w:lvl w:ilvl="0" w:tplc="4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296A57"/>
    <w:multiLevelType w:val="hybridMultilevel"/>
    <w:tmpl w:val="C4D23CF6"/>
    <w:lvl w:ilvl="0" w:tplc="E548AEC6">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2D7766A5"/>
    <w:multiLevelType w:val="hybridMultilevel"/>
    <w:tmpl w:val="8E9C7F50"/>
    <w:lvl w:ilvl="0" w:tplc="241487DC">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50AD3B07"/>
    <w:multiLevelType w:val="hybridMultilevel"/>
    <w:tmpl w:val="97AC345C"/>
    <w:lvl w:ilvl="0" w:tplc="0DB0894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36C2C17"/>
    <w:multiLevelType w:val="hybridMultilevel"/>
    <w:tmpl w:val="37B2FB22"/>
    <w:lvl w:ilvl="0" w:tplc="4409000F">
      <w:start w:val="1"/>
      <w:numFmt w:val="decimal"/>
      <w:lvlText w:val="%1."/>
      <w:lvlJc w:val="left"/>
      <w:pPr>
        <w:ind w:left="1003" w:hanging="720"/>
      </w:pPr>
      <w:rPr>
        <w:rFonts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9" w15:restartNumberingAfterBreak="0">
    <w:nsid w:val="66BF0129"/>
    <w:multiLevelType w:val="hybridMultilevel"/>
    <w:tmpl w:val="5F6E924C"/>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764632CC"/>
    <w:multiLevelType w:val="hybridMultilevel"/>
    <w:tmpl w:val="4CF4BB04"/>
    <w:lvl w:ilvl="0" w:tplc="C3E4ABFC">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089733160">
    <w:abstractNumId w:val="7"/>
  </w:num>
  <w:num w:numId="2" w16cid:durableId="1825004072">
    <w:abstractNumId w:val="9"/>
  </w:num>
  <w:num w:numId="3" w16cid:durableId="1460879196">
    <w:abstractNumId w:val="10"/>
  </w:num>
  <w:num w:numId="4" w16cid:durableId="1485852184">
    <w:abstractNumId w:val="0"/>
  </w:num>
  <w:num w:numId="5" w16cid:durableId="889338249">
    <w:abstractNumId w:val="5"/>
  </w:num>
  <w:num w:numId="6" w16cid:durableId="1637297006">
    <w:abstractNumId w:val="4"/>
  </w:num>
  <w:num w:numId="7" w16cid:durableId="391004761">
    <w:abstractNumId w:val="8"/>
  </w:num>
  <w:num w:numId="8" w16cid:durableId="754865270">
    <w:abstractNumId w:val="3"/>
  </w:num>
  <w:num w:numId="9" w16cid:durableId="330833761">
    <w:abstractNumId w:val="1"/>
  </w:num>
  <w:num w:numId="10" w16cid:durableId="1790591357">
    <w:abstractNumId w:val="6"/>
  </w:num>
  <w:num w:numId="11" w16cid:durableId="858814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846"/>
    <w:rsid w:val="0001599A"/>
    <w:rsid w:val="00026614"/>
    <w:rsid w:val="000266D1"/>
    <w:rsid w:val="000507FD"/>
    <w:rsid w:val="00065C91"/>
    <w:rsid w:val="000A66F1"/>
    <w:rsid w:val="000A6EEB"/>
    <w:rsid w:val="000B0322"/>
    <w:rsid w:val="001078B2"/>
    <w:rsid w:val="00122C7D"/>
    <w:rsid w:val="001937E4"/>
    <w:rsid w:val="001F1E72"/>
    <w:rsid w:val="001F7415"/>
    <w:rsid w:val="0020343D"/>
    <w:rsid w:val="00212EC5"/>
    <w:rsid w:val="002404D9"/>
    <w:rsid w:val="002713EE"/>
    <w:rsid w:val="002714F7"/>
    <w:rsid w:val="00285DD5"/>
    <w:rsid w:val="002A4C47"/>
    <w:rsid w:val="002A7A30"/>
    <w:rsid w:val="002B47D8"/>
    <w:rsid w:val="002D7B38"/>
    <w:rsid w:val="002F2482"/>
    <w:rsid w:val="00303419"/>
    <w:rsid w:val="00345E15"/>
    <w:rsid w:val="003708D0"/>
    <w:rsid w:val="003C0FA7"/>
    <w:rsid w:val="00400D97"/>
    <w:rsid w:val="0040155C"/>
    <w:rsid w:val="00456043"/>
    <w:rsid w:val="00473463"/>
    <w:rsid w:val="0047796B"/>
    <w:rsid w:val="004A461B"/>
    <w:rsid w:val="004C24A7"/>
    <w:rsid w:val="004C34B3"/>
    <w:rsid w:val="00501554"/>
    <w:rsid w:val="00521EDE"/>
    <w:rsid w:val="00551F6E"/>
    <w:rsid w:val="0055439D"/>
    <w:rsid w:val="00556DFD"/>
    <w:rsid w:val="00557F75"/>
    <w:rsid w:val="005F2471"/>
    <w:rsid w:val="006049E4"/>
    <w:rsid w:val="0063235E"/>
    <w:rsid w:val="0064368C"/>
    <w:rsid w:val="0065693E"/>
    <w:rsid w:val="00657253"/>
    <w:rsid w:val="00662253"/>
    <w:rsid w:val="00684BF3"/>
    <w:rsid w:val="006D0C89"/>
    <w:rsid w:val="006D3022"/>
    <w:rsid w:val="006F1A81"/>
    <w:rsid w:val="0070102C"/>
    <w:rsid w:val="00707071"/>
    <w:rsid w:val="00710D2B"/>
    <w:rsid w:val="00711CA4"/>
    <w:rsid w:val="007273E0"/>
    <w:rsid w:val="00731AE4"/>
    <w:rsid w:val="00752C06"/>
    <w:rsid w:val="00760FBF"/>
    <w:rsid w:val="007726F4"/>
    <w:rsid w:val="007A1A8A"/>
    <w:rsid w:val="007B5846"/>
    <w:rsid w:val="007B7057"/>
    <w:rsid w:val="007C5289"/>
    <w:rsid w:val="007D082F"/>
    <w:rsid w:val="00815DFB"/>
    <w:rsid w:val="00822414"/>
    <w:rsid w:val="0085286A"/>
    <w:rsid w:val="00857BAC"/>
    <w:rsid w:val="00877015"/>
    <w:rsid w:val="00890CE3"/>
    <w:rsid w:val="0089135B"/>
    <w:rsid w:val="00897647"/>
    <w:rsid w:val="008E683A"/>
    <w:rsid w:val="008F0D4B"/>
    <w:rsid w:val="00913A7D"/>
    <w:rsid w:val="00915EF9"/>
    <w:rsid w:val="00920258"/>
    <w:rsid w:val="00923BD9"/>
    <w:rsid w:val="0094680F"/>
    <w:rsid w:val="0096023C"/>
    <w:rsid w:val="00967C09"/>
    <w:rsid w:val="00974502"/>
    <w:rsid w:val="00976D9B"/>
    <w:rsid w:val="009D6BD6"/>
    <w:rsid w:val="00AB467B"/>
    <w:rsid w:val="00AB5395"/>
    <w:rsid w:val="00AC58BC"/>
    <w:rsid w:val="00AE541D"/>
    <w:rsid w:val="00B03148"/>
    <w:rsid w:val="00B20D47"/>
    <w:rsid w:val="00B23E85"/>
    <w:rsid w:val="00B4665F"/>
    <w:rsid w:val="00B74055"/>
    <w:rsid w:val="00B80C9F"/>
    <w:rsid w:val="00BD1BCF"/>
    <w:rsid w:val="00BE07E7"/>
    <w:rsid w:val="00BF4013"/>
    <w:rsid w:val="00C3559A"/>
    <w:rsid w:val="00C47392"/>
    <w:rsid w:val="00C55505"/>
    <w:rsid w:val="00C64A55"/>
    <w:rsid w:val="00CA589A"/>
    <w:rsid w:val="00CD78C1"/>
    <w:rsid w:val="00CE13AF"/>
    <w:rsid w:val="00CF30EB"/>
    <w:rsid w:val="00D056BD"/>
    <w:rsid w:val="00D54D8B"/>
    <w:rsid w:val="00D67528"/>
    <w:rsid w:val="00D7020B"/>
    <w:rsid w:val="00D75171"/>
    <w:rsid w:val="00DA0AD9"/>
    <w:rsid w:val="00DC488D"/>
    <w:rsid w:val="00E07485"/>
    <w:rsid w:val="00E32371"/>
    <w:rsid w:val="00E737B5"/>
    <w:rsid w:val="00E82A0B"/>
    <w:rsid w:val="00E97023"/>
    <w:rsid w:val="00EB4533"/>
    <w:rsid w:val="00ED1EB3"/>
    <w:rsid w:val="00EF080A"/>
    <w:rsid w:val="00EF4EAE"/>
    <w:rsid w:val="00EF6358"/>
    <w:rsid w:val="00F45086"/>
    <w:rsid w:val="00F6288B"/>
    <w:rsid w:val="00FA3DFD"/>
    <w:rsid w:val="00FC7446"/>
    <w:rsid w:val="00FD0941"/>
    <w:rsid w:val="00FD38B6"/>
    <w:rsid w:val="00FD44D9"/>
    <w:rsid w:val="00FE3985"/>
    <w:rsid w:val="00FE7E32"/>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1F84C"/>
  <w15:chartTrackingRefBased/>
  <w15:docId w15:val="{8C43407A-CFE2-467B-9B2B-4B1FAE213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846"/>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FE398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3BD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C34B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C34B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846"/>
    <w:pPr>
      <w:ind w:left="720"/>
      <w:contextualSpacing/>
    </w:pPr>
  </w:style>
  <w:style w:type="character" w:styleId="Hyperlink">
    <w:name w:val="Hyperlink"/>
    <w:basedOn w:val="DefaultParagraphFont"/>
    <w:uiPriority w:val="99"/>
    <w:unhideWhenUsed/>
    <w:rsid w:val="00E737B5"/>
    <w:rPr>
      <w:color w:val="0563C1" w:themeColor="hyperlink"/>
      <w:u w:val="single"/>
    </w:rPr>
  </w:style>
  <w:style w:type="character" w:styleId="UnresolvedMention">
    <w:name w:val="Unresolved Mention"/>
    <w:basedOn w:val="DefaultParagraphFont"/>
    <w:uiPriority w:val="99"/>
    <w:semiHidden/>
    <w:unhideWhenUsed/>
    <w:rsid w:val="00E737B5"/>
    <w:rPr>
      <w:color w:val="605E5C"/>
      <w:shd w:val="clear" w:color="auto" w:fill="E1DFDD"/>
    </w:rPr>
  </w:style>
  <w:style w:type="character" w:customStyle="1" w:styleId="sssh">
    <w:name w:val="ss_sh"/>
    <w:basedOn w:val="DefaultParagraphFont"/>
    <w:rsid w:val="00815DFB"/>
  </w:style>
  <w:style w:type="character" w:customStyle="1" w:styleId="sssmcaps">
    <w:name w:val="ss_smcaps"/>
    <w:basedOn w:val="DefaultParagraphFont"/>
    <w:rsid w:val="00815DFB"/>
  </w:style>
  <w:style w:type="character" w:styleId="Strong">
    <w:name w:val="Strong"/>
    <w:basedOn w:val="DefaultParagraphFont"/>
    <w:uiPriority w:val="22"/>
    <w:qFormat/>
    <w:rsid w:val="00551F6E"/>
    <w:rPr>
      <w:b/>
      <w:bCs/>
    </w:rPr>
  </w:style>
  <w:style w:type="character" w:styleId="Emphasis">
    <w:name w:val="Emphasis"/>
    <w:basedOn w:val="DefaultParagraphFont"/>
    <w:uiPriority w:val="20"/>
    <w:qFormat/>
    <w:rsid w:val="00551F6E"/>
    <w:rPr>
      <w:i/>
      <w:iCs/>
    </w:rPr>
  </w:style>
  <w:style w:type="paragraph" w:styleId="NormalWeb">
    <w:name w:val="Normal (Web)"/>
    <w:basedOn w:val="Normal"/>
    <w:uiPriority w:val="99"/>
    <w:unhideWhenUsed/>
    <w:rsid w:val="00E32371"/>
    <w:pPr>
      <w:spacing w:before="100" w:beforeAutospacing="1" w:after="100" w:afterAutospacing="1"/>
    </w:pPr>
    <w:rPr>
      <w:sz w:val="24"/>
      <w:szCs w:val="24"/>
      <w:lang w:val="en-MY" w:eastAsia="en-MY"/>
    </w:rPr>
  </w:style>
  <w:style w:type="character" w:customStyle="1" w:styleId="boldfont">
    <w:name w:val="boldfont"/>
    <w:basedOn w:val="DefaultParagraphFont"/>
    <w:rsid w:val="00B74055"/>
  </w:style>
  <w:style w:type="character" w:customStyle="1" w:styleId="Heading2Char">
    <w:name w:val="Heading 2 Char"/>
    <w:basedOn w:val="DefaultParagraphFont"/>
    <w:link w:val="Heading2"/>
    <w:uiPriority w:val="9"/>
    <w:rsid w:val="00923BD9"/>
    <w:rPr>
      <w:rFonts w:asciiTheme="majorHAnsi" w:eastAsiaTheme="majorEastAsia" w:hAnsiTheme="majorHAnsi" w:cstheme="majorBidi"/>
      <w:color w:val="2F5496" w:themeColor="accent1" w:themeShade="BF"/>
      <w:sz w:val="26"/>
      <w:szCs w:val="26"/>
      <w:lang w:val="en-GB" w:eastAsia="en-GB"/>
    </w:rPr>
  </w:style>
  <w:style w:type="table" w:styleId="TableGrid">
    <w:name w:val="Table Grid"/>
    <w:basedOn w:val="TableNormal"/>
    <w:uiPriority w:val="39"/>
    <w:rsid w:val="00203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3985"/>
    <w:rPr>
      <w:rFonts w:asciiTheme="majorHAnsi" w:eastAsiaTheme="majorEastAsia" w:hAnsiTheme="majorHAnsi" w:cstheme="majorBidi"/>
      <w:color w:val="2F5496" w:themeColor="accent1" w:themeShade="BF"/>
      <w:sz w:val="32"/>
      <w:szCs w:val="32"/>
      <w:lang w:val="en-GB" w:eastAsia="en-GB"/>
    </w:rPr>
  </w:style>
  <w:style w:type="paragraph" w:styleId="TOCHeading">
    <w:name w:val="TOC Heading"/>
    <w:basedOn w:val="Heading1"/>
    <w:next w:val="Normal"/>
    <w:uiPriority w:val="39"/>
    <w:unhideWhenUsed/>
    <w:qFormat/>
    <w:rsid w:val="00FE3985"/>
    <w:pPr>
      <w:spacing w:line="259" w:lineRule="auto"/>
      <w:outlineLvl w:val="9"/>
    </w:pPr>
    <w:rPr>
      <w:lang w:val="en-US" w:eastAsia="en-US"/>
    </w:rPr>
  </w:style>
  <w:style w:type="paragraph" w:styleId="TOC1">
    <w:name w:val="toc 1"/>
    <w:basedOn w:val="Normal"/>
    <w:next w:val="Normal"/>
    <w:autoRedefine/>
    <w:uiPriority w:val="39"/>
    <w:unhideWhenUsed/>
    <w:rsid w:val="004C34B3"/>
    <w:pPr>
      <w:spacing w:after="100"/>
    </w:pPr>
  </w:style>
  <w:style w:type="character" w:customStyle="1" w:styleId="Heading3Char">
    <w:name w:val="Heading 3 Char"/>
    <w:basedOn w:val="DefaultParagraphFont"/>
    <w:link w:val="Heading3"/>
    <w:uiPriority w:val="9"/>
    <w:rsid w:val="004C34B3"/>
    <w:rPr>
      <w:rFonts w:asciiTheme="majorHAnsi" w:eastAsiaTheme="majorEastAsia" w:hAnsiTheme="majorHAnsi" w:cstheme="majorBidi"/>
      <w:color w:val="1F3763" w:themeColor="accent1" w:themeShade="7F"/>
      <w:sz w:val="24"/>
      <w:szCs w:val="24"/>
      <w:lang w:val="en-GB" w:eastAsia="en-GB"/>
    </w:rPr>
  </w:style>
  <w:style w:type="character" w:customStyle="1" w:styleId="Heading4Char">
    <w:name w:val="Heading 4 Char"/>
    <w:basedOn w:val="DefaultParagraphFont"/>
    <w:link w:val="Heading4"/>
    <w:uiPriority w:val="9"/>
    <w:rsid w:val="004C34B3"/>
    <w:rPr>
      <w:rFonts w:asciiTheme="majorHAnsi" w:eastAsiaTheme="majorEastAsia" w:hAnsiTheme="majorHAnsi" w:cstheme="majorBidi"/>
      <w:i/>
      <w:iCs/>
      <w:color w:val="2F5496" w:themeColor="accent1" w:themeShade="BF"/>
      <w:sz w:val="20"/>
      <w:szCs w:val="20"/>
      <w:lang w:val="en-GB" w:eastAsia="en-GB"/>
    </w:rPr>
  </w:style>
  <w:style w:type="paragraph" w:styleId="TOC2">
    <w:name w:val="toc 2"/>
    <w:basedOn w:val="Normal"/>
    <w:next w:val="Normal"/>
    <w:autoRedefine/>
    <w:uiPriority w:val="39"/>
    <w:unhideWhenUsed/>
    <w:rsid w:val="004C34B3"/>
    <w:pPr>
      <w:spacing w:after="100"/>
      <w:ind w:left="200"/>
    </w:pPr>
  </w:style>
  <w:style w:type="paragraph" w:styleId="TOC3">
    <w:name w:val="toc 3"/>
    <w:basedOn w:val="Normal"/>
    <w:next w:val="Normal"/>
    <w:autoRedefine/>
    <w:uiPriority w:val="39"/>
    <w:unhideWhenUsed/>
    <w:rsid w:val="004C34B3"/>
    <w:pPr>
      <w:spacing w:after="100"/>
      <w:ind w:left="400"/>
    </w:pPr>
  </w:style>
  <w:style w:type="paragraph" w:styleId="Header">
    <w:name w:val="header"/>
    <w:basedOn w:val="Normal"/>
    <w:link w:val="HeaderChar"/>
    <w:uiPriority w:val="99"/>
    <w:unhideWhenUsed/>
    <w:rsid w:val="000266D1"/>
    <w:pPr>
      <w:tabs>
        <w:tab w:val="center" w:pos="4513"/>
        <w:tab w:val="right" w:pos="9026"/>
      </w:tabs>
    </w:pPr>
  </w:style>
  <w:style w:type="character" w:customStyle="1" w:styleId="HeaderChar">
    <w:name w:val="Header Char"/>
    <w:basedOn w:val="DefaultParagraphFont"/>
    <w:link w:val="Header"/>
    <w:uiPriority w:val="99"/>
    <w:rsid w:val="000266D1"/>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0266D1"/>
    <w:pPr>
      <w:tabs>
        <w:tab w:val="center" w:pos="4513"/>
        <w:tab w:val="right" w:pos="9026"/>
      </w:tabs>
    </w:pPr>
  </w:style>
  <w:style w:type="character" w:customStyle="1" w:styleId="FooterChar">
    <w:name w:val="Footer Char"/>
    <w:basedOn w:val="DefaultParagraphFont"/>
    <w:link w:val="Footer"/>
    <w:uiPriority w:val="99"/>
    <w:rsid w:val="000266D1"/>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774755">
      <w:bodyDiv w:val="1"/>
      <w:marLeft w:val="0"/>
      <w:marRight w:val="0"/>
      <w:marTop w:val="0"/>
      <w:marBottom w:val="0"/>
      <w:divBdr>
        <w:top w:val="none" w:sz="0" w:space="0" w:color="auto"/>
        <w:left w:val="none" w:sz="0" w:space="0" w:color="auto"/>
        <w:bottom w:val="none" w:sz="0" w:space="0" w:color="auto"/>
        <w:right w:val="none" w:sz="0" w:space="0" w:color="auto"/>
      </w:divBdr>
    </w:div>
    <w:div w:id="171383197">
      <w:bodyDiv w:val="1"/>
      <w:marLeft w:val="0"/>
      <w:marRight w:val="0"/>
      <w:marTop w:val="0"/>
      <w:marBottom w:val="0"/>
      <w:divBdr>
        <w:top w:val="none" w:sz="0" w:space="0" w:color="auto"/>
        <w:left w:val="none" w:sz="0" w:space="0" w:color="auto"/>
        <w:bottom w:val="none" w:sz="0" w:space="0" w:color="auto"/>
        <w:right w:val="none" w:sz="0" w:space="0" w:color="auto"/>
      </w:divBdr>
    </w:div>
    <w:div w:id="249391229">
      <w:bodyDiv w:val="1"/>
      <w:marLeft w:val="0"/>
      <w:marRight w:val="0"/>
      <w:marTop w:val="0"/>
      <w:marBottom w:val="0"/>
      <w:divBdr>
        <w:top w:val="none" w:sz="0" w:space="0" w:color="auto"/>
        <w:left w:val="none" w:sz="0" w:space="0" w:color="auto"/>
        <w:bottom w:val="none" w:sz="0" w:space="0" w:color="auto"/>
        <w:right w:val="none" w:sz="0" w:space="0" w:color="auto"/>
      </w:divBdr>
    </w:div>
    <w:div w:id="354501182">
      <w:bodyDiv w:val="1"/>
      <w:marLeft w:val="0"/>
      <w:marRight w:val="0"/>
      <w:marTop w:val="0"/>
      <w:marBottom w:val="0"/>
      <w:divBdr>
        <w:top w:val="none" w:sz="0" w:space="0" w:color="auto"/>
        <w:left w:val="none" w:sz="0" w:space="0" w:color="auto"/>
        <w:bottom w:val="none" w:sz="0" w:space="0" w:color="auto"/>
        <w:right w:val="none" w:sz="0" w:space="0" w:color="auto"/>
      </w:divBdr>
    </w:div>
    <w:div w:id="414666224">
      <w:bodyDiv w:val="1"/>
      <w:marLeft w:val="0"/>
      <w:marRight w:val="0"/>
      <w:marTop w:val="0"/>
      <w:marBottom w:val="0"/>
      <w:divBdr>
        <w:top w:val="none" w:sz="0" w:space="0" w:color="auto"/>
        <w:left w:val="none" w:sz="0" w:space="0" w:color="auto"/>
        <w:bottom w:val="none" w:sz="0" w:space="0" w:color="auto"/>
        <w:right w:val="none" w:sz="0" w:space="0" w:color="auto"/>
      </w:divBdr>
      <w:divsChild>
        <w:div w:id="1417635221">
          <w:marLeft w:val="0"/>
          <w:marRight w:val="0"/>
          <w:marTop w:val="0"/>
          <w:marBottom w:val="0"/>
          <w:divBdr>
            <w:top w:val="none" w:sz="0" w:space="0" w:color="auto"/>
            <w:left w:val="none" w:sz="0" w:space="0" w:color="auto"/>
            <w:bottom w:val="none" w:sz="0" w:space="0" w:color="auto"/>
            <w:right w:val="none" w:sz="0" w:space="0" w:color="auto"/>
          </w:divBdr>
        </w:div>
      </w:divsChild>
    </w:div>
    <w:div w:id="604581378">
      <w:bodyDiv w:val="1"/>
      <w:marLeft w:val="0"/>
      <w:marRight w:val="0"/>
      <w:marTop w:val="0"/>
      <w:marBottom w:val="0"/>
      <w:divBdr>
        <w:top w:val="none" w:sz="0" w:space="0" w:color="auto"/>
        <w:left w:val="none" w:sz="0" w:space="0" w:color="auto"/>
        <w:bottom w:val="none" w:sz="0" w:space="0" w:color="auto"/>
        <w:right w:val="none" w:sz="0" w:space="0" w:color="auto"/>
      </w:divBdr>
    </w:div>
    <w:div w:id="798887061">
      <w:bodyDiv w:val="1"/>
      <w:marLeft w:val="0"/>
      <w:marRight w:val="0"/>
      <w:marTop w:val="0"/>
      <w:marBottom w:val="0"/>
      <w:divBdr>
        <w:top w:val="none" w:sz="0" w:space="0" w:color="auto"/>
        <w:left w:val="none" w:sz="0" w:space="0" w:color="auto"/>
        <w:bottom w:val="none" w:sz="0" w:space="0" w:color="auto"/>
        <w:right w:val="none" w:sz="0" w:space="0" w:color="auto"/>
      </w:divBdr>
    </w:div>
    <w:div w:id="847140607">
      <w:bodyDiv w:val="1"/>
      <w:marLeft w:val="0"/>
      <w:marRight w:val="0"/>
      <w:marTop w:val="0"/>
      <w:marBottom w:val="0"/>
      <w:divBdr>
        <w:top w:val="none" w:sz="0" w:space="0" w:color="auto"/>
        <w:left w:val="none" w:sz="0" w:space="0" w:color="auto"/>
        <w:bottom w:val="none" w:sz="0" w:space="0" w:color="auto"/>
        <w:right w:val="none" w:sz="0" w:space="0" w:color="auto"/>
      </w:divBdr>
    </w:div>
    <w:div w:id="866869275">
      <w:bodyDiv w:val="1"/>
      <w:marLeft w:val="0"/>
      <w:marRight w:val="0"/>
      <w:marTop w:val="0"/>
      <w:marBottom w:val="0"/>
      <w:divBdr>
        <w:top w:val="none" w:sz="0" w:space="0" w:color="auto"/>
        <w:left w:val="none" w:sz="0" w:space="0" w:color="auto"/>
        <w:bottom w:val="none" w:sz="0" w:space="0" w:color="auto"/>
        <w:right w:val="none" w:sz="0" w:space="0" w:color="auto"/>
      </w:divBdr>
    </w:div>
    <w:div w:id="880555413">
      <w:bodyDiv w:val="1"/>
      <w:marLeft w:val="0"/>
      <w:marRight w:val="0"/>
      <w:marTop w:val="0"/>
      <w:marBottom w:val="0"/>
      <w:divBdr>
        <w:top w:val="none" w:sz="0" w:space="0" w:color="auto"/>
        <w:left w:val="none" w:sz="0" w:space="0" w:color="auto"/>
        <w:bottom w:val="none" w:sz="0" w:space="0" w:color="auto"/>
        <w:right w:val="none" w:sz="0" w:space="0" w:color="auto"/>
      </w:divBdr>
    </w:div>
    <w:div w:id="908996462">
      <w:bodyDiv w:val="1"/>
      <w:marLeft w:val="0"/>
      <w:marRight w:val="0"/>
      <w:marTop w:val="0"/>
      <w:marBottom w:val="0"/>
      <w:divBdr>
        <w:top w:val="none" w:sz="0" w:space="0" w:color="auto"/>
        <w:left w:val="none" w:sz="0" w:space="0" w:color="auto"/>
        <w:bottom w:val="none" w:sz="0" w:space="0" w:color="auto"/>
        <w:right w:val="none" w:sz="0" w:space="0" w:color="auto"/>
      </w:divBdr>
      <w:divsChild>
        <w:div w:id="1140540709">
          <w:marLeft w:val="0"/>
          <w:marRight w:val="0"/>
          <w:marTop w:val="0"/>
          <w:marBottom w:val="0"/>
          <w:divBdr>
            <w:top w:val="none" w:sz="0" w:space="0" w:color="auto"/>
            <w:left w:val="none" w:sz="0" w:space="0" w:color="auto"/>
            <w:bottom w:val="none" w:sz="0" w:space="0" w:color="auto"/>
            <w:right w:val="none" w:sz="0" w:space="0" w:color="auto"/>
          </w:divBdr>
        </w:div>
      </w:divsChild>
    </w:div>
    <w:div w:id="928777757">
      <w:bodyDiv w:val="1"/>
      <w:marLeft w:val="0"/>
      <w:marRight w:val="0"/>
      <w:marTop w:val="0"/>
      <w:marBottom w:val="0"/>
      <w:divBdr>
        <w:top w:val="none" w:sz="0" w:space="0" w:color="auto"/>
        <w:left w:val="none" w:sz="0" w:space="0" w:color="auto"/>
        <w:bottom w:val="none" w:sz="0" w:space="0" w:color="auto"/>
        <w:right w:val="none" w:sz="0" w:space="0" w:color="auto"/>
      </w:divBdr>
    </w:div>
    <w:div w:id="1031492526">
      <w:bodyDiv w:val="1"/>
      <w:marLeft w:val="0"/>
      <w:marRight w:val="0"/>
      <w:marTop w:val="0"/>
      <w:marBottom w:val="0"/>
      <w:divBdr>
        <w:top w:val="none" w:sz="0" w:space="0" w:color="auto"/>
        <w:left w:val="none" w:sz="0" w:space="0" w:color="auto"/>
        <w:bottom w:val="none" w:sz="0" w:space="0" w:color="auto"/>
        <w:right w:val="none" w:sz="0" w:space="0" w:color="auto"/>
      </w:divBdr>
    </w:div>
    <w:div w:id="1090004517">
      <w:bodyDiv w:val="1"/>
      <w:marLeft w:val="0"/>
      <w:marRight w:val="0"/>
      <w:marTop w:val="0"/>
      <w:marBottom w:val="0"/>
      <w:divBdr>
        <w:top w:val="none" w:sz="0" w:space="0" w:color="auto"/>
        <w:left w:val="none" w:sz="0" w:space="0" w:color="auto"/>
        <w:bottom w:val="none" w:sz="0" w:space="0" w:color="auto"/>
        <w:right w:val="none" w:sz="0" w:space="0" w:color="auto"/>
      </w:divBdr>
      <w:divsChild>
        <w:div w:id="181554907">
          <w:marLeft w:val="0"/>
          <w:marRight w:val="0"/>
          <w:marTop w:val="0"/>
          <w:marBottom w:val="0"/>
          <w:divBdr>
            <w:top w:val="none" w:sz="0" w:space="0" w:color="auto"/>
            <w:left w:val="none" w:sz="0" w:space="0" w:color="auto"/>
            <w:bottom w:val="none" w:sz="0" w:space="0" w:color="auto"/>
            <w:right w:val="none" w:sz="0" w:space="0" w:color="auto"/>
          </w:divBdr>
        </w:div>
      </w:divsChild>
    </w:div>
    <w:div w:id="1326128840">
      <w:bodyDiv w:val="1"/>
      <w:marLeft w:val="0"/>
      <w:marRight w:val="0"/>
      <w:marTop w:val="0"/>
      <w:marBottom w:val="0"/>
      <w:divBdr>
        <w:top w:val="none" w:sz="0" w:space="0" w:color="auto"/>
        <w:left w:val="none" w:sz="0" w:space="0" w:color="auto"/>
        <w:bottom w:val="none" w:sz="0" w:space="0" w:color="auto"/>
        <w:right w:val="none" w:sz="0" w:space="0" w:color="auto"/>
      </w:divBdr>
    </w:div>
    <w:div w:id="1439834008">
      <w:bodyDiv w:val="1"/>
      <w:marLeft w:val="0"/>
      <w:marRight w:val="0"/>
      <w:marTop w:val="0"/>
      <w:marBottom w:val="0"/>
      <w:divBdr>
        <w:top w:val="none" w:sz="0" w:space="0" w:color="auto"/>
        <w:left w:val="none" w:sz="0" w:space="0" w:color="auto"/>
        <w:bottom w:val="none" w:sz="0" w:space="0" w:color="auto"/>
        <w:right w:val="none" w:sz="0" w:space="0" w:color="auto"/>
      </w:divBdr>
    </w:div>
    <w:div w:id="1619295619">
      <w:bodyDiv w:val="1"/>
      <w:marLeft w:val="0"/>
      <w:marRight w:val="0"/>
      <w:marTop w:val="0"/>
      <w:marBottom w:val="0"/>
      <w:divBdr>
        <w:top w:val="none" w:sz="0" w:space="0" w:color="auto"/>
        <w:left w:val="none" w:sz="0" w:space="0" w:color="auto"/>
        <w:bottom w:val="none" w:sz="0" w:space="0" w:color="auto"/>
        <w:right w:val="none" w:sz="0" w:space="0" w:color="auto"/>
      </w:divBdr>
    </w:div>
    <w:div w:id="1662662040">
      <w:bodyDiv w:val="1"/>
      <w:marLeft w:val="0"/>
      <w:marRight w:val="0"/>
      <w:marTop w:val="0"/>
      <w:marBottom w:val="0"/>
      <w:divBdr>
        <w:top w:val="none" w:sz="0" w:space="0" w:color="auto"/>
        <w:left w:val="none" w:sz="0" w:space="0" w:color="auto"/>
        <w:bottom w:val="none" w:sz="0" w:space="0" w:color="auto"/>
        <w:right w:val="none" w:sz="0" w:space="0" w:color="auto"/>
      </w:divBdr>
    </w:div>
    <w:div w:id="1810660454">
      <w:bodyDiv w:val="1"/>
      <w:marLeft w:val="0"/>
      <w:marRight w:val="0"/>
      <w:marTop w:val="0"/>
      <w:marBottom w:val="0"/>
      <w:divBdr>
        <w:top w:val="none" w:sz="0" w:space="0" w:color="auto"/>
        <w:left w:val="none" w:sz="0" w:space="0" w:color="auto"/>
        <w:bottom w:val="none" w:sz="0" w:space="0" w:color="auto"/>
        <w:right w:val="none" w:sz="0" w:space="0" w:color="auto"/>
      </w:divBdr>
    </w:div>
    <w:div w:id="1844323110">
      <w:bodyDiv w:val="1"/>
      <w:marLeft w:val="0"/>
      <w:marRight w:val="0"/>
      <w:marTop w:val="0"/>
      <w:marBottom w:val="0"/>
      <w:divBdr>
        <w:top w:val="none" w:sz="0" w:space="0" w:color="auto"/>
        <w:left w:val="none" w:sz="0" w:space="0" w:color="auto"/>
        <w:bottom w:val="none" w:sz="0" w:space="0" w:color="auto"/>
        <w:right w:val="none" w:sz="0" w:space="0" w:color="auto"/>
      </w:divBdr>
    </w:div>
    <w:div w:id="1957757066">
      <w:bodyDiv w:val="1"/>
      <w:marLeft w:val="0"/>
      <w:marRight w:val="0"/>
      <w:marTop w:val="0"/>
      <w:marBottom w:val="0"/>
      <w:divBdr>
        <w:top w:val="none" w:sz="0" w:space="0" w:color="auto"/>
        <w:left w:val="none" w:sz="0" w:space="0" w:color="auto"/>
        <w:bottom w:val="none" w:sz="0" w:space="0" w:color="auto"/>
        <w:right w:val="none" w:sz="0" w:space="0" w:color="auto"/>
      </w:divBdr>
      <w:divsChild>
        <w:div w:id="1848668161">
          <w:marLeft w:val="0"/>
          <w:marRight w:val="0"/>
          <w:marTop w:val="0"/>
          <w:marBottom w:val="0"/>
          <w:divBdr>
            <w:top w:val="none" w:sz="0" w:space="0" w:color="auto"/>
            <w:left w:val="none" w:sz="0" w:space="0" w:color="auto"/>
            <w:bottom w:val="none" w:sz="0" w:space="0" w:color="auto"/>
            <w:right w:val="none" w:sz="0" w:space="0" w:color="auto"/>
          </w:divBdr>
        </w:div>
      </w:divsChild>
    </w:div>
    <w:div w:id="1978291439">
      <w:bodyDiv w:val="1"/>
      <w:marLeft w:val="0"/>
      <w:marRight w:val="0"/>
      <w:marTop w:val="0"/>
      <w:marBottom w:val="0"/>
      <w:divBdr>
        <w:top w:val="none" w:sz="0" w:space="0" w:color="auto"/>
        <w:left w:val="none" w:sz="0" w:space="0" w:color="auto"/>
        <w:bottom w:val="none" w:sz="0" w:space="0" w:color="auto"/>
        <w:right w:val="none" w:sz="0" w:space="0" w:color="auto"/>
      </w:divBdr>
    </w:div>
    <w:div w:id="2066098234">
      <w:bodyDiv w:val="1"/>
      <w:marLeft w:val="0"/>
      <w:marRight w:val="0"/>
      <w:marTop w:val="0"/>
      <w:marBottom w:val="0"/>
      <w:divBdr>
        <w:top w:val="none" w:sz="0" w:space="0" w:color="auto"/>
        <w:left w:val="none" w:sz="0" w:space="0" w:color="auto"/>
        <w:bottom w:val="none" w:sz="0" w:space="0" w:color="auto"/>
        <w:right w:val="none" w:sz="0" w:space="0" w:color="auto"/>
      </w:divBdr>
      <w:divsChild>
        <w:div w:id="382289287">
          <w:marLeft w:val="0"/>
          <w:marRight w:val="0"/>
          <w:marTop w:val="0"/>
          <w:marBottom w:val="0"/>
          <w:divBdr>
            <w:top w:val="none" w:sz="0" w:space="0" w:color="auto"/>
            <w:left w:val="none" w:sz="0" w:space="0" w:color="auto"/>
            <w:bottom w:val="none" w:sz="0" w:space="0" w:color="auto"/>
            <w:right w:val="none" w:sz="0" w:space="0" w:color="auto"/>
          </w:divBdr>
        </w:div>
      </w:divsChild>
    </w:div>
    <w:div w:id="2095857472">
      <w:bodyDiv w:val="1"/>
      <w:marLeft w:val="0"/>
      <w:marRight w:val="0"/>
      <w:marTop w:val="0"/>
      <w:marBottom w:val="0"/>
      <w:divBdr>
        <w:top w:val="none" w:sz="0" w:space="0" w:color="auto"/>
        <w:left w:val="none" w:sz="0" w:space="0" w:color="auto"/>
        <w:bottom w:val="none" w:sz="0" w:space="0" w:color="auto"/>
        <w:right w:val="none" w:sz="0" w:space="0" w:color="auto"/>
      </w:divBdr>
    </w:div>
    <w:div w:id="2114323912">
      <w:bodyDiv w:val="1"/>
      <w:marLeft w:val="0"/>
      <w:marRight w:val="0"/>
      <w:marTop w:val="0"/>
      <w:marBottom w:val="0"/>
      <w:divBdr>
        <w:top w:val="none" w:sz="0" w:space="0" w:color="auto"/>
        <w:left w:val="none" w:sz="0" w:space="0" w:color="auto"/>
        <w:bottom w:val="none" w:sz="0" w:space="0" w:color="auto"/>
        <w:right w:val="none" w:sz="0" w:space="0" w:color="auto"/>
      </w:divBdr>
    </w:div>
    <w:div w:id="213852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ictionary.cambridge.org/dictionary/english/cou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5C8748-6EAD-41C0-A449-070C0E59C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4571</TotalTime>
  <Pages>10</Pages>
  <Words>2284</Words>
  <Characters>13592</Characters>
  <Application>Microsoft Office Word</Application>
  <DocSecurity>0</DocSecurity>
  <Lines>849</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dc:creator>
  <cp:keywords/>
  <dc:description/>
  <cp:lastModifiedBy>Danish Iman</cp:lastModifiedBy>
  <cp:revision>18</cp:revision>
  <dcterms:created xsi:type="dcterms:W3CDTF">2023-02-26T19:36:00Z</dcterms:created>
  <dcterms:modified xsi:type="dcterms:W3CDTF">2023-03-10T21:02:00Z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ce2d30fe-1701-4799-bc38-a0cdcbe30174</vt:lpwstr>
  </property>
</Properties>
</file>